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66D0A" w14:textId="77777777" w:rsidR="00E34BD4" w:rsidRPr="00E34BD4" w:rsidRDefault="00E34BD4" w:rsidP="00E34BD4">
      <w:pPr>
        <w:pStyle w:val="Title"/>
        <w:jc w:val="center"/>
        <w:rPr>
          <w:bCs/>
          <w:i/>
          <w:iCs/>
          <w:u w:val="single"/>
        </w:rPr>
      </w:pPr>
      <w:r w:rsidRPr="00E34BD4">
        <w:rPr>
          <w:bCs/>
          <w:i/>
          <w:iCs/>
          <w:u w:val="single"/>
        </w:rPr>
        <w:t>Review Article</w:t>
      </w:r>
    </w:p>
    <w:p w14:paraId="584CE4E1" w14:textId="70ECB773" w:rsidR="006929DF" w:rsidRPr="00DC6805" w:rsidRDefault="00000000">
      <w:pPr>
        <w:pStyle w:val="Title"/>
        <w:jc w:val="center"/>
        <w:rPr>
          <w:color w:val="auto"/>
        </w:rPr>
      </w:pPr>
      <w:r w:rsidRPr="00DC6805">
        <w:rPr>
          <w:rFonts w:ascii="Times New Roman" w:hAnsi="Times New Roman"/>
          <w:color w:val="auto"/>
        </w:rPr>
        <w:t xml:space="preserve">Local Seed Resources for Complementary Foods in Burkina Faso:  Nutritional Potential, Safety Constraints and </w:t>
      </w:r>
      <w:proofErr w:type="spellStart"/>
      <w:r w:rsidRPr="00DC6805">
        <w:rPr>
          <w:rFonts w:ascii="Times New Roman" w:hAnsi="Times New Roman"/>
          <w:color w:val="auto"/>
        </w:rPr>
        <w:t>Valorisation</w:t>
      </w:r>
      <w:proofErr w:type="spellEnd"/>
      <w:r w:rsidRPr="00DC6805">
        <w:rPr>
          <w:rFonts w:ascii="Times New Roman" w:hAnsi="Times New Roman"/>
          <w:color w:val="auto"/>
        </w:rPr>
        <w:t xml:space="preserve"> Pathways</w:t>
      </w:r>
    </w:p>
    <w:p w14:paraId="18F57BD5" w14:textId="77777777" w:rsidR="006929DF" w:rsidRPr="00DC6805" w:rsidRDefault="00000000">
      <w:pPr>
        <w:keepNext/>
        <w:spacing w:before="80" w:after="80"/>
        <w:jc w:val="center"/>
      </w:pPr>
      <w:r w:rsidRPr="00DC6805">
        <w:rPr>
          <w:b/>
          <w:sz w:val="23"/>
        </w:rPr>
        <w:t>Abstract</w:t>
      </w:r>
    </w:p>
    <w:p w14:paraId="1C9C6A08" w14:textId="77777777" w:rsidR="006929DF" w:rsidRPr="00DC6805" w:rsidRDefault="00000000">
      <w:pPr>
        <w:spacing w:after="160" w:line="264" w:lineRule="auto"/>
      </w:pPr>
      <w:r w:rsidRPr="00DC6805">
        <w:t xml:space="preserve">Complementary feeding between 6 and 23 months is a nutritionally demanding transition in which cereal porridges remain prominent in Burkina Faso. Local seed resources - notably pearl millet, sorghum, maize, cowpea, soybean, groundnut, sesame, Bambara groundnut and fermented African locust bean seed - offer a plausible basis for affordable, culturally </w:t>
      </w:r>
      <w:proofErr w:type="spellStart"/>
      <w:r w:rsidRPr="00DC6805">
        <w:t>recognisable</w:t>
      </w:r>
      <w:proofErr w:type="spellEnd"/>
      <w:r w:rsidRPr="00DC6805">
        <w:t xml:space="preserve"> complementary foods, but their value depends on more than proximate nutrient composition. This critical narrative review examined literature from 1 January 2000 to 6 July 2026, while retaining earlier foundational sources when required. Evidence was </w:t>
      </w:r>
      <w:proofErr w:type="spellStart"/>
      <w:r w:rsidRPr="00DC6805">
        <w:t>synthesised</w:t>
      </w:r>
      <w:proofErr w:type="spellEnd"/>
      <w:r w:rsidRPr="00DC6805">
        <w:t xml:space="preserve"> from international and regional scholarly sources, institutional guidance, and citation searching, with emphasis on studies conducted in Burkina Faso and closely relevant West African settings. The evidence indicates that cereal-pulse-oilseed combinations can improve protein balance, energy density and dietary diversity relative to thin cereal-only gruels. Burkina Faso studies also demonstrate that amylolytic fermentation can permit higher solids at acceptable viscosity, and that phytase can increase zinc absorption from millet porridge. These benefits are conditional: decortication, fermentation, germination and heat treatment produce nutrient and functionality trade-offs; phytate reduction does not automatically translate into improved long-term micronutrient status; and local blends that satisfy energy and protein targets may still remain inadequate in iron, zinc or vitamins without deliberate fortification or nutrient-rich adjuncts. Safety is the most binding constraint. Aflatoxin contamination has repeatedly been documented in locally produced infant flours and in maize and groundnut supply chains, while microbiological surveys identify failures compatible with weak process control. </w:t>
      </w:r>
      <w:proofErr w:type="spellStart"/>
      <w:r w:rsidRPr="00DC6805">
        <w:t>Valorisation</w:t>
      </w:r>
      <w:proofErr w:type="spellEnd"/>
      <w:r w:rsidRPr="00DC6805">
        <w:t xml:space="preserve"> should therefore be conceived as an integrated food-system strategy linking seed selection, contaminant prevention, validated processing, micronutrient design, sensory acceptability, packaging, labelling, quality assurance and affordable distribution. Local seeds are a strong platform for complementary food development in Burkina Faso, but they are not a self-sufficient solution unless nutrient bioavailability and safety are engineered and verified alongside local economic feasibility.</w:t>
      </w:r>
    </w:p>
    <w:p w14:paraId="379C6B9B" w14:textId="77777777" w:rsidR="006929DF" w:rsidRPr="00DC6805" w:rsidRDefault="00000000">
      <w:pPr>
        <w:spacing w:after="180"/>
      </w:pPr>
      <w:r w:rsidRPr="00DC6805">
        <w:rPr>
          <w:b/>
          <w:sz w:val="21"/>
        </w:rPr>
        <w:t xml:space="preserve">Keywords: </w:t>
      </w:r>
      <w:r w:rsidRPr="00DC6805">
        <w:rPr>
          <w:sz w:val="21"/>
        </w:rPr>
        <w:t>complementary feeding; infant flour; pearl millet; cowpea; groundnut; food safety; mycotoxins; Burkina Faso</w:t>
      </w:r>
    </w:p>
    <w:p w14:paraId="06D8E3B7" w14:textId="77777777" w:rsidR="006929DF" w:rsidRPr="00DC6805" w:rsidRDefault="00000000">
      <w:pPr>
        <w:pStyle w:val="Heading1"/>
        <w:rPr>
          <w:color w:val="auto"/>
        </w:rPr>
      </w:pPr>
      <w:r w:rsidRPr="00DC6805">
        <w:rPr>
          <w:rFonts w:ascii="Times New Roman" w:hAnsi="Times New Roman"/>
          <w:color w:val="auto"/>
        </w:rPr>
        <w:t>1. Introduction</w:t>
      </w:r>
    </w:p>
    <w:p w14:paraId="49A4A51E" w14:textId="77777777" w:rsidR="006929DF" w:rsidRPr="00DC6805" w:rsidRDefault="00000000">
      <w:r w:rsidRPr="00DC6805">
        <w:t xml:space="preserve">Complementary feeding is the period in which foods are introduced alongside breast milk because breast milk alone no longer meets the full nutritional requirements of the child. The World Health Organization (WHO) frames the principal complementary-feeding interval as 6-23 months, a phase </w:t>
      </w:r>
      <w:proofErr w:type="spellStart"/>
      <w:r w:rsidRPr="00DC6805">
        <w:t>characterised</w:t>
      </w:r>
      <w:proofErr w:type="spellEnd"/>
      <w:r w:rsidRPr="00DC6805">
        <w:t xml:space="preserve"> by rapid growth, small gastric capacity, emerging oral-motor skills and vulnerability to micronutrient deficiency and growth faltering (World Health Organization, 2023). The nutritional challenge is not simply to add food after 6 months. Complementary foods must deliver sufficient energy and indispensable nutrients in small portions, be developmentally appropriate, remain microbiologically and chemically safe, and fit the household's capacity to acquire, prepare and feed them. In low-resource settings, these requirements can be difficult to reconcile because traditional porridges are often cereal dominated, dilute and repetitive, while foods with higher micronutrient density may be less available or more expensive.</w:t>
      </w:r>
    </w:p>
    <w:p w14:paraId="4C5F4E3C" w14:textId="77777777" w:rsidR="006929DF" w:rsidRPr="00DC6805" w:rsidRDefault="00000000">
      <w:r w:rsidRPr="00DC6805">
        <w:t xml:space="preserve">Burkina Faso provides a particularly relevant setting in which to examine this problem through the lens of local seeds. Millet, sorghum and maize are familiar cereal matrices; cowpea, soybean and Bambara groundnut provide pulse proteins; groundnut and sesame provide energy-dense oilseed fractions; and fermented seeds of African locust bean, commonly used as soumbala, contribute to a broader repertoire of locally embedded </w:t>
      </w:r>
      <w:r w:rsidRPr="00DC6805">
        <w:lastRenderedPageBreak/>
        <w:t xml:space="preserve">ingredients. These materials are not equivalent. Their amino acid profiles, lipid contents, </w:t>
      </w:r>
      <w:proofErr w:type="spellStart"/>
      <w:r w:rsidRPr="00DC6805">
        <w:t>fibre</w:t>
      </w:r>
      <w:proofErr w:type="spellEnd"/>
      <w:r w:rsidRPr="00DC6805">
        <w:t xml:space="preserve"> and phytate burdens, processing responses, storage stability and contamination risks differ substantially. The practical question is therefore not whether a local seed is "nutritious" in isolation, but whether a combination of locally obtainable ingredients can be processed and proportioned into a safe food of adequate nutrient density that caregivers can consistently prepare and children will accept.</w:t>
      </w:r>
    </w:p>
    <w:p w14:paraId="7F492192" w14:textId="77777777" w:rsidR="006929DF" w:rsidRPr="00DC6805" w:rsidRDefault="00000000">
      <w:r w:rsidRPr="00DC6805">
        <w:t xml:space="preserve">The local feeding context reinforces the need for such a formulation-level perspective. In a longitudinal study of 114 rural Burkinabe children, complementary foods were introduced late on average, porridge was frequently the first complementary food, and dietary diversity remained poor (Sawadogo et al., 2010). A later population-based survey in rural Boucle du </w:t>
      </w:r>
      <w:proofErr w:type="spellStart"/>
      <w:r w:rsidRPr="00DC6805">
        <w:t>Mouhoun</w:t>
      </w:r>
      <w:proofErr w:type="spellEnd"/>
      <w:r w:rsidRPr="00DC6805">
        <w:t xml:space="preserve"> likewise found substantial shortfalls in complementary-feeding indicators, particularly diet diversity, although the values reflect the survey period and should not be interpreted as current national estimates (</w:t>
      </w:r>
      <w:proofErr w:type="spellStart"/>
      <w:r w:rsidRPr="00DC6805">
        <w:t>Sarrassat</w:t>
      </w:r>
      <w:proofErr w:type="spellEnd"/>
      <w:r w:rsidRPr="00DC6805">
        <w:t xml:space="preserve"> et al., 2019). Among children receiving treatment for uncomplicated severe acute malnutrition, grains, roots or tubers and legumes or nuts were commonly consumed, whereas some nutrient-dense food groups were infrequent; this evidence describes a treatment population rather than healthy Burkinabe infants, but it illustrates the continuing dominance of plant staples in young-child diets (</w:t>
      </w:r>
      <w:proofErr w:type="spellStart"/>
      <w:r w:rsidRPr="00DC6805">
        <w:t>Nikièma</w:t>
      </w:r>
      <w:proofErr w:type="spellEnd"/>
      <w:r w:rsidRPr="00DC6805">
        <w:t xml:space="preserve"> et al., 2021). Together, these observations show why improving the quality of foods already embedded in local food systems is attractive, but they do not imply that a cereal-pulse blend alone can meet all nutritional needs.</w:t>
      </w:r>
    </w:p>
    <w:p w14:paraId="3399CCB6" w14:textId="77777777" w:rsidR="006929DF" w:rsidRPr="00DC6805" w:rsidRDefault="00000000">
      <w:r w:rsidRPr="00DC6805">
        <w:t xml:space="preserve">Global guidance supports frequent use of pulses, nuts and seeds as part of a diverse complementary diet, especially where animal-source foods and vegetables are limited, while cautioning that starchy staples should not dominate and that nuts and seeds must be offered in forms that do not present a choking hazard (World Health Organization, 2023). Codex guidance similarly </w:t>
      </w:r>
      <w:proofErr w:type="spellStart"/>
      <w:r w:rsidRPr="00DC6805">
        <w:t>recognises</w:t>
      </w:r>
      <w:proofErr w:type="spellEnd"/>
      <w:r w:rsidRPr="00DC6805">
        <w:t xml:space="preserve"> cereals, legumes, pulses and oilseed products as suitable raw materials for formulated complementary foods, provided that processing reduces relevant antinutritional factors and that hygienic, nutritional and labelling requirements are met (Codex Alimentarius Commission, 2013). These recommendations are important because they reposition local seed-based foods from an emergency substitute for commercial products to a legitimate formulation platform, while simultaneously imposing conditions concerning processing, nutrient adequacy and safety.</w:t>
      </w:r>
    </w:p>
    <w:p w14:paraId="2E4F2089" w14:textId="77777777" w:rsidR="006929DF" w:rsidRPr="00DC6805" w:rsidRDefault="00000000">
      <w:r w:rsidRPr="00DC6805">
        <w:t>The scientific literature from Burkina Faso already contains several strands of evidence that are individually informative but seldom integrated. Work on ben-</w:t>
      </w:r>
      <w:proofErr w:type="spellStart"/>
      <w:r w:rsidRPr="00DC6805">
        <w:t>saalga</w:t>
      </w:r>
      <w:proofErr w:type="spellEnd"/>
      <w:r w:rsidRPr="00DC6805">
        <w:t xml:space="preserve"> and related fermented millet gruels has described traditional processing, nutrient losses, enzyme-active lactic acid bacteria and approaches to reduce viscosity at higher solids (Mouquet-Rivier et al., 2008; </w:t>
      </w:r>
      <w:proofErr w:type="spellStart"/>
      <w:r w:rsidRPr="00DC6805">
        <w:t>Songré</w:t>
      </w:r>
      <w:proofErr w:type="spellEnd"/>
      <w:r w:rsidRPr="00DC6805">
        <w:t>-Ouattara et al., 2008, 2009, 2010; Tou et al., 2006). Community studies have tested improved local-ingredient flours and technology transfer to rural households, with later work examining micronutrient fortification and dietary intake (</w:t>
      </w:r>
      <w:proofErr w:type="spellStart"/>
      <w:r w:rsidRPr="00DC6805">
        <w:t>Ouèdraogo</w:t>
      </w:r>
      <w:proofErr w:type="spellEnd"/>
      <w:r w:rsidRPr="00DC6805">
        <w:t xml:space="preserve"> et al., 2009; Ouédraogo et al., 2009, 2010). Stable-isotope work has directly demonstrated improved zinc absorption when phytase was added to millet porridge (Brnić et al., 2017). Studies of biofortified pearl millet have highlighted the tension between higher grain mineral content, processing losses, phytate and sensory preference (Hama-Ba et al., 2019). In parallel, food-safety studies have repeatedly documented mycotoxin contamination and microbiological concerns in locally produced infant flours and relevant raw materials (Bayala-</w:t>
      </w:r>
      <w:proofErr w:type="spellStart"/>
      <w:r w:rsidRPr="00DC6805">
        <w:t>Yaï</w:t>
      </w:r>
      <w:proofErr w:type="spellEnd"/>
      <w:r w:rsidRPr="00DC6805">
        <w:t xml:space="preserve"> et al., 2024, 2025; </w:t>
      </w:r>
      <w:proofErr w:type="spellStart"/>
      <w:r w:rsidRPr="00DC6805">
        <w:t>Waré</w:t>
      </w:r>
      <w:proofErr w:type="spellEnd"/>
      <w:r w:rsidRPr="00DC6805">
        <w:t xml:space="preserve"> et al., 2017, 2018).</w:t>
      </w:r>
    </w:p>
    <w:p w14:paraId="2C9FE703" w14:textId="77777777" w:rsidR="006929DF" w:rsidRPr="00DC6805" w:rsidRDefault="00000000">
      <w:r w:rsidRPr="00DC6805">
        <w:t xml:space="preserve">Recent reviews have </w:t>
      </w:r>
      <w:proofErr w:type="spellStart"/>
      <w:r w:rsidRPr="00DC6805">
        <w:t>synthesised</w:t>
      </w:r>
      <w:proofErr w:type="spellEnd"/>
      <w:r w:rsidRPr="00DC6805">
        <w:t xml:space="preserve"> complementary-food development across sub-Saharan Africa, including processing technologies and contamination concerns, but their geographic breadth necessarily limits detailed treatment of Burkinabe production practices, ingredient ecology and regulatory translation (</w:t>
      </w:r>
      <w:proofErr w:type="spellStart"/>
      <w:r w:rsidRPr="00DC6805">
        <w:t>Ogunniran</w:t>
      </w:r>
      <w:proofErr w:type="spellEnd"/>
      <w:r w:rsidRPr="00DC6805">
        <w:t xml:space="preserve"> et al., 2024). Other influential reviews address complementary-feeding interventions, plant-food mineral bioavailability or food choice in malnourished children, but they were not designed to integrate Burkina-specific seed resources, local product safety and </w:t>
      </w:r>
      <w:proofErr w:type="spellStart"/>
      <w:r w:rsidRPr="00DC6805">
        <w:t>valorisation</w:t>
      </w:r>
      <w:proofErr w:type="spellEnd"/>
      <w:r w:rsidRPr="00DC6805">
        <w:t xml:space="preserve"> pathways within a single argument (Dewey &amp; Adu-</w:t>
      </w:r>
      <w:proofErr w:type="spellStart"/>
      <w:r w:rsidRPr="00DC6805">
        <w:t>Afarwuah</w:t>
      </w:r>
      <w:proofErr w:type="spellEnd"/>
      <w:r w:rsidRPr="00DC6805">
        <w:t xml:space="preserve">, 2008; Gibson et al., 2010; Michaelsen et al., 2009). A Burkina-focused synthesis is therefore </w:t>
      </w:r>
      <w:r w:rsidRPr="00DC6805">
        <w:lastRenderedPageBreak/>
        <w:t xml:space="preserve">justified not by a lack of prior nutrition reviews, but by a mismatch between the decision problem faced by local formulators and the </w:t>
      </w:r>
      <w:proofErr w:type="spellStart"/>
      <w:r w:rsidRPr="00DC6805">
        <w:t>organisation</w:t>
      </w:r>
      <w:proofErr w:type="spellEnd"/>
      <w:r w:rsidRPr="00DC6805">
        <w:t xml:space="preserve"> of the existing literature.</w:t>
      </w:r>
    </w:p>
    <w:p w14:paraId="0D6E1D42" w14:textId="77777777" w:rsidR="006929DF" w:rsidRPr="00DC6805" w:rsidRDefault="00000000">
      <w:pPr>
        <w:pStyle w:val="Heading2"/>
        <w:rPr>
          <w:color w:val="auto"/>
        </w:rPr>
      </w:pPr>
      <w:r w:rsidRPr="00DC6805">
        <w:rPr>
          <w:rFonts w:ascii="Times New Roman" w:hAnsi="Times New Roman"/>
          <w:color w:val="auto"/>
        </w:rPr>
        <w:t>1.1 Scope, Research Gap and Objectives</w:t>
      </w:r>
    </w:p>
    <w:p w14:paraId="5465252C" w14:textId="77777777" w:rsidR="006929DF" w:rsidRPr="00DC6805" w:rsidRDefault="00000000">
      <w:r w:rsidRPr="00DC6805">
        <w:t xml:space="preserve">This review focuses on seed-derived ingredients that are locally grown, traded, processed or culturally familiar in Burkina Faso and that have plausible relevance to foods offered during the 6-23-month complementary-feeding period. Cereals, pulses, legumes, oilseeds, nuts and fermented seed products are included. Non-seed ingredients such as fish, fruit, baobab products, oils or micronutrient premixes are considered only when they clarify the performance or limitations of seed-based formulations. Breast-milk substitutes and therapeutic foods are outside the principal scope, although evidence from nutrition-treatment </w:t>
      </w:r>
      <w:proofErr w:type="spellStart"/>
      <w:r w:rsidRPr="00DC6805">
        <w:t>programmes</w:t>
      </w:r>
      <w:proofErr w:type="spellEnd"/>
      <w:r w:rsidRPr="00DC6805">
        <w:t xml:space="preserve"> is used selectively when it illuminates formulation or dietary-substitution mechanisms relevant to complementary feeding.</w:t>
      </w:r>
    </w:p>
    <w:p w14:paraId="474FEBAA" w14:textId="77777777" w:rsidR="006929DF" w:rsidRPr="00DC6805" w:rsidRDefault="00000000">
      <w:r w:rsidRPr="00DC6805">
        <w:t xml:space="preserve">The central research gap is the absence of an integrated Burkina-focused assessment that treats nutritional composition, rheology, antinutritional factors, micronutrient bioavailability, contamination risk, household feasibility and small-enterprise </w:t>
      </w:r>
      <w:proofErr w:type="spellStart"/>
      <w:r w:rsidRPr="00DC6805">
        <w:t>valorisation</w:t>
      </w:r>
      <w:proofErr w:type="spellEnd"/>
      <w:r w:rsidRPr="00DC6805">
        <w:t xml:space="preserve"> as interdependent design constraints. The objectives are therefore to identify the most defensible nutritional roles of priority local seed resources; critically assess processing strategies and their trade-offs; evaluate mycotoxin, microbiological and raw-material safety constraints; examine the quality of evidence supporting household and commercial </w:t>
      </w:r>
      <w:proofErr w:type="spellStart"/>
      <w:r w:rsidRPr="00DC6805">
        <w:t>valorisation</w:t>
      </w:r>
      <w:proofErr w:type="spellEnd"/>
      <w:r w:rsidRPr="00DC6805">
        <w:t>; and propose research priorities capable of moving the field from promising recipes towards safe, nutritionally effective and scalable products.</w:t>
      </w:r>
    </w:p>
    <w:p w14:paraId="6010BB10" w14:textId="77777777" w:rsidR="006929DF" w:rsidRPr="00DC6805" w:rsidRDefault="00000000">
      <w:pPr>
        <w:pStyle w:val="Heading1"/>
        <w:rPr>
          <w:color w:val="auto"/>
        </w:rPr>
      </w:pPr>
      <w:r w:rsidRPr="00DC6805">
        <w:rPr>
          <w:rFonts w:ascii="Times New Roman" w:hAnsi="Times New Roman"/>
          <w:color w:val="auto"/>
        </w:rPr>
        <w:t>2. Methods for Literature Selection</w:t>
      </w:r>
    </w:p>
    <w:p w14:paraId="7CE53AA3" w14:textId="77777777" w:rsidR="006929DF" w:rsidRPr="00DC6805" w:rsidRDefault="00000000">
      <w:pPr>
        <w:pStyle w:val="Heading2"/>
        <w:rPr>
          <w:color w:val="auto"/>
        </w:rPr>
      </w:pPr>
      <w:r w:rsidRPr="00DC6805">
        <w:rPr>
          <w:rFonts w:ascii="Times New Roman" w:hAnsi="Times New Roman"/>
          <w:color w:val="auto"/>
        </w:rPr>
        <w:t>2.1 Review Design and Rationale</w:t>
      </w:r>
    </w:p>
    <w:p w14:paraId="010779A7" w14:textId="77777777" w:rsidR="006929DF" w:rsidRPr="00DC6805" w:rsidRDefault="00000000">
      <w:r w:rsidRPr="00DC6805">
        <w:t xml:space="preserve">A critical narrative review design was selected because the evidence base spans heterogeneous questions and methods: dietary surveys, traditional-process </w:t>
      </w:r>
      <w:proofErr w:type="spellStart"/>
      <w:r w:rsidRPr="00DC6805">
        <w:t>characterisation</w:t>
      </w:r>
      <w:proofErr w:type="spellEnd"/>
      <w:r w:rsidRPr="00DC6805">
        <w:t>, compositional analyses, rheology experiments, microbial ecology, stable-isotope absorption studies, community interventions, market assessments and mycotoxin surveillance. Pooling these studies quantitatively would obscure rather than resolve differences in intervention, outcome and population. A narrative design also permits explicit examination of how evidence from food chemistry, nutrition, microbiology and value-chain research converges or conflicts. Transparency and critical appraisal were nevertheless treated as necessary; the design and reporting logic was informed by the SANRA principles for high-quality narrative reviews, including justification of importance, clarity of aims, description of literature searching, appropriate referencing, scientific reasoning and presentation of endpoint data where relevant (</w:t>
      </w:r>
      <w:proofErr w:type="spellStart"/>
      <w:r w:rsidRPr="00DC6805">
        <w:t>Baethge</w:t>
      </w:r>
      <w:proofErr w:type="spellEnd"/>
      <w:r w:rsidRPr="00DC6805">
        <w:t xml:space="preserve"> et al., 2019).</w:t>
      </w:r>
    </w:p>
    <w:p w14:paraId="16D2A7A7" w14:textId="77777777" w:rsidR="006929DF" w:rsidRPr="00DC6805" w:rsidRDefault="00000000">
      <w:pPr>
        <w:pStyle w:val="Heading2"/>
        <w:rPr>
          <w:color w:val="auto"/>
        </w:rPr>
      </w:pPr>
      <w:r w:rsidRPr="00DC6805">
        <w:rPr>
          <w:rFonts w:ascii="Times New Roman" w:hAnsi="Times New Roman"/>
          <w:color w:val="auto"/>
        </w:rPr>
        <w:t>2.2 Information Sources</w:t>
      </w:r>
    </w:p>
    <w:p w14:paraId="2A767D0C" w14:textId="77777777" w:rsidR="006929DF" w:rsidRPr="00DC6805" w:rsidRDefault="00000000">
      <w:r w:rsidRPr="00DC6805">
        <w:t xml:space="preserve">Literature was sought in PubMed, Europe PMC, AGRIS, </w:t>
      </w:r>
      <w:proofErr w:type="spellStart"/>
      <w:r w:rsidRPr="00DC6805">
        <w:t>OpenAlex</w:t>
      </w:r>
      <w:proofErr w:type="spellEnd"/>
      <w:r w:rsidRPr="00DC6805">
        <w:t>, DOAJ, Semantic Scholar, Google Scholar and African Journals Online. Searches were supplemented by relevant WHO and Codex/FAO institutional documents, backward reference searching, forward citation searching and related-article searching. Particular attention was given to records originating from Burkinabe research institutions and studies conducted in Ouagadougou, rural Burkina Faso or geographically relevant West African settings when direct Burkina evidence was unavailable. Publisher pages and DOI records were used for bibliographic verification rather than treated as literature databases.</w:t>
      </w:r>
    </w:p>
    <w:p w14:paraId="1EA8105D" w14:textId="77777777" w:rsidR="006929DF" w:rsidRPr="00DC6805" w:rsidRDefault="00000000">
      <w:pPr>
        <w:pStyle w:val="Heading2"/>
        <w:rPr>
          <w:color w:val="auto"/>
        </w:rPr>
      </w:pPr>
      <w:r w:rsidRPr="00DC6805">
        <w:rPr>
          <w:rFonts w:ascii="Times New Roman" w:hAnsi="Times New Roman"/>
          <w:color w:val="auto"/>
        </w:rPr>
        <w:t>2.3 Search Strategy and Search Period</w:t>
      </w:r>
    </w:p>
    <w:p w14:paraId="30887732" w14:textId="77777777" w:rsidR="006929DF" w:rsidRPr="00DC6805" w:rsidRDefault="00000000">
      <w:r w:rsidRPr="00DC6805">
        <w:t xml:space="preserve">The main publication period was 1 January 2000 to 6 July 2026. The starting year was selected to capture the contemporary phase of complementary-food development, fermented-gruel </w:t>
      </w:r>
      <w:proofErr w:type="spellStart"/>
      <w:r w:rsidRPr="00DC6805">
        <w:t>optimisation</w:t>
      </w:r>
      <w:proofErr w:type="spellEnd"/>
      <w:r w:rsidRPr="00DC6805">
        <w:t xml:space="preserve">, micronutrient </w:t>
      </w:r>
      <w:r w:rsidRPr="00DC6805">
        <w:lastRenderedPageBreak/>
        <w:t xml:space="preserve">bioavailability research and locally produced infant-flour </w:t>
      </w:r>
      <w:proofErr w:type="spellStart"/>
      <w:r w:rsidRPr="00DC6805">
        <w:t>programmes</w:t>
      </w:r>
      <w:proofErr w:type="spellEnd"/>
      <w:r w:rsidRPr="00DC6805">
        <w:t xml:space="preserve"> in Burkina Faso. Earlier sources were retained only when they were necessary for established complementary-food principles or standards. Search concepts combined geographic terms ("Burkina Faso", "Ouagadougou", "Burkinabe", "West Africa") with complementary-feeding terms ("complementary food", "infant flour", "weaning food", "young child", "6-23 months") and ingredient terms ("millet", "sorghum", "maize", "cowpea", "soybean", "groundnut", "peanut", "sesame", "Bambara groundnut", "Parkia </w:t>
      </w:r>
      <w:proofErr w:type="spellStart"/>
      <w:r w:rsidRPr="00DC6805">
        <w:t>biglobosa</w:t>
      </w:r>
      <w:proofErr w:type="spellEnd"/>
      <w:r w:rsidRPr="00DC6805">
        <w:t>", "soumbala"). These were linked with process and outcome terms including "fermentation", "germination", "malting", "amylase", "phytase", "phytate", "viscosity", "energy density", "iron", "zinc", "bioavailability", "mycotoxin", "aflatoxin", "microbiological safety", "acceptability", "affordability", "market", "production" and "</w:t>
      </w:r>
      <w:proofErr w:type="spellStart"/>
      <w:r w:rsidRPr="00DC6805">
        <w:t>valorisation</w:t>
      </w:r>
      <w:proofErr w:type="spellEnd"/>
      <w:r w:rsidRPr="00DC6805">
        <w:t>". Representative combinations included ("Burkina Faso" AND "complementary food" AND millet), ("infant flour" AND Burkina AND (aflatoxin OR mycotoxin)), and ((millet OR sorghum OR cowpea OR groundnut) AND (fermentation OR phytate OR viscosity) AND "young children").</w:t>
      </w:r>
    </w:p>
    <w:p w14:paraId="7E518C38" w14:textId="77777777" w:rsidR="006929DF" w:rsidRPr="00DC6805" w:rsidRDefault="00000000">
      <w:pPr>
        <w:pStyle w:val="Heading2"/>
        <w:rPr>
          <w:color w:val="auto"/>
        </w:rPr>
      </w:pPr>
      <w:r w:rsidRPr="00DC6805">
        <w:rPr>
          <w:rFonts w:ascii="Times New Roman" w:hAnsi="Times New Roman"/>
          <w:color w:val="auto"/>
        </w:rPr>
        <w:t>2.4 Eligibility Criteria</w:t>
      </w:r>
    </w:p>
    <w:p w14:paraId="197D3ABE" w14:textId="77777777" w:rsidR="006929DF" w:rsidRPr="00DC6805" w:rsidRDefault="00000000">
      <w:r w:rsidRPr="00DC6805">
        <w:t xml:space="preserve">Peer-reviewed original research and high-quality reviews were </w:t>
      </w:r>
      <w:proofErr w:type="spellStart"/>
      <w:r w:rsidRPr="00DC6805">
        <w:t>prioritised</w:t>
      </w:r>
      <w:proofErr w:type="spellEnd"/>
      <w:r w:rsidRPr="00DC6805">
        <w:t xml:space="preserve"> when they directly addressed complementary foods, seed ingredients, processing, nutrient bioavailability, food safety or </w:t>
      </w:r>
      <w:proofErr w:type="spellStart"/>
      <w:r w:rsidRPr="00DC6805">
        <w:t>valorisation</w:t>
      </w:r>
      <w:proofErr w:type="spellEnd"/>
      <w:r w:rsidRPr="00DC6805">
        <w:t>. Studies from Burkina Faso received highest contextual relevance. West African and wider sub-Saharan evidence was included when it addressed mechanisms or crops for which Burkina-specific evidence was sparse, and global studies were used when they established transferable food-science or micronutrient principles. Authoritative WHO and Codex guidance was included for normative framing. Studies focused exclusively on adult diets, livestock feed, agronomy without food or value-chain relevance, or products unrelated to complementary feeding were excluded from the principal synthesis. Preprints, unverifiable records, promotional materials and sources with incomplete bibliographic identity were not used as evidence. Studies published after 6 July 2026 were excluded even when they were directly relevant to Burkina Faso.</w:t>
      </w:r>
    </w:p>
    <w:p w14:paraId="74434697" w14:textId="77777777" w:rsidR="006929DF" w:rsidRPr="00DC6805" w:rsidRDefault="00000000">
      <w:pPr>
        <w:pStyle w:val="Heading2"/>
        <w:rPr>
          <w:color w:val="auto"/>
        </w:rPr>
      </w:pPr>
      <w:r w:rsidRPr="00DC6805">
        <w:rPr>
          <w:rFonts w:ascii="Times New Roman" w:hAnsi="Times New Roman"/>
          <w:color w:val="auto"/>
        </w:rPr>
        <w:t>2.5 Screening, Duplicate Handling and Study Selection</w:t>
      </w:r>
    </w:p>
    <w:p w14:paraId="53F7F834" w14:textId="77777777" w:rsidR="006929DF" w:rsidRPr="00DC6805" w:rsidRDefault="00000000">
      <w:r w:rsidRPr="00DC6805">
        <w:t>Titles and abstracts were assessed for relevance to one or more of the review domains, followed by full-text or extended-record assessment where accessible. Duplicate records identified by title, DOI and author-year combinations were consolidated. No numerical screening flow is presented because the review was not designed as a systematic review with prospectively documented record counts. English- and French-language records were considered when reliable metadata and sufficient content were accessible. Sources that could not be verified bibliographically or whose reported findings could not be matched to the claim being considered were not retained. Where companion publications appeared to draw on the same or closely related sample frame, they were interpreted as linked evidence rather than independent replications.</w:t>
      </w:r>
    </w:p>
    <w:p w14:paraId="6AF9CBB7" w14:textId="77777777" w:rsidR="006929DF" w:rsidRPr="00DC6805" w:rsidRDefault="00000000">
      <w:pPr>
        <w:pStyle w:val="Heading2"/>
        <w:rPr>
          <w:color w:val="auto"/>
        </w:rPr>
      </w:pPr>
      <w:r w:rsidRPr="00DC6805">
        <w:rPr>
          <w:rFonts w:ascii="Times New Roman" w:hAnsi="Times New Roman"/>
          <w:color w:val="auto"/>
        </w:rPr>
        <w:t>2.6 Critical Appraisal and Evidence Synthesis</w:t>
      </w:r>
    </w:p>
    <w:p w14:paraId="0C0909BE" w14:textId="77777777" w:rsidR="006929DF" w:rsidRPr="00DC6805" w:rsidRDefault="00000000">
      <w:r w:rsidRPr="00DC6805">
        <w:t xml:space="preserve">Evidence was appraised according to design appropriateness, sample relevance, analytical methods, comparators, measurement validity, transparency, exposure or intervention control, directness to infants aged 6-23 months, and applicability to Burkina Faso. Mechanistic studies were distinguished from studies reporting actual intake, biomarkers or growth. Laboratory nutrient composition was not treated as proof of absorbed nutrient value, and a formulated recipe meeting calculated specifications was not treated as evidence of clinical effectiveness. Food-safety surveys were examined for sampling frame, analytical method and whether contamination represented finished infant flour, raw material or broader market foods. Themes were then developed around ingredient function, formulation performance, processing trade-offs, safety and </w:t>
      </w:r>
      <w:proofErr w:type="spellStart"/>
      <w:r w:rsidRPr="00DC6805">
        <w:t>valorisation</w:t>
      </w:r>
      <w:proofErr w:type="spellEnd"/>
      <w:r w:rsidRPr="00DC6805">
        <w:t>. Confidence was highest when Burkina-specific human or product evidence aligned with established mechanistic evidence and lower when conclusions rested on extrapolation from other populations or on compositional data alone.</w:t>
      </w:r>
    </w:p>
    <w:p w14:paraId="51C784FB" w14:textId="77777777" w:rsidR="006929DF" w:rsidRPr="00DC6805" w:rsidRDefault="00000000">
      <w:pPr>
        <w:pStyle w:val="Heading1"/>
        <w:rPr>
          <w:color w:val="auto"/>
        </w:rPr>
      </w:pPr>
      <w:r w:rsidRPr="00DC6805">
        <w:rPr>
          <w:rFonts w:ascii="Times New Roman" w:hAnsi="Times New Roman"/>
          <w:color w:val="auto"/>
        </w:rPr>
        <w:lastRenderedPageBreak/>
        <w:t>3. Complementary-Feeding Context and the Case for Local Seed Matrices in Burkina Faso</w:t>
      </w:r>
    </w:p>
    <w:p w14:paraId="6E456B8B" w14:textId="77777777" w:rsidR="006929DF" w:rsidRPr="00DC6805" w:rsidRDefault="00000000">
      <w:r w:rsidRPr="00DC6805">
        <w:t xml:space="preserve">The case for local seeds starts with practical food-system realities. Seeds and grains are dry, transportable and storable commodities that can be milled into shelf-stable flours, combined in measured proportions and prepared as porridges. In Burkina Faso, locally produced infant flours commonly draw on millet, sorghum and maize as cereal bases and peanuts and soybean as enrichment ingredients. A 2024 survey of 11 infant-flour production units in Ouagadougou found that millet, sorghum and maize were the dominant cereal raw materials, whereas peanuts and soybeans were prominent among leguminous ingredients; more than half of the participating units were artisanal or linked to nutrition-recovery </w:t>
      </w:r>
      <w:proofErr w:type="spellStart"/>
      <w:r w:rsidRPr="00DC6805">
        <w:t>centres</w:t>
      </w:r>
      <w:proofErr w:type="spellEnd"/>
      <w:r w:rsidRPr="00DC6805">
        <w:t xml:space="preserve"> rather than semi-industrial operations (Bayala-</w:t>
      </w:r>
      <w:proofErr w:type="spellStart"/>
      <w:r w:rsidRPr="00DC6805">
        <w:t>Yaï</w:t>
      </w:r>
      <w:proofErr w:type="spellEnd"/>
      <w:r w:rsidRPr="00DC6805">
        <w:t xml:space="preserve"> et al., 2024). The survey is small and city-specific, but it confirms that the seed classes discussed in this review correspond to actual production practice rather than hypothetical formulation choices.</w:t>
      </w:r>
    </w:p>
    <w:p w14:paraId="783BB5F1" w14:textId="77777777" w:rsidR="006929DF" w:rsidRPr="00DC6805" w:rsidRDefault="00000000">
      <w:r w:rsidRPr="00DC6805">
        <w:t xml:space="preserve">Cereal dominance has clear technological advantages and nutritional limitations. Starch provides a familiar energy substrate and supports porridge structure, but </w:t>
      </w:r>
      <w:proofErr w:type="spellStart"/>
      <w:r w:rsidRPr="00DC6805">
        <w:t>gelatinised</w:t>
      </w:r>
      <w:proofErr w:type="spellEnd"/>
      <w:r w:rsidRPr="00DC6805">
        <w:t xml:space="preserve"> cereal starch also creates bulk. If flour concentration is kept low to preserve a </w:t>
      </w:r>
      <w:proofErr w:type="spellStart"/>
      <w:r w:rsidRPr="00DC6805">
        <w:t>spoonable</w:t>
      </w:r>
      <w:proofErr w:type="spellEnd"/>
      <w:r w:rsidRPr="00DC6805">
        <w:t xml:space="preserve"> consistency, the child receives a low-energy meal. If solids are simply increased without changing starch functionality, the porridge can become too viscous for efficient feeding. Traditional fermented millet gruels in Burkina Faso illustrate this problem. Analysis of ben-</w:t>
      </w:r>
      <w:proofErr w:type="spellStart"/>
      <w:r w:rsidRPr="00DC6805">
        <w:t>kida</w:t>
      </w:r>
      <w:proofErr w:type="spellEnd"/>
      <w:r w:rsidRPr="00DC6805">
        <w:t xml:space="preserve"> and ben-</w:t>
      </w:r>
      <w:proofErr w:type="spellStart"/>
      <w:r w:rsidRPr="00DC6805">
        <w:t>saalga</w:t>
      </w:r>
      <w:proofErr w:type="spellEnd"/>
      <w:r w:rsidRPr="00DC6805">
        <w:t xml:space="preserve"> showed that processing could reduce some compounds associated with poor nutrient bioavailability, yet substantial losses of lipid, protein, iron and zinc also occurred; the prepared gruels remained low in energy density and several nutrients (Mouquet-Rivier et al., 2008). This finding is a critical corrective to the assumption that fermentation automatically converts a traditional cereal gruel into an adequate complementary food.</w:t>
      </w:r>
    </w:p>
    <w:p w14:paraId="25BFE7E5" w14:textId="77777777" w:rsidR="006929DF" w:rsidRPr="00DC6805" w:rsidRDefault="00000000">
      <w:r w:rsidRPr="00DC6805">
        <w:t xml:space="preserve">Legumes and oilseeds address some weaknesses of cereal matrices but introduce others. Pulses generally provide more protein and lysine than cereals, making cereal-pulse combinations biochemically rational, while groundnut and sesame can raise lipid and energy density. Codex explicitly </w:t>
      </w:r>
      <w:proofErr w:type="spellStart"/>
      <w:r w:rsidRPr="00DC6805">
        <w:t>recognises</w:t>
      </w:r>
      <w:proofErr w:type="spellEnd"/>
      <w:r w:rsidRPr="00DC6805">
        <w:t xml:space="preserve"> the complementary amino acid logic of combining cereals, which are relatively lysine-limited, with legumes and pulses, while also requiring processing to reduce phytate, lectins and protease inhibitors (Codex Alimentarius Commission, 2013). The relevant design principle is therefore complementation rather than substitution: a legume is not simply "better" than a cereal, and an oilseed is not simply an energy booster. Each ingredient shifts the protein, fat, </w:t>
      </w:r>
      <w:proofErr w:type="spellStart"/>
      <w:r w:rsidRPr="00DC6805">
        <w:t>fibre</w:t>
      </w:r>
      <w:proofErr w:type="spellEnd"/>
      <w:r w:rsidRPr="00DC6805">
        <w:t xml:space="preserve">, antinutrient, </w:t>
      </w:r>
      <w:proofErr w:type="spellStart"/>
      <w:r w:rsidRPr="00DC6805">
        <w:t>flavour</w:t>
      </w:r>
      <w:proofErr w:type="spellEnd"/>
      <w:r w:rsidRPr="00DC6805">
        <w:t>, viscosity and hazard profile of the mixture.</w:t>
      </w:r>
    </w:p>
    <w:p w14:paraId="4E301415" w14:textId="77777777" w:rsidR="006929DF" w:rsidRPr="00DC6805" w:rsidRDefault="00000000">
      <w:r w:rsidRPr="00DC6805">
        <w:t xml:space="preserve">There is also a dietary-context constraint. WHO guidance </w:t>
      </w:r>
      <w:proofErr w:type="spellStart"/>
      <w:r w:rsidRPr="00DC6805">
        <w:t>emphasises</w:t>
      </w:r>
      <w:proofErr w:type="spellEnd"/>
      <w:r w:rsidRPr="00DC6805">
        <w:t xml:space="preserve"> that pulses, nuts and seeds can make important contributions to energy, protein, essential fats, iron, zinc and thiamine, but it simultaneously recommends dietary diversity including animal-source foods, fruits and vegetables (World Health Organization, 2023). A locally produced seed-based flour should therefore be viewed as one component of complementary feeding rather than as a complete dietary replacement. This distinction matters because a technically improved flour could inadvertently displace other foods. Reanalysis of a Burkina Faso supplementation trial found that fortified blended flours tended to displace plain cereals rather than breastfeeding or other reported food groups, suggesting that substitution patterns depend on product type and feeding context (</w:t>
      </w:r>
      <w:proofErr w:type="spellStart"/>
      <w:r w:rsidRPr="00DC6805">
        <w:t>Cliffer</w:t>
      </w:r>
      <w:proofErr w:type="spellEnd"/>
      <w:r w:rsidRPr="00DC6805">
        <w:t xml:space="preserve"> et al., 2021). Although those products were not identical to locally formulated seed blends, the study demonstrates why dietary impact should be measured rather than assumed from product composition.</w:t>
      </w:r>
    </w:p>
    <w:p w14:paraId="257F45F1" w14:textId="77777777" w:rsidR="006929DF" w:rsidRPr="00DC6805" w:rsidRDefault="00000000">
      <w:r w:rsidRPr="00DC6805">
        <w:t xml:space="preserve">Local seeds also offer potential advantages in affordability and supply resilience, but local origin is not synonymous with low price or universal access. A </w:t>
      </w:r>
      <w:proofErr w:type="spellStart"/>
      <w:r w:rsidRPr="00DC6805">
        <w:t>multicountry</w:t>
      </w:r>
      <w:proofErr w:type="spellEnd"/>
      <w:r w:rsidRPr="00DC6805">
        <w:t xml:space="preserve"> assessment that included Burkina Faso found that locally produced processed cereal-based blends were generally less expensive than imported products, yet only a minority of the </w:t>
      </w:r>
      <w:proofErr w:type="spellStart"/>
      <w:r w:rsidRPr="00DC6805">
        <w:t>analysed</w:t>
      </w:r>
      <w:proofErr w:type="spellEnd"/>
      <w:r w:rsidRPr="00DC6805">
        <w:t xml:space="preserve"> products were nutritionally satisfactory and market access remained limited (</w:t>
      </w:r>
      <w:proofErr w:type="spellStart"/>
      <w:r w:rsidRPr="00DC6805">
        <w:t>Dimaria</w:t>
      </w:r>
      <w:proofErr w:type="spellEnd"/>
      <w:r w:rsidRPr="00DC6805">
        <w:t xml:space="preserve"> et al., 2018). A later West African market assessment likewise found wide variation in the nutritional </w:t>
      </w:r>
      <w:r w:rsidRPr="00DC6805">
        <w:lastRenderedPageBreak/>
        <w:t xml:space="preserve">suitability of commercially produced complementary foods, with added sugar and excessive sodium contributing to poor classification in many products (Khosravi et al., 2023). These studies show that local production can improve affordability without guaranteeing nutritional quality, and that </w:t>
      </w:r>
      <w:proofErr w:type="spellStart"/>
      <w:r w:rsidRPr="00DC6805">
        <w:t>commercialisation</w:t>
      </w:r>
      <w:proofErr w:type="spellEnd"/>
      <w:r w:rsidRPr="00DC6805">
        <w:t xml:space="preserve"> can introduce reformulation pressures - including sweetness, shelf-life and convenience - that may move products away from optimal infant feeding.</w:t>
      </w:r>
    </w:p>
    <w:p w14:paraId="1EAB0000" w14:textId="77777777" w:rsidR="006929DF" w:rsidRPr="00DC6805" w:rsidRDefault="00000000">
      <w:r w:rsidRPr="00DC6805">
        <w:t>The strongest rationale for a local-seed strategy is consequently conditional. Burkina Faso possesses a repertoire of culturally familiar seed resources, processing knowledge and artisanal or semi-industrial production capacity. But value emerges only when formulation is engineered across several dimensions at once: enough dry matter to achieve nutrient density; suitable rheology for feeding; complementary protein and lipid sources; control of phytate and other antinutritional factors; targeted micronutrient fortification or nutrient-rich adjuncts where food ingredients cannot meet requirements; and contaminant prevention from procurement through storage and packaging. Treating these dimensions separately has produced useful studies. Treating them as a coupled system is the next requirement.</w:t>
      </w:r>
    </w:p>
    <w:p w14:paraId="212BC47D" w14:textId="77777777" w:rsidR="006929DF" w:rsidRPr="00DC6805" w:rsidRDefault="00000000">
      <w:pPr>
        <w:pStyle w:val="Heading1"/>
        <w:rPr>
          <w:color w:val="auto"/>
        </w:rPr>
      </w:pPr>
      <w:r w:rsidRPr="00DC6805">
        <w:rPr>
          <w:rFonts w:ascii="Times New Roman" w:hAnsi="Times New Roman"/>
          <w:color w:val="auto"/>
        </w:rPr>
        <w:t>4. Nutritional Potential of Priority Local Seed Resources</w:t>
      </w:r>
    </w:p>
    <w:p w14:paraId="271DA3A3" w14:textId="77777777" w:rsidR="006929DF" w:rsidRPr="00DC6805" w:rsidRDefault="00000000">
      <w:pPr>
        <w:pStyle w:val="Heading2"/>
        <w:rPr>
          <w:color w:val="auto"/>
        </w:rPr>
      </w:pPr>
      <w:r w:rsidRPr="00DC6805">
        <w:rPr>
          <w:rFonts w:ascii="Times New Roman" w:hAnsi="Times New Roman"/>
          <w:color w:val="auto"/>
        </w:rPr>
        <w:t>4.1 Cereal Seeds as Energy-Bearing Matrices: Pearl Millet, Sorghum and Maize</w:t>
      </w:r>
    </w:p>
    <w:p w14:paraId="371B6ED8" w14:textId="77777777" w:rsidR="006929DF" w:rsidRPr="00DC6805" w:rsidRDefault="00000000">
      <w:r w:rsidRPr="00DC6805">
        <w:t>Pearl millet occupies a special place in the Burkinabe evidence base because it is both a traditional staple and the substrate for some of the country's best-studied complementary gruels. The traditional ben-</w:t>
      </w:r>
      <w:proofErr w:type="spellStart"/>
      <w:r w:rsidRPr="00DC6805">
        <w:t>saalga</w:t>
      </w:r>
      <w:proofErr w:type="spellEnd"/>
      <w:r w:rsidRPr="00DC6805">
        <w:t xml:space="preserve"> process includes soaking, wet milling, sieving, settling/fermentation and cooking, and field observations show substantial heterogeneity across production units (Tou et al., 2006). Millet provides starch and contributes protein and minerals, but the infant-feeding value of the grain is strongly modified by fractionation and processing. Sieving or decortication can reduce </w:t>
      </w:r>
      <w:proofErr w:type="spellStart"/>
      <w:r w:rsidRPr="00DC6805">
        <w:t>fibre</w:t>
      </w:r>
      <w:proofErr w:type="spellEnd"/>
      <w:r w:rsidRPr="00DC6805">
        <w:t xml:space="preserve"> and some antinutritional compounds, yet nutrient-rich fractions can be lost at the same time. In the traditional gruels </w:t>
      </w:r>
      <w:proofErr w:type="spellStart"/>
      <w:r w:rsidRPr="00DC6805">
        <w:t>analysed</w:t>
      </w:r>
      <w:proofErr w:type="spellEnd"/>
      <w:r w:rsidRPr="00DC6805">
        <w:t xml:space="preserve"> by Mouquet-Rivier et al. (2008), the final food was not nutritionally equivalent to the starting grain because processing generated both benefits and losses.</w:t>
      </w:r>
    </w:p>
    <w:p w14:paraId="32782B03" w14:textId="77777777" w:rsidR="006929DF" w:rsidRPr="00DC6805" w:rsidRDefault="00000000">
      <w:r w:rsidRPr="00DC6805">
        <w:t>The attraction of pearl millet nevertheless extends beyond starch. Biofortified varieties can contain substantially higher iron and zinc than conventional local comparators. In Burkina Faso, Hama-Ba et al. (2019) showed that dishes prepared from locally produced biofortified pearl millet had potential to increase iron and zinc intake, but decortication reduced mineral content and phytate remained relevant to predicted absorption. Sensory testing also indicated that nutrient-rich varieties cannot be assumed to be preferred simply because they are nutritionally superior. This is emblematic of a broader formulation problem: breeding raises the nutrient ceiling of the raw material, whereas household or industrial processing determines how much of that advantage survives into the bowl.</w:t>
      </w:r>
    </w:p>
    <w:p w14:paraId="4716E410" w14:textId="77777777" w:rsidR="006929DF" w:rsidRPr="00DC6805" w:rsidRDefault="00000000">
      <w:r w:rsidRPr="00DC6805">
        <w:t xml:space="preserve">Sorghum provides a second locally important cereal matrix. It shares with millet the advantages of dry storage, familiarity and suitability for milling, but sorghum can also contain phenolic compounds and phytate that complicate mineral bioavailability. The precise burden varies by variety and grain fraction, making blanket statements about sorghum inappropriate. From a formulation standpoint, sorghum is best treated as an alternative starch-protein base whose suitability depends on variety selection and validated processing rather than on species identity alone. Codex guidance acknowledges that dehulling can reduce </w:t>
      </w:r>
      <w:proofErr w:type="spellStart"/>
      <w:r w:rsidRPr="00DC6805">
        <w:t>fibre</w:t>
      </w:r>
      <w:proofErr w:type="spellEnd"/>
      <w:r w:rsidRPr="00DC6805">
        <w:t xml:space="preserve"> and antinutritional factors in sorghum and millet, but also warns that processing should </w:t>
      </w:r>
      <w:proofErr w:type="spellStart"/>
      <w:r w:rsidRPr="00DC6805">
        <w:t>minimise</w:t>
      </w:r>
      <w:proofErr w:type="spellEnd"/>
      <w:r w:rsidRPr="00DC6805">
        <w:t xml:space="preserve"> nutritional losses (Codex Alimentarius Commission, 2013). This tension is particularly important for infant flour, where excessive </w:t>
      </w:r>
      <w:proofErr w:type="spellStart"/>
      <w:r w:rsidRPr="00DC6805">
        <w:t>fibre</w:t>
      </w:r>
      <w:proofErr w:type="spellEnd"/>
      <w:r w:rsidRPr="00DC6805">
        <w:t xml:space="preserve"> may limit energy density but over-refining can remove minerals and lipids.</w:t>
      </w:r>
    </w:p>
    <w:p w14:paraId="543808B6" w14:textId="77777777" w:rsidR="006929DF" w:rsidRPr="00DC6805" w:rsidRDefault="00000000">
      <w:r w:rsidRPr="00DC6805">
        <w:t xml:space="preserve">Maize is familiar, versatile and widely traded, and can function effectively in cereal-legume blends. Yet the safety evidence makes maize a high-scrutiny ingredient. Burkina and regional studies repeatedly identify maize </w:t>
      </w:r>
      <w:r w:rsidRPr="00DC6805">
        <w:lastRenderedPageBreak/>
        <w:t>among commodities vulnerable to aflatoxin contamination, and the risk cannot be separated from procurement and storage conditions (</w:t>
      </w:r>
      <w:proofErr w:type="spellStart"/>
      <w:r w:rsidRPr="00DC6805">
        <w:t>Bandé</w:t>
      </w:r>
      <w:proofErr w:type="spellEnd"/>
      <w:r w:rsidRPr="00DC6805">
        <w:t xml:space="preserve"> et al., 2022; Falade et al., 2022). Maize therefore illustrates a recurring principle in this review: nutritional suitability and supply-chain suitability are distinct. A maize lot that performs well in proximate composition or rheology is unsuitable for infant food if fungal contamination has occurred. Where maize is selected, raw-material grading and contaminant control must be treated as formulation prerequisites rather than as downstream quality checks.</w:t>
      </w:r>
    </w:p>
    <w:p w14:paraId="04B3123A" w14:textId="77777777" w:rsidR="006929DF" w:rsidRPr="00DC6805" w:rsidRDefault="00000000">
      <w:r w:rsidRPr="00DC6805">
        <w:t>Across the three cereals, the strongest evidence supports their use as structural and energy-bearing components, not as sole nutritional solutions. WHO guidance specifically cautions against over-reliance on starchy staples because they provide relatively poor density of several critical nutrients and can carry antinutritional factors (World Health Organization, 2023). This is consistent with Burkina field evidence: a thin, cereal-only porridge can be culturally appropriate yet nutritionally weak. The central cereal question is thus how to preserve familiarity and processing functionality while reducing viscosity per unit of dry matter and creating nutritional space for pulse, oilseed and micronutrient components.</w:t>
      </w:r>
    </w:p>
    <w:p w14:paraId="64CEE1F5" w14:textId="77777777" w:rsidR="006929DF" w:rsidRPr="00DC6805" w:rsidRDefault="00000000">
      <w:pPr>
        <w:pStyle w:val="Heading2"/>
        <w:rPr>
          <w:color w:val="auto"/>
        </w:rPr>
      </w:pPr>
      <w:r w:rsidRPr="00DC6805">
        <w:rPr>
          <w:rFonts w:ascii="Times New Roman" w:hAnsi="Times New Roman"/>
          <w:color w:val="auto"/>
        </w:rPr>
        <w:t>4.2 Pulses and Legumes: Cowpea, Soybean and Bambara Groundnut</w:t>
      </w:r>
    </w:p>
    <w:p w14:paraId="6FBF5841" w14:textId="77777777" w:rsidR="006929DF" w:rsidRPr="00DC6805" w:rsidRDefault="00000000">
      <w:r w:rsidRPr="00DC6805">
        <w:t>Cowpea (</w:t>
      </w:r>
      <w:r w:rsidRPr="00DC6805">
        <w:rPr>
          <w:i/>
        </w:rPr>
        <w:t>Vigna unguiculata</w:t>
      </w:r>
      <w:r w:rsidRPr="00DC6805">
        <w:t xml:space="preserve">) is agronomically and culturally important across West Africa and has a clear nutritional logic in cereal-based complementary foods. Its protein complements lysine-poor cereals, while the seed can contribute minerals and dietary </w:t>
      </w:r>
      <w:proofErr w:type="spellStart"/>
      <w:r w:rsidRPr="00DC6805">
        <w:t>fibre</w:t>
      </w:r>
      <w:proofErr w:type="spellEnd"/>
      <w:r w:rsidRPr="00DC6805">
        <w:t xml:space="preserve">. The limitation is that mineral content cannot be equated with mineral absorption because phytate and polyphenol interactions remain important in legume matrices (Gibson et al., 2010; Zhang et al., 2022). Cowpea therefore performs best conceptually as a protein-enrichment ingredient whose processing and proportion must be tuned to the cereal base. External clinical evidence from Malawi is relevant but not directly transferable: in a </w:t>
      </w:r>
      <w:proofErr w:type="spellStart"/>
      <w:r w:rsidRPr="00DC6805">
        <w:t>randomised</w:t>
      </w:r>
      <w:proofErr w:type="spellEnd"/>
      <w:r w:rsidRPr="00DC6805">
        <w:t xml:space="preserve"> trial, cowpea-containing complementary food reduced linear growth faltering relative to the study comparator, demonstrating that a legume intervention can affect child outcomes under controlled conditions (Stephenson et al., 2017). Differences in diet, formulation, infection burden and implementation mean that this result cannot be assumed for Burkina Faso without local trials.</w:t>
      </w:r>
    </w:p>
    <w:p w14:paraId="1AA9B72B" w14:textId="77777777" w:rsidR="006929DF" w:rsidRPr="00DC6805" w:rsidRDefault="00000000">
      <w:r w:rsidRPr="00DC6805">
        <w:t>Soybean (</w:t>
      </w:r>
      <w:r w:rsidRPr="00DC6805">
        <w:rPr>
          <w:i/>
        </w:rPr>
        <w:t>Glycine max</w:t>
      </w:r>
      <w:r w:rsidRPr="00DC6805">
        <w:t>) offers high protein and, in full-fat form, useful lipid. It is already used by Burkinabe infant-flour producers and in local formulation research (Bayala-</w:t>
      </w:r>
      <w:proofErr w:type="spellStart"/>
      <w:r w:rsidRPr="00DC6805">
        <w:t>Yaï</w:t>
      </w:r>
      <w:proofErr w:type="spellEnd"/>
      <w:r w:rsidRPr="00DC6805">
        <w:t xml:space="preserve"> et al., 2024; </w:t>
      </w:r>
      <w:proofErr w:type="spellStart"/>
      <w:r w:rsidRPr="00DC6805">
        <w:t>Songré</w:t>
      </w:r>
      <w:proofErr w:type="spellEnd"/>
      <w:r w:rsidRPr="00DC6805">
        <w:t>-Ouattara et al., 2010). Its principal technological challenge is the presence of heat-labile protease inhibitors and other antinutritional factors, which require adequate thermal processing. Contemporary review evidence confirms that soybean trypsin inhibitors can be inactivated by appropriately controlled heat and other processing approaches, although excessive heating can impair protein quality and sensory properties (Luo et al., 2025). Soybean also demonstrates why general claims about fermentation must be qualified. In a pearl millet-soybean slurry, selected lactic acid bacteria supported fermentation and starch hydrolysis, but phytate did not decline as expected, suggesting matrix-specific inhibition of phytate degradation (</w:t>
      </w:r>
      <w:proofErr w:type="spellStart"/>
      <w:r w:rsidRPr="00DC6805">
        <w:t>Songré</w:t>
      </w:r>
      <w:proofErr w:type="spellEnd"/>
      <w:r w:rsidRPr="00DC6805">
        <w:t>-Ouattara et al., 2010). In practical terms, soybean enriches protein but makes process validation more, not less, important.</w:t>
      </w:r>
    </w:p>
    <w:p w14:paraId="7BE4A257" w14:textId="77777777" w:rsidR="006929DF" w:rsidRPr="00DC6805" w:rsidRDefault="00000000">
      <w:r w:rsidRPr="00DC6805">
        <w:t>Bambara groundnut (</w:t>
      </w:r>
      <w:r w:rsidRPr="00DC6805">
        <w:rPr>
          <w:i/>
        </w:rPr>
        <w:t>Vigna subterranea</w:t>
      </w:r>
      <w:r w:rsidRPr="00DC6805">
        <w:t xml:space="preserve">) is an </w:t>
      </w:r>
      <w:proofErr w:type="spellStart"/>
      <w:r w:rsidRPr="00DC6805">
        <w:t>underutilised</w:t>
      </w:r>
      <w:proofErr w:type="spellEnd"/>
      <w:r w:rsidRPr="00DC6805">
        <w:t xml:space="preserve"> African pulse with attractive features for diversification. Reviews describe it as a source of complex carbohydrate, protein, lipid and minerals and highlight drought tolerance, low-input adaptation and potential value-chain opportunities (Tan et al., 2020). These properties are relevant to Burkina Faso, but the direct evidence for Bambara groundnut in Burkinabe complementary foods remains weak compared with millet, soybean and groundnut. </w:t>
      </w:r>
      <w:proofErr w:type="spellStart"/>
      <w:r w:rsidRPr="00DC6805">
        <w:t>Its</w:t>
      </w:r>
      <w:proofErr w:type="spellEnd"/>
      <w:r w:rsidRPr="00DC6805">
        <w:t xml:space="preserve"> hard-to-cook characteristics, antinutritional factors and variable sensory acceptance create processing burdens, and much of the infant-food evidence comes from other African settings. Bambara groundnut is therefore best classified as a promising candidate for future formulation research rather than as a validated cornerstone of current Burkinabe infant-flour practice.</w:t>
      </w:r>
    </w:p>
    <w:p w14:paraId="0D34ECE1" w14:textId="77777777" w:rsidR="006929DF" w:rsidRPr="00DC6805" w:rsidRDefault="00000000">
      <w:r w:rsidRPr="00DC6805">
        <w:lastRenderedPageBreak/>
        <w:t>The three legumes differ in evidentiary maturity. Cowpea has strong regional plausibility and external clinical evidence; soybean is already embedded in local formulations and has well-</w:t>
      </w:r>
      <w:proofErr w:type="spellStart"/>
      <w:r w:rsidRPr="00DC6805">
        <w:t>characterised</w:t>
      </w:r>
      <w:proofErr w:type="spellEnd"/>
      <w:r w:rsidRPr="00DC6805">
        <w:t xml:space="preserve"> processing requirements; Bambara groundnut has high strategic interest for diversification but limited Burkina-specific infant data. Treating them as a single category of "protein-rich local legumes" would mask these distinctions. Formula development should instead compare them under the same endpoints: amino acid quality after processing, viscosity at equal solids, phytate and protease-inhibitor reduction, sensory acceptance, cost per serving, storage stability and contaminant burden.</w:t>
      </w:r>
    </w:p>
    <w:p w14:paraId="42701E39" w14:textId="77777777" w:rsidR="006929DF" w:rsidRPr="00DC6805" w:rsidRDefault="00000000">
      <w:pPr>
        <w:pStyle w:val="Heading2"/>
        <w:rPr>
          <w:color w:val="auto"/>
        </w:rPr>
      </w:pPr>
      <w:r w:rsidRPr="00DC6805">
        <w:rPr>
          <w:rFonts w:ascii="Times New Roman" w:hAnsi="Times New Roman"/>
          <w:color w:val="auto"/>
        </w:rPr>
        <w:t>4.3 Oilseeds, Nuts and Fermented Seeds: Groundnut, Sesame and African Locust Bean</w:t>
      </w:r>
    </w:p>
    <w:p w14:paraId="62444A2B" w14:textId="77777777" w:rsidR="006929DF" w:rsidRPr="00DC6805" w:rsidRDefault="00000000">
      <w:r w:rsidRPr="00DC6805">
        <w:t>Groundnut or peanut (</w:t>
      </w:r>
      <w:r w:rsidRPr="00DC6805">
        <w:rPr>
          <w:i/>
        </w:rPr>
        <w:t>Arachis hypogaea</w:t>
      </w:r>
      <w:r w:rsidRPr="00DC6805">
        <w:t xml:space="preserve">) is one of the most powerful local ingredients for raising energy density because it adds lipid together with protein. It has already been incorporated into experimental millet gruels in Burkina Faso, including amylolytic fermentation work designed to achieve higher solids at </w:t>
      </w:r>
      <w:proofErr w:type="spellStart"/>
      <w:r w:rsidRPr="00DC6805">
        <w:t>spoonable</w:t>
      </w:r>
      <w:proofErr w:type="spellEnd"/>
      <w:r w:rsidRPr="00DC6805">
        <w:t xml:space="preserve"> consistency (</w:t>
      </w:r>
      <w:proofErr w:type="spellStart"/>
      <w:r w:rsidRPr="00DC6805">
        <w:t>Songré</w:t>
      </w:r>
      <w:proofErr w:type="spellEnd"/>
      <w:r w:rsidRPr="00DC6805">
        <w:t>-Ouattara et al., 2009). Groundnut can therefore solve two common problems at once: it increases nutrient density without relying solely on starch, and it improves the cereal's protein profile. Its major disadvantage is equally clear: groundnut is one of the most important aflatoxin-prone commodities in the region. Burkina Faso market data have documented high aflatoxin concentrations in peanuts, while infant-flour surveys show that contamination can carry through to finished products (</w:t>
      </w:r>
      <w:proofErr w:type="spellStart"/>
      <w:r w:rsidRPr="00DC6805">
        <w:t>Bandé</w:t>
      </w:r>
      <w:proofErr w:type="spellEnd"/>
      <w:r w:rsidRPr="00DC6805">
        <w:t xml:space="preserve"> et al., 2022; </w:t>
      </w:r>
      <w:proofErr w:type="spellStart"/>
      <w:r w:rsidRPr="00DC6805">
        <w:t>Waré</w:t>
      </w:r>
      <w:proofErr w:type="spellEnd"/>
      <w:r w:rsidRPr="00DC6805">
        <w:t xml:space="preserve"> et al., 2017). Groundnut is thus simultaneously one of the most valuable and one of the highest-risk local seed ingredients.</w:t>
      </w:r>
    </w:p>
    <w:p w14:paraId="70DE4F2D" w14:textId="77777777" w:rsidR="006929DF" w:rsidRPr="00DC6805" w:rsidRDefault="00000000">
      <w:r w:rsidRPr="00DC6805">
        <w:t>Sesame (</w:t>
      </w:r>
      <w:r w:rsidRPr="00DC6805">
        <w:rPr>
          <w:i/>
        </w:rPr>
        <w:t>Sesamum indicum</w:t>
      </w:r>
      <w:r w:rsidRPr="00DC6805">
        <w:t xml:space="preserve">) is another energy-dense oilseed and is </w:t>
      </w:r>
      <w:proofErr w:type="spellStart"/>
      <w:r w:rsidRPr="00DC6805">
        <w:t>recognised</w:t>
      </w:r>
      <w:proofErr w:type="spellEnd"/>
      <w:r w:rsidRPr="00DC6805">
        <w:t xml:space="preserve"> by Codex as suitable in ground or defatted form for formulated complementary foods when appropriately processed (Codex Alimentarius Commission, 2013). It is present in some Burkinabe flour formulations, but the direct local infant-feeding literature is much thinner than for groundnut. Sesame should therefore be considered a formulation option rather than a proven local intervention. Its practical advantages include lipid density and small seed size after milling; constraints include oxidation, contamination control and the need to deliver it in a finely ground form appropriate for young children. Because seed oils can </w:t>
      </w:r>
      <w:proofErr w:type="spellStart"/>
      <w:r w:rsidRPr="00DC6805">
        <w:t>oxidise</w:t>
      </w:r>
      <w:proofErr w:type="spellEnd"/>
      <w:r w:rsidRPr="00DC6805">
        <w:t xml:space="preserve"> during storage, packaging and shelf-life validation become part of nutritional quality, not merely commercial presentation.</w:t>
      </w:r>
    </w:p>
    <w:p w14:paraId="1B905F58" w14:textId="77777777" w:rsidR="006929DF" w:rsidRPr="00DC6805" w:rsidRDefault="00000000">
      <w:r w:rsidRPr="00DC6805">
        <w:t>Fermented African locust bean seed (</w:t>
      </w:r>
      <w:r w:rsidRPr="00DC6805">
        <w:rPr>
          <w:i/>
        </w:rPr>
        <w:t xml:space="preserve">Parkia </w:t>
      </w:r>
      <w:proofErr w:type="spellStart"/>
      <w:r w:rsidRPr="00DC6805">
        <w:rPr>
          <w:i/>
        </w:rPr>
        <w:t>biglobosa</w:t>
      </w:r>
      <w:proofErr w:type="spellEnd"/>
      <w:r w:rsidRPr="00DC6805">
        <w:t xml:space="preserve">), commonly consumed as soumbala, occupies a different functional niche. A systematic review of </w:t>
      </w:r>
      <w:r w:rsidRPr="00DC6805">
        <w:rPr>
          <w:i/>
        </w:rPr>
        <w:t xml:space="preserve">P. </w:t>
      </w:r>
      <w:proofErr w:type="spellStart"/>
      <w:r w:rsidRPr="00DC6805">
        <w:rPr>
          <w:i/>
        </w:rPr>
        <w:t>biglobosa</w:t>
      </w:r>
      <w:proofErr w:type="spellEnd"/>
      <w:r w:rsidRPr="00DC6805">
        <w:t xml:space="preserve"> products found substantial variability in the reported nutrient composition of raw and fermented seeds, while confirming that the seed can contribute protein, lipid and minerals (</w:t>
      </w:r>
      <w:proofErr w:type="spellStart"/>
      <w:r w:rsidRPr="00DC6805">
        <w:t>Termote</w:t>
      </w:r>
      <w:proofErr w:type="spellEnd"/>
      <w:r w:rsidRPr="00DC6805">
        <w:t xml:space="preserve"> et al., 2022). In Burkina Faso, soumbala appears in some low-cost complementary-food recipes as a small component rather than the main flour matrix. Its strongest prospective value may therefore be as a culturally familiar nutrient and </w:t>
      </w:r>
      <w:proofErr w:type="spellStart"/>
      <w:r w:rsidRPr="00DC6805">
        <w:t>flavour</w:t>
      </w:r>
      <w:proofErr w:type="spellEnd"/>
      <w:r w:rsidRPr="00DC6805">
        <w:t xml:space="preserve"> adjunct. The evidence does not justify treating soumbala as a substitute for targeted micronutrient fortification, and composition variability means that formulation software based on generic food-table values should be validated against actual locally produced material where possible.</w:t>
      </w:r>
    </w:p>
    <w:p w14:paraId="0CA67F53" w14:textId="77777777" w:rsidR="006929DF" w:rsidRPr="00DC6805" w:rsidRDefault="00000000">
      <w:r w:rsidRPr="00DC6805">
        <w:t>Oilseeds and fermented seeds also raise an age-appropriate presentation issue. WHO recommends frequent consumption of nuts and seeds within a diverse diet but requires forms that do not pose a choking risk (World Health Organization, 2023). For infant flour this generally means well-milled flour or smooth paste incorporated into a homogeneous porridge, rather than intact nuts or coarse particles. Safety therefore includes physical form as well as microbiological and chemical contamination.</w:t>
      </w:r>
    </w:p>
    <w:p w14:paraId="6A6F4A26" w14:textId="77777777" w:rsidR="006929DF" w:rsidRPr="00DC6805" w:rsidRDefault="00000000">
      <w:pPr>
        <w:pStyle w:val="Heading2"/>
        <w:rPr>
          <w:color w:val="auto"/>
        </w:rPr>
      </w:pPr>
      <w:r w:rsidRPr="00DC6805">
        <w:rPr>
          <w:rFonts w:ascii="Times New Roman" w:hAnsi="Times New Roman"/>
          <w:color w:val="auto"/>
        </w:rPr>
        <w:t>4.4 Matrix Complementarity Rather Than Single-Ingredient Optimism</w:t>
      </w:r>
    </w:p>
    <w:p w14:paraId="4A7C7A15" w14:textId="77777777" w:rsidR="006929DF" w:rsidRPr="00DC6805" w:rsidRDefault="00000000">
      <w:r w:rsidRPr="00DC6805">
        <w:t xml:space="preserve">The most defensible nutritional strategy is a matrix approach. Cereals provide an affordable starch framework; legumes raise protein quality and some micronutrients; oilseeds increase energy and essential fatty-acid density; and selected local adjuncts can improve </w:t>
      </w:r>
      <w:proofErr w:type="spellStart"/>
      <w:r w:rsidRPr="00DC6805">
        <w:t>flavour</w:t>
      </w:r>
      <w:proofErr w:type="spellEnd"/>
      <w:r w:rsidRPr="00DC6805">
        <w:t xml:space="preserve"> or nutrient content. This logic is visible in Burkina Faso household formulation work. Elysée et al. (2018) identified locally feasible blended recipes that combined </w:t>
      </w:r>
      <w:r w:rsidRPr="00DC6805">
        <w:lastRenderedPageBreak/>
        <w:t>cereals with beans or other protein sources, peanuts, soumbala and, in some cases, non-seed ingredients. The resulting dry flours achieved reasonable energy and protein densities, but micronutrient adequacy remained problematic, especially when evaluated against the high nutrient density required for breastfed infants. The lesson is not that local recipes fail, but that macronutrient success should not be mistaken for complete adequacy.</w:t>
      </w:r>
    </w:p>
    <w:p w14:paraId="24644F26" w14:textId="77777777" w:rsidR="006929DF" w:rsidRPr="00DC6805" w:rsidRDefault="00000000">
      <w:r w:rsidRPr="00DC6805">
        <w:t>The same distinction appears in community work on improved local-ingredient flour. Ouédraogo et al. (2009) showed that rural women could be trained to produce a flour yielding a high-energy mush with specified iron and zinc content, and the process remained reproducible over repeated follow-up. In a companion intervention, children consumed meaningful amounts of energy, iron and zinc from the product over six months (</w:t>
      </w:r>
      <w:proofErr w:type="spellStart"/>
      <w:r w:rsidRPr="00DC6805">
        <w:t>Ouèdraogo</w:t>
      </w:r>
      <w:proofErr w:type="spellEnd"/>
      <w:r w:rsidRPr="00DC6805">
        <w:t xml:space="preserve"> et al., 2009). Yet intake of a mineral is not identical to absorption, and food composition does not prove improvement in biochemical status. The subsequent </w:t>
      </w:r>
      <w:proofErr w:type="spellStart"/>
      <w:r w:rsidRPr="00DC6805">
        <w:t>randomised</w:t>
      </w:r>
      <w:proofErr w:type="spellEnd"/>
      <w:r w:rsidRPr="00DC6805">
        <w:t xml:space="preserve"> comparison of improved gruel with or without added selected micronutrients found </w:t>
      </w:r>
      <w:proofErr w:type="spellStart"/>
      <w:r w:rsidRPr="00DC6805">
        <w:t>haemoglobin</w:t>
      </w:r>
      <w:proofErr w:type="spellEnd"/>
      <w:r w:rsidRPr="00DC6805">
        <w:t xml:space="preserve"> improvement in both groups but no statistically significant between-group </w:t>
      </w:r>
      <w:proofErr w:type="spellStart"/>
      <w:r w:rsidRPr="00DC6805">
        <w:t>haemoglobin</w:t>
      </w:r>
      <w:proofErr w:type="spellEnd"/>
      <w:r w:rsidRPr="00DC6805">
        <w:t xml:space="preserve"> difference attributable to the micronutrient supplement under the trial conditions (Ouédraogo et al., 2010). This sequence of studies is especially valuable because it follows the translational chain from formulation to technology transfer, intake and clinical biomarker - and shows that each stage can produce a different answer.</w:t>
      </w:r>
    </w:p>
    <w:p w14:paraId="373D1E47" w14:textId="77777777" w:rsidR="006929DF" w:rsidRPr="00DC6805" w:rsidRDefault="00000000">
      <w:r w:rsidRPr="00DC6805">
        <w:t xml:space="preserve">The principal implications of these ingredient groups are </w:t>
      </w:r>
      <w:proofErr w:type="spellStart"/>
      <w:r w:rsidRPr="00DC6805">
        <w:t>summarised</w:t>
      </w:r>
      <w:proofErr w:type="spellEnd"/>
      <w:r w:rsidRPr="00DC6805">
        <w:t xml:space="preserve"> in Table 1. The table intentionally distinguishes likely formulation roles from evidence confidence. Ingredients with high theoretical nutrient value but limited infant-specific Burkina data are not ranked as equivalent to ingredients studied in local feeding or product-safety research.</w:t>
      </w:r>
    </w:p>
    <w:p w14:paraId="3EBF497C" w14:textId="77777777" w:rsidR="006929DF" w:rsidRPr="00DC6805" w:rsidRDefault="00000000">
      <w:pPr>
        <w:keepNext/>
        <w:spacing w:before="100" w:after="0"/>
      </w:pPr>
      <w:r w:rsidRPr="00DC6805">
        <w:rPr>
          <w:b/>
          <w:sz w:val="21"/>
        </w:rPr>
        <w:t>Table 1</w:t>
      </w:r>
    </w:p>
    <w:p w14:paraId="4B72DCA8" w14:textId="77777777" w:rsidR="006929DF" w:rsidRPr="00DC6805" w:rsidRDefault="00000000">
      <w:pPr>
        <w:keepNext/>
        <w:spacing w:after="100"/>
      </w:pPr>
      <w:r w:rsidRPr="00DC6805">
        <w:rPr>
          <w:i/>
          <w:sz w:val="21"/>
        </w:rPr>
        <w:t>Local seed resources for complementary-food formulation in Burkina Faso: strengths, constraints and evidence maturity</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7E039987" w14:textId="77777777">
        <w:trPr>
          <w:tblHeader/>
          <w:jc w:val="center"/>
        </w:trPr>
        <w:tc>
          <w:tcPr>
            <w:tcW w:w="1368" w:type="dxa"/>
            <w:shd w:val="clear" w:color="auto" w:fill="D9E2F3"/>
            <w:tcMar>
              <w:top w:w="90" w:type="dxa"/>
              <w:left w:w="80" w:type="dxa"/>
              <w:bottom w:w="90" w:type="dxa"/>
              <w:right w:w="80" w:type="dxa"/>
            </w:tcMar>
            <w:vAlign w:val="center"/>
          </w:tcPr>
          <w:p w14:paraId="1088053B" w14:textId="77777777" w:rsidR="006929DF" w:rsidRPr="00DC6805" w:rsidRDefault="00000000">
            <w:pPr>
              <w:spacing w:after="0" w:line="240" w:lineRule="auto"/>
              <w:jc w:val="center"/>
            </w:pPr>
            <w:r w:rsidRPr="00DC6805">
              <w:rPr>
                <w:b/>
                <w:sz w:val="16"/>
              </w:rPr>
              <w:t>Seed resource</w:t>
            </w:r>
          </w:p>
        </w:tc>
        <w:tc>
          <w:tcPr>
            <w:tcW w:w="1944" w:type="dxa"/>
            <w:shd w:val="clear" w:color="auto" w:fill="D9E2F3"/>
            <w:tcMar>
              <w:top w:w="90" w:type="dxa"/>
              <w:left w:w="80" w:type="dxa"/>
              <w:bottom w:w="90" w:type="dxa"/>
              <w:right w:w="80" w:type="dxa"/>
            </w:tcMar>
            <w:vAlign w:val="center"/>
          </w:tcPr>
          <w:p w14:paraId="4D3D6700" w14:textId="77777777" w:rsidR="006929DF" w:rsidRPr="00DC6805" w:rsidRDefault="00000000">
            <w:pPr>
              <w:spacing w:after="0" w:line="240" w:lineRule="auto"/>
              <w:jc w:val="center"/>
            </w:pPr>
            <w:r w:rsidRPr="00DC6805">
              <w:rPr>
                <w:b/>
                <w:sz w:val="16"/>
              </w:rPr>
              <w:t>Principal formulation value</w:t>
            </w:r>
          </w:p>
        </w:tc>
        <w:tc>
          <w:tcPr>
            <w:tcW w:w="1987" w:type="dxa"/>
            <w:shd w:val="clear" w:color="auto" w:fill="D9E2F3"/>
            <w:tcMar>
              <w:top w:w="90" w:type="dxa"/>
              <w:left w:w="80" w:type="dxa"/>
              <w:bottom w:w="90" w:type="dxa"/>
              <w:right w:w="80" w:type="dxa"/>
            </w:tcMar>
            <w:vAlign w:val="center"/>
          </w:tcPr>
          <w:p w14:paraId="47A5382D" w14:textId="77777777" w:rsidR="006929DF" w:rsidRPr="00DC6805" w:rsidRDefault="00000000">
            <w:pPr>
              <w:spacing w:after="0" w:line="240" w:lineRule="auto"/>
              <w:jc w:val="center"/>
            </w:pPr>
            <w:r w:rsidRPr="00DC6805">
              <w:rPr>
                <w:b/>
                <w:sz w:val="16"/>
              </w:rPr>
              <w:t>Main constraint</w:t>
            </w:r>
          </w:p>
        </w:tc>
        <w:tc>
          <w:tcPr>
            <w:tcW w:w="3096" w:type="dxa"/>
            <w:shd w:val="clear" w:color="auto" w:fill="D9E2F3"/>
            <w:tcMar>
              <w:top w:w="90" w:type="dxa"/>
              <w:left w:w="80" w:type="dxa"/>
              <w:bottom w:w="90" w:type="dxa"/>
              <w:right w:w="80" w:type="dxa"/>
            </w:tcMar>
            <w:vAlign w:val="center"/>
          </w:tcPr>
          <w:p w14:paraId="2868F3A3" w14:textId="77777777" w:rsidR="006929DF" w:rsidRPr="00DC6805" w:rsidRDefault="00000000">
            <w:pPr>
              <w:spacing w:after="0" w:line="240" w:lineRule="auto"/>
              <w:jc w:val="center"/>
            </w:pPr>
            <w:r w:rsidRPr="00DC6805">
              <w:rPr>
                <w:b/>
                <w:sz w:val="16"/>
              </w:rPr>
              <w:t>Evidence-weighted interpretation</w:t>
            </w:r>
          </w:p>
        </w:tc>
        <w:tc>
          <w:tcPr>
            <w:tcW w:w="1541" w:type="dxa"/>
            <w:shd w:val="clear" w:color="auto" w:fill="D9E2F3"/>
            <w:tcMar>
              <w:top w:w="90" w:type="dxa"/>
              <w:left w:w="80" w:type="dxa"/>
              <w:bottom w:w="90" w:type="dxa"/>
              <w:right w:w="80" w:type="dxa"/>
            </w:tcMar>
            <w:vAlign w:val="center"/>
          </w:tcPr>
          <w:p w14:paraId="5D576D29" w14:textId="77777777" w:rsidR="006929DF" w:rsidRPr="00DC6805" w:rsidRDefault="00000000">
            <w:pPr>
              <w:spacing w:after="0" w:line="240" w:lineRule="auto"/>
              <w:jc w:val="center"/>
            </w:pPr>
            <w:r w:rsidRPr="00DC6805">
              <w:rPr>
                <w:b/>
                <w:sz w:val="16"/>
              </w:rPr>
              <w:t>Supporting references</w:t>
            </w:r>
          </w:p>
        </w:tc>
      </w:tr>
      <w:tr w:rsidR="00DC6805" w:rsidRPr="00DC6805" w14:paraId="24A19C41" w14:textId="77777777">
        <w:trPr>
          <w:jc w:val="center"/>
        </w:trPr>
        <w:tc>
          <w:tcPr>
            <w:tcW w:w="1368" w:type="dxa"/>
            <w:tcMar>
              <w:top w:w="90" w:type="dxa"/>
              <w:left w:w="80" w:type="dxa"/>
              <w:bottom w:w="90" w:type="dxa"/>
              <w:right w:w="80" w:type="dxa"/>
            </w:tcMar>
            <w:vAlign w:val="center"/>
          </w:tcPr>
          <w:p w14:paraId="6B25D5DD" w14:textId="77777777" w:rsidR="006929DF" w:rsidRPr="00DC6805" w:rsidRDefault="00000000">
            <w:pPr>
              <w:spacing w:after="0" w:line="240" w:lineRule="auto"/>
              <w:jc w:val="left"/>
            </w:pPr>
            <w:r w:rsidRPr="00DC6805">
              <w:rPr>
                <w:sz w:val="16"/>
              </w:rPr>
              <w:t>Pearl millet</w:t>
            </w:r>
          </w:p>
        </w:tc>
        <w:tc>
          <w:tcPr>
            <w:tcW w:w="1944" w:type="dxa"/>
            <w:tcMar>
              <w:top w:w="90" w:type="dxa"/>
              <w:left w:w="80" w:type="dxa"/>
              <w:bottom w:w="90" w:type="dxa"/>
              <w:right w:w="80" w:type="dxa"/>
            </w:tcMar>
            <w:vAlign w:val="center"/>
          </w:tcPr>
          <w:p w14:paraId="258A6903" w14:textId="77777777" w:rsidR="006929DF" w:rsidRPr="00DC6805" w:rsidRDefault="00000000">
            <w:pPr>
              <w:spacing w:after="0" w:line="240" w:lineRule="auto"/>
              <w:jc w:val="left"/>
            </w:pPr>
            <w:r w:rsidRPr="00DC6805">
              <w:rPr>
                <w:sz w:val="16"/>
              </w:rPr>
              <w:t>Familiar cereal matrix; starch framework; locally studied fermentation; iron and zinc can be increased through biofortification.</w:t>
            </w:r>
          </w:p>
        </w:tc>
        <w:tc>
          <w:tcPr>
            <w:tcW w:w="1987" w:type="dxa"/>
            <w:tcMar>
              <w:top w:w="90" w:type="dxa"/>
              <w:left w:w="80" w:type="dxa"/>
              <w:bottom w:w="90" w:type="dxa"/>
              <w:right w:w="80" w:type="dxa"/>
            </w:tcMar>
            <w:vAlign w:val="center"/>
          </w:tcPr>
          <w:p w14:paraId="49EB56F4" w14:textId="77777777" w:rsidR="006929DF" w:rsidRPr="00DC6805" w:rsidRDefault="00000000">
            <w:pPr>
              <w:spacing w:after="0" w:line="240" w:lineRule="auto"/>
              <w:jc w:val="left"/>
            </w:pPr>
            <w:r w:rsidRPr="00DC6805">
              <w:rPr>
                <w:sz w:val="16"/>
              </w:rPr>
              <w:t>High viscosity at concentrated solids; phytate; nutrient losses during decortication, washing and sieving.</w:t>
            </w:r>
          </w:p>
        </w:tc>
        <w:tc>
          <w:tcPr>
            <w:tcW w:w="3096" w:type="dxa"/>
            <w:tcMar>
              <w:top w:w="90" w:type="dxa"/>
              <w:left w:w="80" w:type="dxa"/>
              <w:bottom w:w="90" w:type="dxa"/>
              <w:right w:w="80" w:type="dxa"/>
            </w:tcMar>
            <w:vAlign w:val="center"/>
          </w:tcPr>
          <w:p w14:paraId="6473B7B0" w14:textId="77777777" w:rsidR="006929DF" w:rsidRPr="00DC6805" w:rsidRDefault="00000000">
            <w:pPr>
              <w:spacing w:after="0" w:line="240" w:lineRule="auto"/>
              <w:jc w:val="left"/>
            </w:pPr>
            <w:r w:rsidRPr="00DC6805">
              <w:rPr>
                <w:sz w:val="16"/>
              </w:rPr>
              <w:t>Strongest Burkina-specific seed evidence. Best viewed as a platform that still requires protein/lipid enrichment and mineral-bioavailability design.</w:t>
            </w:r>
          </w:p>
        </w:tc>
        <w:tc>
          <w:tcPr>
            <w:tcW w:w="1541" w:type="dxa"/>
            <w:tcMar>
              <w:top w:w="90" w:type="dxa"/>
              <w:left w:w="80" w:type="dxa"/>
              <w:bottom w:w="90" w:type="dxa"/>
              <w:right w:w="80" w:type="dxa"/>
            </w:tcMar>
            <w:vAlign w:val="center"/>
          </w:tcPr>
          <w:p w14:paraId="465ACE1A" w14:textId="77777777" w:rsidR="006929DF" w:rsidRPr="00DC6805" w:rsidRDefault="00000000">
            <w:pPr>
              <w:spacing w:after="0" w:line="240" w:lineRule="auto"/>
              <w:jc w:val="left"/>
            </w:pPr>
            <w:r w:rsidRPr="00DC6805">
              <w:rPr>
                <w:sz w:val="16"/>
              </w:rPr>
              <w:t>(Mouquet-Rivier et al., 2008; Brnić et al., 2017; Hama-Ba et al., 2019)</w:t>
            </w:r>
          </w:p>
        </w:tc>
      </w:tr>
      <w:tr w:rsidR="00DC6805" w:rsidRPr="00DC6805" w14:paraId="7A5CBABC" w14:textId="77777777">
        <w:trPr>
          <w:jc w:val="center"/>
        </w:trPr>
        <w:tc>
          <w:tcPr>
            <w:tcW w:w="1368" w:type="dxa"/>
            <w:tcMar>
              <w:top w:w="90" w:type="dxa"/>
              <w:left w:w="80" w:type="dxa"/>
              <w:bottom w:w="90" w:type="dxa"/>
              <w:right w:w="80" w:type="dxa"/>
            </w:tcMar>
            <w:vAlign w:val="center"/>
          </w:tcPr>
          <w:p w14:paraId="66F43729" w14:textId="77777777" w:rsidR="006929DF" w:rsidRPr="00DC6805" w:rsidRDefault="00000000">
            <w:pPr>
              <w:spacing w:after="0" w:line="240" w:lineRule="auto"/>
              <w:jc w:val="left"/>
            </w:pPr>
            <w:r w:rsidRPr="00DC6805">
              <w:rPr>
                <w:sz w:val="16"/>
              </w:rPr>
              <w:t>Sorghum</w:t>
            </w:r>
          </w:p>
        </w:tc>
        <w:tc>
          <w:tcPr>
            <w:tcW w:w="1944" w:type="dxa"/>
            <w:tcMar>
              <w:top w:w="90" w:type="dxa"/>
              <w:left w:w="80" w:type="dxa"/>
              <w:bottom w:w="90" w:type="dxa"/>
              <w:right w:w="80" w:type="dxa"/>
            </w:tcMar>
            <w:vAlign w:val="center"/>
          </w:tcPr>
          <w:p w14:paraId="41F52006" w14:textId="77777777" w:rsidR="006929DF" w:rsidRPr="00DC6805" w:rsidRDefault="00000000">
            <w:pPr>
              <w:spacing w:after="0" w:line="240" w:lineRule="auto"/>
              <w:jc w:val="left"/>
            </w:pPr>
            <w:r w:rsidRPr="00DC6805">
              <w:rPr>
                <w:sz w:val="16"/>
              </w:rPr>
              <w:t>Locally relevant cereal base with good storage familiarity and potential for cereal diversification.</w:t>
            </w:r>
          </w:p>
        </w:tc>
        <w:tc>
          <w:tcPr>
            <w:tcW w:w="1987" w:type="dxa"/>
            <w:tcMar>
              <w:top w:w="90" w:type="dxa"/>
              <w:left w:w="80" w:type="dxa"/>
              <w:bottom w:w="90" w:type="dxa"/>
              <w:right w:w="80" w:type="dxa"/>
            </w:tcMar>
            <w:vAlign w:val="center"/>
          </w:tcPr>
          <w:p w14:paraId="73DA50E1" w14:textId="77777777" w:rsidR="006929DF" w:rsidRPr="00DC6805" w:rsidRDefault="00000000">
            <w:pPr>
              <w:spacing w:after="0" w:line="240" w:lineRule="auto"/>
              <w:jc w:val="left"/>
            </w:pPr>
            <w:r w:rsidRPr="00DC6805">
              <w:rPr>
                <w:sz w:val="16"/>
              </w:rPr>
              <w:t>Phytate and phenolic compounds can constrain mineral availability; direct infant-formulation outcome evidence in Burkina Faso is limited.</w:t>
            </w:r>
          </w:p>
        </w:tc>
        <w:tc>
          <w:tcPr>
            <w:tcW w:w="3096" w:type="dxa"/>
            <w:tcMar>
              <w:top w:w="90" w:type="dxa"/>
              <w:left w:w="80" w:type="dxa"/>
              <w:bottom w:w="90" w:type="dxa"/>
              <w:right w:w="80" w:type="dxa"/>
            </w:tcMar>
            <w:vAlign w:val="center"/>
          </w:tcPr>
          <w:p w14:paraId="195DCB9D" w14:textId="77777777" w:rsidR="006929DF" w:rsidRPr="00DC6805" w:rsidRDefault="00000000">
            <w:pPr>
              <w:spacing w:after="0" w:line="240" w:lineRule="auto"/>
              <w:jc w:val="left"/>
            </w:pPr>
            <w:r w:rsidRPr="00DC6805">
              <w:rPr>
                <w:sz w:val="16"/>
              </w:rPr>
              <w:t>Plausible alternative or co-cereal, but evidence is weaker than for pearl millet.</w:t>
            </w:r>
          </w:p>
        </w:tc>
        <w:tc>
          <w:tcPr>
            <w:tcW w:w="1541" w:type="dxa"/>
            <w:tcMar>
              <w:top w:w="90" w:type="dxa"/>
              <w:left w:w="80" w:type="dxa"/>
              <w:bottom w:w="90" w:type="dxa"/>
              <w:right w:w="80" w:type="dxa"/>
            </w:tcMar>
            <w:vAlign w:val="center"/>
          </w:tcPr>
          <w:p w14:paraId="3E5913E3" w14:textId="77777777" w:rsidR="006929DF" w:rsidRPr="00DC6805" w:rsidRDefault="00000000">
            <w:pPr>
              <w:spacing w:after="0" w:line="240" w:lineRule="auto"/>
              <w:jc w:val="left"/>
            </w:pPr>
            <w:r w:rsidRPr="00DC6805">
              <w:rPr>
                <w:sz w:val="16"/>
              </w:rPr>
              <w:t>(Bayala-</w:t>
            </w:r>
            <w:proofErr w:type="spellStart"/>
            <w:r w:rsidRPr="00DC6805">
              <w:rPr>
                <w:sz w:val="16"/>
              </w:rPr>
              <w:t>Yaï</w:t>
            </w:r>
            <w:proofErr w:type="spellEnd"/>
            <w:r w:rsidRPr="00DC6805">
              <w:rPr>
                <w:sz w:val="16"/>
              </w:rPr>
              <w:t xml:space="preserve"> et al., 2024; Codex Alimentarius Commission, 2013)</w:t>
            </w:r>
          </w:p>
        </w:tc>
      </w:tr>
      <w:tr w:rsidR="00DC6805" w:rsidRPr="00DC6805" w14:paraId="64EAAE74" w14:textId="77777777">
        <w:trPr>
          <w:jc w:val="center"/>
        </w:trPr>
        <w:tc>
          <w:tcPr>
            <w:tcW w:w="1368" w:type="dxa"/>
            <w:tcMar>
              <w:top w:w="90" w:type="dxa"/>
              <w:left w:w="80" w:type="dxa"/>
              <w:bottom w:w="90" w:type="dxa"/>
              <w:right w:w="80" w:type="dxa"/>
            </w:tcMar>
            <w:vAlign w:val="center"/>
          </w:tcPr>
          <w:p w14:paraId="5274C53E" w14:textId="77777777" w:rsidR="006929DF" w:rsidRPr="00DC6805" w:rsidRDefault="00000000">
            <w:pPr>
              <w:spacing w:after="0" w:line="240" w:lineRule="auto"/>
              <w:jc w:val="left"/>
            </w:pPr>
            <w:r w:rsidRPr="00DC6805">
              <w:rPr>
                <w:sz w:val="16"/>
              </w:rPr>
              <w:t>Maize</w:t>
            </w:r>
          </w:p>
        </w:tc>
        <w:tc>
          <w:tcPr>
            <w:tcW w:w="1944" w:type="dxa"/>
            <w:tcMar>
              <w:top w:w="90" w:type="dxa"/>
              <w:left w:w="80" w:type="dxa"/>
              <w:bottom w:w="90" w:type="dxa"/>
              <w:right w:w="80" w:type="dxa"/>
            </w:tcMar>
            <w:vAlign w:val="center"/>
          </w:tcPr>
          <w:p w14:paraId="64BFBA9B" w14:textId="77777777" w:rsidR="006929DF" w:rsidRPr="00DC6805" w:rsidRDefault="00000000">
            <w:pPr>
              <w:spacing w:after="0" w:line="240" w:lineRule="auto"/>
              <w:jc w:val="left"/>
            </w:pPr>
            <w:r w:rsidRPr="00DC6805">
              <w:rPr>
                <w:sz w:val="16"/>
              </w:rPr>
              <w:t>Widely used starch matrix; easy milling and blending.</w:t>
            </w:r>
          </w:p>
        </w:tc>
        <w:tc>
          <w:tcPr>
            <w:tcW w:w="1987" w:type="dxa"/>
            <w:tcMar>
              <w:top w:w="90" w:type="dxa"/>
              <w:left w:w="80" w:type="dxa"/>
              <w:bottom w:w="90" w:type="dxa"/>
              <w:right w:w="80" w:type="dxa"/>
            </w:tcMar>
            <w:vAlign w:val="center"/>
          </w:tcPr>
          <w:p w14:paraId="2A66B968" w14:textId="77777777" w:rsidR="006929DF" w:rsidRPr="00DC6805" w:rsidRDefault="00000000">
            <w:pPr>
              <w:spacing w:after="0" w:line="240" w:lineRule="auto"/>
              <w:jc w:val="left"/>
            </w:pPr>
            <w:r w:rsidRPr="00DC6805">
              <w:rPr>
                <w:sz w:val="16"/>
              </w:rPr>
              <w:t>Important aflatoxin risk; cereal-only formulations remain protein- and micronutrient-limited.</w:t>
            </w:r>
          </w:p>
        </w:tc>
        <w:tc>
          <w:tcPr>
            <w:tcW w:w="3096" w:type="dxa"/>
            <w:tcMar>
              <w:top w:w="90" w:type="dxa"/>
              <w:left w:w="80" w:type="dxa"/>
              <w:bottom w:w="90" w:type="dxa"/>
              <w:right w:w="80" w:type="dxa"/>
            </w:tcMar>
            <w:vAlign w:val="center"/>
          </w:tcPr>
          <w:p w14:paraId="41E3903D" w14:textId="77777777" w:rsidR="006929DF" w:rsidRPr="00DC6805" w:rsidRDefault="00000000">
            <w:pPr>
              <w:spacing w:after="0" w:line="240" w:lineRule="auto"/>
              <w:jc w:val="left"/>
            </w:pPr>
            <w:r w:rsidRPr="00DC6805">
              <w:rPr>
                <w:sz w:val="16"/>
              </w:rPr>
              <w:t>Useful only with high-priority mycotoxin control and deliberate enrichment.</w:t>
            </w:r>
          </w:p>
        </w:tc>
        <w:tc>
          <w:tcPr>
            <w:tcW w:w="1541" w:type="dxa"/>
            <w:tcMar>
              <w:top w:w="90" w:type="dxa"/>
              <w:left w:w="80" w:type="dxa"/>
              <w:bottom w:w="90" w:type="dxa"/>
              <w:right w:w="80" w:type="dxa"/>
            </w:tcMar>
            <w:vAlign w:val="center"/>
          </w:tcPr>
          <w:p w14:paraId="52215C9C" w14:textId="77777777" w:rsidR="006929DF" w:rsidRPr="00DC6805" w:rsidRDefault="00000000">
            <w:pPr>
              <w:spacing w:after="0" w:line="240" w:lineRule="auto"/>
              <w:jc w:val="left"/>
            </w:pPr>
            <w:r w:rsidRPr="00DC6805">
              <w:rPr>
                <w:sz w:val="16"/>
              </w:rPr>
              <w:t>(</w:t>
            </w:r>
            <w:proofErr w:type="spellStart"/>
            <w:r w:rsidRPr="00DC6805">
              <w:rPr>
                <w:sz w:val="16"/>
              </w:rPr>
              <w:t>Bandé</w:t>
            </w:r>
            <w:proofErr w:type="spellEnd"/>
            <w:r w:rsidRPr="00DC6805">
              <w:rPr>
                <w:sz w:val="16"/>
              </w:rPr>
              <w:t xml:space="preserve"> et al., 2022; Falade et al., 2022; Bayala-</w:t>
            </w:r>
            <w:proofErr w:type="spellStart"/>
            <w:r w:rsidRPr="00DC6805">
              <w:rPr>
                <w:sz w:val="16"/>
              </w:rPr>
              <w:t>Yaï</w:t>
            </w:r>
            <w:proofErr w:type="spellEnd"/>
            <w:r w:rsidRPr="00DC6805">
              <w:rPr>
                <w:sz w:val="16"/>
              </w:rPr>
              <w:t xml:space="preserve"> et al., 2024)</w:t>
            </w:r>
          </w:p>
        </w:tc>
      </w:tr>
      <w:tr w:rsidR="00DC6805" w:rsidRPr="00DC6805" w14:paraId="0AAE4B6A" w14:textId="77777777">
        <w:trPr>
          <w:jc w:val="center"/>
        </w:trPr>
        <w:tc>
          <w:tcPr>
            <w:tcW w:w="1368" w:type="dxa"/>
            <w:tcMar>
              <w:top w:w="90" w:type="dxa"/>
              <w:left w:w="80" w:type="dxa"/>
              <w:bottom w:w="90" w:type="dxa"/>
              <w:right w:w="80" w:type="dxa"/>
            </w:tcMar>
            <w:vAlign w:val="center"/>
          </w:tcPr>
          <w:p w14:paraId="1A33738E" w14:textId="77777777" w:rsidR="006929DF" w:rsidRPr="00DC6805" w:rsidRDefault="00000000">
            <w:pPr>
              <w:spacing w:after="0" w:line="240" w:lineRule="auto"/>
              <w:jc w:val="left"/>
            </w:pPr>
            <w:r w:rsidRPr="00DC6805">
              <w:rPr>
                <w:sz w:val="16"/>
              </w:rPr>
              <w:t>Cowpea (</w:t>
            </w:r>
            <w:r w:rsidRPr="00DC6805">
              <w:rPr>
                <w:i/>
                <w:sz w:val="16"/>
              </w:rPr>
              <w:t>Vigna unguiculata</w:t>
            </w:r>
            <w:r w:rsidRPr="00DC6805">
              <w:rPr>
                <w:sz w:val="16"/>
              </w:rPr>
              <w:t>)</w:t>
            </w:r>
          </w:p>
        </w:tc>
        <w:tc>
          <w:tcPr>
            <w:tcW w:w="1944" w:type="dxa"/>
            <w:tcMar>
              <w:top w:w="90" w:type="dxa"/>
              <w:left w:w="80" w:type="dxa"/>
              <w:bottom w:w="90" w:type="dxa"/>
              <w:right w:w="80" w:type="dxa"/>
            </w:tcMar>
            <w:vAlign w:val="center"/>
          </w:tcPr>
          <w:p w14:paraId="42E4D924" w14:textId="77777777" w:rsidR="006929DF" w:rsidRPr="00DC6805" w:rsidRDefault="00000000">
            <w:pPr>
              <w:spacing w:after="0" w:line="240" w:lineRule="auto"/>
              <w:jc w:val="left"/>
            </w:pPr>
            <w:r w:rsidRPr="00DC6805">
              <w:rPr>
                <w:sz w:val="16"/>
              </w:rPr>
              <w:t>Adds lysine-rich pulse protein and supports cereal-legume complementation.</w:t>
            </w:r>
          </w:p>
        </w:tc>
        <w:tc>
          <w:tcPr>
            <w:tcW w:w="1987" w:type="dxa"/>
            <w:tcMar>
              <w:top w:w="90" w:type="dxa"/>
              <w:left w:w="80" w:type="dxa"/>
              <w:bottom w:w="90" w:type="dxa"/>
              <w:right w:w="80" w:type="dxa"/>
            </w:tcMar>
            <w:vAlign w:val="center"/>
          </w:tcPr>
          <w:p w14:paraId="606B09A6" w14:textId="77777777" w:rsidR="006929DF" w:rsidRPr="00DC6805" w:rsidRDefault="00000000">
            <w:pPr>
              <w:spacing w:after="0" w:line="240" w:lineRule="auto"/>
              <w:jc w:val="left"/>
            </w:pPr>
            <w:r w:rsidRPr="00DC6805">
              <w:rPr>
                <w:sz w:val="16"/>
              </w:rPr>
              <w:t>Phytate, cooking time and sensory/texture effects; limited Burkina infant-outcome trials.</w:t>
            </w:r>
          </w:p>
        </w:tc>
        <w:tc>
          <w:tcPr>
            <w:tcW w:w="3096" w:type="dxa"/>
            <w:tcMar>
              <w:top w:w="90" w:type="dxa"/>
              <w:left w:w="80" w:type="dxa"/>
              <w:bottom w:w="90" w:type="dxa"/>
              <w:right w:w="80" w:type="dxa"/>
            </w:tcMar>
            <w:vAlign w:val="center"/>
          </w:tcPr>
          <w:p w14:paraId="055E21C4" w14:textId="77777777" w:rsidR="006929DF" w:rsidRPr="00DC6805" w:rsidRDefault="00000000">
            <w:pPr>
              <w:spacing w:after="0" w:line="240" w:lineRule="auto"/>
              <w:jc w:val="left"/>
            </w:pPr>
            <w:r w:rsidRPr="00DC6805">
              <w:rPr>
                <w:sz w:val="16"/>
              </w:rPr>
              <w:t>Promising local pulse; external African trial evidence supports plausibility but needs Burkina-specific validation.</w:t>
            </w:r>
          </w:p>
        </w:tc>
        <w:tc>
          <w:tcPr>
            <w:tcW w:w="1541" w:type="dxa"/>
            <w:tcMar>
              <w:top w:w="90" w:type="dxa"/>
              <w:left w:w="80" w:type="dxa"/>
              <w:bottom w:w="90" w:type="dxa"/>
              <w:right w:w="80" w:type="dxa"/>
            </w:tcMar>
            <w:vAlign w:val="center"/>
          </w:tcPr>
          <w:p w14:paraId="0742045E" w14:textId="77777777" w:rsidR="006929DF" w:rsidRPr="00DC6805" w:rsidRDefault="00000000">
            <w:pPr>
              <w:spacing w:after="0" w:line="240" w:lineRule="auto"/>
              <w:jc w:val="left"/>
            </w:pPr>
            <w:r w:rsidRPr="00DC6805">
              <w:rPr>
                <w:sz w:val="16"/>
              </w:rPr>
              <w:t>(Stephenson et al., 2017; Codex Alimentarius Commission, 2013)</w:t>
            </w:r>
          </w:p>
        </w:tc>
      </w:tr>
      <w:tr w:rsidR="00DC6805" w:rsidRPr="00DC6805" w14:paraId="43F3294A" w14:textId="77777777">
        <w:trPr>
          <w:jc w:val="center"/>
        </w:trPr>
        <w:tc>
          <w:tcPr>
            <w:tcW w:w="1368" w:type="dxa"/>
            <w:tcMar>
              <w:top w:w="90" w:type="dxa"/>
              <w:left w:w="80" w:type="dxa"/>
              <w:bottom w:w="90" w:type="dxa"/>
              <w:right w:w="80" w:type="dxa"/>
            </w:tcMar>
            <w:vAlign w:val="center"/>
          </w:tcPr>
          <w:p w14:paraId="5B8FDD00" w14:textId="77777777" w:rsidR="006929DF" w:rsidRPr="00DC6805" w:rsidRDefault="00000000">
            <w:pPr>
              <w:spacing w:after="0" w:line="240" w:lineRule="auto"/>
              <w:jc w:val="left"/>
            </w:pPr>
            <w:r w:rsidRPr="00DC6805">
              <w:rPr>
                <w:sz w:val="16"/>
              </w:rPr>
              <w:t>Soybean (</w:t>
            </w:r>
            <w:r w:rsidRPr="00DC6805">
              <w:rPr>
                <w:i/>
                <w:sz w:val="16"/>
              </w:rPr>
              <w:t>Glycine max</w:t>
            </w:r>
            <w:r w:rsidRPr="00DC6805">
              <w:rPr>
                <w:sz w:val="16"/>
              </w:rPr>
              <w:t>)</w:t>
            </w:r>
          </w:p>
        </w:tc>
        <w:tc>
          <w:tcPr>
            <w:tcW w:w="1944" w:type="dxa"/>
            <w:tcMar>
              <w:top w:w="90" w:type="dxa"/>
              <w:left w:w="80" w:type="dxa"/>
              <w:bottom w:w="90" w:type="dxa"/>
              <w:right w:w="80" w:type="dxa"/>
            </w:tcMar>
            <w:vAlign w:val="center"/>
          </w:tcPr>
          <w:p w14:paraId="391E2B62" w14:textId="77777777" w:rsidR="006929DF" w:rsidRPr="00DC6805" w:rsidRDefault="00000000">
            <w:pPr>
              <w:spacing w:after="0" w:line="240" w:lineRule="auto"/>
              <w:jc w:val="left"/>
            </w:pPr>
            <w:r w:rsidRPr="00DC6805">
              <w:rPr>
                <w:sz w:val="16"/>
              </w:rPr>
              <w:t>High protein; full-fat soy can also raise lipid and energy density; already used by local processors.</w:t>
            </w:r>
          </w:p>
        </w:tc>
        <w:tc>
          <w:tcPr>
            <w:tcW w:w="1987" w:type="dxa"/>
            <w:tcMar>
              <w:top w:w="90" w:type="dxa"/>
              <w:left w:w="80" w:type="dxa"/>
              <w:bottom w:w="90" w:type="dxa"/>
              <w:right w:w="80" w:type="dxa"/>
            </w:tcMar>
            <w:vAlign w:val="center"/>
          </w:tcPr>
          <w:p w14:paraId="55731508" w14:textId="77777777" w:rsidR="006929DF" w:rsidRPr="00DC6805" w:rsidRDefault="00000000">
            <w:pPr>
              <w:spacing w:after="0" w:line="240" w:lineRule="auto"/>
              <w:jc w:val="left"/>
            </w:pPr>
            <w:r w:rsidRPr="00DC6805">
              <w:rPr>
                <w:sz w:val="16"/>
              </w:rPr>
              <w:t>Trypsin inhibitors require validated heat treatment; fermentation does not reliably remove phytate in every matrix.</w:t>
            </w:r>
          </w:p>
        </w:tc>
        <w:tc>
          <w:tcPr>
            <w:tcW w:w="3096" w:type="dxa"/>
            <w:tcMar>
              <w:top w:w="90" w:type="dxa"/>
              <w:left w:w="80" w:type="dxa"/>
              <w:bottom w:w="90" w:type="dxa"/>
              <w:right w:w="80" w:type="dxa"/>
            </w:tcMar>
            <w:vAlign w:val="center"/>
          </w:tcPr>
          <w:p w14:paraId="3AFACA38" w14:textId="77777777" w:rsidR="006929DF" w:rsidRPr="00DC6805" w:rsidRDefault="00000000">
            <w:pPr>
              <w:spacing w:after="0" w:line="240" w:lineRule="auto"/>
              <w:jc w:val="left"/>
            </w:pPr>
            <w:r w:rsidRPr="00DC6805">
              <w:rPr>
                <w:sz w:val="16"/>
              </w:rPr>
              <w:t>A practical enrichment ingredient when heat treatment and recipe-specific process control are verified.</w:t>
            </w:r>
          </w:p>
        </w:tc>
        <w:tc>
          <w:tcPr>
            <w:tcW w:w="1541" w:type="dxa"/>
            <w:tcMar>
              <w:top w:w="90" w:type="dxa"/>
              <w:left w:w="80" w:type="dxa"/>
              <w:bottom w:w="90" w:type="dxa"/>
              <w:right w:w="80" w:type="dxa"/>
            </w:tcMar>
            <w:vAlign w:val="center"/>
          </w:tcPr>
          <w:p w14:paraId="422C98EA" w14:textId="77777777" w:rsidR="006929DF" w:rsidRPr="00DC6805" w:rsidRDefault="00000000">
            <w:pPr>
              <w:spacing w:after="0" w:line="240" w:lineRule="auto"/>
              <w:jc w:val="left"/>
            </w:pPr>
            <w:r w:rsidRPr="00DC6805">
              <w:rPr>
                <w:sz w:val="16"/>
              </w:rPr>
              <w:t>(</w:t>
            </w:r>
            <w:proofErr w:type="spellStart"/>
            <w:r w:rsidRPr="00DC6805">
              <w:rPr>
                <w:sz w:val="16"/>
              </w:rPr>
              <w:t>Songré</w:t>
            </w:r>
            <w:proofErr w:type="spellEnd"/>
            <w:r w:rsidRPr="00DC6805">
              <w:rPr>
                <w:sz w:val="16"/>
              </w:rPr>
              <w:t>-Ouattara et al., 2010; Bayala-</w:t>
            </w:r>
            <w:proofErr w:type="spellStart"/>
            <w:r w:rsidRPr="00DC6805">
              <w:rPr>
                <w:sz w:val="16"/>
              </w:rPr>
              <w:t>Yaï</w:t>
            </w:r>
            <w:proofErr w:type="spellEnd"/>
            <w:r w:rsidRPr="00DC6805">
              <w:rPr>
                <w:sz w:val="16"/>
              </w:rPr>
              <w:t xml:space="preserve"> et al., 2024; Luo et al., 2025)</w:t>
            </w:r>
          </w:p>
        </w:tc>
      </w:tr>
      <w:tr w:rsidR="00DC6805" w:rsidRPr="00DC6805" w14:paraId="17242081" w14:textId="77777777">
        <w:trPr>
          <w:jc w:val="center"/>
        </w:trPr>
        <w:tc>
          <w:tcPr>
            <w:tcW w:w="1368" w:type="dxa"/>
            <w:tcMar>
              <w:top w:w="90" w:type="dxa"/>
              <w:left w:w="80" w:type="dxa"/>
              <w:bottom w:w="90" w:type="dxa"/>
              <w:right w:w="80" w:type="dxa"/>
            </w:tcMar>
            <w:vAlign w:val="center"/>
          </w:tcPr>
          <w:p w14:paraId="6283E561" w14:textId="77777777" w:rsidR="006929DF" w:rsidRPr="00DC6805" w:rsidRDefault="00000000">
            <w:pPr>
              <w:spacing w:after="0" w:line="240" w:lineRule="auto"/>
              <w:jc w:val="left"/>
            </w:pPr>
            <w:r w:rsidRPr="00DC6805">
              <w:rPr>
                <w:sz w:val="16"/>
              </w:rPr>
              <w:t>Groundnut (</w:t>
            </w:r>
            <w:r w:rsidRPr="00DC6805">
              <w:rPr>
                <w:i/>
                <w:sz w:val="16"/>
              </w:rPr>
              <w:t xml:space="preserve">Arachis </w:t>
            </w:r>
            <w:r w:rsidRPr="00DC6805">
              <w:rPr>
                <w:i/>
                <w:sz w:val="16"/>
              </w:rPr>
              <w:lastRenderedPageBreak/>
              <w:t>hypogaea</w:t>
            </w:r>
            <w:r w:rsidRPr="00DC6805">
              <w:rPr>
                <w:sz w:val="16"/>
              </w:rPr>
              <w:t>)</w:t>
            </w:r>
          </w:p>
        </w:tc>
        <w:tc>
          <w:tcPr>
            <w:tcW w:w="1944" w:type="dxa"/>
            <w:tcMar>
              <w:top w:w="90" w:type="dxa"/>
              <w:left w:w="80" w:type="dxa"/>
              <w:bottom w:w="90" w:type="dxa"/>
              <w:right w:w="80" w:type="dxa"/>
            </w:tcMar>
            <w:vAlign w:val="center"/>
          </w:tcPr>
          <w:p w14:paraId="7903B0D9" w14:textId="77777777" w:rsidR="006929DF" w:rsidRPr="00DC6805" w:rsidRDefault="00000000">
            <w:pPr>
              <w:spacing w:after="0" w:line="240" w:lineRule="auto"/>
              <w:jc w:val="left"/>
            </w:pPr>
            <w:r w:rsidRPr="00DC6805">
              <w:rPr>
                <w:sz w:val="16"/>
              </w:rPr>
              <w:lastRenderedPageBreak/>
              <w:t xml:space="preserve">High energy density from lipid plus protein; useful in </w:t>
            </w:r>
            <w:r w:rsidRPr="00DC6805">
              <w:rPr>
                <w:sz w:val="16"/>
              </w:rPr>
              <w:lastRenderedPageBreak/>
              <w:t>millet-based high-solids gruels.</w:t>
            </w:r>
          </w:p>
        </w:tc>
        <w:tc>
          <w:tcPr>
            <w:tcW w:w="1987" w:type="dxa"/>
            <w:tcMar>
              <w:top w:w="90" w:type="dxa"/>
              <w:left w:w="80" w:type="dxa"/>
              <w:bottom w:w="90" w:type="dxa"/>
              <w:right w:w="80" w:type="dxa"/>
            </w:tcMar>
            <w:vAlign w:val="center"/>
          </w:tcPr>
          <w:p w14:paraId="1DA46347" w14:textId="77777777" w:rsidR="006929DF" w:rsidRPr="00DC6805" w:rsidRDefault="00000000">
            <w:pPr>
              <w:spacing w:after="0" w:line="240" w:lineRule="auto"/>
              <w:jc w:val="left"/>
            </w:pPr>
            <w:r w:rsidRPr="00DC6805">
              <w:rPr>
                <w:sz w:val="16"/>
              </w:rPr>
              <w:lastRenderedPageBreak/>
              <w:t xml:space="preserve">Aflatoxin is a major binding hazard; oxidation and </w:t>
            </w:r>
            <w:r w:rsidRPr="00DC6805">
              <w:rPr>
                <w:sz w:val="16"/>
              </w:rPr>
              <w:lastRenderedPageBreak/>
              <w:t>storage quality also matter.</w:t>
            </w:r>
          </w:p>
        </w:tc>
        <w:tc>
          <w:tcPr>
            <w:tcW w:w="3096" w:type="dxa"/>
            <w:tcMar>
              <w:top w:w="90" w:type="dxa"/>
              <w:left w:w="80" w:type="dxa"/>
              <w:bottom w:w="90" w:type="dxa"/>
              <w:right w:w="80" w:type="dxa"/>
            </w:tcMar>
            <w:vAlign w:val="center"/>
          </w:tcPr>
          <w:p w14:paraId="46816ABE" w14:textId="77777777" w:rsidR="006929DF" w:rsidRPr="00DC6805" w:rsidRDefault="00000000">
            <w:pPr>
              <w:spacing w:after="0" w:line="240" w:lineRule="auto"/>
              <w:jc w:val="left"/>
            </w:pPr>
            <w:r w:rsidRPr="00DC6805">
              <w:rPr>
                <w:sz w:val="16"/>
              </w:rPr>
              <w:lastRenderedPageBreak/>
              <w:t xml:space="preserve">Nutritionally powerful but among the highest-risk ingredients; safe procurement is </w:t>
            </w:r>
            <w:r w:rsidRPr="00DC6805">
              <w:rPr>
                <w:sz w:val="16"/>
              </w:rPr>
              <w:lastRenderedPageBreak/>
              <w:t>non-negotiable.</w:t>
            </w:r>
          </w:p>
        </w:tc>
        <w:tc>
          <w:tcPr>
            <w:tcW w:w="1541" w:type="dxa"/>
            <w:tcMar>
              <w:top w:w="90" w:type="dxa"/>
              <w:left w:w="80" w:type="dxa"/>
              <w:bottom w:w="90" w:type="dxa"/>
              <w:right w:w="80" w:type="dxa"/>
            </w:tcMar>
            <w:vAlign w:val="center"/>
          </w:tcPr>
          <w:p w14:paraId="6DE8CD98" w14:textId="77777777" w:rsidR="006929DF" w:rsidRPr="00DC6805" w:rsidRDefault="00000000">
            <w:pPr>
              <w:spacing w:after="0" w:line="240" w:lineRule="auto"/>
              <w:jc w:val="left"/>
            </w:pPr>
            <w:r w:rsidRPr="00DC6805">
              <w:rPr>
                <w:sz w:val="16"/>
              </w:rPr>
              <w:lastRenderedPageBreak/>
              <w:t>(</w:t>
            </w:r>
            <w:proofErr w:type="spellStart"/>
            <w:r w:rsidRPr="00DC6805">
              <w:rPr>
                <w:sz w:val="16"/>
              </w:rPr>
              <w:t>Songré</w:t>
            </w:r>
            <w:proofErr w:type="spellEnd"/>
            <w:r w:rsidRPr="00DC6805">
              <w:rPr>
                <w:sz w:val="16"/>
              </w:rPr>
              <w:t xml:space="preserve">-Ouattara et al., 2009; </w:t>
            </w:r>
            <w:proofErr w:type="spellStart"/>
            <w:r w:rsidRPr="00DC6805">
              <w:rPr>
                <w:sz w:val="16"/>
              </w:rPr>
              <w:t>Waré</w:t>
            </w:r>
            <w:proofErr w:type="spellEnd"/>
            <w:r w:rsidRPr="00DC6805">
              <w:rPr>
                <w:sz w:val="16"/>
              </w:rPr>
              <w:t xml:space="preserve"> et al., </w:t>
            </w:r>
            <w:r w:rsidRPr="00DC6805">
              <w:rPr>
                <w:sz w:val="16"/>
              </w:rPr>
              <w:lastRenderedPageBreak/>
              <w:t xml:space="preserve">2017; </w:t>
            </w:r>
            <w:proofErr w:type="spellStart"/>
            <w:r w:rsidRPr="00DC6805">
              <w:rPr>
                <w:sz w:val="16"/>
              </w:rPr>
              <w:t>Bandé</w:t>
            </w:r>
            <w:proofErr w:type="spellEnd"/>
            <w:r w:rsidRPr="00DC6805">
              <w:rPr>
                <w:sz w:val="16"/>
              </w:rPr>
              <w:t xml:space="preserve"> et al., 2022)</w:t>
            </w:r>
          </w:p>
        </w:tc>
      </w:tr>
      <w:tr w:rsidR="00DC6805" w:rsidRPr="00DC6805" w14:paraId="50F5FDF1" w14:textId="77777777">
        <w:trPr>
          <w:jc w:val="center"/>
        </w:trPr>
        <w:tc>
          <w:tcPr>
            <w:tcW w:w="1368" w:type="dxa"/>
            <w:tcMar>
              <w:top w:w="90" w:type="dxa"/>
              <w:left w:w="80" w:type="dxa"/>
              <w:bottom w:w="90" w:type="dxa"/>
              <w:right w:w="80" w:type="dxa"/>
            </w:tcMar>
            <w:vAlign w:val="center"/>
          </w:tcPr>
          <w:p w14:paraId="5FFFB813" w14:textId="77777777" w:rsidR="006929DF" w:rsidRPr="00DC6805" w:rsidRDefault="00000000">
            <w:pPr>
              <w:spacing w:after="0" w:line="240" w:lineRule="auto"/>
              <w:jc w:val="left"/>
            </w:pPr>
            <w:r w:rsidRPr="00DC6805">
              <w:rPr>
                <w:sz w:val="16"/>
              </w:rPr>
              <w:lastRenderedPageBreak/>
              <w:t>Bambara groundnut (</w:t>
            </w:r>
            <w:r w:rsidRPr="00DC6805">
              <w:rPr>
                <w:i/>
                <w:sz w:val="16"/>
              </w:rPr>
              <w:t>Vigna subterranea</w:t>
            </w:r>
            <w:r w:rsidRPr="00DC6805">
              <w:rPr>
                <w:sz w:val="16"/>
              </w:rPr>
              <w:t>)</w:t>
            </w:r>
          </w:p>
        </w:tc>
        <w:tc>
          <w:tcPr>
            <w:tcW w:w="1944" w:type="dxa"/>
            <w:tcMar>
              <w:top w:w="90" w:type="dxa"/>
              <w:left w:w="80" w:type="dxa"/>
              <w:bottom w:w="90" w:type="dxa"/>
              <w:right w:w="80" w:type="dxa"/>
            </w:tcMar>
            <w:vAlign w:val="center"/>
          </w:tcPr>
          <w:p w14:paraId="7045881E" w14:textId="77777777" w:rsidR="006929DF" w:rsidRPr="00DC6805" w:rsidRDefault="00000000">
            <w:pPr>
              <w:spacing w:after="0" w:line="240" w:lineRule="auto"/>
              <w:jc w:val="left"/>
            </w:pPr>
            <w:r w:rsidRPr="00DC6805">
              <w:rPr>
                <w:sz w:val="16"/>
              </w:rPr>
              <w:t>Protein, complex carbohydrate and minerals; drought tolerance creates food-system interest.</w:t>
            </w:r>
          </w:p>
        </w:tc>
        <w:tc>
          <w:tcPr>
            <w:tcW w:w="1987" w:type="dxa"/>
            <w:tcMar>
              <w:top w:w="90" w:type="dxa"/>
              <w:left w:w="80" w:type="dxa"/>
              <w:bottom w:w="90" w:type="dxa"/>
              <w:right w:w="80" w:type="dxa"/>
            </w:tcMar>
            <w:vAlign w:val="center"/>
          </w:tcPr>
          <w:p w14:paraId="3683D139" w14:textId="77777777" w:rsidR="006929DF" w:rsidRPr="00DC6805" w:rsidRDefault="00000000">
            <w:pPr>
              <w:spacing w:after="0" w:line="240" w:lineRule="auto"/>
              <w:jc w:val="left"/>
            </w:pPr>
            <w:r w:rsidRPr="00DC6805">
              <w:rPr>
                <w:sz w:val="16"/>
              </w:rPr>
              <w:t>Hard-to-cook traits, antinutritional factors and limited Burkina infant-specific evidence.</w:t>
            </w:r>
          </w:p>
        </w:tc>
        <w:tc>
          <w:tcPr>
            <w:tcW w:w="3096" w:type="dxa"/>
            <w:tcMar>
              <w:top w:w="90" w:type="dxa"/>
              <w:left w:w="80" w:type="dxa"/>
              <w:bottom w:w="90" w:type="dxa"/>
              <w:right w:w="80" w:type="dxa"/>
            </w:tcMar>
            <w:vAlign w:val="center"/>
          </w:tcPr>
          <w:p w14:paraId="79FE47F4" w14:textId="77777777" w:rsidR="006929DF" w:rsidRPr="00DC6805" w:rsidRDefault="00000000">
            <w:pPr>
              <w:spacing w:after="0" w:line="240" w:lineRule="auto"/>
              <w:jc w:val="left"/>
            </w:pPr>
            <w:r w:rsidRPr="00DC6805">
              <w:rPr>
                <w:sz w:val="16"/>
              </w:rPr>
              <w:t>Strategic research candidate rather than a currently validated cornerstone ingredient.</w:t>
            </w:r>
          </w:p>
        </w:tc>
        <w:tc>
          <w:tcPr>
            <w:tcW w:w="1541" w:type="dxa"/>
            <w:tcMar>
              <w:top w:w="90" w:type="dxa"/>
              <w:left w:w="80" w:type="dxa"/>
              <w:bottom w:w="90" w:type="dxa"/>
              <w:right w:w="80" w:type="dxa"/>
            </w:tcMar>
            <w:vAlign w:val="center"/>
          </w:tcPr>
          <w:p w14:paraId="2B1B4A16" w14:textId="77777777" w:rsidR="006929DF" w:rsidRPr="00DC6805" w:rsidRDefault="00000000">
            <w:pPr>
              <w:spacing w:after="0" w:line="240" w:lineRule="auto"/>
              <w:jc w:val="left"/>
            </w:pPr>
            <w:r w:rsidRPr="00DC6805">
              <w:rPr>
                <w:sz w:val="16"/>
              </w:rPr>
              <w:t>(Tan et al., 2020)</w:t>
            </w:r>
          </w:p>
        </w:tc>
      </w:tr>
      <w:tr w:rsidR="00DC6805" w:rsidRPr="00DC6805" w14:paraId="512CC7A8" w14:textId="77777777">
        <w:trPr>
          <w:jc w:val="center"/>
        </w:trPr>
        <w:tc>
          <w:tcPr>
            <w:tcW w:w="1368" w:type="dxa"/>
            <w:tcMar>
              <w:top w:w="90" w:type="dxa"/>
              <w:left w:w="80" w:type="dxa"/>
              <w:bottom w:w="90" w:type="dxa"/>
              <w:right w:w="80" w:type="dxa"/>
            </w:tcMar>
            <w:vAlign w:val="center"/>
          </w:tcPr>
          <w:p w14:paraId="081BD920" w14:textId="77777777" w:rsidR="006929DF" w:rsidRPr="00DC6805" w:rsidRDefault="00000000">
            <w:pPr>
              <w:spacing w:after="0" w:line="240" w:lineRule="auto"/>
              <w:jc w:val="left"/>
            </w:pPr>
            <w:r w:rsidRPr="00DC6805">
              <w:rPr>
                <w:sz w:val="16"/>
              </w:rPr>
              <w:t>Sesame (</w:t>
            </w:r>
            <w:r w:rsidRPr="00DC6805">
              <w:rPr>
                <w:i/>
                <w:sz w:val="16"/>
              </w:rPr>
              <w:t>Sesamum indicum</w:t>
            </w:r>
            <w:r w:rsidRPr="00DC6805">
              <w:rPr>
                <w:sz w:val="16"/>
              </w:rPr>
              <w:t xml:space="preserve">) and fermented </w:t>
            </w:r>
            <w:r w:rsidRPr="00DC6805">
              <w:rPr>
                <w:i/>
                <w:sz w:val="16"/>
              </w:rPr>
              <w:t xml:space="preserve">Parkia </w:t>
            </w:r>
            <w:proofErr w:type="spellStart"/>
            <w:r w:rsidRPr="00DC6805">
              <w:rPr>
                <w:i/>
                <w:sz w:val="16"/>
              </w:rPr>
              <w:t>biglobosa</w:t>
            </w:r>
            <w:proofErr w:type="spellEnd"/>
            <w:r w:rsidRPr="00DC6805">
              <w:rPr>
                <w:sz w:val="16"/>
              </w:rPr>
              <w:t xml:space="preserve"> seed</w:t>
            </w:r>
          </w:p>
        </w:tc>
        <w:tc>
          <w:tcPr>
            <w:tcW w:w="1944" w:type="dxa"/>
            <w:tcMar>
              <w:top w:w="90" w:type="dxa"/>
              <w:left w:w="80" w:type="dxa"/>
              <w:bottom w:w="90" w:type="dxa"/>
              <w:right w:w="80" w:type="dxa"/>
            </w:tcMar>
            <w:vAlign w:val="center"/>
          </w:tcPr>
          <w:p w14:paraId="2F655A8C" w14:textId="77777777" w:rsidR="006929DF" w:rsidRPr="00DC6805" w:rsidRDefault="00000000">
            <w:pPr>
              <w:spacing w:after="0" w:line="240" w:lineRule="auto"/>
              <w:jc w:val="left"/>
            </w:pPr>
            <w:r w:rsidRPr="00DC6805">
              <w:rPr>
                <w:sz w:val="16"/>
              </w:rPr>
              <w:t xml:space="preserve">Can add lipid, protein, </w:t>
            </w:r>
            <w:proofErr w:type="spellStart"/>
            <w:r w:rsidRPr="00DC6805">
              <w:rPr>
                <w:sz w:val="16"/>
              </w:rPr>
              <w:t>flavour</w:t>
            </w:r>
            <w:proofErr w:type="spellEnd"/>
            <w:r w:rsidRPr="00DC6805">
              <w:rPr>
                <w:sz w:val="16"/>
              </w:rPr>
              <w:t xml:space="preserve"> and dietary diversity in small proportions.</w:t>
            </w:r>
          </w:p>
        </w:tc>
        <w:tc>
          <w:tcPr>
            <w:tcW w:w="1987" w:type="dxa"/>
            <w:tcMar>
              <w:top w:w="90" w:type="dxa"/>
              <w:left w:w="80" w:type="dxa"/>
              <w:bottom w:w="90" w:type="dxa"/>
              <w:right w:w="80" w:type="dxa"/>
            </w:tcMar>
            <w:vAlign w:val="center"/>
          </w:tcPr>
          <w:p w14:paraId="5E4F6FFE" w14:textId="77777777" w:rsidR="006929DF" w:rsidRPr="00DC6805" w:rsidRDefault="00000000">
            <w:pPr>
              <w:spacing w:after="0" w:line="240" w:lineRule="auto"/>
              <w:jc w:val="left"/>
            </w:pPr>
            <w:r w:rsidRPr="00DC6805">
              <w:rPr>
                <w:sz w:val="16"/>
              </w:rPr>
              <w:t>Oxidative stability and contamination for oilseed; large compositional variability for fermented seed; sparse infant-specific Burkina evidence.</w:t>
            </w:r>
          </w:p>
        </w:tc>
        <w:tc>
          <w:tcPr>
            <w:tcW w:w="3096" w:type="dxa"/>
            <w:tcMar>
              <w:top w:w="90" w:type="dxa"/>
              <w:left w:w="80" w:type="dxa"/>
              <w:bottom w:w="90" w:type="dxa"/>
              <w:right w:w="80" w:type="dxa"/>
            </w:tcMar>
            <w:vAlign w:val="center"/>
          </w:tcPr>
          <w:p w14:paraId="288859E3" w14:textId="77777777" w:rsidR="006929DF" w:rsidRPr="00DC6805" w:rsidRDefault="00000000">
            <w:pPr>
              <w:spacing w:after="0" w:line="240" w:lineRule="auto"/>
              <w:jc w:val="left"/>
            </w:pPr>
            <w:r w:rsidRPr="00DC6805">
              <w:rPr>
                <w:sz w:val="16"/>
              </w:rPr>
              <w:t>Best considered adjuncts within validated formulations, not substitutes for targeted micronutrient strategies.</w:t>
            </w:r>
          </w:p>
        </w:tc>
        <w:tc>
          <w:tcPr>
            <w:tcW w:w="1541" w:type="dxa"/>
            <w:tcMar>
              <w:top w:w="90" w:type="dxa"/>
              <w:left w:w="80" w:type="dxa"/>
              <w:bottom w:w="90" w:type="dxa"/>
              <w:right w:w="80" w:type="dxa"/>
            </w:tcMar>
            <w:vAlign w:val="center"/>
          </w:tcPr>
          <w:p w14:paraId="11ED218D" w14:textId="77777777" w:rsidR="006929DF" w:rsidRPr="00DC6805" w:rsidRDefault="00000000">
            <w:pPr>
              <w:spacing w:after="0" w:line="240" w:lineRule="auto"/>
              <w:jc w:val="left"/>
            </w:pPr>
            <w:r w:rsidRPr="00DC6805">
              <w:rPr>
                <w:sz w:val="16"/>
              </w:rPr>
              <w:t xml:space="preserve">(Codex Alimentarius Commission, 2013; </w:t>
            </w:r>
            <w:proofErr w:type="spellStart"/>
            <w:r w:rsidRPr="00DC6805">
              <w:rPr>
                <w:sz w:val="16"/>
              </w:rPr>
              <w:t>Termote</w:t>
            </w:r>
            <w:proofErr w:type="spellEnd"/>
            <w:r w:rsidRPr="00DC6805">
              <w:rPr>
                <w:sz w:val="16"/>
              </w:rPr>
              <w:t xml:space="preserve"> et al., 2022)</w:t>
            </w:r>
          </w:p>
        </w:tc>
      </w:tr>
    </w:tbl>
    <w:p w14:paraId="3DF46308"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6387EC11" w14:textId="77777777" w:rsidR="006929DF" w:rsidRPr="00DC6805" w:rsidRDefault="00000000">
      <w:pPr>
        <w:pStyle w:val="Heading1"/>
        <w:rPr>
          <w:color w:val="auto"/>
        </w:rPr>
      </w:pPr>
      <w:r w:rsidRPr="00DC6805">
        <w:rPr>
          <w:rFonts w:ascii="Times New Roman" w:hAnsi="Times New Roman"/>
          <w:color w:val="auto"/>
        </w:rPr>
        <w:t>5. Formulation Performance: Nutrient Density, Viscosity, Bioavailability and Acceptability</w:t>
      </w:r>
    </w:p>
    <w:p w14:paraId="707830EC" w14:textId="77777777" w:rsidR="006929DF" w:rsidRPr="00DC6805" w:rsidRDefault="00000000">
      <w:r w:rsidRPr="00DC6805">
        <w:t xml:space="preserve">A complementary-food formulation cannot be judged reliably from proximate composition alone. The relevant sequence is more demanding: a dry blend must retain nutrients through processing and storage, disperse into a safe and palatable food, provide sufficiently high energy and nutrient density at a viscosity that an infant can consume, deliver minerals in absorbable forms, and be eaten in adequate quantities without displacing breastfeeding or other nutrient-rich foods. Evidence from Burkina Faso is unusually informative on several links in this sequence, but no single study covers the whole chain. Representative local studies are most informative when classified by the outcome they actually measured rather than when all </w:t>
      </w:r>
      <w:proofErr w:type="spellStart"/>
      <w:r w:rsidRPr="00DC6805">
        <w:t>favourable</w:t>
      </w:r>
      <w:proofErr w:type="spellEnd"/>
      <w:r w:rsidRPr="00DC6805">
        <w:t xml:space="preserve"> findings are treated as equivalent evidence of nutritional benefit.</w:t>
      </w:r>
    </w:p>
    <w:p w14:paraId="4DF9CB63" w14:textId="77777777" w:rsidR="006929DF" w:rsidRPr="00DC6805" w:rsidRDefault="00000000">
      <w:pPr>
        <w:pStyle w:val="Heading2"/>
        <w:rPr>
          <w:color w:val="auto"/>
        </w:rPr>
      </w:pPr>
      <w:r w:rsidRPr="00DC6805">
        <w:rPr>
          <w:rFonts w:ascii="Times New Roman" w:hAnsi="Times New Roman"/>
          <w:color w:val="auto"/>
        </w:rPr>
        <w:t>5.1 Energy Density and the Viscosity Constraint</w:t>
      </w:r>
    </w:p>
    <w:p w14:paraId="02FC8656" w14:textId="77777777" w:rsidR="006929DF" w:rsidRPr="00DC6805" w:rsidRDefault="00000000">
      <w:r w:rsidRPr="00DC6805">
        <w:t>Traditional cereal porridges commonly present a physical contradiction: increasing flour concentration raises energy and nutrient density but rapidly increases viscosity, while dilution makes the porridge easier to swallow but lowers the amount of energy and nutrients delivered per spoonful. This problem is particularly important in late infancy because gastric capacity is limited and feeding episodes compete with breastfeeding. The low dry-matter content documented in traditional fermented pearl millet gruels in Burkina Faso helps explain why apparently regular porridge feeding can still provide insufficient energy and micronutrients (Mouquet-Rivier et al., 2008).</w:t>
      </w:r>
    </w:p>
    <w:p w14:paraId="2CBA3DE7" w14:textId="77777777" w:rsidR="006929DF" w:rsidRPr="00DC6805" w:rsidRDefault="00000000">
      <w:r w:rsidRPr="00DC6805">
        <w:t xml:space="preserve">Local research has demonstrated technically credible routes around this constraint. Amylolytic lactic acid bacteria can </w:t>
      </w:r>
      <w:proofErr w:type="spellStart"/>
      <w:r w:rsidRPr="00DC6805">
        <w:t>hydrolyse</w:t>
      </w:r>
      <w:proofErr w:type="spellEnd"/>
      <w:r w:rsidRPr="00DC6805">
        <w:t xml:space="preserve"> starch during fermentation and lower viscosity, permitting more cereal solids to be incorporated without producing an unacceptably thick porridge. In a millet-groundnut system, selected amylolytic cultures were able to replace or complement malt-mediated liquefaction and produce a high-energy gruel at manageable consistency (</w:t>
      </w:r>
      <w:proofErr w:type="spellStart"/>
      <w:r w:rsidRPr="00DC6805">
        <w:t>Songré</w:t>
      </w:r>
      <w:proofErr w:type="spellEnd"/>
      <w:r w:rsidRPr="00DC6805">
        <w:t>-Ouattara et al., 2009). Similar work with a pearl millet-soybean slurry showed that starter choice can substantially alter fermentation kinetics and rheological performance (</w:t>
      </w:r>
      <w:proofErr w:type="spellStart"/>
      <w:r w:rsidRPr="00DC6805">
        <w:t>Songré</w:t>
      </w:r>
      <w:proofErr w:type="spellEnd"/>
      <w:r w:rsidRPr="00DC6805">
        <w:t>-Ouattara et al., 2010). These studies establish technological feasibility, but they do not by themselves demonstrate routine reproducibility in small production units, caregiver acceptance across communities, or improved growth.</w:t>
      </w:r>
    </w:p>
    <w:p w14:paraId="7FE58448" w14:textId="77777777" w:rsidR="006929DF" w:rsidRPr="00DC6805" w:rsidRDefault="00000000">
      <w:r w:rsidRPr="00DC6805">
        <w:t xml:space="preserve">The feeding study by Mouquet-Rivier et al. (2016) addresses the next link. Among a small group of young Burkinabe children, an instant flour designed to provide higher energy density increased energy intake relative to a traditional-style porridge; encouraging feeding </w:t>
      </w:r>
      <w:proofErr w:type="spellStart"/>
      <w:r w:rsidRPr="00DC6805">
        <w:t>behaviour</w:t>
      </w:r>
      <w:proofErr w:type="spellEnd"/>
      <w:r w:rsidRPr="00DC6805">
        <w:t xml:space="preserve"> further increased intake among older toddlers. </w:t>
      </w:r>
      <w:r w:rsidRPr="00DC6805">
        <w:lastRenderedPageBreak/>
        <w:t xml:space="preserve">The study supports the practical relevance of energy density and caregiver interaction, but its short repeated-feeding design and small sample preclude inference about sustained anthropometric effects. It also illustrates why product </w:t>
      </w:r>
      <w:proofErr w:type="spellStart"/>
      <w:r w:rsidRPr="00DC6805">
        <w:t>optimisation</w:t>
      </w:r>
      <w:proofErr w:type="spellEnd"/>
      <w:r w:rsidRPr="00DC6805">
        <w:t xml:space="preserve"> cannot be separated from feeding practice. A nutritionally dense flour that is offered infrequently, prepared too thinly, or fed without responsive attention may fail to deliver the intended exposure.</w:t>
      </w:r>
    </w:p>
    <w:p w14:paraId="2310CC4C" w14:textId="77777777" w:rsidR="006929DF" w:rsidRPr="00DC6805" w:rsidRDefault="00000000">
      <w:pPr>
        <w:pStyle w:val="Heading2"/>
        <w:rPr>
          <w:color w:val="auto"/>
        </w:rPr>
      </w:pPr>
      <w:r w:rsidRPr="00DC6805">
        <w:rPr>
          <w:rFonts w:ascii="Times New Roman" w:hAnsi="Times New Roman"/>
          <w:color w:val="auto"/>
        </w:rPr>
        <w:t>5.2 Mineral Density Is Not Mineral Bioavailability</w:t>
      </w:r>
    </w:p>
    <w:p w14:paraId="567A491D" w14:textId="77777777" w:rsidR="006929DF" w:rsidRPr="00DC6805" w:rsidRDefault="00000000">
      <w:r w:rsidRPr="00DC6805">
        <w:t>Iron and zinc are among the most difficult nutrients to secure in predominantly plant-based complementary diets. Cereals and legumes may contain measurable quantities of both minerals, yet phytate forms poorly soluble complexes and can markedly constrain absorption (Gibson et al., 2006; Gibson et al., 2010; Hurrell, 2004). The magnitude of this effect depends on the total meal matrix, phytate concentration, mineral dose, enhancers, processing history and the physiological status of the child. Consequently, nutrient-composition tables should be treated as a starting point for formulation rather than a surrogate for biological delivery.</w:t>
      </w:r>
    </w:p>
    <w:p w14:paraId="2C53BEA5" w14:textId="77777777" w:rsidR="006929DF" w:rsidRPr="00DC6805" w:rsidRDefault="00000000">
      <w:r w:rsidRPr="00DC6805">
        <w:t>The strongest Burkina Faso evidence for this distinction comes from the stable-isotope study by Brnić et al. (2017). Young children consumed a millet-based porridge with or without phytase treatment. Fractional zinc absorption rose from approximately 9.5% in the control porridge to 16.0% after phytase treatment. This acute crossover experiment provides direct mechanistic evidence that reducing phytate can improve zinc absorption from a locally relevant cereal matrix. Its strength lies in the physiological endpoint and within-child comparison; its limitation is that a single-meal absorption response does not establish improved zinc status, morbidity or growth over months.</w:t>
      </w:r>
    </w:p>
    <w:p w14:paraId="23C58301" w14:textId="77777777" w:rsidR="006929DF" w:rsidRPr="00DC6805" w:rsidRDefault="00000000">
      <w:r w:rsidRPr="00DC6805">
        <w:t xml:space="preserve">Evidence from </w:t>
      </w:r>
      <w:proofErr w:type="spellStart"/>
      <w:r w:rsidRPr="00DC6805">
        <w:t>neighbouring</w:t>
      </w:r>
      <w:proofErr w:type="spellEnd"/>
      <w:r w:rsidRPr="00DC6805">
        <w:t xml:space="preserve"> West Africa reinforces the matrix-specific nature of mineral enhancement. </w:t>
      </w:r>
      <w:proofErr w:type="spellStart"/>
      <w:r w:rsidRPr="00DC6805">
        <w:t>Cercamondi</w:t>
      </w:r>
      <w:proofErr w:type="spellEnd"/>
      <w:r w:rsidRPr="00DC6805">
        <w:t xml:space="preserve"> et al. (2013) showed in Beninese children that phytase and ascorbic acid could increase iron absorption from a millet porridge containing a lipid-based </w:t>
      </w:r>
      <w:proofErr w:type="spellStart"/>
      <w:r w:rsidRPr="00DC6805">
        <w:t>fortificant</w:t>
      </w:r>
      <w:proofErr w:type="spellEnd"/>
      <w:r w:rsidRPr="00DC6805">
        <w:t xml:space="preserve">. Such findings support the principle of combining phytate reduction with absorption enhancers, but they should not be transferred mechanically to every Burkina formulation because ingredient proportions and </w:t>
      </w:r>
      <w:proofErr w:type="spellStart"/>
      <w:r w:rsidRPr="00DC6805">
        <w:t>fortificant</w:t>
      </w:r>
      <w:proofErr w:type="spellEnd"/>
      <w:r w:rsidRPr="00DC6805">
        <w:t xml:space="preserve"> chemistry differ. Longer-term evidence also tempers simplistic assumptions. In Swedish infants, lowering phytate in weaning cereals did not automatically translate into large improvements in iron and zinc status (Lind et al., 2003). The broader evidence therefore supports phytate reduction as a useful enabling intervention, not a guarantee of clinical micronutrient benefit.</w:t>
      </w:r>
    </w:p>
    <w:p w14:paraId="6B3F86A4" w14:textId="77777777" w:rsidR="006929DF" w:rsidRPr="00DC6805" w:rsidRDefault="00000000">
      <w:r w:rsidRPr="00DC6805">
        <w:t>Biofortified pearl millet offers another strategy by increasing the mineral concentration of the raw grain before formulation. Hama-Ba et al. (2019) found higher iron and zinc concentrations in dishes prepared from biofortified varieties, but processing losses and residual phytate remained important. The study highlights a recurring formulation principle: raising the numerator in a nutrient-density calculation is valuable only if subsequent processing, sensory acceptance and bioavailability preserve enough of that advantage. Biofortification and food processing should therefore be designed as complementary rather than competing interventions.</w:t>
      </w:r>
    </w:p>
    <w:p w14:paraId="7F1D3424" w14:textId="77777777" w:rsidR="006929DF" w:rsidRPr="00DC6805" w:rsidRDefault="00000000">
      <w:pPr>
        <w:pStyle w:val="Heading2"/>
        <w:rPr>
          <w:color w:val="auto"/>
        </w:rPr>
      </w:pPr>
      <w:r w:rsidRPr="00DC6805">
        <w:rPr>
          <w:rFonts w:ascii="Times New Roman" w:hAnsi="Times New Roman"/>
          <w:color w:val="auto"/>
        </w:rPr>
        <w:t>5.3 Protein Quality, Lipid Density and the Limits of Macronutrient Adequacy</w:t>
      </w:r>
    </w:p>
    <w:p w14:paraId="1E663EF1" w14:textId="77777777" w:rsidR="006929DF" w:rsidRPr="00DC6805" w:rsidRDefault="00000000">
      <w:r w:rsidRPr="00DC6805">
        <w:t xml:space="preserve">Cereal-legume complementation can improve amino-acid balance because legumes supply relatively more lysine than cereals, while cereals generally contribute more </w:t>
      </w:r>
      <w:proofErr w:type="spellStart"/>
      <w:r w:rsidRPr="00DC6805">
        <w:t>sulphur</w:t>
      </w:r>
      <w:proofErr w:type="spellEnd"/>
      <w:r w:rsidRPr="00DC6805">
        <w:t>-containing amino acids. Soybean, cowpea and groundnut also increase protein concentration, and groundnut or sesame can raise lipid-derived energy density. This is nutritionally attractive where animal-source foods are infrequently consumed, a pattern observed in several Burkina Faso complementary-feeding surveys (</w:t>
      </w:r>
      <w:proofErr w:type="spellStart"/>
      <w:r w:rsidRPr="00DC6805">
        <w:t>Nikièma</w:t>
      </w:r>
      <w:proofErr w:type="spellEnd"/>
      <w:r w:rsidRPr="00DC6805">
        <w:t xml:space="preserve"> et al., 2021; </w:t>
      </w:r>
      <w:proofErr w:type="spellStart"/>
      <w:r w:rsidRPr="00DC6805">
        <w:t>Sarrassat</w:t>
      </w:r>
      <w:proofErr w:type="spellEnd"/>
      <w:r w:rsidRPr="00DC6805">
        <w:t xml:space="preserve"> et al., 2019). Yet the formulation objective is not simply to </w:t>
      </w:r>
      <w:proofErr w:type="spellStart"/>
      <w:r w:rsidRPr="00DC6805">
        <w:t>maximise</w:t>
      </w:r>
      <w:proofErr w:type="spellEnd"/>
      <w:r w:rsidRPr="00DC6805">
        <w:t xml:space="preserve"> protein. Excessive reliance on a single plant protein may increase phytate or antinutritional-factor exposure, and adding oilseeds can introduce oxidation and mycotoxin risks.</w:t>
      </w:r>
    </w:p>
    <w:p w14:paraId="538972C0" w14:textId="77777777" w:rsidR="006929DF" w:rsidRPr="00DC6805" w:rsidRDefault="00000000">
      <w:r w:rsidRPr="00DC6805">
        <w:lastRenderedPageBreak/>
        <w:t xml:space="preserve">External intervention evidence suggests that locally acceptable legumes can contribute to better growth when the overall feeding </w:t>
      </w:r>
      <w:proofErr w:type="spellStart"/>
      <w:r w:rsidRPr="00DC6805">
        <w:t>programme</w:t>
      </w:r>
      <w:proofErr w:type="spellEnd"/>
      <w:r w:rsidRPr="00DC6805">
        <w:t xml:space="preserve"> is adequate. In rural Malawi, complementary feeding with cowpea reduced growth faltering relative to a comparison regimen in a </w:t>
      </w:r>
      <w:proofErr w:type="spellStart"/>
      <w:r w:rsidRPr="00DC6805">
        <w:t>randomised</w:t>
      </w:r>
      <w:proofErr w:type="spellEnd"/>
      <w:r w:rsidRPr="00DC6805">
        <w:t xml:space="preserve"> trial (Stephenson et al., 2017). This supports the biological plausibility of pulse-based complementary foods but is not direct evidence that a Burkinabe cowpea formulation will produce the same effect. Varieties, habitual diets, infection burdens, preparation methods and background micronutrient exposure differ. Burkina Faso needs outcome trials that test locally sourced pulses within locally used cereal matrices rather than extrapolating efficacy from another setting.</w:t>
      </w:r>
    </w:p>
    <w:p w14:paraId="5B04095D" w14:textId="77777777" w:rsidR="006929DF" w:rsidRPr="00DC6805" w:rsidRDefault="00000000">
      <w:r w:rsidRPr="00DC6805">
        <w:t>Macronutrient adequacy also does not eliminate the need for micronutrient design. Low-cost Burkinabe recipe modelling found that feasible local blends could provide useful energy and protein but still left important micronutrient gaps (Elysée et al., 2018). The appropriate conclusion is not that local seed-based complementary foods are nutritionally inadequate by definition, but that their strongest role may be as a robust food matrix onto which targeted micronutrient strategies are layered. Depending on the recipe, this can include biofortified grain, vitamin-rich non-seed foods, appropriately dosed fortification, or separately delivered micronutrient interventions.</w:t>
      </w:r>
    </w:p>
    <w:p w14:paraId="44E817EA" w14:textId="77777777" w:rsidR="006929DF" w:rsidRPr="00DC6805" w:rsidRDefault="00000000">
      <w:pPr>
        <w:pStyle w:val="Heading2"/>
        <w:rPr>
          <w:color w:val="auto"/>
        </w:rPr>
      </w:pPr>
      <w:r w:rsidRPr="00DC6805">
        <w:rPr>
          <w:rFonts w:ascii="Times New Roman" w:hAnsi="Times New Roman"/>
          <w:color w:val="auto"/>
        </w:rPr>
        <w:t>5.4 Acceptability, Preparation Practice and Displacement</w:t>
      </w:r>
    </w:p>
    <w:p w14:paraId="16EA51C3" w14:textId="77777777" w:rsidR="006929DF" w:rsidRPr="00DC6805" w:rsidRDefault="00000000">
      <w:r w:rsidRPr="00DC6805">
        <w:t xml:space="preserve">A formulation that meets laboratory nutrient targets may fail if caregivers alter the recipe to save fuel, stretch the product, avoid an unfamiliar </w:t>
      </w:r>
      <w:proofErr w:type="spellStart"/>
      <w:r w:rsidRPr="00DC6805">
        <w:t>flavour</w:t>
      </w:r>
      <w:proofErr w:type="spellEnd"/>
      <w:r w:rsidRPr="00DC6805">
        <w:t>, or achieve a preferred consistency. Traditional ben-</w:t>
      </w:r>
      <w:proofErr w:type="spellStart"/>
      <w:r w:rsidRPr="00DC6805">
        <w:t>saalga</w:t>
      </w:r>
      <w:proofErr w:type="spellEnd"/>
      <w:r w:rsidRPr="00DC6805">
        <w:t xml:space="preserve"> production involves locally embedded knowledge of soaking, milling, sieving, fermentation and cooking, and substantial between-producer variation has been documented (Tou et al., 2006). </w:t>
      </w:r>
      <w:proofErr w:type="spellStart"/>
      <w:r w:rsidRPr="00DC6805">
        <w:t>Standardising</w:t>
      </w:r>
      <w:proofErr w:type="spellEnd"/>
      <w:r w:rsidRPr="00DC6805">
        <w:t xml:space="preserve"> a complementary food therefore requires identifying which traditional operations are nutritionally useful and which introduce uncontrolled variability. Excessive simplification can undermine cultural acceptability; uncritical replication can preserve low dry-matter content or hygiene weaknesses.</w:t>
      </w:r>
    </w:p>
    <w:p w14:paraId="364F72F1" w14:textId="77777777" w:rsidR="006929DF" w:rsidRPr="00DC6805" w:rsidRDefault="00000000">
      <w:r w:rsidRPr="00DC6805">
        <w:t>Displacement is another concern. A complementary food can increase intake of a target nutrient while reducing intake of a different food. Analysis of a large Burkina Faso feeding trial found that fortified blended flour primarily displaced plain cereal foods rather than breastfeeding or other foods, suggesting that the supplement improved the quality of the cereal portion of the diet rather than simply adding calories on top of an unchanged diet (</w:t>
      </w:r>
      <w:proofErr w:type="spellStart"/>
      <w:r w:rsidRPr="00DC6805">
        <w:t>Cliffer</w:t>
      </w:r>
      <w:proofErr w:type="spellEnd"/>
      <w:r w:rsidRPr="00DC6805">
        <w:t xml:space="preserve"> et al., 2021). This finding is </w:t>
      </w:r>
      <w:proofErr w:type="spellStart"/>
      <w:r w:rsidRPr="00DC6805">
        <w:t>favourable</w:t>
      </w:r>
      <w:proofErr w:type="spellEnd"/>
      <w:r w:rsidRPr="00DC6805">
        <w:t>, but it also shows why total dietary assessment matters. Trials reporting only grams of study food consumed cannot establish net dietary improvement.</w:t>
      </w:r>
    </w:p>
    <w:p w14:paraId="20F95DDF" w14:textId="77777777" w:rsidR="006929DF" w:rsidRPr="00DC6805" w:rsidRDefault="00000000">
      <w:r w:rsidRPr="00DC6805">
        <w:t>Acceptability must be interpreted with equal care. High consumption in a supervised trial can reflect free provision, repeated counselling and close follow-up rather than likely purchasing or preparation in routine conditions. Conversely, modest intake does not necessarily indicate poor sensory quality if illness, seasonal food scarcity or breastfeeding patterns limit appetite. Future formulation studies should therefore combine sensory testing with observed preparation, quantitative intake, dietary displacement and longitudinal adherence.</w:t>
      </w:r>
    </w:p>
    <w:p w14:paraId="1992F115" w14:textId="77777777" w:rsidR="006929DF" w:rsidRPr="00DC6805" w:rsidRDefault="00000000">
      <w:r w:rsidRPr="00DC6805">
        <w:t>The evidence reviewed in this section shows why formulation studies should separate technological success from biological effectiveness. Table 2 contrasts representative Burkina Faso studies by the endpoint actually observed: composition and processing, intake, acute mineral absorption or a clinical biomarker. The pattern is instructive because confidence decreases when an outcome is inferred across these levels rather than measured directly.</w:t>
      </w:r>
    </w:p>
    <w:p w14:paraId="35376787" w14:textId="77777777" w:rsidR="006929DF" w:rsidRPr="00DC6805" w:rsidRDefault="00000000">
      <w:pPr>
        <w:keepNext/>
        <w:spacing w:before="100" w:after="0"/>
      </w:pPr>
      <w:r w:rsidRPr="00DC6805">
        <w:rPr>
          <w:b/>
          <w:sz w:val="21"/>
        </w:rPr>
        <w:t>Table 2</w:t>
      </w:r>
    </w:p>
    <w:p w14:paraId="298B8906" w14:textId="77777777" w:rsidR="006929DF" w:rsidRPr="00DC6805" w:rsidRDefault="00000000">
      <w:pPr>
        <w:keepNext/>
        <w:spacing w:after="100"/>
      </w:pPr>
      <w:r w:rsidRPr="00DC6805">
        <w:rPr>
          <w:i/>
          <w:sz w:val="21"/>
        </w:rPr>
        <w:t>Representative Burkina Faso evidence across the formulation-to-outcome chain</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42A7B829" w14:textId="77777777">
        <w:trPr>
          <w:tblHeader/>
          <w:jc w:val="center"/>
        </w:trPr>
        <w:tc>
          <w:tcPr>
            <w:tcW w:w="1368" w:type="dxa"/>
            <w:shd w:val="clear" w:color="auto" w:fill="D9E2F3"/>
            <w:tcMar>
              <w:top w:w="90" w:type="dxa"/>
              <w:left w:w="80" w:type="dxa"/>
              <w:bottom w:w="90" w:type="dxa"/>
              <w:right w:w="80" w:type="dxa"/>
            </w:tcMar>
            <w:vAlign w:val="center"/>
          </w:tcPr>
          <w:p w14:paraId="691482FE" w14:textId="77777777" w:rsidR="006929DF" w:rsidRPr="00DC6805" w:rsidRDefault="00000000">
            <w:pPr>
              <w:spacing w:after="0" w:line="240" w:lineRule="auto"/>
              <w:jc w:val="center"/>
            </w:pPr>
            <w:r w:rsidRPr="00DC6805">
              <w:rPr>
                <w:b/>
                <w:sz w:val="16"/>
              </w:rPr>
              <w:t>Study or context</w:t>
            </w:r>
          </w:p>
        </w:tc>
        <w:tc>
          <w:tcPr>
            <w:tcW w:w="1944" w:type="dxa"/>
            <w:shd w:val="clear" w:color="auto" w:fill="D9E2F3"/>
            <w:tcMar>
              <w:top w:w="90" w:type="dxa"/>
              <w:left w:w="80" w:type="dxa"/>
              <w:bottom w:w="90" w:type="dxa"/>
              <w:right w:w="80" w:type="dxa"/>
            </w:tcMar>
            <w:vAlign w:val="center"/>
          </w:tcPr>
          <w:p w14:paraId="52F245FB" w14:textId="77777777" w:rsidR="006929DF" w:rsidRPr="00DC6805" w:rsidRDefault="00000000">
            <w:pPr>
              <w:spacing w:after="0" w:line="240" w:lineRule="auto"/>
              <w:jc w:val="center"/>
            </w:pPr>
            <w:r w:rsidRPr="00DC6805">
              <w:rPr>
                <w:b/>
                <w:sz w:val="16"/>
              </w:rPr>
              <w:t>Outcome actually measured</w:t>
            </w:r>
          </w:p>
        </w:tc>
        <w:tc>
          <w:tcPr>
            <w:tcW w:w="1987" w:type="dxa"/>
            <w:shd w:val="clear" w:color="auto" w:fill="D9E2F3"/>
            <w:tcMar>
              <w:top w:w="90" w:type="dxa"/>
              <w:left w:w="80" w:type="dxa"/>
              <w:bottom w:w="90" w:type="dxa"/>
              <w:right w:w="80" w:type="dxa"/>
            </w:tcMar>
            <w:vAlign w:val="center"/>
          </w:tcPr>
          <w:p w14:paraId="337383C1" w14:textId="77777777" w:rsidR="006929DF" w:rsidRPr="00DC6805" w:rsidRDefault="00000000">
            <w:pPr>
              <w:spacing w:after="0" w:line="240" w:lineRule="auto"/>
              <w:jc w:val="center"/>
            </w:pPr>
            <w:r w:rsidRPr="00DC6805">
              <w:rPr>
                <w:b/>
                <w:sz w:val="16"/>
              </w:rPr>
              <w:t>Key evidence</w:t>
            </w:r>
          </w:p>
        </w:tc>
        <w:tc>
          <w:tcPr>
            <w:tcW w:w="3096" w:type="dxa"/>
            <w:shd w:val="clear" w:color="auto" w:fill="D9E2F3"/>
            <w:tcMar>
              <w:top w:w="90" w:type="dxa"/>
              <w:left w:w="80" w:type="dxa"/>
              <w:bottom w:w="90" w:type="dxa"/>
              <w:right w:w="80" w:type="dxa"/>
            </w:tcMar>
            <w:vAlign w:val="center"/>
          </w:tcPr>
          <w:p w14:paraId="71924738" w14:textId="77777777" w:rsidR="006929DF" w:rsidRPr="00DC6805" w:rsidRDefault="00000000">
            <w:pPr>
              <w:spacing w:after="0" w:line="240" w:lineRule="auto"/>
              <w:jc w:val="center"/>
            </w:pPr>
            <w:r w:rsidRPr="00DC6805">
              <w:rPr>
                <w:b/>
                <w:sz w:val="16"/>
              </w:rPr>
              <w:t>Critical limitation</w:t>
            </w:r>
          </w:p>
        </w:tc>
        <w:tc>
          <w:tcPr>
            <w:tcW w:w="1541" w:type="dxa"/>
            <w:shd w:val="clear" w:color="auto" w:fill="D9E2F3"/>
            <w:tcMar>
              <w:top w:w="90" w:type="dxa"/>
              <w:left w:w="80" w:type="dxa"/>
              <w:bottom w:w="90" w:type="dxa"/>
              <w:right w:w="80" w:type="dxa"/>
            </w:tcMar>
            <w:vAlign w:val="center"/>
          </w:tcPr>
          <w:p w14:paraId="13C333D2" w14:textId="77777777" w:rsidR="006929DF" w:rsidRPr="00DC6805" w:rsidRDefault="00000000">
            <w:pPr>
              <w:spacing w:after="0" w:line="240" w:lineRule="auto"/>
              <w:jc w:val="center"/>
            </w:pPr>
            <w:r w:rsidRPr="00DC6805">
              <w:rPr>
                <w:b/>
                <w:sz w:val="16"/>
              </w:rPr>
              <w:t>Supporting references</w:t>
            </w:r>
          </w:p>
        </w:tc>
      </w:tr>
      <w:tr w:rsidR="00DC6805" w:rsidRPr="00DC6805" w14:paraId="1D1CC8A9" w14:textId="77777777">
        <w:trPr>
          <w:jc w:val="center"/>
        </w:trPr>
        <w:tc>
          <w:tcPr>
            <w:tcW w:w="1368" w:type="dxa"/>
            <w:tcMar>
              <w:top w:w="90" w:type="dxa"/>
              <w:left w:w="80" w:type="dxa"/>
              <w:bottom w:w="90" w:type="dxa"/>
              <w:right w:w="80" w:type="dxa"/>
            </w:tcMar>
            <w:vAlign w:val="center"/>
          </w:tcPr>
          <w:p w14:paraId="3750D190" w14:textId="77777777" w:rsidR="006929DF" w:rsidRPr="00DC6805" w:rsidRDefault="00000000">
            <w:pPr>
              <w:spacing w:after="0" w:line="240" w:lineRule="auto"/>
              <w:jc w:val="left"/>
            </w:pPr>
            <w:r w:rsidRPr="00DC6805">
              <w:rPr>
                <w:sz w:val="16"/>
              </w:rPr>
              <w:t xml:space="preserve">Traditional </w:t>
            </w:r>
            <w:r w:rsidRPr="00DC6805">
              <w:rPr>
                <w:sz w:val="16"/>
              </w:rPr>
              <w:lastRenderedPageBreak/>
              <w:t>fermented pearl millet gruel; 318 households and 48 production units</w:t>
            </w:r>
          </w:p>
        </w:tc>
        <w:tc>
          <w:tcPr>
            <w:tcW w:w="1944" w:type="dxa"/>
            <w:tcMar>
              <w:top w:w="90" w:type="dxa"/>
              <w:left w:w="80" w:type="dxa"/>
              <w:bottom w:w="90" w:type="dxa"/>
              <w:right w:w="80" w:type="dxa"/>
            </w:tcMar>
            <w:vAlign w:val="center"/>
          </w:tcPr>
          <w:p w14:paraId="328464E5" w14:textId="77777777" w:rsidR="006929DF" w:rsidRPr="00DC6805" w:rsidRDefault="00000000">
            <w:pPr>
              <w:spacing w:after="0" w:line="240" w:lineRule="auto"/>
              <w:jc w:val="left"/>
            </w:pPr>
            <w:r w:rsidRPr="00DC6805">
              <w:rPr>
                <w:sz w:val="16"/>
              </w:rPr>
              <w:lastRenderedPageBreak/>
              <w:t xml:space="preserve">Consumption pattern, </w:t>
            </w:r>
            <w:r w:rsidRPr="00DC6805">
              <w:rPr>
                <w:sz w:val="16"/>
              </w:rPr>
              <w:lastRenderedPageBreak/>
              <w:t>composition and process losses</w:t>
            </w:r>
          </w:p>
        </w:tc>
        <w:tc>
          <w:tcPr>
            <w:tcW w:w="1987" w:type="dxa"/>
            <w:tcMar>
              <w:top w:w="90" w:type="dxa"/>
              <w:left w:w="80" w:type="dxa"/>
              <w:bottom w:w="90" w:type="dxa"/>
              <w:right w:w="80" w:type="dxa"/>
            </w:tcMar>
            <w:vAlign w:val="center"/>
          </w:tcPr>
          <w:p w14:paraId="1C1F6808" w14:textId="77777777" w:rsidR="006929DF" w:rsidRPr="00DC6805" w:rsidRDefault="00000000">
            <w:pPr>
              <w:spacing w:after="0" w:line="240" w:lineRule="auto"/>
              <w:jc w:val="left"/>
            </w:pPr>
            <w:r w:rsidRPr="00DC6805">
              <w:rPr>
                <w:sz w:val="16"/>
              </w:rPr>
              <w:lastRenderedPageBreak/>
              <w:t xml:space="preserve">Traditional gruels were </w:t>
            </w:r>
            <w:r w:rsidRPr="00DC6805">
              <w:rPr>
                <w:sz w:val="16"/>
              </w:rPr>
              <w:lastRenderedPageBreak/>
              <w:t>commonly used for young children but had low energy density; processing reduced some antinutritional factors while also causing protein, lipid, iron and zinc losses.</w:t>
            </w:r>
          </w:p>
        </w:tc>
        <w:tc>
          <w:tcPr>
            <w:tcW w:w="3096" w:type="dxa"/>
            <w:tcMar>
              <w:top w:w="90" w:type="dxa"/>
              <w:left w:w="80" w:type="dxa"/>
              <w:bottom w:w="90" w:type="dxa"/>
              <w:right w:w="80" w:type="dxa"/>
            </w:tcMar>
            <w:vAlign w:val="center"/>
          </w:tcPr>
          <w:p w14:paraId="7BE6AF47" w14:textId="77777777" w:rsidR="006929DF" w:rsidRPr="00DC6805" w:rsidRDefault="00000000">
            <w:pPr>
              <w:spacing w:after="0" w:line="240" w:lineRule="auto"/>
              <w:jc w:val="left"/>
            </w:pPr>
            <w:r w:rsidRPr="00DC6805">
              <w:rPr>
                <w:sz w:val="16"/>
              </w:rPr>
              <w:lastRenderedPageBreak/>
              <w:t xml:space="preserve">Cross-sectional product and household </w:t>
            </w:r>
            <w:r w:rsidRPr="00DC6805">
              <w:rPr>
                <w:sz w:val="16"/>
              </w:rPr>
              <w:lastRenderedPageBreak/>
              <w:t>evidence; no child growth or status endpoint.</w:t>
            </w:r>
          </w:p>
        </w:tc>
        <w:tc>
          <w:tcPr>
            <w:tcW w:w="1541" w:type="dxa"/>
            <w:tcMar>
              <w:top w:w="90" w:type="dxa"/>
              <w:left w:w="80" w:type="dxa"/>
              <w:bottom w:w="90" w:type="dxa"/>
              <w:right w:w="80" w:type="dxa"/>
            </w:tcMar>
            <w:vAlign w:val="center"/>
          </w:tcPr>
          <w:p w14:paraId="5BDF35B8" w14:textId="77777777" w:rsidR="006929DF" w:rsidRPr="00DC6805" w:rsidRDefault="00000000">
            <w:pPr>
              <w:spacing w:after="0" w:line="240" w:lineRule="auto"/>
              <w:jc w:val="left"/>
            </w:pPr>
            <w:r w:rsidRPr="00DC6805">
              <w:rPr>
                <w:sz w:val="16"/>
              </w:rPr>
              <w:lastRenderedPageBreak/>
              <w:t xml:space="preserve">(Mouquet-Rivier et </w:t>
            </w:r>
            <w:r w:rsidRPr="00DC6805">
              <w:rPr>
                <w:sz w:val="16"/>
              </w:rPr>
              <w:lastRenderedPageBreak/>
              <w:t>al., 2008)</w:t>
            </w:r>
          </w:p>
        </w:tc>
      </w:tr>
      <w:tr w:rsidR="00DC6805" w:rsidRPr="00DC6805" w14:paraId="076A200A" w14:textId="77777777">
        <w:trPr>
          <w:jc w:val="center"/>
        </w:trPr>
        <w:tc>
          <w:tcPr>
            <w:tcW w:w="1368" w:type="dxa"/>
            <w:tcMar>
              <w:top w:w="90" w:type="dxa"/>
              <w:left w:w="80" w:type="dxa"/>
              <w:bottom w:w="90" w:type="dxa"/>
              <w:right w:w="80" w:type="dxa"/>
            </w:tcMar>
            <w:vAlign w:val="center"/>
          </w:tcPr>
          <w:p w14:paraId="744AB5B0" w14:textId="77777777" w:rsidR="006929DF" w:rsidRPr="00DC6805" w:rsidRDefault="00000000">
            <w:pPr>
              <w:spacing w:after="0" w:line="240" w:lineRule="auto"/>
              <w:jc w:val="left"/>
            </w:pPr>
            <w:r w:rsidRPr="00DC6805">
              <w:rPr>
                <w:sz w:val="16"/>
              </w:rPr>
              <w:lastRenderedPageBreak/>
              <w:t>Millet-groundnut amylolytic fermentation</w:t>
            </w:r>
          </w:p>
        </w:tc>
        <w:tc>
          <w:tcPr>
            <w:tcW w:w="1944" w:type="dxa"/>
            <w:tcMar>
              <w:top w:w="90" w:type="dxa"/>
              <w:left w:w="80" w:type="dxa"/>
              <w:bottom w:w="90" w:type="dxa"/>
              <w:right w:w="80" w:type="dxa"/>
            </w:tcMar>
            <w:vAlign w:val="center"/>
          </w:tcPr>
          <w:p w14:paraId="712906EA" w14:textId="77777777" w:rsidR="006929DF" w:rsidRPr="00DC6805" w:rsidRDefault="00000000">
            <w:pPr>
              <w:spacing w:after="0" w:line="240" w:lineRule="auto"/>
              <w:jc w:val="left"/>
            </w:pPr>
            <w:r w:rsidRPr="00DC6805">
              <w:rPr>
                <w:sz w:val="16"/>
              </w:rPr>
              <w:t>Acidification, starch hydrolysis and gruel energy density/viscosity</w:t>
            </w:r>
          </w:p>
        </w:tc>
        <w:tc>
          <w:tcPr>
            <w:tcW w:w="1987" w:type="dxa"/>
            <w:tcMar>
              <w:top w:w="90" w:type="dxa"/>
              <w:left w:w="80" w:type="dxa"/>
              <w:bottom w:w="90" w:type="dxa"/>
              <w:right w:w="80" w:type="dxa"/>
            </w:tcMar>
            <w:vAlign w:val="center"/>
          </w:tcPr>
          <w:p w14:paraId="4DFB2117" w14:textId="77777777" w:rsidR="006929DF" w:rsidRPr="00DC6805" w:rsidRDefault="00000000">
            <w:pPr>
              <w:spacing w:after="0" w:line="240" w:lineRule="auto"/>
              <w:jc w:val="left"/>
            </w:pPr>
            <w:r w:rsidRPr="00DC6805">
              <w:rPr>
                <w:sz w:val="16"/>
              </w:rPr>
              <w:t xml:space="preserve">Selected amylolytic lactic acid bacteria enabled high-solids gruels of liquid consistency; variability was greater with </w:t>
            </w:r>
            <w:proofErr w:type="spellStart"/>
            <w:r w:rsidRPr="00DC6805">
              <w:rPr>
                <w:sz w:val="16"/>
              </w:rPr>
              <w:t>backslopping</w:t>
            </w:r>
            <w:proofErr w:type="spellEnd"/>
            <w:r w:rsidRPr="00DC6805">
              <w:rPr>
                <w:sz w:val="16"/>
              </w:rPr>
              <w:t>.</w:t>
            </w:r>
          </w:p>
        </w:tc>
        <w:tc>
          <w:tcPr>
            <w:tcW w:w="3096" w:type="dxa"/>
            <w:tcMar>
              <w:top w:w="90" w:type="dxa"/>
              <w:left w:w="80" w:type="dxa"/>
              <w:bottom w:w="90" w:type="dxa"/>
              <w:right w:w="80" w:type="dxa"/>
            </w:tcMar>
            <w:vAlign w:val="center"/>
          </w:tcPr>
          <w:p w14:paraId="3631405B" w14:textId="77777777" w:rsidR="006929DF" w:rsidRPr="00DC6805" w:rsidRDefault="00000000">
            <w:pPr>
              <w:spacing w:after="0" w:line="240" w:lineRule="auto"/>
              <w:jc w:val="left"/>
            </w:pPr>
            <w:r w:rsidRPr="00DC6805">
              <w:rPr>
                <w:sz w:val="16"/>
              </w:rPr>
              <w:t>Pilot/process evidence does not establish routine household reproducibility or child outcomes.</w:t>
            </w:r>
          </w:p>
        </w:tc>
        <w:tc>
          <w:tcPr>
            <w:tcW w:w="1541" w:type="dxa"/>
            <w:tcMar>
              <w:top w:w="90" w:type="dxa"/>
              <w:left w:w="80" w:type="dxa"/>
              <w:bottom w:w="90" w:type="dxa"/>
              <w:right w:w="80" w:type="dxa"/>
            </w:tcMar>
            <w:vAlign w:val="center"/>
          </w:tcPr>
          <w:p w14:paraId="1A7EA419" w14:textId="77777777" w:rsidR="006929DF" w:rsidRPr="00DC6805" w:rsidRDefault="00000000">
            <w:pPr>
              <w:spacing w:after="0" w:line="240" w:lineRule="auto"/>
              <w:jc w:val="left"/>
            </w:pPr>
            <w:r w:rsidRPr="00DC6805">
              <w:rPr>
                <w:sz w:val="16"/>
              </w:rPr>
              <w:t>(</w:t>
            </w:r>
            <w:proofErr w:type="spellStart"/>
            <w:r w:rsidRPr="00DC6805">
              <w:rPr>
                <w:sz w:val="16"/>
              </w:rPr>
              <w:t>Songré</w:t>
            </w:r>
            <w:proofErr w:type="spellEnd"/>
            <w:r w:rsidRPr="00DC6805">
              <w:rPr>
                <w:sz w:val="16"/>
              </w:rPr>
              <w:t>-Ouattara et al., 2009)</w:t>
            </w:r>
          </w:p>
        </w:tc>
      </w:tr>
      <w:tr w:rsidR="00DC6805" w:rsidRPr="00DC6805" w14:paraId="5E5C10B9" w14:textId="77777777">
        <w:trPr>
          <w:jc w:val="center"/>
        </w:trPr>
        <w:tc>
          <w:tcPr>
            <w:tcW w:w="1368" w:type="dxa"/>
            <w:tcMar>
              <w:top w:w="90" w:type="dxa"/>
              <w:left w:w="80" w:type="dxa"/>
              <w:bottom w:w="90" w:type="dxa"/>
              <w:right w:w="80" w:type="dxa"/>
            </w:tcMar>
            <w:vAlign w:val="center"/>
          </w:tcPr>
          <w:p w14:paraId="0D5BC1A7" w14:textId="77777777" w:rsidR="006929DF" w:rsidRPr="00DC6805" w:rsidRDefault="00000000">
            <w:pPr>
              <w:spacing w:after="0" w:line="240" w:lineRule="auto"/>
              <w:jc w:val="left"/>
            </w:pPr>
            <w:r w:rsidRPr="00DC6805">
              <w:rPr>
                <w:sz w:val="16"/>
              </w:rPr>
              <w:t>Improved local flour transferred through 27 villages</w:t>
            </w:r>
          </w:p>
        </w:tc>
        <w:tc>
          <w:tcPr>
            <w:tcW w:w="1944" w:type="dxa"/>
            <w:tcMar>
              <w:top w:w="90" w:type="dxa"/>
              <w:left w:w="80" w:type="dxa"/>
              <w:bottom w:w="90" w:type="dxa"/>
              <w:right w:w="80" w:type="dxa"/>
            </w:tcMar>
            <w:vAlign w:val="center"/>
          </w:tcPr>
          <w:p w14:paraId="1420E8FB" w14:textId="77777777" w:rsidR="006929DF" w:rsidRPr="00DC6805" w:rsidRDefault="00000000">
            <w:pPr>
              <w:spacing w:after="0" w:line="240" w:lineRule="auto"/>
              <w:jc w:val="left"/>
            </w:pPr>
            <w:r w:rsidRPr="00DC6805">
              <w:rPr>
                <w:sz w:val="16"/>
              </w:rPr>
              <w:t>Recipe performance and technology transfer</w:t>
            </w:r>
          </w:p>
        </w:tc>
        <w:tc>
          <w:tcPr>
            <w:tcW w:w="1987" w:type="dxa"/>
            <w:tcMar>
              <w:top w:w="90" w:type="dxa"/>
              <w:left w:w="80" w:type="dxa"/>
              <w:bottom w:w="90" w:type="dxa"/>
              <w:right w:w="80" w:type="dxa"/>
            </w:tcMar>
            <w:vAlign w:val="center"/>
          </w:tcPr>
          <w:p w14:paraId="4D969955" w14:textId="77777777" w:rsidR="006929DF" w:rsidRPr="00DC6805" w:rsidRDefault="00000000">
            <w:pPr>
              <w:spacing w:after="0" w:line="240" w:lineRule="auto"/>
              <w:jc w:val="left"/>
            </w:pPr>
            <w:r w:rsidRPr="00DC6805">
              <w:rPr>
                <w:sz w:val="16"/>
              </w:rPr>
              <w:t>A locally based flour could be produced by trained rural women and prepared as a relatively high-energy mush.</w:t>
            </w:r>
          </w:p>
        </w:tc>
        <w:tc>
          <w:tcPr>
            <w:tcW w:w="3096" w:type="dxa"/>
            <w:tcMar>
              <w:top w:w="90" w:type="dxa"/>
              <w:left w:w="80" w:type="dxa"/>
              <w:bottom w:w="90" w:type="dxa"/>
              <w:right w:w="80" w:type="dxa"/>
            </w:tcMar>
            <w:vAlign w:val="center"/>
          </w:tcPr>
          <w:p w14:paraId="25853BE8" w14:textId="77777777" w:rsidR="006929DF" w:rsidRPr="00DC6805" w:rsidRDefault="00000000">
            <w:pPr>
              <w:spacing w:after="0" w:line="240" w:lineRule="auto"/>
              <w:jc w:val="left"/>
            </w:pPr>
            <w:r w:rsidRPr="00DC6805">
              <w:rPr>
                <w:sz w:val="16"/>
              </w:rPr>
              <w:t>Feasibility study; no direct clinical endpoint.</w:t>
            </w:r>
          </w:p>
        </w:tc>
        <w:tc>
          <w:tcPr>
            <w:tcW w:w="1541" w:type="dxa"/>
            <w:tcMar>
              <w:top w:w="90" w:type="dxa"/>
              <w:left w:w="80" w:type="dxa"/>
              <w:bottom w:w="90" w:type="dxa"/>
              <w:right w:w="80" w:type="dxa"/>
            </w:tcMar>
            <w:vAlign w:val="center"/>
          </w:tcPr>
          <w:p w14:paraId="0357E796" w14:textId="77777777" w:rsidR="006929DF" w:rsidRPr="00DC6805" w:rsidRDefault="00000000">
            <w:pPr>
              <w:spacing w:after="0" w:line="240" w:lineRule="auto"/>
              <w:jc w:val="left"/>
            </w:pPr>
            <w:r w:rsidRPr="00DC6805">
              <w:rPr>
                <w:sz w:val="16"/>
              </w:rPr>
              <w:t>(Ouédraogo et al., 2009)</w:t>
            </w:r>
          </w:p>
        </w:tc>
      </w:tr>
      <w:tr w:rsidR="00DC6805" w:rsidRPr="00DC6805" w14:paraId="6EC5F36D" w14:textId="77777777">
        <w:trPr>
          <w:jc w:val="center"/>
        </w:trPr>
        <w:tc>
          <w:tcPr>
            <w:tcW w:w="1368" w:type="dxa"/>
            <w:tcMar>
              <w:top w:w="90" w:type="dxa"/>
              <w:left w:w="80" w:type="dxa"/>
              <w:bottom w:w="90" w:type="dxa"/>
              <w:right w:w="80" w:type="dxa"/>
            </w:tcMar>
            <w:vAlign w:val="center"/>
          </w:tcPr>
          <w:p w14:paraId="0CFA81FF" w14:textId="77777777" w:rsidR="006929DF" w:rsidRPr="00DC6805" w:rsidRDefault="00000000">
            <w:pPr>
              <w:spacing w:after="0" w:line="240" w:lineRule="auto"/>
              <w:jc w:val="left"/>
            </w:pPr>
            <w:r w:rsidRPr="00DC6805">
              <w:rPr>
                <w:sz w:val="16"/>
              </w:rPr>
              <w:t>Community feeding intervention; 208 children</w:t>
            </w:r>
          </w:p>
        </w:tc>
        <w:tc>
          <w:tcPr>
            <w:tcW w:w="1944" w:type="dxa"/>
            <w:tcMar>
              <w:top w:w="90" w:type="dxa"/>
              <w:left w:w="80" w:type="dxa"/>
              <w:bottom w:w="90" w:type="dxa"/>
              <w:right w:w="80" w:type="dxa"/>
            </w:tcMar>
            <w:vAlign w:val="center"/>
          </w:tcPr>
          <w:p w14:paraId="0159BFA0" w14:textId="77777777" w:rsidR="006929DF" w:rsidRPr="00DC6805" w:rsidRDefault="00000000">
            <w:pPr>
              <w:spacing w:after="0" w:line="240" w:lineRule="auto"/>
              <w:jc w:val="left"/>
            </w:pPr>
            <w:r w:rsidRPr="00DC6805">
              <w:rPr>
                <w:sz w:val="16"/>
              </w:rPr>
              <w:t>Amount consumed and energy, iron and zinc intake</w:t>
            </w:r>
          </w:p>
        </w:tc>
        <w:tc>
          <w:tcPr>
            <w:tcW w:w="1987" w:type="dxa"/>
            <w:tcMar>
              <w:top w:w="90" w:type="dxa"/>
              <w:left w:w="80" w:type="dxa"/>
              <w:bottom w:w="90" w:type="dxa"/>
              <w:right w:w="80" w:type="dxa"/>
            </w:tcMar>
            <w:vAlign w:val="center"/>
          </w:tcPr>
          <w:p w14:paraId="6B190223" w14:textId="77777777" w:rsidR="006929DF" w:rsidRPr="00DC6805" w:rsidRDefault="00000000">
            <w:pPr>
              <w:spacing w:after="0" w:line="240" w:lineRule="auto"/>
              <w:jc w:val="left"/>
            </w:pPr>
            <w:r w:rsidRPr="00DC6805">
              <w:rPr>
                <w:sz w:val="16"/>
              </w:rPr>
              <w:t xml:space="preserve">Median daily intake from the mush was 213 kcal, 5.3 mg iron and 2.3 mg zinc over observed </w:t>
            </w:r>
            <w:proofErr w:type="spellStart"/>
            <w:r w:rsidRPr="00DC6805">
              <w:rPr>
                <w:sz w:val="16"/>
              </w:rPr>
              <w:t>programme</w:t>
            </w:r>
            <w:proofErr w:type="spellEnd"/>
            <w:r w:rsidRPr="00DC6805">
              <w:rPr>
                <w:sz w:val="16"/>
              </w:rPr>
              <w:t xml:space="preserve"> participation.</w:t>
            </w:r>
          </w:p>
        </w:tc>
        <w:tc>
          <w:tcPr>
            <w:tcW w:w="3096" w:type="dxa"/>
            <w:tcMar>
              <w:top w:w="90" w:type="dxa"/>
              <w:left w:w="80" w:type="dxa"/>
              <w:bottom w:w="90" w:type="dxa"/>
              <w:right w:w="80" w:type="dxa"/>
            </w:tcMar>
            <w:vAlign w:val="center"/>
          </w:tcPr>
          <w:p w14:paraId="3973EE94" w14:textId="77777777" w:rsidR="006929DF" w:rsidRPr="00DC6805" w:rsidRDefault="00000000">
            <w:pPr>
              <w:spacing w:after="0" w:line="240" w:lineRule="auto"/>
              <w:jc w:val="left"/>
            </w:pPr>
            <w:r w:rsidRPr="00DC6805">
              <w:rPr>
                <w:sz w:val="16"/>
              </w:rPr>
              <w:t xml:space="preserve">Intake is not absorption; </w:t>
            </w:r>
            <w:proofErr w:type="spellStart"/>
            <w:r w:rsidRPr="00DC6805">
              <w:rPr>
                <w:sz w:val="16"/>
              </w:rPr>
              <w:t>programme</w:t>
            </w:r>
            <w:proofErr w:type="spellEnd"/>
            <w:r w:rsidRPr="00DC6805">
              <w:rPr>
                <w:sz w:val="16"/>
              </w:rPr>
              <w:t xml:space="preserve"> attendance and non-</w:t>
            </w:r>
            <w:proofErr w:type="spellStart"/>
            <w:r w:rsidRPr="00DC6805">
              <w:rPr>
                <w:sz w:val="16"/>
              </w:rPr>
              <w:t>randomised</w:t>
            </w:r>
            <w:proofErr w:type="spellEnd"/>
            <w:r w:rsidRPr="00DC6805">
              <w:rPr>
                <w:sz w:val="16"/>
              </w:rPr>
              <w:t xml:space="preserve"> exposure limit causal inference.</w:t>
            </w:r>
          </w:p>
        </w:tc>
        <w:tc>
          <w:tcPr>
            <w:tcW w:w="1541" w:type="dxa"/>
            <w:tcMar>
              <w:top w:w="90" w:type="dxa"/>
              <w:left w:w="80" w:type="dxa"/>
              <w:bottom w:w="90" w:type="dxa"/>
              <w:right w:w="80" w:type="dxa"/>
            </w:tcMar>
            <w:vAlign w:val="center"/>
          </w:tcPr>
          <w:p w14:paraId="2F947E81" w14:textId="77777777" w:rsidR="006929DF" w:rsidRPr="00DC6805" w:rsidRDefault="00000000">
            <w:pPr>
              <w:spacing w:after="0" w:line="240" w:lineRule="auto"/>
              <w:jc w:val="left"/>
            </w:pPr>
            <w:r w:rsidRPr="00DC6805">
              <w:rPr>
                <w:sz w:val="16"/>
              </w:rPr>
              <w:t>(</w:t>
            </w:r>
            <w:proofErr w:type="spellStart"/>
            <w:r w:rsidRPr="00DC6805">
              <w:rPr>
                <w:sz w:val="16"/>
              </w:rPr>
              <w:t>Ouèdraogo</w:t>
            </w:r>
            <w:proofErr w:type="spellEnd"/>
            <w:r w:rsidRPr="00DC6805">
              <w:rPr>
                <w:sz w:val="16"/>
              </w:rPr>
              <w:t xml:space="preserve"> et al., 2009)</w:t>
            </w:r>
          </w:p>
        </w:tc>
      </w:tr>
      <w:tr w:rsidR="00DC6805" w:rsidRPr="00DC6805" w14:paraId="3FBE4291" w14:textId="77777777">
        <w:trPr>
          <w:jc w:val="center"/>
        </w:trPr>
        <w:tc>
          <w:tcPr>
            <w:tcW w:w="1368" w:type="dxa"/>
            <w:tcMar>
              <w:top w:w="90" w:type="dxa"/>
              <w:left w:w="80" w:type="dxa"/>
              <w:bottom w:w="90" w:type="dxa"/>
              <w:right w:w="80" w:type="dxa"/>
            </w:tcMar>
            <w:vAlign w:val="center"/>
          </w:tcPr>
          <w:p w14:paraId="3B189143" w14:textId="77777777" w:rsidR="006929DF" w:rsidRPr="00DC6805" w:rsidRDefault="00000000">
            <w:pPr>
              <w:spacing w:after="0" w:line="240" w:lineRule="auto"/>
              <w:jc w:val="left"/>
            </w:pPr>
            <w:proofErr w:type="spellStart"/>
            <w:r w:rsidRPr="00DC6805">
              <w:rPr>
                <w:sz w:val="16"/>
              </w:rPr>
              <w:t>Randomised</w:t>
            </w:r>
            <w:proofErr w:type="spellEnd"/>
            <w:r w:rsidRPr="00DC6805">
              <w:rPr>
                <w:sz w:val="16"/>
              </w:rPr>
              <w:t xml:space="preserve"> trial; 131 </w:t>
            </w:r>
            <w:proofErr w:type="spellStart"/>
            <w:r w:rsidRPr="00DC6805">
              <w:rPr>
                <w:sz w:val="16"/>
              </w:rPr>
              <w:t>anaemic</w:t>
            </w:r>
            <w:proofErr w:type="spellEnd"/>
            <w:r w:rsidRPr="00DC6805">
              <w:rPr>
                <w:sz w:val="16"/>
              </w:rPr>
              <w:t xml:space="preserve"> children</w:t>
            </w:r>
          </w:p>
        </w:tc>
        <w:tc>
          <w:tcPr>
            <w:tcW w:w="1944" w:type="dxa"/>
            <w:tcMar>
              <w:top w:w="90" w:type="dxa"/>
              <w:left w:w="80" w:type="dxa"/>
              <w:bottom w:w="90" w:type="dxa"/>
              <w:right w:w="80" w:type="dxa"/>
            </w:tcMar>
            <w:vAlign w:val="center"/>
          </w:tcPr>
          <w:p w14:paraId="38898A23" w14:textId="77777777" w:rsidR="006929DF" w:rsidRPr="00DC6805" w:rsidRDefault="00000000">
            <w:pPr>
              <w:spacing w:after="0" w:line="240" w:lineRule="auto"/>
              <w:jc w:val="left"/>
            </w:pPr>
            <w:proofErr w:type="spellStart"/>
            <w:r w:rsidRPr="00DC6805">
              <w:rPr>
                <w:sz w:val="16"/>
              </w:rPr>
              <w:t>Haemoglobin</w:t>
            </w:r>
            <w:proofErr w:type="spellEnd"/>
            <w:r w:rsidRPr="00DC6805">
              <w:rPr>
                <w:sz w:val="16"/>
              </w:rPr>
              <w:t xml:space="preserve"> response to improved food with or without selected added micronutrients</w:t>
            </w:r>
          </w:p>
        </w:tc>
        <w:tc>
          <w:tcPr>
            <w:tcW w:w="1987" w:type="dxa"/>
            <w:tcMar>
              <w:top w:w="90" w:type="dxa"/>
              <w:left w:w="80" w:type="dxa"/>
              <w:bottom w:w="90" w:type="dxa"/>
              <w:right w:w="80" w:type="dxa"/>
            </w:tcMar>
            <w:vAlign w:val="center"/>
          </w:tcPr>
          <w:p w14:paraId="0F852F8B" w14:textId="77777777" w:rsidR="006929DF" w:rsidRPr="00DC6805" w:rsidRDefault="00000000">
            <w:pPr>
              <w:spacing w:after="0" w:line="240" w:lineRule="auto"/>
              <w:jc w:val="left"/>
            </w:pPr>
            <w:proofErr w:type="spellStart"/>
            <w:r w:rsidRPr="00DC6805">
              <w:rPr>
                <w:sz w:val="16"/>
              </w:rPr>
              <w:t>Haemoglobin</w:t>
            </w:r>
            <w:proofErr w:type="spellEnd"/>
            <w:r w:rsidRPr="00DC6805">
              <w:rPr>
                <w:sz w:val="16"/>
              </w:rPr>
              <w:t xml:space="preserve"> improved in both groups, but the added selected micronutrients did not produce a statistically significant between-group </w:t>
            </w:r>
            <w:proofErr w:type="spellStart"/>
            <w:r w:rsidRPr="00DC6805">
              <w:rPr>
                <w:sz w:val="16"/>
              </w:rPr>
              <w:t>haemoglobin</w:t>
            </w:r>
            <w:proofErr w:type="spellEnd"/>
            <w:r w:rsidRPr="00DC6805">
              <w:rPr>
                <w:sz w:val="16"/>
              </w:rPr>
              <w:t xml:space="preserve"> advantage under the trial conditions.</w:t>
            </w:r>
          </w:p>
        </w:tc>
        <w:tc>
          <w:tcPr>
            <w:tcW w:w="3096" w:type="dxa"/>
            <w:tcMar>
              <w:top w:w="90" w:type="dxa"/>
              <w:left w:w="80" w:type="dxa"/>
              <w:bottom w:w="90" w:type="dxa"/>
              <w:right w:w="80" w:type="dxa"/>
            </w:tcMar>
            <w:vAlign w:val="center"/>
          </w:tcPr>
          <w:p w14:paraId="037D9E46" w14:textId="77777777" w:rsidR="006929DF" w:rsidRPr="00DC6805" w:rsidRDefault="00000000">
            <w:pPr>
              <w:spacing w:after="0" w:line="240" w:lineRule="auto"/>
              <w:jc w:val="left"/>
            </w:pPr>
            <w:r w:rsidRPr="00DC6805">
              <w:rPr>
                <w:sz w:val="16"/>
              </w:rPr>
              <w:t>Single biomarker and trial context do not resolve all micronutrient or growth effects.</w:t>
            </w:r>
          </w:p>
        </w:tc>
        <w:tc>
          <w:tcPr>
            <w:tcW w:w="1541" w:type="dxa"/>
            <w:tcMar>
              <w:top w:w="90" w:type="dxa"/>
              <w:left w:w="80" w:type="dxa"/>
              <w:bottom w:w="90" w:type="dxa"/>
              <w:right w:w="80" w:type="dxa"/>
            </w:tcMar>
            <w:vAlign w:val="center"/>
          </w:tcPr>
          <w:p w14:paraId="052D8E71" w14:textId="77777777" w:rsidR="006929DF" w:rsidRPr="00DC6805" w:rsidRDefault="00000000">
            <w:pPr>
              <w:spacing w:after="0" w:line="240" w:lineRule="auto"/>
              <w:jc w:val="left"/>
            </w:pPr>
            <w:r w:rsidRPr="00DC6805">
              <w:rPr>
                <w:sz w:val="16"/>
              </w:rPr>
              <w:t>(Ouédraogo et al., 2010)</w:t>
            </w:r>
          </w:p>
        </w:tc>
      </w:tr>
      <w:tr w:rsidR="00DC6805" w:rsidRPr="00DC6805" w14:paraId="3A691B66" w14:textId="77777777">
        <w:trPr>
          <w:jc w:val="center"/>
        </w:trPr>
        <w:tc>
          <w:tcPr>
            <w:tcW w:w="1368" w:type="dxa"/>
            <w:tcMar>
              <w:top w:w="90" w:type="dxa"/>
              <w:left w:w="80" w:type="dxa"/>
              <w:bottom w:w="90" w:type="dxa"/>
              <w:right w:w="80" w:type="dxa"/>
            </w:tcMar>
            <w:vAlign w:val="center"/>
          </w:tcPr>
          <w:p w14:paraId="010C9364" w14:textId="77777777" w:rsidR="006929DF" w:rsidRPr="00DC6805" w:rsidRDefault="00000000">
            <w:pPr>
              <w:spacing w:after="0" w:line="240" w:lineRule="auto"/>
              <w:jc w:val="left"/>
            </w:pPr>
            <w:r w:rsidRPr="00DC6805">
              <w:rPr>
                <w:sz w:val="16"/>
              </w:rPr>
              <w:t>Repeated feeding study; 23 young children</w:t>
            </w:r>
          </w:p>
        </w:tc>
        <w:tc>
          <w:tcPr>
            <w:tcW w:w="1944" w:type="dxa"/>
            <w:tcMar>
              <w:top w:w="90" w:type="dxa"/>
              <w:left w:w="80" w:type="dxa"/>
              <w:bottom w:w="90" w:type="dxa"/>
              <w:right w:w="80" w:type="dxa"/>
            </w:tcMar>
            <w:vAlign w:val="center"/>
          </w:tcPr>
          <w:p w14:paraId="5A7F0738" w14:textId="77777777" w:rsidR="006929DF" w:rsidRPr="00DC6805" w:rsidRDefault="00000000">
            <w:pPr>
              <w:spacing w:after="0" w:line="240" w:lineRule="auto"/>
              <w:jc w:val="left"/>
            </w:pPr>
            <w:r w:rsidRPr="00DC6805">
              <w:rPr>
                <w:sz w:val="16"/>
              </w:rPr>
              <w:t>Short-term energy intake from gruels and feeding style</w:t>
            </w:r>
          </w:p>
        </w:tc>
        <w:tc>
          <w:tcPr>
            <w:tcW w:w="1987" w:type="dxa"/>
            <w:tcMar>
              <w:top w:w="90" w:type="dxa"/>
              <w:left w:w="80" w:type="dxa"/>
              <w:bottom w:w="90" w:type="dxa"/>
              <w:right w:w="80" w:type="dxa"/>
            </w:tcMar>
            <w:vAlign w:val="center"/>
          </w:tcPr>
          <w:p w14:paraId="5644C968" w14:textId="77777777" w:rsidR="006929DF" w:rsidRPr="00DC6805" w:rsidRDefault="00000000">
            <w:pPr>
              <w:spacing w:after="0" w:line="240" w:lineRule="auto"/>
              <w:jc w:val="left"/>
            </w:pPr>
            <w:r w:rsidRPr="00DC6805">
              <w:rPr>
                <w:sz w:val="16"/>
              </w:rPr>
              <w:t>Higher-energy instant gruel increased energy intake; encouraging feeding added benefit in some age groups.</w:t>
            </w:r>
          </w:p>
        </w:tc>
        <w:tc>
          <w:tcPr>
            <w:tcW w:w="3096" w:type="dxa"/>
            <w:tcMar>
              <w:top w:w="90" w:type="dxa"/>
              <w:left w:w="80" w:type="dxa"/>
              <w:bottom w:w="90" w:type="dxa"/>
              <w:right w:w="80" w:type="dxa"/>
            </w:tcMar>
            <w:vAlign w:val="center"/>
          </w:tcPr>
          <w:p w14:paraId="27EF8CD3" w14:textId="77777777" w:rsidR="006929DF" w:rsidRPr="00DC6805" w:rsidRDefault="00000000">
            <w:pPr>
              <w:spacing w:after="0" w:line="240" w:lineRule="auto"/>
              <w:jc w:val="left"/>
            </w:pPr>
            <w:r w:rsidRPr="00DC6805">
              <w:rPr>
                <w:sz w:val="16"/>
              </w:rPr>
              <w:t>Small, short-term study; no longitudinal growth endpoint.</w:t>
            </w:r>
          </w:p>
        </w:tc>
        <w:tc>
          <w:tcPr>
            <w:tcW w:w="1541" w:type="dxa"/>
            <w:tcMar>
              <w:top w:w="90" w:type="dxa"/>
              <w:left w:w="80" w:type="dxa"/>
              <w:bottom w:w="90" w:type="dxa"/>
              <w:right w:w="80" w:type="dxa"/>
            </w:tcMar>
            <w:vAlign w:val="center"/>
          </w:tcPr>
          <w:p w14:paraId="2BFA3FAA" w14:textId="77777777" w:rsidR="006929DF" w:rsidRPr="00DC6805" w:rsidRDefault="00000000">
            <w:pPr>
              <w:spacing w:after="0" w:line="240" w:lineRule="auto"/>
              <w:jc w:val="left"/>
            </w:pPr>
            <w:r w:rsidRPr="00DC6805">
              <w:rPr>
                <w:sz w:val="16"/>
              </w:rPr>
              <w:t>(Mouquet-Rivier et al., 2016)</w:t>
            </w:r>
          </w:p>
        </w:tc>
      </w:tr>
      <w:tr w:rsidR="00DC6805" w:rsidRPr="00DC6805" w14:paraId="261ED587" w14:textId="77777777">
        <w:trPr>
          <w:jc w:val="center"/>
        </w:trPr>
        <w:tc>
          <w:tcPr>
            <w:tcW w:w="1368" w:type="dxa"/>
            <w:tcMar>
              <w:top w:w="90" w:type="dxa"/>
              <w:left w:w="80" w:type="dxa"/>
              <w:bottom w:w="90" w:type="dxa"/>
              <w:right w:w="80" w:type="dxa"/>
            </w:tcMar>
            <w:vAlign w:val="center"/>
          </w:tcPr>
          <w:p w14:paraId="6D4CEC32" w14:textId="77777777" w:rsidR="006929DF" w:rsidRPr="00DC6805" w:rsidRDefault="00000000">
            <w:pPr>
              <w:spacing w:after="0" w:line="240" w:lineRule="auto"/>
              <w:jc w:val="left"/>
            </w:pPr>
            <w:r w:rsidRPr="00DC6805">
              <w:rPr>
                <w:sz w:val="16"/>
              </w:rPr>
              <w:t>Stable-isotope crossover; 35 children</w:t>
            </w:r>
          </w:p>
        </w:tc>
        <w:tc>
          <w:tcPr>
            <w:tcW w:w="1944" w:type="dxa"/>
            <w:tcMar>
              <w:top w:w="90" w:type="dxa"/>
              <w:left w:w="80" w:type="dxa"/>
              <w:bottom w:w="90" w:type="dxa"/>
              <w:right w:w="80" w:type="dxa"/>
            </w:tcMar>
            <w:vAlign w:val="center"/>
          </w:tcPr>
          <w:p w14:paraId="3B0E39B1" w14:textId="77777777" w:rsidR="006929DF" w:rsidRPr="00DC6805" w:rsidRDefault="00000000">
            <w:pPr>
              <w:spacing w:after="0" w:line="240" w:lineRule="auto"/>
              <w:jc w:val="left"/>
            </w:pPr>
            <w:r w:rsidRPr="00DC6805">
              <w:rPr>
                <w:sz w:val="16"/>
              </w:rPr>
              <w:t>Fractional zinc absorption</w:t>
            </w:r>
          </w:p>
        </w:tc>
        <w:tc>
          <w:tcPr>
            <w:tcW w:w="1987" w:type="dxa"/>
            <w:tcMar>
              <w:top w:w="90" w:type="dxa"/>
              <w:left w:w="80" w:type="dxa"/>
              <w:bottom w:w="90" w:type="dxa"/>
              <w:right w:w="80" w:type="dxa"/>
            </w:tcMar>
            <w:vAlign w:val="center"/>
          </w:tcPr>
          <w:p w14:paraId="2BC81B23" w14:textId="77777777" w:rsidR="006929DF" w:rsidRPr="00DC6805" w:rsidRDefault="00000000">
            <w:pPr>
              <w:spacing w:after="0" w:line="240" w:lineRule="auto"/>
              <w:jc w:val="left"/>
            </w:pPr>
            <w:r w:rsidRPr="00DC6805">
              <w:rPr>
                <w:sz w:val="16"/>
              </w:rPr>
              <w:t>Phytase-treated millet porridge increased mean fractional zinc absorption from about 9.5% to 16.0%.</w:t>
            </w:r>
          </w:p>
        </w:tc>
        <w:tc>
          <w:tcPr>
            <w:tcW w:w="3096" w:type="dxa"/>
            <w:tcMar>
              <w:top w:w="90" w:type="dxa"/>
              <w:left w:w="80" w:type="dxa"/>
              <w:bottom w:w="90" w:type="dxa"/>
              <w:right w:w="80" w:type="dxa"/>
            </w:tcMar>
            <w:vAlign w:val="center"/>
          </w:tcPr>
          <w:p w14:paraId="36C5CD68" w14:textId="77777777" w:rsidR="006929DF" w:rsidRPr="00DC6805" w:rsidRDefault="00000000">
            <w:pPr>
              <w:spacing w:after="0" w:line="240" w:lineRule="auto"/>
              <w:jc w:val="left"/>
            </w:pPr>
            <w:r w:rsidRPr="00DC6805">
              <w:rPr>
                <w:sz w:val="16"/>
              </w:rPr>
              <w:t>Acute absorption response; long-term zinc status and functional outcomes were not measured.</w:t>
            </w:r>
          </w:p>
        </w:tc>
        <w:tc>
          <w:tcPr>
            <w:tcW w:w="1541" w:type="dxa"/>
            <w:tcMar>
              <w:top w:w="90" w:type="dxa"/>
              <w:left w:w="80" w:type="dxa"/>
              <w:bottom w:w="90" w:type="dxa"/>
              <w:right w:w="80" w:type="dxa"/>
            </w:tcMar>
            <w:vAlign w:val="center"/>
          </w:tcPr>
          <w:p w14:paraId="5D65D164" w14:textId="77777777" w:rsidR="006929DF" w:rsidRPr="00DC6805" w:rsidRDefault="00000000">
            <w:pPr>
              <w:spacing w:after="0" w:line="240" w:lineRule="auto"/>
              <w:jc w:val="left"/>
            </w:pPr>
            <w:r w:rsidRPr="00DC6805">
              <w:rPr>
                <w:sz w:val="16"/>
              </w:rPr>
              <w:t>(Brnić et al., 2017)</w:t>
            </w:r>
          </w:p>
        </w:tc>
      </w:tr>
      <w:tr w:rsidR="00DC6805" w:rsidRPr="00DC6805" w14:paraId="45E0572D" w14:textId="77777777">
        <w:trPr>
          <w:jc w:val="center"/>
        </w:trPr>
        <w:tc>
          <w:tcPr>
            <w:tcW w:w="1368" w:type="dxa"/>
            <w:tcMar>
              <w:top w:w="90" w:type="dxa"/>
              <w:left w:w="80" w:type="dxa"/>
              <w:bottom w:w="90" w:type="dxa"/>
              <w:right w:w="80" w:type="dxa"/>
            </w:tcMar>
            <w:vAlign w:val="center"/>
          </w:tcPr>
          <w:p w14:paraId="07F25A9D" w14:textId="77777777" w:rsidR="006929DF" w:rsidRPr="00DC6805" w:rsidRDefault="00000000">
            <w:pPr>
              <w:spacing w:after="0" w:line="240" w:lineRule="auto"/>
              <w:jc w:val="left"/>
            </w:pPr>
            <w:r w:rsidRPr="00DC6805">
              <w:rPr>
                <w:sz w:val="16"/>
              </w:rPr>
              <w:t>Biofortified pearl millet dishes</w:t>
            </w:r>
          </w:p>
        </w:tc>
        <w:tc>
          <w:tcPr>
            <w:tcW w:w="1944" w:type="dxa"/>
            <w:tcMar>
              <w:top w:w="90" w:type="dxa"/>
              <w:left w:w="80" w:type="dxa"/>
              <w:bottom w:w="90" w:type="dxa"/>
              <w:right w:w="80" w:type="dxa"/>
            </w:tcMar>
            <w:vAlign w:val="center"/>
          </w:tcPr>
          <w:p w14:paraId="778ADFD8" w14:textId="77777777" w:rsidR="006929DF" w:rsidRPr="00DC6805" w:rsidRDefault="00000000">
            <w:pPr>
              <w:spacing w:after="0" w:line="240" w:lineRule="auto"/>
              <w:jc w:val="left"/>
            </w:pPr>
            <w:r w:rsidRPr="00DC6805">
              <w:rPr>
                <w:sz w:val="16"/>
              </w:rPr>
              <w:t>Iron/zinc content, phytate-based bioavailability indicators and acceptability</w:t>
            </w:r>
          </w:p>
        </w:tc>
        <w:tc>
          <w:tcPr>
            <w:tcW w:w="1987" w:type="dxa"/>
            <w:tcMar>
              <w:top w:w="90" w:type="dxa"/>
              <w:left w:w="80" w:type="dxa"/>
              <w:bottom w:w="90" w:type="dxa"/>
              <w:right w:w="80" w:type="dxa"/>
            </w:tcMar>
            <w:vAlign w:val="center"/>
          </w:tcPr>
          <w:p w14:paraId="25BA651F" w14:textId="77777777" w:rsidR="006929DF" w:rsidRPr="00DC6805" w:rsidRDefault="00000000">
            <w:pPr>
              <w:spacing w:after="0" w:line="240" w:lineRule="auto"/>
              <w:jc w:val="left"/>
            </w:pPr>
            <w:r w:rsidRPr="00DC6805">
              <w:rPr>
                <w:sz w:val="16"/>
              </w:rPr>
              <w:t>Biofortified varieties retained higher mineral concentrations, but processing losses, phytate and sensory response shaped the net advantage.</w:t>
            </w:r>
          </w:p>
        </w:tc>
        <w:tc>
          <w:tcPr>
            <w:tcW w:w="3096" w:type="dxa"/>
            <w:tcMar>
              <w:top w:w="90" w:type="dxa"/>
              <w:left w:w="80" w:type="dxa"/>
              <w:bottom w:w="90" w:type="dxa"/>
              <w:right w:w="80" w:type="dxa"/>
            </w:tcMar>
            <w:vAlign w:val="center"/>
          </w:tcPr>
          <w:p w14:paraId="7AC60F47" w14:textId="77777777" w:rsidR="006929DF" w:rsidRPr="00DC6805" w:rsidRDefault="00000000">
            <w:pPr>
              <w:spacing w:after="0" w:line="240" w:lineRule="auto"/>
              <w:jc w:val="left"/>
            </w:pPr>
            <w:r w:rsidRPr="00DC6805">
              <w:rPr>
                <w:sz w:val="16"/>
              </w:rPr>
              <w:t>Predicted contribution and food composition are not equivalent to measured long-term micronutrient status.</w:t>
            </w:r>
          </w:p>
        </w:tc>
        <w:tc>
          <w:tcPr>
            <w:tcW w:w="1541" w:type="dxa"/>
            <w:tcMar>
              <w:top w:w="90" w:type="dxa"/>
              <w:left w:w="80" w:type="dxa"/>
              <w:bottom w:w="90" w:type="dxa"/>
              <w:right w:w="80" w:type="dxa"/>
            </w:tcMar>
            <w:vAlign w:val="center"/>
          </w:tcPr>
          <w:p w14:paraId="1B451FC4" w14:textId="77777777" w:rsidR="006929DF" w:rsidRPr="00DC6805" w:rsidRDefault="00000000">
            <w:pPr>
              <w:spacing w:after="0" w:line="240" w:lineRule="auto"/>
              <w:jc w:val="left"/>
            </w:pPr>
            <w:r w:rsidRPr="00DC6805">
              <w:rPr>
                <w:sz w:val="16"/>
              </w:rPr>
              <w:t>(Hama-Ba et al., 2019)</w:t>
            </w:r>
          </w:p>
        </w:tc>
      </w:tr>
    </w:tbl>
    <w:p w14:paraId="4A7D434C"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428B8E4E" w14:textId="77777777" w:rsidR="006929DF" w:rsidRPr="00DC6805" w:rsidRDefault="00000000">
      <w:pPr>
        <w:pStyle w:val="Heading1"/>
        <w:rPr>
          <w:color w:val="auto"/>
        </w:rPr>
      </w:pPr>
      <w:r w:rsidRPr="00DC6805">
        <w:rPr>
          <w:rFonts w:ascii="Times New Roman" w:hAnsi="Times New Roman"/>
          <w:color w:val="auto"/>
        </w:rPr>
        <w:t>6. Processing as a Nutritional Lever and a Source of Trade-offs</w:t>
      </w:r>
    </w:p>
    <w:p w14:paraId="7EDF1C0D" w14:textId="77777777" w:rsidR="006929DF" w:rsidRPr="00DC6805" w:rsidRDefault="00000000">
      <w:r w:rsidRPr="00DC6805">
        <w:t xml:space="preserve">Processing determines whether a seed blend functions as a useful complementary food. The same operation can improve one nutritional property while worsening another: decortication can reduce </w:t>
      </w:r>
      <w:proofErr w:type="spellStart"/>
      <w:r w:rsidRPr="00DC6805">
        <w:t>fibre</w:t>
      </w:r>
      <w:proofErr w:type="spellEnd"/>
      <w:r w:rsidRPr="00DC6805">
        <w:t xml:space="preserve"> and some phytate but remove mineral-rich outer fractions; fermentation can acidify a food and improve </w:t>
      </w:r>
      <w:proofErr w:type="spellStart"/>
      <w:r w:rsidRPr="00DC6805">
        <w:t>flavour</w:t>
      </w:r>
      <w:proofErr w:type="spellEnd"/>
      <w:r w:rsidRPr="00DC6805">
        <w:t xml:space="preserve"> while causing soluble nutrient losses during washing; germination can activate endogenous phytases but requires controlled moisture and microbiological hygiene; and heat can inactivate soybean trypsin inhibitors while damaging heat-sensitive vitamins or accelerating lipid oxidation if poorly controlled. The relevant question is therefore not whether a process is beneficial in general, but which process sequence produces the best net nutritional and safety outcome for a defined formulation.</w:t>
      </w:r>
    </w:p>
    <w:p w14:paraId="50441722" w14:textId="77777777" w:rsidR="006929DF" w:rsidRPr="00DC6805" w:rsidRDefault="00000000">
      <w:pPr>
        <w:pStyle w:val="Heading2"/>
        <w:rPr>
          <w:color w:val="auto"/>
        </w:rPr>
      </w:pPr>
      <w:r w:rsidRPr="00DC6805">
        <w:rPr>
          <w:rFonts w:ascii="Times New Roman" w:hAnsi="Times New Roman"/>
          <w:color w:val="auto"/>
        </w:rPr>
        <w:lastRenderedPageBreak/>
        <w:t>6.1 Decortication, Milling and Sieving</w:t>
      </w:r>
    </w:p>
    <w:p w14:paraId="5F38494B" w14:textId="77777777" w:rsidR="006929DF" w:rsidRPr="00DC6805" w:rsidRDefault="00000000">
      <w:r w:rsidRPr="00DC6805">
        <w:t xml:space="preserve">Decortication and fine milling are attractive in infant foods because they reduce coarse </w:t>
      </w:r>
      <w:proofErr w:type="spellStart"/>
      <w:r w:rsidRPr="00DC6805">
        <w:t>fibre</w:t>
      </w:r>
      <w:proofErr w:type="spellEnd"/>
      <w:r w:rsidRPr="00DC6805">
        <w:t xml:space="preserve"> and create a smooth texture. In millet, however, the bran and germ contain important minerals, lipids and other nutrients. Hama-Ba et al. (2019) documented substantial changes in mineral content during traditional processing of iron- and zinc-rich pearl millet, illustrating the possibility that the processing step chosen to improve texture can partly erase a biofortification advantage. Traditional ben-</w:t>
      </w:r>
      <w:proofErr w:type="spellStart"/>
      <w:r w:rsidRPr="00DC6805">
        <w:t>saalga</w:t>
      </w:r>
      <w:proofErr w:type="spellEnd"/>
      <w:r w:rsidRPr="00DC6805">
        <w:t xml:space="preserve"> preparation similarly involves sieving and washing stages associated with losses of dry matter and nutrients (Mouquet-Rivier et al., 2008).</w:t>
      </w:r>
    </w:p>
    <w:p w14:paraId="0D60A933" w14:textId="77777777" w:rsidR="006929DF" w:rsidRPr="00DC6805" w:rsidRDefault="00000000">
      <w:r w:rsidRPr="00DC6805">
        <w:t xml:space="preserve">This trade-off argues for measured rather than maximal refinement. The infant-food objective is a particle size and </w:t>
      </w:r>
      <w:proofErr w:type="spellStart"/>
      <w:r w:rsidRPr="00DC6805">
        <w:t>fibre</w:t>
      </w:r>
      <w:proofErr w:type="spellEnd"/>
      <w:r w:rsidRPr="00DC6805">
        <w:t xml:space="preserve"> content compatible with swallowing and gastric capacity while retaining as much nutrient-rich material as feasible. Process specifications should therefore define extraction rate, particle size and the nutrient composition of the final flour rather than assuming that a more refined flour is necessarily superior. Where decortication is used to reduce phytate or coarse </w:t>
      </w:r>
      <w:proofErr w:type="spellStart"/>
      <w:r w:rsidRPr="00DC6805">
        <w:t>fibre</w:t>
      </w:r>
      <w:proofErr w:type="spellEnd"/>
      <w:r w:rsidRPr="00DC6805">
        <w:t>, the removed nutrient mass should be quantified and considered in fortification decisions.</w:t>
      </w:r>
    </w:p>
    <w:p w14:paraId="5047D308" w14:textId="77777777" w:rsidR="006929DF" w:rsidRPr="00DC6805" w:rsidRDefault="00000000">
      <w:pPr>
        <w:pStyle w:val="Heading2"/>
        <w:rPr>
          <w:color w:val="auto"/>
        </w:rPr>
      </w:pPr>
      <w:r w:rsidRPr="00DC6805">
        <w:rPr>
          <w:rFonts w:ascii="Times New Roman" w:hAnsi="Times New Roman"/>
          <w:color w:val="auto"/>
        </w:rPr>
        <w:t>6.2 Soaking, Germination and Malting</w:t>
      </w:r>
    </w:p>
    <w:p w14:paraId="6E77BB03" w14:textId="77777777" w:rsidR="006929DF" w:rsidRPr="00DC6805" w:rsidRDefault="00000000">
      <w:r w:rsidRPr="00DC6805">
        <w:t xml:space="preserve">Soaking and germination can activate endogenous enzymes, including phytases and amylases, thereby reducing phytate and modifying starch. Reviews across cereals and legumes report substantial potential for improving mineral </w:t>
      </w:r>
      <w:proofErr w:type="spellStart"/>
      <w:r w:rsidRPr="00DC6805">
        <w:t>bioaccessibility</w:t>
      </w:r>
      <w:proofErr w:type="spellEnd"/>
      <w:r w:rsidRPr="00DC6805">
        <w:t>, although the effect varies by species, temperature, duration and subsequent heat treatment (Elliott et al., 2022; Nkhata et al., 2018). In West African household technology, malt has also been used as a source of amylase to liquefy thick porridge. These functions are attractive for Burkina Faso because they can be achieved without sophisticated equipment.</w:t>
      </w:r>
    </w:p>
    <w:p w14:paraId="024E4B85" w14:textId="77777777" w:rsidR="006929DF" w:rsidRPr="00DC6805" w:rsidRDefault="00000000">
      <w:r w:rsidRPr="00DC6805">
        <w:t xml:space="preserve">The hazards are equally practical. Germination requires warm, moist conditions that can support microbial growth if seed quality, water and drying are not controlled. It also extends processing time and may be difficult to </w:t>
      </w:r>
      <w:proofErr w:type="spellStart"/>
      <w:r w:rsidRPr="00DC6805">
        <w:t>standardise</w:t>
      </w:r>
      <w:proofErr w:type="spellEnd"/>
      <w:r w:rsidRPr="00DC6805">
        <w:t xml:space="preserve"> across small enterprises. Soaking can leach soluble nutrients, and discarding soak water creates a nutritional loss even when it lowers some antinutrients. The use of malting or germination should therefore be coupled with validated time-temperature-moisture controls and rapid drying rather than promoted as an intrinsically safe household step.</w:t>
      </w:r>
    </w:p>
    <w:p w14:paraId="10B3D050" w14:textId="77777777" w:rsidR="006929DF" w:rsidRPr="00DC6805" w:rsidRDefault="00000000">
      <w:pPr>
        <w:pStyle w:val="Heading2"/>
        <w:rPr>
          <w:color w:val="auto"/>
        </w:rPr>
      </w:pPr>
      <w:r w:rsidRPr="00DC6805">
        <w:rPr>
          <w:rFonts w:ascii="Times New Roman" w:hAnsi="Times New Roman"/>
          <w:color w:val="auto"/>
        </w:rPr>
        <w:t>6.3 Fermentation and Amylolytic Cultures</w:t>
      </w:r>
    </w:p>
    <w:p w14:paraId="5D4B39DF" w14:textId="77777777" w:rsidR="006929DF" w:rsidRPr="00DC6805" w:rsidRDefault="00000000">
      <w:r w:rsidRPr="00DC6805">
        <w:t xml:space="preserve">Fermentation is one of the most promising local technologies because it combines acidification, </w:t>
      </w:r>
      <w:proofErr w:type="spellStart"/>
      <w:r w:rsidRPr="00DC6805">
        <w:t>flavour</w:t>
      </w:r>
      <w:proofErr w:type="spellEnd"/>
      <w:r w:rsidRPr="00DC6805">
        <w:t xml:space="preserve"> development and potential viscosity reduction. Research on ben-</w:t>
      </w:r>
      <w:proofErr w:type="spellStart"/>
      <w:r w:rsidRPr="00DC6805">
        <w:t>saalga</w:t>
      </w:r>
      <w:proofErr w:type="spellEnd"/>
      <w:r w:rsidRPr="00DC6805">
        <w:t xml:space="preserve"> identified a lactic-acid-bacteria-dominated fermentation ecosystem with significant process variability between production units (Tou et al., 2006). Isolates from this ecosystem displayed enzymatic activities relevant to cereal transformation (</w:t>
      </w:r>
      <w:proofErr w:type="spellStart"/>
      <w:r w:rsidRPr="00DC6805">
        <w:t>Songré</w:t>
      </w:r>
      <w:proofErr w:type="spellEnd"/>
      <w:r w:rsidRPr="00DC6805">
        <w:t>-Ouattara et al., 2008). Subsequent experimental work showed that selected amylolytic lactic acid bacteria could produce high-energy millet-groundnut gruels with lower viscosity (</w:t>
      </w:r>
      <w:proofErr w:type="spellStart"/>
      <w:r w:rsidRPr="00DC6805">
        <w:t>Songré</w:t>
      </w:r>
      <w:proofErr w:type="spellEnd"/>
      <w:r w:rsidRPr="00DC6805">
        <w:t>-Ouattara et al., 2009).</w:t>
      </w:r>
    </w:p>
    <w:p w14:paraId="29F80252" w14:textId="77777777" w:rsidR="006929DF" w:rsidRPr="00DC6805" w:rsidRDefault="00000000">
      <w:r w:rsidRPr="00DC6805">
        <w:t xml:space="preserve">Yet fermentation should not be described as a universal antinutrient solution. In a pearl millet-soybean slurry, </w:t>
      </w:r>
      <w:proofErr w:type="spellStart"/>
      <w:r w:rsidRPr="00DC6805">
        <w:t>Songré</w:t>
      </w:r>
      <w:proofErr w:type="spellEnd"/>
      <w:r w:rsidRPr="00DC6805">
        <w:t xml:space="preserve">-Ouattara et al. (2010) found that neither </w:t>
      </w:r>
      <w:proofErr w:type="spellStart"/>
      <w:r w:rsidRPr="00DC6805">
        <w:t>backslopping</w:t>
      </w:r>
      <w:proofErr w:type="spellEnd"/>
      <w:r w:rsidRPr="00DC6805">
        <w:t xml:space="preserve"> nor the tested starter produced the desired reduction in phytate under the studied conditions. This negative result is scientifically important because it demonstrates matrix dependence. Fermentation performance reflects substrate composition, endogenous phytase activity, microbial strain, pH trajectory, temperature and processing duration. A starter selected for amylolysis may not be the best strain for phytate degradation.</w:t>
      </w:r>
    </w:p>
    <w:p w14:paraId="2A7DC341" w14:textId="77777777" w:rsidR="006929DF" w:rsidRPr="00DC6805" w:rsidRDefault="00000000">
      <w:r w:rsidRPr="00DC6805">
        <w:t xml:space="preserve">For commercial </w:t>
      </w:r>
      <w:proofErr w:type="spellStart"/>
      <w:r w:rsidRPr="00DC6805">
        <w:t>valorisation</w:t>
      </w:r>
      <w:proofErr w:type="spellEnd"/>
      <w:r w:rsidRPr="00DC6805">
        <w:t xml:space="preserve">, controlled starter cultures offer a route to greater consistency than spontaneous fermentation or uncontrolled </w:t>
      </w:r>
      <w:proofErr w:type="spellStart"/>
      <w:r w:rsidRPr="00DC6805">
        <w:t>backslopping</w:t>
      </w:r>
      <w:proofErr w:type="spellEnd"/>
      <w:r w:rsidRPr="00DC6805">
        <w:t xml:space="preserve">. Their introduction, however, requires a supply chain for culture maintenance, defined inoculation procedures, operator training and validation that the product reaches safe </w:t>
      </w:r>
      <w:r w:rsidRPr="00DC6805">
        <w:lastRenderedPageBreak/>
        <w:t>acidity and moisture targets. A low-tech process can remain scientifically controlled if critical parameters are simple, measurable and enforced.</w:t>
      </w:r>
    </w:p>
    <w:p w14:paraId="35B868AF" w14:textId="77777777" w:rsidR="006929DF" w:rsidRPr="00DC6805" w:rsidRDefault="00000000">
      <w:pPr>
        <w:pStyle w:val="Heading2"/>
        <w:rPr>
          <w:color w:val="auto"/>
        </w:rPr>
      </w:pPr>
      <w:r w:rsidRPr="00DC6805">
        <w:rPr>
          <w:rFonts w:ascii="Times New Roman" w:hAnsi="Times New Roman"/>
          <w:color w:val="auto"/>
        </w:rPr>
        <w:t>6.4 Heat Treatment, Roasting and Antinutritional Factors</w:t>
      </w:r>
    </w:p>
    <w:p w14:paraId="7E94D3C4" w14:textId="77777777" w:rsidR="006929DF" w:rsidRPr="00DC6805" w:rsidRDefault="00000000">
      <w:r w:rsidRPr="00DC6805">
        <w:t xml:space="preserve">Heat is indispensable for cereal starch </w:t>
      </w:r>
      <w:proofErr w:type="spellStart"/>
      <w:r w:rsidRPr="00DC6805">
        <w:t>gelatinisation</w:t>
      </w:r>
      <w:proofErr w:type="spellEnd"/>
      <w:r w:rsidRPr="00DC6805">
        <w:t xml:space="preserve"> and for inactivating heat-labile antinutritional factors in legumes. Soybean is a clear example: trypsin inhibitors reduce protein digestibility when inadequately inactivated, while excessive heat can impair protein quality through chemical modification. Contemporary reviews </w:t>
      </w:r>
      <w:proofErr w:type="spellStart"/>
      <w:r w:rsidRPr="00DC6805">
        <w:t>emphasise</w:t>
      </w:r>
      <w:proofErr w:type="spellEnd"/>
      <w:r w:rsidRPr="00DC6805">
        <w:t xml:space="preserve"> that time, temperature and moisture determine the balance between sufficient trypsin-inhibitor inactivation and overprocessing (Luo et al., 2025). A formulation containing soybean should therefore specify a validated heat treatment rather than rely on the generic instruction to roast or cook thoroughly.</w:t>
      </w:r>
    </w:p>
    <w:p w14:paraId="2E8D105F" w14:textId="77777777" w:rsidR="006929DF" w:rsidRPr="00DC6805" w:rsidRDefault="00000000">
      <w:r w:rsidRPr="00DC6805">
        <w:t xml:space="preserve">Roasting groundnut can improve </w:t>
      </w:r>
      <w:proofErr w:type="spellStart"/>
      <w:r w:rsidRPr="00DC6805">
        <w:t>flavour</w:t>
      </w:r>
      <w:proofErr w:type="spellEnd"/>
      <w:r w:rsidRPr="00DC6805">
        <w:t xml:space="preserve"> and reduce moisture, but it cannot be relied upon to make aflatoxin-contaminated kernels safe because aflatoxins are relatively heat stable under ordinary food-processing conditions. Safety must begin with raw-material selection. Similarly, cooking will reduce many vegetative microorganisms but will not compensate for contaminated ingredients, toxin formation before cooking, or post-cooking recontamination. The concept of a final heat step should not obscure the need for preventive control earlier in the chain.</w:t>
      </w:r>
    </w:p>
    <w:p w14:paraId="74B9E440" w14:textId="77777777" w:rsidR="006929DF" w:rsidRPr="00DC6805" w:rsidRDefault="00000000">
      <w:pPr>
        <w:pStyle w:val="Heading2"/>
        <w:rPr>
          <w:color w:val="auto"/>
        </w:rPr>
      </w:pPr>
      <w:r w:rsidRPr="00DC6805">
        <w:rPr>
          <w:rFonts w:ascii="Times New Roman" w:hAnsi="Times New Roman"/>
          <w:color w:val="auto"/>
        </w:rPr>
        <w:t>6.5 Enzyme Treatment, Fortification and Hybrid Processing</w:t>
      </w:r>
    </w:p>
    <w:p w14:paraId="1A765FFE" w14:textId="77777777" w:rsidR="006929DF" w:rsidRPr="00DC6805" w:rsidRDefault="00000000">
      <w:r w:rsidRPr="00DC6805">
        <w:t>Phytase addition is a more controlled approach to phytate degradation than relying solely on spontaneous biological processes. Brnić et al. (2017) provide direct Burkina Faso evidence that phytase treatment can improve zinc absorption from millet porridge. The broader mechanistic literature supports phytate degradation as a strategy to improve mineral bioavailability, particularly in cereal-based diets (Gibson et al., 2006; Hurrell, 2004). Nevertheless, enzyme treatment adds cost and supply-chain dependence and must be validated within the exact recipe and cooking sequence.</w:t>
      </w:r>
    </w:p>
    <w:p w14:paraId="4A4D46C0" w14:textId="77777777" w:rsidR="006929DF" w:rsidRPr="00DC6805" w:rsidRDefault="00000000">
      <w:r w:rsidRPr="00DC6805">
        <w:t>Fortification is similarly best understood as part of a processing system, not an isolated premix addition. Premix choice must consider mineral compounds, sensory effects, stability, mixing uniformity and the inhibitory meal matrix. If mineral fortification is added before an uncontrolled washing or decanting step, losses may be substantial. If it is added after heat treatment without hygienic control, contamination may be introduced. Small processors need simple blending equipment, batch documentation and periodic laboratory verification of micronutrient content. Hybrid approaches that combine locally sourced seed matrices with targeted fortification may be more nutritionally defensible than either unfortified localism or highly processed imported substitutes.</w:t>
      </w:r>
    </w:p>
    <w:p w14:paraId="11A0056D" w14:textId="77777777" w:rsidR="006929DF" w:rsidRPr="00DC6805" w:rsidRDefault="00000000">
      <w:r w:rsidRPr="00DC6805">
        <w:t xml:space="preserve">Processing choices are therefore best evaluated as linked operations rather than isolated household techniques. Table 3 </w:t>
      </w:r>
      <w:proofErr w:type="spellStart"/>
      <w:r w:rsidRPr="00DC6805">
        <w:t>summarises</w:t>
      </w:r>
      <w:proofErr w:type="spellEnd"/>
      <w:r w:rsidRPr="00DC6805">
        <w:t xml:space="preserve"> the principal benefits and countervailing risks of the processing options most relevant to local seed formulations. It also highlights where direct Burkina Faso evidence exists and where recommendations rely mainly on broader cereal-legume processing evidence.</w:t>
      </w:r>
    </w:p>
    <w:p w14:paraId="42FCD9A0" w14:textId="77777777" w:rsidR="006929DF" w:rsidRPr="00DC6805" w:rsidRDefault="00000000">
      <w:pPr>
        <w:keepNext/>
        <w:spacing w:before="100" w:after="0"/>
      </w:pPr>
      <w:r w:rsidRPr="00DC6805">
        <w:rPr>
          <w:b/>
          <w:sz w:val="21"/>
        </w:rPr>
        <w:t>Table 3</w:t>
      </w:r>
    </w:p>
    <w:p w14:paraId="79359D59" w14:textId="77777777" w:rsidR="006929DF" w:rsidRPr="00DC6805" w:rsidRDefault="00000000">
      <w:pPr>
        <w:keepNext/>
        <w:spacing w:after="100"/>
      </w:pPr>
      <w:r w:rsidRPr="00DC6805">
        <w:rPr>
          <w:i/>
          <w:sz w:val="21"/>
        </w:rPr>
        <w:t>Processing options for local seed complementary foods: benefits, trade-offs and control requirements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38BF97AB" w14:textId="77777777">
        <w:trPr>
          <w:tblHeader/>
          <w:jc w:val="center"/>
        </w:trPr>
        <w:tc>
          <w:tcPr>
            <w:tcW w:w="1368" w:type="dxa"/>
            <w:shd w:val="clear" w:color="auto" w:fill="D9E2F3"/>
            <w:tcMar>
              <w:top w:w="90" w:type="dxa"/>
              <w:left w:w="80" w:type="dxa"/>
              <w:bottom w:w="90" w:type="dxa"/>
              <w:right w:w="80" w:type="dxa"/>
            </w:tcMar>
            <w:vAlign w:val="center"/>
          </w:tcPr>
          <w:p w14:paraId="18E25173" w14:textId="77777777" w:rsidR="006929DF" w:rsidRPr="00DC6805" w:rsidRDefault="00000000">
            <w:pPr>
              <w:spacing w:after="0" w:line="240" w:lineRule="auto"/>
              <w:jc w:val="center"/>
            </w:pPr>
            <w:r w:rsidRPr="00DC6805">
              <w:rPr>
                <w:b/>
                <w:sz w:val="16"/>
              </w:rPr>
              <w:t>Processing operation</w:t>
            </w:r>
          </w:p>
        </w:tc>
        <w:tc>
          <w:tcPr>
            <w:tcW w:w="1944" w:type="dxa"/>
            <w:shd w:val="clear" w:color="auto" w:fill="D9E2F3"/>
            <w:tcMar>
              <w:top w:w="90" w:type="dxa"/>
              <w:left w:w="80" w:type="dxa"/>
              <w:bottom w:w="90" w:type="dxa"/>
              <w:right w:w="80" w:type="dxa"/>
            </w:tcMar>
            <w:vAlign w:val="center"/>
          </w:tcPr>
          <w:p w14:paraId="3D5B74D4" w14:textId="77777777" w:rsidR="006929DF" w:rsidRPr="00DC6805" w:rsidRDefault="00000000">
            <w:pPr>
              <w:spacing w:after="0" w:line="240" w:lineRule="auto"/>
              <w:jc w:val="center"/>
            </w:pPr>
            <w:r w:rsidRPr="00DC6805">
              <w:rPr>
                <w:b/>
                <w:sz w:val="16"/>
              </w:rPr>
              <w:t>Potential benefit</w:t>
            </w:r>
          </w:p>
        </w:tc>
        <w:tc>
          <w:tcPr>
            <w:tcW w:w="1987" w:type="dxa"/>
            <w:shd w:val="clear" w:color="auto" w:fill="D9E2F3"/>
            <w:tcMar>
              <w:top w:w="90" w:type="dxa"/>
              <w:left w:w="80" w:type="dxa"/>
              <w:bottom w:w="90" w:type="dxa"/>
              <w:right w:w="80" w:type="dxa"/>
            </w:tcMar>
            <w:vAlign w:val="center"/>
          </w:tcPr>
          <w:p w14:paraId="789DD0DD" w14:textId="77777777" w:rsidR="006929DF" w:rsidRPr="00DC6805" w:rsidRDefault="00000000">
            <w:pPr>
              <w:spacing w:after="0" w:line="240" w:lineRule="auto"/>
              <w:jc w:val="center"/>
            </w:pPr>
            <w:r w:rsidRPr="00DC6805">
              <w:rPr>
                <w:b/>
                <w:sz w:val="16"/>
              </w:rPr>
              <w:t>Important trade-off or risk</w:t>
            </w:r>
          </w:p>
        </w:tc>
        <w:tc>
          <w:tcPr>
            <w:tcW w:w="3096" w:type="dxa"/>
            <w:shd w:val="clear" w:color="auto" w:fill="D9E2F3"/>
            <w:tcMar>
              <w:top w:w="90" w:type="dxa"/>
              <w:left w:w="80" w:type="dxa"/>
              <w:bottom w:w="90" w:type="dxa"/>
              <w:right w:w="80" w:type="dxa"/>
            </w:tcMar>
            <w:vAlign w:val="center"/>
          </w:tcPr>
          <w:p w14:paraId="5962A50C" w14:textId="77777777" w:rsidR="006929DF" w:rsidRPr="00DC6805" w:rsidRDefault="00000000">
            <w:pPr>
              <w:spacing w:after="0" w:line="240" w:lineRule="auto"/>
              <w:jc w:val="center"/>
            </w:pPr>
            <w:r w:rsidRPr="00DC6805">
              <w:rPr>
                <w:b/>
                <w:sz w:val="16"/>
              </w:rPr>
              <w:t>Implication for formulation practice</w:t>
            </w:r>
          </w:p>
        </w:tc>
        <w:tc>
          <w:tcPr>
            <w:tcW w:w="1541" w:type="dxa"/>
            <w:shd w:val="clear" w:color="auto" w:fill="D9E2F3"/>
            <w:tcMar>
              <w:top w:w="90" w:type="dxa"/>
              <w:left w:w="80" w:type="dxa"/>
              <w:bottom w:w="90" w:type="dxa"/>
              <w:right w:w="80" w:type="dxa"/>
            </w:tcMar>
            <w:vAlign w:val="center"/>
          </w:tcPr>
          <w:p w14:paraId="38629374" w14:textId="77777777" w:rsidR="006929DF" w:rsidRPr="00DC6805" w:rsidRDefault="00000000">
            <w:pPr>
              <w:spacing w:after="0" w:line="240" w:lineRule="auto"/>
              <w:jc w:val="center"/>
            </w:pPr>
            <w:r w:rsidRPr="00DC6805">
              <w:rPr>
                <w:b/>
                <w:sz w:val="16"/>
              </w:rPr>
              <w:t>Supporting references</w:t>
            </w:r>
          </w:p>
        </w:tc>
      </w:tr>
      <w:tr w:rsidR="00DC6805" w:rsidRPr="00DC6805" w14:paraId="021F8B70" w14:textId="77777777">
        <w:trPr>
          <w:jc w:val="center"/>
        </w:trPr>
        <w:tc>
          <w:tcPr>
            <w:tcW w:w="1368" w:type="dxa"/>
            <w:tcMar>
              <w:top w:w="90" w:type="dxa"/>
              <w:left w:w="80" w:type="dxa"/>
              <w:bottom w:w="90" w:type="dxa"/>
              <w:right w:w="80" w:type="dxa"/>
            </w:tcMar>
            <w:vAlign w:val="center"/>
          </w:tcPr>
          <w:p w14:paraId="292A3C63" w14:textId="77777777" w:rsidR="006929DF" w:rsidRPr="00DC6805" w:rsidRDefault="00000000">
            <w:pPr>
              <w:spacing w:after="0" w:line="240" w:lineRule="auto"/>
              <w:jc w:val="left"/>
            </w:pPr>
            <w:r w:rsidRPr="00DC6805">
              <w:rPr>
                <w:sz w:val="16"/>
              </w:rPr>
              <w:t>Decortication, milling and sieving</w:t>
            </w:r>
          </w:p>
        </w:tc>
        <w:tc>
          <w:tcPr>
            <w:tcW w:w="1944" w:type="dxa"/>
            <w:tcMar>
              <w:top w:w="90" w:type="dxa"/>
              <w:left w:w="80" w:type="dxa"/>
              <w:bottom w:w="90" w:type="dxa"/>
              <w:right w:w="80" w:type="dxa"/>
            </w:tcMar>
            <w:vAlign w:val="center"/>
          </w:tcPr>
          <w:p w14:paraId="545B5D75" w14:textId="77777777" w:rsidR="006929DF" w:rsidRPr="00DC6805" w:rsidRDefault="00000000">
            <w:pPr>
              <w:spacing w:after="0" w:line="240" w:lineRule="auto"/>
              <w:jc w:val="left"/>
            </w:pPr>
            <w:r w:rsidRPr="00DC6805">
              <w:rPr>
                <w:sz w:val="16"/>
              </w:rPr>
              <w:t xml:space="preserve">Smoother texture; lower coarse </w:t>
            </w:r>
            <w:proofErr w:type="spellStart"/>
            <w:r w:rsidRPr="00DC6805">
              <w:rPr>
                <w:sz w:val="16"/>
              </w:rPr>
              <w:t>fibre</w:t>
            </w:r>
            <w:proofErr w:type="spellEnd"/>
            <w:r w:rsidRPr="00DC6805">
              <w:rPr>
                <w:sz w:val="16"/>
              </w:rPr>
              <w:t>; may reduce some phytate-rich outer fractions.</w:t>
            </w:r>
          </w:p>
        </w:tc>
        <w:tc>
          <w:tcPr>
            <w:tcW w:w="1987" w:type="dxa"/>
            <w:tcMar>
              <w:top w:w="90" w:type="dxa"/>
              <w:left w:w="80" w:type="dxa"/>
              <w:bottom w:w="90" w:type="dxa"/>
              <w:right w:w="80" w:type="dxa"/>
            </w:tcMar>
            <w:vAlign w:val="center"/>
          </w:tcPr>
          <w:p w14:paraId="501D33E2" w14:textId="77777777" w:rsidR="006929DF" w:rsidRPr="00DC6805" w:rsidRDefault="00000000">
            <w:pPr>
              <w:spacing w:after="0" w:line="240" w:lineRule="auto"/>
              <w:jc w:val="left"/>
            </w:pPr>
            <w:r w:rsidRPr="00DC6805">
              <w:rPr>
                <w:sz w:val="16"/>
              </w:rPr>
              <w:t>Loss of mineral-, lipid- and protein-rich fractions; excessive refinement can erase part of a biofortification advantage.</w:t>
            </w:r>
          </w:p>
        </w:tc>
        <w:tc>
          <w:tcPr>
            <w:tcW w:w="3096" w:type="dxa"/>
            <w:tcMar>
              <w:top w:w="90" w:type="dxa"/>
              <w:left w:w="80" w:type="dxa"/>
              <w:bottom w:w="90" w:type="dxa"/>
              <w:right w:w="80" w:type="dxa"/>
            </w:tcMar>
            <w:vAlign w:val="center"/>
          </w:tcPr>
          <w:p w14:paraId="0B5C51E7" w14:textId="77777777" w:rsidR="006929DF" w:rsidRPr="00DC6805" w:rsidRDefault="00000000">
            <w:pPr>
              <w:spacing w:after="0" w:line="240" w:lineRule="auto"/>
              <w:jc w:val="left"/>
            </w:pPr>
            <w:r w:rsidRPr="00DC6805">
              <w:rPr>
                <w:sz w:val="16"/>
              </w:rPr>
              <w:t xml:space="preserve">Specify extraction rate and final nutrient composition rather than </w:t>
            </w:r>
            <w:proofErr w:type="spellStart"/>
            <w:r w:rsidRPr="00DC6805">
              <w:rPr>
                <w:sz w:val="16"/>
              </w:rPr>
              <w:t>maximising</w:t>
            </w:r>
            <w:proofErr w:type="spellEnd"/>
            <w:r w:rsidRPr="00DC6805">
              <w:rPr>
                <w:sz w:val="16"/>
              </w:rPr>
              <w:t xml:space="preserve"> refinement.</w:t>
            </w:r>
          </w:p>
        </w:tc>
        <w:tc>
          <w:tcPr>
            <w:tcW w:w="1541" w:type="dxa"/>
            <w:tcMar>
              <w:top w:w="90" w:type="dxa"/>
              <w:left w:w="80" w:type="dxa"/>
              <w:bottom w:w="90" w:type="dxa"/>
              <w:right w:w="80" w:type="dxa"/>
            </w:tcMar>
            <w:vAlign w:val="center"/>
          </w:tcPr>
          <w:p w14:paraId="6FBEB480" w14:textId="77777777" w:rsidR="006929DF" w:rsidRPr="00DC6805" w:rsidRDefault="00000000">
            <w:pPr>
              <w:spacing w:after="0" w:line="240" w:lineRule="auto"/>
              <w:jc w:val="left"/>
            </w:pPr>
            <w:r w:rsidRPr="00DC6805">
              <w:rPr>
                <w:sz w:val="16"/>
              </w:rPr>
              <w:t>(Mouquet-Rivier et al., 2008; Hama-Ba et al., 2019)</w:t>
            </w:r>
          </w:p>
        </w:tc>
      </w:tr>
      <w:tr w:rsidR="00DC6805" w:rsidRPr="00DC6805" w14:paraId="121297E9" w14:textId="77777777">
        <w:trPr>
          <w:jc w:val="center"/>
        </w:trPr>
        <w:tc>
          <w:tcPr>
            <w:tcW w:w="1368" w:type="dxa"/>
            <w:tcMar>
              <w:top w:w="90" w:type="dxa"/>
              <w:left w:w="80" w:type="dxa"/>
              <w:bottom w:w="90" w:type="dxa"/>
              <w:right w:w="80" w:type="dxa"/>
            </w:tcMar>
            <w:vAlign w:val="center"/>
          </w:tcPr>
          <w:p w14:paraId="0F3501C3" w14:textId="77777777" w:rsidR="006929DF" w:rsidRPr="00DC6805" w:rsidRDefault="00000000">
            <w:pPr>
              <w:spacing w:after="0" w:line="240" w:lineRule="auto"/>
              <w:jc w:val="left"/>
            </w:pPr>
            <w:r w:rsidRPr="00DC6805">
              <w:rPr>
                <w:sz w:val="16"/>
              </w:rPr>
              <w:t>Soaking and washing</w:t>
            </w:r>
          </w:p>
        </w:tc>
        <w:tc>
          <w:tcPr>
            <w:tcW w:w="1944" w:type="dxa"/>
            <w:tcMar>
              <w:top w:w="90" w:type="dxa"/>
              <w:left w:w="80" w:type="dxa"/>
              <w:bottom w:w="90" w:type="dxa"/>
              <w:right w:w="80" w:type="dxa"/>
            </w:tcMar>
            <w:vAlign w:val="center"/>
          </w:tcPr>
          <w:p w14:paraId="7F91408C" w14:textId="77777777" w:rsidR="006929DF" w:rsidRPr="00DC6805" w:rsidRDefault="00000000">
            <w:pPr>
              <w:spacing w:after="0" w:line="240" w:lineRule="auto"/>
              <w:jc w:val="left"/>
            </w:pPr>
            <w:r w:rsidRPr="00DC6805">
              <w:rPr>
                <w:sz w:val="16"/>
              </w:rPr>
              <w:t xml:space="preserve">Can reduce soluble antinutritional compounds </w:t>
            </w:r>
            <w:r w:rsidRPr="00DC6805">
              <w:rPr>
                <w:sz w:val="16"/>
              </w:rPr>
              <w:lastRenderedPageBreak/>
              <w:t>and prepare grain for germination or wet milling.</w:t>
            </w:r>
          </w:p>
        </w:tc>
        <w:tc>
          <w:tcPr>
            <w:tcW w:w="1987" w:type="dxa"/>
            <w:tcMar>
              <w:top w:w="90" w:type="dxa"/>
              <w:left w:w="80" w:type="dxa"/>
              <w:bottom w:w="90" w:type="dxa"/>
              <w:right w:w="80" w:type="dxa"/>
            </w:tcMar>
            <w:vAlign w:val="center"/>
          </w:tcPr>
          <w:p w14:paraId="0266403C" w14:textId="77777777" w:rsidR="006929DF" w:rsidRPr="00DC6805" w:rsidRDefault="00000000">
            <w:pPr>
              <w:spacing w:after="0" w:line="240" w:lineRule="auto"/>
              <w:jc w:val="left"/>
            </w:pPr>
            <w:r w:rsidRPr="00DC6805">
              <w:rPr>
                <w:sz w:val="16"/>
              </w:rPr>
              <w:lastRenderedPageBreak/>
              <w:t xml:space="preserve">Leaching of soluble nutrients; contaminated </w:t>
            </w:r>
            <w:r w:rsidRPr="00DC6805">
              <w:rPr>
                <w:sz w:val="16"/>
              </w:rPr>
              <w:lastRenderedPageBreak/>
              <w:t>water can introduce microbial risk.</w:t>
            </w:r>
          </w:p>
        </w:tc>
        <w:tc>
          <w:tcPr>
            <w:tcW w:w="3096" w:type="dxa"/>
            <w:tcMar>
              <w:top w:w="90" w:type="dxa"/>
              <w:left w:w="80" w:type="dxa"/>
              <w:bottom w:w="90" w:type="dxa"/>
              <w:right w:w="80" w:type="dxa"/>
            </w:tcMar>
            <w:vAlign w:val="center"/>
          </w:tcPr>
          <w:p w14:paraId="27BAFD90" w14:textId="77777777" w:rsidR="006929DF" w:rsidRPr="00DC6805" w:rsidRDefault="00000000">
            <w:pPr>
              <w:spacing w:after="0" w:line="240" w:lineRule="auto"/>
              <w:jc w:val="left"/>
            </w:pPr>
            <w:r w:rsidRPr="00DC6805">
              <w:rPr>
                <w:sz w:val="16"/>
              </w:rPr>
              <w:lastRenderedPageBreak/>
              <w:t>Validate duration, water quality and whether soak water is discarded.</w:t>
            </w:r>
          </w:p>
        </w:tc>
        <w:tc>
          <w:tcPr>
            <w:tcW w:w="1541" w:type="dxa"/>
            <w:tcMar>
              <w:top w:w="90" w:type="dxa"/>
              <w:left w:w="80" w:type="dxa"/>
              <w:bottom w:w="90" w:type="dxa"/>
              <w:right w:w="80" w:type="dxa"/>
            </w:tcMar>
            <w:vAlign w:val="center"/>
          </w:tcPr>
          <w:p w14:paraId="4B9E46E5" w14:textId="77777777" w:rsidR="006929DF" w:rsidRPr="00DC6805" w:rsidRDefault="00000000">
            <w:pPr>
              <w:spacing w:after="0" w:line="240" w:lineRule="auto"/>
              <w:jc w:val="left"/>
            </w:pPr>
            <w:r w:rsidRPr="00DC6805">
              <w:rPr>
                <w:sz w:val="16"/>
              </w:rPr>
              <w:t>(Gibson et al., 2006; Nkhata et al., 2018)</w:t>
            </w:r>
          </w:p>
        </w:tc>
      </w:tr>
      <w:tr w:rsidR="00DC6805" w:rsidRPr="00DC6805" w14:paraId="3D83D81E" w14:textId="77777777">
        <w:trPr>
          <w:jc w:val="center"/>
        </w:trPr>
        <w:tc>
          <w:tcPr>
            <w:tcW w:w="1368" w:type="dxa"/>
            <w:tcMar>
              <w:top w:w="90" w:type="dxa"/>
              <w:left w:w="80" w:type="dxa"/>
              <w:bottom w:w="90" w:type="dxa"/>
              <w:right w:w="80" w:type="dxa"/>
            </w:tcMar>
            <w:vAlign w:val="center"/>
          </w:tcPr>
          <w:p w14:paraId="6E5A7B84" w14:textId="77777777" w:rsidR="006929DF" w:rsidRPr="00DC6805" w:rsidRDefault="00000000">
            <w:pPr>
              <w:spacing w:after="0" w:line="240" w:lineRule="auto"/>
              <w:jc w:val="left"/>
            </w:pPr>
            <w:r w:rsidRPr="00DC6805">
              <w:rPr>
                <w:sz w:val="16"/>
              </w:rPr>
              <w:t>Germination or malting</w:t>
            </w:r>
          </w:p>
        </w:tc>
        <w:tc>
          <w:tcPr>
            <w:tcW w:w="1944" w:type="dxa"/>
            <w:tcMar>
              <w:top w:w="90" w:type="dxa"/>
              <w:left w:w="80" w:type="dxa"/>
              <w:bottom w:w="90" w:type="dxa"/>
              <w:right w:w="80" w:type="dxa"/>
            </w:tcMar>
            <w:vAlign w:val="center"/>
          </w:tcPr>
          <w:p w14:paraId="204167CC" w14:textId="77777777" w:rsidR="006929DF" w:rsidRPr="00DC6805" w:rsidRDefault="00000000">
            <w:pPr>
              <w:spacing w:after="0" w:line="240" w:lineRule="auto"/>
              <w:jc w:val="left"/>
            </w:pPr>
            <w:r w:rsidRPr="00DC6805">
              <w:rPr>
                <w:sz w:val="16"/>
              </w:rPr>
              <w:t>Activates endogenous amylases and phytases; can reduce viscosity and phytate.</w:t>
            </w:r>
          </w:p>
        </w:tc>
        <w:tc>
          <w:tcPr>
            <w:tcW w:w="1987" w:type="dxa"/>
            <w:tcMar>
              <w:top w:w="90" w:type="dxa"/>
              <w:left w:w="80" w:type="dxa"/>
              <w:bottom w:w="90" w:type="dxa"/>
              <w:right w:w="80" w:type="dxa"/>
            </w:tcMar>
            <w:vAlign w:val="center"/>
          </w:tcPr>
          <w:p w14:paraId="0837C5DE" w14:textId="77777777" w:rsidR="006929DF" w:rsidRPr="00DC6805" w:rsidRDefault="00000000">
            <w:pPr>
              <w:spacing w:after="0" w:line="240" w:lineRule="auto"/>
              <w:jc w:val="left"/>
            </w:pPr>
            <w:r w:rsidRPr="00DC6805">
              <w:rPr>
                <w:sz w:val="16"/>
              </w:rPr>
              <w:t>Warm moist conditions can support microbial growth; process time and drying require control.</w:t>
            </w:r>
          </w:p>
        </w:tc>
        <w:tc>
          <w:tcPr>
            <w:tcW w:w="3096" w:type="dxa"/>
            <w:tcMar>
              <w:top w:w="90" w:type="dxa"/>
              <w:left w:w="80" w:type="dxa"/>
              <w:bottom w:w="90" w:type="dxa"/>
              <w:right w:w="80" w:type="dxa"/>
            </w:tcMar>
            <w:vAlign w:val="center"/>
          </w:tcPr>
          <w:p w14:paraId="5EAE976F" w14:textId="77777777" w:rsidR="006929DF" w:rsidRPr="00DC6805" w:rsidRDefault="00000000">
            <w:pPr>
              <w:spacing w:after="0" w:line="240" w:lineRule="auto"/>
              <w:jc w:val="left"/>
            </w:pPr>
            <w:r w:rsidRPr="00DC6805">
              <w:rPr>
                <w:sz w:val="16"/>
              </w:rPr>
              <w:t>Use defined time-temperature-moisture conditions and rapid hygienic drying.</w:t>
            </w:r>
          </w:p>
        </w:tc>
        <w:tc>
          <w:tcPr>
            <w:tcW w:w="1541" w:type="dxa"/>
            <w:tcMar>
              <w:top w:w="90" w:type="dxa"/>
              <w:left w:w="80" w:type="dxa"/>
              <w:bottom w:w="90" w:type="dxa"/>
              <w:right w:w="80" w:type="dxa"/>
            </w:tcMar>
            <w:vAlign w:val="center"/>
          </w:tcPr>
          <w:p w14:paraId="6AF46998" w14:textId="77777777" w:rsidR="006929DF" w:rsidRPr="00DC6805" w:rsidRDefault="00000000">
            <w:pPr>
              <w:spacing w:after="0" w:line="240" w:lineRule="auto"/>
              <w:jc w:val="left"/>
            </w:pPr>
            <w:r w:rsidRPr="00DC6805">
              <w:rPr>
                <w:sz w:val="16"/>
              </w:rPr>
              <w:t>(Elliott et al., 2022; Nkhata et al., 2018)</w:t>
            </w:r>
          </w:p>
        </w:tc>
      </w:tr>
      <w:tr w:rsidR="00DC6805" w:rsidRPr="00DC6805" w14:paraId="76F174EE" w14:textId="77777777">
        <w:trPr>
          <w:jc w:val="center"/>
        </w:trPr>
        <w:tc>
          <w:tcPr>
            <w:tcW w:w="1368" w:type="dxa"/>
            <w:tcMar>
              <w:top w:w="90" w:type="dxa"/>
              <w:left w:w="80" w:type="dxa"/>
              <w:bottom w:w="90" w:type="dxa"/>
              <w:right w:w="80" w:type="dxa"/>
            </w:tcMar>
            <w:vAlign w:val="center"/>
          </w:tcPr>
          <w:p w14:paraId="0606BFF5" w14:textId="77777777" w:rsidR="006929DF" w:rsidRPr="00DC6805" w:rsidRDefault="00000000">
            <w:pPr>
              <w:spacing w:after="0" w:line="240" w:lineRule="auto"/>
              <w:jc w:val="left"/>
            </w:pPr>
            <w:r w:rsidRPr="00DC6805">
              <w:rPr>
                <w:sz w:val="16"/>
              </w:rPr>
              <w:t>Controlled lactic fermentation</w:t>
            </w:r>
          </w:p>
        </w:tc>
        <w:tc>
          <w:tcPr>
            <w:tcW w:w="1944" w:type="dxa"/>
            <w:tcMar>
              <w:top w:w="90" w:type="dxa"/>
              <w:left w:w="80" w:type="dxa"/>
              <w:bottom w:w="90" w:type="dxa"/>
              <w:right w:w="80" w:type="dxa"/>
            </w:tcMar>
            <w:vAlign w:val="center"/>
          </w:tcPr>
          <w:p w14:paraId="4BFED14D" w14:textId="77777777" w:rsidR="006929DF" w:rsidRPr="00DC6805" w:rsidRDefault="00000000">
            <w:pPr>
              <w:spacing w:after="0" w:line="240" w:lineRule="auto"/>
              <w:jc w:val="left"/>
            </w:pPr>
            <w:r w:rsidRPr="00DC6805">
              <w:rPr>
                <w:sz w:val="16"/>
              </w:rPr>
              <w:t xml:space="preserve">Acidification, </w:t>
            </w:r>
            <w:proofErr w:type="spellStart"/>
            <w:r w:rsidRPr="00DC6805">
              <w:rPr>
                <w:sz w:val="16"/>
              </w:rPr>
              <w:t>flavour</w:t>
            </w:r>
            <w:proofErr w:type="spellEnd"/>
            <w:r w:rsidRPr="00DC6805">
              <w:rPr>
                <w:sz w:val="16"/>
              </w:rPr>
              <w:t xml:space="preserve"> development and, with amylolytic strains, viscosity reduction at higher solids.</w:t>
            </w:r>
          </w:p>
        </w:tc>
        <w:tc>
          <w:tcPr>
            <w:tcW w:w="1987" w:type="dxa"/>
            <w:tcMar>
              <w:top w:w="90" w:type="dxa"/>
              <w:left w:w="80" w:type="dxa"/>
              <w:bottom w:w="90" w:type="dxa"/>
              <w:right w:w="80" w:type="dxa"/>
            </w:tcMar>
            <w:vAlign w:val="center"/>
          </w:tcPr>
          <w:p w14:paraId="09B052C3" w14:textId="77777777" w:rsidR="006929DF" w:rsidRPr="00DC6805" w:rsidRDefault="00000000">
            <w:pPr>
              <w:spacing w:after="0" w:line="240" w:lineRule="auto"/>
              <w:jc w:val="left"/>
            </w:pPr>
            <w:r w:rsidRPr="00DC6805">
              <w:rPr>
                <w:sz w:val="16"/>
              </w:rPr>
              <w:t>Effects on phytate are strain- and matrix-specific; spontaneous processes can be variable.</w:t>
            </w:r>
          </w:p>
        </w:tc>
        <w:tc>
          <w:tcPr>
            <w:tcW w:w="3096" w:type="dxa"/>
            <w:tcMar>
              <w:top w:w="90" w:type="dxa"/>
              <w:left w:w="80" w:type="dxa"/>
              <w:bottom w:w="90" w:type="dxa"/>
              <w:right w:w="80" w:type="dxa"/>
            </w:tcMar>
            <w:vAlign w:val="center"/>
          </w:tcPr>
          <w:p w14:paraId="4C63C9DF" w14:textId="77777777" w:rsidR="006929DF" w:rsidRPr="00DC6805" w:rsidRDefault="00000000">
            <w:pPr>
              <w:spacing w:after="0" w:line="240" w:lineRule="auto"/>
              <w:jc w:val="left"/>
            </w:pPr>
            <w:r w:rsidRPr="00DC6805">
              <w:rPr>
                <w:sz w:val="16"/>
              </w:rPr>
              <w:t>Select starter cultures for the required function and monitor acidification and post-fermentation hygiene.</w:t>
            </w:r>
          </w:p>
        </w:tc>
        <w:tc>
          <w:tcPr>
            <w:tcW w:w="1541" w:type="dxa"/>
            <w:tcMar>
              <w:top w:w="90" w:type="dxa"/>
              <w:left w:w="80" w:type="dxa"/>
              <w:bottom w:w="90" w:type="dxa"/>
              <w:right w:w="80" w:type="dxa"/>
            </w:tcMar>
            <w:vAlign w:val="center"/>
          </w:tcPr>
          <w:p w14:paraId="2B445158" w14:textId="77777777" w:rsidR="006929DF" w:rsidRPr="00DC6805" w:rsidRDefault="00000000">
            <w:pPr>
              <w:spacing w:after="0" w:line="240" w:lineRule="auto"/>
              <w:jc w:val="left"/>
            </w:pPr>
            <w:r w:rsidRPr="00DC6805">
              <w:rPr>
                <w:sz w:val="16"/>
              </w:rPr>
              <w:t xml:space="preserve">(Tou et al., 2006; </w:t>
            </w:r>
            <w:proofErr w:type="spellStart"/>
            <w:r w:rsidRPr="00DC6805">
              <w:rPr>
                <w:sz w:val="16"/>
              </w:rPr>
              <w:t>Songré</w:t>
            </w:r>
            <w:proofErr w:type="spellEnd"/>
            <w:r w:rsidRPr="00DC6805">
              <w:rPr>
                <w:sz w:val="16"/>
              </w:rPr>
              <w:t>-Ouattara et al., 2008, 2009, 2010)</w:t>
            </w:r>
          </w:p>
        </w:tc>
      </w:tr>
      <w:tr w:rsidR="00DC6805" w:rsidRPr="00DC6805" w14:paraId="2914E5F8" w14:textId="77777777">
        <w:trPr>
          <w:jc w:val="center"/>
        </w:trPr>
        <w:tc>
          <w:tcPr>
            <w:tcW w:w="1368" w:type="dxa"/>
            <w:tcMar>
              <w:top w:w="90" w:type="dxa"/>
              <w:left w:w="80" w:type="dxa"/>
              <w:bottom w:w="90" w:type="dxa"/>
              <w:right w:w="80" w:type="dxa"/>
            </w:tcMar>
            <w:vAlign w:val="center"/>
          </w:tcPr>
          <w:p w14:paraId="281FD81B" w14:textId="77777777" w:rsidR="006929DF" w:rsidRPr="00DC6805" w:rsidRDefault="00000000">
            <w:pPr>
              <w:spacing w:after="0" w:line="240" w:lineRule="auto"/>
              <w:jc w:val="left"/>
            </w:pPr>
            <w:r w:rsidRPr="00DC6805">
              <w:rPr>
                <w:sz w:val="16"/>
              </w:rPr>
              <w:t>Heat treatment/roasting</w:t>
            </w:r>
          </w:p>
        </w:tc>
        <w:tc>
          <w:tcPr>
            <w:tcW w:w="1944" w:type="dxa"/>
            <w:tcMar>
              <w:top w:w="90" w:type="dxa"/>
              <w:left w:w="80" w:type="dxa"/>
              <w:bottom w:w="90" w:type="dxa"/>
              <w:right w:w="80" w:type="dxa"/>
            </w:tcMar>
            <w:vAlign w:val="center"/>
          </w:tcPr>
          <w:p w14:paraId="68B25135" w14:textId="77777777" w:rsidR="006929DF" w:rsidRPr="00DC6805" w:rsidRDefault="00000000">
            <w:pPr>
              <w:spacing w:after="0" w:line="240" w:lineRule="auto"/>
              <w:jc w:val="left"/>
            </w:pPr>
            <w:proofErr w:type="spellStart"/>
            <w:r w:rsidRPr="00DC6805">
              <w:rPr>
                <w:sz w:val="16"/>
              </w:rPr>
              <w:t>Gelatinises</w:t>
            </w:r>
            <w:proofErr w:type="spellEnd"/>
            <w:r w:rsidRPr="00DC6805">
              <w:rPr>
                <w:sz w:val="16"/>
              </w:rPr>
              <w:t xml:space="preserve"> starch, improves palatability and inactivates heat-labile soybean antinutritional factors.</w:t>
            </w:r>
          </w:p>
        </w:tc>
        <w:tc>
          <w:tcPr>
            <w:tcW w:w="1987" w:type="dxa"/>
            <w:tcMar>
              <w:top w:w="90" w:type="dxa"/>
              <w:left w:w="80" w:type="dxa"/>
              <w:bottom w:w="90" w:type="dxa"/>
              <w:right w:w="80" w:type="dxa"/>
            </w:tcMar>
            <w:vAlign w:val="center"/>
          </w:tcPr>
          <w:p w14:paraId="1BE25072" w14:textId="77777777" w:rsidR="006929DF" w:rsidRPr="00DC6805" w:rsidRDefault="00000000">
            <w:pPr>
              <w:spacing w:after="0" w:line="240" w:lineRule="auto"/>
              <w:jc w:val="left"/>
            </w:pPr>
            <w:r w:rsidRPr="00DC6805">
              <w:rPr>
                <w:sz w:val="16"/>
              </w:rPr>
              <w:t>Overheating can impair protein/sensory quality; ordinary roasting does not guarantee aflatoxin destruction.</w:t>
            </w:r>
          </w:p>
        </w:tc>
        <w:tc>
          <w:tcPr>
            <w:tcW w:w="3096" w:type="dxa"/>
            <w:tcMar>
              <w:top w:w="90" w:type="dxa"/>
              <w:left w:w="80" w:type="dxa"/>
              <w:bottom w:w="90" w:type="dxa"/>
              <w:right w:w="80" w:type="dxa"/>
            </w:tcMar>
            <w:vAlign w:val="center"/>
          </w:tcPr>
          <w:p w14:paraId="5434F85C" w14:textId="77777777" w:rsidR="006929DF" w:rsidRPr="00DC6805" w:rsidRDefault="00000000">
            <w:pPr>
              <w:spacing w:after="0" w:line="240" w:lineRule="auto"/>
              <w:jc w:val="left"/>
            </w:pPr>
            <w:r w:rsidRPr="00DC6805">
              <w:rPr>
                <w:sz w:val="16"/>
              </w:rPr>
              <w:t>Validate soybean heat treatment and retain upstream mycotoxin prevention.</w:t>
            </w:r>
          </w:p>
        </w:tc>
        <w:tc>
          <w:tcPr>
            <w:tcW w:w="1541" w:type="dxa"/>
            <w:tcMar>
              <w:top w:w="90" w:type="dxa"/>
              <w:left w:w="80" w:type="dxa"/>
              <w:bottom w:w="90" w:type="dxa"/>
              <w:right w:w="80" w:type="dxa"/>
            </w:tcMar>
            <w:vAlign w:val="center"/>
          </w:tcPr>
          <w:p w14:paraId="0F28BE30" w14:textId="77777777" w:rsidR="006929DF" w:rsidRPr="00DC6805" w:rsidRDefault="00000000">
            <w:pPr>
              <w:spacing w:after="0" w:line="240" w:lineRule="auto"/>
              <w:jc w:val="left"/>
            </w:pPr>
            <w:r w:rsidRPr="00DC6805">
              <w:rPr>
                <w:sz w:val="16"/>
              </w:rPr>
              <w:t xml:space="preserve">(Luo et al., 2025; </w:t>
            </w:r>
            <w:proofErr w:type="spellStart"/>
            <w:r w:rsidRPr="00DC6805">
              <w:rPr>
                <w:sz w:val="16"/>
              </w:rPr>
              <w:t>Waré</w:t>
            </w:r>
            <w:proofErr w:type="spellEnd"/>
            <w:r w:rsidRPr="00DC6805">
              <w:rPr>
                <w:sz w:val="16"/>
              </w:rPr>
              <w:t xml:space="preserve"> et al., 2017)</w:t>
            </w:r>
          </w:p>
        </w:tc>
      </w:tr>
      <w:tr w:rsidR="00DC6805" w:rsidRPr="00DC6805" w14:paraId="528162AF" w14:textId="77777777">
        <w:trPr>
          <w:jc w:val="center"/>
        </w:trPr>
        <w:tc>
          <w:tcPr>
            <w:tcW w:w="1368" w:type="dxa"/>
            <w:tcMar>
              <w:top w:w="90" w:type="dxa"/>
              <w:left w:w="80" w:type="dxa"/>
              <w:bottom w:w="90" w:type="dxa"/>
              <w:right w:w="80" w:type="dxa"/>
            </w:tcMar>
            <w:vAlign w:val="center"/>
          </w:tcPr>
          <w:p w14:paraId="21C72D38" w14:textId="77777777" w:rsidR="006929DF" w:rsidRPr="00DC6805" w:rsidRDefault="00000000">
            <w:pPr>
              <w:spacing w:after="0" w:line="240" w:lineRule="auto"/>
              <w:jc w:val="left"/>
            </w:pPr>
            <w:r w:rsidRPr="00DC6805">
              <w:rPr>
                <w:sz w:val="16"/>
              </w:rPr>
              <w:t>Phytase treatment</w:t>
            </w:r>
          </w:p>
        </w:tc>
        <w:tc>
          <w:tcPr>
            <w:tcW w:w="1944" w:type="dxa"/>
            <w:tcMar>
              <w:top w:w="90" w:type="dxa"/>
              <w:left w:w="80" w:type="dxa"/>
              <w:bottom w:w="90" w:type="dxa"/>
              <w:right w:w="80" w:type="dxa"/>
            </w:tcMar>
            <w:vAlign w:val="center"/>
          </w:tcPr>
          <w:p w14:paraId="711E73D0" w14:textId="77777777" w:rsidR="006929DF" w:rsidRPr="00DC6805" w:rsidRDefault="00000000">
            <w:pPr>
              <w:spacing w:after="0" w:line="240" w:lineRule="auto"/>
              <w:jc w:val="left"/>
            </w:pPr>
            <w:r w:rsidRPr="00DC6805">
              <w:rPr>
                <w:sz w:val="16"/>
              </w:rPr>
              <w:t>Directly reduces phytate and can improve mineral absorption.</w:t>
            </w:r>
          </w:p>
        </w:tc>
        <w:tc>
          <w:tcPr>
            <w:tcW w:w="1987" w:type="dxa"/>
            <w:tcMar>
              <w:top w:w="90" w:type="dxa"/>
              <w:left w:w="80" w:type="dxa"/>
              <w:bottom w:w="90" w:type="dxa"/>
              <w:right w:w="80" w:type="dxa"/>
            </w:tcMar>
            <w:vAlign w:val="center"/>
          </w:tcPr>
          <w:p w14:paraId="384DF4CA" w14:textId="77777777" w:rsidR="006929DF" w:rsidRPr="00DC6805" w:rsidRDefault="00000000">
            <w:pPr>
              <w:spacing w:after="0" w:line="240" w:lineRule="auto"/>
              <w:jc w:val="left"/>
            </w:pPr>
            <w:r w:rsidRPr="00DC6805">
              <w:rPr>
                <w:sz w:val="16"/>
              </w:rPr>
              <w:t>Adds cost and process dependency; benefit depends on recipe, enzyme dose and cooking sequence.</w:t>
            </w:r>
          </w:p>
        </w:tc>
        <w:tc>
          <w:tcPr>
            <w:tcW w:w="3096" w:type="dxa"/>
            <w:tcMar>
              <w:top w:w="90" w:type="dxa"/>
              <w:left w:w="80" w:type="dxa"/>
              <w:bottom w:w="90" w:type="dxa"/>
              <w:right w:w="80" w:type="dxa"/>
            </w:tcMar>
            <w:vAlign w:val="center"/>
          </w:tcPr>
          <w:p w14:paraId="21B4B789" w14:textId="77777777" w:rsidR="006929DF" w:rsidRPr="00DC6805" w:rsidRDefault="00000000">
            <w:pPr>
              <w:spacing w:after="0" w:line="240" w:lineRule="auto"/>
              <w:jc w:val="left"/>
            </w:pPr>
            <w:r w:rsidRPr="00DC6805">
              <w:rPr>
                <w:sz w:val="16"/>
              </w:rPr>
              <w:t>Use where mineral bioavailability is a priority and verify effect in the final matrix.</w:t>
            </w:r>
          </w:p>
        </w:tc>
        <w:tc>
          <w:tcPr>
            <w:tcW w:w="1541" w:type="dxa"/>
            <w:tcMar>
              <w:top w:w="90" w:type="dxa"/>
              <w:left w:w="80" w:type="dxa"/>
              <w:bottom w:w="90" w:type="dxa"/>
              <w:right w:w="80" w:type="dxa"/>
            </w:tcMar>
            <w:vAlign w:val="center"/>
          </w:tcPr>
          <w:p w14:paraId="2CF1C78E" w14:textId="77777777" w:rsidR="006929DF" w:rsidRPr="00DC6805" w:rsidRDefault="00000000">
            <w:pPr>
              <w:spacing w:after="0" w:line="240" w:lineRule="auto"/>
              <w:jc w:val="left"/>
            </w:pPr>
            <w:r w:rsidRPr="00DC6805">
              <w:rPr>
                <w:sz w:val="16"/>
              </w:rPr>
              <w:t xml:space="preserve">(Brnić et al., 2017; </w:t>
            </w:r>
            <w:proofErr w:type="spellStart"/>
            <w:r w:rsidRPr="00DC6805">
              <w:rPr>
                <w:sz w:val="16"/>
              </w:rPr>
              <w:t>Cercamondi</w:t>
            </w:r>
            <w:proofErr w:type="spellEnd"/>
            <w:r w:rsidRPr="00DC6805">
              <w:rPr>
                <w:sz w:val="16"/>
              </w:rPr>
              <w:t xml:space="preserve"> et al., 2013)</w:t>
            </w:r>
          </w:p>
        </w:tc>
      </w:tr>
      <w:tr w:rsidR="00DC6805" w:rsidRPr="00DC6805" w14:paraId="12A69AD0" w14:textId="77777777">
        <w:trPr>
          <w:jc w:val="center"/>
        </w:trPr>
        <w:tc>
          <w:tcPr>
            <w:tcW w:w="1368" w:type="dxa"/>
            <w:tcMar>
              <w:top w:w="90" w:type="dxa"/>
              <w:left w:w="80" w:type="dxa"/>
              <w:bottom w:w="90" w:type="dxa"/>
              <w:right w:w="80" w:type="dxa"/>
            </w:tcMar>
            <w:vAlign w:val="center"/>
          </w:tcPr>
          <w:p w14:paraId="48B3B415" w14:textId="77777777" w:rsidR="006929DF" w:rsidRPr="00DC6805" w:rsidRDefault="00000000">
            <w:pPr>
              <w:spacing w:after="0" w:line="240" w:lineRule="auto"/>
              <w:jc w:val="left"/>
            </w:pPr>
            <w:r w:rsidRPr="00DC6805">
              <w:rPr>
                <w:sz w:val="16"/>
              </w:rPr>
              <w:t>Micronutrient fortification</w:t>
            </w:r>
          </w:p>
        </w:tc>
        <w:tc>
          <w:tcPr>
            <w:tcW w:w="1944" w:type="dxa"/>
            <w:tcMar>
              <w:top w:w="90" w:type="dxa"/>
              <w:left w:w="80" w:type="dxa"/>
              <w:bottom w:w="90" w:type="dxa"/>
              <w:right w:w="80" w:type="dxa"/>
            </w:tcMar>
            <w:vAlign w:val="center"/>
          </w:tcPr>
          <w:p w14:paraId="311061AC" w14:textId="77777777" w:rsidR="006929DF" w:rsidRPr="00DC6805" w:rsidRDefault="00000000">
            <w:pPr>
              <w:spacing w:after="0" w:line="240" w:lineRule="auto"/>
              <w:jc w:val="left"/>
            </w:pPr>
            <w:r w:rsidRPr="00DC6805">
              <w:rPr>
                <w:sz w:val="16"/>
              </w:rPr>
              <w:t>Closes nutrient gaps that local seed combinations may not meet reliably.</w:t>
            </w:r>
          </w:p>
        </w:tc>
        <w:tc>
          <w:tcPr>
            <w:tcW w:w="1987" w:type="dxa"/>
            <w:tcMar>
              <w:top w:w="90" w:type="dxa"/>
              <w:left w:w="80" w:type="dxa"/>
              <w:bottom w:w="90" w:type="dxa"/>
              <w:right w:w="80" w:type="dxa"/>
            </w:tcMar>
            <w:vAlign w:val="center"/>
          </w:tcPr>
          <w:p w14:paraId="5C7FC75E" w14:textId="77777777" w:rsidR="006929DF" w:rsidRPr="00DC6805" w:rsidRDefault="00000000">
            <w:pPr>
              <w:spacing w:after="0" w:line="240" w:lineRule="auto"/>
              <w:jc w:val="left"/>
            </w:pPr>
            <w:r w:rsidRPr="00DC6805">
              <w:rPr>
                <w:sz w:val="16"/>
              </w:rPr>
              <w:t>Requires homogeneous mixing, stable compounds, appropriate dose and quality assurance.</w:t>
            </w:r>
          </w:p>
        </w:tc>
        <w:tc>
          <w:tcPr>
            <w:tcW w:w="3096" w:type="dxa"/>
            <w:tcMar>
              <w:top w:w="90" w:type="dxa"/>
              <w:left w:w="80" w:type="dxa"/>
              <w:bottom w:w="90" w:type="dxa"/>
              <w:right w:w="80" w:type="dxa"/>
            </w:tcMar>
            <w:vAlign w:val="center"/>
          </w:tcPr>
          <w:p w14:paraId="2D1050B8" w14:textId="77777777" w:rsidR="006929DF" w:rsidRPr="00DC6805" w:rsidRDefault="00000000">
            <w:pPr>
              <w:spacing w:after="0" w:line="240" w:lineRule="auto"/>
              <w:jc w:val="left"/>
            </w:pPr>
            <w:r w:rsidRPr="00DC6805">
              <w:rPr>
                <w:sz w:val="16"/>
              </w:rPr>
              <w:t>Treat fortification as part of the process specification, not as an unverified final addition.</w:t>
            </w:r>
          </w:p>
        </w:tc>
        <w:tc>
          <w:tcPr>
            <w:tcW w:w="1541" w:type="dxa"/>
            <w:tcMar>
              <w:top w:w="90" w:type="dxa"/>
              <w:left w:w="80" w:type="dxa"/>
              <w:bottom w:w="90" w:type="dxa"/>
              <w:right w:w="80" w:type="dxa"/>
            </w:tcMar>
            <w:vAlign w:val="center"/>
          </w:tcPr>
          <w:p w14:paraId="65F56813" w14:textId="77777777" w:rsidR="006929DF" w:rsidRPr="00DC6805" w:rsidRDefault="00000000">
            <w:pPr>
              <w:spacing w:after="0" w:line="240" w:lineRule="auto"/>
              <w:jc w:val="left"/>
            </w:pPr>
            <w:r w:rsidRPr="00DC6805">
              <w:rPr>
                <w:sz w:val="16"/>
              </w:rPr>
              <w:t xml:space="preserve">(Ouédraogo et al., 2010; </w:t>
            </w:r>
            <w:proofErr w:type="spellStart"/>
            <w:r w:rsidRPr="00DC6805">
              <w:rPr>
                <w:sz w:val="16"/>
              </w:rPr>
              <w:t>Dimaria</w:t>
            </w:r>
            <w:proofErr w:type="spellEnd"/>
            <w:r w:rsidRPr="00DC6805">
              <w:rPr>
                <w:sz w:val="16"/>
              </w:rPr>
              <w:t xml:space="preserve"> et al., 2018)</w:t>
            </w:r>
          </w:p>
        </w:tc>
      </w:tr>
    </w:tbl>
    <w:p w14:paraId="1C8DE559"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0AA43B43" w14:textId="77777777" w:rsidR="006929DF" w:rsidRPr="00DC6805" w:rsidRDefault="00000000">
      <w:pPr>
        <w:pStyle w:val="Heading1"/>
        <w:rPr>
          <w:color w:val="auto"/>
        </w:rPr>
      </w:pPr>
      <w:r w:rsidRPr="00DC6805">
        <w:rPr>
          <w:rFonts w:ascii="Times New Roman" w:hAnsi="Times New Roman"/>
          <w:color w:val="auto"/>
        </w:rPr>
        <w:t>7. Safety Constraints: Mycotoxins, Microbial Hazards and Raw-Material Quality</w:t>
      </w:r>
    </w:p>
    <w:p w14:paraId="59822818" w14:textId="77777777" w:rsidR="006929DF" w:rsidRPr="00DC6805" w:rsidRDefault="00000000">
      <w:r w:rsidRPr="00DC6805">
        <w:t xml:space="preserve">For infant foods, safety is not a secondary quality attribute. Exposure is concentrated relative to body mass, complementary foods may be offered repeatedly every day, and infants have limited capacity to tolerate </w:t>
      </w:r>
      <w:proofErr w:type="spellStart"/>
      <w:r w:rsidRPr="00DC6805">
        <w:t>diarrhoeal</w:t>
      </w:r>
      <w:proofErr w:type="spellEnd"/>
      <w:r w:rsidRPr="00DC6805">
        <w:t xml:space="preserve"> disease or chronic toxin exposure. Burkina Faso evidence indicates that the principal safety constraints in local seed flours are not hypothetical. Aflatoxin contamination of groundnut and maize, contamination of finished infant flour, and poor microbiological quality have all been documented. The safety problem is therefore a binding condition on </w:t>
      </w:r>
      <w:proofErr w:type="spellStart"/>
      <w:r w:rsidRPr="00DC6805">
        <w:t>valorisation</w:t>
      </w:r>
      <w:proofErr w:type="spellEnd"/>
      <w:r w:rsidRPr="00DC6805">
        <w:t>: an ingredient cannot be considered nutritionally valuable if the system cannot procure, process and store it safely.</w:t>
      </w:r>
    </w:p>
    <w:p w14:paraId="714907BE" w14:textId="77777777" w:rsidR="006929DF" w:rsidRPr="00DC6805" w:rsidRDefault="00000000">
      <w:pPr>
        <w:pStyle w:val="Heading2"/>
        <w:rPr>
          <w:color w:val="auto"/>
        </w:rPr>
      </w:pPr>
      <w:r w:rsidRPr="00DC6805">
        <w:rPr>
          <w:rFonts w:ascii="Times New Roman" w:hAnsi="Times New Roman"/>
          <w:color w:val="auto"/>
        </w:rPr>
        <w:t>7.1 Aflatoxins: The Most Urgent Chemical Hazard</w:t>
      </w:r>
    </w:p>
    <w:p w14:paraId="19BAFADD" w14:textId="77777777" w:rsidR="006929DF" w:rsidRPr="00DC6805" w:rsidRDefault="00000000">
      <w:r w:rsidRPr="00DC6805">
        <w:t xml:space="preserve">The local infant-flour survey by </w:t>
      </w:r>
      <w:proofErr w:type="spellStart"/>
      <w:r w:rsidRPr="00DC6805">
        <w:t>Waré</w:t>
      </w:r>
      <w:proofErr w:type="spellEnd"/>
      <w:r w:rsidRPr="00DC6805">
        <w:t xml:space="preserve"> et al. (2017) is especially concerning. Among 199 locally produced infant-formula flour samples from Ouagadougou, aflatoxin B1 was detected in 167, representing 83.9% of samples; ochratoxin A and </w:t>
      </w:r>
      <w:proofErr w:type="spellStart"/>
      <w:r w:rsidRPr="00DC6805">
        <w:t>fumonisins</w:t>
      </w:r>
      <w:proofErr w:type="spellEnd"/>
      <w:r w:rsidRPr="00DC6805">
        <w:t xml:space="preserve"> were detected less frequently. Some aflatoxin concentrations were far above stringent infant-food limits used internationally. These data do not establish national prevalence because sampling was geographically and commercially specific, but they demonstrate that severe contamination can reach products intended for infants.</w:t>
      </w:r>
    </w:p>
    <w:p w14:paraId="3536A70F" w14:textId="77777777" w:rsidR="006929DF" w:rsidRPr="00DC6805" w:rsidRDefault="00000000">
      <w:r w:rsidRPr="00DC6805">
        <w:t>The wider commodity evidence supports the same concern. Market sampling in Burkina Faso identified frequent mycotoxin contamination across staples, including high aflatoxin concentrations in peanuts (</w:t>
      </w:r>
      <w:proofErr w:type="spellStart"/>
      <w:r w:rsidRPr="00DC6805">
        <w:t>Bandé</w:t>
      </w:r>
      <w:proofErr w:type="spellEnd"/>
      <w:r w:rsidRPr="00DC6805">
        <w:t xml:space="preserve"> et al., 2022). Multi-country sampling of maize, groundnut and sorghum from Burkina Faso and </w:t>
      </w:r>
      <w:proofErr w:type="spellStart"/>
      <w:r w:rsidRPr="00DC6805">
        <w:t>neighbouring</w:t>
      </w:r>
      <w:proofErr w:type="spellEnd"/>
      <w:r w:rsidRPr="00DC6805">
        <w:t xml:space="preserve"> Sahelian countries likewise found substantial aflatoxin contamination and exposure risk (Falade et al., 2022). An Africa-wide systematic review identifies warm conditions, crop stress, inadequate drying and storage as recurrent drivers, while also documenting major variation by commodity and setting (Meijer et al., 2021). Groundnut and maize therefore require especially stringent procurement criteria when used in infant foods.</w:t>
      </w:r>
    </w:p>
    <w:p w14:paraId="0CB3BBD3" w14:textId="77777777" w:rsidR="006929DF" w:rsidRPr="00DC6805" w:rsidRDefault="00000000">
      <w:r w:rsidRPr="00DC6805">
        <w:lastRenderedPageBreak/>
        <w:t>Recent Burkina Faso process research provides some practical but limited mitigation evidence. Bayala-</w:t>
      </w:r>
      <w:proofErr w:type="spellStart"/>
      <w:r w:rsidRPr="00DC6805">
        <w:t>Yaï</w:t>
      </w:r>
      <w:proofErr w:type="spellEnd"/>
      <w:r w:rsidRPr="00DC6805">
        <w:t xml:space="preserve"> et al. (2025) reported that sorting contaminated groundnut markedly reduced aflatoxin B1 and that saline soaking reduced aflatoxin B1 in maize under tested conditions. The same interventions were not uniformly effective across toxins and ingredients. These results support raw-material cleaning as one layer of control, not as a decontamination guarantee. The preferred hierarchy remains prevention of fungal growth in the field and after harvest, rapid drying, moisture-controlled storage, rejection of </w:t>
      </w:r>
      <w:proofErr w:type="spellStart"/>
      <w:r w:rsidRPr="00DC6805">
        <w:t>mouldy</w:t>
      </w:r>
      <w:proofErr w:type="spellEnd"/>
      <w:r w:rsidRPr="00DC6805">
        <w:t xml:space="preserve"> or damaged lots, supplier qualification and batch testing. Processing should reduce residual risk, not </w:t>
      </w:r>
      <w:proofErr w:type="spellStart"/>
      <w:r w:rsidRPr="00DC6805">
        <w:t>legitimise</w:t>
      </w:r>
      <w:proofErr w:type="spellEnd"/>
      <w:r w:rsidRPr="00DC6805">
        <w:t xml:space="preserve"> contaminated procurement.</w:t>
      </w:r>
    </w:p>
    <w:p w14:paraId="66394B2B" w14:textId="77777777" w:rsidR="006929DF" w:rsidRPr="00DC6805" w:rsidRDefault="00000000">
      <w:pPr>
        <w:pStyle w:val="Heading2"/>
        <w:rPr>
          <w:color w:val="auto"/>
        </w:rPr>
      </w:pPr>
      <w:r w:rsidRPr="00DC6805">
        <w:rPr>
          <w:rFonts w:ascii="Times New Roman" w:hAnsi="Times New Roman"/>
          <w:color w:val="auto"/>
        </w:rPr>
        <w:t>7.2 Microbiological Quality and Post-Process Hygiene</w:t>
      </w:r>
    </w:p>
    <w:p w14:paraId="3F058F55" w14:textId="77777777" w:rsidR="006929DF" w:rsidRPr="00DC6805" w:rsidRDefault="00000000">
      <w:proofErr w:type="spellStart"/>
      <w:r w:rsidRPr="00DC6805">
        <w:t>Waré</w:t>
      </w:r>
      <w:proofErr w:type="spellEnd"/>
      <w:r w:rsidRPr="00DC6805">
        <w:t xml:space="preserve"> et al. (2018) found high aerobic microbial counts in some infant flours produced in Ouagadougou and detected Enterobacteriaceae, including </w:t>
      </w:r>
      <w:proofErr w:type="spellStart"/>
      <w:r w:rsidRPr="00DC6805">
        <w:rPr>
          <w:i/>
        </w:rPr>
        <w:t>Cronobacter</w:t>
      </w:r>
      <w:proofErr w:type="spellEnd"/>
      <w:r w:rsidRPr="00DC6805">
        <w:t xml:space="preserve"> species, as well as </w:t>
      </w:r>
      <w:proofErr w:type="spellStart"/>
      <w:r w:rsidRPr="00DC6805">
        <w:t>moulds</w:t>
      </w:r>
      <w:proofErr w:type="spellEnd"/>
      <w:r w:rsidRPr="00DC6805">
        <w:t xml:space="preserve"> and yeasts. </w:t>
      </w:r>
      <w:r w:rsidRPr="00DC6805">
        <w:rPr>
          <w:i/>
        </w:rPr>
        <w:t>Salmonella</w:t>
      </w:r>
      <w:r w:rsidRPr="00DC6805">
        <w:t xml:space="preserve"> was not detected in the final flour samples reported in that study, but the overall profile indicates shortcomings in hygiene and storage. Dry flour is not sterile, and organisms that survive in low-moisture foods can multiply rapidly after reconstitution with water.</w:t>
      </w:r>
    </w:p>
    <w:p w14:paraId="53587A22" w14:textId="77777777" w:rsidR="006929DF" w:rsidRPr="00DC6805" w:rsidRDefault="00000000">
      <w:r w:rsidRPr="00DC6805">
        <w:t>Risk therefore extends beyond production to caregiver preparation. Even a microbiologically acceptable dry flour can become hazardous when mixed with contaminated water, kept warm for long periods or fed with unclean utensils. Commercial labels and counselling should specify safe water, adequate cooking where required, clean utensils and prompt consumption after preparation. The product-development literature often treats these instructions as implementation details; for infants, they are part of the safety specification.</w:t>
      </w:r>
    </w:p>
    <w:p w14:paraId="0452446B" w14:textId="77777777" w:rsidR="006929DF" w:rsidRPr="00DC6805" w:rsidRDefault="00000000">
      <w:r w:rsidRPr="00DC6805">
        <w:t>Fermentation can contribute to microbial control through acidification, but the protection is conditional. A poorly controlled spontaneous process may permit undesirable organisms before sufficient acidification occurs, and contamination can be reintroduced during drying or milling. The relevant metric is validated process performance - including time to target pH, drying endpoint and post-process handling - rather than the simple presence of a fermentation step.</w:t>
      </w:r>
    </w:p>
    <w:p w14:paraId="63177D15" w14:textId="77777777" w:rsidR="006929DF" w:rsidRPr="00DC6805" w:rsidRDefault="00000000">
      <w:pPr>
        <w:pStyle w:val="Heading2"/>
        <w:rPr>
          <w:color w:val="auto"/>
        </w:rPr>
      </w:pPr>
      <w:r w:rsidRPr="00DC6805">
        <w:rPr>
          <w:rFonts w:ascii="Times New Roman" w:hAnsi="Times New Roman"/>
          <w:color w:val="auto"/>
        </w:rPr>
        <w:t>7.3 Antinutritional Factors, Oxidation and Physical Safety</w:t>
      </w:r>
    </w:p>
    <w:p w14:paraId="17268205" w14:textId="77777777" w:rsidR="006929DF" w:rsidRPr="00DC6805" w:rsidRDefault="00000000">
      <w:r w:rsidRPr="00DC6805">
        <w:t xml:space="preserve">Antinutritional factors are usually a nutritional-quality issue rather than an acute toxic hazard, but at high exposure or after inadequate processing they can reduce the value of a complementary food. Phytate is the most important mineral-absorption inhibitor in cereal-legume matrices; soybean trypsin inhibitors require appropriate heat treatment; and some legumes contain lectins that are reduced by adequate cooking. Codex guidance explicitly </w:t>
      </w:r>
      <w:proofErr w:type="spellStart"/>
      <w:r w:rsidRPr="00DC6805">
        <w:t>recognises</w:t>
      </w:r>
      <w:proofErr w:type="spellEnd"/>
      <w:r w:rsidRPr="00DC6805">
        <w:t xml:space="preserve"> the need to process legumes and oilseed products so that antinutritional or toxic factors are reduced to acceptable levels (Codex Alimentarius Commission, 2013).</w:t>
      </w:r>
    </w:p>
    <w:p w14:paraId="3B56C92B" w14:textId="77777777" w:rsidR="006929DF" w:rsidRPr="00DC6805" w:rsidRDefault="00000000">
      <w:r w:rsidRPr="00DC6805">
        <w:t>High-fat seeds introduce oxidative stability concerns. Groundnut, sesame and full-fat soybean can increase energy density, yet milling exposes lipids to oxygen and accelerates rancidity. Oxidation can degrade sensory quality and some nutrients before visible spoilage appears. Shelf-life studies should therefore include moisture, packaging permeability and oxidative markers appropriate to the formulation. Small packets may be preferable where repeated opening under hot and humid conditions would otherwise prolong exposure.</w:t>
      </w:r>
    </w:p>
    <w:p w14:paraId="0B7037D0" w14:textId="77777777" w:rsidR="006929DF" w:rsidRPr="00DC6805" w:rsidRDefault="00000000">
      <w:r w:rsidRPr="00DC6805">
        <w:t xml:space="preserve">Physical safety should also be designed into the food. WHO guidance requires nuts and seeds to be offered in forms that </w:t>
      </w:r>
      <w:proofErr w:type="spellStart"/>
      <w:r w:rsidRPr="00DC6805">
        <w:t>minimise</w:t>
      </w:r>
      <w:proofErr w:type="spellEnd"/>
      <w:r w:rsidRPr="00DC6805">
        <w:t xml:space="preserve"> choking risk (World Health Organization, 2023). Infant flour should therefore be finely milled and homogeneous after preparation. Hard seed fragments, shell material and coarse particles are quality defects, not merely cosmetic imperfections. Sieve integrity and particle-size checks are low-cost control measures that should be included in production protocols.</w:t>
      </w:r>
    </w:p>
    <w:p w14:paraId="6B19DB16" w14:textId="77777777" w:rsidR="006929DF" w:rsidRPr="00DC6805" w:rsidRDefault="00000000">
      <w:pPr>
        <w:pStyle w:val="Heading2"/>
        <w:rPr>
          <w:color w:val="auto"/>
        </w:rPr>
      </w:pPr>
      <w:r w:rsidRPr="00DC6805">
        <w:rPr>
          <w:rFonts w:ascii="Times New Roman" w:hAnsi="Times New Roman"/>
          <w:color w:val="auto"/>
        </w:rPr>
        <w:lastRenderedPageBreak/>
        <w:t>7.4 Why End-Product Testing Alone Is Insufficient</w:t>
      </w:r>
    </w:p>
    <w:p w14:paraId="59F6C17E" w14:textId="77777777" w:rsidR="006929DF" w:rsidRPr="00DC6805" w:rsidRDefault="00000000">
      <w:r w:rsidRPr="00DC6805">
        <w:t>End-product testing is necessary for verification but cannot economically guarantee the safety of every packet when contamination is heterogeneous. Aflatoxins, in particular, may be concentrated in a small fraction of kernels, creating large sampling error. Microbiological contamination can also occur sporadically after an otherwise satisfactory batch is tested. Safety systems should therefore be preventive and process based.</w:t>
      </w:r>
    </w:p>
    <w:p w14:paraId="6A69EB31" w14:textId="77777777" w:rsidR="006929DF" w:rsidRPr="00DC6805" w:rsidRDefault="00000000">
      <w:r w:rsidRPr="00DC6805">
        <w:t xml:space="preserve">For local enterprises, this need not imply a complex industrial certification system from the outset. A practical minimum includes approved suppliers, visual and moisture inspection at receipt, documented sorting, separated raw and finished product zones, potable water, validated heat or fermentation steps, protected drying, cleaning schedules, batch coding, packaging specifications and periodic laboratory verification. As scale increases, these controls should evolve into formal good manufacturing practices and hazard analysis and critical control point procedures. Public laboratories and producer associations can reduce the cost of testing by offering shared services and proficiency </w:t>
      </w:r>
      <w:proofErr w:type="spellStart"/>
      <w:r w:rsidRPr="00DC6805">
        <w:t>programmes</w:t>
      </w:r>
      <w:proofErr w:type="spellEnd"/>
      <w:r w:rsidRPr="00DC6805">
        <w:t>.</w:t>
      </w:r>
    </w:p>
    <w:p w14:paraId="7C70B0A1" w14:textId="77777777" w:rsidR="006929DF" w:rsidRPr="00DC6805" w:rsidRDefault="00000000">
      <w:r w:rsidRPr="00DC6805">
        <w:t xml:space="preserve">The dominant safety hazards and their most defensible control points are </w:t>
      </w:r>
      <w:proofErr w:type="spellStart"/>
      <w:r w:rsidRPr="00DC6805">
        <w:t>synthesised</w:t>
      </w:r>
      <w:proofErr w:type="spellEnd"/>
      <w:r w:rsidRPr="00DC6805">
        <w:t xml:space="preserve"> in Table 4. The table </w:t>
      </w:r>
      <w:proofErr w:type="spellStart"/>
      <w:r w:rsidRPr="00DC6805">
        <w:t>emphasises</w:t>
      </w:r>
      <w:proofErr w:type="spellEnd"/>
      <w:r w:rsidRPr="00DC6805">
        <w:t xml:space="preserve"> preventive controls because the available evidence does not support reliance on cooking or end-product testing as a substitute for safe procurement, moisture control, hygiene and validated processing.</w:t>
      </w:r>
    </w:p>
    <w:p w14:paraId="0A351E08" w14:textId="77777777" w:rsidR="006929DF" w:rsidRPr="00DC6805" w:rsidRDefault="00000000">
      <w:pPr>
        <w:keepNext/>
        <w:spacing w:before="100" w:after="0"/>
      </w:pPr>
      <w:r w:rsidRPr="00DC6805">
        <w:rPr>
          <w:b/>
          <w:sz w:val="21"/>
        </w:rPr>
        <w:t>Table 4</w:t>
      </w:r>
    </w:p>
    <w:p w14:paraId="32CDD107" w14:textId="77777777" w:rsidR="006929DF" w:rsidRPr="00DC6805" w:rsidRDefault="00000000">
      <w:pPr>
        <w:keepNext/>
        <w:spacing w:after="100"/>
      </w:pPr>
      <w:r w:rsidRPr="00DC6805">
        <w:rPr>
          <w:i/>
          <w:sz w:val="21"/>
        </w:rPr>
        <w:t>Principal safety constraints in local seed-based complementary foods and priority controls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6DEF0756" w14:textId="77777777">
        <w:trPr>
          <w:tblHeader/>
          <w:jc w:val="center"/>
        </w:trPr>
        <w:tc>
          <w:tcPr>
            <w:tcW w:w="1368" w:type="dxa"/>
            <w:shd w:val="clear" w:color="auto" w:fill="D9E2F3"/>
            <w:tcMar>
              <w:top w:w="90" w:type="dxa"/>
              <w:left w:w="80" w:type="dxa"/>
              <w:bottom w:w="90" w:type="dxa"/>
              <w:right w:w="80" w:type="dxa"/>
            </w:tcMar>
            <w:vAlign w:val="center"/>
          </w:tcPr>
          <w:p w14:paraId="1CD8D542" w14:textId="77777777" w:rsidR="006929DF" w:rsidRPr="00DC6805" w:rsidRDefault="00000000">
            <w:pPr>
              <w:spacing w:after="0" w:line="240" w:lineRule="auto"/>
              <w:jc w:val="center"/>
            </w:pPr>
            <w:r w:rsidRPr="00DC6805">
              <w:rPr>
                <w:b/>
                <w:sz w:val="16"/>
              </w:rPr>
              <w:t>Hazard</w:t>
            </w:r>
          </w:p>
        </w:tc>
        <w:tc>
          <w:tcPr>
            <w:tcW w:w="1944" w:type="dxa"/>
            <w:shd w:val="clear" w:color="auto" w:fill="D9E2F3"/>
            <w:tcMar>
              <w:top w:w="90" w:type="dxa"/>
              <w:left w:w="80" w:type="dxa"/>
              <w:bottom w:w="90" w:type="dxa"/>
              <w:right w:w="80" w:type="dxa"/>
            </w:tcMar>
            <w:vAlign w:val="center"/>
          </w:tcPr>
          <w:p w14:paraId="457A050A" w14:textId="77777777" w:rsidR="006929DF" w:rsidRPr="00DC6805" w:rsidRDefault="00000000">
            <w:pPr>
              <w:spacing w:after="0" w:line="240" w:lineRule="auto"/>
              <w:jc w:val="center"/>
            </w:pPr>
            <w:r w:rsidRPr="00DC6805">
              <w:rPr>
                <w:b/>
                <w:sz w:val="16"/>
              </w:rPr>
              <w:t>Most relevant ingredients or stage</w:t>
            </w:r>
          </w:p>
        </w:tc>
        <w:tc>
          <w:tcPr>
            <w:tcW w:w="1987" w:type="dxa"/>
            <w:shd w:val="clear" w:color="auto" w:fill="D9E2F3"/>
            <w:tcMar>
              <w:top w:w="90" w:type="dxa"/>
              <w:left w:w="80" w:type="dxa"/>
              <w:bottom w:w="90" w:type="dxa"/>
              <w:right w:w="80" w:type="dxa"/>
            </w:tcMar>
            <w:vAlign w:val="center"/>
          </w:tcPr>
          <w:p w14:paraId="75203615" w14:textId="77777777" w:rsidR="006929DF" w:rsidRPr="00DC6805" w:rsidRDefault="00000000">
            <w:pPr>
              <w:spacing w:after="0" w:line="240" w:lineRule="auto"/>
              <w:jc w:val="center"/>
            </w:pPr>
            <w:r w:rsidRPr="00DC6805">
              <w:rPr>
                <w:b/>
                <w:sz w:val="16"/>
              </w:rPr>
              <w:t>Evidence-based concern</w:t>
            </w:r>
          </w:p>
        </w:tc>
        <w:tc>
          <w:tcPr>
            <w:tcW w:w="3096" w:type="dxa"/>
            <w:shd w:val="clear" w:color="auto" w:fill="D9E2F3"/>
            <w:tcMar>
              <w:top w:w="90" w:type="dxa"/>
              <w:left w:w="80" w:type="dxa"/>
              <w:bottom w:w="90" w:type="dxa"/>
              <w:right w:w="80" w:type="dxa"/>
            </w:tcMar>
            <w:vAlign w:val="center"/>
          </w:tcPr>
          <w:p w14:paraId="6FC7C195" w14:textId="77777777" w:rsidR="006929DF" w:rsidRPr="00DC6805" w:rsidRDefault="00000000">
            <w:pPr>
              <w:spacing w:after="0" w:line="240" w:lineRule="auto"/>
              <w:jc w:val="center"/>
            </w:pPr>
            <w:r w:rsidRPr="00DC6805">
              <w:rPr>
                <w:b/>
                <w:sz w:val="16"/>
              </w:rPr>
              <w:t>Priority control strategy</w:t>
            </w:r>
          </w:p>
        </w:tc>
        <w:tc>
          <w:tcPr>
            <w:tcW w:w="1541" w:type="dxa"/>
            <w:shd w:val="clear" w:color="auto" w:fill="D9E2F3"/>
            <w:tcMar>
              <w:top w:w="90" w:type="dxa"/>
              <w:left w:w="80" w:type="dxa"/>
              <w:bottom w:w="90" w:type="dxa"/>
              <w:right w:w="80" w:type="dxa"/>
            </w:tcMar>
            <w:vAlign w:val="center"/>
          </w:tcPr>
          <w:p w14:paraId="5D5A5801" w14:textId="77777777" w:rsidR="006929DF" w:rsidRPr="00DC6805" w:rsidRDefault="00000000">
            <w:pPr>
              <w:spacing w:after="0" w:line="240" w:lineRule="auto"/>
              <w:jc w:val="center"/>
            </w:pPr>
            <w:r w:rsidRPr="00DC6805">
              <w:rPr>
                <w:b/>
                <w:sz w:val="16"/>
              </w:rPr>
              <w:t>Supporting references</w:t>
            </w:r>
          </w:p>
        </w:tc>
      </w:tr>
      <w:tr w:rsidR="00DC6805" w:rsidRPr="00DC6805" w14:paraId="13372487" w14:textId="77777777">
        <w:trPr>
          <w:jc w:val="center"/>
        </w:trPr>
        <w:tc>
          <w:tcPr>
            <w:tcW w:w="1368" w:type="dxa"/>
            <w:tcMar>
              <w:top w:w="90" w:type="dxa"/>
              <w:left w:w="80" w:type="dxa"/>
              <w:bottom w:w="90" w:type="dxa"/>
              <w:right w:w="80" w:type="dxa"/>
            </w:tcMar>
            <w:vAlign w:val="center"/>
          </w:tcPr>
          <w:p w14:paraId="05F95A71" w14:textId="77777777" w:rsidR="006929DF" w:rsidRPr="00DC6805" w:rsidRDefault="00000000">
            <w:pPr>
              <w:spacing w:after="0" w:line="240" w:lineRule="auto"/>
              <w:jc w:val="left"/>
            </w:pPr>
            <w:r w:rsidRPr="00DC6805">
              <w:rPr>
                <w:sz w:val="16"/>
              </w:rPr>
              <w:t>Aflatoxin B1 and related aflatoxins</w:t>
            </w:r>
          </w:p>
        </w:tc>
        <w:tc>
          <w:tcPr>
            <w:tcW w:w="1944" w:type="dxa"/>
            <w:tcMar>
              <w:top w:w="90" w:type="dxa"/>
              <w:left w:w="80" w:type="dxa"/>
              <w:bottom w:w="90" w:type="dxa"/>
              <w:right w:w="80" w:type="dxa"/>
            </w:tcMar>
            <w:vAlign w:val="center"/>
          </w:tcPr>
          <w:p w14:paraId="4A0F5F9E" w14:textId="77777777" w:rsidR="006929DF" w:rsidRPr="00DC6805" w:rsidRDefault="00000000">
            <w:pPr>
              <w:spacing w:after="0" w:line="240" w:lineRule="auto"/>
              <w:jc w:val="left"/>
            </w:pPr>
            <w:r w:rsidRPr="00DC6805">
              <w:rPr>
                <w:sz w:val="16"/>
              </w:rPr>
              <w:t>Groundnut and maize; can persist into finished flour</w:t>
            </w:r>
          </w:p>
        </w:tc>
        <w:tc>
          <w:tcPr>
            <w:tcW w:w="1987" w:type="dxa"/>
            <w:tcMar>
              <w:top w:w="90" w:type="dxa"/>
              <w:left w:w="80" w:type="dxa"/>
              <w:bottom w:w="90" w:type="dxa"/>
              <w:right w:w="80" w:type="dxa"/>
            </w:tcMar>
            <w:vAlign w:val="center"/>
          </w:tcPr>
          <w:p w14:paraId="4AD3FD93" w14:textId="77777777" w:rsidR="006929DF" w:rsidRPr="00DC6805" w:rsidRDefault="00000000">
            <w:pPr>
              <w:spacing w:after="0" w:line="240" w:lineRule="auto"/>
              <w:jc w:val="left"/>
            </w:pPr>
            <w:r w:rsidRPr="00DC6805">
              <w:rPr>
                <w:sz w:val="16"/>
              </w:rPr>
              <w:t>High contamination has been reported in Burkina Faso commodities and locally produced infant flours.</w:t>
            </w:r>
          </w:p>
        </w:tc>
        <w:tc>
          <w:tcPr>
            <w:tcW w:w="3096" w:type="dxa"/>
            <w:tcMar>
              <w:top w:w="90" w:type="dxa"/>
              <w:left w:w="80" w:type="dxa"/>
              <w:bottom w:w="90" w:type="dxa"/>
              <w:right w:w="80" w:type="dxa"/>
            </w:tcMar>
            <w:vAlign w:val="center"/>
          </w:tcPr>
          <w:p w14:paraId="41B3CDB0" w14:textId="77777777" w:rsidR="006929DF" w:rsidRPr="00DC6805" w:rsidRDefault="00000000">
            <w:pPr>
              <w:spacing w:after="0" w:line="240" w:lineRule="auto"/>
              <w:jc w:val="left"/>
            </w:pPr>
            <w:r w:rsidRPr="00DC6805">
              <w:rPr>
                <w:sz w:val="16"/>
              </w:rPr>
              <w:t>Field and post-harvest prevention, rapid drying, moisture-controlled storage, lot rejection, sorting and representative batch testing.</w:t>
            </w:r>
          </w:p>
        </w:tc>
        <w:tc>
          <w:tcPr>
            <w:tcW w:w="1541" w:type="dxa"/>
            <w:tcMar>
              <w:top w:w="90" w:type="dxa"/>
              <w:left w:w="80" w:type="dxa"/>
              <w:bottom w:w="90" w:type="dxa"/>
              <w:right w:w="80" w:type="dxa"/>
            </w:tcMar>
            <w:vAlign w:val="center"/>
          </w:tcPr>
          <w:p w14:paraId="29E6B83F" w14:textId="77777777" w:rsidR="006929DF" w:rsidRPr="00DC6805" w:rsidRDefault="00000000">
            <w:pPr>
              <w:spacing w:after="0" w:line="240" w:lineRule="auto"/>
              <w:jc w:val="left"/>
            </w:pPr>
            <w:r w:rsidRPr="00DC6805">
              <w:rPr>
                <w:sz w:val="16"/>
              </w:rPr>
              <w:t>(</w:t>
            </w:r>
            <w:proofErr w:type="spellStart"/>
            <w:r w:rsidRPr="00DC6805">
              <w:rPr>
                <w:sz w:val="16"/>
              </w:rPr>
              <w:t>Waré</w:t>
            </w:r>
            <w:proofErr w:type="spellEnd"/>
            <w:r w:rsidRPr="00DC6805">
              <w:rPr>
                <w:sz w:val="16"/>
              </w:rPr>
              <w:t xml:space="preserve"> et al., 2017; </w:t>
            </w:r>
            <w:proofErr w:type="spellStart"/>
            <w:r w:rsidRPr="00DC6805">
              <w:rPr>
                <w:sz w:val="16"/>
              </w:rPr>
              <w:t>Bandé</w:t>
            </w:r>
            <w:proofErr w:type="spellEnd"/>
            <w:r w:rsidRPr="00DC6805">
              <w:rPr>
                <w:sz w:val="16"/>
              </w:rPr>
              <w:t xml:space="preserve"> et al., 2022; Falade et al., 2022; Bayala-</w:t>
            </w:r>
            <w:proofErr w:type="spellStart"/>
            <w:r w:rsidRPr="00DC6805">
              <w:rPr>
                <w:sz w:val="16"/>
              </w:rPr>
              <w:t>Yaï</w:t>
            </w:r>
            <w:proofErr w:type="spellEnd"/>
            <w:r w:rsidRPr="00DC6805">
              <w:rPr>
                <w:sz w:val="16"/>
              </w:rPr>
              <w:t xml:space="preserve"> et al., 2025)</w:t>
            </w:r>
          </w:p>
        </w:tc>
      </w:tr>
      <w:tr w:rsidR="00DC6805" w:rsidRPr="00DC6805" w14:paraId="2873086A" w14:textId="77777777">
        <w:trPr>
          <w:jc w:val="center"/>
        </w:trPr>
        <w:tc>
          <w:tcPr>
            <w:tcW w:w="1368" w:type="dxa"/>
            <w:tcMar>
              <w:top w:w="90" w:type="dxa"/>
              <w:left w:w="80" w:type="dxa"/>
              <w:bottom w:w="90" w:type="dxa"/>
              <w:right w:w="80" w:type="dxa"/>
            </w:tcMar>
            <w:vAlign w:val="center"/>
          </w:tcPr>
          <w:p w14:paraId="45810823" w14:textId="77777777" w:rsidR="006929DF" w:rsidRPr="00DC6805" w:rsidRDefault="00000000">
            <w:pPr>
              <w:spacing w:after="0" w:line="240" w:lineRule="auto"/>
              <w:jc w:val="left"/>
            </w:pPr>
            <w:r w:rsidRPr="00DC6805">
              <w:rPr>
                <w:sz w:val="16"/>
              </w:rPr>
              <w:t xml:space="preserve">Ochratoxin A and </w:t>
            </w:r>
            <w:proofErr w:type="spellStart"/>
            <w:r w:rsidRPr="00DC6805">
              <w:rPr>
                <w:sz w:val="16"/>
              </w:rPr>
              <w:t>fumonisins</w:t>
            </w:r>
            <w:proofErr w:type="spellEnd"/>
          </w:p>
        </w:tc>
        <w:tc>
          <w:tcPr>
            <w:tcW w:w="1944" w:type="dxa"/>
            <w:tcMar>
              <w:top w:w="90" w:type="dxa"/>
              <w:left w:w="80" w:type="dxa"/>
              <w:bottom w:w="90" w:type="dxa"/>
              <w:right w:w="80" w:type="dxa"/>
            </w:tcMar>
            <w:vAlign w:val="center"/>
          </w:tcPr>
          <w:p w14:paraId="0222104B" w14:textId="77777777" w:rsidR="006929DF" w:rsidRPr="00DC6805" w:rsidRDefault="00000000">
            <w:pPr>
              <w:spacing w:after="0" w:line="240" w:lineRule="auto"/>
              <w:jc w:val="left"/>
            </w:pPr>
            <w:r w:rsidRPr="00DC6805">
              <w:rPr>
                <w:sz w:val="16"/>
              </w:rPr>
              <w:t>Cereal raw materials and finished flour</w:t>
            </w:r>
          </w:p>
        </w:tc>
        <w:tc>
          <w:tcPr>
            <w:tcW w:w="1987" w:type="dxa"/>
            <w:tcMar>
              <w:top w:w="90" w:type="dxa"/>
              <w:left w:w="80" w:type="dxa"/>
              <w:bottom w:w="90" w:type="dxa"/>
              <w:right w:w="80" w:type="dxa"/>
            </w:tcMar>
            <w:vAlign w:val="center"/>
          </w:tcPr>
          <w:p w14:paraId="6FD7BE19" w14:textId="77777777" w:rsidR="006929DF" w:rsidRPr="00DC6805" w:rsidRDefault="00000000">
            <w:pPr>
              <w:spacing w:after="0" w:line="240" w:lineRule="auto"/>
              <w:jc w:val="left"/>
            </w:pPr>
            <w:r w:rsidRPr="00DC6805">
              <w:rPr>
                <w:sz w:val="16"/>
              </w:rPr>
              <w:t>Detected less frequently than aflatoxin in local infant-flour studies but remain relevant co-contaminants.</w:t>
            </w:r>
          </w:p>
        </w:tc>
        <w:tc>
          <w:tcPr>
            <w:tcW w:w="3096" w:type="dxa"/>
            <w:tcMar>
              <w:top w:w="90" w:type="dxa"/>
              <w:left w:w="80" w:type="dxa"/>
              <w:bottom w:w="90" w:type="dxa"/>
              <w:right w:w="80" w:type="dxa"/>
            </w:tcMar>
            <w:vAlign w:val="center"/>
          </w:tcPr>
          <w:p w14:paraId="42A4AF68" w14:textId="77777777" w:rsidR="006929DF" w:rsidRPr="00DC6805" w:rsidRDefault="00000000">
            <w:pPr>
              <w:spacing w:after="0" w:line="240" w:lineRule="auto"/>
              <w:jc w:val="left"/>
            </w:pPr>
            <w:r w:rsidRPr="00DC6805">
              <w:rPr>
                <w:sz w:val="16"/>
              </w:rPr>
              <w:t xml:space="preserve">Commodity-specific surveillance; reject </w:t>
            </w:r>
            <w:proofErr w:type="spellStart"/>
            <w:r w:rsidRPr="00DC6805">
              <w:rPr>
                <w:sz w:val="16"/>
              </w:rPr>
              <w:t>mould</w:t>
            </w:r>
            <w:proofErr w:type="spellEnd"/>
            <w:r w:rsidRPr="00DC6805">
              <w:rPr>
                <w:sz w:val="16"/>
              </w:rPr>
              <w:t>-damaged lots; do not assume aflatoxin-focused processing removes other toxins.</w:t>
            </w:r>
          </w:p>
        </w:tc>
        <w:tc>
          <w:tcPr>
            <w:tcW w:w="1541" w:type="dxa"/>
            <w:tcMar>
              <w:top w:w="90" w:type="dxa"/>
              <w:left w:w="80" w:type="dxa"/>
              <w:bottom w:w="90" w:type="dxa"/>
              <w:right w:w="80" w:type="dxa"/>
            </w:tcMar>
            <w:vAlign w:val="center"/>
          </w:tcPr>
          <w:p w14:paraId="42EA0FF5" w14:textId="77777777" w:rsidR="006929DF" w:rsidRPr="00DC6805" w:rsidRDefault="00000000">
            <w:pPr>
              <w:spacing w:after="0" w:line="240" w:lineRule="auto"/>
              <w:jc w:val="left"/>
            </w:pPr>
            <w:r w:rsidRPr="00DC6805">
              <w:rPr>
                <w:sz w:val="16"/>
              </w:rPr>
              <w:t>(</w:t>
            </w:r>
            <w:proofErr w:type="spellStart"/>
            <w:r w:rsidRPr="00DC6805">
              <w:rPr>
                <w:sz w:val="16"/>
              </w:rPr>
              <w:t>Waré</w:t>
            </w:r>
            <w:proofErr w:type="spellEnd"/>
            <w:r w:rsidRPr="00DC6805">
              <w:rPr>
                <w:sz w:val="16"/>
              </w:rPr>
              <w:t xml:space="preserve"> et al., 2017; Bayala-</w:t>
            </w:r>
            <w:proofErr w:type="spellStart"/>
            <w:r w:rsidRPr="00DC6805">
              <w:rPr>
                <w:sz w:val="16"/>
              </w:rPr>
              <w:t>Yaï</w:t>
            </w:r>
            <w:proofErr w:type="spellEnd"/>
            <w:r w:rsidRPr="00DC6805">
              <w:rPr>
                <w:sz w:val="16"/>
              </w:rPr>
              <w:t xml:space="preserve"> et al., 2025)</w:t>
            </w:r>
          </w:p>
        </w:tc>
      </w:tr>
      <w:tr w:rsidR="00DC6805" w:rsidRPr="00DC6805" w14:paraId="0557B1C4" w14:textId="77777777">
        <w:trPr>
          <w:jc w:val="center"/>
        </w:trPr>
        <w:tc>
          <w:tcPr>
            <w:tcW w:w="1368" w:type="dxa"/>
            <w:tcMar>
              <w:top w:w="90" w:type="dxa"/>
              <w:left w:w="80" w:type="dxa"/>
              <w:bottom w:w="90" w:type="dxa"/>
              <w:right w:w="80" w:type="dxa"/>
            </w:tcMar>
            <w:vAlign w:val="center"/>
          </w:tcPr>
          <w:p w14:paraId="60169F40" w14:textId="77777777" w:rsidR="006929DF" w:rsidRPr="00DC6805" w:rsidRDefault="00000000">
            <w:pPr>
              <w:spacing w:after="0" w:line="240" w:lineRule="auto"/>
              <w:jc w:val="left"/>
            </w:pPr>
            <w:r w:rsidRPr="00DC6805">
              <w:rPr>
                <w:sz w:val="16"/>
              </w:rPr>
              <w:t xml:space="preserve">Enterobacteriaceae including </w:t>
            </w:r>
            <w:proofErr w:type="spellStart"/>
            <w:r w:rsidRPr="00DC6805">
              <w:rPr>
                <w:i/>
                <w:sz w:val="16"/>
              </w:rPr>
              <w:t>Cronobacter</w:t>
            </w:r>
            <w:proofErr w:type="spellEnd"/>
            <w:r w:rsidRPr="00DC6805">
              <w:rPr>
                <w:sz w:val="16"/>
              </w:rPr>
              <w:t xml:space="preserve"> species</w:t>
            </w:r>
          </w:p>
        </w:tc>
        <w:tc>
          <w:tcPr>
            <w:tcW w:w="1944" w:type="dxa"/>
            <w:tcMar>
              <w:top w:w="90" w:type="dxa"/>
              <w:left w:w="80" w:type="dxa"/>
              <w:bottom w:w="90" w:type="dxa"/>
              <w:right w:w="80" w:type="dxa"/>
            </w:tcMar>
            <w:vAlign w:val="center"/>
          </w:tcPr>
          <w:p w14:paraId="5EE844CC" w14:textId="77777777" w:rsidR="006929DF" w:rsidRPr="00DC6805" w:rsidRDefault="00000000">
            <w:pPr>
              <w:spacing w:after="0" w:line="240" w:lineRule="auto"/>
              <w:jc w:val="left"/>
            </w:pPr>
            <w:r w:rsidRPr="00DC6805">
              <w:rPr>
                <w:sz w:val="16"/>
              </w:rPr>
              <w:t>Finished dry flour and post-process environment</w:t>
            </w:r>
          </w:p>
        </w:tc>
        <w:tc>
          <w:tcPr>
            <w:tcW w:w="1987" w:type="dxa"/>
            <w:tcMar>
              <w:top w:w="90" w:type="dxa"/>
              <w:left w:w="80" w:type="dxa"/>
              <w:bottom w:w="90" w:type="dxa"/>
              <w:right w:w="80" w:type="dxa"/>
            </w:tcMar>
            <w:vAlign w:val="center"/>
          </w:tcPr>
          <w:p w14:paraId="0FA42B31" w14:textId="77777777" w:rsidR="006929DF" w:rsidRPr="00DC6805" w:rsidRDefault="00000000">
            <w:pPr>
              <w:spacing w:after="0" w:line="240" w:lineRule="auto"/>
              <w:jc w:val="left"/>
            </w:pPr>
            <w:r w:rsidRPr="00DC6805">
              <w:rPr>
                <w:sz w:val="16"/>
              </w:rPr>
              <w:t xml:space="preserve">Indicator organisms and </w:t>
            </w:r>
            <w:proofErr w:type="spellStart"/>
            <w:r w:rsidRPr="00DC6805">
              <w:rPr>
                <w:i/>
                <w:sz w:val="16"/>
              </w:rPr>
              <w:t>Cronobacter</w:t>
            </w:r>
            <w:proofErr w:type="spellEnd"/>
            <w:r w:rsidRPr="00DC6805">
              <w:rPr>
                <w:sz w:val="16"/>
              </w:rPr>
              <w:t xml:space="preserve"> have been detected in locally produced flours.</w:t>
            </w:r>
          </w:p>
        </w:tc>
        <w:tc>
          <w:tcPr>
            <w:tcW w:w="3096" w:type="dxa"/>
            <w:tcMar>
              <w:top w:w="90" w:type="dxa"/>
              <w:left w:w="80" w:type="dxa"/>
              <w:bottom w:w="90" w:type="dxa"/>
              <w:right w:w="80" w:type="dxa"/>
            </w:tcMar>
            <w:vAlign w:val="center"/>
          </w:tcPr>
          <w:p w14:paraId="2819AB8D" w14:textId="77777777" w:rsidR="006929DF" w:rsidRPr="00DC6805" w:rsidRDefault="00000000">
            <w:pPr>
              <w:spacing w:after="0" w:line="240" w:lineRule="auto"/>
              <w:jc w:val="left"/>
            </w:pPr>
            <w:r w:rsidRPr="00DC6805">
              <w:rPr>
                <w:sz w:val="16"/>
              </w:rPr>
              <w:t>Good manufacturing practice, separation of raw/finished zones, validated heat steps, protected drying and clean packaging.</w:t>
            </w:r>
          </w:p>
        </w:tc>
        <w:tc>
          <w:tcPr>
            <w:tcW w:w="1541" w:type="dxa"/>
            <w:tcMar>
              <w:top w:w="90" w:type="dxa"/>
              <w:left w:w="80" w:type="dxa"/>
              <w:bottom w:w="90" w:type="dxa"/>
              <w:right w:w="80" w:type="dxa"/>
            </w:tcMar>
            <w:vAlign w:val="center"/>
          </w:tcPr>
          <w:p w14:paraId="7BD71543" w14:textId="77777777" w:rsidR="006929DF" w:rsidRPr="00DC6805" w:rsidRDefault="00000000">
            <w:pPr>
              <w:spacing w:after="0" w:line="240" w:lineRule="auto"/>
              <w:jc w:val="left"/>
            </w:pPr>
            <w:r w:rsidRPr="00DC6805">
              <w:rPr>
                <w:sz w:val="16"/>
              </w:rPr>
              <w:t>(</w:t>
            </w:r>
            <w:proofErr w:type="spellStart"/>
            <w:r w:rsidRPr="00DC6805">
              <w:rPr>
                <w:sz w:val="16"/>
              </w:rPr>
              <w:t>Waré</w:t>
            </w:r>
            <w:proofErr w:type="spellEnd"/>
            <w:r w:rsidRPr="00DC6805">
              <w:rPr>
                <w:sz w:val="16"/>
              </w:rPr>
              <w:t xml:space="preserve"> et al., 2018)</w:t>
            </w:r>
          </w:p>
        </w:tc>
      </w:tr>
      <w:tr w:rsidR="00DC6805" w:rsidRPr="00DC6805" w14:paraId="48818B74" w14:textId="77777777">
        <w:trPr>
          <w:jc w:val="center"/>
        </w:trPr>
        <w:tc>
          <w:tcPr>
            <w:tcW w:w="1368" w:type="dxa"/>
            <w:tcMar>
              <w:top w:w="90" w:type="dxa"/>
              <w:left w:w="80" w:type="dxa"/>
              <w:bottom w:w="90" w:type="dxa"/>
              <w:right w:w="80" w:type="dxa"/>
            </w:tcMar>
            <w:vAlign w:val="center"/>
          </w:tcPr>
          <w:p w14:paraId="104B5A96" w14:textId="77777777" w:rsidR="006929DF" w:rsidRPr="00DC6805" w:rsidRDefault="00000000">
            <w:pPr>
              <w:spacing w:after="0" w:line="240" w:lineRule="auto"/>
              <w:jc w:val="left"/>
            </w:pPr>
            <w:proofErr w:type="spellStart"/>
            <w:r w:rsidRPr="00DC6805">
              <w:rPr>
                <w:sz w:val="16"/>
              </w:rPr>
              <w:t>Moulds</w:t>
            </w:r>
            <w:proofErr w:type="spellEnd"/>
            <w:r w:rsidRPr="00DC6805">
              <w:rPr>
                <w:sz w:val="16"/>
              </w:rPr>
              <w:t xml:space="preserve"> and yeasts</w:t>
            </w:r>
          </w:p>
        </w:tc>
        <w:tc>
          <w:tcPr>
            <w:tcW w:w="1944" w:type="dxa"/>
            <w:tcMar>
              <w:top w:w="90" w:type="dxa"/>
              <w:left w:w="80" w:type="dxa"/>
              <w:bottom w:w="90" w:type="dxa"/>
              <w:right w:w="80" w:type="dxa"/>
            </w:tcMar>
            <w:vAlign w:val="center"/>
          </w:tcPr>
          <w:p w14:paraId="35DEF0AE" w14:textId="77777777" w:rsidR="006929DF" w:rsidRPr="00DC6805" w:rsidRDefault="00000000">
            <w:pPr>
              <w:spacing w:after="0" w:line="240" w:lineRule="auto"/>
              <w:jc w:val="left"/>
            </w:pPr>
            <w:r w:rsidRPr="00DC6805">
              <w:rPr>
                <w:sz w:val="16"/>
              </w:rPr>
              <w:t>Poorly dried flour, storage and recontamination</w:t>
            </w:r>
          </w:p>
        </w:tc>
        <w:tc>
          <w:tcPr>
            <w:tcW w:w="1987" w:type="dxa"/>
            <w:tcMar>
              <w:top w:w="90" w:type="dxa"/>
              <w:left w:w="80" w:type="dxa"/>
              <w:bottom w:w="90" w:type="dxa"/>
              <w:right w:w="80" w:type="dxa"/>
            </w:tcMar>
            <w:vAlign w:val="center"/>
          </w:tcPr>
          <w:p w14:paraId="44C401ED" w14:textId="77777777" w:rsidR="006929DF" w:rsidRPr="00DC6805" w:rsidRDefault="00000000">
            <w:pPr>
              <w:spacing w:after="0" w:line="240" w:lineRule="auto"/>
              <w:jc w:val="left"/>
            </w:pPr>
            <w:r w:rsidRPr="00DC6805">
              <w:rPr>
                <w:sz w:val="16"/>
              </w:rPr>
              <w:t xml:space="preserve">Local surveys detected </w:t>
            </w:r>
            <w:proofErr w:type="spellStart"/>
            <w:r w:rsidRPr="00DC6805">
              <w:rPr>
                <w:sz w:val="16"/>
              </w:rPr>
              <w:t>moulds</w:t>
            </w:r>
            <w:proofErr w:type="spellEnd"/>
            <w:r w:rsidRPr="00DC6805">
              <w:rPr>
                <w:sz w:val="16"/>
              </w:rPr>
              <w:t xml:space="preserve"> including genera capable of producing mycotoxins.</w:t>
            </w:r>
          </w:p>
        </w:tc>
        <w:tc>
          <w:tcPr>
            <w:tcW w:w="3096" w:type="dxa"/>
            <w:tcMar>
              <w:top w:w="90" w:type="dxa"/>
              <w:left w:w="80" w:type="dxa"/>
              <w:bottom w:w="90" w:type="dxa"/>
              <w:right w:w="80" w:type="dxa"/>
            </w:tcMar>
            <w:vAlign w:val="center"/>
          </w:tcPr>
          <w:p w14:paraId="2E8ABC36" w14:textId="77777777" w:rsidR="006929DF" w:rsidRPr="00DC6805" w:rsidRDefault="00000000">
            <w:pPr>
              <w:spacing w:after="0" w:line="240" w:lineRule="auto"/>
              <w:jc w:val="left"/>
            </w:pPr>
            <w:r w:rsidRPr="00DC6805">
              <w:rPr>
                <w:sz w:val="16"/>
              </w:rPr>
              <w:t>Dry to a validated moisture endpoint, control storage humidity, use barrier packaging and rotate stock.</w:t>
            </w:r>
          </w:p>
        </w:tc>
        <w:tc>
          <w:tcPr>
            <w:tcW w:w="1541" w:type="dxa"/>
            <w:tcMar>
              <w:top w:w="90" w:type="dxa"/>
              <w:left w:w="80" w:type="dxa"/>
              <w:bottom w:w="90" w:type="dxa"/>
              <w:right w:w="80" w:type="dxa"/>
            </w:tcMar>
            <w:vAlign w:val="center"/>
          </w:tcPr>
          <w:p w14:paraId="1B6338AA" w14:textId="77777777" w:rsidR="006929DF" w:rsidRPr="00DC6805" w:rsidRDefault="00000000">
            <w:pPr>
              <w:spacing w:after="0" w:line="240" w:lineRule="auto"/>
              <w:jc w:val="left"/>
            </w:pPr>
            <w:r w:rsidRPr="00DC6805">
              <w:rPr>
                <w:sz w:val="16"/>
              </w:rPr>
              <w:t>(</w:t>
            </w:r>
            <w:proofErr w:type="spellStart"/>
            <w:r w:rsidRPr="00DC6805">
              <w:rPr>
                <w:sz w:val="16"/>
              </w:rPr>
              <w:t>Waré</w:t>
            </w:r>
            <w:proofErr w:type="spellEnd"/>
            <w:r w:rsidRPr="00DC6805">
              <w:rPr>
                <w:sz w:val="16"/>
              </w:rPr>
              <w:t xml:space="preserve"> et al., 2018)</w:t>
            </w:r>
          </w:p>
        </w:tc>
      </w:tr>
      <w:tr w:rsidR="00DC6805" w:rsidRPr="00DC6805" w14:paraId="6CA017FF" w14:textId="77777777">
        <w:trPr>
          <w:jc w:val="center"/>
        </w:trPr>
        <w:tc>
          <w:tcPr>
            <w:tcW w:w="1368" w:type="dxa"/>
            <w:tcMar>
              <w:top w:w="90" w:type="dxa"/>
              <w:left w:w="80" w:type="dxa"/>
              <w:bottom w:w="90" w:type="dxa"/>
              <w:right w:w="80" w:type="dxa"/>
            </w:tcMar>
            <w:vAlign w:val="center"/>
          </w:tcPr>
          <w:p w14:paraId="2CCFB5BC" w14:textId="77777777" w:rsidR="006929DF" w:rsidRPr="00DC6805" w:rsidRDefault="00000000">
            <w:pPr>
              <w:spacing w:after="0" w:line="240" w:lineRule="auto"/>
              <w:jc w:val="left"/>
            </w:pPr>
            <w:r w:rsidRPr="00DC6805">
              <w:rPr>
                <w:sz w:val="16"/>
              </w:rPr>
              <w:t>Protease inhibitors and other antinutritional factors</w:t>
            </w:r>
          </w:p>
        </w:tc>
        <w:tc>
          <w:tcPr>
            <w:tcW w:w="1944" w:type="dxa"/>
            <w:tcMar>
              <w:top w:w="90" w:type="dxa"/>
              <w:left w:w="80" w:type="dxa"/>
              <w:bottom w:w="90" w:type="dxa"/>
              <w:right w:w="80" w:type="dxa"/>
            </w:tcMar>
            <w:vAlign w:val="center"/>
          </w:tcPr>
          <w:p w14:paraId="377BC9E9" w14:textId="77777777" w:rsidR="006929DF" w:rsidRPr="00DC6805" w:rsidRDefault="00000000">
            <w:pPr>
              <w:spacing w:after="0" w:line="240" w:lineRule="auto"/>
              <w:jc w:val="left"/>
            </w:pPr>
            <w:r w:rsidRPr="00DC6805">
              <w:rPr>
                <w:sz w:val="16"/>
              </w:rPr>
              <w:t>Soybean and other legumes</w:t>
            </w:r>
          </w:p>
        </w:tc>
        <w:tc>
          <w:tcPr>
            <w:tcW w:w="1987" w:type="dxa"/>
            <w:tcMar>
              <w:top w:w="90" w:type="dxa"/>
              <w:left w:w="80" w:type="dxa"/>
              <w:bottom w:w="90" w:type="dxa"/>
              <w:right w:w="80" w:type="dxa"/>
            </w:tcMar>
            <w:vAlign w:val="center"/>
          </w:tcPr>
          <w:p w14:paraId="22FDB69B" w14:textId="77777777" w:rsidR="006929DF" w:rsidRPr="00DC6805" w:rsidRDefault="00000000">
            <w:pPr>
              <w:spacing w:after="0" w:line="240" w:lineRule="auto"/>
              <w:jc w:val="left"/>
            </w:pPr>
            <w:r w:rsidRPr="00DC6805">
              <w:rPr>
                <w:sz w:val="16"/>
              </w:rPr>
              <w:t>Inadequate processing can reduce protein digestibility; phytate can constrain mineral absorption.</w:t>
            </w:r>
          </w:p>
        </w:tc>
        <w:tc>
          <w:tcPr>
            <w:tcW w:w="3096" w:type="dxa"/>
            <w:tcMar>
              <w:top w:w="90" w:type="dxa"/>
              <w:left w:w="80" w:type="dxa"/>
              <w:bottom w:w="90" w:type="dxa"/>
              <w:right w:w="80" w:type="dxa"/>
            </w:tcMar>
            <w:vAlign w:val="center"/>
          </w:tcPr>
          <w:p w14:paraId="7A530C4E" w14:textId="77777777" w:rsidR="006929DF" w:rsidRPr="00DC6805" w:rsidRDefault="00000000">
            <w:pPr>
              <w:spacing w:after="0" w:line="240" w:lineRule="auto"/>
              <w:jc w:val="left"/>
            </w:pPr>
            <w:r w:rsidRPr="00DC6805">
              <w:rPr>
                <w:sz w:val="16"/>
              </w:rPr>
              <w:t>Validated heat treatment for soybean and recipe-specific phytate-reduction strategies.</w:t>
            </w:r>
          </w:p>
        </w:tc>
        <w:tc>
          <w:tcPr>
            <w:tcW w:w="1541" w:type="dxa"/>
            <w:tcMar>
              <w:top w:w="90" w:type="dxa"/>
              <w:left w:w="80" w:type="dxa"/>
              <w:bottom w:w="90" w:type="dxa"/>
              <w:right w:w="80" w:type="dxa"/>
            </w:tcMar>
            <w:vAlign w:val="center"/>
          </w:tcPr>
          <w:p w14:paraId="5F0C0EC9" w14:textId="77777777" w:rsidR="006929DF" w:rsidRPr="00DC6805" w:rsidRDefault="00000000">
            <w:pPr>
              <w:spacing w:after="0" w:line="240" w:lineRule="auto"/>
              <w:jc w:val="left"/>
            </w:pPr>
            <w:r w:rsidRPr="00DC6805">
              <w:rPr>
                <w:sz w:val="16"/>
              </w:rPr>
              <w:t>(Gibson et al., 2010; Luo et al., 2025)</w:t>
            </w:r>
          </w:p>
        </w:tc>
      </w:tr>
      <w:tr w:rsidR="00DC6805" w:rsidRPr="00DC6805" w14:paraId="03B6CE94" w14:textId="77777777">
        <w:trPr>
          <w:jc w:val="center"/>
        </w:trPr>
        <w:tc>
          <w:tcPr>
            <w:tcW w:w="1368" w:type="dxa"/>
            <w:tcMar>
              <w:top w:w="90" w:type="dxa"/>
              <w:left w:w="80" w:type="dxa"/>
              <w:bottom w:w="90" w:type="dxa"/>
              <w:right w:w="80" w:type="dxa"/>
            </w:tcMar>
            <w:vAlign w:val="center"/>
          </w:tcPr>
          <w:p w14:paraId="54C58FD1" w14:textId="77777777" w:rsidR="006929DF" w:rsidRPr="00DC6805" w:rsidRDefault="00000000">
            <w:pPr>
              <w:spacing w:after="0" w:line="240" w:lineRule="auto"/>
              <w:jc w:val="left"/>
            </w:pPr>
            <w:r w:rsidRPr="00DC6805">
              <w:rPr>
                <w:sz w:val="16"/>
              </w:rPr>
              <w:t>Lipid oxidation</w:t>
            </w:r>
          </w:p>
        </w:tc>
        <w:tc>
          <w:tcPr>
            <w:tcW w:w="1944" w:type="dxa"/>
            <w:tcMar>
              <w:top w:w="90" w:type="dxa"/>
              <w:left w:w="80" w:type="dxa"/>
              <w:bottom w:w="90" w:type="dxa"/>
              <w:right w:w="80" w:type="dxa"/>
            </w:tcMar>
            <w:vAlign w:val="center"/>
          </w:tcPr>
          <w:p w14:paraId="3A2B1A45" w14:textId="77777777" w:rsidR="006929DF" w:rsidRPr="00DC6805" w:rsidRDefault="00000000">
            <w:pPr>
              <w:spacing w:after="0" w:line="240" w:lineRule="auto"/>
              <w:jc w:val="left"/>
            </w:pPr>
            <w:r w:rsidRPr="00DC6805">
              <w:rPr>
                <w:sz w:val="16"/>
              </w:rPr>
              <w:t>Groundnut, sesame and full-fat soybean after milling</w:t>
            </w:r>
          </w:p>
        </w:tc>
        <w:tc>
          <w:tcPr>
            <w:tcW w:w="1987" w:type="dxa"/>
            <w:tcMar>
              <w:top w:w="90" w:type="dxa"/>
              <w:left w:w="80" w:type="dxa"/>
              <w:bottom w:w="90" w:type="dxa"/>
              <w:right w:w="80" w:type="dxa"/>
            </w:tcMar>
            <w:vAlign w:val="center"/>
          </w:tcPr>
          <w:p w14:paraId="229B9EA3" w14:textId="77777777" w:rsidR="006929DF" w:rsidRPr="00DC6805" w:rsidRDefault="00000000">
            <w:pPr>
              <w:spacing w:after="0" w:line="240" w:lineRule="auto"/>
              <w:jc w:val="left"/>
            </w:pPr>
            <w:r w:rsidRPr="00DC6805">
              <w:rPr>
                <w:sz w:val="16"/>
              </w:rPr>
              <w:t>Rancidity can reduce sensory quality and nutrient stability during storage.</w:t>
            </w:r>
          </w:p>
        </w:tc>
        <w:tc>
          <w:tcPr>
            <w:tcW w:w="3096" w:type="dxa"/>
            <w:tcMar>
              <w:top w:w="90" w:type="dxa"/>
              <w:left w:w="80" w:type="dxa"/>
              <w:bottom w:w="90" w:type="dxa"/>
              <w:right w:w="80" w:type="dxa"/>
            </w:tcMar>
            <w:vAlign w:val="center"/>
          </w:tcPr>
          <w:p w14:paraId="47219753" w14:textId="77777777" w:rsidR="006929DF" w:rsidRPr="00DC6805" w:rsidRDefault="00000000">
            <w:pPr>
              <w:spacing w:after="0" w:line="240" w:lineRule="auto"/>
              <w:jc w:val="left"/>
            </w:pPr>
            <w:r w:rsidRPr="00DC6805">
              <w:rPr>
                <w:sz w:val="16"/>
              </w:rPr>
              <w:t>Control moisture and oxygen exposure; validate packaging and shelf life.</w:t>
            </w:r>
          </w:p>
        </w:tc>
        <w:tc>
          <w:tcPr>
            <w:tcW w:w="1541" w:type="dxa"/>
            <w:tcMar>
              <w:top w:w="90" w:type="dxa"/>
              <w:left w:w="80" w:type="dxa"/>
              <w:bottom w:w="90" w:type="dxa"/>
              <w:right w:w="80" w:type="dxa"/>
            </w:tcMar>
            <w:vAlign w:val="center"/>
          </w:tcPr>
          <w:p w14:paraId="6EB72942" w14:textId="77777777" w:rsidR="006929DF" w:rsidRPr="00DC6805" w:rsidRDefault="00000000">
            <w:pPr>
              <w:spacing w:after="0" w:line="240" w:lineRule="auto"/>
              <w:jc w:val="left"/>
            </w:pPr>
            <w:r w:rsidRPr="00DC6805">
              <w:rPr>
                <w:sz w:val="16"/>
              </w:rPr>
              <w:t>(Codex Alimentarius Commission, 2013)</w:t>
            </w:r>
          </w:p>
        </w:tc>
      </w:tr>
      <w:tr w:rsidR="00DC6805" w:rsidRPr="00DC6805" w14:paraId="1F445BC4" w14:textId="77777777">
        <w:trPr>
          <w:jc w:val="center"/>
        </w:trPr>
        <w:tc>
          <w:tcPr>
            <w:tcW w:w="1368" w:type="dxa"/>
            <w:tcMar>
              <w:top w:w="90" w:type="dxa"/>
              <w:left w:w="80" w:type="dxa"/>
              <w:bottom w:w="90" w:type="dxa"/>
              <w:right w:w="80" w:type="dxa"/>
            </w:tcMar>
            <w:vAlign w:val="center"/>
          </w:tcPr>
          <w:p w14:paraId="171FB226" w14:textId="77777777" w:rsidR="006929DF" w:rsidRPr="00DC6805" w:rsidRDefault="00000000">
            <w:pPr>
              <w:spacing w:after="0" w:line="240" w:lineRule="auto"/>
              <w:jc w:val="left"/>
            </w:pPr>
            <w:r w:rsidRPr="00DC6805">
              <w:rPr>
                <w:sz w:val="16"/>
              </w:rPr>
              <w:t>Physical/choking hazard</w:t>
            </w:r>
          </w:p>
        </w:tc>
        <w:tc>
          <w:tcPr>
            <w:tcW w:w="1944" w:type="dxa"/>
            <w:tcMar>
              <w:top w:w="90" w:type="dxa"/>
              <w:left w:w="80" w:type="dxa"/>
              <w:bottom w:w="90" w:type="dxa"/>
              <w:right w:w="80" w:type="dxa"/>
            </w:tcMar>
            <w:vAlign w:val="center"/>
          </w:tcPr>
          <w:p w14:paraId="36021FFE" w14:textId="77777777" w:rsidR="006929DF" w:rsidRPr="00DC6805" w:rsidRDefault="00000000">
            <w:pPr>
              <w:spacing w:after="0" w:line="240" w:lineRule="auto"/>
              <w:jc w:val="left"/>
            </w:pPr>
            <w:r w:rsidRPr="00DC6805">
              <w:rPr>
                <w:sz w:val="16"/>
              </w:rPr>
              <w:t>Coarse particles, intact nuts/seeds, shell fragments</w:t>
            </w:r>
          </w:p>
        </w:tc>
        <w:tc>
          <w:tcPr>
            <w:tcW w:w="1987" w:type="dxa"/>
            <w:tcMar>
              <w:top w:w="90" w:type="dxa"/>
              <w:left w:w="80" w:type="dxa"/>
              <w:bottom w:w="90" w:type="dxa"/>
              <w:right w:w="80" w:type="dxa"/>
            </w:tcMar>
            <w:vAlign w:val="center"/>
          </w:tcPr>
          <w:p w14:paraId="0A9211FE" w14:textId="77777777" w:rsidR="006929DF" w:rsidRPr="00DC6805" w:rsidRDefault="00000000">
            <w:pPr>
              <w:spacing w:after="0" w:line="240" w:lineRule="auto"/>
              <w:jc w:val="left"/>
            </w:pPr>
            <w:r w:rsidRPr="00DC6805">
              <w:rPr>
                <w:sz w:val="16"/>
              </w:rPr>
              <w:t>Infants require age-appropriate textures and non-choking forms.</w:t>
            </w:r>
          </w:p>
        </w:tc>
        <w:tc>
          <w:tcPr>
            <w:tcW w:w="3096" w:type="dxa"/>
            <w:tcMar>
              <w:top w:w="90" w:type="dxa"/>
              <w:left w:w="80" w:type="dxa"/>
              <w:bottom w:w="90" w:type="dxa"/>
              <w:right w:w="80" w:type="dxa"/>
            </w:tcMar>
            <w:vAlign w:val="center"/>
          </w:tcPr>
          <w:p w14:paraId="20C8F206" w14:textId="77777777" w:rsidR="006929DF" w:rsidRPr="00DC6805" w:rsidRDefault="00000000">
            <w:pPr>
              <w:spacing w:after="0" w:line="240" w:lineRule="auto"/>
              <w:jc w:val="left"/>
            </w:pPr>
            <w:r w:rsidRPr="00DC6805">
              <w:rPr>
                <w:sz w:val="16"/>
              </w:rPr>
              <w:t>Fine milling, sieve integrity checks and clear preparation instructions.</w:t>
            </w:r>
          </w:p>
        </w:tc>
        <w:tc>
          <w:tcPr>
            <w:tcW w:w="1541" w:type="dxa"/>
            <w:tcMar>
              <w:top w:w="90" w:type="dxa"/>
              <w:left w:w="80" w:type="dxa"/>
              <w:bottom w:w="90" w:type="dxa"/>
              <w:right w:w="80" w:type="dxa"/>
            </w:tcMar>
            <w:vAlign w:val="center"/>
          </w:tcPr>
          <w:p w14:paraId="57F9A539" w14:textId="77777777" w:rsidR="006929DF" w:rsidRPr="00DC6805" w:rsidRDefault="00000000">
            <w:pPr>
              <w:spacing w:after="0" w:line="240" w:lineRule="auto"/>
              <w:jc w:val="left"/>
            </w:pPr>
            <w:r w:rsidRPr="00DC6805">
              <w:rPr>
                <w:sz w:val="16"/>
              </w:rPr>
              <w:t>(World Health Organization, 2023)</w:t>
            </w:r>
          </w:p>
        </w:tc>
      </w:tr>
    </w:tbl>
    <w:p w14:paraId="1C8142CD"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25EC68B9" w14:textId="77777777" w:rsidR="006929DF" w:rsidRPr="00DC6805" w:rsidRDefault="00000000">
      <w:pPr>
        <w:pStyle w:val="Heading1"/>
        <w:rPr>
          <w:color w:val="auto"/>
        </w:rPr>
      </w:pPr>
      <w:r w:rsidRPr="00DC6805">
        <w:rPr>
          <w:rFonts w:ascii="Times New Roman" w:hAnsi="Times New Roman"/>
          <w:color w:val="auto"/>
        </w:rPr>
        <w:lastRenderedPageBreak/>
        <w:t xml:space="preserve">8. From Local Ingredients to Sustainable </w:t>
      </w:r>
      <w:proofErr w:type="spellStart"/>
      <w:r w:rsidRPr="00DC6805">
        <w:rPr>
          <w:rFonts w:ascii="Times New Roman" w:hAnsi="Times New Roman"/>
          <w:color w:val="auto"/>
        </w:rPr>
        <w:t>Valorisation</w:t>
      </w:r>
      <w:proofErr w:type="spellEnd"/>
    </w:p>
    <w:p w14:paraId="797A4829" w14:textId="77777777" w:rsidR="006929DF" w:rsidRPr="00DC6805" w:rsidRDefault="00000000">
      <w:proofErr w:type="spellStart"/>
      <w:r w:rsidRPr="00DC6805">
        <w:t>Valorisation</w:t>
      </w:r>
      <w:proofErr w:type="spellEnd"/>
      <w:r w:rsidRPr="00DC6805">
        <w:t xml:space="preserve"> means more than converting local seed crops into a branded flour. For complementary foods it requires simultaneous creation of nutritional, safety, economic and social value. A product must be affordable to households, remunerative enough for processors to sustain quality, compatible with local agriculture, and regulated strongly enough that low price does not become a proxy for poor control. Burkina Faso already has a diverse landscape of artisanal, community and semi-industrial infant-flour production. The critical task is to move from heterogeneous local manufacture to reliably specified products without eliminating the local knowledge and small-enterprise participation that make the sector valuable.</w:t>
      </w:r>
    </w:p>
    <w:p w14:paraId="632F4D9F" w14:textId="77777777" w:rsidR="006929DF" w:rsidRPr="00DC6805" w:rsidRDefault="00000000">
      <w:pPr>
        <w:pStyle w:val="Heading2"/>
        <w:rPr>
          <w:color w:val="auto"/>
        </w:rPr>
      </w:pPr>
      <w:r w:rsidRPr="00DC6805">
        <w:rPr>
          <w:rFonts w:ascii="Times New Roman" w:hAnsi="Times New Roman"/>
          <w:color w:val="auto"/>
        </w:rPr>
        <w:t>8.1 The Existing Local Flour Economy</w:t>
      </w:r>
    </w:p>
    <w:p w14:paraId="28C1A900" w14:textId="77777777" w:rsidR="006929DF" w:rsidRPr="00DC6805" w:rsidRDefault="00000000">
      <w:r w:rsidRPr="00DC6805">
        <w:t>A survey of infant-flour production units in Ouagadougou found a mix of artisanal and semi-industrial operations using cereals such as millet, sorghum and maize together with legumes, especially groundnut and soybean (Bayala-</w:t>
      </w:r>
      <w:proofErr w:type="spellStart"/>
      <w:r w:rsidRPr="00DC6805">
        <w:t>Yaï</w:t>
      </w:r>
      <w:proofErr w:type="spellEnd"/>
      <w:r w:rsidRPr="00DC6805">
        <w:t xml:space="preserve"> et al., 2024). This is important because it demonstrates that the proposed local-seed strategy is not a hypothetical future industry; it already exists in fragmented form. The challenge is quality convergence. Equipment, raw-material selection, process control and analytical verification varied, making the nutritional label an uncertain indicator of the food actually produced.</w:t>
      </w:r>
    </w:p>
    <w:p w14:paraId="287D2F7B" w14:textId="77777777" w:rsidR="006929DF" w:rsidRPr="00DC6805" w:rsidRDefault="00000000">
      <w:r w:rsidRPr="00DC6805">
        <w:t xml:space="preserve">Regional market work across Burkina Faso and </w:t>
      </w:r>
      <w:proofErr w:type="spellStart"/>
      <w:r w:rsidRPr="00DC6805">
        <w:t>neighbouring</w:t>
      </w:r>
      <w:proofErr w:type="spellEnd"/>
      <w:r w:rsidRPr="00DC6805">
        <w:t xml:space="preserve"> West African countries reached a similar conclusion. Locally produced complementary foods were generally cheaper than imported alternatives, yet only a minority of assessed products met all selected adequacy criteria, and labelling and availability were inconsistent (</w:t>
      </w:r>
      <w:proofErr w:type="spellStart"/>
      <w:r w:rsidRPr="00DC6805">
        <w:t>Dimaria</w:t>
      </w:r>
      <w:proofErr w:type="spellEnd"/>
      <w:r w:rsidRPr="00DC6805">
        <w:t xml:space="preserve"> et al., 2018). A later survey of commercially produced complementary foods across five West African countries found widespread problems including added sugars, excessive sodium in some products and low overall conformity with nutrient-profile criteria (Khosravi et al., 2023). These studies caution against equating “local” with “healthy” or “commercial” with “</w:t>
      </w:r>
      <w:proofErr w:type="spellStart"/>
      <w:r w:rsidRPr="00DC6805">
        <w:t>standardised</w:t>
      </w:r>
      <w:proofErr w:type="spellEnd"/>
      <w:r w:rsidRPr="00DC6805">
        <w:t>”. Quality depends on formulation and governance, not origin alone.</w:t>
      </w:r>
    </w:p>
    <w:p w14:paraId="65934A4A" w14:textId="77777777" w:rsidR="006929DF" w:rsidRPr="00DC6805" w:rsidRDefault="00000000">
      <w:r w:rsidRPr="00DC6805">
        <w:t xml:space="preserve">The wider cereal-processing sector also provides an economic opportunity. A 2025 Burkina Faso survey found that local cereal-flour processing and marketing remained heavily artisanal and that women constituted the large majority of processors (Ouedraogo et al., 2025). Because the study was not specific to infant foods, it cannot be used to infer compliance or nutritional quality in complementary-food production. It does show, however, that quality-upgrading </w:t>
      </w:r>
      <w:proofErr w:type="spellStart"/>
      <w:r w:rsidRPr="00DC6805">
        <w:t>programmes</w:t>
      </w:r>
      <w:proofErr w:type="spellEnd"/>
      <w:r w:rsidRPr="00DC6805">
        <w:t xml:space="preserve"> can have gendered livelihood implications. Standards that require expensive equipment without shared financing may unintentionally exclude the small women-led processors most embedded in local markets.</w:t>
      </w:r>
    </w:p>
    <w:p w14:paraId="5E95D318" w14:textId="77777777" w:rsidR="006929DF" w:rsidRPr="00DC6805" w:rsidRDefault="00000000">
      <w:pPr>
        <w:pStyle w:val="Heading2"/>
        <w:rPr>
          <w:color w:val="auto"/>
        </w:rPr>
      </w:pPr>
      <w:r w:rsidRPr="00DC6805">
        <w:rPr>
          <w:rFonts w:ascii="Times New Roman" w:hAnsi="Times New Roman"/>
          <w:color w:val="auto"/>
        </w:rPr>
        <w:t xml:space="preserve">8.2 </w:t>
      </w:r>
      <w:proofErr w:type="spellStart"/>
      <w:r w:rsidRPr="00DC6805">
        <w:rPr>
          <w:rFonts w:ascii="Times New Roman" w:hAnsi="Times New Roman"/>
          <w:color w:val="auto"/>
        </w:rPr>
        <w:t>Standardised</w:t>
      </w:r>
      <w:proofErr w:type="spellEnd"/>
      <w:r w:rsidRPr="00DC6805">
        <w:rPr>
          <w:rFonts w:ascii="Times New Roman" w:hAnsi="Times New Roman"/>
          <w:color w:val="auto"/>
        </w:rPr>
        <w:t xml:space="preserve"> Recipes and Flexible Raw Materials</w:t>
      </w:r>
    </w:p>
    <w:p w14:paraId="34D0343C" w14:textId="77777777" w:rsidR="006929DF" w:rsidRPr="00DC6805" w:rsidRDefault="00000000">
      <w:r w:rsidRPr="00DC6805">
        <w:t xml:space="preserve">Scaling requires a tension to be managed: the nutrient specification should be fixed, while the agricultural ingredients may need some controlled flexibility because harvests, prices and regional availability change. One approach is to develop a small family of validated recipes - for example millet-soybean, millet-groundnut, maize-soybean or sorghum-cowpea - that meet common nutrient and rheological specifications. Substitution should be allowed only between </w:t>
      </w:r>
      <w:proofErr w:type="spellStart"/>
      <w:r w:rsidRPr="00DC6805">
        <w:t>prevalidated</w:t>
      </w:r>
      <w:proofErr w:type="spellEnd"/>
      <w:r w:rsidRPr="00DC6805">
        <w:t xml:space="preserve"> ingredients and proportions, not through informal replacement during production.</w:t>
      </w:r>
    </w:p>
    <w:p w14:paraId="3270A695" w14:textId="77777777" w:rsidR="006929DF" w:rsidRPr="00DC6805" w:rsidRDefault="00000000">
      <w:r w:rsidRPr="00DC6805">
        <w:t xml:space="preserve">This model is more realistic than defining one national recipe. It can accommodate agroecological diversity and reduce dependence on a single crop whose price or safety deteriorates in a poor season. Yet flexibility increases analytical demands. Each recipe must be tested for nutrient composition, phytate, viscosity, cooking </w:t>
      </w:r>
      <w:proofErr w:type="spellStart"/>
      <w:r w:rsidRPr="00DC6805">
        <w:t>behaviour</w:t>
      </w:r>
      <w:proofErr w:type="spellEnd"/>
      <w:r w:rsidRPr="00DC6805">
        <w:t>, sensory acceptance, mycotoxin risk and shelf life. If fortification is used, premix dose must be adjusted to the nutrient contribution and inhibitor profile of the base matrix.</w:t>
      </w:r>
    </w:p>
    <w:p w14:paraId="26B3723B" w14:textId="77777777" w:rsidR="006929DF" w:rsidRPr="00DC6805" w:rsidRDefault="00000000">
      <w:r w:rsidRPr="00DC6805">
        <w:lastRenderedPageBreak/>
        <w:t xml:space="preserve">Biofortified seed can strengthen such a system. Hama-Ba et al. (2019) showed that biofortified pearl millet provides a higher starting concentration of iron and zinc, although processing affects retention. Public seed systems could therefore link biofortified crop dissemination with complementary-food processors. The </w:t>
      </w:r>
      <w:proofErr w:type="spellStart"/>
      <w:r w:rsidRPr="00DC6805">
        <w:t>valorisation</w:t>
      </w:r>
      <w:proofErr w:type="spellEnd"/>
      <w:r w:rsidRPr="00DC6805">
        <w:t xml:space="preserve"> case is strongest when the nutritional trait remains stable across varieties, farmers receive agronomic value, processors can identify and segregate grain, and the resulting product demonstrates retained nutrient advantage after processing.</w:t>
      </w:r>
    </w:p>
    <w:p w14:paraId="4D31FB94" w14:textId="77777777" w:rsidR="006929DF" w:rsidRPr="00DC6805" w:rsidRDefault="00000000">
      <w:pPr>
        <w:pStyle w:val="Heading2"/>
        <w:rPr>
          <w:color w:val="auto"/>
        </w:rPr>
      </w:pPr>
      <w:r w:rsidRPr="00DC6805">
        <w:rPr>
          <w:rFonts w:ascii="Times New Roman" w:hAnsi="Times New Roman"/>
          <w:color w:val="auto"/>
        </w:rPr>
        <w:t>8.3 Quality Infrastructure and Proportionate Regulation</w:t>
      </w:r>
    </w:p>
    <w:p w14:paraId="118D34CF" w14:textId="77777777" w:rsidR="006929DF" w:rsidRPr="00DC6805" w:rsidRDefault="00000000">
      <w:r w:rsidRPr="00DC6805">
        <w:t>Small processors cannot verify aflatoxins, micronutrient concentration and microbiological quality by sensory inspection. A functioning local complementary-food sector therefore depends on accessible laboratory infrastructure. Shared testing through public laboratories, universities or accredited private facilities can lower cost, but sampling plans and turnaround times must be appropriate for commercial batches. A test result arriving after the product has been sold is not useful process control.</w:t>
      </w:r>
    </w:p>
    <w:p w14:paraId="712FAD15" w14:textId="77777777" w:rsidR="006929DF" w:rsidRPr="00DC6805" w:rsidRDefault="00000000">
      <w:r w:rsidRPr="00DC6805">
        <w:t>Regulation should combine minimum compositional and safety requirements with technical assistance. A purely punitive model risks driving small processors into informality, whereas voluntary guidance without enforcement leaves infants exposed to poor-quality products. Registration can be linked to staged compliance: documented recipes and supplier records at entry level; periodic mycotoxin and microbiological testing; verified fortification and labelling at higher production volumes; and formal hazard-control plans for semi-industrial facilities. This progression keeps the safety threshold non-negotiable while allowing the complexity of documentation to grow with scale.</w:t>
      </w:r>
    </w:p>
    <w:p w14:paraId="4D0FEE32" w14:textId="77777777" w:rsidR="006929DF" w:rsidRPr="00DC6805" w:rsidRDefault="00000000">
      <w:r w:rsidRPr="00DC6805">
        <w:t xml:space="preserve">Labelling is an integral part of formulation effectiveness. Labels should state the intended age, preparation ratio, required cooking step, safe water and hygiene instructions, storage conditions, use-after-opening guidance and an accurate ingredient list. Nutrition claims should be based on </w:t>
      </w:r>
      <w:proofErr w:type="spellStart"/>
      <w:r w:rsidRPr="00DC6805">
        <w:t>analysed</w:t>
      </w:r>
      <w:proofErr w:type="spellEnd"/>
      <w:r w:rsidRPr="00DC6805">
        <w:t xml:space="preserve"> or appropriately validated composition rather than theoretical recipe calculation alone. Products should not encourage replacement of breastfeeding or imply that a flour alone constitutes a complete diet.</w:t>
      </w:r>
    </w:p>
    <w:p w14:paraId="7731DFD5" w14:textId="77777777" w:rsidR="006929DF" w:rsidRPr="00DC6805" w:rsidRDefault="00000000">
      <w:pPr>
        <w:pStyle w:val="Heading2"/>
        <w:rPr>
          <w:color w:val="auto"/>
        </w:rPr>
      </w:pPr>
      <w:r w:rsidRPr="00DC6805">
        <w:rPr>
          <w:rFonts w:ascii="Times New Roman" w:hAnsi="Times New Roman"/>
          <w:color w:val="auto"/>
        </w:rPr>
        <w:t>8.4 Affordability Without Nutritional Downgrading</w:t>
      </w:r>
    </w:p>
    <w:p w14:paraId="4F64EF41" w14:textId="77777777" w:rsidR="006929DF" w:rsidRPr="00DC6805" w:rsidRDefault="00000000">
      <w:r w:rsidRPr="00DC6805">
        <w:t>Cost is central in Burkina Faso, but the cheapest blend per kilogram is not necessarily the most affordable nutrition. A cereal-heavy flour may be inexpensive while delivering little iron, zinc or fat per serving. Conversely, excessive groundnut inclusion may increase energy density at low cost but raise mycotoxin risk if procurement is weak. Economic evaluation should therefore compare cost per nutritionally adequate daily ration, including the costs of safe raw materials, fortification, packaging and testing.</w:t>
      </w:r>
    </w:p>
    <w:p w14:paraId="6E3B7AA2" w14:textId="77777777" w:rsidR="006929DF" w:rsidRPr="00DC6805" w:rsidRDefault="00000000">
      <w:r w:rsidRPr="00DC6805">
        <w:t>The community studies by Ouédraogo and colleagues demonstrate that locally produced improved foods can be manufactured and transferred through rural women’s groups, but sustained affordability was not fully resolved by efficacy-oriented research (</w:t>
      </w:r>
      <w:proofErr w:type="spellStart"/>
      <w:r w:rsidRPr="00DC6805">
        <w:t>Ouèdraogo</w:t>
      </w:r>
      <w:proofErr w:type="spellEnd"/>
      <w:r w:rsidRPr="00DC6805">
        <w:t xml:space="preserve"> et al., 2009; Ouédraogo et al., 2009). </w:t>
      </w:r>
      <w:proofErr w:type="spellStart"/>
      <w:r w:rsidRPr="00DC6805">
        <w:t>Dimaria</w:t>
      </w:r>
      <w:proofErr w:type="spellEnd"/>
      <w:r w:rsidRPr="00DC6805">
        <w:t xml:space="preserve"> et al. (2018) found a substantial price advantage for local products relative to imported alternatives, supporting the potential of local production. Yet a low retail price can be maintained only if quality-control costs are incorporated transparently, </w:t>
      </w:r>
      <w:proofErr w:type="spellStart"/>
      <w:r w:rsidRPr="00DC6805">
        <w:t>subsidised</w:t>
      </w:r>
      <w:proofErr w:type="spellEnd"/>
      <w:r w:rsidRPr="00DC6805">
        <w:t xml:space="preserve"> strategically, or shared across producers. Omitting testing from the business model creates a false economy.</w:t>
      </w:r>
    </w:p>
    <w:p w14:paraId="7ADC99E0" w14:textId="77777777" w:rsidR="006929DF" w:rsidRPr="00DC6805" w:rsidRDefault="00000000">
      <w:r w:rsidRPr="00DC6805">
        <w:t xml:space="preserve">Public procurement for health </w:t>
      </w:r>
      <w:proofErr w:type="spellStart"/>
      <w:r w:rsidRPr="00DC6805">
        <w:t>programmes</w:t>
      </w:r>
      <w:proofErr w:type="spellEnd"/>
      <w:r w:rsidRPr="00DC6805">
        <w:t xml:space="preserve">, social protection or community nutrition could provide stable demand for compliant local flours. Such procurement should be performance based, with independent testing and transparent specifications, so that public support rewards quality rather than simply local origin. At household level, </w:t>
      </w:r>
      <w:proofErr w:type="spellStart"/>
      <w:r w:rsidRPr="00DC6805">
        <w:t>behaviour</w:t>
      </w:r>
      <w:proofErr w:type="spellEnd"/>
      <w:r w:rsidRPr="00DC6805">
        <w:t>-change communication remains necessary because a purchased fortified flour cannot compensate for infrequent feeding or low dietary diversity.</w:t>
      </w:r>
    </w:p>
    <w:p w14:paraId="7C081E7B" w14:textId="77777777" w:rsidR="006929DF" w:rsidRPr="00DC6805" w:rsidRDefault="00000000">
      <w:r w:rsidRPr="00DC6805">
        <w:lastRenderedPageBreak/>
        <w:t xml:space="preserve">The practical implications of </w:t>
      </w:r>
      <w:proofErr w:type="spellStart"/>
      <w:r w:rsidRPr="00DC6805">
        <w:t>valorisation</w:t>
      </w:r>
      <w:proofErr w:type="spellEnd"/>
      <w:r w:rsidRPr="00DC6805">
        <w:t xml:space="preserve"> are consolidated in Table 5. Across production models, the strongest opportunity is not simply to increase the quantity of local flour on the market, but to </w:t>
      </w:r>
      <w:proofErr w:type="spellStart"/>
      <w:r w:rsidRPr="00DC6805">
        <w:t>institutionalise</w:t>
      </w:r>
      <w:proofErr w:type="spellEnd"/>
      <w:r w:rsidRPr="00DC6805">
        <w:t xml:space="preserve"> minimum nutrient, safety and traceability specifications while preserving affordability and participation by small local processors.</w:t>
      </w:r>
    </w:p>
    <w:p w14:paraId="5E865B7A" w14:textId="77777777" w:rsidR="006929DF" w:rsidRPr="00DC6805" w:rsidRDefault="00000000">
      <w:pPr>
        <w:keepNext/>
        <w:spacing w:before="100" w:after="0"/>
      </w:pPr>
      <w:r w:rsidRPr="00DC6805">
        <w:rPr>
          <w:b/>
          <w:sz w:val="21"/>
        </w:rPr>
        <w:t>Table 5</w:t>
      </w:r>
    </w:p>
    <w:p w14:paraId="63704ED4" w14:textId="77777777" w:rsidR="006929DF" w:rsidRPr="00DC6805" w:rsidRDefault="00000000">
      <w:pPr>
        <w:keepNext/>
        <w:spacing w:after="100"/>
      </w:pPr>
      <w:proofErr w:type="spellStart"/>
      <w:r w:rsidRPr="00DC6805">
        <w:rPr>
          <w:i/>
          <w:sz w:val="21"/>
        </w:rPr>
        <w:t>Valorisation</w:t>
      </w:r>
      <w:proofErr w:type="spellEnd"/>
      <w:r w:rsidRPr="00DC6805">
        <w:rPr>
          <w:i/>
          <w:sz w:val="21"/>
        </w:rPr>
        <w:t xml:space="preserve"> pathways for quality-assured local complementary foods in Burkina Faso</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2422424A" w14:textId="77777777">
        <w:trPr>
          <w:tblHeader/>
          <w:jc w:val="center"/>
        </w:trPr>
        <w:tc>
          <w:tcPr>
            <w:tcW w:w="1368" w:type="dxa"/>
            <w:shd w:val="clear" w:color="auto" w:fill="D9E2F3"/>
            <w:tcMar>
              <w:top w:w="90" w:type="dxa"/>
              <w:left w:w="80" w:type="dxa"/>
              <w:bottom w:w="90" w:type="dxa"/>
              <w:right w:w="80" w:type="dxa"/>
            </w:tcMar>
            <w:vAlign w:val="center"/>
          </w:tcPr>
          <w:p w14:paraId="668D105A" w14:textId="77777777" w:rsidR="006929DF" w:rsidRPr="00DC6805" w:rsidRDefault="00000000">
            <w:pPr>
              <w:spacing w:after="0" w:line="240" w:lineRule="auto"/>
              <w:jc w:val="center"/>
            </w:pPr>
            <w:r w:rsidRPr="00DC6805">
              <w:rPr>
                <w:b/>
                <w:sz w:val="16"/>
              </w:rPr>
              <w:t>Pathway</w:t>
            </w:r>
          </w:p>
        </w:tc>
        <w:tc>
          <w:tcPr>
            <w:tcW w:w="1944" w:type="dxa"/>
            <w:shd w:val="clear" w:color="auto" w:fill="D9E2F3"/>
            <w:tcMar>
              <w:top w:w="90" w:type="dxa"/>
              <w:left w:w="80" w:type="dxa"/>
              <w:bottom w:w="90" w:type="dxa"/>
              <w:right w:w="80" w:type="dxa"/>
            </w:tcMar>
            <w:vAlign w:val="center"/>
          </w:tcPr>
          <w:p w14:paraId="4CB937C4" w14:textId="77777777" w:rsidR="006929DF" w:rsidRPr="00DC6805" w:rsidRDefault="00000000">
            <w:pPr>
              <w:spacing w:after="0" w:line="240" w:lineRule="auto"/>
              <w:jc w:val="center"/>
            </w:pPr>
            <w:r w:rsidRPr="00DC6805">
              <w:rPr>
                <w:b/>
                <w:sz w:val="16"/>
              </w:rPr>
              <w:t>Potential value</w:t>
            </w:r>
          </w:p>
        </w:tc>
        <w:tc>
          <w:tcPr>
            <w:tcW w:w="1987" w:type="dxa"/>
            <w:shd w:val="clear" w:color="auto" w:fill="D9E2F3"/>
            <w:tcMar>
              <w:top w:w="90" w:type="dxa"/>
              <w:left w:w="80" w:type="dxa"/>
              <w:bottom w:w="90" w:type="dxa"/>
              <w:right w:w="80" w:type="dxa"/>
            </w:tcMar>
            <w:vAlign w:val="center"/>
          </w:tcPr>
          <w:p w14:paraId="789D49B1" w14:textId="77777777" w:rsidR="006929DF" w:rsidRPr="00DC6805" w:rsidRDefault="00000000">
            <w:pPr>
              <w:spacing w:after="0" w:line="240" w:lineRule="auto"/>
              <w:jc w:val="center"/>
            </w:pPr>
            <w:r w:rsidRPr="00DC6805">
              <w:rPr>
                <w:b/>
                <w:sz w:val="16"/>
              </w:rPr>
              <w:t>Key implementation requirement</w:t>
            </w:r>
          </w:p>
        </w:tc>
        <w:tc>
          <w:tcPr>
            <w:tcW w:w="3096" w:type="dxa"/>
            <w:shd w:val="clear" w:color="auto" w:fill="D9E2F3"/>
            <w:tcMar>
              <w:top w:w="90" w:type="dxa"/>
              <w:left w:w="80" w:type="dxa"/>
              <w:bottom w:w="90" w:type="dxa"/>
              <w:right w:w="80" w:type="dxa"/>
            </w:tcMar>
            <w:vAlign w:val="center"/>
          </w:tcPr>
          <w:p w14:paraId="4521164B" w14:textId="77777777" w:rsidR="006929DF" w:rsidRPr="00DC6805" w:rsidRDefault="00000000">
            <w:pPr>
              <w:spacing w:after="0" w:line="240" w:lineRule="auto"/>
              <w:jc w:val="center"/>
            </w:pPr>
            <w:r w:rsidRPr="00DC6805">
              <w:rPr>
                <w:b/>
                <w:sz w:val="16"/>
              </w:rPr>
              <w:t>Main risk if poorly governed</w:t>
            </w:r>
          </w:p>
        </w:tc>
        <w:tc>
          <w:tcPr>
            <w:tcW w:w="1541" w:type="dxa"/>
            <w:shd w:val="clear" w:color="auto" w:fill="D9E2F3"/>
            <w:tcMar>
              <w:top w:w="90" w:type="dxa"/>
              <w:left w:w="80" w:type="dxa"/>
              <w:bottom w:w="90" w:type="dxa"/>
              <w:right w:w="80" w:type="dxa"/>
            </w:tcMar>
            <w:vAlign w:val="center"/>
          </w:tcPr>
          <w:p w14:paraId="216112FD" w14:textId="77777777" w:rsidR="006929DF" w:rsidRPr="00DC6805" w:rsidRDefault="00000000">
            <w:pPr>
              <w:spacing w:after="0" w:line="240" w:lineRule="auto"/>
              <w:jc w:val="center"/>
            </w:pPr>
            <w:r w:rsidRPr="00DC6805">
              <w:rPr>
                <w:b/>
                <w:sz w:val="16"/>
              </w:rPr>
              <w:t>Supporting references</w:t>
            </w:r>
          </w:p>
        </w:tc>
      </w:tr>
      <w:tr w:rsidR="00DC6805" w:rsidRPr="00DC6805" w14:paraId="67B7881A" w14:textId="77777777">
        <w:trPr>
          <w:jc w:val="center"/>
        </w:trPr>
        <w:tc>
          <w:tcPr>
            <w:tcW w:w="1368" w:type="dxa"/>
            <w:tcMar>
              <w:top w:w="90" w:type="dxa"/>
              <w:left w:w="80" w:type="dxa"/>
              <w:bottom w:w="90" w:type="dxa"/>
              <w:right w:w="80" w:type="dxa"/>
            </w:tcMar>
            <w:vAlign w:val="center"/>
          </w:tcPr>
          <w:p w14:paraId="5155C435" w14:textId="77777777" w:rsidR="006929DF" w:rsidRPr="00DC6805" w:rsidRDefault="00000000">
            <w:pPr>
              <w:spacing w:after="0" w:line="240" w:lineRule="auto"/>
              <w:jc w:val="left"/>
            </w:pPr>
            <w:r w:rsidRPr="00DC6805">
              <w:rPr>
                <w:sz w:val="16"/>
              </w:rPr>
              <w:t>Validated household blends</w:t>
            </w:r>
          </w:p>
        </w:tc>
        <w:tc>
          <w:tcPr>
            <w:tcW w:w="1944" w:type="dxa"/>
            <w:tcMar>
              <w:top w:w="90" w:type="dxa"/>
              <w:left w:w="80" w:type="dxa"/>
              <w:bottom w:w="90" w:type="dxa"/>
              <w:right w:w="80" w:type="dxa"/>
            </w:tcMar>
            <w:vAlign w:val="center"/>
          </w:tcPr>
          <w:p w14:paraId="62550F5A" w14:textId="77777777" w:rsidR="006929DF" w:rsidRPr="00DC6805" w:rsidRDefault="00000000">
            <w:pPr>
              <w:spacing w:after="0" w:line="240" w:lineRule="auto"/>
              <w:jc w:val="left"/>
            </w:pPr>
            <w:r w:rsidRPr="00DC6805">
              <w:rPr>
                <w:sz w:val="16"/>
              </w:rPr>
              <w:t>Uses familiar ingredients and household preparation skills; potentially low cash cost.</w:t>
            </w:r>
          </w:p>
        </w:tc>
        <w:tc>
          <w:tcPr>
            <w:tcW w:w="1987" w:type="dxa"/>
            <w:tcMar>
              <w:top w:w="90" w:type="dxa"/>
              <w:left w:w="80" w:type="dxa"/>
              <w:bottom w:w="90" w:type="dxa"/>
              <w:right w:w="80" w:type="dxa"/>
            </w:tcMar>
            <w:vAlign w:val="center"/>
          </w:tcPr>
          <w:p w14:paraId="743AD153" w14:textId="77777777" w:rsidR="006929DF" w:rsidRPr="00DC6805" w:rsidRDefault="00000000">
            <w:pPr>
              <w:spacing w:after="0" w:line="240" w:lineRule="auto"/>
              <w:jc w:val="left"/>
            </w:pPr>
            <w:r w:rsidRPr="00DC6805">
              <w:rPr>
                <w:sz w:val="16"/>
              </w:rPr>
              <w:t>Simple recipe, safe water, validated processing and caregiver education on preparation consistency and hygiene.</w:t>
            </w:r>
          </w:p>
        </w:tc>
        <w:tc>
          <w:tcPr>
            <w:tcW w:w="3096" w:type="dxa"/>
            <w:tcMar>
              <w:top w:w="90" w:type="dxa"/>
              <w:left w:w="80" w:type="dxa"/>
              <w:bottom w:w="90" w:type="dxa"/>
              <w:right w:w="80" w:type="dxa"/>
            </w:tcMar>
            <w:vAlign w:val="center"/>
          </w:tcPr>
          <w:p w14:paraId="0F7D50FF" w14:textId="77777777" w:rsidR="006929DF" w:rsidRPr="00DC6805" w:rsidRDefault="00000000">
            <w:pPr>
              <w:spacing w:after="0" w:line="240" w:lineRule="auto"/>
              <w:jc w:val="left"/>
            </w:pPr>
            <w:r w:rsidRPr="00DC6805">
              <w:rPr>
                <w:sz w:val="16"/>
              </w:rPr>
              <w:t>Uncontrolled substitutions, dilution, contamination and micronutrient shortfalls.</w:t>
            </w:r>
          </w:p>
        </w:tc>
        <w:tc>
          <w:tcPr>
            <w:tcW w:w="1541" w:type="dxa"/>
            <w:tcMar>
              <w:top w:w="90" w:type="dxa"/>
              <w:left w:w="80" w:type="dxa"/>
              <w:bottom w:w="90" w:type="dxa"/>
              <w:right w:w="80" w:type="dxa"/>
            </w:tcMar>
            <w:vAlign w:val="center"/>
          </w:tcPr>
          <w:p w14:paraId="5598F338" w14:textId="77777777" w:rsidR="006929DF" w:rsidRPr="00DC6805" w:rsidRDefault="00000000">
            <w:pPr>
              <w:spacing w:after="0" w:line="240" w:lineRule="auto"/>
              <w:jc w:val="left"/>
            </w:pPr>
            <w:r w:rsidRPr="00DC6805">
              <w:rPr>
                <w:sz w:val="16"/>
              </w:rPr>
              <w:t>(Elysée et al., 2018; Ouédraogo et al., 2009)</w:t>
            </w:r>
          </w:p>
        </w:tc>
      </w:tr>
      <w:tr w:rsidR="00DC6805" w:rsidRPr="00DC6805" w14:paraId="4E897FDC" w14:textId="77777777">
        <w:trPr>
          <w:jc w:val="center"/>
        </w:trPr>
        <w:tc>
          <w:tcPr>
            <w:tcW w:w="1368" w:type="dxa"/>
            <w:tcMar>
              <w:top w:w="90" w:type="dxa"/>
              <w:left w:w="80" w:type="dxa"/>
              <w:bottom w:w="90" w:type="dxa"/>
              <w:right w:w="80" w:type="dxa"/>
            </w:tcMar>
            <w:vAlign w:val="center"/>
          </w:tcPr>
          <w:p w14:paraId="06ED48B5" w14:textId="77777777" w:rsidR="006929DF" w:rsidRPr="00DC6805" w:rsidRDefault="00000000">
            <w:pPr>
              <w:spacing w:after="0" w:line="240" w:lineRule="auto"/>
              <w:jc w:val="left"/>
            </w:pPr>
            <w:r w:rsidRPr="00DC6805">
              <w:rPr>
                <w:sz w:val="16"/>
              </w:rPr>
              <w:t>Community or nutrition-</w:t>
            </w:r>
            <w:proofErr w:type="spellStart"/>
            <w:r w:rsidRPr="00DC6805">
              <w:rPr>
                <w:sz w:val="16"/>
              </w:rPr>
              <w:t>centre</w:t>
            </w:r>
            <w:proofErr w:type="spellEnd"/>
            <w:r w:rsidRPr="00DC6805">
              <w:rPr>
                <w:sz w:val="16"/>
              </w:rPr>
              <w:t xml:space="preserve"> production</w:t>
            </w:r>
          </w:p>
        </w:tc>
        <w:tc>
          <w:tcPr>
            <w:tcW w:w="1944" w:type="dxa"/>
            <w:tcMar>
              <w:top w:w="90" w:type="dxa"/>
              <w:left w:w="80" w:type="dxa"/>
              <w:bottom w:w="90" w:type="dxa"/>
              <w:right w:w="80" w:type="dxa"/>
            </w:tcMar>
            <w:vAlign w:val="center"/>
          </w:tcPr>
          <w:p w14:paraId="580AF383" w14:textId="77777777" w:rsidR="006929DF" w:rsidRPr="00DC6805" w:rsidRDefault="00000000">
            <w:pPr>
              <w:spacing w:after="0" w:line="240" w:lineRule="auto"/>
              <w:jc w:val="left"/>
            </w:pPr>
            <w:r w:rsidRPr="00DC6805">
              <w:rPr>
                <w:sz w:val="16"/>
              </w:rPr>
              <w:t>Local employment and repeated quality training; can support vulnerable households.</w:t>
            </w:r>
          </w:p>
        </w:tc>
        <w:tc>
          <w:tcPr>
            <w:tcW w:w="1987" w:type="dxa"/>
            <w:tcMar>
              <w:top w:w="90" w:type="dxa"/>
              <w:left w:w="80" w:type="dxa"/>
              <w:bottom w:w="90" w:type="dxa"/>
              <w:right w:w="80" w:type="dxa"/>
            </w:tcMar>
            <w:vAlign w:val="center"/>
          </w:tcPr>
          <w:p w14:paraId="372CC56D" w14:textId="77777777" w:rsidR="006929DF" w:rsidRPr="00DC6805" w:rsidRDefault="00000000">
            <w:pPr>
              <w:spacing w:after="0" w:line="240" w:lineRule="auto"/>
              <w:jc w:val="left"/>
            </w:pPr>
            <w:r w:rsidRPr="00DC6805">
              <w:rPr>
                <w:sz w:val="16"/>
              </w:rPr>
              <w:t xml:space="preserve">Batch records, approved suppliers, </w:t>
            </w:r>
            <w:proofErr w:type="spellStart"/>
            <w:r w:rsidRPr="00DC6805">
              <w:rPr>
                <w:sz w:val="16"/>
              </w:rPr>
              <w:t>standardised</w:t>
            </w:r>
            <w:proofErr w:type="spellEnd"/>
            <w:r w:rsidRPr="00DC6805">
              <w:rPr>
                <w:sz w:val="16"/>
              </w:rPr>
              <w:t xml:space="preserve"> processing, packaging and periodic laboratory testing.</w:t>
            </w:r>
          </w:p>
        </w:tc>
        <w:tc>
          <w:tcPr>
            <w:tcW w:w="3096" w:type="dxa"/>
            <w:tcMar>
              <w:top w:w="90" w:type="dxa"/>
              <w:left w:w="80" w:type="dxa"/>
              <w:bottom w:w="90" w:type="dxa"/>
              <w:right w:w="80" w:type="dxa"/>
            </w:tcMar>
            <w:vAlign w:val="center"/>
          </w:tcPr>
          <w:p w14:paraId="4B9EC276" w14:textId="77777777" w:rsidR="006929DF" w:rsidRPr="00DC6805" w:rsidRDefault="00000000">
            <w:pPr>
              <w:spacing w:after="0" w:line="240" w:lineRule="auto"/>
              <w:jc w:val="left"/>
            </w:pPr>
            <w:r w:rsidRPr="00DC6805">
              <w:rPr>
                <w:sz w:val="16"/>
              </w:rPr>
              <w:t>Variable product composition and safety when supervision is inconsistent.</w:t>
            </w:r>
          </w:p>
        </w:tc>
        <w:tc>
          <w:tcPr>
            <w:tcW w:w="1541" w:type="dxa"/>
            <w:tcMar>
              <w:top w:w="90" w:type="dxa"/>
              <w:left w:w="80" w:type="dxa"/>
              <w:bottom w:w="90" w:type="dxa"/>
              <w:right w:w="80" w:type="dxa"/>
            </w:tcMar>
            <w:vAlign w:val="center"/>
          </w:tcPr>
          <w:p w14:paraId="2496F6DF" w14:textId="77777777" w:rsidR="006929DF" w:rsidRPr="00DC6805" w:rsidRDefault="00000000">
            <w:pPr>
              <w:spacing w:after="0" w:line="240" w:lineRule="auto"/>
              <w:jc w:val="left"/>
            </w:pPr>
            <w:r w:rsidRPr="00DC6805">
              <w:rPr>
                <w:sz w:val="16"/>
              </w:rPr>
              <w:t xml:space="preserve">(Ouédraogo et al., 2009; </w:t>
            </w:r>
            <w:proofErr w:type="spellStart"/>
            <w:r w:rsidRPr="00DC6805">
              <w:rPr>
                <w:sz w:val="16"/>
              </w:rPr>
              <w:t>Waré</w:t>
            </w:r>
            <w:proofErr w:type="spellEnd"/>
            <w:r w:rsidRPr="00DC6805">
              <w:rPr>
                <w:sz w:val="16"/>
              </w:rPr>
              <w:t xml:space="preserve"> et al., 2017, 2018)</w:t>
            </w:r>
          </w:p>
        </w:tc>
      </w:tr>
      <w:tr w:rsidR="00DC6805" w:rsidRPr="00DC6805" w14:paraId="77FC8766" w14:textId="77777777">
        <w:trPr>
          <w:jc w:val="center"/>
        </w:trPr>
        <w:tc>
          <w:tcPr>
            <w:tcW w:w="1368" w:type="dxa"/>
            <w:tcMar>
              <w:top w:w="90" w:type="dxa"/>
              <w:left w:w="80" w:type="dxa"/>
              <w:bottom w:w="90" w:type="dxa"/>
              <w:right w:w="80" w:type="dxa"/>
            </w:tcMar>
            <w:vAlign w:val="center"/>
          </w:tcPr>
          <w:p w14:paraId="0BFAF344" w14:textId="77777777" w:rsidR="006929DF" w:rsidRPr="00DC6805" w:rsidRDefault="00000000">
            <w:pPr>
              <w:spacing w:after="0" w:line="240" w:lineRule="auto"/>
              <w:jc w:val="left"/>
            </w:pPr>
            <w:r w:rsidRPr="00DC6805">
              <w:rPr>
                <w:sz w:val="16"/>
              </w:rPr>
              <w:t>Artisanal and semi-industrial retail flour</w:t>
            </w:r>
          </w:p>
        </w:tc>
        <w:tc>
          <w:tcPr>
            <w:tcW w:w="1944" w:type="dxa"/>
            <w:tcMar>
              <w:top w:w="90" w:type="dxa"/>
              <w:left w:w="80" w:type="dxa"/>
              <w:bottom w:w="90" w:type="dxa"/>
              <w:right w:w="80" w:type="dxa"/>
            </w:tcMar>
            <w:vAlign w:val="center"/>
          </w:tcPr>
          <w:p w14:paraId="35533119" w14:textId="77777777" w:rsidR="006929DF" w:rsidRPr="00DC6805" w:rsidRDefault="00000000">
            <w:pPr>
              <w:spacing w:after="0" w:line="240" w:lineRule="auto"/>
              <w:jc w:val="left"/>
            </w:pPr>
            <w:r w:rsidRPr="00DC6805">
              <w:rPr>
                <w:sz w:val="16"/>
              </w:rPr>
              <w:t>Wider market reach and convenience; lower prices than many imported products.</w:t>
            </w:r>
          </w:p>
        </w:tc>
        <w:tc>
          <w:tcPr>
            <w:tcW w:w="1987" w:type="dxa"/>
            <w:tcMar>
              <w:top w:w="90" w:type="dxa"/>
              <w:left w:w="80" w:type="dxa"/>
              <w:bottom w:w="90" w:type="dxa"/>
              <w:right w:w="80" w:type="dxa"/>
            </w:tcMar>
            <w:vAlign w:val="center"/>
          </w:tcPr>
          <w:p w14:paraId="538F6B2A" w14:textId="77777777" w:rsidR="006929DF" w:rsidRPr="00DC6805" w:rsidRDefault="00000000">
            <w:pPr>
              <w:spacing w:after="0" w:line="240" w:lineRule="auto"/>
              <w:jc w:val="left"/>
            </w:pPr>
            <w:r w:rsidRPr="00DC6805">
              <w:rPr>
                <w:sz w:val="16"/>
              </w:rPr>
              <w:t>Registration, verified labels, mycotoxin/microbial testing, fortification quality assurance and shelf-life validation.</w:t>
            </w:r>
          </w:p>
        </w:tc>
        <w:tc>
          <w:tcPr>
            <w:tcW w:w="3096" w:type="dxa"/>
            <w:tcMar>
              <w:top w:w="90" w:type="dxa"/>
              <w:left w:w="80" w:type="dxa"/>
              <w:bottom w:w="90" w:type="dxa"/>
              <w:right w:w="80" w:type="dxa"/>
            </w:tcMar>
            <w:vAlign w:val="center"/>
          </w:tcPr>
          <w:p w14:paraId="400F175B" w14:textId="77777777" w:rsidR="006929DF" w:rsidRPr="00DC6805" w:rsidRDefault="00000000">
            <w:pPr>
              <w:spacing w:after="0" w:line="240" w:lineRule="auto"/>
              <w:jc w:val="left"/>
            </w:pPr>
            <w:r w:rsidRPr="00DC6805">
              <w:rPr>
                <w:sz w:val="16"/>
              </w:rPr>
              <w:t>Commercial scale can amplify exposure if unsafe lots or inaccurate labels reach many households.</w:t>
            </w:r>
          </w:p>
        </w:tc>
        <w:tc>
          <w:tcPr>
            <w:tcW w:w="1541" w:type="dxa"/>
            <w:tcMar>
              <w:top w:w="90" w:type="dxa"/>
              <w:left w:w="80" w:type="dxa"/>
              <w:bottom w:w="90" w:type="dxa"/>
              <w:right w:w="80" w:type="dxa"/>
            </w:tcMar>
            <w:vAlign w:val="center"/>
          </w:tcPr>
          <w:p w14:paraId="1DFFC385" w14:textId="77777777" w:rsidR="006929DF" w:rsidRPr="00DC6805" w:rsidRDefault="00000000">
            <w:pPr>
              <w:spacing w:after="0" w:line="240" w:lineRule="auto"/>
              <w:jc w:val="left"/>
            </w:pPr>
            <w:r w:rsidRPr="00DC6805">
              <w:rPr>
                <w:sz w:val="16"/>
              </w:rPr>
              <w:t>(Bayala-</w:t>
            </w:r>
            <w:proofErr w:type="spellStart"/>
            <w:r w:rsidRPr="00DC6805">
              <w:rPr>
                <w:sz w:val="16"/>
              </w:rPr>
              <w:t>Yaï</w:t>
            </w:r>
            <w:proofErr w:type="spellEnd"/>
            <w:r w:rsidRPr="00DC6805">
              <w:rPr>
                <w:sz w:val="16"/>
              </w:rPr>
              <w:t xml:space="preserve"> et al., 2024; </w:t>
            </w:r>
            <w:proofErr w:type="spellStart"/>
            <w:r w:rsidRPr="00DC6805">
              <w:rPr>
                <w:sz w:val="16"/>
              </w:rPr>
              <w:t>Dimaria</w:t>
            </w:r>
            <w:proofErr w:type="spellEnd"/>
            <w:r w:rsidRPr="00DC6805">
              <w:rPr>
                <w:sz w:val="16"/>
              </w:rPr>
              <w:t xml:space="preserve"> et al., 2018; Khosravi et al., 2023)</w:t>
            </w:r>
          </w:p>
        </w:tc>
      </w:tr>
      <w:tr w:rsidR="00DC6805" w:rsidRPr="00DC6805" w14:paraId="5286108F" w14:textId="77777777">
        <w:trPr>
          <w:jc w:val="center"/>
        </w:trPr>
        <w:tc>
          <w:tcPr>
            <w:tcW w:w="1368" w:type="dxa"/>
            <w:tcMar>
              <w:top w:w="90" w:type="dxa"/>
              <w:left w:w="80" w:type="dxa"/>
              <w:bottom w:w="90" w:type="dxa"/>
              <w:right w:w="80" w:type="dxa"/>
            </w:tcMar>
            <w:vAlign w:val="center"/>
          </w:tcPr>
          <w:p w14:paraId="2DE35C33" w14:textId="77777777" w:rsidR="006929DF" w:rsidRPr="00DC6805" w:rsidRDefault="00000000">
            <w:pPr>
              <w:spacing w:after="0" w:line="240" w:lineRule="auto"/>
              <w:jc w:val="left"/>
            </w:pPr>
            <w:r w:rsidRPr="00DC6805">
              <w:rPr>
                <w:sz w:val="16"/>
              </w:rPr>
              <w:t>Biofortified cereal supply to processors</w:t>
            </w:r>
          </w:p>
        </w:tc>
        <w:tc>
          <w:tcPr>
            <w:tcW w:w="1944" w:type="dxa"/>
            <w:tcMar>
              <w:top w:w="90" w:type="dxa"/>
              <w:left w:w="80" w:type="dxa"/>
              <w:bottom w:w="90" w:type="dxa"/>
              <w:right w:w="80" w:type="dxa"/>
            </w:tcMar>
            <w:vAlign w:val="center"/>
          </w:tcPr>
          <w:p w14:paraId="0654EC05" w14:textId="77777777" w:rsidR="006929DF" w:rsidRPr="00DC6805" w:rsidRDefault="00000000">
            <w:pPr>
              <w:spacing w:after="0" w:line="240" w:lineRule="auto"/>
              <w:jc w:val="left"/>
            </w:pPr>
            <w:r w:rsidRPr="00DC6805">
              <w:rPr>
                <w:sz w:val="16"/>
              </w:rPr>
              <w:t>Raises the mineral concentration of the base grain before formulation.</w:t>
            </w:r>
          </w:p>
        </w:tc>
        <w:tc>
          <w:tcPr>
            <w:tcW w:w="1987" w:type="dxa"/>
            <w:tcMar>
              <w:top w:w="90" w:type="dxa"/>
              <w:left w:w="80" w:type="dxa"/>
              <w:bottom w:w="90" w:type="dxa"/>
              <w:right w:w="80" w:type="dxa"/>
            </w:tcMar>
            <w:vAlign w:val="center"/>
          </w:tcPr>
          <w:p w14:paraId="02EF26FB" w14:textId="77777777" w:rsidR="006929DF" w:rsidRPr="00DC6805" w:rsidRDefault="00000000">
            <w:pPr>
              <w:spacing w:after="0" w:line="240" w:lineRule="auto"/>
              <w:jc w:val="left"/>
            </w:pPr>
            <w:r w:rsidRPr="00DC6805">
              <w:rPr>
                <w:sz w:val="16"/>
              </w:rPr>
              <w:t>Variety identity, segregation, retained nutrient advantage after processing and sensory acceptance.</w:t>
            </w:r>
          </w:p>
        </w:tc>
        <w:tc>
          <w:tcPr>
            <w:tcW w:w="3096" w:type="dxa"/>
            <w:tcMar>
              <w:top w:w="90" w:type="dxa"/>
              <w:left w:w="80" w:type="dxa"/>
              <w:bottom w:w="90" w:type="dxa"/>
              <w:right w:w="80" w:type="dxa"/>
            </w:tcMar>
            <w:vAlign w:val="center"/>
          </w:tcPr>
          <w:p w14:paraId="2BB71046" w14:textId="77777777" w:rsidR="006929DF" w:rsidRPr="00DC6805" w:rsidRDefault="00000000">
            <w:pPr>
              <w:spacing w:after="0" w:line="240" w:lineRule="auto"/>
              <w:jc w:val="left"/>
            </w:pPr>
            <w:r w:rsidRPr="00DC6805">
              <w:rPr>
                <w:sz w:val="16"/>
              </w:rPr>
              <w:t>Processing losses or substitution can negate the intended nutritional trait.</w:t>
            </w:r>
          </w:p>
        </w:tc>
        <w:tc>
          <w:tcPr>
            <w:tcW w:w="1541" w:type="dxa"/>
            <w:tcMar>
              <w:top w:w="90" w:type="dxa"/>
              <w:left w:w="80" w:type="dxa"/>
              <w:bottom w:w="90" w:type="dxa"/>
              <w:right w:w="80" w:type="dxa"/>
            </w:tcMar>
            <w:vAlign w:val="center"/>
          </w:tcPr>
          <w:p w14:paraId="28F823E7" w14:textId="77777777" w:rsidR="006929DF" w:rsidRPr="00DC6805" w:rsidRDefault="00000000">
            <w:pPr>
              <w:spacing w:after="0" w:line="240" w:lineRule="auto"/>
              <w:jc w:val="left"/>
            </w:pPr>
            <w:r w:rsidRPr="00DC6805">
              <w:rPr>
                <w:sz w:val="16"/>
              </w:rPr>
              <w:t>(Hama-Ba et al., 2019)</w:t>
            </w:r>
          </w:p>
        </w:tc>
      </w:tr>
      <w:tr w:rsidR="00DC6805" w:rsidRPr="00DC6805" w14:paraId="68A35B6C" w14:textId="77777777">
        <w:trPr>
          <w:jc w:val="center"/>
        </w:trPr>
        <w:tc>
          <w:tcPr>
            <w:tcW w:w="1368" w:type="dxa"/>
            <w:tcMar>
              <w:top w:w="90" w:type="dxa"/>
              <w:left w:w="80" w:type="dxa"/>
              <w:bottom w:w="90" w:type="dxa"/>
              <w:right w:w="80" w:type="dxa"/>
            </w:tcMar>
            <w:vAlign w:val="center"/>
          </w:tcPr>
          <w:p w14:paraId="7C362E43" w14:textId="77777777" w:rsidR="006929DF" w:rsidRPr="00DC6805" w:rsidRDefault="00000000">
            <w:pPr>
              <w:spacing w:after="0" w:line="240" w:lineRule="auto"/>
              <w:jc w:val="left"/>
            </w:pPr>
            <w:r w:rsidRPr="00DC6805">
              <w:rPr>
                <w:sz w:val="16"/>
              </w:rPr>
              <w:t>Shared quality-control infrastructure</w:t>
            </w:r>
          </w:p>
        </w:tc>
        <w:tc>
          <w:tcPr>
            <w:tcW w:w="1944" w:type="dxa"/>
            <w:tcMar>
              <w:top w:w="90" w:type="dxa"/>
              <w:left w:w="80" w:type="dxa"/>
              <w:bottom w:w="90" w:type="dxa"/>
              <w:right w:w="80" w:type="dxa"/>
            </w:tcMar>
            <w:vAlign w:val="center"/>
          </w:tcPr>
          <w:p w14:paraId="4599CB42" w14:textId="77777777" w:rsidR="006929DF" w:rsidRPr="00DC6805" w:rsidRDefault="00000000">
            <w:pPr>
              <w:spacing w:after="0" w:line="240" w:lineRule="auto"/>
              <w:jc w:val="left"/>
            </w:pPr>
            <w:r w:rsidRPr="00DC6805">
              <w:rPr>
                <w:sz w:val="16"/>
              </w:rPr>
              <w:t>Spreads analytical costs across small processors and strengthens market surveillance.</w:t>
            </w:r>
          </w:p>
        </w:tc>
        <w:tc>
          <w:tcPr>
            <w:tcW w:w="1987" w:type="dxa"/>
            <w:tcMar>
              <w:top w:w="90" w:type="dxa"/>
              <w:left w:w="80" w:type="dxa"/>
              <w:bottom w:w="90" w:type="dxa"/>
              <w:right w:w="80" w:type="dxa"/>
            </w:tcMar>
            <w:vAlign w:val="center"/>
          </w:tcPr>
          <w:p w14:paraId="381773D3" w14:textId="77777777" w:rsidR="006929DF" w:rsidRPr="00DC6805" w:rsidRDefault="00000000">
            <w:pPr>
              <w:spacing w:after="0" w:line="240" w:lineRule="auto"/>
              <w:jc w:val="left"/>
            </w:pPr>
            <w:r w:rsidRPr="00DC6805">
              <w:rPr>
                <w:sz w:val="16"/>
              </w:rPr>
              <w:t>Representative sampling, rapid turnaround, proficiency-tested laboratories and transparent corrective actions.</w:t>
            </w:r>
          </w:p>
        </w:tc>
        <w:tc>
          <w:tcPr>
            <w:tcW w:w="3096" w:type="dxa"/>
            <w:tcMar>
              <w:top w:w="90" w:type="dxa"/>
              <w:left w:w="80" w:type="dxa"/>
              <w:bottom w:w="90" w:type="dxa"/>
              <w:right w:w="80" w:type="dxa"/>
            </w:tcMar>
            <w:vAlign w:val="center"/>
          </w:tcPr>
          <w:p w14:paraId="76C33F1D" w14:textId="77777777" w:rsidR="006929DF" w:rsidRPr="00DC6805" w:rsidRDefault="00000000">
            <w:pPr>
              <w:spacing w:after="0" w:line="240" w:lineRule="auto"/>
              <w:jc w:val="left"/>
            </w:pPr>
            <w:r w:rsidRPr="00DC6805">
              <w:rPr>
                <w:sz w:val="16"/>
              </w:rPr>
              <w:t>Testing that is too slow, infrequent or poorly sampled creates false reassurance.</w:t>
            </w:r>
          </w:p>
        </w:tc>
        <w:tc>
          <w:tcPr>
            <w:tcW w:w="1541" w:type="dxa"/>
            <w:tcMar>
              <w:top w:w="90" w:type="dxa"/>
              <w:left w:w="80" w:type="dxa"/>
              <w:bottom w:w="90" w:type="dxa"/>
              <w:right w:w="80" w:type="dxa"/>
            </w:tcMar>
            <w:vAlign w:val="center"/>
          </w:tcPr>
          <w:p w14:paraId="3B593718" w14:textId="77777777" w:rsidR="006929DF" w:rsidRPr="00DC6805" w:rsidRDefault="00000000">
            <w:pPr>
              <w:spacing w:after="0" w:line="240" w:lineRule="auto"/>
              <w:jc w:val="left"/>
            </w:pPr>
            <w:r w:rsidRPr="00DC6805">
              <w:rPr>
                <w:sz w:val="16"/>
              </w:rPr>
              <w:t>(</w:t>
            </w:r>
            <w:proofErr w:type="spellStart"/>
            <w:r w:rsidRPr="00DC6805">
              <w:rPr>
                <w:sz w:val="16"/>
              </w:rPr>
              <w:t>Waré</w:t>
            </w:r>
            <w:proofErr w:type="spellEnd"/>
            <w:r w:rsidRPr="00DC6805">
              <w:rPr>
                <w:sz w:val="16"/>
              </w:rPr>
              <w:t xml:space="preserve"> et al., 2017, 2018; Bayala-</w:t>
            </w:r>
            <w:proofErr w:type="spellStart"/>
            <w:r w:rsidRPr="00DC6805">
              <w:rPr>
                <w:sz w:val="16"/>
              </w:rPr>
              <w:t>Yaï</w:t>
            </w:r>
            <w:proofErr w:type="spellEnd"/>
            <w:r w:rsidRPr="00DC6805">
              <w:rPr>
                <w:sz w:val="16"/>
              </w:rPr>
              <w:t xml:space="preserve"> et al., 2025)</w:t>
            </w:r>
          </w:p>
        </w:tc>
      </w:tr>
      <w:tr w:rsidR="00DC6805" w:rsidRPr="00DC6805" w14:paraId="0F09F990" w14:textId="77777777">
        <w:trPr>
          <w:jc w:val="center"/>
        </w:trPr>
        <w:tc>
          <w:tcPr>
            <w:tcW w:w="1368" w:type="dxa"/>
            <w:tcMar>
              <w:top w:w="90" w:type="dxa"/>
              <w:left w:w="80" w:type="dxa"/>
              <w:bottom w:w="90" w:type="dxa"/>
              <w:right w:w="80" w:type="dxa"/>
            </w:tcMar>
            <w:vAlign w:val="center"/>
          </w:tcPr>
          <w:p w14:paraId="5DF737EB" w14:textId="77777777" w:rsidR="006929DF" w:rsidRPr="00DC6805" w:rsidRDefault="00000000">
            <w:pPr>
              <w:spacing w:after="0" w:line="240" w:lineRule="auto"/>
              <w:jc w:val="left"/>
            </w:pPr>
            <w:r w:rsidRPr="00DC6805">
              <w:rPr>
                <w:sz w:val="16"/>
              </w:rPr>
              <w:t>Women-led local processing enterprises</w:t>
            </w:r>
          </w:p>
        </w:tc>
        <w:tc>
          <w:tcPr>
            <w:tcW w:w="1944" w:type="dxa"/>
            <w:tcMar>
              <w:top w:w="90" w:type="dxa"/>
              <w:left w:w="80" w:type="dxa"/>
              <w:bottom w:w="90" w:type="dxa"/>
              <w:right w:w="80" w:type="dxa"/>
            </w:tcMar>
            <w:vAlign w:val="center"/>
          </w:tcPr>
          <w:p w14:paraId="70290B9C" w14:textId="77777777" w:rsidR="006929DF" w:rsidRPr="00DC6805" w:rsidRDefault="00000000">
            <w:pPr>
              <w:spacing w:after="0" w:line="240" w:lineRule="auto"/>
              <w:jc w:val="left"/>
            </w:pPr>
            <w:r w:rsidRPr="00DC6805">
              <w:rPr>
                <w:sz w:val="16"/>
              </w:rPr>
              <w:t>Can link nutrition investment with existing local livelihoods and food-processing skills.</w:t>
            </w:r>
          </w:p>
        </w:tc>
        <w:tc>
          <w:tcPr>
            <w:tcW w:w="1987" w:type="dxa"/>
            <w:tcMar>
              <w:top w:w="90" w:type="dxa"/>
              <w:left w:w="80" w:type="dxa"/>
              <w:bottom w:w="90" w:type="dxa"/>
              <w:right w:w="80" w:type="dxa"/>
            </w:tcMar>
            <w:vAlign w:val="center"/>
          </w:tcPr>
          <w:p w14:paraId="71AF4652" w14:textId="77777777" w:rsidR="006929DF" w:rsidRPr="00DC6805" w:rsidRDefault="00000000">
            <w:pPr>
              <w:spacing w:after="0" w:line="240" w:lineRule="auto"/>
              <w:jc w:val="left"/>
            </w:pPr>
            <w:r w:rsidRPr="00DC6805">
              <w:rPr>
                <w:sz w:val="16"/>
              </w:rPr>
              <w:t>Finance for safe equipment, training and compliance costs; standards proportionate to scale but not to safety threshold.</w:t>
            </w:r>
          </w:p>
        </w:tc>
        <w:tc>
          <w:tcPr>
            <w:tcW w:w="3096" w:type="dxa"/>
            <w:tcMar>
              <w:top w:w="90" w:type="dxa"/>
              <w:left w:w="80" w:type="dxa"/>
              <w:bottom w:w="90" w:type="dxa"/>
              <w:right w:w="80" w:type="dxa"/>
            </w:tcMar>
            <w:vAlign w:val="center"/>
          </w:tcPr>
          <w:p w14:paraId="6C29B24B" w14:textId="77777777" w:rsidR="006929DF" w:rsidRPr="00DC6805" w:rsidRDefault="00000000">
            <w:pPr>
              <w:spacing w:after="0" w:line="240" w:lineRule="auto"/>
              <w:jc w:val="left"/>
            </w:pPr>
            <w:r w:rsidRPr="00DC6805">
              <w:rPr>
                <w:sz w:val="16"/>
              </w:rPr>
              <w:t>Capital-intensive compliance can exclude small processors or drive production into informality.</w:t>
            </w:r>
          </w:p>
        </w:tc>
        <w:tc>
          <w:tcPr>
            <w:tcW w:w="1541" w:type="dxa"/>
            <w:tcMar>
              <w:top w:w="90" w:type="dxa"/>
              <w:left w:w="80" w:type="dxa"/>
              <w:bottom w:w="90" w:type="dxa"/>
              <w:right w:w="80" w:type="dxa"/>
            </w:tcMar>
            <w:vAlign w:val="center"/>
          </w:tcPr>
          <w:p w14:paraId="16A9E6DA" w14:textId="77777777" w:rsidR="006929DF" w:rsidRPr="00DC6805" w:rsidRDefault="00000000">
            <w:pPr>
              <w:spacing w:after="0" w:line="240" w:lineRule="auto"/>
              <w:jc w:val="left"/>
            </w:pPr>
            <w:r w:rsidRPr="00DC6805">
              <w:rPr>
                <w:sz w:val="16"/>
              </w:rPr>
              <w:t>(Ouedraogo et al., 2025)</w:t>
            </w:r>
          </w:p>
        </w:tc>
      </w:tr>
      <w:tr w:rsidR="00DC6805" w:rsidRPr="00DC6805" w14:paraId="6B63FF9B" w14:textId="77777777">
        <w:trPr>
          <w:jc w:val="center"/>
        </w:trPr>
        <w:tc>
          <w:tcPr>
            <w:tcW w:w="1368" w:type="dxa"/>
            <w:tcMar>
              <w:top w:w="90" w:type="dxa"/>
              <w:left w:w="80" w:type="dxa"/>
              <w:bottom w:w="90" w:type="dxa"/>
              <w:right w:w="80" w:type="dxa"/>
            </w:tcMar>
            <w:vAlign w:val="center"/>
          </w:tcPr>
          <w:p w14:paraId="0CB7BDEA" w14:textId="77777777" w:rsidR="006929DF" w:rsidRPr="00DC6805" w:rsidRDefault="00000000">
            <w:pPr>
              <w:spacing w:after="0" w:line="240" w:lineRule="auto"/>
              <w:jc w:val="left"/>
            </w:pPr>
            <w:r w:rsidRPr="00DC6805">
              <w:rPr>
                <w:sz w:val="16"/>
              </w:rPr>
              <w:t>Public procurement of compliant local products</w:t>
            </w:r>
          </w:p>
        </w:tc>
        <w:tc>
          <w:tcPr>
            <w:tcW w:w="1944" w:type="dxa"/>
            <w:tcMar>
              <w:top w:w="90" w:type="dxa"/>
              <w:left w:w="80" w:type="dxa"/>
              <w:bottom w:w="90" w:type="dxa"/>
              <w:right w:w="80" w:type="dxa"/>
            </w:tcMar>
            <w:vAlign w:val="center"/>
          </w:tcPr>
          <w:p w14:paraId="7FFD811C" w14:textId="77777777" w:rsidR="006929DF" w:rsidRPr="00DC6805" w:rsidRDefault="00000000">
            <w:pPr>
              <w:spacing w:after="0" w:line="240" w:lineRule="auto"/>
              <w:jc w:val="left"/>
            </w:pPr>
            <w:r w:rsidRPr="00DC6805">
              <w:rPr>
                <w:sz w:val="16"/>
              </w:rPr>
              <w:t>Creates stable demand and can reward verified quality.</w:t>
            </w:r>
          </w:p>
        </w:tc>
        <w:tc>
          <w:tcPr>
            <w:tcW w:w="1987" w:type="dxa"/>
            <w:tcMar>
              <w:top w:w="90" w:type="dxa"/>
              <w:left w:w="80" w:type="dxa"/>
              <w:bottom w:w="90" w:type="dxa"/>
              <w:right w:w="80" w:type="dxa"/>
            </w:tcMar>
            <w:vAlign w:val="center"/>
          </w:tcPr>
          <w:p w14:paraId="3B4F1DD6" w14:textId="77777777" w:rsidR="006929DF" w:rsidRPr="00DC6805" w:rsidRDefault="00000000">
            <w:pPr>
              <w:spacing w:after="0" w:line="240" w:lineRule="auto"/>
              <w:jc w:val="left"/>
            </w:pPr>
            <w:r w:rsidRPr="00DC6805">
              <w:rPr>
                <w:sz w:val="16"/>
              </w:rPr>
              <w:t>Performance-based specifications, independent testing, traceability and nutrition-sensitive procurement rules.</w:t>
            </w:r>
          </w:p>
        </w:tc>
        <w:tc>
          <w:tcPr>
            <w:tcW w:w="3096" w:type="dxa"/>
            <w:tcMar>
              <w:top w:w="90" w:type="dxa"/>
              <w:left w:w="80" w:type="dxa"/>
              <w:bottom w:w="90" w:type="dxa"/>
              <w:right w:w="80" w:type="dxa"/>
            </w:tcMar>
            <w:vAlign w:val="center"/>
          </w:tcPr>
          <w:p w14:paraId="65386E96" w14:textId="77777777" w:rsidR="006929DF" w:rsidRPr="00DC6805" w:rsidRDefault="00000000">
            <w:pPr>
              <w:spacing w:after="0" w:line="240" w:lineRule="auto"/>
              <w:jc w:val="left"/>
            </w:pPr>
            <w:r w:rsidRPr="00DC6805">
              <w:rPr>
                <w:sz w:val="16"/>
              </w:rPr>
              <w:t xml:space="preserve">Local-origin preferences without quality verification may </w:t>
            </w:r>
            <w:proofErr w:type="spellStart"/>
            <w:r w:rsidRPr="00DC6805">
              <w:rPr>
                <w:sz w:val="16"/>
              </w:rPr>
              <w:t>institutionalise</w:t>
            </w:r>
            <w:proofErr w:type="spellEnd"/>
            <w:r w:rsidRPr="00DC6805">
              <w:rPr>
                <w:sz w:val="16"/>
              </w:rPr>
              <w:t xml:space="preserve"> poor products.</w:t>
            </w:r>
          </w:p>
        </w:tc>
        <w:tc>
          <w:tcPr>
            <w:tcW w:w="1541" w:type="dxa"/>
            <w:tcMar>
              <w:top w:w="90" w:type="dxa"/>
              <w:left w:w="80" w:type="dxa"/>
              <w:bottom w:w="90" w:type="dxa"/>
              <w:right w:w="80" w:type="dxa"/>
            </w:tcMar>
            <w:vAlign w:val="center"/>
          </w:tcPr>
          <w:p w14:paraId="40F75426" w14:textId="77777777" w:rsidR="006929DF" w:rsidRPr="00DC6805" w:rsidRDefault="00000000">
            <w:pPr>
              <w:spacing w:after="0" w:line="240" w:lineRule="auto"/>
              <w:jc w:val="left"/>
            </w:pPr>
            <w:r w:rsidRPr="00DC6805">
              <w:rPr>
                <w:sz w:val="16"/>
              </w:rPr>
              <w:t>(</w:t>
            </w:r>
            <w:proofErr w:type="spellStart"/>
            <w:r w:rsidRPr="00DC6805">
              <w:rPr>
                <w:sz w:val="16"/>
              </w:rPr>
              <w:t>Dimaria</w:t>
            </w:r>
            <w:proofErr w:type="spellEnd"/>
            <w:r w:rsidRPr="00DC6805">
              <w:rPr>
                <w:sz w:val="16"/>
              </w:rPr>
              <w:t xml:space="preserve"> et al., 2018; Codex Alimentarius Commission, 2013)</w:t>
            </w:r>
          </w:p>
        </w:tc>
      </w:tr>
    </w:tbl>
    <w:p w14:paraId="7651DA49"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3D3021D3" w14:textId="77777777" w:rsidR="006929DF" w:rsidRPr="00DC6805" w:rsidRDefault="00000000">
      <w:pPr>
        <w:pStyle w:val="Heading1"/>
        <w:rPr>
          <w:color w:val="auto"/>
        </w:rPr>
      </w:pPr>
      <w:r w:rsidRPr="00DC6805">
        <w:rPr>
          <w:rFonts w:ascii="Times New Roman" w:hAnsi="Times New Roman"/>
          <w:color w:val="auto"/>
        </w:rPr>
        <w:t>9. Integrated Critical Synthesis: What the Evidence Supports and What It Does Not</w:t>
      </w:r>
    </w:p>
    <w:p w14:paraId="7A8E6681" w14:textId="77777777" w:rsidR="006929DF" w:rsidRPr="00DC6805" w:rsidRDefault="00000000">
      <w:r w:rsidRPr="00DC6805">
        <w:t xml:space="preserve">The Burkina Faso literature supports a stronger conclusion than the generic statement that local seeds are nutritious. It shows that locally available cereal, legume and oilseed matrices can be engineered into high-energy complementary foods; that fermentation and amylolytic technologies can overcome viscosity constraints; that mineral bioavailability can be improved by targeted phytate reduction; that rural production skills can be transferred; and that local products can be less expensive than imported alternatives (Brnić et al., 2017; </w:t>
      </w:r>
      <w:proofErr w:type="spellStart"/>
      <w:r w:rsidRPr="00DC6805">
        <w:t>Dimaria</w:t>
      </w:r>
      <w:proofErr w:type="spellEnd"/>
      <w:r w:rsidRPr="00DC6805">
        <w:t xml:space="preserve"> et al., 2018; Mouquet-Rivier et al., 2016; Ouédraogo et al., 2009; </w:t>
      </w:r>
      <w:proofErr w:type="spellStart"/>
      <w:r w:rsidRPr="00DC6805">
        <w:t>Songré</w:t>
      </w:r>
      <w:proofErr w:type="spellEnd"/>
      <w:r w:rsidRPr="00DC6805">
        <w:t xml:space="preserve">-Ouattara et al., 2009). </w:t>
      </w:r>
      <w:r w:rsidRPr="00DC6805">
        <w:lastRenderedPageBreak/>
        <w:t>These are meaningful strengths because they address technological and economic feasibility in the intended setting.</w:t>
      </w:r>
    </w:p>
    <w:p w14:paraId="43FF4E50" w14:textId="77777777" w:rsidR="006929DF" w:rsidRPr="00DC6805" w:rsidRDefault="00000000">
      <w:r w:rsidRPr="00DC6805">
        <w:t xml:space="preserve">The same evidence also defines firm limits. First, </w:t>
      </w:r>
      <w:proofErr w:type="spellStart"/>
      <w:r w:rsidRPr="00DC6805">
        <w:t>favourable</w:t>
      </w:r>
      <w:proofErr w:type="spellEnd"/>
      <w:r w:rsidRPr="00DC6805">
        <w:t xml:space="preserve"> nutrient composition does not establish nutrient absorption. Brnić et al. (2017) demonstrated this distinction directly for zinc, while Hama-Ba et al. (2019) showed that processing can reduce the mineral advantage of biofortified grain. Second, improved absorption or short-term intake does not establish improved status or growth. The </w:t>
      </w:r>
      <w:proofErr w:type="spellStart"/>
      <w:r w:rsidRPr="00DC6805">
        <w:t>randomised</w:t>
      </w:r>
      <w:proofErr w:type="spellEnd"/>
      <w:r w:rsidRPr="00DC6805">
        <w:t xml:space="preserve"> </w:t>
      </w:r>
      <w:proofErr w:type="spellStart"/>
      <w:r w:rsidRPr="00DC6805">
        <w:t>haemoglobin</w:t>
      </w:r>
      <w:proofErr w:type="spellEnd"/>
      <w:r w:rsidRPr="00DC6805">
        <w:t xml:space="preserve"> study by Ouédraogo et al. (2010) did not show a significant between-group </w:t>
      </w:r>
      <w:proofErr w:type="spellStart"/>
      <w:r w:rsidRPr="00DC6805">
        <w:t>haemoglobin</w:t>
      </w:r>
      <w:proofErr w:type="spellEnd"/>
      <w:r w:rsidRPr="00DC6805">
        <w:t xml:space="preserve"> benefit from the added selected micronutrients under the tested conditions, and the high-energy-porridge study by Mouquet-Rivier et al. (2016) was not designed to assess long-term growth. Third, ingredient quality can reverse nutritional value: groundnut is an efficient energy and protein source but also a major vehicle for aflatoxin exposure when raw-material control fails (</w:t>
      </w:r>
      <w:proofErr w:type="spellStart"/>
      <w:r w:rsidRPr="00DC6805">
        <w:t>Bandé</w:t>
      </w:r>
      <w:proofErr w:type="spellEnd"/>
      <w:r w:rsidRPr="00DC6805">
        <w:t xml:space="preserve"> et al., 2022; </w:t>
      </w:r>
      <w:proofErr w:type="spellStart"/>
      <w:r w:rsidRPr="00DC6805">
        <w:t>Waré</w:t>
      </w:r>
      <w:proofErr w:type="spellEnd"/>
      <w:r w:rsidRPr="00DC6805">
        <w:t xml:space="preserve"> et al., 2017).</w:t>
      </w:r>
    </w:p>
    <w:p w14:paraId="346C18D2" w14:textId="77777777" w:rsidR="006929DF" w:rsidRPr="00DC6805" w:rsidRDefault="00000000">
      <w:r w:rsidRPr="00DC6805">
        <w:t xml:space="preserve">The evidence base is also asymmetrical across ingredients. Pearl millet has relatively deep local research spanning traditional processing, fermentation, rheology, mineral content and human absorption. Groundnut and soybean appear frequently in formulations and production surveys, with useful process evidence but major safety or antinutritional constraints. Sorghum and maize are important locally, yet infant-specific outcome data on </w:t>
      </w:r>
      <w:proofErr w:type="spellStart"/>
      <w:r w:rsidRPr="00DC6805">
        <w:t>optimised</w:t>
      </w:r>
      <w:proofErr w:type="spellEnd"/>
      <w:r w:rsidRPr="00DC6805">
        <w:t xml:space="preserve"> formulations are less developed. Cowpea, Bambara groundnut, sesame and </w:t>
      </w:r>
      <w:r w:rsidRPr="00DC6805">
        <w:rPr>
          <w:i/>
        </w:rPr>
        <w:t xml:space="preserve">Parkia </w:t>
      </w:r>
      <w:proofErr w:type="spellStart"/>
      <w:r w:rsidRPr="00DC6805">
        <w:rPr>
          <w:i/>
        </w:rPr>
        <w:t>biglobosa</w:t>
      </w:r>
      <w:proofErr w:type="spellEnd"/>
      <w:r w:rsidRPr="00DC6805">
        <w:t xml:space="preserve"> are nutritionally plausible and locally relevant, but their use in infant complementary foods in Burkina Faso rests more heavily on composition, external evidence or small formulation studies than on local trials. Research priorities should reflect this gradient rather than treating all “local seeds” as a homogeneous evidence category.</w:t>
      </w:r>
    </w:p>
    <w:p w14:paraId="32010E40" w14:textId="77777777" w:rsidR="006929DF" w:rsidRPr="00DC6805" w:rsidRDefault="00000000">
      <w:r w:rsidRPr="00DC6805">
        <w:t>A second asymmetry is between technological and clinical evidence. Burkina Faso has several technically sophisticated food-processing studies, but comparatively few contemporary trials linking a defined local seed formulation to longitudinal growth, micronutrient status, morbidity and developmental outcomes. This matters because biological response depends on infection, inflammation, breastfeeding, background diet and adherence. A formulation that performs well in a laboratory may provide only a small incremental benefit in a child whose diet is constrained by illness or household food insecurity.</w:t>
      </w:r>
    </w:p>
    <w:p w14:paraId="6D8C7E8B" w14:textId="77777777" w:rsidR="006929DF" w:rsidRPr="00DC6805" w:rsidRDefault="00000000">
      <w:r w:rsidRPr="00DC6805">
        <w:t xml:space="preserve">Safety evidence is sufficiently strong to change the interpretation of </w:t>
      </w:r>
      <w:proofErr w:type="spellStart"/>
      <w:r w:rsidRPr="00DC6805">
        <w:t>valorisation</w:t>
      </w:r>
      <w:proofErr w:type="spellEnd"/>
      <w:r w:rsidRPr="00DC6805">
        <w:t xml:space="preserve">. Mycotoxin and microbiological findings are not isolated quality defects; they indicate that uncontrolled scaling of local infant flours could increase exposure to preventable hazards. The appropriate policy position is neither rejection of local products nor unqualified promotion. It is conditional support: local seed-based complementary foods should be </w:t>
      </w:r>
      <w:proofErr w:type="spellStart"/>
      <w:r w:rsidRPr="00DC6805">
        <w:t>valorised</w:t>
      </w:r>
      <w:proofErr w:type="spellEnd"/>
      <w:r w:rsidRPr="00DC6805">
        <w:t xml:space="preserve"> only through systems that make raw-material safety, process validation and product verification inseparable from nutritional formulation.</w:t>
      </w:r>
    </w:p>
    <w:p w14:paraId="41DF9DC5" w14:textId="77777777" w:rsidR="006929DF" w:rsidRPr="00DC6805" w:rsidRDefault="00000000">
      <w:r w:rsidRPr="00DC6805">
        <w:t>The broader nutrition evidence points in the same direction. Complementary feeding interventions generally perform best when they combine appropriate foods with caregiver education and address the nutrient density of the total diet rather than a single product (Dewey &amp; Adu-</w:t>
      </w:r>
      <w:proofErr w:type="spellStart"/>
      <w:r w:rsidRPr="00DC6805">
        <w:t>Afarwuah</w:t>
      </w:r>
      <w:proofErr w:type="spellEnd"/>
      <w:r w:rsidRPr="00DC6805">
        <w:t xml:space="preserve">, 2008). WHO guidance similarly </w:t>
      </w:r>
      <w:proofErr w:type="spellStart"/>
      <w:r w:rsidRPr="00DC6805">
        <w:t>emphasises</w:t>
      </w:r>
      <w:proofErr w:type="spellEnd"/>
      <w:r w:rsidRPr="00DC6805">
        <w:t xml:space="preserve"> dietary diversity, continued breastfeeding and the inclusion of nutrient-dense food groups rather than reliance on cereal staples alone (World Health Organization, 2023). A local seed flour should therefore be positioned as one component of a diversified complementary diet, not as a self-contained solution to child undernutrition.</w:t>
      </w:r>
    </w:p>
    <w:p w14:paraId="3AB47166" w14:textId="77777777" w:rsidR="006929DF" w:rsidRPr="00DC6805" w:rsidRDefault="00000000">
      <w:r w:rsidRPr="00DC6805">
        <w:t xml:space="preserve">This synthesis suggests a practical hierarchy of evidence. The highest confidence can be placed in the need to improve energy density without excessive viscosity, to combine cereals with protein- and lipid-rich seeds, to control phytate when mineral delivery is important, and to prevent mycotoxin and microbiological hazards. Moderate confidence supports the feasibility of local production and community technology transfer. Lower confidence applies to long-term clinical superiority of specific seed combinations, to the </w:t>
      </w:r>
      <w:proofErr w:type="spellStart"/>
      <w:r w:rsidRPr="00DC6805">
        <w:t>generalisability</w:t>
      </w:r>
      <w:proofErr w:type="spellEnd"/>
      <w:r w:rsidRPr="00DC6805">
        <w:t xml:space="preserve"> of emerging ingredients such as Bambara groundnut, and to the economic sustainability of stringent quality </w:t>
      </w:r>
      <w:r w:rsidRPr="00DC6805">
        <w:lastRenderedPageBreak/>
        <w:t xml:space="preserve">systems outside supported </w:t>
      </w:r>
      <w:proofErr w:type="spellStart"/>
      <w:r w:rsidRPr="00DC6805">
        <w:t>programmes</w:t>
      </w:r>
      <w:proofErr w:type="spellEnd"/>
      <w:r w:rsidRPr="00DC6805">
        <w:t>. Keeping these confidence levels distinct is essential for responsible innovation.</w:t>
      </w:r>
    </w:p>
    <w:p w14:paraId="376F1FEF" w14:textId="77777777" w:rsidR="006929DF" w:rsidRPr="00DC6805" w:rsidRDefault="00000000">
      <w:pPr>
        <w:pStyle w:val="Heading1"/>
        <w:rPr>
          <w:color w:val="auto"/>
        </w:rPr>
      </w:pPr>
      <w:r w:rsidRPr="00DC6805">
        <w:rPr>
          <w:rFonts w:ascii="Times New Roman" w:hAnsi="Times New Roman"/>
          <w:color w:val="auto"/>
        </w:rPr>
        <w:t>10. Future Directions</w:t>
      </w:r>
    </w:p>
    <w:p w14:paraId="3D28F169" w14:textId="77777777" w:rsidR="006929DF" w:rsidRPr="00DC6805" w:rsidRDefault="00000000">
      <w:r w:rsidRPr="00DC6805">
        <w:t>The immediate research priority is not another broad composition survey but an integrated pipeline that connects agriculture, food technology, toxicology, infant feeding and implementation. Future studies should begin with a small number of locally strategic seed matrices and follow them through to child-level outcomes. Candidate matrices could include pearl millet with soybean or groundnut, sorghum with cowpea, and a carefully selected Bambara-groundnut formulation where supply chains support it. Each candidate should be compared against a defined standard rather than against an unspecified traditional porridge.</w:t>
      </w:r>
    </w:p>
    <w:p w14:paraId="66C21DF6" w14:textId="77777777" w:rsidR="006929DF" w:rsidRPr="00DC6805" w:rsidRDefault="00000000">
      <w:r w:rsidRPr="00DC6805">
        <w:t xml:space="preserve">The first requirement is representative raw-material </w:t>
      </w:r>
      <w:proofErr w:type="spellStart"/>
      <w:r w:rsidRPr="00DC6805">
        <w:t>characterisation</w:t>
      </w:r>
      <w:proofErr w:type="spellEnd"/>
      <w:r w:rsidRPr="00DC6805">
        <w:t>. Multi-season sampling across production zones should quantify macronutrients, iron, zinc, phytate, relevant antinutritional factors, moisture and major mycotoxins in candidate seeds. Sampling must account for cultivar, harvest conditions and storage. Such data would establish realistic formulation ranges instead of relying on single values from food-composition tables. For biofortified varieties, nutrient retention should be measured after the exact decortication, fermentation and cooking steps intended for the final product (Hama-Ba et al., 2019).</w:t>
      </w:r>
    </w:p>
    <w:p w14:paraId="400457E2" w14:textId="77777777" w:rsidR="006929DF" w:rsidRPr="00DC6805" w:rsidRDefault="00000000">
      <w:r w:rsidRPr="00DC6805">
        <w:t xml:space="preserve">Second, process </w:t>
      </w:r>
      <w:proofErr w:type="spellStart"/>
      <w:r w:rsidRPr="00DC6805">
        <w:t>optimisation</w:t>
      </w:r>
      <w:proofErr w:type="spellEnd"/>
      <w:r w:rsidRPr="00DC6805">
        <w:t xml:space="preserve"> should use multi-objective criteria. Studies should not select the processing condition that </w:t>
      </w:r>
      <w:proofErr w:type="spellStart"/>
      <w:r w:rsidRPr="00DC6805">
        <w:t>maximises</w:t>
      </w:r>
      <w:proofErr w:type="spellEnd"/>
      <w:r w:rsidRPr="00DC6805">
        <w:t xml:space="preserve"> one outcome such as phytate reduction. They should identify combinations of dehulling, germination, fermentation, heat and amylolysis that jointly </w:t>
      </w:r>
      <w:proofErr w:type="spellStart"/>
      <w:r w:rsidRPr="00DC6805">
        <w:t>optimise</w:t>
      </w:r>
      <w:proofErr w:type="spellEnd"/>
      <w:r w:rsidRPr="00DC6805">
        <w:t xml:space="preserve"> nutrient retention, viscosity, digestibility, safety and sensory acceptability. The negative phytate result obtained in the millet-soybean fermentation study is a reminder that process effects cannot be assumed across matrices (</w:t>
      </w:r>
      <w:proofErr w:type="spellStart"/>
      <w:r w:rsidRPr="00DC6805">
        <w:t>Songré</w:t>
      </w:r>
      <w:proofErr w:type="spellEnd"/>
      <w:r w:rsidRPr="00DC6805">
        <w:t xml:space="preserve">-Ouattara et al., 2010). Controlled starter cultures should be compared with </w:t>
      </w:r>
      <w:proofErr w:type="spellStart"/>
      <w:r w:rsidRPr="00DC6805">
        <w:t>backslopping</w:t>
      </w:r>
      <w:proofErr w:type="spellEnd"/>
      <w:r w:rsidRPr="00DC6805">
        <w:t xml:space="preserve"> under realistic small-enterprise conditions, including culture stability and operator variability.</w:t>
      </w:r>
    </w:p>
    <w:p w14:paraId="01AC5A10" w14:textId="77777777" w:rsidR="006929DF" w:rsidRPr="00DC6805" w:rsidRDefault="00000000">
      <w:r w:rsidRPr="00DC6805">
        <w:t>Third, bioavailability should be measured before large efficacy trials. Stable-isotope methods are particularly valuable for iron and zinc because they can identify whether a formulation change produces a biologically meaningful gain before resources are committed to long-term trials. The Burkina Faso phytase study provides a strong model for zinc (Brnić et al., 2017). Future work should extend this approach to iron, compare locally achievable phytate-reduction strategies, and examine whether improvements are retained when products are prepared by caregivers rather than research staff.</w:t>
      </w:r>
    </w:p>
    <w:p w14:paraId="4C07CCF0" w14:textId="77777777" w:rsidR="006929DF" w:rsidRPr="00DC6805" w:rsidRDefault="00000000">
      <w:r w:rsidRPr="00DC6805">
        <w:t>Fourth, safety research should move upstream. Prospective supply-chain studies should identify where aflatoxin enters groundnut and maize destined for infant foods, from field stress through drying, aggregation, storage and milling. Interventions should be evaluated using cluster or stepped implementation designs that can compare improved drying, moisture thresholds, hermetic storage, supplier incentives and rapid screening. Sorting and saline soaking are useful components to investigate, but the aim should be prevention of contaminated lots entering production rather than downstream remediation (Bayala-</w:t>
      </w:r>
      <w:proofErr w:type="spellStart"/>
      <w:r w:rsidRPr="00DC6805">
        <w:t>Yaï</w:t>
      </w:r>
      <w:proofErr w:type="spellEnd"/>
      <w:r w:rsidRPr="00DC6805">
        <w:t xml:space="preserve"> et al., 2025). Parallel microbiological studies should validate critical limits for fermentation, heat treatment, drying and reconstitution.</w:t>
      </w:r>
    </w:p>
    <w:p w14:paraId="624DE4B6" w14:textId="77777777" w:rsidR="006929DF" w:rsidRPr="00DC6805" w:rsidRDefault="00000000">
      <w:r w:rsidRPr="00DC6805">
        <w:t xml:space="preserve">Fifth, the field needs adequately powered child-feeding trials with transparent dietary assessment. Trials should </w:t>
      </w:r>
      <w:proofErr w:type="spellStart"/>
      <w:r w:rsidRPr="00DC6805">
        <w:t>enrol</w:t>
      </w:r>
      <w:proofErr w:type="spellEnd"/>
      <w:r w:rsidRPr="00DC6805">
        <w:t xml:space="preserve"> infants at the beginning of complementary feeding, measure baseline nutritional status and inflammation, and follow participants long enough to assess growth and iron or zinc status. Primary outcomes should be prespecified and should distinguish intake, biochemical status, anthropometry and morbidity. Total dietary intake and breastfeeding should be measured so that displacement can be identified, as illustrated by the secondary analysis of fortified blended flour in Burkina Faso (</w:t>
      </w:r>
      <w:proofErr w:type="spellStart"/>
      <w:r w:rsidRPr="00DC6805">
        <w:t>Cliffer</w:t>
      </w:r>
      <w:proofErr w:type="spellEnd"/>
      <w:r w:rsidRPr="00DC6805">
        <w:t xml:space="preserve"> et al., 2021). Where possible, pragmatic designs should compare products delivered through routine community channels rather than highly supervised feeding only.</w:t>
      </w:r>
    </w:p>
    <w:p w14:paraId="614BFC92" w14:textId="77777777" w:rsidR="006929DF" w:rsidRPr="00DC6805" w:rsidRDefault="00000000">
      <w:r w:rsidRPr="00DC6805">
        <w:lastRenderedPageBreak/>
        <w:t xml:space="preserve">Sixth, implementation research should evaluate whether quality can be sustained by local processors. Studies should measure batch-to-batch nutrient variation, mycotoxin rejection rates, microbial compliance, premix uniformity, production losses, </w:t>
      </w:r>
      <w:proofErr w:type="spellStart"/>
      <w:r w:rsidRPr="00DC6805">
        <w:t>labour</w:t>
      </w:r>
      <w:proofErr w:type="spellEnd"/>
      <w:r w:rsidRPr="00DC6805">
        <w:t xml:space="preserve"> burden, equipment downtime and retail price. Small women-led enterprises should be explicitly included because the wider flour-processing sector is strongly dependent on female processors (Ouedraogo et al., 2025). Economic analyses should calculate the incremental cost of safety and fortification separately, enabling policy makers to identify where shared laboratories, credit or targeted subsidies provide the greatest public-health value.</w:t>
      </w:r>
    </w:p>
    <w:p w14:paraId="3B2560CE" w14:textId="77777777" w:rsidR="006929DF" w:rsidRPr="00DC6805" w:rsidRDefault="00000000">
      <w:r w:rsidRPr="00DC6805">
        <w:t>Seventh, regulation and market surveillance require locally appropriate validation. Product labels should be compared with laboratory composition; recommended preparation should be observed in households; and market surveillance should test whether products remain compliant through their shelf life. The poor adequacy observed in a substantial share of commercial complementary foods in West Africa indicates that initial product registration cannot substitute for continuing oversight (</w:t>
      </w:r>
      <w:proofErr w:type="spellStart"/>
      <w:r w:rsidRPr="00DC6805">
        <w:t>Dimaria</w:t>
      </w:r>
      <w:proofErr w:type="spellEnd"/>
      <w:r w:rsidRPr="00DC6805">
        <w:t xml:space="preserve"> et al., 2018; Khosravi et al., 2023). A national quality mark could be evaluated only if it is linked to independent testing and credible enforcement.</w:t>
      </w:r>
    </w:p>
    <w:p w14:paraId="23FF8AAA" w14:textId="77777777" w:rsidR="006929DF" w:rsidRPr="00DC6805" w:rsidRDefault="00000000">
      <w:r w:rsidRPr="00DC6805">
        <w:t>Longer-term research should connect infant nutrition with climate-resilient agriculture. Drought-tolerant crops such as pearl millet, cowpea and Bambara groundnut may reduce exposure to supply shocks, but climate resilience should not be presumed to guarantee nutritional advantage. Agronomic trials should be linked to nutrient composition, post-harvest safety and processing functionality. Bambara groundnut is especially relevant because of its nutritional profile and adaptation to marginal environments, yet its infant-food potential in Burkina Faso remains under-tested (Tan et al., 2020). Breeding and selection should therefore include traits relevant to complementary foods, such as cooking time, seed-coat characteristics, phytate, protein quality and mycotoxin susceptibility.</w:t>
      </w:r>
    </w:p>
    <w:p w14:paraId="1D776EB5" w14:textId="77777777" w:rsidR="006929DF" w:rsidRPr="00DC6805" w:rsidRDefault="00000000">
      <w:r w:rsidRPr="00DC6805">
        <w:t>Finally, research should test delivery models rather than products alone. Household flour preparation, community production, semi-industrial retail and public procurement each have different quality-control possibilities and cost structures. Comparative implementation studies could determine where each model is appropriate. The key outcome should be sustained access to a safe, nutrient-dense food within a diversified diet, not simply the successful manufacture of a flour. This reframing would move the field from recipe development towards an accountable food system for complementary feeding.</w:t>
      </w:r>
    </w:p>
    <w:p w14:paraId="09DECC28" w14:textId="77777777" w:rsidR="006929DF" w:rsidRPr="00DC6805" w:rsidRDefault="00000000">
      <w:pPr>
        <w:pStyle w:val="Heading1"/>
        <w:rPr>
          <w:color w:val="auto"/>
        </w:rPr>
      </w:pPr>
      <w:r w:rsidRPr="00DC6805">
        <w:rPr>
          <w:rFonts w:ascii="Times New Roman" w:hAnsi="Times New Roman"/>
          <w:color w:val="auto"/>
        </w:rPr>
        <w:t>11. Conclusions</w:t>
      </w:r>
    </w:p>
    <w:p w14:paraId="434AC910" w14:textId="77777777" w:rsidR="006929DF" w:rsidRPr="00DC6805" w:rsidRDefault="00000000">
      <w:r w:rsidRPr="00DC6805">
        <w:t xml:space="preserve">Local seed resources offer a credible foundation for complementary foods in Burkina Faso, but their value depends on formulation and control rather than locality alone. Pearl millet, sorghum and maize can provide culturally familiar cereal matrices; soybean, cowpea and Bambara groundnut can strengthen protein quality; and groundnut, sesame and selected fermented seeds can increase energy density or diversify </w:t>
      </w:r>
      <w:proofErr w:type="spellStart"/>
      <w:r w:rsidRPr="00DC6805">
        <w:t>flavour</w:t>
      </w:r>
      <w:proofErr w:type="spellEnd"/>
      <w:r w:rsidRPr="00DC6805">
        <w:t xml:space="preserve"> and nutrients. The most convincing local evidence concerns pearl millet-based processing, viscosity reduction, community production feasibility and the improvement of zinc absorption after phytate degradation. These findings show that technically effective complementary foods can be built from locally available ingredients.</w:t>
      </w:r>
    </w:p>
    <w:p w14:paraId="27103CF0" w14:textId="77777777" w:rsidR="006929DF" w:rsidRPr="00DC6805" w:rsidRDefault="00000000">
      <w:r w:rsidRPr="00DC6805">
        <w:t>The evidence also demonstrates why a purely compositional approach is inadequate. Decortication, fermentation, germination and heat treatment alter nutrient retention, antinutritional factors, rheology and safety in different directions. Mineral concentration does not ensure absorption, short-term absorption does not ensure improved status, and increased energy intake does not by itself demonstrate improved growth. A strong formulation strategy must therefore combine adequate dry-matter and lipid density, complementary plant proteins, controlled phytate reduction, age-appropriate texture, targeted micronutrient enhancement where local foods cannot meet requirements, and preparation instructions that preserve breastfeeding and dietary diversity.</w:t>
      </w:r>
    </w:p>
    <w:p w14:paraId="34FE79A9" w14:textId="77777777" w:rsidR="006929DF" w:rsidRPr="00DC6805" w:rsidRDefault="00000000">
      <w:r w:rsidRPr="00DC6805">
        <w:lastRenderedPageBreak/>
        <w:t xml:space="preserve">Safety is the decisive constraint on scale-up. Documented aflatoxin contamination of groundnut, maize and locally produced infant flours, together with microbiological contamination in some products, means that uncontrolled </w:t>
      </w:r>
      <w:proofErr w:type="spellStart"/>
      <w:r w:rsidRPr="00DC6805">
        <w:t>valorisation</w:t>
      </w:r>
      <w:proofErr w:type="spellEnd"/>
      <w:r w:rsidRPr="00DC6805">
        <w:t xml:space="preserve"> could expose infants to avoidable harm. Preventive raw-material control, validated processing, hygienic drying and packaging, traceability and periodic laboratory verification are essential components of the nutritional design. End-product testing alone is insufficient.</w:t>
      </w:r>
    </w:p>
    <w:p w14:paraId="218E2442" w14:textId="77777777" w:rsidR="006929DF" w:rsidRPr="00DC6805" w:rsidRDefault="00000000">
      <w:r w:rsidRPr="00DC6805">
        <w:t>The most defensible development pathway is therefore a quality-assured local food system rather than a single universal recipe. A small family of validated cereal-legume-oilseed formulations could be linked to biofortified varieties, shared testing infrastructure, proportionate regulation, transparent labelling and support for local processors. Such a model could strengthen food-system resilience and local enterprise while protecting infant nutrition. Its long-term benefits, however, require contemporary trials that connect formulation, bioavailability and safety to sustained dietary intake, micronutrient status, growth and affordability under routine conditions.</w:t>
      </w:r>
    </w:p>
    <w:p w14:paraId="6511C5FA" w14:textId="77777777" w:rsidR="006929DF" w:rsidRPr="00DC6805" w:rsidRDefault="00000000">
      <w:pPr>
        <w:pStyle w:val="Heading1"/>
        <w:rPr>
          <w:color w:val="auto"/>
        </w:rPr>
      </w:pPr>
      <w:r w:rsidRPr="00DC6805">
        <w:rPr>
          <w:rFonts w:ascii="Times New Roman" w:hAnsi="Times New Roman"/>
          <w:color w:val="auto"/>
        </w:rPr>
        <w:t>12. Limitations</w:t>
      </w:r>
    </w:p>
    <w:p w14:paraId="75E4E507" w14:textId="77777777" w:rsidR="006929DF" w:rsidRPr="00DC6805" w:rsidRDefault="00000000">
      <w:r w:rsidRPr="00DC6805">
        <w:t>As a critical narrative review, this article is intrinsically vulnerable to selection and interpretive bias despite the use of a transparent search strategy, predefined eligibility principles and explicit evidence appraisal. It was not designed as a systematic review with exhaustive duplicate screening, formal risk-of-bias scoring or quantitative meta-analysis, and no claim of complete capture of the literature is made.</w:t>
      </w:r>
    </w:p>
    <w:p w14:paraId="69333C3F" w14:textId="77777777" w:rsidR="006929DF" w:rsidRPr="00DC6805" w:rsidRDefault="00000000">
      <w:r w:rsidRPr="00DC6805">
        <w:t xml:space="preserve">The evidence base itself is uneven. Burkina Faso has comparatively rich research on pearl millet fermentation, gruel rheology and selected mineral-bioavailability questions, but much less infant-specific clinical evidence for sorghum, cowpea, Bambara groundnut, sesame and fermented seed adjuncts. Several locally relevant studies are small, cross-sectional, process-oriented or restricted to Ouagadougou, which limits national </w:t>
      </w:r>
      <w:proofErr w:type="spellStart"/>
      <w:r w:rsidRPr="00DC6805">
        <w:t>generalisability</w:t>
      </w:r>
      <w:proofErr w:type="spellEnd"/>
      <w:r w:rsidRPr="00DC6805">
        <w:t>. Older intervention studies remain influential because few recent trials reproduce the full formulation-to-clinical-outcome pathway. Heterogeneity in recipes, processing conditions, child age, outcome definitions and background diets also limits direct comparison.</w:t>
      </w:r>
    </w:p>
    <w:p w14:paraId="6D9B1CB8" w14:textId="77777777" w:rsidR="006929DF" w:rsidRDefault="00000000">
      <w:r w:rsidRPr="00DC6805">
        <w:t xml:space="preserve">Only sources that were accessible and bibliographically verifiable were retained, and relevant literature in poorly indexed local outlets may have been missed. Evidence from </w:t>
      </w:r>
      <w:proofErr w:type="spellStart"/>
      <w:r w:rsidRPr="00DC6805">
        <w:t>neighbouring</w:t>
      </w:r>
      <w:proofErr w:type="spellEnd"/>
      <w:r w:rsidRPr="00DC6805">
        <w:t xml:space="preserve"> African countries was used selectively to interpret mechanisms or ingredient potential when Burkina Faso data were sparse, but ecological, dietary and processing differences constrain transferability. Commercial market surveys cannot establish household consumption or child outcomes, and laboratory nutrient or contaminant measurements do not by themselves quantify long-term biological effects. These limitations reinforce the need to distinguish demonstrated local effects from plausible but still untested </w:t>
      </w:r>
      <w:proofErr w:type="spellStart"/>
      <w:r w:rsidRPr="00DC6805">
        <w:t>valorisation</w:t>
      </w:r>
      <w:proofErr w:type="spellEnd"/>
      <w:r w:rsidRPr="00DC6805">
        <w:t xml:space="preserve"> opportunities.</w:t>
      </w:r>
    </w:p>
    <w:p w14:paraId="618E8F31" w14:textId="77777777" w:rsidR="00E34BD4" w:rsidRDefault="00E34BD4" w:rsidP="00E34BD4">
      <w:pPr>
        <w:spacing w:after="0" w:line="240" w:lineRule="auto"/>
        <w:rPr>
          <w:rFonts w:cs="Times New Roman"/>
          <w:b/>
        </w:rPr>
      </w:pPr>
      <w:r w:rsidRPr="000839CE">
        <w:rPr>
          <w:rFonts w:cs="Times New Roman"/>
          <w:b/>
        </w:rPr>
        <w:t>Declaration of AI Use</w:t>
      </w:r>
    </w:p>
    <w:p w14:paraId="35183EF1" w14:textId="77777777" w:rsidR="00E34BD4" w:rsidRDefault="00E34BD4" w:rsidP="00E34BD4">
      <w:pPr>
        <w:spacing w:after="0" w:line="240" w:lineRule="auto"/>
        <w:rPr>
          <w:rFonts w:cs="Times New Roman"/>
          <w:b/>
        </w:rPr>
      </w:pPr>
    </w:p>
    <w:p w14:paraId="7E336BDA" w14:textId="77777777" w:rsidR="00E34BD4" w:rsidRDefault="00E34BD4" w:rsidP="00E34BD4">
      <w:pPr>
        <w:spacing w:after="0" w:line="240" w:lineRule="auto"/>
        <w:rPr>
          <w:rFonts w:cs="Times New Roman"/>
          <w:b/>
        </w:rPr>
      </w:pPr>
    </w:p>
    <w:p w14:paraId="15BD9544" w14:textId="77777777" w:rsidR="00E34BD4" w:rsidRDefault="00E34BD4" w:rsidP="00E34BD4">
      <w:pPr>
        <w:spacing w:after="0" w:line="240" w:lineRule="auto"/>
        <w:rPr>
          <w:rFonts w:cs="Times New Roman"/>
          <w:b/>
        </w:rPr>
      </w:pPr>
    </w:p>
    <w:p w14:paraId="251409FA" w14:textId="77777777" w:rsidR="00E34BD4" w:rsidRPr="002D08AC" w:rsidRDefault="00E34BD4" w:rsidP="00E34BD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5282E8C" w14:textId="77777777" w:rsidR="00E34BD4" w:rsidRPr="00DC6805" w:rsidRDefault="00E34BD4"/>
    <w:p w14:paraId="72A9A4E5" w14:textId="77777777" w:rsidR="006929DF" w:rsidRDefault="00000000">
      <w:pPr>
        <w:pStyle w:val="Heading1"/>
        <w:rPr>
          <w:rFonts w:ascii="Times New Roman" w:hAnsi="Times New Roman"/>
          <w:color w:val="auto"/>
        </w:rPr>
      </w:pPr>
      <w:r w:rsidRPr="00DC6805">
        <w:rPr>
          <w:rFonts w:ascii="Times New Roman" w:hAnsi="Times New Roman"/>
          <w:color w:val="auto"/>
        </w:rPr>
        <w:t>References</w:t>
      </w:r>
    </w:p>
    <w:p w14:paraId="265644EE" w14:textId="77777777" w:rsidR="00DC6805" w:rsidRDefault="00DC6805" w:rsidP="00DC6805">
      <w:proofErr w:type="spellStart"/>
      <w:r>
        <w:t>Baethge</w:t>
      </w:r>
      <w:proofErr w:type="spellEnd"/>
      <w:r>
        <w:t>, C., Goldbeck-Wood, S., &amp; Mertens, S. (2019). SANRA—a scale for the quality assessment of narrative review articles. Research Integrity and Peer Review, 4, 5. https://doi.org/10.1186/s41073-019-0064-8</w:t>
      </w:r>
    </w:p>
    <w:p w14:paraId="569F18AE" w14:textId="77777777" w:rsidR="00DC6805" w:rsidRDefault="00DC6805" w:rsidP="00DC6805">
      <w:proofErr w:type="spellStart"/>
      <w:r>
        <w:lastRenderedPageBreak/>
        <w:t>Bandé</w:t>
      </w:r>
      <w:proofErr w:type="spellEnd"/>
      <w:r>
        <w:t xml:space="preserve">, M., Traoré, I., Nikiema, F., Méda, N.-S.-B. R., Kpoda, D. S., </w:t>
      </w:r>
      <w:proofErr w:type="spellStart"/>
      <w:r>
        <w:t>Bazié</w:t>
      </w:r>
      <w:proofErr w:type="spellEnd"/>
      <w:r>
        <w:t>, B. S. R., Ouédraogo/</w:t>
      </w:r>
      <w:proofErr w:type="spellStart"/>
      <w:r>
        <w:t>Kagambèga</w:t>
      </w:r>
      <w:proofErr w:type="spellEnd"/>
      <w:r>
        <w:t xml:space="preserve">, M., Ilboudo, I., Sama, O. I., Compaoré, A. K. M., Meda, N.-I. S. D., Ouattara Sourabie, B. P., Hien, H., &amp; </w:t>
      </w:r>
      <w:proofErr w:type="spellStart"/>
      <w:r>
        <w:t>Kabré</w:t>
      </w:r>
      <w:proofErr w:type="spellEnd"/>
      <w:r>
        <w:t>, É. (2022). Aflatoxins contents determination in some foodstuffs in Burkina Faso and human health risk assessment. Toxicon: X, 16, 100138. https://doi.org/10.1016/j.toxcx.2022.100138</w:t>
      </w:r>
    </w:p>
    <w:p w14:paraId="3082AA39" w14:textId="77777777" w:rsidR="00DC6805" w:rsidRDefault="00DC6805" w:rsidP="00DC6805">
      <w:r>
        <w:t>Bayala-</w:t>
      </w:r>
      <w:proofErr w:type="spellStart"/>
      <w:r>
        <w:t>Yaï</w:t>
      </w:r>
      <w:proofErr w:type="spellEnd"/>
      <w:r>
        <w:t xml:space="preserve">, L. K. A., </w:t>
      </w:r>
      <w:proofErr w:type="spellStart"/>
      <w:r>
        <w:t>Nikièma</w:t>
      </w:r>
      <w:proofErr w:type="spellEnd"/>
      <w:r>
        <w:t xml:space="preserve">, P. A., </w:t>
      </w:r>
      <w:proofErr w:type="spellStart"/>
      <w:r>
        <w:t>Bazié</w:t>
      </w:r>
      <w:proofErr w:type="spellEnd"/>
      <w:r>
        <w:t xml:space="preserve">, B. S. R., </w:t>
      </w:r>
      <w:proofErr w:type="spellStart"/>
      <w:r>
        <w:t>Nikièma</w:t>
      </w:r>
      <w:proofErr w:type="spellEnd"/>
      <w:r>
        <w:t>, F., &amp; Simpore, J. (2025). Assessment of mycotoxins in infant flour and their decontamination in raw material during production processes in Ouagadougou. Mycotoxin Research, 41(1), 191–198. https://doi.org/10.1007/s12550-024-00578-7</w:t>
      </w:r>
    </w:p>
    <w:p w14:paraId="1FC90C79" w14:textId="77777777" w:rsidR="00DC6805" w:rsidRDefault="00DC6805" w:rsidP="00DC6805">
      <w:r>
        <w:t>Bayala-</w:t>
      </w:r>
      <w:proofErr w:type="spellStart"/>
      <w:r>
        <w:t>Yaï</w:t>
      </w:r>
      <w:proofErr w:type="spellEnd"/>
      <w:r>
        <w:t xml:space="preserve">, L. K. A., </w:t>
      </w:r>
      <w:proofErr w:type="spellStart"/>
      <w:r>
        <w:t>Nikièma</w:t>
      </w:r>
      <w:proofErr w:type="spellEnd"/>
      <w:r>
        <w:t xml:space="preserve">, P. A., Ouédraogo, W. A., Dembélé, I., </w:t>
      </w:r>
      <w:proofErr w:type="spellStart"/>
      <w:r>
        <w:t>Nébié</w:t>
      </w:r>
      <w:proofErr w:type="spellEnd"/>
      <w:r>
        <w:t>, Z., &amp; Simpore, J. (2024). Management of infant flour production in the city of Ouagadougou: A survey study. PAMJ-One Health, 14, 8. https://doi.org/10.11604/pamj-oh.2024.14.8.43373</w:t>
      </w:r>
    </w:p>
    <w:p w14:paraId="7EF04788" w14:textId="77777777" w:rsidR="00DC6805" w:rsidRDefault="00DC6805" w:rsidP="00DC6805">
      <w:r>
        <w:t xml:space="preserve">Brnić, M., Hurrell, R. F., </w:t>
      </w:r>
      <w:proofErr w:type="spellStart"/>
      <w:r>
        <w:t>Songré</w:t>
      </w:r>
      <w:proofErr w:type="spellEnd"/>
      <w:r>
        <w:t xml:space="preserve">-Ouattara, L. T., Diawara, B., </w:t>
      </w:r>
      <w:proofErr w:type="spellStart"/>
      <w:r>
        <w:t>Kalmogho</w:t>
      </w:r>
      <w:proofErr w:type="spellEnd"/>
      <w:r>
        <w:t>-Zan, A., Tapsoba, C., Zeder, C., &amp; Wegmüller, R. (2017). Effect of phytase on zinc absorption from a millet-based porridge fed to young Burkinabe children. European Journal of Clinical Nutrition, 71(1), 137–141. https://doi.org/10.1038/ejcn.2016.199</w:t>
      </w:r>
    </w:p>
    <w:p w14:paraId="62F53AD8" w14:textId="77777777" w:rsidR="00DC6805" w:rsidRDefault="00DC6805" w:rsidP="00DC6805">
      <w:proofErr w:type="spellStart"/>
      <w:r>
        <w:t>Cercamondi</w:t>
      </w:r>
      <w:proofErr w:type="spellEnd"/>
      <w:r>
        <w:t xml:space="preserve">, C. I., Egli, I. M., </w:t>
      </w:r>
      <w:proofErr w:type="spellStart"/>
      <w:r>
        <w:t>Mitchikpe</w:t>
      </w:r>
      <w:proofErr w:type="spellEnd"/>
      <w:r>
        <w:t xml:space="preserve">, E., Tossou, F., Hessou, J., Zeder, C., </w:t>
      </w:r>
      <w:proofErr w:type="spellStart"/>
      <w:r>
        <w:t>Hounhouigan</w:t>
      </w:r>
      <w:proofErr w:type="spellEnd"/>
      <w:r>
        <w:t xml:space="preserve">, J. D., &amp; Hurrell, R. F. (2013). Iron bioavailability from a lipid-based complementary food </w:t>
      </w:r>
      <w:proofErr w:type="spellStart"/>
      <w:r>
        <w:t>fortificant</w:t>
      </w:r>
      <w:proofErr w:type="spellEnd"/>
      <w:r>
        <w:t xml:space="preserve"> mixed with millet porridge can be optimized by adding phytase and ascorbic acid but not by using a mixture of ferrous sulfate and sodium iron EDTA. The Journal of Nutrition, 143(8), 1233–1239. https://doi.org/10.3945/jn.113.175075</w:t>
      </w:r>
    </w:p>
    <w:p w14:paraId="74DF55D8" w14:textId="77777777" w:rsidR="00DC6805" w:rsidRDefault="00DC6805" w:rsidP="00DC6805">
      <w:r>
        <w:t>Cliffer, I. R., Masters, W. A., &amp; Rogers, B. L. (2021). Fortified blended flour supplements displace plain cereals in feeding of young children. Maternal &amp; Child Nutrition, 17(2), e13089. https://doi.org/10.1111/mcn.13089</w:t>
      </w:r>
    </w:p>
    <w:p w14:paraId="36ED3675" w14:textId="77777777" w:rsidR="00DC6805" w:rsidRDefault="00DC6805" w:rsidP="00DC6805">
      <w:r>
        <w:t>Codex Alimentarius Commission. (2013). Guidelines on formulated complementary foods for older infants and young children (CAC/GL 8-1991; revised 2013). Food and Agriculture Organization of the United Nations &amp; World Health Organization. https://www.fao.org/input/download/standards/298/CXG_008e.pdf</w:t>
      </w:r>
    </w:p>
    <w:p w14:paraId="454EEB10" w14:textId="77777777" w:rsidR="00DC6805" w:rsidRDefault="00DC6805" w:rsidP="00DC6805">
      <w:r>
        <w:t>Dewey, K. G., &amp; Adu-</w:t>
      </w:r>
      <w:proofErr w:type="spellStart"/>
      <w:r>
        <w:t>Afarwuah</w:t>
      </w:r>
      <w:proofErr w:type="spellEnd"/>
      <w:r>
        <w:t>, S. (2008). Systematic review of the efficacy and effectiveness of complementary feeding interventions in developing countries. Maternal &amp; Child Nutrition, 4(Suppl. 1), 24–85. https://doi.org/10.1111/j.1740-8709.2007.00124.x</w:t>
      </w:r>
    </w:p>
    <w:p w14:paraId="7F9CA65E" w14:textId="77777777" w:rsidR="00DC6805" w:rsidRDefault="00DC6805" w:rsidP="00DC6805">
      <w:proofErr w:type="spellStart"/>
      <w:r>
        <w:t>Dimaria</w:t>
      </w:r>
      <w:proofErr w:type="spellEnd"/>
      <w:r>
        <w:t>, S. A., Schwartz, H., Icard-</w:t>
      </w:r>
      <w:proofErr w:type="spellStart"/>
      <w:r>
        <w:t>Vernière</w:t>
      </w:r>
      <w:proofErr w:type="spellEnd"/>
      <w:r>
        <w:t xml:space="preserve">, C., </w:t>
      </w:r>
      <w:proofErr w:type="spellStart"/>
      <w:r>
        <w:t>Picq</w:t>
      </w:r>
      <w:proofErr w:type="spellEnd"/>
      <w:r>
        <w:t>, C., Zagre, N. M., &amp; Mouquet-Rivier, C. (2018). Adequacy of some locally produced complementary foods marketed in Benin, Burkina Faso, Ghana, and Senegal. Nutrients, 10(6), 785. https://doi.org/10.3390/nu10060785</w:t>
      </w:r>
    </w:p>
    <w:p w14:paraId="37A75105" w14:textId="77777777" w:rsidR="00DC6805" w:rsidRDefault="00DC6805" w:rsidP="00DC6805">
      <w:r>
        <w:t xml:space="preserve">Elliott, H., Woods, P., Green, B. D., &amp; Nugent, A. P. (2022). Can sprouting reduce phytate and improve the nutritional composition and nutrient </w:t>
      </w:r>
      <w:proofErr w:type="spellStart"/>
      <w:r>
        <w:t>bioaccessibility</w:t>
      </w:r>
      <w:proofErr w:type="spellEnd"/>
      <w:r>
        <w:t xml:space="preserve"> in cereals and legumes? Nutrition Bulletin, 47(2), 138–156. https://doi.org/10.1111/nbu.12549</w:t>
      </w:r>
    </w:p>
    <w:p w14:paraId="28DC03CF" w14:textId="77777777" w:rsidR="00DC6805" w:rsidRDefault="00DC6805" w:rsidP="00DC6805">
      <w:r>
        <w:t xml:space="preserve">Elysée, S. Y., Aminata, C., &amp; </w:t>
      </w:r>
      <w:proofErr w:type="spellStart"/>
      <w:r>
        <w:t>Donnen</w:t>
      </w:r>
      <w:proofErr w:type="spellEnd"/>
      <w:r>
        <w:t>, P. (2018). Can blended flour recipes made of locally available and cheap ingredients be used for adequate complementary feeding of infants in rural settings in Burkina Faso? African Journal of Food, Agriculture, Nutrition and Development, 18(1), 13171–13185. https://doi.org/10.18697/ajfand.81.16625</w:t>
      </w:r>
    </w:p>
    <w:p w14:paraId="1B8AF19F" w14:textId="77777777" w:rsidR="00DC6805" w:rsidRDefault="00DC6805" w:rsidP="00DC6805">
      <w:r>
        <w:t xml:space="preserve">Falade, T. D. O., Neya, A., Bonkoungou, S., </w:t>
      </w:r>
      <w:proofErr w:type="spellStart"/>
      <w:r>
        <w:t>Dagno</w:t>
      </w:r>
      <w:proofErr w:type="spellEnd"/>
      <w:r>
        <w:t xml:space="preserve">, K., Basso, A., Senghor, A. L., </w:t>
      </w:r>
      <w:proofErr w:type="spellStart"/>
      <w:r>
        <w:t>Atehnkeng</w:t>
      </w:r>
      <w:proofErr w:type="spellEnd"/>
      <w:r>
        <w:t>, J., Ortega-Beltran, A., &amp; Bandyopadhyay, R. (2022). Aflatoxin contamination of maize, groundnut, and sorghum grown in Burkina Faso, Mali, and Niger and aflatoxin exposure assessment. Toxins, 14(10), 700. https://doi.org/10.3390/toxins14100700</w:t>
      </w:r>
    </w:p>
    <w:p w14:paraId="3C6416EF" w14:textId="77777777" w:rsidR="00DC6805" w:rsidRDefault="00DC6805" w:rsidP="00DC6805">
      <w:r>
        <w:lastRenderedPageBreak/>
        <w:t>Gibson, R. S., Bailey, K. B., Gibbs, M., &amp; Ferguson, E. L. (2010). A review of phytate, iron, zinc, and calcium concentrations in plant-based complementary foods used in low-income countries and implications for bioavailability. Food and Nutrition Bulletin, 31(2 Suppl.), S134–S146. https://doi.org/10.1177/15648265100312S206</w:t>
      </w:r>
    </w:p>
    <w:p w14:paraId="66D0B52D" w14:textId="77777777" w:rsidR="00DC6805" w:rsidRDefault="00DC6805" w:rsidP="00DC6805">
      <w:r>
        <w:t>Gibson, R. S., Perlas, L., &amp; Hotz, C. (2006). Improving the bioavailability of nutrients in plant foods at the household level. Proceedings of the Nutrition Society, 65(2), 160–168. https://doi.org/10.1079/PNS2006489</w:t>
      </w:r>
    </w:p>
    <w:p w14:paraId="6FC35DD4" w14:textId="77777777" w:rsidR="00DC6805" w:rsidRDefault="00DC6805" w:rsidP="00DC6805">
      <w:r>
        <w:t>Hama-Ba, F., Mouquet-Rivier, C., Diawara, B., Weltzien, E., &amp; Icard-</w:t>
      </w:r>
      <w:proofErr w:type="spellStart"/>
      <w:r>
        <w:t>Vernière</w:t>
      </w:r>
      <w:proofErr w:type="spellEnd"/>
      <w:r>
        <w:t>, C. (2019). Traditional African dishes prepared from local biofortified varieties of pearl millet: Acceptability and potential contribution to iron and zinc intakes of Burkinabe young children. Frontiers in Nutrition, 6, 115. https://doi.org/10.3389/fnut.2019.00115</w:t>
      </w:r>
    </w:p>
    <w:p w14:paraId="34F39018" w14:textId="77777777" w:rsidR="00DC6805" w:rsidRDefault="00DC6805" w:rsidP="00DC6805">
      <w:r>
        <w:t>Hurrell, R. F. (2004). Phytic acid degradation as a means of improving iron absorption. International Journal for Vitamin and Nutrition Research, 74(6), 445–452. https://doi.org/10.1024/0300-9831.74.6.445</w:t>
      </w:r>
    </w:p>
    <w:p w14:paraId="7EEBA8C7" w14:textId="77777777" w:rsidR="00DC6805" w:rsidRDefault="00DC6805" w:rsidP="00DC6805">
      <w:r>
        <w:t>Khosravi, A., Bassetti, E., Yuen-Esco, K., Sy, N. Y., Kane, R., Sweet, L., Zehner, E., &amp; Pries, A. M. (2023). Nutrient profiles of commercially produced complementary foods available in Burkina Faso, Cameroon, Ghana, Nigeria and Senegal. Nutrients, 15(10), 2279. https://doi.org/10.3390/nu15102279</w:t>
      </w:r>
    </w:p>
    <w:p w14:paraId="31B6E61C" w14:textId="77777777" w:rsidR="00DC6805" w:rsidRDefault="00DC6805" w:rsidP="00DC6805">
      <w:r>
        <w:t xml:space="preserve">Lind, T., </w:t>
      </w:r>
      <w:proofErr w:type="spellStart"/>
      <w:r>
        <w:t>Lönnerdal</w:t>
      </w:r>
      <w:proofErr w:type="spellEnd"/>
      <w:r>
        <w:t xml:space="preserve">, B., Persson, L.-Å., Stenlund, H., </w:t>
      </w:r>
      <w:proofErr w:type="spellStart"/>
      <w:r>
        <w:t>Tennefors</w:t>
      </w:r>
      <w:proofErr w:type="spellEnd"/>
      <w:r>
        <w:t xml:space="preserve">, C., &amp; </w:t>
      </w:r>
      <w:proofErr w:type="spellStart"/>
      <w:r>
        <w:t>Hernell</w:t>
      </w:r>
      <w:proofErr w:type="spellEnd"/>
      <w:r>
        <w:t xml:space="preserve">, O. (2003). Effects of weaning cereals with different phytate contents on hemoglobin, iron stores, and serum zinc: A randomized intervention in infants from 6 to 12 </w:t>
      </w:r>
      <w:proofErr w:type="spellStart"/>
      <w:r>
        <w:t>mo</w:t>
      </w:r>
      <w:proofErr w:type="spellEnd"/>
      <w:r>
        <w:t xml:space="preserve"> of age. The American Journal of Clinical Nutrition, 78(1), 168–175. https://doi.org/10.1093/ajcn/78.1.168</w:t>
      </w:r>
    </w:p>
    <w:p w14:paraId="50A697EA" w14:textId="77777777" w:rsidR="00DC6805" w:rsidRDefault="00DC6805" w:rsidP="00DC6805">
      <w:r>
        <w:t>Luo, Z., Zhu, Y., Xiang, H., Wang, Z., Jiang, Z., Zhao, X., Sun, X., &amp; Guo, Z. (2025). Advancements in inactivation of soybean trypsin inhibitors. Foods, 14(6), 975. https://doi.org/10.3390/foods14060975</w:t>
      </w:r>
    </w:p>
    <w:p w14:paraId="221EBA63" w14:textId="77777777" w:rsidR="00DC6805" w:rsidRDefault="00DC6805" w:rsidP="00DC6805">
      <w:r>
        <w:t xml:space="preserve">Meijer, N., </w:t>
      </w:r>
      <w:proofErr w:type="spellStart"/>
      <w:r>
        <w:t>Kleter</w:t>
      </w:r>
      <w:proofErr w:type="spellEnd"/>
      <w:r>
        <w:t xml:space="preserve">, G., de Nijs, M., Rau, M.-L., </w:t>
      </w:r>
      <w:proofErr w:type="spellStart"/>
      <w:r>
        <w:t>Derkx</w:t>
      </w:r>
      <w:proofErr w:type="spellEnd"/>
      <w:r>
        <w:t>, R., &amp; van der Fels-Klerx, H. J. (2021). The aflatoxin situation in Africa: Systematic literature review. Comprehensive Reviews in Food Science and Food Safety, 20(3), 2286–2304. https://doi.org/10.1111/1541-4337.12731</w:t>
      </w:r>
    </w:p>
    <w:p w14:paraId="0FE11B4B" w14:textId="77777777" w:rsidR="00DC6805" w:rsidRDefault="00DC6805" w:rsidP="00DC6805">
      <w:r>
        <w:t xml:space="preserve">Michaelsen, K. F., Hoppe, C., </w:t>
      </w:r>
      <w:proofErr w:type="spellStart"/>
      <w:r>
        <w:t>Roos</w:t>
      </w:r>
      <w:proofErr w:type="spellEnd"/>
      <w:r>
        <w:t xml:space="preserve">, N., </w:t>
      </w:r>
      <w:proofErr w:type="spellStart"/>
      <w:r>
        <w:t>Kaestel</w:t>
      </w:r>
      <w:proofErr w:type="spellEnd"/>
      <w:r>
        <w:t>, P., Stougaard, M., Lauritzen, L., Mølgaard, C., Girma, T., &amp; Friis, H. (2009). Choice of foods and ingredients for moderately malnourished children 6 months to 5 years of age. Food and Nutrition Bulletin, 30(3 Suppl.), S343–S404. https://doi.org/10.1177/15648265090303S303</w:t>
      </w:r>
    </w:p>
    <w:p w14:paraId="49E0CFFB" w14:textId="77777777" w:rsidR="00DC6805" w:rsidRDefault="00DC6805" w:rsidP="00DC6805">
      <w:r>
        <w:t>Mouquet-Rivier, C., Icard-</w:t>
      </w:r>
      <w:proofErr w:type="spellStart"/>
      <w:r>
        <w:t>Vernière</w:t>
      </w:r>
      <w:proofErr w:type="spellEnd"/>
      <w:r>
        <w:t xml:space="preserve">, C., Guyot, J.-P., Tou, E. H., Rochette, I., &amp; </w:t>
      </w:r>
      <w:proofErr w:type="spellStart"/>
      <w:r>
        <w:t>Trèche</w:t>
      </w:r>
      <w:proofErr w:type="spellEnd"/>
      <w:r>
        <w:t>, S. (2008). Consumption pattern, biochemical composition and nutritional value of fermented pearl millet gruels in Burkina Faso. International Journal of Food Sciences and Nutrition, 59(7–8), 716–729. https://doi.org/10.1080/09637480802206389</w:t>
      </w:r>
    </w:p>
    <w:p w14:paraId="5097B1D1" w14:textId="77777777" w:rsidR="00DC6805" w:rsidRDefault="00DC6805" w:rsidP="00DC6805">
      <w:r>
        <w:t xml:space="preserve">Mouquet-Rivier, C., Traoré, T., Soma, A., Kaboré, C., &amp; </w:t>
      </w:r>
      <w:proofErr w:type="spellStart"/>
      <w:r>
        <w:t>Trèche</w:t>
      </w:r>
      <w:proofErr w:type="spellEnd"/>
      <w:r>
        <w:t>, S. (2016). Both encouraging feeding style and high energy density may increase energy intakes from fermented millet gruels eaten by infants and toddlers in Ouagadougou. Appetite, 99, 245–253. https://doi.org/10.1016/j.appet.2016.01.024</w:t>
      </w:r>
    </w:p>
    <w:p w14:paraId="668D6C66" w14:textId="77777777" w:rsidR="00DC6805" w:rsidRDefault="00DC6805" w:rsidP="00DC6805">
      <w:proofErr w:type="spellStart"/>
      <w:r>
        <w:t>Nikièma</w:t>
      </w:r>
      <w:proofErr w:type="spellEnd"/>
      <w:r>
        <w:t xml:space="preserve">, V., Fogny, N. F., </w:t>
      </w:r>
      <w:proofErr w:type="spellStart"/>
      <w:r>
        <w:t>Salpéteur</w:t>
      </w:r>
      <w:proofErr w:type="spellEnd"/>
      <w:r>
        <w:t>, C., Lachat, C., &amp; Kangas, S. T. (2021). Complementary feeding practices and associated factors of dietary diversity among uncomplicated severe acute malnourished children aged 6–23 months in Burkina Faso. Maternal &amp; Child Nutrition, 17(4), e13220. https://doi.org/10.1111/mcn.13220</w:t>
      </w:r>
    </w:p>
    <w:p w14:paraId="5A847E36" w14:textId="77777777" w:rsidR="00DC6805" w:rsidRDefault="00DC6805" w:rsidP="00DC6805">
      <w:r>
        <w:t xml:space="preserve">Nkhata, S. G., </w:t>
      </w:r>
      <w:proofErr w:type="spellStart"/>
      <w:r>
        <w:t>Ayua</w:t>
      </w:r>
      <w:proofErr w:type="spellEnd"/>
      <w:r>
        <w:t xml:space="preserve">, E., Kamau, E. H., &amp; </w:t>
      </w:r>
      <w:proofErr w:type="spellStart"/>
      <w:r>
        <w:t>Shingiro</w:t>
      </w:r>
      <w:proofErr w:type="spellEnd"/>
      <w:r>
        <w:t>, J.-B. (2018). Fermentation and germination improve nutritional value of cereals and legumes through activation of endogenous enzymes. Food Science &amp; Nutrition, 6(8), 2446–2458. https://doi.org/10.1002/fsn3.846</w:t>
      </w:r>
    </w:p>
    <w:p w14:paraId="27EAD2CF" w14:textId="77777777" w:rsidR="00DC6805" w:rsidRDefault="00DC6805" w:rsidP="00DC6805">
      <w:proofErr w:type="spellStart"/>
      <w:r>
        <w:lastRenderedPageBreak/>
        <w:t>Ogunniran</w:t>
      </w:r>
      <w:proofErr w:type="spellEnd"/>
      <w:r>
        <w:t xml:space="preserve">, O. P., Ayeni, K. I., </w:t>
      </w:r>
      <w:proofErr w:type="spellStart"/>
      <w:r>
        <w:t>Shokunbi</w:t>
      </w:r>
      <w:proofErr w:type="spellEnd"/>
      <w:r>
        <w:t>, O. S., Krska, R., &amp; Ezekiel, C. N. (2024). A 10-year (2014–2023) review of complementary food development in sub-Saharan Africa and the impact on child health. Comprehensive Reviews in Food Science and Food Safety, 23(6), e70022. https://doi.org/10.1111/1541-4337.70022</w:t>
      </w:r>
    </w:p>
    <w:p w14:paraId="76A605F8" w14:textId="77777777" w:rsidR="00DC6805" w:rsidRDefault="00DC6805" w:rsidP="00DC6805">
      <w:r>
        <w:t xml:space="preserve">Ouedraogo, D., Traore, K., Oumar, D. A., </w:t>
      </w:r>
      <w:proofErr w:type="spellStart"/>
      <w:r>
        <w:t>Tanargda</w:t>
      </w:r>
      <w:proofErr w:type="spellEnd"/>
      <w:r>
        <w:t xml:space="preserve">, B., Kagambega, B., Agbokou, K. A. W., Guira, F., Parkouda, C., &amp; Savadogo, A. (2025). Technologie de production et conditions de </w:t>
      </w:r>
      <w:proofErr w:type="spellStart"/>
      <w:r>
        <w:t>commercialisation</w:t>
      </w:r>
      <w:proofErr w:type="spellEnd"/>
      <w:r>
        <w:t xml:space="preserve"> des </w:t>
      </w:r>
      <w:proofErr w:type="spellStart"/>
      <w:r>
        <w:t>farines</w:t>
      </w:r>
      <w:proofErr w:type="spellEnd"/>
      <w:r>
        <w:t xml:space="preserve"> à base de </w:t>
      </w:r>
      <w:proofErr w:type="spellStart"/>
      <w:r>
        <w:t>céréales</w:t>
      </w:r>
      <w:proofErr w:type="spellEnd"/>
      <w:r>
        <w:t xml:space="preserve"> locales au Burkina-Faso. International Journal of Biological and Chemical Sciences, 19(4), 1631–1648. https://doi.org/10.4314/ijbcs.v19i4.26</w:t>
      </w:r>
    </w:p>
    <w:p w14:paraId="5A3FF2D4" w14:textId="77777777" w:rsidR="00DC6805" w:rsidRDefault="00DC6805" w:rsidP="00DC6805">
      <w:proofErr w:type="spellStart"/>
      <w:r>
        <w:t>Ouèdraogo</w:t>
      </w:r>
      <w:proofErr w:type="spellEnd"/>
      <w:r>
        <w:t xml:space="preserve">, H. Z., Traoré, T., Zéba, A., </w:t>
      </w:r>
      <w:proofErr w:type="spellStart"/>
      <w:r>
        <w:t>Dramaix</w:t>
      </w:r>
      <w:proofErr w:type="spellEnd"/>
      <w:r>
        <w:t xml:space="preserve">-Wilmet, M., </w:t>
      </w:r>
      <w:proofErr w:type="spellStart"/>
      <w:r>
        <w:t>Hennart</w:t>
      </w:r>
      <w:proofErr w:type="spellEnd"/>
      <w:r>
        <w:t xml:space="preserve">, P., &amp; </w:t>
      </w:r>
      <w:proofErr w:type="spellStart"/>
      <w:r>
        <w:t>Donnen</w:t>
      </w:r>
      <w:proofErr w:type="spellEnd"/>
      <w:r>
        <w:t>, P. (2009). A local-ingredient-based, processed flour to improve the energy, iron and zinc intakes of young children: A community-based intervention. International Journal of Food Sciences and Nutrition, 60(Suppl. 4), 87–98. https://doi.org/10.1080/09637480802502548</w:t>
      </w:r>
    </w:p>
    <w:p w14:paraId="6253930B" w14:textId="77777777" w:rsidR="00DC6805" w:rsidRDefault="00DC6805" w:rsidP="00DC6805">
      <w:r>
        <w:t xml:space="preserve">Ouédraogo, H. Z., Traoré, T., </w:t>
      </w:r>
      <w:proofErr w:type="spellStart"/>
      <w:r>
        <w:t>Zèba</w:t>
      </w:r>
      <w:proofErr w:type="spellEnd"/>
      <w:r>
        <w:t xml:space="preserve">, A. N., </w:t>
      </w:r>
      <w:proofErr w:type="spellStart"/>
      <w:r>
        <w:t>Dramaix</w:t>
      </w:r>
      <w:proofErr w:type="spellEnd"/>
      <w:r>
        <w:t xml:space="preserve">-Wilmet, M., </w:t>
      </w:r>
      <w:proofErr w:type="spellStart"/>
      <w:r>
        <w:t>Hennart</w:t>
      </w:r>
      <w:proofErr w:type="spellEnd"/>
      <w:r>
        <w:t xml:space="preserve">, P., &amp; </w:t>
      </w:r>
      <w:proofErr w:type="spellStart"/>
      <w:r>
        <w:t>Donnen</w:t>
      </w:r>
      <w:proofErr w:type="spellEnd"/>
      <w:r>
        <w:t>, P. (2010). Effect of an improved local ingredient-based complementary food fortified or not with iron and selected multiple micronutrients on Hb concentration. Public Health Nutrition, 13(11), 1923–1930. https://doi.org/10.1017/S1368980010000911</w:t>
      </w:r>
    </w:p>
    <w:p w14:paraId="3B3CF9A5" w14:textId="77777777" w:rsidR="00DC6805" w:rsidRDefault="00DC6805" w:rsidP="00DC6805">
      <w:r>
        <w:t xml:space="preserve">Ouédraogo, H. Z., Traoré, T., </w:t>
      </w:r>
      <w:proofErr w:type="spellStart"/>
      <w:r>
        <w:t>Zèba</w:t>
      </w:r>
      <w:proofErr w:type="spellEnd"/>
      <w:r>
        <w:t xml:space="preserve">, A., Tiemtoré, S., </w:t>
      </w:r>
      <w:proofErr w:type="spellStart"/>
      <w:r>
        <w:t>Dramaix</w:t>
      </w:r>
      <w:proofErr w:type="spellEnd"/>
      <w:r>
        <w:t xml:space="preserve">-Wilmet, M., </w:t>
      </w:r>
      <w:proofErr w:type="spellStart"/>
      <w:r>
        <w:t>Hennart</w:t>
      </w:r>
      <w:proofErr w:type="spellEnd"/>
      <w:r>
        <w:t xml:space="preserve">, P., &amp; </w:t>
      </w:r>
      <w:proofErr w:type="spellStart"/>
      <w:r>
        <w:t>Donnen</w:t>
      </w:r>
      <w:proofErr w:type="spellEnd"/>
      <w:r>
        <w:t>, P. (2009). Development of an improved local-ingredient-based complementary food and technology transfer to rural housewives. Food and Nutrition Bulletin, 30(2), 153–160. https://doi.org/10.1177/156482650903000207</w:t>
      </w:r>
    </w:p>
    <w:p w14:paraId="2D41F0F4" w14:textId="77777777" w:rsidR="00DC6805" w:rsidRDefault="00DC6805" w:rsidP="00DC6805">
      <w:proofErr w:type="spellStart"/>
      <w:r>
        <w:t>Sarrassat</w:t>
      </w:r>
      <w:proofErr w:type="spellEnd"/>
      <w:r>
        <w:t xml:space="preserve">, S., Ganaba, R., Some, H., Cresswell, J. A., Diallo, A. H., Cousens, S., &amp; Filippi, V. (2019). Suboptimal infant and young child feeding practices in rural Boucle du </w:t>
      </w:r>
      <w:proofErr w:type="spellStart"/>
      <w:r>
        <w:t>Mouhoun</w:t>
      </w:r>
      <w:proofErr w:type="spellEnd"/>
      <w:r>
        <w:t>, Burkina Faso: Findings from a cross-sectional population-based survey. PLOS ONE, 14(11), e0224769. https://doi.org/10.1371/journal.pone.0224769</w:t>
      </w:r>
    </w:p>
    <w:p w14:paraId="55C59B74" w14:textId="77777777" w:rsidR="00DC6805" w:rsidRDefault="00DC6805" w:rsidP="00DC6805">
      <w:r>
        <w:t xml:space="preserve">Sawadogo, S. P., Martin-Prével, Y., Mouquet-Rivier, C., Bambara, A., Traoré, S. A., </w:t>
      </w:r>
      <w:proofErr w:type="spellStart"/>
      <w:r>
        <w:t>Trèche</w:t>
      </w:r>
      <w:proofErr w:type="spellEnd"/>
      <w:r>
        <w:t xml:space="preserve">, S., &amp; </w:t>
      </w:r>
      <w:proofErr w:type="spellStart"/>
      <w:r>
        <w:t>Delpeuch</w:t>
      </w:r>
      <w:proofErr w:type="spellEnd"/>
      <w:r>
        <w:t>, F. (2010). Late introduction and poor diversity were the main weaknesses of complementary foods in a cohort study in rural Burkina Faso. Nutrition, 26(7–8), 746–752. https://doi.org/10.1016/j.nut.2010.02.010</w:t>
      </w:r>
    </w:p>
    <w:p w14:paraId="18E990AD" w14:textId="77777777" w:rsidR="00DC6805" w:rsidRDefault="00DC6805" w:rsidP="00DC6805">
      <w:proofErr w:type="spellStart"/>
      <w:r>
        <w:t>Songré</w:t>
      </w:r>
      <w:proofErr w:type="spellEnd"/>
      <w:r>
        <w:t xml:space="preserve">-Ouattara, L. T., Mouquet-Rivier, C., </w:t>
      </w:r>
      <w:proofErr w:type="spellStart"/>
      <w:r>
        <w:t>Humblot</w:t>
      </w:r>
      <w:proofErr w:type="spellEnd"/>
      <w:r>
        <w:t>, C., Rochette, I., Diawara, B., &amp; Guyot, J.-P. (2010). Ability of selected lactic acid bacteria to ferment a pearl millet-soybean slurry to produce gruels for complementary foods for young children. Journal of Food Science, 75(5), M261–M269. https://doi.org/10.1111/j.1750-3841.2010.01640.x</w:t>
      </w:r>
    </w:p>
    <w:p w14:paraId="53600707" w14:textId="77777777" w:rsidR="00DC6805" w:rsidRDefault="00DC6805" w:rsidP="00DC6805">
      <w:proofErr w:type="spellStart"/>
      <w:r>
        <w:t>Songré</w:t>
      </w:r>
      <w:proofErr w:type="spellEnd"/>
      <w:r>
        <w:t>-Ouattara, L. T., Mouquet-Rivier, C., Icard-</w:t>
      </w:r>
      <w:proofErr w:type="spellStart"/>
      <w:r>
        <w:t>Vernière</w:t>
      </w:r>
      <w:proofErr w:type="spellEnd"/>
      <w:r>
        <w:t xml:space="preserve">, C., </w:t>
      </w:r>
      <w:proofErr w:type="spellStart"/>
      <w:r>
        <w:t>Humblot</w:t>
      </w:r>
      <w:proofErr w:type="spellEnd"/>
      <w:r>
        <w:t>, C., Diawara, B., &amp; Guyot, J.-P. (2008). Enzyme activities of lactic acid bacteria from a pearl millet fermented gruel (ben-</w:t>
      </w:r>
      <w:proofErr w:type="spellStart"/>
      <w:r>
        <w:t>saalga</w:t>
      </w:r>
      <w:proofErr w:type="spellEnd"/>
      <w:r>
        <w:t>) of functional interest in nutrition. International Journal of Food Microbiology, 128(2), 395–400. https://doi.org/10.1016/j.ijfoodmicro.2008.09.004</w:t>
      </w:r>
    </w:p>
    <w:p w14:paraId="25FA6AA4" w14:textId="77777777" w:rsidR="00DC6805" w:rsidRDefault="00DC6805" w:rsidP="00DC6805">
      <w:proofErr w:type="spellStart"/>
      <w:r>
        <w:t>Songré</w:t>
      </w:r>
      <w:proofErr w:type="spellEnd"/>
      <w:r>
        <w:t>-Ouattara, L. T., Mouquet-Rivier, C., Icard-</w:t>
      </w:r>
      <w:proofErr w:type="spellStart"/>
      <w:r>
        <w:t>Vernière</w:t>
      </w:r>
      <w:proofErr w:type="spellEnd"/>
      <w:r>
        <w:t>, C., Rochette, I., Diawara, B., &amp; Guyot, J.-P. (2009). Potential of amylolytic lactic acid bacteria to replace the use of malt for partial starch hydrolysis to produce African fermented pearl millet gruel fortified with groundnut. International Journal of Food Microbiology, 130(3), 258–264. https://doi.org/10.1016/j.ijfoodmicro.2009.02.002</w:t>
      </w:r>
    </w:p>
    <w:p w14:paraId="12D9D9EA" w14:textId="77777777" w:rsidR="00DC6805" w:rsidRDefault="00DC6805" w:rsidP="00DC6805">
      <w:r>
        <w:t xml:space="preserve">Stephenson, K. B., Agapova, S. E., </w:t>
      </w:r>
      <w:proofErr w:type="spellStart"/>
      <w:r>
        <w:t>Divala</w:t>
      </w:r>
      <w:proofErr w:type="spellEnd"/>
      <w:r>
        <w:t xml:space="preserve">, O., </w:t>
      </w:r>
      <w:proofErr w:type="spellStart"/>
      <w:r>
        <w:t>Kaimila</w:t>
      </w:r>
      <w:proofErr w:type="spellEnd"/>
      <w:r>
        <w:t xml:space="preserve">, Y., Maleta, K. M., </w:t>
      </w:r>
      <w:proofErr w:type="spellStart"/>
      <w:r>
        <w:t>Thakwalakwa</w:t>
      </w:r>
      <w:proofErr w:type="spellEnd"/>
      <w:r>
        <w:t xml:space="preserve">, C., </w:t>
      </w:r>
      <w:proofErr w:type="spellStart"/>
      <w:r>
        <w:t>Ordiz</w:t>
      </w:r>
      <w:proofErr w:type="spellEnd"/>
      <w:r>
        <w:t>, M. I., Trehan, I., &amp; Manary, M. J. (2017). Complementary feeding with cowpea reduces growth faltering in rural Malawian infants: A blind, randomized controlled clinical trial. The American Journal of Clinical Nutrition, 106(6), 1500–1507. https://doi.org/10.3945/ajcn.117.160986</w:t>
      </w:r>
    </w:p>
    <w:p w14:paraId="4A89B2A9" w14:textId="77777777" w:rsidR="00DC6805" w:rsidRDefault="00DC6805" w:rsidP="00DC6805">
      <w:r>
        <w:lastRenderedPageBreak/>
        <w:t xml:space="preserve">Tan, X. L., Azam-Ali, S., Goh, E. V., Mustafa, M., Chai, H. H., Ho, W. K., Mayes, S., </w:t>
      </w:r>
      <w:proofErr w:type="spellStart"/>
      <w:r>
        <w:t>Mabhaudhi</w:t>
      </w:r>
      <w:proofErr w:type="spellEnd"/>
      <w:r>
        <w:t xml:space="preserve">, T., Azam-Ali, S., &amp; </w:t>
      </w:r>
      <w:proofErr w:type="spellStart"/>
      <w:r>
        <w:t>Massawe</w:t>
      </w:r>
      <w:proofErr w:type="spellEnd"/>
      <w:r>
        <w:t>, F. (2020). Bambara groundnut: An underutilized leguminous crop for global food security and nutrition. Frontiers in Nutrition, 7, 601496. https://doi.org/10.3389/fnut.2020.601496</w:t>
      </w:r>
    </w:p>
    <w:p w14:paraId="1F97D044" w14:textId="77777777" w:rsidR="00DC6805" w:rsidRDefault="00DC6805" w:rsidP="00DC6805">
      <w:proofErr w:type="spellStart"/>
      <w:r>
        <w:t>Termote</w:t>
      </w:r>
      <w:proofErr w:type="spellEnd"/>
      <w:r>
        <w:t xml:space="preserve">, C., Odongo, N. O., Dreyer, B. S., Guissou, B., Parkouda, C., &amp; </w:t>
      </w:r>
      <w:proofErr w:type="spellStart"/>
      <w:r>
        <w:t>Vinceti</w:t>
      </w:r>
      <w:proofErr w:type="spellEnd"/>
      <w:r>
        <w:t xml:space="preserve">, B. (2022). Nutrient composition of Parkia </w:t>
      </w:r>
      <w:proofErr w:type="spellStart"/>
      <w:r>
        <w:t>biglobosa</w:t>
      </w:r>
      <w:proofErr w:type="spellEnd"/>
      <w:r>
        <w:t xml:space="preserve"> pulp, raw and fermented seeds: A systematic review. Critical Reviews in Food Science and Nutrition, 62(1), 119–144. https://doi.org/10.1080/10408398.2020.1813072</w:t>
      </w:r>
    </w:p>
    <w:p w14:paraId="1E1D9680" w14:textId="77777777" w:rsidR="00DC6805" w:rsidRDefault="00DC6805" w:rsidP="00DC6805">
      <w:r>
        <w:t xml:space="preserve">Tou, E. H., Guyot, J.-P., Mouquet-Rivier, C., Rochette, I., </w:t>
      </w:r>
      <w:proofErr w:type="spellStart"/>
      <w:r>
        <w:t>Counil</w:t>
      </w:r>
      <w:proofErr w:type="spellEnd"/>
      <w:r>
        <w:t xml:space="preserve">, E., Traoré, A. S., &amp; </w:t>
      </w:r>
      <w:proofErr w:type="spellStart"/>
      <w:r>
        <w:t>Trèche</w:t>
      </w:r>
      <w:proofErr w:type="spellEnd"/>
      <w:r>
        <w:t>, S. (2006). Study through surveys and fermentation kinetics of the traditional processing of pearl millet (Pennisetum glaucum) into ben-</w:t>
      </w:r>
      <w:proofErr w:type="spellStart"/>
      <w:r>
        <w:t>saalga</w:t>
      </w:r>
      <w:proofErr w:type="spellEnd"/>
      <w:r>
        <w:t>, a fermented gruel from Burkina Faso. International Journal of Food Microbiology, 106(1), 52–60. https://doi.org/10.1016/j.ijfoodmicro.2005.05.010</w:t>
      </w:r>
    </w:p>
    <w:p w14:paraId="70235F26" w14:textId="77777777" w:rsidR="00DC6805" w:rsidRDefault="00DC6805" w:rsidP="00DC6805">
      <w:r>
        <w:t xml:space="preserve">Waré, L. Y., Durand, N., </w:t>
      </w:r>
      <w:proofErr w:type="spellStart"/>
      <w:r>
        <w:t>Nikièma</w:t>
      </w:r>
      <w:proofErr w:type="spellEnd"/>
      <w:r>
        <w:t>, P. A., Alter, P., Fontana, A., Montet, D., &amp; Barro, N. (2017). Occurrence of mycotoxins in commercial infant formulas locally produced in Ouagadougou (Burkina Faso). Food Control, 73, 518–523. https://doi.org/10.1016/j.foodcont.2016.08.047</w:t>
      </w:r>
    </w:p>
    <w:p w14:paraId="18062CEB" w14:textId="77777777" w:rsidR="00DC6805" w:rsidRDefault="00DC6805" w:rsidP="00DC6805">
      <w:r>
        <w:t xml:space="preserve">Waré, L. Y., </w:t>
      </w:r>
      <w:proofErr w:type="spellStart"/>
      <w:r>
        <w:t>Nikièma</w:t>
      </w:r>
      <w:proofErr w:type="spellEnd"/>
      <w:r>
        <w:t>, A. P., Meile, J. C., Kaboré, S., Fontana, A., Durand, N., Montet, D., &amp; Barro, N. (2018). Microbiological safety of flours used in follow up for infant formulas produced in Ouagadougou, Burkina Faso. AIMS Microbiology, 4(2), 347–361. https://doi.org/10.3934/microbiol.2018.2.347</w:t>
      </w:r>
    </w:p>
    <w:p w14:paraId="3FF5ED71" w14:textId="77777777" w:rsidR="00DC6805" w:rsidRDefault="00DC6805" w:rsidP="00DC6805">
      <w:r>
        <w:t>World Health Organization. (2023). WHO guideline for complementary feeding of infants and young children 6–23 months of age. https://www.who.int/publications/i/item/9789240081864</w:t>
      </w:r>
    </w:p>
    <w:p w14:paraId="15FDB291" w14:textId="58A2D91F" w:rsidR="00DC6805" w:rsidRPr="00DC6805" w:rsidRDefault="00DC6805" w:rsidP="00DC6805">
      <w:r>
        <w:t xml:space="preserve">Zhang, Y. Y., Stockmann, R., Ng, K., &amp; </w:t>
      </w:r>
      <w:proofErr w:type="spellStart"/>
      <w:r>
        <w:t>Ajlouni</w:t>
      </w:r>
      <w:proofErr w:type="spellEnd"/>
      <w:r>
        <w:t>, S. (2022). Revisiting phytate-element interactions: Implications for iron, zinc and calcium bioavailability, with emphasis on legumes. Critical Reviews in Food Science and Nutrition, 62(6), 1696–1712. https://doi.org/10.1080/10408398.2020.1846014</w:t>
      </w:r>
    </w:p>
    <w:sectPr w:rsidR="00DC6805" w:rsidRPr="00DC6805" w:rsidSect="00034616">
      <w:headerReference w:type="even" r:id="rId8"/>
      <w:headerReference w:type="default" r:id="rId9"/>
      <w:footerReference w:type="even" r:id="rId10"/>
      <w:footerReference w:type="default" r:id="rId11"/>
      <w:headerReference w:type="first" r:id="rId12"/>
      <w:footerReference w:type="first" r:id="rId13"/>
      <w:pgSz w:w="12240" w:h="15840"/>
      <w:pgMar w:top="1123"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F0A3" w14:textId="77777777" w:rsidR="00026764" w:rsidRDefault="00026764">
      <w:pPr>
        <w:spacing w:after="0" w:line="240" w:lineRule="auto"/>
      </w:pPr>
      <w:r>
        <w:separator/>
      </w:r>
    </w:p>
  </w:endnote>
  <w:endnote w:type="continuationSeparator" w:id="0">
    <w:p w14:paraId="1C2B0FEC" w14:textId="77777777" w:rsidR="00026764" w:rsidRDefault="0002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0841" w14:textId="77777777" w:rsidR="00274682" w:rsidRDefault="002746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D64E" w14:textId="77777777" w:rsidR="006929DF" w:rsidRDefault="00000000">
    <w:pPr>
      <w:pStyle w:val="Footer"/>
      <w:jc w:val="center"/>
    </w:pPr>
    <w:r>
      <w:rPr>
        <w:sz w:val="18"/>
      </w:rPr>
      <w:fldChar w:fldCharType="begin"/>
    </w:r>
    <w:r>
      <w:rPr>
        <w:sz w:val="18"/>
      </w:rPr>
      <w:instrText xml:space="preserve"> PAGE </w:instrText>
    </w:r>
    <w:r>
      <w:rPr>
        <w:sz w:val="18"/>
      </w:rPr>
      <w:fldChar w:fldCharType="separate"/>
    </w:r>
    <w:r w:rsidR="00DC6805">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D595" w14:textId="77777777" w:rsidR="00274682" w:rsidRDefault="00274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8514" w14:textId="77777777" w:rsidR="00026764" w:rsidRDefault="00026764">
      <w:pPr>
        <w:spacing w:after="0" w:line="240" w:lineRule="auto"/>
      </w:pPr>
      <w:r>
        <w:separator/>
      </w:r>
    </w:p>
  </w:footnote>
  <w:footnote w:type="continuationSeparator" w:id="0">
    <w:p w14:paraId="3DC56D30" w14:textId="77777777" w:rsidR="00026764" w:rsidRDefault="00026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046C" w14:textId="062D6251" w:rsidR="00274682" w:rsidRDefault="00274682">
    <w:pPr>
      <w:pStyle w:val="Header"/>
    </w:pPr>
    <w:r>
      <w:rPr>
        <w:noProof/>
      </w:rPr>
      <w:pict w14:anchorId="7667C6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4657" o:spid="_x0000_s1026" type="#_x0000_t136" style="position:absolute;left:0;text-align:left;margin-left:0;margin-top:0;width:626.65pt;height:69.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3D12" w14:textId="50F2971D" w:rsidR="00274682" w:rsidRDefault="00274682">
    <w:pPr>
      <w:pStyle w:val="Header"/>
    </w:pPr>
    <w:r>
      <w:rPr>
        <w:noProof/>
      </w:rPr>
      <w:pict w14:anchorId="06DFC0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4658" o:spid="_x0000_s1027" type="#_x0000_t136" style="position:absolute;left:0;text-align:left;margin-left:0;margin-top:0;width:626.65pt;height:69.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42D50" w14:textId="3EAB5DCB" w:rsidR="00274682" w:rsidRDefault="00274682">
    <w:pPr>
      <w:pStyle w:val="Header"/>
    </w:pPr>
    <w:r>
      <w:rPr>
        <w:noProof/>
      </w:rPr>
      <w:pict w14:anchorId="69500A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4656" o:spid="_x0000_s1025" type="#_x0000_t136" style="position:absolute;left:0;text-align:left;margin-left:0;margin-top:0;width:626.65pt;height:69.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6831319">
    <w:abstractNumId w:val="8"/>
  </w:num>
  <w:num w:numId="2" w16cid:durableId="793714247">
    <w:abstractNumId w:val="6"/>
  </w:num>
  <w:num w:numId="3" w16cid:durableId="1330595501">
    <w:abstractNumId w:val="5"/>
  </w:num>
  <w:num w:numId="4" w16cid:durableId="45564921">
    <w:abstractNumId w:val="4"/>
  </w:num>
  <w:num w:numId="5" w16cid:durableId="2131629273">
    <w:abstractNumId w:val="7"/>
  </w:num>
  <w:num w:numId="6" w16cid:durableId="1196508146">
    <w:abstractNumId w:val="3"/>
  </w:num>
  <w:num w:numId="7" w16cid:durableId="247542042">
    <w:abstractNumId w:val="2"/>
  </w:num>
  <w:num w:numId="8" w16cid:durableId="270430074">
    <w:abstractNumId w:val="1"/>
  </w:num>
  <w:num w:numId="9" w16cid:durableId="148328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764"/>
    <w:rsid w:val="00034616"/>
    <w:rsid w:val="0006063C"/>
    <w:rsid w:val="0015074B"/>
    <w:rsid w:val="00274682"/>
    <w:rsid w:val="0029639D"/>
    <w:rsid w:val="00326F90"/>
    <w:rsid w:val="00546C49"/>
    <w:rsid w:val="005474CB"/>
    <w:rsid w:val="006929DF"/>
    <w:rsid w:val="00A676F9"/>
    <w:rsid w:val="00AA1D8D"/>
    <w:rsid w:val="00B47730"/>
    <w:rsid w:val="00CB0664"/>
    <w:rsid w:val="00DC6805"/>
    <w:rsid w:val="00DD185C"/>
    <w:rsid w:val="00E34BD4"/>
    <w:rsid w:val="00F750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0AC394"/>
  <w14:defaultImageDpi w14:val="300"/>
  <w15:docId w15:val="{73CBD690-745B-4C73-BE76-7DA9F6CF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3737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17394</Words>
  <Characters>99148</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Seed Resources for Complementary Foods in Burkina Faso</dc:title>
  <dc:subject>Critical narrative review</dc:subject>
  <dc:creator/>
  <cp:keywords/>
  <dc:description/>
  <cp:lastModifiedBy>SDI 1166</cp:lastModifiedBy>
  <cp:revision>5</cp:revision>
  <dcterms:created xsi:type="dcterms:W3CDTF">2013-12-23T23:15:00Z</dcterms:created>
  <dcterms:modified xsi:type="dcterms:W3CDTF">2026-09-05T12:45:00Z</dcterms:modified>
  <cp:category/>
</cp:coreProperties>
</file>