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46FF" w14:textId="77777777" w:rsidR="0081133B" w:rsidRPr="0081133B" w:rsidRDefault="0081133B" w:rsidP="0081133B">
      <w:pPr>
        <w:spacing w:after="0" w:line="240" w:lineRule="auto"/>
        <w:jc w:val="right"/>
        <w:rPr>
          <w:rFonts w:ascii="Arial" w:hAnsi="Arial" w:cs="Arial"/>
          <w:b/>
          <w:bCs/>
          <w:i/>
          <w:iCs/>
          <w:sz w:val="36"/>
          <w:szCs w:val="36"/>
          <w:u w:val="single"/>
          <w:lang w:val="en-US"/>
        </w:rPr>
      </w:pPr>
      <w:r w:rsidRPr="0081133B">
        <w:rPr>
          <w:rFonts w:ascii="Arial" w:hAnsi="Arial" w:cs="Arial"/>
          <w:b/>
          <w:bCs/>
          <w:i/>
          <w:iCs/>
          <w:sz w:val="36"/>
          <w:szCs w:val="36"/>
          <w:u w:val="single"/>
          <w:lang w:val="en-US"/>
        </w:rPr>
        <w:t>Original Research Article</w:t>
      </w:r>
    </w:p>
    <w:p w14:paraId="40A9B124" w14:textId="77777777" w:rsidR="00857268" w:rsidRPr="00734A56" w:rsidRDefault="00857268" w:rsidP="00CE3E2D">
      <w:pPr>
        <w:spacing w:after="0" w:line="240" w:lineRule="auto"/>
        <w:jc w:val="right"/>
        <w:rPr>
          <w:rFonts w:ascii="Arial" w:hAnsi="Arial" w:cs="Arial"/>
          <w:b/>
          <w:sz w:val="36"/>
          <w:szCs w:val="36"/>
          <w:lang w:val="en-US"/>
        </w:rPr>
      </w:pPr>
      <w:r w:rsidRPr="00734A56">
        <w:rPr>
          <w:rFonts w:ascii="Arial" w:hAnsi="Arial" w:cs="Arial"/>
          <w:b/>
          <w:sz w:val="36"/>
          <w:szCs w:val="36"/>
          <w:lang w:val="en-US"/>
        </w:rPr>
        <w:t xml:space="preserve">Effect of </w:t>
      </w:r>
      <w:proofErr w:type="spellStart"/>
      <w:r w:rsidRPr="00734A56">
        <w:rPr>
          <w:rFonts w:ascii="Arial" w:hAnsi="Arial" w:cs="Arial"/>
          <w:b/>
          <w:i/>
          <w:sz w:val="36"/>
          <w:szCs w:val="36"/>
          <w:lang w:val="en-US"/>
        </w:rPr>
        <w:t>Detarium</w:t>
      </w:r>
      <w:proofErr w:type="spellEnd"/>
      <w:r w:rsidRPr="00734A56">
        <w:rPr>
          <w:rFonts w:ascii="Arial" w:hAnsi="Arial" w:cs="Arial"/>
          <w:b/>
          <w:i/>
          <w:sz w:val="36"/>
          <w:szCs w:val="36"/>
          <w:lang w:val="en-US"/>
        </w:rPr>
        <w:t xml:space="preserve"> </w:t>
      </w:r>
      <w:proofErr w:type="spellStart"/>
      <w:r w:rsidRPr="00734A56">
        <w:rPr>
          <w:rFonts w:ascii="Arial" w:hAnsi="Arial" w:cs="Arial"/>
          <w:b/>
          <w:i/>
          <w:sz w:val="36"/>
          <w:szCs w:val="36"/>
          <w:lang w:val="en-US"/>
        </w:rPr>
        <w:t>microcarpum</w:t>
      </w:r>
      <w:proofErr w:type="spellEnd"/>
      <w:r w:rsidRPr="00734A56">
        <w:rPr>
          <w:rFonts w:ascii="Arial" w:hAnsi="Arial" w:cs="Arial"/>
          <w:b/>
          <w:sz w:val="36"/>
          <w:szCs w:val="36"/>
          <w:lang w:val="en-US"/>
        </w:rPr>
        <w:t xml:space="preserve"> Guill. &amp; Perr. bark extract on growth and feed utilization of Nile tilapia (</w:t>
      </w:r>
      <w:r w:rsidRPr="00734A56">
        <w:rPr>
          <w:rFonts w:ascii="Arial" w:hAnsi="Arial" w:cs="Arial"/>
          <w:b/>
          <w:i/>
          <w:sz w:val="36"/>
          <w:szCs w:val="36"/>
          <w:lang w:val="en-US"/>
        </w:rPr>
        <w:t>Oreochromis niloticus</w:t>
      </w:r>
      <w:r w:rsidRPr="00734A56">
        <w:rPr>
          <w:rFonts w:ascii="Arial" w:hAnsi="Arial" w:cs="Arial"/>
          <w:b/>
          <w:sz w:val="36"/>
          <w:szCs w:val="36"/>
          <w:lang w:val="en-US"/>
        </w:rPr>
        <w:t xml:space="preserve"> Linnaeus, 1758)</w:t>
      </w:r>
    </w:p>
    <w:p w14:paraId="23BA7033" w14:textId="77777777" w:rsidR="00CE3E2D" w:rsidRPr="00734A56" w:rsidRDefault="00CE3E2D" w:rsidP="00CE3E2D">
      <w:pPr>
        <w:spacing w:after="0" w:line="240" w:lineRule="auto"/>
        <w:jc w:val="right"/>
        <w:rPr>
          <w:rFonts w:ascii="Arial" w:hAnsi="Arial" w:cs="Arial"/>
          <w:b/>
          <w:bCs/>
          <w:sz w:val="36"/>
          <w:szCs w:val="36"/>
          <w:lang w:val="en-US"/>
        </w:rPr>
      </w:pPr>
    </w:p>
    <w:p w14:paraId="049B9D17" w14:textId="77777777" w:rsidR="00DA27BC" w:rsidRDefault="00DA27BC" w:rsidP="00822B1F">
      <w:pPr>
        <w:spacing w:after="120" w:line="240" w:lineRule="auto"/>
        <w:rPr>
          <w:rFonts w:ascii="Arial" w:hAnsi="Arial" w:cs="Arial"/>
          <w:b/>
          <w:lang w:val="en-US"/>
        </w:rPr>
      </w:pPr>
    </w:p>
    <w:p w14:paraId="5970F12C" w14:textId="09906C69" w:rsidR="00857268" w:rsidRPr="00734A56" w:rsidRDefault="00536E9E" w:rsidP="00822B1F">
      <w:pPr>
        <w:spacing w:after="120" w:line="240" w:lineRule="auto"/>
        <w:rPr>
          <w:rFonts w:ascii="Arial" w:hAnsi="Arial" w:cs="Arial"/>
          <w:b/>
          <w:bCs/>
          <w:lang w:val="en-US"/>
        </w:rPr>
      </w:pPr>
      <w:r w:rsidRPr="00734A56">
        <w:rPr>
          <w:rFonts w:ascii="Arial" w:hAnsi="Arial" w:cs="Arial"/>
          <w:b/>
          <w:lang w:val="en-US"/>
        </w:rPr>
        <w:t>ABSTRACT</w:t>
      </w:r>
    </w:p>
    <w:p w14:paraId="63CE0B98" w14:textId="3294DEE8"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Background:</w:t>
      </w:r>
      <w:r w:rsidRPr="00734A56">
        <w:rPr>
          <w:rFonts w:ascii="Arial" w:hAnsi="Arial" w:cs="Arial"/>
          <w:sz w:val="20"/>
          <w:szCs w:val="20"/>
          <w:lang w:val="en-US"/>
        </w:rPr>
        <w:t xml:space="preserve"> Nile tilapia (</w:t>
      </w:r>
      <w:r w:rsidRPr="00734A56">
        <w:rPr>
          <w:rFonts w:ascii="Arial" w:hAnsi="Arial" w:cs="Arial"/>
          <w:i/>
          <w:sz w:val="20"/>
          <w:szCs w:val="20"/>
          <w:lang w:val="en-US"/>
        </w:rPr>
        <w:t>Oreochromis niloticus</w:t>
      </w:r>
      <w:r w:rsidRPr="00734A56">
        <w:rPr>
          <w:rFonts w:ascii="Arial" w:hAnsi="Arial" w:cs="Arial"/>
          <w:sz w:val="20"/>
          <w:szCs w:val="20"/>
          <w:lang w:val="en-US"/>
        </w:rPr>
        <w:t xml:space="preserve">) is one of the freshwater fish highly prized by fish farmers in Burkina Faso. The use of plant extracts as feed additives in fish diets to accelerate growth has shown promising results. </w:t>
      </w:r>
      <w:proofErr w:type="spellStart"/>
      <w:r w:rsidRPr="00734A56">
        <w:rPr>
          <w:rFonts w:ascii="Arial" w:hAnsi="Arial" w:cs="Arial"/>
          <w:i/>
          <w:sz w:val="20"/>
          <w:szCs w:val="20"/>
          <w:lang w:val="en-US"/>
        </w:rPr>
        <w:t>Detarium</w:t>
      </w:r>
      <w:proofErr w:type="spellEnd"/>
      <w:r w:rsidRPr="00734A56">
        <w:rPr>
          <w:rFonts w:ascii="Arial" w:hAnsi="Arial" w:cs="Arial"/>
          <w:i/>
          <w:sz w:val="20"/>
          <w:szCs w:val="20"/>
          <w:lang w:val="en-US"/>
        </w:rPr>
        <w:t xml:space="preserve">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is a medicinal plant known for its beneficial chemical compounds. However, very little data exist on its use as a feed additive to promote fish growth.</w:t>
      </w:r>
    </w:p>
    <w:p w14:paraId="2161831A" w14:textId="77777777"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Aims:</w:t>
      </w:r>
      <w:r w:rsidRPr="00734A56">
        <w:rPr>
          <w:rFonts w:ascii="Arial" w:hAnsi="Arial" w:cs="Arial"/>
          <w:sz w:val="20"/>
          <w:szCs w:val="20"/>
          <w:lang w:val="en-US"/>
        </w:rPr>
        <w:t xml:space="preserve"> </w:t>
      </w:r>
      <w:r w:rsidR="008D4E11" w:rsidRPr="00734A56">
        <w:rPr>
          <w:rFonts w:ascii="Arial" w:hAnsi="Arial" w:cs="Arial"/>
          <w:sz w:val="20"/>
          <w:szCs w:val="20"/>
          <w:lang w:val="en-US"/>
        </w:rPr>
        <w:t xml:space="preserve">This study aimed to evaluate the potential of </w:t>
      </w:r>
      <w:proofErr w:type="spellStart"/>
      <w:r w:rsidR="008D4E11" w:rsidRPr="00734A56">
        <w:rPr>
          <w:rFonts w:ascii="Arial" w:hAnsi="Arial" w:cs="Arial"/>
          <w:i/>
          <w:sz w:val="20"/>
          <w:szCs w:val="20"/>
          <w:lang w:val="en-US"/>
        </w:rPr>
        <w:t>Detarium</w:t>
      </w:r>
      <w:proofErr w:type="spellEnd"/>
      <w:r w:rsidR="008D4E11" w:rsidRPr="00734A56">
        <w:rPr>
          <w:rFonts w:ascii="Arial" w:hAnsi="Arial" w:cs="Arial"/>
          <w:i/>
          <w:sz w:val="20"/>
          <w:szCs w:val="20"/>
          <w:lang w:val="en-US"/>
        </w:rPr>
        <w:t xml:space="preserve"> </w:t>
      </w:r>
      <w:proofErr w:type="spellStart"/>
      <w:r w:rsidR="008D4E11" w:rsidRPr="00734A56">
        <w:rPr>
          <w:rFonts w:ascii="Arial" w:hAnsi="Arial" w:cs="Arial"/>
          <w:i/>
          <w:sz w:val="20"/>
          <w:szCs w:val="20"/>
          <w:lang w:val="en-US"/>
        </w:rPr>
        <w:t>microcarpum</w:t>
      </w:r>
      <w:proofErr w:type="spellEnd"/>
      <w:r w:rsidR="008D4E11" w:rsidRPr="00734A56">
        <w:rPr>
          <w:rFonts w:ascii="Arial" w:hAnsi="Arial" w:cs="Arial"/>
          <w:sz w:val="20"/>
          <w:szCs w:val="20"/>
          <w:lang w:val="en-US"/>
        </w:rPr>
        <w:t xml:space="preserve"> bark extract on the growth performance and feed utilization of Nile tilapia. </w:t>
      </w:r>
    </w:p>
    <w:p w14:paraId="6FD3CBD1" w14:textId="32DA7571"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 xml:space="preserve">Study Design: </w:t>
      </w:r>
      <w:r w:rsidR="002A3A01" w:rsidRPr="00734A56">
        <w:rPr>
          <w:rFonts w:ascii="Arial" w:hAnsi="Arial" w:cs="Arial"/>
          <w:sz w:val="20"/>
          <w:szCs w:val="20"/>
          <w:lang w:val="en-US"/>
        </w:rPr>
        <w:t xml:space="preserve">An experimental study was conducted to assess the potential of </w:t>
      </w:r>
      <w:proofErr w:type="spellStart"/>
      <w:r w:rsidR="002A3A01" w:rsidRPr="00002CBC">
        <w:rPr>
          <w:rFonts w:ascii="Arial" w:hAnsi="Arial" w:cs="Arial"/>
          <w:i/>
          <w:iCs/>
          <w:sz w:val="20"/>
          <w:szCs w:val="20"/>
          <w:lang w:val="en-US"/>
        </w:rPr>
        <w:t>Detarium</w:t>
      </w:r>
      <w:proofErr w:type="spellEnd"/>
      <w:r w:rsidR="002A3A01" w:rsidRPr="00002CBC">
        <w:rPr>
          <w:rFonts w:ascii="Arial" w:hAnsi="Arial" w:cs="Arial"/>
          <w:i/>
          <w:iCs/>
          <w:sz w:val="20"/>
          <w:szCs w:val="20"/>
          <w:lang w:val="en-US"/>
        </w:rPr>
        <w:t xml:space="preserve"> </w:t>
      </w:r>
      <w:proofErr w:type="spellStart"/>
      <w:r w:rsidR="002A3A01" w:rsidRPr="00002CBC">
        <w:rPr>
          <w:rFonts w:ascii="Arial" w:hAnsi="Arial" w:cs="Arial"/>
          <w:i/>
          <w:iCs/>
          <w:sz w:val="20"/>
          <w:szCs w:val="20"/>
          <w:lang w:val="en-US"/>
        </w:rPr>
        <w:t>microcarpum</w:t>
      </w:r>
      <w:proofErr w:type="spellEnd"/>
      <w:r w:rsidR="002A3A01" w:rsidRPr="00734A56">
        <w:rPr>
          <w:rFonts w:ascii="Arial" w:hAnsi="Arial" w:cs="Arial"/>
          <w:sz w:val="20"/>
          <w:szCs w:val="20"/>
          <w:lang w:val="en-US"/>
        </w:rPr>
        <w:t xml:space="preserve"> bark extract on the growth performance and feed utilization of Nile tilapia</w:t>
      </w:r>
    </w:p>
    <w:p w14:paraId="73CA75B8" w14:textId="6C2CFB49"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sz w:val="20"/>
          <w:szCs w:val="20"/>
          <w:lang w:val="en-US"/>
        </w:rPr>
      </w:pPr>
      <w:r w:rsidRPr="00734A56">
        <w:rPr>
          <w:rFonts w:ascii="Arial" w:hAnsi="Arial" w:cs="Arial"/>
          <w:b/>
          <w:bCs/>
          <w:sz w:val="20"/>
          <w:szCs w:val="20"/>
          <w:lang w:val="en-US"/>
        </w:rPr>
        <w:t xml:space="preserve">Place and Duration of Study: </w:t>
      </w:r>
      <w:r w:rsidR="002A3A01" w:rsidRPr="00734A56">
        <w:rPr>
          <w:rFonts w:ascii="Arial" w:hAnsi="Arial" w:cs="Arial"/>
          <w:sz w:val="20"/>
          <w:szCs w:val="20"/>
          <w:lang w:val="en-US"/>
        </w:rPr>
        <w:t xml:space="preserve">the study was conduct at the private hatchery of the Faso Fish Expertise and Production Center, in </w:t>
      </w:r>
      <w:proofErr w:type="spellStart"/>
      <w:r w:rsidR="002A3A01" w:rsidRPr="00734A56">
        <w:rPr>
          <w:rFonts w:ascii="Arial" w:hAnsi="Arial" w:cs="Arial"/>
          <w:sz w:val="20"/>
          <w:szCs w:val="20"/>
          <w:lang w:val="en-US"/>
        </w:rPr>
        <w:t>Loumbila</w:t>
      </w:r>
      <w:proofErr w:type="spellEnd"/>
      <w:r w:rsidR="002A3A01" w:rsidRPr="00734A56">
        <w:rPr>
          <w:rFonts w:ascii="Arial" w:hAnsi="Arial" w:cs="Arial"/>
          <w:sz w:val="20"/>
          <w:szCs w:val="20"/>
          <w:lang w:val="en-US"/>
        </w:rPr>
        <w:t xml:space="preserve"> village, Oubri region, Burkina Faso, for 90 days.</w:t>
      </w:r>
    </w:p>
    <w:p w14:paraId="698EEA06" w14:textId="4EEC8216"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Methodology:</w:t>
      </w:r>
      <w:r w:rsidRPr="00734A56">
        <w:rPr>
          <w:rFonts w:ascii="Arial" w:hAnsi="Arial" w:cs="Arial"/>
          <w:sz w:val="20"/>
          <w:szCs w:val="20"/>
          <w:lang w:val="en-US"/>
        </w:rPr>
        <w:t xml:space="preserve"> The feeding trial was conducted with 180 fingerlings (initial weight of 7.49 ± 1.43 g) randomly assigned to four groups receiving different doses of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bark extract added to the base diet (0, 10, 15, and 20 mL/kg of feed, designated T0, T1, T2, and T3), with three replicates per treatment.</w:t>
      </w:r>
    </w:p>
    <w:p w14:paraId="4D98EAC4" w14:textId="46578E1B" w:rsidR="004D1E9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Results:</w:t>
      </w:r>
      <w:r w:rsidRPr="00734A56">
        <w:rPr>
          <w:rFonts w:ascii="Arial" w:hAnsi="Arial" w:cs="Arial"/>
          <w:sz w:val="20"/>
          <w:szCs w:val="20"/>
          <w:lang w:val="en-US"/>
        </w:rPr>
        <w:t xml:space="preserve"> </w:t>
      </w:r>
      <w:r w:rsidR="008D4E11" w:rsidRPr="00734A56">
        <w:rPr>
          <w:rFonts w:ascii="Arial" w:hAnsi="Arial" w:cs="Arial"/>
          <w:sz w:val="20"/>
          <w:szCs w:val="20"/>
          <w:lang w:val="en-US"/>
        </w:rPr>
        <w:t xml:space="preserve">The results regarding growth and condition factor showed no significant difference between treated and untreated fish. For all treatments, weight gain ranged from 24.69 ± 9.65 g to 28.96 ± 14.45 g, specific growth rate from 1.59 ± 0.35%/day to 1.75 ± 0.42%/day, survival rate from 91.11% to 95.56%, and feed conversion ratio ranged from 1.67 ± 0.15 to 1.87 ± 0.21. The condition factor ranged from 2.22 ± 0.23 to 2.29 ± 0.17. </w:t>
      </w:r>
    </w:p>
    <w:p w14:paraId="5CE0F7EE" w14:textId="4B4EB9AE" w:rsidR="00EE09E4" w:rsidRPr="00734A56"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734A56">
        <w:rPr>
          <w:rFonts w:ascii="Arial" w:hAnsi="Arial" w:cs="Arial"/>
          <w:b/>
          <w:bCs/>
          <w:sz w:val="20"/>
          <w:szCs w:val="20"/>
          <w:lang w:val="en-US"/>
        </w:rPr>
        <w:t>C</w:t>
      </w:r>
      <w:r w:rsidR="008D4E11" w:rsidRPr="00734A56">
        <w:rPr>
          <w:rFonts w:ascii="Arial" w:hAnsi="Arial" w:cs="Arial"/>
          <w:b/>
          <w:bCs/>
          <w:sz w:val="20"/>
          <w:szCs w:val="20"/>
          <w:lang w:val="en-US"/>
        </w:rPr>
        <w:t>onclusion</w:t>
      </w:r>
      <w:r w:rsidRPr="00734A56">
        <w:rPr>
          <w:rFonts w:ascii="Arial" w:hAnsi="Arial" w:cs="Arial"/>
          <w:b/>
          <w:bCs/>
          <w:sz w:val="20"/>
          <w:szCs w:val="20"/>
          <w:lang w:val="en-US"/>
        </w:rPr>
        <w:t>:</w:t>
      </w:r>
      <w:r w:rsidR="008D4E11" w:rsidRPr="00734A56">
        <w:rPr>
          <w:rFonts w:ascii="Arial" w:hAnsi="Arial" w:cs="Arial"/>
          <w:sz w:val="20"/>
          <w:szCs w:val="20"/>
          <w:lang w:val="en-US"/>
        </w:rPr>
        <w:t xml:space="preserve"> </w:t>
      </w:r>
      <w:r w:rsidRPr="00734A56">
        <w:rPr>
          <w:rFonts w:ascii="Arial" w:hAnsi="Arial" w:cs="Arial"/>
          <w:sz w:val="20"/>
          <w:szCs w:val="20"/>
          <w:lang w:val="en-US"/>
        </w:rPr>
        <w:t>T</w:t>
      </w:r>
      <w:r w:rsidR="008D4E11" w:rsidRPr="00734A56">
        <w:rPr>
          <w:rFonts w:ascii="Arial" w:hAnsi="Arial" w:cs="Arial"/>
          <w:sz w:val="20"/>
          <w:szCs w:val="20"/>
          <w:lang w:val="en-US"/>
        </w:rPr>
        <w:t xml:space="preserve">he addition of </w:t>
      </w:r>
      <w:r w:rsidR="008D4E11" w:rsidRPr="00734A56">
        <w:rPr>
          <w:rFonts w:ascii="Arial" w:hAnsi="Arial" w:cs="Arial"/>
          <w:i/>
          <w:sz w:val="20"/>
          <w:szCs w:val="20"/>
          <w:lang w:val="en-US"/>
        </w:rPr>
        <w:t xml:space="preserve">D. </w:t>
      </w:r>
      <w:proofErr w:type="spellStart"/>
      <w:r w:rsidR="008D4E11" w:rsidRPr="00734A56">
        <w:rPr>
          <w:rFonts w:ascii="Arial" w:hAnsi="Arial" w:cs="Arial"/>
          <w:i/>
          <w:sz w:val="20"/>
          <w:szCs w:val="20"/>
          <w:lang w:val="en-US"/>
        </w:rPr>
        <w:t>microcarpum</w:t>
      </w:r>
      <w:proofErr w:type="spellEnd"/>
      <w:r w:rsidR="008D4E11" w:rsidRPr="00734A56">
        <w:rPr>
          <w:rFonts w:ascii="Arial" w:hAnsi="Arial" w:cs="Arial"/>
          <w:sz w:val="20"/>
          <w:szCs w:val="20"/>
          <w:lang w:val="en-US"/>
        </w:rPr>
        <w:t xml:space="preserve"> bark extract to the diet had no negative effect on the growth, feed utilization, or welfare of Nile tilapia.</w:t>
      </w:r>
    </w:p>
    <w:p w14:paraId="4EC471A6" w14:textId="77777777" w:rsidR="00536E9E" w:rsidRDefault="00536E9E" w:rsidP="005C0517">
      <w:pPr>
        <w:spacing w:after="120" w:line="240" w:lineRule="auto"/>
        <w:jc w:val="both"/>
        <w:rPr>
          <w:rFonts w:ascii="Arial" w:hAnsi="Arial" w:cs="Arial"/>
          <w:i/>
          <w:iCs/>
          <w:sz w:val="20"/>
          <w:szCs w:val="20"/>
          <w:lang w:val="en-US"/>
        </w:rPr>
      </w:pPr>
    </w:p>
    <w:p w14:paraId="144E2371" w14:textId="743FCDBB" w:rsidR="00E77980" w:rsidRPr="00734A56" w:rsidRDefault="007C6C29" w:rsidP="005C0517">
      <w:pPr>
        <w:spacing w:after="120" w:line="240" w:lineRule="auto"/>
        <w:jc w:val="both"/>
        <w:rPr>
          <w:rFonts w:ascii="Arial" w:hAnsi="Arial" w:cs="Arial"/>
          <w:i/>
          <w:iCs/>
          <w:sz w:val="20"/>
          <w:szCs w:val="20"/>
          <w:lang w:val="en-US"/>
        </w:rPr>
      </w:pPr>
      <w:r w:rsidRPr="00734A56">
        <w:rPr>
          <w:rFonts w:ascii="Arial" w:hAnsi="Arial" w:cs="Arial"/>
          <w:i/>
          <w:iCs/>
          <w:sz w:val="20"/>
          <w:szCs w:val="20"/>
          <w:lang w:val="en-US"/>
        </w:rPr>
        <w:t xml:space="preserve">Keywords: </w:t>
      </w:r>
      <w:proofErr w:type="spellStart"/>
      <w:r w:rsidRPr="00734A56">
        <w:rPr>
          <w:rFonts w:ascii="Arial" w:hAnsi="Arial" w:cs="Arial"/>
          <w:i/>
          <w:iCs/>
          <w:sz w:val="20"/>
          <w:szCs w:val="20"/>
          <w:lang w:val="en-US"/>
        </w:rPr>
        <w:t>Detarium</w:t>
      </w:r>
      <w:proofErr w:type="spellEnd"/>
      <w:r w:rsidRPr="00734A56">
        <w:rPr>
          <w:rFonts w:ascii="Arial" w:hAnsi="Arial" w:cs="Arial"/>
          <w:i/>
          <w:iCs/>
          <w:sz w:val="20"/>
          <w:szCs w:val="20"/>
          <w:lang w:val="en-US"/>
        </w:rPr>
        <w:t xml:space="preserve"> </w:t>
      </w:r>
      <w:proofErr w:type="spellStart"/>
      <w:r w:rsidRPr="00734A56">
        <w:rPr>
          <w:rFonts w:ascii="Arial" w:hAnsi="Arial" w:cs="Arial"/>
          <w:i/>
          <w:iCs/>
          <w:sz w:val="20"/>
          <w:szCs w:val="20"/>
          <w:lang w:val="en-US"/>
        </w:rPr>
        <w:t>microcarpum</w:t>
      </w:r>
      <w:proofErr w:type="spellEnd"/>
      <w:r w:rsidRPr="00734A56">
        <w:rPr>
          <w:rFonts w:ascii="Arial" w:hAnsi="Arial" w:cs="Arial"/>
          <w:i/>
          <w:iCs/>
          <w:sz w:val="20"/>
          <w:szCs w:val="20"/>
          <w:lang w:val="en-US"/>
        </w:rPr>
        <w:t>; feed additive; Nile tilapia; growth performance; feed utilization; condition factor</w:t>
      </w:r>
    </w:p>
    <w:p w14:paraId="48F3B623" w14:textId="77777777" w:rsidR="00261ECA" w:rsidRPr="00734A56" w:rsidRDefault="00261ECA" w:rsidP="005C0517">
      <w:pPr>
        <w:spacing w:after="120" w:line="240" w:lineRule="auto"/>
        <w:jc w:val="both"/>
        <w:rPr>
          <w:rFonts w:ascii="Arial" w:hAnsi="Arial" w:cs="Arial"/>
          <w:sz w:val="24"/>
          <w:szCs w:val="24"/>
          <w:lang w:val="en-US"/>
        </w:rPr>
      </w:pPr>
    </w:p>
    <w:p w14:paraId="249DD804" w14:textId="0AFA8775" w:rsidR="00857268" w:rsidRPr="00211206" w:rsidRDefault="00211206" w:rsidP="00822B1F">
      <w:pPr>
        <w:spacing w:after="120" w:line="240" w:lineRule="auto"/>
        <w:rPr>
          <w:rFonts w:ascii="Arial" w:hAnsi="Arial" w:cs="Arial"/>
          <w:b/>
          <w:bCs/>
          <w:lang w:val="en-US"/>
        </w:rPr>
      </w:pPr>
      <w:r w:rsidRPr="00211206">
        <w:rPr>
          <w:rFonts w:ascii="Arial" w:hAnsi="Arial" w:cs="Arial"/>
          <w:b/>
          <w:lang w:val="en-US"/>
        </w:rPr>
        <w:t xml:space="preserve">1. </w:t>
      </w:r>
      <w:r w:rsidR="00734A56" w:rsidRPr="00211206">
        <w:rPr>
          <w:rFonts w:ascii="Arial" w:hAnsi="Arial" w:cs="Arial"/>
          <w:b/>
          <w:lang w:val="en-US"/>
        </w:rPr>
        <w:t>INTRODUCTION</w:t>
      </w:r>
    </w:p>
    <w:p w14:paraId="5674C6F3" w14:textId="4F2D257C" w:rsidR="00673D20" w:rsidRPr="00AB1C01" w:rsidRDefault="00B64D32"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Global aquaculture production has grown steadily in recent decades due to the depletion of wild fish stocks and population growth (FAO, 2022). In Africa, demand for fish has also increased due to population growth and rising incomes, changing dietary patterns toward a greater demand for protein-rich foods, and greater recognition of the health benefits of fish (</w:t>
      </w:r>
      <w:proofErr w:type="spellStart"/>
      <w:r w:rsidRPr="00AB1C01">
        <w:rPr>
          <w:rFonts w:ascii="Arial" w:hAnsi="Arial" w:cs="Arial"/>
          <w:sz w:val="20"/>
          <w:szCs w:val="20"/>
          <w:lang w:val="en-US"/>
        </w:rPr>
        <w:t>Dème</w:t>
      </w:r>
      <w:proofErr w:type="spellEnd"/>
      <w:r w:rsidRPr="00AB1C01">
        <w:rPr>
          <w:rFonts w:ascii="Arial" w:hAnsi="Arial" w:cs="Arial"/>
          <w:sz w:val="20"/>
          <w:szCs w:val="20"/>
          <w:lang w:val="en-US"/>
        </w:rPr>
        <w:t xml:space="preserve"> et al., 2023; Elhadj Bara and Pierre, 2024). In most West African countries, the fish farming is mainly carried out by the small-scale farms, but it plays an important role in the economic development of rural communities. Indeed, fish is a valuable source of animal protein, and fish farming creates jobs, particularly in rural areas (Tran et al., 2019; </w:t>
      </w:r>
      <w:proofErr w:type="spellStart"/>
      <w:r w:rsidRPr="00AB1C01">
        <w:rPr>
          <w:rFonts w:ascii="Arial" w:hAnsi="Arial" w:cs="Arial"/>
          <w:sz w:val="20"/>
          <w:szCs w:val="20"/>
          <w:lang w:val="en-US"/>
        </w:rPr>
        <w:t>Muringai</w:t>
      </w:r>
      <w:proofErr w:type="spellEnd"/>
      <w:r w:rsidRPr="00AB1C01">
        <w:rPr>
          <w:rFonts w:ascii="Arial" w:hAnsi="Arial" w:cs="Arial"/>
          <w:sz w:val="20"/>
          <w:szCs w:val="20"/>
          <w:lang w:val="en-US"/>
        </w:rPr>
        <w:t xml:space="preserve"> et al., 2022). In Burkina Faso, Nile tilapia (</w:t>
      </w:r>
      <w:r w:rsidRPr="00AB1C01">
        <w:rPr>
          <w:rFonts w:ascii="Arial" w:hAnsi="Arial" w:cs="Arial"/>
          <w:i/>
          <w:sz w:val="20"/>
          <w:szCs w:val="20"/>
          <w:lang w:val="en-US"/>
        </w:rPr>
        <w:t>Oreochromis niloticus</w:t>
      </w:r>
      <w:r w:rsidRPr="00AB1C01">
        <w:rPr>
          <w:rFonts w:ascii="Arial" w:hAnsi="Arial" w:cs="Arial"/>
          <w:sz w:val="20"/>
          <w:szCs w:val="20"/>
          <w:lang w:val="en-US"/>
        </w:rPr>
        <w:t xml:space="preserve">) is the second most common farmed fish species, after the African catfish, </w:t>
      </w:r>
      <w:r w:rsidRPr="00AB1C01">
        <w:rPr>
          <w:rFonts w:ascii="Arial" w:hAnsi="Arial" w:cs="Arial"/>
          <w:i/>
          <w:sz w:val="20"/>
          <w:szCs w:val="20"/>
          <w:lang w:val="en-US"/>
        </w:rPr>
        <w:t xml:space="preserve">Clarias </w:t>
      </w:r>
      <w:proofErr w:type="spellStart"/>
      <w:r w:rsidRPr="00AB1C01">
        <w:rPr>
          <w:rFonts w:ascii="Arial" w:hAnsi="Arial" w:cs="Arial"/>
          <w:i/>
          <w:sz w:val="20"/>
          <w:szCs w:val="20"/>
          <w:lang w:val="en-US"/>
        </w:rPr>
        <w:t>gariepinus</w:t>
      </w:r>
      <w:proofErr w:type="spellEnd"/>
      <w:r w:rsidRPr="00AB1C01">
        <w:rPr>
          <w:rFonts w:ascii="Arial" w:hAnsi="Arial" w:cs="Arial"/>
          <w:sz w:val="20"/>
          <w:szCs w:val="20"/>
          <w:lang w:val="en-US"/>
        </w:rPr>
        <w:t xml:space="preserve"> (FAO, 2026), due to its rapid growth, natural reproduction, tolerance to various environments, acceptance of different feed formulations, ability to </w:t>
      </w:r>
      <w:proofErr w:type="spellStart"/>
      <w:r w:rsidRPr="00AB1C01">
        <w:rPr>
          <w:rFonts w:ascii="Arial" w:hAnsi="Arial" w:cs="Arial"/>
          <w:sz w:val="20"/>
          <w:szCs w:val="20"/>
          <w:lang w:val="en-US"/>
        </w:rPr>
        <w:t>to</w:t>
      </w:r>
      <w:proofErr w:type="spellEnd"/>
      <w:r w:rsidRPr="00AB1C01">
        <w:rPr>
          <w:rFonts w:ascii="Arial" w:hAnsi="Arial" w:cs="Arial"/>
          <w:sz w:val="20"/>
          <w:szCs w:val="20"/>
          <w:lang w:val="en-US"/>
        </w:rPr>
        <w:t xml:space="preserve"> be raised at high densities, and strong market demand (Van Doan et al., 2019; Ibrahim et al., 2024). However, the intensification of this aquaculture can lead to various environmental problems, including a weakened immune system in the fish, increased susceptibility to disease, and the resulting high mortality rates, ensuing considerable economic losses each year (Lieke et al., 2020). Other factors, such as pollution, and high temperatures, negatively affect the water quality and can compromise the immune system of fish and the health of aquatic animals (</w:t>
      </w:r>
      <w:proofErr w:type="spellStart"/>
      <w:r w:rsidRPr="00AB1C01">
        <w:rPr>
          <w:rFonts w:ascii="Arial" w:hAnsi="Arial" w:cs="Arial"/>
          <w:sz w:val="20"/>
          <w:szCs w:val="20"/>
          <w:lang w:val="en-US"/>
        </w:rPr>
        <w:t>Dadras</w:t>
      </w:r>
      <w:proofErr w:type="spellEnd"/>
      <w:r w:rsidRPr="00AB1C01">
        <w:rPr>
          <w:rFonts w:ascii="Arial" w:hAnsi="Arial" w:cs="Arial"/>
          <w:sz w:val="20"/>
          <w:szCs w:val="20"/>
          <w:lang w:val="en-US"/>
        </w:rPr>
        <w:t xml:space="preserve"> et al. 2023). To ensure sustainable fish farming, natural additives and supplements </w:t>
      </w:r>
      <w:r w:rsidR="00536E9E" w:rsidRPr="00AB1C01">
        <w:rPr>
          <w:rFonts w:ascii="Arial" w:hAnsi="Arial" w:cs="Arial"/>
          <w:sz w:val="20"/>
          <w:szCs w:val="20"/>
          <w:lang w:val="en-US"/>
        </w:rPr>
        <w:t>emerge</w:t>
      </w:r>
      <w:r w:rsidRPr="00AB1C01">
        <w:rPr>
          <w:rFonts w:ascii="Arial" w:hAnsi="Arial" w:cs="Arial"/>
          <w:sz w:val="20"/>
          <w:szCs w:val="20"/>
          <w:lang w:val="en-US"/>
        </w:rPr>
        <w:t xml:space="preserve"> as more economical and sustainable alternatives. This explains the growing interest in the use of plant extracts in aquaculture in recent years (Olaniyi et al., 2020; </w:t>
      </w:r>
      <w:proofErr w:type="spellStart"/>
      <w:r w:rsidRPr="00AB1C01">
        <w:rPr>
          <w:rFonts w:ascii="Arial" w:hAnsi="Arial" w:cs="Arial"/>
          <w:sz w:val="20"/>
          <w:szCs w:val="20"/>
          <w:lang w:val="en-US"/>
        </w:rPr>
        <w:t>Nyadjeu</w:t>
      </w:r>
      <w:proofErr w:type="spellEnd"/>
      <w:r w:rsidRPr="00AB1C01">
        <w:rPr>
          <w:rFonts w:ascii="Arial" w:hAnsi="Arial" w:cs="Arial"/>
          <w:sz w:val="20"/>
          <w:szCs w:val="20"/>
          <w:lang w:val="en-US"/>
        </w:rPr>
        <w:t xml:space="preserve"> et al., 2021). Due to their potential to improve fish health, growth, and reproductive function, the use of medicinal plants in aquaculture is attracting growing </w:t>
      </w:r>
      <w:r w:rsidRPr="00AB1C01">
        <w:rPr>
          <w:rFonts w:ascii="Arial" w:hAnsi="Arial" w:cs="Arial"/>
          <w:sz w:val="20"/>
          <w:szCs w:val="20"/>
          <w:lang w:val="en-US"/>
        </w:rPr>
        <w:lastRenderedPageBreak/>
        <w:t>interest (Elgendy et al. 2024). Furthermore, they appear to be inexpensive, effective, and associated with fewer side effects in the treatment of diseases, and, above all, are much more environmentally friendly (</w:t>
      </w:r>
      <w:proofErr w:type="spellStart"/>
      <w:r w:rsidRPr="00AB1C01">
        <w:rPr>
          <w:rFonts w:ascii="Arial" w:hAnsi="Arial" w:cs="Arial"/>
          <w:sz w:val="20"/>
          <w:szCs w:val="20"/>
          <w:lang w:val="en-US"/>
        </w:rPr>
        <w:t>Kuebutornye</w:t>
      </w:r>
      <w:proofErr w:type="spellEnd"/>
      <w:r w:rsidRPr="00AB1C01">
        <w:rPr>
          <w:rFonts w:ascii="Arial" w:hAnsi="Arial" w:cs="Arial"/>
          <w:sz w:val="20"/>
          <w:szCs w:val="20"/>
          <w:lang w:val="en-US"/>
        </w:rPr>
        <w:t xml:space="preserve"> and </w:t>
      </w:r>
      <w:proofErr w:type="spellStart"/>
      <w:r w:rsidRPr="00AB1C01">
        <w:rPr>
          <w:rFonts w:ascii="Arial" w:hAnsi="Arial" w:cs="Arial"/>
          <w:sz w:val="20"/>
          <w:szCs w:val="20"/>
          <w:lang w:val="en-US"/>
        </w:rPr>
        <w:t>Abarike</w:t>
      </w:r>
      <w:proofErr w:type="spellEnd"/>
      <w:r w:rsidRPr="00AB1C01">
        <w:rPr>
          <w:rFonts w:ascii="Arial" w:hAnsi="Arial" w:cs="Arial"/>
          <w:sz w:val="20"/>
          <w:szCs w:val="20"/>
          <w:lang w:val="en-US"/>
        </w:rPr>
        <w:t xml:space="preserve">, 2020). Medicinal plants and their derivatives contain specific active substances modulating biological functions, such as growth promotion, </w:t>
      </w:r>
      <w:proofErr w:type="spellStart"/>
      <w:r w:rsidRPr="00AB1C01">
        <w:rPr>
          <w:rFonts w:ascii="Arial" w:hAnsi="Arial" w:cs="Arial"/>
          <w:sz w:val="20"/>
          <w:szCs w:val="20"/>
          <w:lang w:val="en-US"/>
        </w:rPr>
        <w:t>immunostimulation</w:t>
      </w:r>
      <w:proofErr w:type="spellEnd"/>
      <w:r w:rsidRPr="00AB1C01">
        <w:rPr>
          <w:rFonts w:ascii="Arial" w:hAnsi="Arial" w:cs="Arial"/>
          <w:sz w:val="20"/>
          <w:szCs w:val="20"/>
          <w:lang w:val="en-US"/>
        </w:rPr>
        <w:t xml:space="preserve">, anti-stress effects, appetite stimulation, and antimicrobial activities (Hamid et al., 2022; </w:t>
      </w:r>
      <w:proofErr w:type="spellStart"/>
      <w:r w:rsidRPr="00AB1C01">
        <w:rPr>
          <w:rFonts w:ascii="Arial" w:hAnsi="Arial" w:cs="Arial"/>
          <w:sz w:val="20"/>
          <w:szCs w:val="20"/>
          <w:lang w:val="en-US"/>
        </w:rPr>
        <w:t>Dadras</w:t>
      </w:r>
      <w:proofErr w:type="spellEnd"/>
      <w:r w:rsidRPr="00AB1C01">
        <w:rPr>
          <w:rFonts w:ascii="Arial" w:hAnsi="Arial" w:cs="Arial"/>
          <w:sz w:val="20"/>
          <w:szCs w:val="20"/>
          <w:lang w:val="en-US"/>
        </w:rPr>
        <w:t xml:space="preserve"> et al. 2023; Elgendy et al. 2024). They can be used in various forms, including crude preparations, extracts, or specific active compounds (Elgendy et al. 2021). Originally used as traditional remedies, medicinal plants have become scientifically validated tools for environmentally friendly aquaculture (</w:t>
      </w:r>
      <w:proofErr w:type="spellStart"/>
      <w:r w:rsidRPr="00AB1C01">
        <w:rPr>
          <w:rFonts w:ascii="Arial" w:hAnsi="Arial" w:cs="Arial"/>
          <w:sz w:val="20"/>
          <w:szCs w:val="20"/>
          <w:lang w:val="en-US"/>
        </w:rPr>
        <w:t>Amulejoye</w:t>
      </w:r>
      <w:proofErr w:type="spellEnd"/>
      <w:r w:rsidRPr="00AB1C01">
        <w:rPr>
          <w:rFonts w:ascii="Arial" w:hAnsi="Arial" w:cs="Arial"/>
          <w:sz w:val="20"/>
          <w:szCs w:val="20"/>
          <w:lang w:val="en-US"/>
        </w:rPr>
        <w:t xml:space="preserve"> et al. 2025). They are considered an alternative to antibiotics and growth promoters (Tadese et al., 2022). For example, it has been demonstrated that supplementation with </w:t>
      </w:r>
      <w:r w:rsidRPr="00AB1C01">
        <w:rPr>
          <w:rFonts w:ascii="Arial" w:hAnsi="Arial" w:cs="Arial"/>
          <w:i/>
          <w:sz w:val="20"/>
          <w:szCs w:val="20"/>
          <w:lang w:val="en-US"/>
        </w:rPr>
        <w:t>Aloe vera</w:t>
      </w:r>
      <w:r w:rsidRPr="00AB1C01">
        <w:rPr>
          <w:rFonts w:ascii="Arial" w:hAnsi="Arial" w:cs="Arial"/>
          <w:sz w:val="20"/>
          <w:szCs w:val="20"/>
          <w:lang w:val="en-US"/>
        </w:rPr>
        <w:t xml:space="preserve"> or </w:t>
      </w:r>
      <w:r w:rsidRPr="00AB1C01">
        <w:rPr>
          <w:rFonts w:ascii="Arial" w:hAnsi="Arial" w:cs="Arial"/>
          <w:i/>
          <w:sz w:val="20"/>
          <w:szCs w:val="20"/>
          <w:lang w:val="en-US"/>
        </w:rPr>
        <w:t xml:space="preserve">Aloe </w:t>
      </w:r>
      <w:proofErr w:type="spellStart"/>
      <w:r w:rsidRPr="00AB1C01">
        <w:rPr>
          <w:rFonts w:ascii="Arial" w:hAnsi="Arial" w:cs="Arial"/>
          <w:i/>
          <w:sz w:val="20"/>
          <w:szCs w:val="20"/>
          <w:lang w:val="en-US"/>
        </w:rPr>
        <w:t>barbadensis</w:t>
      </w:r>
      <w:proofErr w:type="spellEnd"/>
      <w:r w:rsidRPr="00AB1C01">
        <w:rPr>
          <w:rFonts w:ascii="Arial" w:hAnsi="Arial" w:cs="Arial"/>
          <w:sz w:val="20"/>
          <w:szCs w:val="20"/>
          <w:lang w:val="en-US"/>
        </w:rPr>
        <w:t xml:space="preserve"> (Gabriel et al. 2015), or with Clove basil or </w:t>
      </w:r>
      <w:r w:rsidRPr="00AB1C01">
        <w:rPr>
          <w:rFonts w:ascii="Arial" w:hAnsi="Arial" w:cs="Arial"/>
          <w:i/>
          <w:sz w:val="20"/>
          <w:szCs w:val="20"/>
          <w:lang w:val="en-US"/>
        </w:rPr>
        <w:t xml:space="preserve">Ocimum </w:t>
      </w:r>
      <w:proofErr w:type="spellStart"/>
      <w:r w:rsidRPr="00AB1C01">
        <w:rPr>
          <w:rFonts w:ascii="Arial" w:hAnsi="Arial" w:cs="Arial"/>
          <w:i/>
          <w:sz w:val="20"/>
          <w:szCs w:val="20"/>
          <w:lang w:val="en-US"/>
        </w:rPr>
        <w:t>gratissimum</w:t>
      </w:r>
      <w:proofErr w:type="spellEnd"/>
      <w:r w:rsidRPr="00AB1C01">
        <w:rPr>
          <w:rFonts w:ascii="Arial" w:hAnsi="Arial" w:cs="Arial"/>
          <w:sz w:val="20"/>
          <w:szCs w:val="20"/>
          <w:lang w:val="en-US"/>
        </w:rPr>
        <w:t xml:space="preserve"> (Brum et al., 2017) can improve feed utilization, growth, survival rates, and hematobiochemical parameters in tilapia. </w:t>
      </w:r>
      <w:proofErr w:type="spellStart"/>
      <w:r w:rsidRPr="00AB1C01">
        <w:rPr>
          <w:rFonts w:ascii="Arial" w:hAnsi="Arial" w:cs="Arial"/>
          <w:i/>
          <w:sz w:val="20"/>
          <w:szCs w:val="20"/>
          <w:lang w:val="en-US"/>
        </w:rPr>
        <w:t>Detarium</w:t>
      </w:r>
      <w:proofErr w:type="spellEnd"/>
      <w:r w:rsidRPr="00AB1C01">
        <w:rPr>
          <w:rFonts w:ascii="Arial" w:hAnsi="Arial" w:cs="Arial"/>
          <w:i/>
          <w:sz w:val="20"/>
          <w:szCs w:val="20"/>
          <w:lang w:val="en-US"/>
        </w:rPr>
        <w:t xml:space="preserve">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is a tree native to Africa, belonging to the Fabaceae family, which grows wild in several African countries, particularly in savanna areas. Known as “sweet </w:t>
      </w:r>
      <w:proofErr w:type="spellStart"/>
      <w:r w:rsidRPr="00AB1C01">
        <w:rPr>
          <w:rFonts w:ascii="Arial" w:hAnsi="Arial" w:cs="Arial"/>
          <w:sz w:val="20"/>
          <w:szCs w:val="20"/>
          <w:lang w:val="en-US"/>
        </w:rPr>
        <w:t>detar</w:t>
      </w:r>
      <w:proofErr w:type="spellEnd"/>
      <w:r w:rsidRPr="00AB1C01">
        <w:rPr>
          <w:rFonts w:ascii="Arial" w:hAnsi="Arial" w:cs="Arial"/>
          <w:sz w:val="20"/>
          <w:szCs w:val="20"/>
          <w:lang w:val="en-US"/>
        </w:rPr>
        <w:t xml:space="preserve">,”, all parts of the plant (leaves, fruits, bark, roots) are used in traditional medicine (Hassanin et al., 2019; </w:t>
      </w:r>
      <w:proofErr w:type="spellStart"/>
      <w:r w:rsidRPr="00AB1C01">
        <w:rPr>
          <w:rFonts w:ascii="Arial" w:hAnsi="Arial" w:cs="Arial"/>
          <w:sz w:val="20"/>
          <w:szCs w:val="20"/>
          <w:lang w:val="en-US"/>
        </w:rPr>
        <w:t>Dogara</w:t>
      </w:r>
      <w:proofErr w:type="spellEnd"/>
      <w:r w:rsidRPr="00AB1C01">
        <w:rPr>
          <w:rFonts w:ascii="Arial" w:hAnsi="Arial" w:cs="Arial"/>
          <w:sz w:val="20"/>
          <w:szCs w:val="20"/>
          <w:lang w:val="en-US"/>
        </w:rPr>
        <w:t xml:space="preserve">, 2022). The fruits and leaves of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are edible and have been used by African tribes as a condiment and vegetable (Hassanin et al., 2019). It has been observed that the pulp of the </w:t>
      </w:r>
      <w:proofErr w:type="spellStart"/>
      <w:r w:rsidRPr="00AB1C01">
        <w:rPr>
          <w:rFonts w:ascii="Arial" w:hAnsi="Arial" w:cs="Arial"/>
          <w:i/>
          <w:sz w:val="20"/>
          <w:szCs w:val="20"/>
          <w:lang w:val="en-US"/>
        </w:rPr>
        <w:t>Detarium</w:t>
      </w:r>
      <w:proofErr w:type="spellEnd"/>
      <w:r w:rsidRPr="00AB1C01">
        <w:rPr>
          <w:rFonts w:ascii="Arial" w:hAnsi="Arial" w:cs="Arial"/>
          <w:i/>
          <w:sz w:val="20"/>
          <w:szCs w:val="20"/>
          <w:lang w:val="en-US"/>
        </w:rPr>
        <w:t xml:space="preserve">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fruit has significant effects on </w:t>
      </w:r>
      <w:proofErr w:type="spellStart"/>
      <w:r w:rsidRPr="00AB1C01">
        <w:rPr>
          <w:rFonts w:ascii="Arial" w:hAnsi="Arial" w:cs="Arial"/>
          <w:sz w:val="20"/>
          <w:szCs w:val="20"/>
          <w:lang w:val="en-US"/>
        </w:rPr>
        <w:t>haematological</w:t>
      </w:r>
      <w:proofErr w:type="spellEnd"/>
      <w:r w:rsidRPr="00AB1C01">
        <w:rPr>
          <w:rFonts w:ascii="Arial" w:hAnsi="Arial" w:cs="Arial"/>
          <w:sz w:val="20"/>
          <w:szCs w:val="20"/>
          <w:lang w:val="en-US"/>
        </w:rPr>
        <w:t xml:space="preserve"> parameters, and weight gain in rats (Wahedi and David, 2013). The incorporation of </w:t>
      </w:r>
      <w:proofErr w:type="spellStart"/>
      <w:r w:rsidRPr="00AB1C01">
        <w:rPr>
          <w:rFonts w:ascii="Arial" w:hAnsi="Arial" w:cs="Arial"/>
          <w:i/>
          <w:sz w:val="20"/>
          <w:szCs w:val="20"/>
          <w:lang w:val="en-US"/>
        </w:rPr>
        <w:t>Detarium</w:t>
      </w:r>
      <w:proofErr w:type="spellEnd"/>
      <w:r w:rsidRPr="00AB1C01">
        <w:rPr>
          <w:rFonts w:ascii="Arial" w:hAnsi="Arial" w:cs="Arial"/>
          <w:i/>
          <w:sz w:val="20"/>
          <w:szCs w:val="20"/>
          <w:lang w:val="en-US"/>
        </w:rPr>
        <w:t xml:space="preserve">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seed meal at levels up to 20% improved weight gain and nutrient utilization in broiler chickens (</w:t>
      </w:r>
      <w:proofErr w:type="spellStart"/>
      <w:r w:rsidRPr="00AB1C01">
        <w:rPr>
          <w:rFonts w:ascii="Arial" w:hAnsi="Arial" w:cs="Arial"/>
          <w:sz w:val="20"/>
          <w:szCs w:val="20"/>
          <w:lang w:val="en-US"/>
        </w:rPr>
        <w:t>Obun</w:t>
      </w:r>
      <w:proofErr w:type="spellEnd"/>
      <w:r w:rsidRPr="00AB1C01">
        <w:rPr>
          <w:rFonts w:ascii="Arial" w:hAnsi="Arial" w:cs="Arial"/>
          <w:sz w:val="20"/>
          <w:szCs w:val="20"/>
          <w:lang w:val="en-US"/>
        </w:rPr>
        <w:t xml:space="preserve"> et al., 2011).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showed cardioprotective, and hepatoprotective properties (Janvier et al., 2020), as well as analgesic and anti-inflammatory properties (Yaro et al., 2017) in rats. The root extract </w:t>
      </w:r>
      <w:proofErr w:type="spellStart"/>
      <w:r w:rsidRPr="00AB1C01">
        <w:rPr>
          <w:rFonts w:ascii="Arial" w:hAnsi="Arial" w:cs="Arial"/>
          <w:sz w:val="20"/>
          <w:szCs w:val="20"/>
          <w:lang w:val="en-US"/>
        </w:rPr>
        <w:t>extract</w:t>
      </w:r>
      <w:proofErr w:type="spellEnd"/>
      <w:r w:rsidRPr="00AB1C01">
        <w:rPr>
          <w:rFonts w:ascii="Arial" w:hAnsi="Arial" w:cs="Arial"/>
          <w:sz w:val="20"/>
          <w:szCs w:val="20"/>
          <w:lang w:val="en-US"/>
        </w:rPr>
        <w:t xml:space="preserve"> has an antidiarrheal effect (Dawa et al., 2022). Furthermore, </w:t>
      </w:r>
      <w:proofErr w:type="spellStart"/>
      <w:r w:rsidRPr="00AB1C01">
        <w:rPr>
          <w:rFonts w:ascii="Arial" w:hAnsi="Arial" w:cs="Arial"/>
          <w:sz w:val="20"/>
          <w:szCs w:val="20"/>
          <w:lang w:val="en-US"/>
        </w:rPr>
        <w:t>Alatise</w:t>
      </w:r>
      <w:proofErr w:type="spellEnd"/>
      <w:r w:rsidRPr="00AB1C01">
        <w:rPr>
          <w:rFonts w:ascii="Arial" w:hAnsi="Arial" w:cs="Arial"/>
          <w:sz w:val="20"/>
          <w:szCs w:val="20"/>
          <w:lang w:val="en-US"/>
        </w:rPr>
        <w:t xml:space="preserve"> et al. (2021) demonstrated that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leaf and seed meals are good sources of dietary energy and can be used as unconventional feed resources for fish. However, to the best of our knowledge, no data are available regarding the potential of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in aquafeed as a growth enhancer supplement. Thus, this study was conducted to evaluate the effect of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on the growth performance and feed utilization of Nile tilapia.  </w:t>
      </w:r>
    </w:p>
    <w:p w14:paraId="21E60CCB" w14:textId="56F55823" w:rsidR="00857268" w:rsidRPr="00211206" w:rsidRDefault="00211206" w:rsidP="00822B1F">
      <w:pPr>
        <w:spacing w:after="120" w:line="240" w:lineRule="auto"/>
        <w:rPr>
          <w:rFonts w:ascii="Arial" w:hAnsi="Arial" w:cs="Arial"/>
          <w:b/>
          <w:bCs/>
          <w:lang w:val="en-US"/>
        </w:rPr>
      </w:pPr>
      <w:r w:rsidRPr="00211206">
        <w:rPr>
          <w:rFonts w:ascii="Arial" w:hAnsi="Arial" w:cs="Arial"/>
          <w:b/>
          <w:lang w:val="en-US"/>
        </w:rPr>
        <w:t xml:space="preserve">2. </w:t>
      </w:r>
      <w:r w:rsidR="00734A56" w:rsidRPr="00211206">
        <w:rPr>
          <w:rFonts w:ascii="Arial" w:hAnsi="Arial" w:cs="Arial"/>
          <w:b/>
          <w:lang w:val="en-US"/>
        </w:rPr>
        <w:t>MATERIALS AND METHODS</w:t>
      </w:r>
    </w:p>
    <w:p w14:paraId="79F103DA" w14:textId="17F5F273" w:rsidR="00A05C00" w:rsidRPr="00211206" w:rsidRDefault="00211206" w:rsidP="00822B1F">
      <w:pPr>
        <w:spacing w:after="120" w:line="240" w:lineRule="auto"/>
        <w:rPr>
          <w:rFonts w:ascii="Arial" w:hAnsi="Arial" w:cs="Arial"/>
          <w:b/>
          <w:bCs/>
          <w:lang w:val="en-US"/>
        </w:rPr>
      </w:pPr>
      <w:r w:rsidRPr="00211206">
        <w:rPr>
          <w:rFonts w:ascii="Arial" w:hAnsi="Arial" w:cs="Arial"/>
          <w:b/>
          <w:lang w:val="en-US"/>
        </w:rPr>
        <w:t xml:space="preserve">2.1. </w:t>
      </w:r>
      <w:r w:rsidR="00A05C00" w:rsidRPr="00211206">
        <w:rPr>
          <w:rFonts w:ascii="Arial" w:hAnsi="Arial" w:cs="Arial"/>
          <w:b/>
          <w:lang w:val="en-US"/>
        </w:rPr>
        <w:t>Preparation of Bark Extract</w:t>
      </w:r>
    </w:p>
    <w:p w14:paraId="2E2DAAB9" w14:textId="77777777" w:rsidR="00F15104" w:rsidRPr="00AB1C01" w:rsidRDefault="00CD52AA" w:rsidP="005C0517">
      <w:pPr>
        <w:pStyle w:val="ListParagraph"/>
        <w:spacing w:after="120" w:line="240" w:lineRule="auto"/>
        <w:ind w:left="0"/>
        <w:jc w:val="both"/>
        <w:rPr>
          <w:rFonts w:ascii="Arial" w:hAnsi="Arial" w:cs="Arial"/>
          <w:sz w:val="20"/>
          <w:szCs w:val="20"/>
          <w:lang w:val="en-US"/>
        </w:rPr>
      </w:pPr>
      <w:r w:rsidRPr="00AB1C01">
        <w:rPr>
          <w:rFonts w:ascii="Arial" w:hAnsi="Arial" w:cs="Arial"/>
          <w:sz w:val="20"/>
          <w:szCs w:val="20"/>
          <w:lang w:val="en-US"/>
        </w:rPr>
        <w:t xml:space="preserve">Fresh </w:t>
      </w:r>
      <w:proofErr w:type="spellStart"/>
      <w:r w:rsidRPr="00AB1C01">
        <w:rPr>
          <w:rFonts w:ascii="Arial" w:hAnsi="Arial" w:cs="Arial"/>
          <w:i/>
          <w:sz w:val="20"/>
          <w:szCs w:val="20"/>
          <w:lang w:val="en-US"/>
        </w:rPr>
        <w:t>Detarium</w:t>
      </w:r>
      <w:proofErr w:type="spellEnd"/>
      <w:r w:rsidRPr="00AB1C01">
        <w:rPr>
          <w:rFonts w:ascii="Arial" w:hAnsi="Arial" w:cs="Arial"/>
          <w:i/>
          <w:sz w:val="20"/>
          <w:szCs w:val="20"/>
          <w:lang w:val="en-US"/>
        </w:rPr>
        <w:t xml:space="preserve">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stem bark was identified and collected in January 2026 from the forest managed by the Department of Environment and Forest of the Institute of Environment and Agricultural Research, in </w:t>
      </w:r>
      <w:proofErr w:type="spellStart"/>
      <w:r w:rsidRPr="00AB1C01">
        <w:rPr>
          <w:rFonts w:ascii="Arial" w:hAnsi="Arial" w:cs="Arial"/>
          <w:sz w:val="20"/>
          <w:szCs w:val="20"/>
          <w:lang w:val="en-US"/>
        </w:rPr>
        <w:t>Saponé</w:t>
      </w:r>
      <w:proofErr w:type="spellEnd"/>
      <w:r w:rsidRPr="00AB1C01">
        <w:rPr>
          <w:rFonts w:ascii="Arial" w:hAnsi="Arial" w:cs="Arial"/>
          <w:sz w:val="20"/>
          <w:szCs w:val="20"/>
          <w:lang w:val="en-US"/>
        </w:rPr>
        <w:t xml:space="preserve"> village, </w:t>
      </w:r>
      <w:proofErr w:type="spellStart"/>
      <w:r w:rsidRPr="00AB1C01">
        <w:rPr>
          <w:rFonts w:ascii="Arial" w:hAnsi="Arial" w:cs="Arial"/>
          <w:sz w:val="20"/>
          <w:szCs w:val="20"/>
          <w:lang w:val="en-US"/>
        </w:rPr>
        <w:t>Nazinon</w:t>
      </w:r>
      <w:proofErr w:type="spellEnd"/>
      <w:r w:rsidRPr="00AB1C01">
        <w:rPr>
          <w:rFonts w:ascii="Arial" w:hAnsi="Arial" w:cs="Arial"/>
          <w:sz w:val="20"/>
          <w:szCs w:val="20"/>
          <w:lang w:val="en-US"/>
        </w:rPr>
        <w:t xml:space="preserve"> region, Burkina Faso. The bark was washed, cut into small pieces and air-dried at ambient temperature (26.5 ± 2.9 °C) for two weeks and then ground into a powder for extraction. The extract was prepared according to the principles of standard solid–liquid extraction techniques described by Sukhdev et al. (2008). One hundred and fifty grams of the ground sample were macerated in 750 mL of solvent (distilled water–ethanol 70% (v/v)) for 48 hours. The mixture was stirred magnetically. The supernatant was then filtered through Whatman No. 5 filter paper. After filtration, the solvent was evaporated using a rotary evaporator (</w:t>
      </w:r>
      <w:proofErr w:type="spellStart"/>
      <w:r w:rsidRPr="00AB1C01">
        <w:rPr>
          <w:rFonts w:ascii="Arial" w:hAnsi="Arial" w:cs="Arial"/>
          <w:sz w:val="20"/>
          <w:szCs w:val="20"/>
          <w:lang w:val="en-US"/>
        </w:rPr>
        <w:t>Büchi</w:t>
      </w:r>
      <w:proofErr w:type="spellEnd"/>
      <w:r w:rsidRPr="00AB1C01">
        <w:rPr>
          <w:rFonts w:ascii="Arial" w:hAnsi="Arial" w:cs="Arial"/>
          <w:sz w:val="20"/>
          <w:szCs w:val="20"/>
          <w:lang w:val="en-US"/>
        </w:rPr>
        <w:t>), and the extract was dried in a ventilated oven at 45 °C for 24 hours.</w:t>
      </w:r>
    </w:p>
    <w:p w14:paraId="4979A761" w14:textId="0ED69FA4" w:rsidR="007F3933" w:rsidRPr="00211206" w:rsidRDefault="00211206" w:rsidP="00822B1F">
      <w:pPr>
        <w:spacing w:after="120" w:line="240" w:lineRule="auto"/>
        <w:rPr>
          <w:rFonts w:ascii="Arial" w:hAnsi="Arial" w:cs="Arial"/>
          <w:b/>
          <w:bCs/>
          <w:lang w:val="en-US"/>
        </w:rPr>
      </w:pPr>
      <w:r w:rsidRPr="00211206">
        <w:rPr>
          <w:rFonts w:ascii="Arial" w:hAnsi="Arial" w:cs="Arial"/>
          <w:b/>
          <w:lang w:val="en-US"/>
        </w:rPr>
        <w:t xml:space="preserve">2.2. </w:t>
      </w:r>
      <w:r w:rsidR="007F3933" w:rsidRPr="00211206">
        <w:rPr>
          <w:rFonts w:ascii="Arial" w:hAnsi="Arial" w:cs="Arial"/>
          <w:b/>
          <w:lang w:val="en-US"/>
        </w:rPr>
        <w:t>Diet Preparation</w:t>
      </w:r>
    </w:p>
    <w:p w14:paraId="21698593" w14:textId="3F76B064" w:rsidR="00BB304D" w:rsidRPr="00AB1C01" w:rsidRDefault="000919F1"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 xml:space="preserve">Commercial fish feed (Raanan fish feed) was purchased from the market and used as the basal diet (Table 1). The experimental diets were prepared by incorporating different doses of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extract into this commercial feed. The basal diet was used as the control diet (T0). Three other experimental diets, T1, T2 and T3, were formulated by adding 10 mL, 15 mL and 20 mL of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to 1 kg of the basal diet, corresponding to incorporation rates of 1%, 1.5% and 2%, respectively (Nurudeen et al., 2022; Lin et al., 2025). The diets were thoroughly mixed in a plastic container to ensure uniform distribution of the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The diets were shade-dried at ambient temperature (27.8 ± 3.2 °C) for 24 hours, packaged in airtight containers, labelled and stored until use.</w:t>
      </w:r>
    </w:p>
    <w:p w14:paraId="6836165E" w14:textId="77777777" w:rsidR="003D0E26" w:rsidRPr="00AB1C01" w:rsidRDefault="003D0E26" w:rsidP="00AB1C01">
      <w:pPr>
        <w:spacing w:after="120" w:line="240" w:lineRule="auto"/>
        <w:jc w:val="center"/>
        <w:rPr>
          <w:rFonts w:ascii="Arial" w:hAnsi="Arial" w:cs="Arial"/>
          <w:sz w:val="20"/>
          <w:szCs w:val="20"/>
          <w:lang w:val="en-US"/>
        </w:rPr>
      </w:pPr>
      <w:r w:rsidRPr="00AB1C01">
        <w:rPr>
          <w:rFonts w:ascii="Arial" w:hAnsi="Arial" w:cs="Arial"/>
          <w:b/>
          <w:sz w:val="20"/>
          <w:szCs w:val="20"/>
          <w:lang w:val="en-US"/>
        </w:rPr>
        <w:t>Table 1. Characteristics of the basal diet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175"/>
        <w:gridCol w:w="3175"/>
      </w:tblGrid>
      <w:tr w:rsidR="00EB3544" w:rsidRPr="00AB1C01" w14:paraId="3CB21B75" w14:textId="77777777" w:rsidTr="00AB1C01">
        <w:trPr>
          <w:trHeight w:val="20"/>
          <w:jc w:val="center"/>
        </w:trPr>
        <w:tc>
          <w:tcPr>
            <w:tcW w:w="3175" w:type="dxa"/>
            <w:tcBorders>
              <w:bottom w:val="single" w:sz="4" w:space="0" w:color="auto"/>
            </w:tcBorders>
          </w:tcPr>
          <w:p w14:paraId="7E04F64D" w14:textId="2652F984" w:rsidR="00EB3544" w:rsidRPr="00AB1C01" w:rsidRDefault="00EB3544" w:rsidP="00AB1C01">
            <w:pPr>
              <w:pStyle w:val="ListParagraph"/>
              <w:ind w:left="0"/>
              <w:jc w:val="center"/>
              <w:rPr>
                <w:rFonts w:ascii="Arial" w:hAnsi="Arial" w:cs="Arial"/>
                <w:b/>
                <w:bCs/>
                <w:sz w:val="20"/>
                <w:szCs w:val="20"/>
                <w:lang w:val="en-US"/>
              </w:rPr>
            </w:pPr>
            <w:r w:rsidRPr="00AB1C01">
              <w:rPr>
                <w:rFonts w:ascii="Arial" w:hAnsi="Arial" w:cs="Arial"/>
                <w:b/>
                <w:bCs/>
                <w:sz w:val="20"/>
                <w:szCs w:val="20"/>
                <w:lang w:val="en-US"/>
              </w:rPr>
              <w:t>Ingredients</w:t>
            </w:r>
          </w:p>
        </w:tc>
        <w:tc>
          <w:tcPr>
            <w:tcW w:w="3175" w:type="dxa"/>
            <w:tcBorders>
              <w:bottom w:val="single" w:sz="4" w:space="0" w:color="auto"/>
            </w:tcBorders>
          </w:tcPr>
          <w:p w14:paraId="1F69E63B" w14:textId="77777777" w:rsidR="00EB3544" w:rsidRPr="00AB1C01" w:rsidRDefault="00EB3544" w:rsidP="00AB1C01">
            <w:pPr>
              <w:pStyle w:val="ListParagraph"/>
              <w:ind w:left="0"/>
              <w:jc w:val="center"/>
              <w:rPr>
                <w:rFonts w:ascii="Arial" w:hAnsi="Arial" w:cs="Arial"/>
                <w:b/>
                <w:bCs/>
                <w:sz w:val="20"/>
                <w:szCs w:val="20"/>
                <w:lang w:val="en-US"/>
              </w:rPr>
            </w:pPr>
            <w:r w:rsidRPr="00AB1C01">
              <w:rPr>
                <w:rFonts w:ascii="Arial" w:hAnsi="Arial" w:cs="Arial"/>
                <w:b/>
                <w:bCs/>
                <w:sz w:val="20"/>
                <w:szCs w:val="20"/>
                <w:lang w:val="en-US"/>
              </w:rPr>
              <w:t>Composition (%)</w:t>
            </w:r>
          </w:p>
        </w:tc>
      </w:tr>
      <w:tr w:rsidR="00EB3544" w:rsidRPr="00AB1C01" w14:paraId="0D4B670C" w14:textId="77777777" w:rsidTr="00AB1C01">
        <w:trPr>
          <w:trHeight w:val="20"/>
          <w:jc w:val="center"/>
        </w:trPr>
        <w:tc>
          <w:tcPr>
            <w:tcW w:w="3175" w:type="dxa"/>
            <w:tcBorders>
              <w:bottom w:val="nil"/>
            </w:tcBorders>
          </w:tcPr>
          <w:p w14:paraId="17D42FEC" w14:textId="77777777" w:rsidR="00EB3544" w:rsidRPr="00AB1C01" w:rsidRDefault="003D0E26"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Protein</w:t>
            </w:r>
          </w:p>
        </w:tc>
        <w:tc>
          <w:tcPr>
            <w:tcW w:w="3175" w:type="dxa"/>
            <w:tcBorders>
              <w:bottom w:val="nil"/>
            </w:tcBorders>
          </w:tcPr>
          <w:p w14:paraId="423F3119" w14:textId="77777777" w:rsidR="00EB3544"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40</w:t>
            </w:r>
          </w:p>
        </w:tc>
      </w:tr>
      <w:tr w:rsidR="00EB3544" w:rsidRPr="00AB1C01" w14:paraId="43434C40" w14:textId="77777777" w:rsidTr="00AB1C01">
        <w:trPr>
          <w:trHeight w:val="20"/>
          <w:jc w:val="center"/>
        </w:trPr>
        <w:tc>
          <w:tcPr>
            <w:tcW w:w="3175" w:type="dxa"/>
            <w:tcBorders>
              <w:top w:val="nil"/>
              <w:bottom w:val="nil"/>
            </w:tcBorders>
          </w:tcPr>
          <w:p w14:paraId="20BCFE78" w14:textId="77777777" w:rsidR="00EB3544" w:rsidRPr="00AB1C01" w:rsidRDefault="003D0E26"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Fat</w:t>
            </w:r>
          </w:p>
        </w:tc>
        <w:tc>
          <w:tcPr>
            <w:tcW w:w="3175" w:type="dxa"/>
            <w:tcBorders>
              <w:top w:val="nil"/>
              <w:bottom w:val="nil"/>
            </w:tcBorders>
          </w:tcPr>
          <w:p w14:paraId="0D7B0389" w14:textId="77777777" w:rsidR="00EB3544"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7</w:t>
            </w:r>
          </w:p>
        </w:tc>
      </w:tr>
      <w:tr w:rsidR="00EB3544" w:rsidRPr="00AB1C01" w14:paraId="74D2FE9B" w14:textId="77777777" w:rsidTr="00AB1C01">
        <w:trPr>
          <w:trHeight w:val="20"/>
          <w:jc w:val="center"/>
        </w:trPr>
        <w:tc>
          <w:tcPr>
            <w:tcW w:w="3175" w:type="dxa"/>
            <w:tcBorders>
              <w:top w:val="nil"/>
              <w:bottom w:val="nil"/>
            </w:tcBorders>
          </w:tcPr>
          <w:p w14:paraId="07D116E9" w14:textId="77777777" w:rsidR="00EB3544" w:rsidRPr="00AB1C01" w:rsidRDefault="003D0E26"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Moisture</w:t>
            </w:r>
          </w:p>
        </w:tc>
        <w:tc>
          <w:tcPr>
            <w:tcW w:w="3175" w:type="dxa"/>
            <w:tcBorders>
              <w:top w:val="nil"/>
              <w:bottom w:val="nil"/>
            </w:tcBorders>
          </w:tcPr>
          <w:p w14:paraId="7B688C15" w14:textId="77777777" w:rsidR="00EB3544"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9</w:t>
            </w:r>
          </w:p>
        </w:tc>
      </w:tr>
      <w:tr w:rsidR="00EB3544" w:rsidRPr="00AB1C01" w14:paraId="687B13E9" w14:textId="77777777" w:rsidTr="00AB1C01">
        <w:trPr>
          <w:trHeight w:val="20"/>
          <w:jc w:val="center"/>
        </w:trPr>
        <w:tc>
          <w:tcPr>
            <w:tcW w:w="3175" w:type="dxa"/>
            <w:tcBorders>
              <w:top w:val="nil"/>
              <w:bottom w:val="nil"/>
            </w:tcBorders>
          </w:tcPr>
          <w:p w14:paraId="5D7E7F9C" w14:textId="583B058F" w:rsidR="00EB3544" w:rsidRPr="00AB1C01" w:rsidRDefault="003D0E26" w:rsidP="00AB1C01">
            <w:pPr>
              <w:jc w:val="center"/>
              <w:rPr>
                <w:rFonts w:ascii="Arial" w:hAnsi="Arial" w:cs="Arial"/>
                <w:sz w:val="20"/>
                <w:szCs w:val="20"/>
                <w:lang w:val="en-US"/>
              </w:rPr>
            </w:pPr>
            <w:r w:rsidRPr="00AB1C01">
              <w:rPr>
                <w:rFonts w:ascii="Arial" w:hAnsi="Arial" w:cs="Arial"/>
                <w:sz w:val="20"/>
                <w:szCs w:val="20"/>
                <w:lang w:val="en-US"/>
              </w:rPr>
              <w:t>Ash</w:t>
            </w:r>
          </w:p>
        </w:tc>
        <w:tc>
          <w:tcPr>
            <w:tcW w:w="3175" w:type="dxa"/>
            <w:tcBorders>
              <w:top w:val="nil"/>
              <w:bottom w:val="nil"/>
            </w:tcBorders>
          </w:tcPr>
          <w:p w14:paraId="58F274E3" w14:textId="77777777" w:rsidR="00EB3544"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11</w:t>
            </w:r>
          </w:p>
        </w:tc>
      </w:tr>
      <w:tr w:rsidR="00EB3544" w:rsidRPr="00AB1C01" w14:paraId="0FB8D6C7" w14:textId="77777777" w:rsidTr="00AB1C01">
        <w:trPr>
          <w:trHeight w:val="20"/>
          <w:jc w:val="center"/>
        </w:trPr>
        <w:tc>
          <w:tcPr>
            <w:tcW w:w="3175" w:type="dxa"/>
            <w:tcBorders>
              <w:top w:val="nil"/>
              <w:bottom w:val="nil"/>
            </w:tcBorders>
          </w:tcPr>
          <w:p w14:paraId="54B7BD9E" w14:textId="77777777" w:rsidR="00EB3544" w:rsidRPr="00AB1C01" w:rsidRDefault="003D0E26"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Fiber</w:t>
            </w:r>
          </w:p>
        </w:tc>
        <w:tc>
          <w:tcPr>
            <w:tcW w:w="3175" w:type="dxa"/>
            <w:tcBorders>
              <w:top w:val="nil"/>
              <w:bottom w:val="nil"/>
            </w:tcBorders>
          </w:tcPr>
          <w:p w14:paraId="27F2266C" w14:textId="77777777" w:rsidR="00EB3544"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2.5</w:t>
            </w:r>
          </w:p>
        </w:tc>
      </w:tr>
      <w:tr w:rsidR="00A45859" w:rsidRPr="00AB1C01" w14:paraId="28480629" w14:textId="77777777" w:rsidTr="00AB1C01">
        <w:trPr>
          <w:trHeight w:val="20"/>
          <w:jc w:val="center"/>
        </w:trPr>
        <w:tc>
          <w:tcPr>
            <w:tcW w:w="3175" w:type="dxa"/>
            <w:tcBorders>
              <w:top w:val="nil"/>
              <w:bottom w:val="nil"/>
            </w:tcBorders>
          </w:tcPr>
          <w:p w14:paraId="41144617" w14:textId="77777777" w:rsidR="00A45859"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lastRenderedPageBreak/>
              <w:t>Phosphorus</w:t>
            </w:r>
          </w:p>
        </w:tc>
        <w:tc>
          <w:tcPr>
            <w:tcW w:w="3175" w:type="dxa"/>
            <w:tcBorders>
              <w:top w:val="nil"/>
              <w:bottom w:val="nil"/>
            </w:tcBorders>
          </w:tcPr>
          <w:p w14:paraId="41D1CA3B" w14:textId="77777777" w:rsidR="00A45859"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1.2</w:t>
            </w:r>
          </w:p>
        </w:tc>
      </w:tr>
      <w:tr w:rsidR="00A45859" w:rsidRPr="00AB1C01" w14:paraId="582B78A2" w14:textId="77777777" w:rsidTr="00AB1C01">
        <w:trPr>
          <w:trHeight w:val="20"/>
          <w:jc w:val="center"/>
        </w:trPr>
        <w:tc>
          <w:tcPr>
            <w:tcW w:w="3175" w:type="dxa"/>
            <w:tcBorders>
              <w:top w:val="nil"/>
              <w:bottom w:val="nil"/>
            </w:tcBorders>
          </w:tcPr>
          <w:p w14:paraId="6E212CBB" w14:textId="6B511929" w:rsidR="00A45859"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Vitamin A</w:t>
            </w:r>
          </w:p>
        </w:tc>
        <w:tc>
          <w:tcPr>
            <w:tcW w:w="3175" w:type="dxa"/>
            <w:tcBorders>
              <w:top w:val="nil"/>
              <w:bottom w:val="nil"/>
            </w:tcBorders>
          </w:tcPr>
          <w:p w14:paraId="09BDF9F9" w14:textId="77777777" w:rsidR="00A45859" w:rsidRPr="00AB1C01" w:rsidRDefault="0002482B"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15000 IU/kg</w:t>
            </w:r>
          </w:p>
        </w:tc>
      </w:tr>
      <w:tr w:rsidR="00A45859" w:rsidRPr="00AB1C01" w14:paraId="594D0F75" w14:textId="77777777" w:rsidTr="00AB1C01">
        <w:trPr>
          <w:trHeight w:val="20"/>
          <w:jc w:val="center"/>
        </w:trPr>
        <w:tc>
          <w:tcPr>
            <w:tcW w:w="3175" w:type="dxa"/>
            <w:tcBorders>
              <w:top w:val="nil"/>
              <w:bottom w:val="single" w:sz="4" w:space="0" w:color="auto"/>
            </w:tcBorders>
          </w:tcPr>
          <w:p w14:paraId="16BFBB04" w14:textId="77777777" w:rsidR="00A45859" w:rsidRPr="00AB1C01" w:rsidRDefault="00A45859" w:rsidP="00AB1C01">
            <w:pPr>
              <w:pStyle w:val="ListParagraph"/>
              <w:ind w:left="0"/>
              <w:jc w:val="center"/>
              <w:rPr>
                <w:rFonts w:ascii="Arial" w:hAnsi="Arial" w:cs="Arial"/>
                <w:sz w:val="20"/>
                <w:szCs w:val="20"/>
                <w:lang w:val="en-US"/>
              </w:rPr>
            </w:pPr>
            <w:r w:rsidRPr="00AB1C01">
              <w:rPr>
                <w:rFonts w:ascii="Arial" w:hAnsi="Arial" w:cs="Arial"/>
                <w:sz w:val="20"/>
                <w:szCs w:val="20"/>
                <w:lang w:val="en-US"/>
              </w:rPr>
              <w:t>Vitamin C</w:t>
            </w:r>
          </w:p>
        </w:tc>
        <w:tc>
          <w:tcPr>
            <w:tcW w:w="3175" w:type="dxa"/>
            <w:tcBorders>
              <w:top w:val="nil"/>
              <w:bottom w:val="single" w:sz="4" w:space="0" w:color="auto"/>
            </w:tcBorders>
          </w:tcPr>
          <w:p w14:paraId="54764BF6" w14:textId="23F7E008" w:rsidR="00A45859" w:rsidRPr="00AB1C01" w:rsidRDefault="0002482B" w:rsidP="00AB1C01">
            <w:pPr>
              <w:pStyle w:val="ListParagraph"/>
              <w:numPr>
                <w:ilvl w:val="0"/>
                <w:numId w:val="7"/>
              </w:numPr>
              <w:jc w:val="center"/>
              <w:rPr>
                <w:rFonts w:ascii="Arial" w:hAnsi="Arial" w:cs="Arial"/>
                <w:sz w:val="20"/>
                <w:szCs w:val="20"/>
                <w:lang w:val="en-US"/>
              </w:rPr>
            </w:pPr>
            <w:r w:rsidRPr="00AB1C01">
              <w:rPr>
                <w:rFonts w:ascii="Arial" w:hAnsi="Arial" w:cs="Arial"/>
                <w:sz w:val="20"/>
                <w:szCs w:val="20"/>
                <w:lang w:val="en-US"/>
              </w:rPr>
              <w:t>/</w:t>
            </w:r>
            <w:proofErr w:type="gramStart"/>
            <w:r w:rsidRPr="00AB1C01">
              <w:rPr>
                <w:rFonts w:ascii="Arial" w:hAnsi="Arial" w:cs="Arial"/>
                <w:sz w:val="20"/>
                <w:szCs w:val="20"/>
                <w:lang w:val="en-US"/>
              </w:rPr>
              <w:t>kg</w:t>
            </w:r>
            <w:proofErr w:type="gramEnd"/>
          </w:p>
        </w:tc>
      </w:tr>
    </w:tbl>
    <w:p w14:paraId="602E5579" w14:textId="77777777" w:rsidR="00261ECA" w:rsidRPr="00734A56" w:rsidRDefault="00261ECA" w:rsidP="005C0517">
      <w:pPr>
        <w:pStyle w:val="ListParagraph"/>
        <w:spacing w:after="120" w:line="240" w:lineRule="auto"/>
        <w:ind w:left="927"/>
        <w:jc w:val="both"/>
        <w:rPr>
          <w:rFonts w:ascii="Arial" w:hAnsi="Arial" w:cs="Arial"/>
          <w:sz w:val="24"/>
          <w:szCs w:val="24"/>
          <w:lang w:val="en-US"/>
        </w:rPr>
      </w:pPr>
    </w:p>
    <w:p w14:paraId="2A4362A4" w14:textId="657E275F" w:rsidR="00857268" w:rsidRPr="00211206" w:rsidRDefault="00211206" w:rsidP="00822B1F">
      <w:pPr>
        <w:spacing w:after="120" w:line="240" w:lineRule="auto"/>
        <w:rPr>
          <w:rFonts w:ascii="Arial" w:hAnsi="Arial" w:cs="Arial"/>
          <w:b/>
          <w:bCs/>
          <w:lang w:val="en-US"/>
        </w:rPr>
      </w:pPr>
      <w:r>
        <w:rPr>
          <w:rFonts w:ascii="Arial" w:hAnsi="Arial" w:cs="Arial"/>
          <w:b/>
        </w:rPr>
        <w:t xml:space="preserve">2.3. </w:t>
      </w:r>
      <w:proofErr w:type="spellStart"/>
      <w:r w:rsidR="007F3933" w:rsidRPr="00211206">
        <w:rPr>
          <w:rFonts w:ascii="Arial" w:hAnsi="Arial" w:cs="Arial"/>
          <w:b/>
        </w:rPr>
        <w:t>Experimental</w:t>
      </w:r>
      <w:proofErr w:type="spellEnd"/>
      <w:r w:rsidR="007F3933" w:rsidRPr="00211206">
        <w:rPr>
          <w:rFonts w:ascii="Arial" w:hAnsi="Arial" w:cs="Arial"/>
          <w:b/>
        </w:rPr>
        <w:t xml:space="preserve"> Fish</w:t>
      </w:r>
    </w:p>
    <w:p w14:paraId="762C071D" w14:textId="4E6A07CB" w:rsidR="00F15104" w:rsidRPr="00AB1C01" w:rsidRDefault="001A4240"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 xml:space="preserve">A total of 180 apparently healthy </w:t>
      </w:r>
      <w:r w:rsidRPr="00AB1C01">
        <w:rPr>
          <w:rFonts w:ascii="Arial" w:hAnsi="Arial" w:cs="Arial"/>
          <w:i/>
          <w:sz w:val="20"/>
          <w:szCs w:val="20"/>
          <w:lang w:val="en-US"/>
        </w:rPr>
        <w:t>Oreochromis niloticus</w:t>
      </w:r>
      <w:r w:rsidRPr="00AB1C01">
        <w:rPr>
          <w:rFonts w:ascii="Arial" w:hAnsi="Arial" w:cs="Arial"/>
          <w:sz w:val="20"/>
          <w:szCs w:val="20"/>
          <w:lang w:val="en-US"/>
        </w:rPr>
        <w:t xml:space="preserve"> fingerlings with average body weight of 7.49 ± 1.43 g were obtained from the private hatchery of the Faso Fish Expertise and Production Center, in </w:t>
      </w:r>
      <w:proofErr w:type="spellStart"/>
      <w:r w:rsidRPr="00AB1C01">
        <w:rPr>
          <w:rFonts w:ascii="Arial" w:hAnsi="Arial" w:cs="Arial"/>
          <w:sz w:val="20"/>
          <w:szCs w:val="20"/>
          <w:lang w:val="en-US"/>
        </w:rPr>
        <w:t>Loumbila</w:t>
      </w:r>
      <w:proofErr w:type="spellEnd"/>
      <w:r w:rsidRPr="00AB1C01">
        <w:rPr>
          <w:rFonts w:ascii="Arial" w:hAnsi="Arial" w:cs="Arial"/>
          <w:sz w:val="20"/>
          <w:szCs w:val="20"/>
          <w:lang w:val="en-US"/>
        </w:rPr>
        <w:t xml:space="preserve"> village, Oubri region, Burkina Faso. The experimental setup was located on-site at the same facility. The fish were acclimated for 14 days to adapt to the experimental environment, during which time they were fed with a commercial diet. After this acclimation period, 15 fingerlings were randomly distributed into 12 plastic tanks of dimension 50 cm×35 cm×30 cm. Each tank constituted a replicate for each of the four dietary treatments. The water was changed daily, replacing approximately one-third of the total volume with fresh groundwater. The fish were fed three times a day (at 8:00 a.m., 12:00 p.m., and 4:00 p.m.), to apparent satiety, with the experimental diets for 90 days. Each group received a daily feed ration equivalent to 7% of its body weight. The average body weight of the fingerlings in each experimental unit was measured every two weeks using a digital scale and recorded to the nearest gram, and their total length was recorded to the nearest centimeter. Throughout the experiment, water temperature, pH, dissolved oxygen, and conductivity were monitored daily using YINMIK multiparameter. </w:t>
      </w:r>
    </w:p>
    <w:p w14:paraId="069BB77A" w14:textId="224DE7BA" w:rsidR="007F3933" w:rsidRPr="00536E9E" w:rsidRDefault="00211206" w:rsidP="00822B1F">
      <w:pPr>
        <w:spacing w:after="120" w:line="240" w:lineRule="auto"/>
        <w:rPr>
          <w:rFonts w:ascii="Arial" w:hAnsi="Arial" w:cs="Arial"/>
          <w:b/>
          <w:bCs/>
          <w:lang w:val="en-US"/>
        </w:rPr>
      </w:pPr>
      <w:r w:rsidRPr="00536E9E">
        <w:rPr>
          <w:rFonts w:ascii="Arial" w:hAnsi="Arial" w:cs="Arial"/>
          <w:b/>
          <w:lang w:val="en-US"/>
        </w:rPr>
        <w:t xml:space="preserve">2.4. </w:t>
      </w:r>
      <w:r w:rsidR="007F3933" w:rsidRPr="00536E9E">
        <w:rPr>
          <w:rFonts w:ascii="Arial" w:hAnsi="Arial" w:cs="Arial"/>
          <w:b/>
          <w:lang w:val="en-US"/>
        </w:rPr>
        <w:t>Determination of Growth Performance and Feed Utilization</w:t>
      </w:r>
    </w:p>
    <w:p w14:paraId="1EDA779F" w14:textId="00E156F5" w:rsidR="00D44480" w:rsidRPr="00AB1C01" w:rsidRDefault="00F543E8"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The following growth and feed utilization parameters were calculated using the following equations (Guillaume et al., 1999):</w:t>
      </w:r>
    </w:p>
    <w:p w14:paraId="3F950E6C" w14:textId="77777777" w:rsidR="00FC5AD3" w:rsidRPr="00AB1C01"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lang w:val="en-US"/>
            </w:rPr>
            <m:t xml:space="preserve">Weight gain </m:t>
          </m:r>
          <m:d>
            <m:dPr>
              <m:ctrlPr>
                <w:rPr>
                  <w:rFonts w:ascii="Cambria Math" w:hAnsi="Cambria Math" w:cs="Arial"/>
                  <w:sz w:val="20"/>
                  <w:szCs w:val="20"/>
                  <w:lang w:val="en-US"/>
                </w:rPr>
              </m:ctrlPr>
            </m:dPr>
            <m:e>
              <m:r>
                <m:rPr>
                  <m:sty m:val="p"/>
                </m:rPr>
                <w:rPr>
                  <w:rFonts w:ascii="Cambria Math" w:hAnsi="Cambria Math" w:cs="Arial"/>
                  <w:sz w:val="20"/>
                  <w:szCs w:val="20"/>
                  <w:lang w:val="en-US"/>
                </w:rPr>
                <m:t>WG, g</m:t>
              </m:r>
            </m:e>
          </m:d>
          <m:r>
            <w:rPr>
              <w:rFonts w:ascii="Cambria Math" w:hAnsi="Cambria Math" w:cs="Arial"/>
              <w:sz w:val="20"/>
              <w:szCs w:val="20"/>
            </w:rPr>
            <m:t>=</m:t>
          </m:r>
          <m:r>
            <m:rPr>
              <m:sty m:val="p"/>
            </m:rPr>
            <w:rPr>
              <w:rFonts w:ascii="Cambria Math" w:hAnsi="Cambria Math" w:cs="Arial"/>
              <w:sz w:val="20"/>
              <w:szCs w:val="20"/>
              <w:lang w:val="en-US"/>
            </w:rPr>
            <m:t>Final</m:t>
          </m:r>
          <w:bookmarkStart w:id="0" w:name="_Hlk237114529"/>
          <m:r>
            <m:rPr>
              <m:sty m:val="p"/>
            </m:rPr>
            <w:rPr>
              <w:rFonts w:ascii="Cambria Math" w:hAnsi="Cambria Math" w:cs="Arial"/>
              <w:sz w:val="20"/>
              <w:szCs w:val="20"/>
              <w:lang w:val="en-US"/>
            </w:rPr>
            <m:t xml:space="preserve"> body weight</m:t>
          </m:r>
          <w:bookmarkEnd w:id="0"/>
          <m:r>
            <m:rPr>
              <m:sty m:val="p"/>
            </m:rPr>
            <w:rPr>
              <w:rFonts w:ascii="Cambria Math" w:hAnsi="Cambria Math" w:cs="Arial"/>
              <w:sz w:val="20"/>
              <w:szCs w:val="20"/>
              <w:lang w:val="en-US"/>
            </w:rPr>
            <m:t xml:space="preserve"> </m:t>
          </m:r>
          <m:d>
            <m:dPr>
              <m:ctrlPr>
                <w:rPr>
                  <w:rFonts w:ascii="Cambria Math" w:hAnsi="Cambria Math" w:cs="Arial"/>
                  <w:sz w:val="20"/>
                  <w:szCs w:val="20"/>
                  <w:lang w:val="en-US"/>
                </w:rPr>
              </m:ctrlPr>
            </m:dPr>
            <m:e>
              <m:r>
                <m:rPr>
                  <m:sty m:val="p"/>
                </m:rPr>
                <w:rPr>
                  <w:rFonts w:ascii="Cambria Math" w:hAnsi="Cambria Math" w:cs="Arial"/>
                  <w:sz w:val="20"/>
                  <w:szCs w:val="20"/>
                  <w:lang w:val="en-US"/>
                </w:rPr>
                <m:t>FBW, g</m:t>
              </m:r>
            </m:e>
          </m:d>
          <m:r>
            <m:rPr>
              <m:sty m:val="p"/>
            </m:rPr>
            <w:rPr>
              <w:rFonts w:ascii="Cambria Math" w:hAnsi="Cambria Math" w:cs="Arial"/>
              <w:sz w:val="20"/>
              <w:szCs w:val="20"/>
            </w:rPr>
            <m:t xml:space="preserve">- </m:t>
          </m:r>
          <m:r>
            <m:rPr>
              <m:sty m:val="p"/>
            </m:rPr>
            <w:rPr>
              <w:rFonts w:ascii="Cambria Math" w:hAnsi="Cambria Math" w:cs="Arial"/>
              <w:sz w:val="20"/>
              <w:szCs w:val="20"/>
              <w:lang w:val="en-US"/>
            </w:rPr>
            <m:t xml:space="preserve">Initial body weight </m:t>
          </m:r>
          <m:r>
            <m:rPr>
              <m:sty m:val="p"/>
            </m:rPr>
            <w:rPr>
              <w:rFonts w:ascii="Cambria Math" w:hAnsi="Cambria Math" w:cs="Arial"/>
              <w:sz w:val="20"/>
              <w:szCs w:val="20"/>
            </w:rPr>
            <m:t>(</m:t>
          </m:r>
          <m:r>
            <m:rPr>
              <m:sty m:val="p"/>
            </m:rPr>
            <w:rPr>
              <w:rFonts w:ascii="Cambria Math" w:hAnsi="Cambria Math" w:cs="Arial"/>
              <w:sz w:val="20"/>
              <w:szCs w:val="20"/>
              <w:lang w:val="en-US"/>
            </w:rPr>
            <m:t>IBW, g</m:t>
          </m:r>
          <m:r>
            <m:rPr>
              <m:sty m:val="p"/>
            </m:rPr>
            <w:rPr>
              <w:rFonts w:ascii="Cambria Math" w:hAnsi="Cambria Math" w:cs="Arial"/>
              <w:sz w:val="20"/>
              <w:szCs w:val="20"/>
            </w:rPr>
            <m:t>)</m:t>
          </m:r>
        </m:oMath>
      </m:oMathPara>
    </w:p>
    <w:p w14:paraId="54571ABA" w14:textId="77777777" w:rsidR="00FC5AD3" w:rsidRPr="00AB1C01" w:rsidRDefault="00FC5AD3" w:rsidP="00FC5AD3">
      <w:pPr>
        <w:spacing w:line="240" w:lineRule="auto"/>
        <w:jc w:val="both"/>
        <w:rPr>
          <w:rFonts w:ascii="Arial" w:eastAsiaTheme="minorEastAsia" w:hAnsi="Arial" w:cs="Arial"/>
          <w:sz w:val="20"/>
          <w:szCs w:val="20"/>
        </w:rPr>
      </w:pPr>
      <m:oMathPara>
        <m:oMath>
          <m:r>
            <m:rPr>
              <m:sty m:val="p"/>
            </m:rPr>
            <w:rPr>
              <w:rFonts w:ascii="Cambria Math" w:eastAsiaTheme="minorEastAsia" w:hAnsi="Cambria Math" w:cs="Arial"/>
              <w:sz w:val="20"/>
              <w:szCs w:val="20"/>
              <w:lang w:val="en-US"/>
            </w:rPr>
            <m:t xml:space="preserve">Daily weight gain (DWG, g/day) </m:t>
          </m:r>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eastAsiaTheme="minorEastAsia" w:hAnsi="Cambria Math" w:cs="Arial"/>
                  <w:sz w:val="20"/>
                  <w:szCs w:val="20"/>
                  <w:lang w:val="en-US"/>
                </w:rPr>
                <m:t xml:space="preserve">FBW </m:t>
              </m:r>
              <m:d>
                <m:dPr>
                  <m:ctrlPr>
                    <w:rPr>
                      <w:rFonts w:ascii="Cambria Math" w:hAnsi="Cambria Math" w:cs="Arial"/>
                      <w:sz w:val="20"/>
                      <w:szCs w:val="20"/>
                    </w:rPr>
                  </m:ctrlPr>
                </m:dPr>
                <m:e>
                  <m:r>
                    <m:rPr>
                      <m:sty m:val="p"/>
                    </m:rPr>
                    <w:rPr>
                      <w:rFonts w:ascii="Cambria Math" w:hAnsi="Cambria Math" w:cs="Arial"/>
                      <w:sz w:val="20"/>
                      <w:szCs w:val="20"/>
                    </w:rPr>
                    <m:t>g</m:t>
                  </m:r>
                </m:e>
              </m:d>
              <m:r>
                <m:rPr>
                  <m:sty m:val="p"/>
                </m:rPr>
                <w:rPr>
                  <w:rFonts w:ascii="Cambria Math" w:hAnsi="Cambria Math" w:cs="Arial"/>
                  <w:sz w:val="20"/>
                  <w:szCs w:val="20"/>
                </w:rPr>
                <m:t xml:space="preserve">- </m:t>
              </m:r>
              <m:r>
                <m:rPr>
                  <m:sty m:val="p"/>
                </m:rPr>
                <w:rPr>
                  <w:rFonts w:ascii="Cambria Math" w:eastAsiaTheme="minorEastAsia" w:hAnsi="Cambria Math" w:cs="Arial"/>
                  <w:sz w:val="20"/>
                  <w:szCs w:val="20"/>
                  <w:lang w:val="en-US"/>
                </w:rPr>
                <m:t xml:space="preserve">IBW </m:t>
              </m:r>
              <m:r>
                <m:rPr>
                  <m:sty m:val="p"/>
                </m:rPr>
                <w:rPr>
                  <w:rFonts w:ascii="Cambria Math" w:hAnsi="Cambria Math" w:cs="Arial"/>
                  <w:sz w:val="20"/>
                  <w:szCs w:val="20"/>
                </w:rPr>
                <m:t xml:space="preserve">(g) </m:t>
              </m:r>
            </m:num>
            <m:den>
              <m:r>
                <m:rPr>
                  <m:sty m:val="p"/>
                </m:rPr>
                <w:rPr>
                  <w:rFonts w:ascii="Cambria Math" w:hAnsi="Cambria Math" w:cs="Arial"/>
                  <w:sz w:val="20"/>
                  <w:szCs w:val="20"/>
                </w:rPr>
                <m:t>Duration of feeding (day)</m:t>
              </m:r>
            </m:den>
          </m:f>
        </m:oMath>
      </m:oMathPara>
    </w:p>
    <w:p w14:paraId="2CA93514" w14:textId="77777777" w:rsidR="00FC5AD3" w:rsidRPr="00AB1C01"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rPr>
            <m:t xml:space="preserve">Specific growth rate (SGR, %/day)=100 </m:t>
          </m:r>
          <m:r>
            <m:rPr>
              <m:scr m:val="sans-serif"/>
              <m:sty m:val="p"/>
            </m:rPr>
            <w:rPr>
              <w:rFonts w:ascii="Cambria Math" w:hAnsi="Cambria Math" w:cs="Arial"/>
              <w:sz w:val="20"/>
              <w:szCs w:val="20"/>
            </w:rPr>
            <m:t>x</m:t>
          </m:r>
          <m:r>
            <w:rPr>
              <w:rFonts w:ascii="Cambria Math" w:hAnsi="Cambria Math" w:cs="Arial"/>
              <w:sz w:val="20"/>
              <w:szCs w:val="20"/>
            </w:rPr>
            <m:t xml:space="preserve"> </m:t>
          </m:r>
          <m:f>
            <m:fPr>
              <m:ctrlPr>
                <w:rPr>
                  <w:rFonts w:ascii="Cambria Math" w:hAnsi="Cambria Math" w:cs="Arial"/>
                  <w:sz w:val="20"/>
                  <w:szCs w:val="20"/>
                </w:rPr>
              </m:ctrlPr>
            </m:fPr>
            <m:num>
              <m:r>
                <m:rPr>
                  <m:sty m:val="p"/>
                </m:rPr>
                <w:rPr>
                  <w:rFonts w:ascii="Cambria Math" w:hAnsi="Cambria Math" w:cs="Arial"/>
                  <w:sz w:val="20"/>
                  <w:szCs w:val="20"/>
                </w:rPr>
                <m:t xml:space="preserve">ln FBW-ln IBW </m:t>
              </m:r>
            </m:num>
            <m:den>
              <m:r>
                <m:rPr>
                  <m:sty m:val="p"/>
                </m:rPr>
                <w:rPr>
                  <w:rFonts w:ascii="Cambria Math" w:hAnsi="Cambria Math" w:cs="Arial"/>
                  <w:sz w:val="20"/>
                  <w:szCs w:val="20"/>
                </w:rPr>
                <m:t>Duration of feeding (day)</m:t>
              </m:r>
            </m:den>
          </m:f>
        </m:oMath>
      </m:oMathPara>
    </w:p>
    <w:p w14:paraId="7265FC21" w14:textId="77777777" w:rsidR="00FC5AD3" w:rsidRPr="00AB1C01"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rPr>
            <m:t>Survival rate</m:t>
          </m:r>
          <m:r>
            <m:rPr>
              <m:sty m:val="b"/>
            </m:rPr>
            <w:rPr>
              <w:rFonts w:ascii="Cambria Math" w:hAnsi="Cambria Math" w:cs="Arial"/>
              <w:sz w:val="20"/>
              <w:szCs w:val="20"/>
            </w:rPr>
            <m:t xml:space="preserve"> (%)</m:t>
          </m:r>
          <m:r>
            <m:rPr>
              <m:sty m:val="p"/>
            </m:rPr>
            <w:rPr>
              <w:rFonts w:ascii="Cambria Math" w:hAnsi="Cambria Math" w:cs="Arial"/>
              <w:sz w:val="20"/>
              <w:szCs w:val="20"/>
            </w:rPr>
            <m:t xml:space="preserve">=100 </m:t>
          </m:r>
          <m:r>
            <m:rPr>
              <m:scr m:val="sans-serif"/>
              <m:sty m:val="p"/>
            </m:rPr>
            <w:rPr>
              <w:rFonts w:ascii="Cambria Math" w:hAnsi="Cambria Math" w:cs="Arial"/>
              <w:sz w:val="20"/>
              <w:szCs w:val="20"/>
            </w:rPr>
            <m:t>x</m:t>
          </m:r>
          <m:r>
            <w:rPr>
              <w:rFonts w:ascii="Cambria Math" w:hAnsi="Cambria Math" w:cs="Arial"/>
              <w:sz w:val="20"/>
              <w:szCs w:val="20"/>
            </w:rPr>
            <m:t xml:space="preserve"> </m:t>
          </m:r>
          <m:f>
            <m:fPr>
              <m:ctrlPr>
                <w:rPr>
                  <w:rFonts w:ascii="Cambria Math" w:hAnsi="Cambria Math" w:cs="Arial"/>
                  <w:sz w:val="20"/>
                  <w:szCs w:val="20"/>
                </w:rPr>
              </m:ctrlPr>
            </m:fPr>
            <m:num>
              <m:r>
                <m:rPr>
                  <m:sty m:val="p"/>
                </m:rPr>
                <w:rPr>
                  <w:rFonts w:ascii="Cambria Math" w:hAnsi="Cambria Math" w:cs="Arial"/>
                  <w:sz w:val="20"/>
                  <w:szCs w:val="20"/>
                </w:rPr>
                <m:t>Final fish number</m:t>
              </m:r>
            </m:num>
            <m:den>
              <m:r>
                <m:rPr>
                  <m:sty m:val="p"/>
                </m:rPr>
                <w:rPr>
                  <w:rFonts w:ascii="Cambria Math" w:hAnsi="Cambria Math" w:cs="Arial"/>
                  <w:sz w:val="20"/>
                  <w:szCs w:val="20"/>
                </w:rPr>
                <m:t>Initial fish number</m:t>
              </m:r>
            </m:den>
          </m:f>
        </m:oMath>
      </m:oMathPara>
    </w:p>
    <w:p w14:paraId="4D868336" w14:textId="77777777" w:rsidR="00FC5AD3" w:rsidRPr="00AB1C01"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lang w:val="en-US"/>
            </w:rPr>
            <m:t>Feed conversion ratio (FCR)</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lang w:val="en-US"/>
                </w:rPr>
                <m:t xml:space="preserve">Feed given </m:t>
              </m:r>
              <m:r>
                <m:rPr>
                  <m:sty m:val="p"/>
                </m:rPr>
                <w:rPr>
                  <w:rFonts w:ascii="Cambria Math" w:hAnsi="Cambria Math" w:cs="Arial"/>
                  <w:sz w:val="20"/>
                  <w:szCs w:val="20"/>
                </w:rPr>
                <m:t>(g)</m:t>
              </m:r>
            </m:num>
            <m:den>
              <m:r>
                <m:rPr>
                  <m:sty m:val="p"/>
                </m:rPr>
                <w:rPr>
                  <w:rFonts w:ascii="Cambria Math" w:hAnsi="Cambria Math" w:cs="Arial"/>
                  <w:sz w:val="20"/>
                  <w:szCs w:val="20"/>
                </w:rPr>
                <m:t xml:space="preserve">Weight gain </m:t>
              </m:r>
              <m:d>
                <m:dPr>
                  <m:ctrlPr>
                    <w:rPr>
                      <w:rFonts w:ascii="Cambria Math" w:hAnsi="Cambria Math" w:cs="Arial"/>
                      <w:iCs/>
                      <w:sz w:val="20"/>
                      <w:szCs w:val="20"/>
                    </w:rPr>
                  </m:ctrlPr>
                </m:dPr>
                <m:e>
                  <m:r>
                    <m:rPr>
                      <m:sty m:val="p"/>
                    </m:rPr>
                    <w:rPr>
                      <w:rFonts w:ascii="Cambria Math" w:hAnsi="Cambria Math" w:cs="Arial"/>
                      <w:sz w:val="20"/>
                      <w:szCs w:val="20"/>
                    </w:rPr>
                    <m:t>g</m:t>
                  </m:r>
                </m:e>
              </m:d>
              <m:r>
                <m:rPr>
                  <m:sty m:val="p"/>
                </m:rPr>
                <w:rPr>
                  <w:rFonts w:ascii="Cambria Math" w:hAnsi="Cambria Math" w:cs="Arial"/>
                  <w:sz w:val="20"/>
                  <w:szCs w:val="20"/>
                </w:rPr>
                <m:t xml:space="preserve"> </m:t>
              </m:r>
            </m:den>
          </m:f>
        </m:oMath>
      </m:oMathPara>
    </w:p>
    <w:p w14:paraId="418EA3DE" w14:textId="77777777" w:rsidR="00452AA4" w:rsidRPr="00AB1C01" w:rsidRDefault="00452AA4" w:rsidP="005C0517">
      <w:pPr>
        <w:spacing w:after="120" w:line="240" w:lineRule="auto"/>
        <w:jc w:val="both"/>
        <w:rPr>
          <w:rFonts w:ascii="Arial" w:eastAsiaTheme="minorEastAsia" w:hAnsi="Arial" w:cs="Arial"/>
          <w:sz w:val="20"/>
          <w:szCs w:val="20"/>
          <w:lang w:val="en-US"/>
        </w:rPr>
      </w:pPr>
      <w:r w:rsidRPr="00AB1C01">
        <w:rPr>
          <w:rFonts w:ascii="Arial" w:hAnsi="Arial" w:cs="Arial"/>
          <w:sz w:val="20"/>
          <w:szCs w:val="20"/>
          <w:lang w:val="en-US"/>
        </w:rPr>
        <w:t xml:space="preserve">The condition factor (k) was estimated using the formula (Le </w:t>
      </w:r>
      <w:proofErr w:type="spellStart"/>
      <w:r w:rsidRPr="00AB1C01">
        <w:rPr>
          <w:rFonts w:ascii="Arial" w:hAnsi="Arial" w:cs="Arial"/>
          <w:sz w:val="20"/>
          <w:szCs w:val="20"/>
          <w:lang w:val="en-US"/>
        </w:rPr>
        <w:t>Cren</w:t>
      </w:r>
      <w:proofErr w:type="spellEnd"/>
      <w:r w:rsidRPr="00AB1C01">
        <w:rPr>
          <w:rFonts w:ascii="Arial" w:hAnsi="Arial" w:cs="Arial"/>
          <w:sz w:val="20"/>
          <w:szCs w:val="20"/>
          <w:lang w:val="en-US"/>
        </w:rPr>
        <w:t>, 1951):</w:t>
      </w:r>
    </w:p>
    <w:p w14:paraId="18314E4C" w14:textId="0585FCFD" w:rsidR="002746F0" w:rsidRPr="00AB1C01" w:rsidRDefault="00452AA4" w:rsidP="00FC5AD3">
      <w:pPr>
        <w:spacing w:line="360" w:lineRule="auto"/>
        <w:jc w:val="center"/>
        <w:rPr>
          <w:rFonts w:ascii="Arial" w:eastAsiaTheme="minorEastAsia" w:hAnsi="Arial" w:cs="Arial"/>
          <w:sz w:val="20"/>
          <w:szCs w:val="20"/>
          <w:lang w:val="en-US"/>
        </w:rPr>
      </w:pPr>
      <w:r w:rsidRPr="00AB1C01">
        <w:rPr>
          <w:rFonts w:ascii="Arial" w:hAnsi="Arial" w:cs="Arial"/>
          <w:sz w:val="20"/>
          <w:szCs w:val="20"/>
          <w:lang w:val="en-US"/>
        </w:rPr>
        <w:t xml:space="preserve">K = </w:t>
      </w:r>
      <w:r w:rsidR="00FC5AD3" w:rsidRPr="00AB1C01">
        <w:rPr>
          <w:rFonts w:ascii="Arial" w:eastAsiaTheme="minorEastAsia" w:hAnsi="Arial" w:cs="Arial"/>
          <w:sz w:val="20"/>
          <w:szCs w:val="20"/>
          <w:lang w:val="en-US"/>
        </w:rPr>
        <w:t>100*W/</w:t>
      </w:r>
      <w:proofErr w:type="spellStart"/>
      <w:r w:rsidR="00FC5AD3" w:rsidRPr="00AB1C01">
        <w:rPr>
          <w:rFonts w:ascii="Arial" w:eastAsiaTheme="minorEastAsia" w:hAnsi="Arial" w:cs="Arial"/>
          <w:sz w:val="20"/>
          <w:szCs w:val="20"/>
          <w:lang w:val="en-US"/>
        </w:rPr>
        <w:t>L</w:t>
      </w:r>
      <w:r w:rsidR="00FC5AD3" w:rsidRPr="00AB1C01">
        <w:rPr>
          <w:rFonts w:ascii="Arial" w:eastAsiaTheme="minorEastAsia" w:hAnsi="Arial" w:cs="Arial"/>
          <w:sz w:val="20"/>
          <w:szCs w:val="20"/>
          <w:vertAlign w:val="superscript"/>
          <w:lang w:val="en-US"/>
        </w:rPr>
        <w:t>b</w:t>
      </w:r>
      <w:proofErr w:type="spellEnd"/>
    </w:p>
    <w:p w14:paraId="36957A80" w14:textId="77777777" w:rsidR="00452AA4" w:rsidRDefault="00452AA4"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 xml:space="preserve">Where k = condition factor, W = body weight in (g), L = total length (cm) and b = allometry constant deduced from the height-weight relationship.  </w:t>
      </w:r>
    </w:p>
    <w:p w14:paraId="79B7E260" w14:textId="77777777" w:rsidR="004E7B15" w:rsidRDefault="004E7B15" w:rsidP="005C0517">
      <w:pPr>
        <w:spacing w:after="120" w:line="240" w:lineRule="auto"/>
        <w:jc w:val="both"/>
        <w:rPr>
          <w:rFonts w:ascii="Arial" w:hAnsi="Arial" w:cs="Arial"/>
          <w:sz w:val="20"/>
          <w:szCs w:val="20"/>
          <w:lang w:val="en-US"/>
        </w:rPr>
      </w:pPr>
    </w:p>
    <w:p w14:paraId="75D27B4D" w14:textId="77777777" w:rsidR="004E7B15" w:rsidRPr="00AB1C01" w:rsidRDefault="004E7B15" w:rsidP="005C0517">
      <w:pPr>
        <w:spacing w:after="120" w:line="240" w:lineRule="auto"/>
        <w:jc w:val="both"/>
        <w:rPr>
          <w:rFonts w:ascii="Arial" w:eastAsiaTheme="minorEastAsia" w:hAnsi="Arial" w:cs="Arial"/>
          <w:sz w:val="20"/>
          <w:szCs w:val="20"/>
          <w:lang w:val="en-US"/>
        </w:rPr>
      </w:pPr>
    </w:p>
    <w:p w14:paraId="1F893F84" w14:textId="77777777" w:rsidR="00966FB7" w:rsidRPr="00AB1C01" w:rsidRDefault="00966FB7" w:rsidP="005C0517">
      <w:pPr>
        <w:spacing w:after="120" w:line="240" w:lineRule="auto"/>
        <w:jc w:val="both"/>
        <w:rPr>
          <w:rFonts w:ascii="Arial" w:eastAsiaTheme="minorEastAsia" w:hAnsi="Arial" w:cs="Arial"/>
          <w:sz w:val="20"/>
          <w:szCs w:val="20"/>
          <w:lang w:val="en-US"/>
        </w:rPr>
      </w:pPr>
    </w:p>
    <w:p w14:paraId="6F567B93" w14:textId="11FC6C62" w:rsidR="007F3933" w:rsidRPr="00211206" w:rsidRDefault="00211206" w:rsidP="00822B1F">
      <w:pPr>
        <w:spacing w:after="120" w:line="240" w:lineRule="auto"/>
        <w:rPr>
          <w:rFonts w:ascii="Arial" w:hAnsi="Arial" w:cs="Arial"/>
          <w:b/>
          <w:bCs/>
          <w:lang w:val="en-US"/>
        </w:rPr>
      </w:pPr>
      <w:r w:rsidRPr="00211206">
        <w:rPr>
          <w:rFonts w:ascii="Arial" w:hAnsi="Arial" w:cs="Arial"/>
          <w:b/>
          <w:lang w:val="en-US"/>
        </w:rPr>
        <w:t xml:space="preserve">2.5. </w:t>
      </w:r>
      <w:r w:rsidR="007F3933" w:rsidRPr="00211206">
        <w:rPr>
          <w:rFonts w:ascii="Arial" w:hAnsi="Arial" w:cs="Arial"/>
          <w:b/>
          <w:lang w:val="en-US"/>
        </w:rPr>
        <w:t>Statistical Analysis</w:t>
      </w:r>
    </w:p>
    <w:p w14:paraId="2F6CCEC9" w14:textId="40C33BE5" w:rsidR="005C5F1A" w:rsidRPr="00536E9E" w:rsidRDefault="00A926AB" w:rsidP="005C0517">
      <w:pPr>
        <w:spacing w:after="120" w:line="240" w:lineRule="auto"/>
        <w:jc w:val="both"/>
        <w:rPr>
          <w:rFonts w:ascii="Arial" w:hAnsi="Arial" w:cs="Arial"/>
          <w:sz w:val="20"/>
          <w:szCs w:val="20"/>
          <w:lang w:val="en-US"/>
        </w:rPr>
      </w:pPr>
      <w:r w:rsidRPr="00536E9E">
        <w:rPr>
          <w:rFonts w:ascii="Arial" w:hAnsi="Arial" w:cs="Arial"/>
          <w:sz w:val="20"/>
          <w:szCs w:val="20"/>
          <w:lang w:val="en-US"/>
        </w:rPr>
        <w:t xml:space="preserve">The data obtained were </w:t>
      </w:r>
      <w:proofErr w:type="spellStart"/>
      <w:r w:rsidRPr="00536E9E">
        <w:rPr>
          <w:rFonts w:ascii="Arial" w:hAnsi="Arial" w:cs="Arial"/>
          <w:sz w:val="20"/>
          <w:szCs w:val="20"/>
          <w:lang w:val="en-US"/>
        </w:rPr>
        <w:t>analysed</w:t>
      </w:r>
      <w:proofErr w:type="spellEnd"/>
      <w:r w:rsidRPr="00536E9E">
        <w:rPr>
          <w:rFonts w:ascii="Arial" w:hAnsi="Arial" w:cs="Arial"/>
          <w:sz w:val="20"/>
          <w:szCs w:val="20"/>
          <w:lang w:val="en-US"/>
        </w:rPr>
        <w:t xml:space="preserve"> using R software (version 4.5.0). The Kruskal–Wallis test was used to assess differences among the treatments. Statistical significance was set at </w:t>
      </w:r>
      <w:r w:rsidRPr="00DF39E3">
        <w:rPr>
          <w:rFonts w:ascii="Arial" w:hAnsi="Arial" w:cs="Arial"/>
          <w:i/>
          <w:iCs/>
          <w:sz w:val="20"/>
          <w:szCs w:val="20"/>
          <w:lang w:val="en-US"/>
        </w:rPr>
        <w:t>P</w:t>
      </w:r>
      <w:r w:rsidRPr="00536E9E">
        <w:rPr>
          <w:rFonts w:ascii="Arial" w:hAnsi="Arial" w:cs="Arial"/>
          <w:sz w:val="20"/>
          <w:szCs w:val="20"/>
          <w:lang w:val="en-US"/>
        </w:rPr>
        <w:t xml:space="preserve"> &lt;.05. The data are presented as means ± standard deviation (SD).</w:t>
      </w:r>
    </w:p>
    <w:p w14:paraId="7C45C27E" w14:textId="005BF86F" w:rsidR="00F94CC9" w:rsidRPr="00CE2939" w:rsidRDefault="00211206" w:rsidP="00822B1F">
      <w:pPr>
        <w:spacing w:after="120" w:line="240" w:lineRule="auto"/>
        <w:rPr>
          <w:rFonts w:ascii="Arial" w:hAnsi="Arial" w:cs="Arial"/>
          <w:b/>
          <w:lang w:val="en-US"/>
        </w:rPr>
      </w:pPr>
      <w:r w:rsidRPr="00CE2939">
        <w:rPr>
          <w:rFonts w:ascii="Arial" w:hAnsi="Arial" w:cs="Arial"/>
          <w:b/>
          <w:lang w:val="en-US"/>
        </w:rPr>
        <w:t xml:space="preserve">3. </w:t>
      </w:r>
      <w:r w:rsidR="00734A56" w:rsidRPr="00CE2939">
        <w:rPr>
          <w:rFonts w:ascii="Arial" w:hAnsi="Arial" w:cs="Arial"/>
          <w:b/>
          <w:lang w:val="en-US"/>
        </w:rPr>
        <w:t>RESULTS</w:t>
      </w:r>
      <w:r w:rsidRPr="00CE2939">
        <w:rPr>
          <w:rFonts w:ascii="Arial" w:hAnsi="Arial" w:cs="Arial"/>
          <w:b/>
          <w:lang w:val="en-US"/>
        </w:rPr>
        <w:t xml:space="preserve"> AND DISCUSSION</w:t>
      </w:r>
    </w:p>
    <w:p w14:paraId="23F930FD" w14:textId="44548E40" w:rsidR="00211206" w:rsidRPr="00211206" w:rsidRDefault="00211206" w:rsidP="00822B1F">
      <w:pPr>
        <w:spacing w:after="120" w:line="240" w:lineRule="auto"/>
        <w:rPr>
          <w:rFonts w:ascii="Arial" w:hAnsi="Arial" w:cs="Arial"/>
          <w:b/>
          <w:bCs/>
          <w:lang w:val="en-US"/>
        </w:rPr>
      </w:pPr>
      <w:r w:rsidRPr="00CE2939">
        <w:rPr>
          <w:rFonts w:ascii="Arial" w:hAnsi="Arial" w:cs="Arial"/>
          <w:b/>
          <w:lang w:val="en-US"/>
        </w:rPr>
        <w:t xml:space="preserve">3.1. </w:t>
      </w:r>
      <w:r w:rsidR="004E7B15" w:rsidRPr="00CE2939">
        <w:rPr>
          <w:rFonts w:ascii="Arial" w:hAnsi="Arial" w:cs="Arial"/>
          <w:b/>
          <w:lang w:val="en-US"/>
        </w:rPr>
        <w:t>RESULTS</w:t>
      </w:r>
      <w:r w:rsidRPr="00CE2939">
        <w:rPr>
          <w:rFonts w:ascii="Arial" w:hAnsi="Arial" w:cs="Arial"/>
          <w:b/>
          <w:lang w:val="en-US"/>
        </w:rPr>
        <w:t xml:space="preserve"> </w:t>
      </w:r>
    </w:p>
    <w:p w14:paraId="011E23BA" w14:textId="548F705D" w:rsidR="008A005A" w:rsidRPr="00211206" w:rsidRDefault="00211206" w:rsidP="00822B1F">
      <w:pPr>
        <w:spacing w:after="120" w:line="240" w:lineRule="auto"/>
        <w:rPr>
          <w:rFonts w:ascii="Arial" w:hAnsi="Arial" w:cs="Arial"/>
          <w:b/>
          <w:bCs/>
          <w:sz w:val="20"/>
          <w:szCs w:val="20"/>
          <w:lang w:val="en-US"/>
        </w:rPr>
      </w:pPr>
      <w:r w:rsidRPr="00CE2939">
        <w:rPr>
          <w:rFonts w:ascii="Arial" w:hAnsi="Arial" w:cs="Arial"/>
          <w:b/>
          <w:sz w:val="20"/>
          <w:szCs w:val="20"/>
          <w:lang w:val="en-US"/>
        </w:rPr>
        <w:t xml:space="preserve">3.1.1. </w:t>
      </w:r>
      <w:r w:rsidR="008A005A" w:rsidRPr="00CE2939">
        <w:rPr>
          <w:rFonts w:ascii="Arial" w:hAnsi="Arial" w:cs="Arial"/>
          <w:b/>
          <w:sz w:val="20"/>
          <w:szCs w:val="20"/>
          <w:lang w:val="en-US"/>
        </w:rPr>
        <w:t>Water Quality</w:t>
      </w:r>
    </w:p>
    <w:p w14:paraId="3DA84E51" w14:textId="160D5125" w:rsidR="00C929C5" w:rsidRPr="00AB1C01" w:rsidRDefault="003B1AB7"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 xml:space="preserve">The average physicochemical parameters of the water are presented in Table 2. During the experiment, no significant differences were observed among the different groups. The temperature ranged from </w:t>
      </w:r>
      <w:r w:rsidRPr="00AB1C01">
        <w:rPr>
          <w:rFonts w:ascii="Arial" w:hAnsi="Arial" w:cs="Arial"/>
          <w:sz w:val="20"/>
          <w:szCs w:val="20"/>
          <w:lang w:val="en-US"/>
        </w:rPr>
        <w:lastRenderedPageBreak/>
        <w:t xml:space="preserve">28.22 ± 1.95 to 28.46 ± 1.93 °C, the dissolved oxygen concentration from 4.14 ± 0.91 to 4.54 ± 1.06 mg/L, and the pH from 7.31 ± 0.15 to 7.37 ± 0.18. The same applies to salinity and conductivity, which ranged from 235 ± 30 to 239 ± 23 ppm and from 470 ± 58 to 476 ± 48 </w:t>
      </w:r>
      <w:r w:rsidRPr="00AB1C01">
        <w:rPr>
          <w:rFonts w:ascii="Arial" w:hAnsi="Arial" w:cs="Arial"/>
          <w:sz w:val="20"/>
          <w:szCs w:val="20"/>
        </w:rPr>
        <w:t>μ</w:t>
      </w:r>
      <w:r w:rsidRPr="00AB1C01">
        <w:rPr>
          <w:rFonts w:ascii="Arial" w:hAnsi="Arial" w:cs="Arial"/>
          <w:sz w:val="20"/>
          <w:szCs w:val="20"/>
          <w:lang w:val="en-US"/>
        </w:rPr>
        <w:t>S/cm, respectively.</w:t>
      </w:r>
    </w:p>
    <w:p w14:paraId="7CD142ED" w14:textId="77777777" w:rsidR="00C929C5" w:rsidRPr="00AB1C01" w:rsidRDefault="00C929C5" w:rsidP="00AB1C01">
      <w:pPr>
        <w:spacing w:after="120" w:line="240" w:lineRule="auto"/>
        <w:jc w:val="center"/>
        <w:rPr>
          <w:rFonts w:ascii="Arial" w:hAnsi="Arial" w:cs="Arial"/>
          <w:sz w:val="20"/>
          <w:szCs w:val="20"/>
          <w:lang w:val="en-US"/>
        </w:rPr>
      </w:pPr>
      <w:r w:rsidRPr="00AB1C01">
        <w:rPr>
          <w:rFonts w:ascii="Arial" w:hAnsi="Arial" w:cs="Arial"/>
          <w:b/>
          <w:sz w:val="20"/>
          <w:szCs w:val="20"/>
          <w:lang w:val="en-US"/>
        </w:rPr>
        <w:t>Table 2. Average physicochemical water parameters under the different treatments</w:t>
      </w:r>
    </w:p>
    <w:tbl>
      <w:tblPr>
        <w:tblStyle w:val="Table"/>
        <w:tblW w:w="9072" w:type="dxa"/>
        <w:jc w:val="center"/>
        <w:tblBorders>
          <w:top w:val="single" w:sz="4" w:space="0" w:color="auto"/>
          <w:bottom w:val="single" w:sz="4" w:space="0" w:color="auto"/>
        </w:tblBorders>
        <w:tblCellMar>
          <w:left w:w="60" w:type="dxa"/>
          <w:right w:w="60" w:type="dxa"/>
        </w:tblCellMar>
        <w:tblLook w:val="0000" w:firstRow="0" w:lastRow="0" w:firstColumn="0" w:lastColumn="0" w:noHBand="0" w:noVBand="0"/>
      </w:tblPr>
      <w:tblGrid>
        <w:gridCol w:w="2702"/>
        <w:gridCol w:w="1290"/>
        <w:gridCol w:w="1290"/>
        <w:gridCol w:w="1289"/>
        <w:gridCol w:w="1290"/>
        <w:gridCol w:w="1211"/>
      </w:tblGrid>
      <w:tr w:rsidR="000E5460" w:rsidRPr="00AB1C01" w14:paraId="3F4B2E8A" w14:textId="32CCB78A" w:rsidTr="000E5460">
        <w:trPr>
          <w:cantSplit/>
          <w:trHeight w:val="20"/>
          <w:tblHeader/>
          <w:jc w:val="center"/>
        </w:trPr>
        <w:tc>
          <w:tcPr>
            <w:tcW w:w="2702" w:type="dxa"/>
            <w:tcBorders>
              <w:top w:val="single" w:sz="4" w:space="0" w:color="auto"/>
              <w:bottom w:val="single" w:sz="4" w:space="0" w:color="auto"/>
            </w:tcBorders>
          </w:tcPr>
          <w:p w14:paraId="03018592"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b/>
                <w:sz w:val="20"/>
                <w:szCs w:val="20"/>
              </w:rPr>
              <w:t>Parameters</w:t>
            </w:r>
          </w:p>
        </w:tc>
        <w:tc>
          <w:tcPr>
            <w:tcW w:w="1290" w:type="dxa"/>
            <w:tcBorders>
              <w:top w:val="single" w:sz="4" w:space="0" w:color="auto"/>
              <w:bottom w:val="single" w:sz="4" w:space="0" w:color="auto"/>
            </w:tcBorders>
          </w:tcPr>
          <w:p w14:paraId="6C6DF519" w14:textId="77777777" w:rsidR="000E5460" w:rsidRPr="00AB1C01" w:rsidRDefault="000E5460" w:rsidP="005C0517">
            <w:pPr>
              <w:keepNext/>
              <w:spacing w:after="0"/>
              <w:ind w:hanging="2"/>
              <w:jc w:val="both"/>
              <w:rPr>
                <w:rFonts w:ascii="Arial" w:hAnsi="Arial" w:cs="Arial"/>
                <w:b/>
                <w:sz w:val="20"/>
                <w:szCs w:val="20"/>
              </w:rPr>
            </w:pPr>
            <w:r w:rsidRPr="00AB1C01">
              <w:rPr>
                <w:rFonts w:ascii="Arial" w:hAnsi="Arial" w:cs="Arial"/>
                <w:b/>
                <w:sz w:val="20"/>
                <w:szCs w:val="20"/>
              </w:rPr>
              <w:t xml:space="preserve">T0 </w:t>
            </w:r>
          </w:p>
        </w:tc>
        <w:tc>
          <w:tcPr>
            <w:tcW w:w="1290" w:type="dxa"/>
            <w:tcBorders>
              <w:top w:val="single" w:sz="4" w:space="0" w:color="auto"/>
              <w:bottom w:val="single" w:sz="4" w:space="0" w:color="auto"/>
            </w:tcBorders>
          </w:tcPr>
          <w:p w14:paraId="5160AFBA"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b/>
                <w:sz w:val="20"/>
                <w:szCs w:val="20"/>
              </w:rPr>
              <w:t xml:space="preserve">T1 </w:t>
            </w:r>
          </w:p>
        </w:tc>
        <w:tc>
          <w:tcPr>
            <w:tcW w:w="1289" w:type="dxa"/>
            <w:tcBorders>
              <w:top w:val="single" w:sz="4" w:space="0" w:color="auto"/>
              <w:bottom w:val="single" w:sz="4" w:space="0" w:color="auto"/>
            </w:tcBorders>
          </w:tcPr>
          <w:p w14:paraId="054255DB"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b/>
                <w:sz w:val="20"/>
                <w:szCs w:val="20"/>
              </w:rPr>
              <w:t xml:space="preserve">T2  </w:t>
            </w:r>
          </w:p>
        </w:tc>
        <w:tc>
          <w:tcPr>
            <w:tcW w:w="1290" w:type="dxa"/>
            <w:tcBorders>
              <w:top w:val="single" w:sz="4" w:space="0" w:color="auto"/>
              <w:bottom w:val="single" w:sz="4" w:space="0" w:color="auto"/>
            </w:tcBorders>
          </w:tcPr>
          <w:p w14:paraId="5CE45985"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b/>
                <w:sz w:val="20"/>
                <w:szCs w:val="20"/>
              </w:rPr>
              <w:t xml:space="preserve">T3 </w:t>
            </w:r>
          </w:p>
        </w:tc>
        <w:tc>
          <w:tcPr>
            <w:tcW w:w="1211" w:type="dxa"/>
            <w:tcBorders>
              <w:top w:val="single" w:sz="4" w:space="0" w:color="auto"/>
              <w:bottom w:val="single" w:sz="4" w:space="0" w:color="auto"/>
            </w:tcBorders>
          </w:tcPr>
          <w:p w14:paraId="72A9E72C" w14:textId="001C1AA1" w:rsidR="000E5460" w:rsidRPr="00AB1C01" w:rsidRDefault="000E5460" w:rsidP="005C0517">
            <w:pPr>
              <w:keepNext/>
              <w:spacing w:after="0"/>
              <w:ind w:hanging="2"/>
              <w:jc w:val="both"/>
              <w:rPr>
                <w:rFonts w:ascii="Arial" w:hAnsi="Arial" w:cs="Arial"/>
                <w:b/>
                <w:sz w:val="20"/>
                <w:szCs w:val="20"/>
              </w:rPr>
            </w:pPr>
            <w:r w:rsidRPr="00DF39E3">
              <w:rPr>
                <w:rFonts w:ascii="Arial" w:hAnsi="Arial" w:cs="Arial"/>
                <w:b/>
                <w:i/>
                <w:iCs/>
                <w:sz w:val="20"/>
                <w:szCs w:val="20"/>
              </w:rPr>
              <w:t>P</w:t>
            </w:r>
            <w:r w:rsidRPr="00AB1C01">
              <w:rPr>
                <w:rFonts w:ascii="Arial" w:hAnsi="Arial" w:cs="Arial"/>
                <w:b/>
                <w:sz w:val="20"/>
                <w:szCs w:val="20"/>
              </w:rPr>
              <w:t>-value</w:t>
            </w:r>
          </w:p>
        </w:tc>
      </w:tr>
      <w:tr w:rsidR="000E5460" w:rsidRPr="00AB1C01" w14:paraId="726F84FC" w14:textId="7B166C1B" w:rsidTr="000E5460">
        <w:trPr>
          <w:cantSplit/>
          <w:trHeight w:val="20"/>
          <w:jc w:val="center"/>
        </w:trPr>
        <w:tc>
          <w:tcPr>
            <w:tcW w:w="2702" w:type="dxa"/>
            <w:tcBorders>
              <w:top w:val="single" w:sz="4" w:space="0" w:color="auto"/>
            </w:tcBorders>
          </w:tcPr>
          <w:p w14:paraId="42453B33"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pH</w:t>
            </w:r>
          </w:p>
        </w:tc>
        <w:tc>
          <w:tcPr>
            <w:tcW w:w="1290" w:type="dxa"/>
            <w:tcBorders>
              <w:top w:val="single" w:sz="4" w:space="0" w:color="auto"/>
            </w:tcBorders>
          </w:tcPr>
          <w:p w14:paraId="74FCEFE9"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7.31 ± 0.15</w:t>
            </w:r>
          </w:p>
        </w:tc>
        <w:tc>
          <w:tcPr>
            <w:tcW w:w="1290" w:type="dxa"/>
            <w:tcBorders>
              <w:top w:val="single" w:sz="4" w:space="0" w:color="auto"/>
            </w:tcBorders>
          </w:tcPr>
          <w:p w14:paraId="268CBC6D"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7.31 ± 0.16</w:t>
            </w:r>
          </w:p>
        </w:tc>
        <w:tc>
          <w:tcPr>
            <w:tcW w:w="1289" w:type="dxa"/>
            <w:tcBorders>
              <w:top w:val="single" w:sz="4" w:space="0" w:color="auto"/>
            </w:tcBorders>
          </w:tcPr>
          <w:p w14:paraId="002561F7"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7.37 ± 0.18</w:t>
            </w:r>
          </w:p>
        </w:tc>
        <w:tc>
          <w:tcPr>
            <w:tcW w:w="1290" w:type="dxa"/>
            <w:tcBorders>
              <w:top w:val="single" w:sz="4" w:space="0" w:color="auto"/>
            </w:tcBorders>
          </w:tcPr>
          <w:p w14:paraId="352BF555"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7.36 ± 0.17</w:t>
            </w:r>
          </w:p>
        </w:tc>
        <w:tc>
          <w:tcPr>
            <w:tcW w:w="1211" w:type="dxa"/>
            <w:tcBorders>
              <w:top w:val="single" w:sz="4" w:space="0" w:color="auto"/>
            </w:tcBorders>
          </w:tcPr>
          <w:p w14:paraId="263E4205" w14:textId="11DC897A" w:rsidR="000E5460" w:rsidRPr="00AB1C01" w:rsidRDefault="00D77EAA" w:rsidP="005C0517">
            <w:pPr>
              <w:keepNext/>
              <w:spacing w:after="0"/>
              <w:ind w:hanging="2"/>
              <w:jc w:val="both"/>
              <w:rPr>
                <w:rFonts w:ascii="Arial" w:hAnsi="Arial" w:cs="Arial"/>
                <w:sz w:val="20"/>
                <w:szCs w:val="20"/>
              </w:rPr>
            </w:pPr>
            <w:r>
              <w:rPr>
                <w:rFonts w:ascii="Arial" w:hAnsi="Arial" w:cs="Arial"/>
                <w:sz w:val="20"/>
                <w:szCs w:val="20"/>
              </w:rPr>
              <w:t>.1</w:t>
            </w:r>
          </w:p>
        </w:tc>
      </w:tr>
      <w:tr w:rsidR="000E5460" w:rsidRPr="00AB1C01" w14:paraId="1104E0A4" w14:textId="3D77772F" w:rsidTr="000E5460">
        <w:trPr>
          <w:cantSplit/>
          <w:trHeight w:val="20"/>
          <w:jc w:val="center"/>
        </w:trPr>
        <w:tc>
          <w:tcPr>
            <w:tcW w:w="2702" w:type="dxa"/>
          </w:tcPr>
          <w:p w14:paraId="3B4DAE3C" w14:textId="77777777" w:rsidR="000E5460" w:rsidRPr="00AB1C01" w:rsidRDefault="000E5460" w:rsidP="005C0517">
            <w:pPr>
              <w:keepNext/>
              <w:spacing w:after="0"/>
              <w:jc w:val="both"/>
              <w:rPr>
                <w:rFonts w:ascii="Arial" w:hAnsi="Arial" w:cs="Arial"/>
                <w:sz w:val="20"/>
                <w:szCs w:val="20"/>
              </w:rPr>
            </w:pPr>
            <w:r w:rsidRPr="00AB1C01">
              <w:rPr>
                <w:rFonts w:ascii="Arial" w:hAnsi="Arial" w:cs="Arial"/>
                <w:sz w:val="20"/>
                <w:szCs w:val="20"/>
              </w:rPr>
              <w:t>Temperature (°C)</w:t>
            </w:r>
          </w:p>
        </w:tc>
        <w:tc>
          <w:tcPr>
            <w:tcW w:w="1290" w:type="dxa"/>
          </w:tcPr>
          <w:p w14:paraId="2E2202D9"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28.29 ± 1.97</w:t>
            </w:r>
          </w:p>
        </w:tc>
        <w:tc>
          <w:tcPr>
            <w:tcW w:w="1290" w:type="dxa"/>
          </w:tcPr>
          <w:p w14:paraId="69D40A82"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28.22 ± 1.95</w:t>
            </w:r>
          </w:p>
        </w:tc>
        <w:tc>
          <w:tcPr>
            <w:tcW w:w="1289" w:type="dxa"/>
          </w:tcPr>
          <w:p w14:paraId="06A4089A"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28.45 ± 1.97</w:t>
            </w:r>
          </w:p>
        </w:tc>
        <w:tc>
          <w:tcPr>
            <w:tcW w:w="1290" w:type="dxa"/>
          </w:tcPr>
          <w:p w14:paraId="5DEABA95"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28.46 ± 1.93</w:t>
            </w:r>
          </w:p>
        </w:tc>
        <w:tc>
          <w:tcPr>
            <w:tcW w:w="1211" w:type="dxa"/>
          </w:tcPr>
          <w:p w14:paraId="2B2416D9" w14:textId="5492B7E2" w:rsidR="000E5460" w:rsidRPr="00AB1C01" w:rsidRDefault="00D77EAA" w:rsidP="005C0517">
            <w:pPr>
              <w:keepNext/>
              <w:spacing w:after="0"/>
              <w:ind w:hanging="2"/>
              <w:jc w:val="both"/>
              <w:rPr>
                <w:rFonts w:ascii="Arial" w:hAnsi="Arial" w:cs="Arial"/>
                <w:sz w:val="20"/>
                <w:szCs w:val="20"/>
              </w:rPr>
            </w:pPr>
            <w:r>
              <w:rPr>
                <w:rFonts w:ascii="Arial" w:hAnsi="Arial" w:cs="Arial"/>
                <w:sz w:val="20"/>
                <w:szCs w:val="20"/>
              </w:rPr>
              <w:t>.2</w:t>
            </w:r>
          </w:p>
        </w:tc>
      </w:tr>
      <w:tr w:rsidR="000E5460" w:rsidRPr="00AB1C01" w14:paraId="6AE38750" w14:textId="228D5555" w:rsidTr="000E5460">
        <w:trPr>
          <w:cantSplit/>
          <w:trHeight w:val="20"/>
          <w:jc w:val="center"/>
        </w:trPr>
        <w:tc>
          <w:tcPr>
            <w:tcW w:w="2702" w:type="dxa"/>
          </w:tcPr>
          <w:p w14:paraId="032AA662"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Salinity (ppm)</w:t>
            </w:r>
          </w:p>
        </w:tc>
        <w:tc>
          <w:tcPr>
            <w:tcW w:w="1290" w:type="dxa"/>
          </w:tcPr>
          <w:p w14:paraId="163DB6ED"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235 ± 30</w:t>
            </w:r>
          </w:p>
        </w:tc>
        <w:tc>
          <w:tcPr>
            <w:tcW w:w="1290" w:type="dxa"/>
          </w:tcPr>
          <w:p w14:paraId="589F53DA"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237 ± 29</w:t>
            </w:r>
          </w:p>
        </w:tc>
        <w:tc>
          <w:tcPr>
            <w:tcW w:w="1289" w:type="dxa"/>
          </w:tcPr>
          <w:p w14:paraId="7360B40D"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236 ± 33</w:t>
            </w:r>
          </w:p>
        </w:tc>
        <w:tc>
          <w:tcPr>
            <w:tcW w:w="1290" w:type="dxa"/>
          </w:tcPr>
          <w:p w14:paraId="5FE8391A"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239 ± 23</w:t>
            </w:r>
          </w:p>
        </w:tc>
        <w:tc>
          <w:tcPr>
            <w:tcW w:w="1211" w:type="dxa"/>
          </w:tcPr>
          <w:p w14:paraId="230F50D5" w14:textId="1BA52A2D" w:rsidR="000E5460" w:rsidRPr="00AB1C01" w:rsidRDefault="00D77EAA" w:rsidP="005C0517">
            <w:pPr>
              <w:keepNext/>
              <w:spacing w:after="0"/>
              <w:ind w:hanging="2"/>
              <w:jc w:val="both"/>
              <w:rPr>
                <w:rFonts w:ascii="Arial" w:hAnsi="Arial" w:cs="Arial"/>
                <w:sz w:val="20"/>
                <w:szCs w:val="20"/>
              </w:rPr>
            </w:pPr>
            <w:r>
              <w:rPr>
                <w:rFonts w:ascii="Arial" w:hAnsi="Arial" w:cs="Arial"/>
                <w:sz w:val="20"/>
                <w:szCs w:val="20"/>
              </w:rPr>
              <w:t>.6</w:t>
            </w:r>
          </w:p>
        </w:tc>
      </w:tr>
      <w:tr w:rsidR="000E5460" w:rsidRPr="00AB1C01" w14:paraId="1F085A9C" w14:textId="1D9CC2A3" w:rsidTr="000E5460">
        <w:trPr>
          <w:cantSplit/>
          <w:trHeight w:val="20"/>
          <w:jc w:val="center"/>
        </w:trPr>
        <w:tc>
          <w:tcPr>
            <w:tcW w:w="2702" w:type="dxa"/>
          </w:tcPr>
          <w:p w14:paraId="35CB0558"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Conductivity (μS·cm−1)</w:t>
            </w:r>
          </w:p>
        </w:tc>
        <w:tc>
          <w:tcPr>
            <w:tcW w:w="1290" w:type="dxa"/>
          </w:tcPr>
          <w:p w14:paraId="4898CF6B"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470 ± 59</w:t>
            </w:r>
          </w:p>
        </w:tc>
        <w:tc>
          <w:tcPr>
            <w:tcW w:w="1290" w:type="dxa"/>
          </w:tcPr>
          <w:p w14:paraId="295A1C88"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473 ± 58</w:t>
            </w:r>
          </w:p>
        </w:tc>
        <w:tc>
          <w:tcPr>
            <w:tcW w:w="1289" w:type="dxa"/>
          </w:tcPr>
          <w:p w14:paraId="01054D06"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470 ± 58</w:t>
            </w:r>
          </w:p>
        </w:tc>
        <w:tc>
          <w:tcPr>
            <w:tcW w:w="1290" w:type="dxa"/>
          </w:tcPr>
          <w:p w14:paraId="43689AD3"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476 ± 48</w:t>
            </w:r>
          </w:p>
        </w:tc>
        <w:tc>
          <w:tcPr>
            <w:tcW w:w="1211" w:type="dxa"/>
          </w:tcPr>
          <w:p w14:paraId="21E3B717" w14:textId="2A4FC85B" w:rsidR="000E5460" w:rsidRPr="00AB1C01" w:rsidRDefault="00D77EAA" w:rsidP="005C0517">
            <w:pPr>
              <w:keepNext/>
              <w:spacing w:after="0"/>
              <w:ind w:hanging="2"/>
              <w:jc w:val="both"/>
              <w:rPr>
                <w:rFonts w:ascii="Arial" w:hAnsi="Arial" w:cs="Arial"/>
                <w:sz w:val="20"/>
                <w:szCs w:val="20"/>
              </w:rPr>
            </w:pPr>
            <w:r>
              <w:rPr>
                <w:rFonts w:ascii="Arial" w:hAnsi="Arial" w:cs="Arial"/>
                <w:sz w:val="20"/>
                <w:szCs w:val="20"/>
              </w:rPr>
              <w:t>.1</w:t>
            </w:r>
          </w:p>
        </w:tc>
      </w:tr>
      <w:tr w:rsidR="000E5460" w:rsidRPr="00AB1C01" w14:paraId="1D90AA7E" w14:textId="37F3B8F5" w:rsidTr="000E5460">
        <w:trPr>
          <w:cantSplit/>
          <w:trHeight w:val="20"/>
          <w:jc w:val="center"/>
        </w:trPr>
        <w:tc>
          <w:tcPr>
            <w:tcW w:w="2702" w:type="dxa"/>
          </w:tcPr>
          <w:p w14:paraId="1E88DC54"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Dissolved oxygen (mg·L−1)</w:t>
            </w:r>
          </w:p>
        </w:tc>
        <w:tc>
          <w:tcPr>
            <w:tcW w:w="1290" w:type="dxa"/>
          </w:tcPr>
          <w:p w14:paraId="03794B33"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4.16 ± 0.74</w:t>
            </w:r>
          </w:p>
        </w:tc>
        <w:tc>
          <w:tcPr>
            <w:tcW w:w="1290" w:type="dxa"/>
          </w:tcPr>
          <w:p w14:paraId="5F469E58"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4.14 ± 0.91</w:t>
            </w:r>
          </w:p>
        </w:tc>
        <w:tc>
          <w:tcPr>
            <w:tcW w:w="1289" w:type="dxa"/>
          </w:tcPr>
          <w:p w14:paraId="3335865D"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4.54 ± 1.06</w:t>
            </w:r>
          </w:p>
        </w:tc>
        <w:tc>
          <w:tcPr>
            <w:tcW w:w="1290" w:type="dxa"/>
          </w:tcPr>
          <w:p w14:paraId="277062F2" w14:textId="77777777" w:rsidR="000E5460" w:rsidRPr="00AB1C01" w:rsidRDefault="000E5460" w:rsidP="005C0517">
            <w:pPr>
              <w:keepNext/>
              <w:spacing w:after="0"/>
              <w:ind w:hanging="2"/>
              <w:jc w:val="both"/>
              <w:rPr>
                <w:rFonts w:ascii="Arial" w:hAnsi="Arial" w:cs="Arial"/>
                <w:sz w:val="20"/>
                <w:szCs w:val="20"/>
              </w:rPr>
            </w:pPr>
            <w:r w:rsidRPr="00AB1C01">
              <w:rPr>
                <w:rFonts w:ascii="Arial" w:hAnsi="Arial" w:cs="Arial"/>
                <w:sz w:val="20"/>
                <w:szCs w:val="20"/>
              </w:rPr>
              <w:t>4.29 ± 0.81</w:t>
            </w:r>
          </w:p>
        </w:tc>
        <w:tc>
          <w:tcPr>
            <w:tcW w:w="1211" w:type="dxa"/>
          </w:tcPr>
          <w:p w14:paraId="1C0B7369" w14:textId="36F5DA96" w:rsidR="000E5460" w:rsidRPr="00AB1C01" w:rsidRDefault="00D77EAA" w:rsidP="005C0517">
            <w:pPr>
              <w:keepNext/>
              <w:spacing w:after="0"/>
              <w:ind w:hanging="2"/>
              <w:jc w:val="both"/>
              <w:rPr>
                <w:rFonts w:ascii="Arial" w:hAnsi="Arial" w:cs="Arial"/>
                <w:sz w:val="20"/>
                <w:szCs w:val="20"/>
              </w:rPr>
            </w:pPr>
            <w:r>
              <w:rPr>
                <w:rFonts w:ascii="Arial" w:hAnsi="Arial" w:cs="Arial"/>
                <w:sz w:val="20"/>
                <w:szCs w:val="20"/>
              </w:rPr>
              <w:t>.6</w:t>
            </w:r>
          </w:p>
        </w:tc>
      </w:tr>
    </w:tbl>
    <w:p w14:paraId="036E19C4" w14:textId="0D5A73C3" w:rsidR="00CE0B97" w:rsidRPr="00734A56" w:rsidRDefault="009636D7" w:rsidP="005C0517">
      <w:pPr>
        <w:spacing w:after="120" w:line="240" w:lineRule="auto"/>
        <w:jc w:val="both"/>
        <w:rPr>
          <w:rFonts w:ascii="Arial" w:hAnsi="Arial" w:cs="Arial"/>
          <w:sz w:val="20"/>
          <w:szCs w:val="20"/>
          <w:lang w:val="en-US"/>
        </w:rPr>
      </w:pPr>
      <w:r w:rsidRPr="00734A56">
        <w:rPr>
          <w:rFonts w:ascii="Arial" w:hAnsi="Arial" w:cs="Arial"/>
          <w:sz w:val="20"/>
          <w:szCs w:val="20"/>
          <w:lang w:val="en-US"/>
        </w:rPr>
        <w:t xml:space="preserve">Data are presented in mean ± SD. T0 = control; T1 = group of fish fed with 1%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T2 = group of fish fed with 1.5%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T3 = group of fish fed with 2%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w:t>
      </w:r>
    </w:p>
    <w:p w14:paraId="31DF267B" w14:textId="3A1AEB91" w:rsidR="00592FCA" w:rsidRPr="00CE2939" w:rsidRDefault="00211206" w:rsidP="00211206">
      <w:pPr>
        <w:spacing w:after="120" w:line="240" w:lineRule="auto"/>
        <w:jc w:val="both"/>
        <w:rPr>
          <w:rFonts w:ascii="Arial" w:hAnsi="Arial" w:cs="Arial"/>
          <w:b/>
          <w:sz w:val="20"/>
          <w:szCs w:val="20"/>
          <w:lang w:val="en-US"/>
        </w:rPr>
      </w:pPr>
      <w:r w:rsidRPr="00CE2939">
        <w:rPr>
          <w:rFonts w:ascii="Arial" w:hAnsi="Arial" w:cs="Arial"/>
          <w:b/>
          <w:sz w:val="20"/>
          <w:szCs w:val="20"/>
          <w:lang w:val="en-US"/>
        </w:rPr>
        <w:t xml:space="preserve">3.1.2. </w:t>
      </w:r>
      <w:r w:rsidR="00592FCA" w:rsidRPr="00CE2939">
        <w:rPr>
          <w:rFonts w:ascii="Arial" w:hAnsi="Arial" w:cs="Arial"/>
          <w:b/>
          <w:sz w:val="20"/>
          <w:szCs w:val="20"/>
          <w:lang w:val="en-US"/>
        </w:rPr>
        <w:t>Growth Performance</w:t>
      </w:r>
    </w:p>
    <w:p w14:paraId="58D411F3" w14:textId="0AEF795C" w:rsidR="00315D54" w:rsidRPr="00AB1C01" w:rsidRDefault="009C359A"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 xml:space="preserve">The performance of the fish during the study is presented in Table 3. There was no significant difference in initial weight among the different treatment groups. Final weight, weight gain, daily weight gain, and specific growth rate were also statistically similar. The weight gain of fish not treated with </w:t>
      </w:r>
      <w:r w:rsidRPr="00AB1C01">
        <w:rPr>
          <w:rFonts w:ascii="Arial" w:hAnsi="Arial" w:cs="Arial"/>
          <w:i/>
          <w:sz w:val="20"/>
          <w:szCs w:val="20"/>
          <w:lang w:val="en-US"/>
        </w:rPr>
        <w:t xml:space="preserve">D. </w:t>
      </w:r>
      <w:proofErr w:type="spellStart"/>
      <w:r w:rsidRPr="00AB1C01">
        <w:rPr>
          <w:rFonts w:ascii="Arial" w:hAnsi="Arial" w:cs="Arial"/>
          <w:i/>
          <w:sz w:val="20"/>
          <w:szCs w:val="20"/>
          <w:lang w:val="en-US"/>
        </w:rPr>
        <w:t>microcarpum</w:t>
      </w:r>
      <w:proofErr w:type="spellEnd"/>
      <w:r w:rsidRPr="00AB1C01">
        <w:rPr>
          <w:rFonts w:ascii="Arial" w:hAnsi="Arial" w:cs="Arial"/>
          <w:sz w:val="20"/>
          <w:szCs w:val="20"/>
          <w:lang w:val="en-US"/>
        </w:rPr>
        <w:t xml:space="preserve"> bark extract was 24.69 ± 9.65 g, while the average weight gain of treated fish ranged from 25.70 ± 11.24 g (T3) to 28.96 ± 14.45 g (T2). The specific growth rate of treated fish varied from 1.59 ± 0.35%/day (T3) to 1.75 ± 0.42%/day (T1), compared with 1.60 ± 0.35%/day for untreated fish. No significant differences were observed among the treatments regarding survival rate and feed conversion ratio. The survival rate of treated fish was 91.11% (T1–T3), while that of untreated fish reached 95.56% at the end of the study. Furthermore, the feed conversion ratio ranged from 1.67 ± 0.15 (T1) to 1.87 ± 0.21 (T3) for treated fish and was 1.78 ± 0.17 for untreated fish.</w:t>
      </w:r>
    </w:p>
    <w:p w14:paraId="5AC18C3D" w14:textId="409C227E" w:rsidR="00E7382A" w:rsidRPr="00AB1C01" w:rsidRDefault="00E7382A" w:rsidP="005C0517">
      <w:pPr>
        <w:spacing w:after="120" w:line="240" w:lineRule="auto"/>
        <w:jc w:val="both"/>
        <w:rPr>
          <w:rFonts w:ascii="Arial" w:hAnsi="Arial" w:cs="Arial"/>
          <w:sz w:val="20"/>
          <w:szCs w:val="20"/>
          <w:lang w:val="en-US"/>
        </w:rPr>
      </w:pPr>
      <w:r w:rsidRPr="00AB1C01">
        <w:rPr>
          <w:rFonts w:ascii="Arial" w:hAnsi="Arial" w:cs="Arial"/>
          <w:sz w:val="20"/>
          <w:szCs w:val="20"/>
          <w:lang w:val="en-US"/>
        </w:rPr>
        <w:t>The mean value of condition factor (K) ranged from 2.22 ± 0.23 to 2.27 ± 0.20 for treated fish and was 2.29 ± 0.17 for untreated fish (Figure 1). Statistical analysis revealed no significant differences among the different groups of reared fish.</w:t>
      </w:r>
    </w:p>
    <w:p w14:paraId="6C8D2C16" w14:textId="77777777" w:rsidR="006A72CD" w:rsidRPr="00AB1C01" w:rsidRDefault="006A72CD" w:rsidP="005C0517">
      <w:pPr>
        <w:spacing w:after="120" w:line="240" w:lineRule="auto"/>
        <w:jc w:val="both"/>
        <w:rPr>
          <w:rFonts w:ascii="Arial" w:hAnsi="Arial" w:cs="Arial"/>
          <w:sz w:val="20"/>
          <w:szCs w:val="20"/>
          <w:lang w:val="en-US"/>
        </w:rPr>
      </w:pPr>
      <w:r w:rsidRPr="00AB1C01">
        <w:rPr>
          <w:rFonts w:ascii="Arial" w:hAnsi="Arial" w:cs="Arial"/>
          <w:b/>
          <w:sz w:val="20"/>
          <w:szCs w:val="20"/>
          <w:lang w:val="en-US"/>
        </w:rPr>
        <w:t>Table 3. Growth parameters of Nile tilapia fed different experimental diets for 90 days</w:t>
      </w:r>
    </w:p>
    <w:tbl>
      <w:tblPr>
        <w:tblStyle w:val="Table"/>
        <w:tblW w:w="10451" w:type="dxa"/>
        <w:jc w:val="center"/>
        <w:tblCellMar>
          <w:left w:w="60" w:type="dxa"/>
          <w:right w:w="60" w:type="dxa"/>
        </w:tblCellMar>
        <w:tblLook w:val="0000" w:firstRow="0" w:lastRow="0" w:firstColumn="0" w:lastColumn="0" w:noHBand="0" w:noVBand="0"/>
      </w:tblPr>
      <w:tblGrid>
        <w:gridCol w:w="3266"/>
        <w:gridCol w:w="1400"/>
        <w:gridCol w:w="1555"/>
        <w:gridCol w:w="1556"/>
        <w:gridCol w:w="1493"/>
        <w:gridCol w:w="152"/>
        <w:gridCol w:w="1029"/>
      </w:tblGrid>
      <w:tr w:rsidR="009D6CCD" w:rsidRPr="00AB1C01" w14:paraId="77BB45A8" w14:textId="77777777" w:rsidTr="00F07172">
        <w:trPr>
          <w:cantSplit/>
          <w:trHeight w:val="20"/>
          <w:tblHeader/>
          <w:jc w:val="center"/>
        </w:trPr>
        <w:tc>
          <w:tcPr>
            <w:tcW w:w="3266" w:type="dxa"/>
            <w:vMerge w:val="restart"/>
            <w:tcBorders>
              <w:top w:val="single" w:sz="4" w:space="0" w:color="auto"/>
              <w:bottom w:val="single" w:sz="4" w:space="0" w:color="auto"/>
            </w:tcBorders>
          </w:tcPr>
          <w:p w14:paraId="7EE13D07" w14:textId="77777777" w:rsidR="009D6CCD" w:rsidRPr="00AB1C01" w:rsidRDefault="009D6CCD" w:rsidP="005C0517">
            <w:pPr>
              <w:keepNext/>
              <w:spacing w:after="0"/>
              <w:jc w:val="both"/>
              <w:rPr>
                <w:rFonts w:ascii="Arial" w:hAnsi="Arial" w:cs="Arial"/>
                <w:b/>
                <w:sz w:val="20"/>
                <w:szCs w:val="20"/>
              </w:rPr>
            </w:pPr>
            <w:r w:rsidRPr="00AB1C01">
              <w:rPr>
                <w:rFonts w:ascii="Arial" w:hAnsi="Arial" w:cs="Arial"/>
                <w:b/>
                <w:sz w:val="20"/>
                <w:szCs w:val="20"/>
              </w:rPr>
              <w:t>Parameters</w:t>
            </w:r>
          </w:p>
        </w:tc>
        <w:tc>
          <w:tcPr>
            <w:tcW w:w="1400" w:type="dxa"/>
            <w:tcBorders>
              <w:top w:val="single" w:sz="4" w:space="0" w:color="auto"/>
              <w:bottom w:val="single" w:sz="4" w:space="0" w:color="auto"/>
            </w:tcBorders>
          </w:tcPr>
          <w:p w14:paraId="21EF2B42" w14:textId="77777777" w:rsidR="009D6CCD" w:rsidRPr="00AB1C01" w:rsidRDefault="009D6CCD" w:rsidP="005C0517">
            <w:pPr>
              <w:keepNext/>
              <w:spacing w:after="0"/>
              <w:jc w:val="both"/>
              <w:rPr>
                <w:rFonts w:ascii="Arial" w:hAnsi="Arial" w:cs="Arial"/>
                <w:b/>
                <w:sz w:val="20"/>
                <w:szCs w:val="20"/>
              </w:rPr>
            </w:pPr>
          </w:p>
        </w:tc>
        <w:tc>
          <w:tcPr>
            <w:tcW w:w="1555" w:type="dxa"/>
            <w:tcBorders>
              <w:top w:val="single" w:sz="4" w:space="0" w:color="auto"/>
              <w:bottom w:val="single" w:sz="4" w:space="0" w:color="auto"/>
            </w:tcBorders>
          </w:tcPr>
          <w:p w14:paraId="6F5B443D" w14:textId="77777777" w:rsidR="009D6CCD" w:rsidRPr="00AB1C01" w:rsidRDefault="009D6CCD" w:rsidP="005C0517">
            <w:pPr>
              <w:keepNext/>
              <w:spacing w:after="0"/>
              <w:jc w:val="both"/>
              <w:rPr>
                <w:rFonts w:ascii="Arial" w:hAnsi="Arial" w:cs="Arial"/>
                <w:b/>
                <w:sz w:val="20"/>
                <w:szCs w:val="20"/>
              </w:rPr>
            </w:pPr>
            <w:r w:rsidRPr="00AB1C01">
              <w:rPr>
                <w:rFonts w:ascii="Arial" w:hAnsi="Arial" w:cs="Arial"/>
                <w:b/>
                <w:sz w:val="20"/>
                <w:szCs w:val="20"/>
              </w:rPr>
              <w:t>Diets</w:t>
            </w:r>
          </w:p>
        </w:tc>
        <w:tc>
          <w:tcPr>
            <w:tcW w:w="1556" w:type="dxa"/>
            <w:tcBorders>
              <w:top w:val="single" w:sz="4" w:space="0" w:color="auto"/>
              <w:bottom w:val="single" w:sz="4" w:space="0" w:color="auto"/>
            </w:tcBorders>
          </w:tcPr>
          <w:p w14:paraId="1B55BA05" w14:textId="77777777" w:rsidR="009D6CCD" w:rsidRPr="00AB1C01" w:rsidRDefault="009D6CCD" w:rsidP="005C0517">
            <w:pPr>
              <w:keepNext/>
              <w:spacing w:after="0"/>
              <w:jc w:val="both"/>
              <w:rPr>
                <w:rFonts w:ascii="Arial" w:hAnsi="Arial" w:cs="Arial"/>
                <w:b/>
                <w:sz w:val="20"/>
                <w:szCs w:val="20"/>
              </w:rPr>
            </w:pPr>
          </w:p>
        </w:tc>
        <w:tc>
          <w:tcPr>
            <w:tcW w:w="1493" w:type="dxa"/>
            <w:tcBorders>
              <w:top w:val="single" w:sz="4" w:space="0" w:color="auto"/>
              <w:bottom w:val="single" w:sz="4" w:space="0" w:color="auto"/>
            </w:tcBorders>
          </w:tcPr>
          <w:p w14:paraId="42CE0DFC" w14:textId="77777777" w:rsidR="009D6CCD" w:rsidRPr="00AB1C01" w:rsidRDefault="009D6CCD" w:rsidP="005C0517">
            <w:pPr>
              <w:keepNext/>
              <w:spacing w:after="0"/>
              <w:jc w:val="both"/>
              <w:rPr>
                <w:rFonts w:ascii="Arial" w:hAnsi="Arial" w:cs="Arial"/>
                <w:b/>
                <w:sz w:val="20"/>
                <w:szCs w:val="20"/>
              </w:rPr>
            </w:pPr>
          </w:p>
        </w:tc>
        <w:tc>
          <w:tcPr>
            <w:tcW w:w="152" w:type="dxa"/>
            <w:tcBorders>
              <w:top w:val="single" w:sz="4" w:space="0" w:color="auto"/>
              <w:bottom w:val="single" w:sz="4" w:space="0" w:color="auto"/>
            </w:tcBorders>
          </w:tcPr>
          <w:p w14:paraId="75FB50EA" w14:textId="77777777" w:rsidR="009D6CCD" w:rsidRPr="00AB1C01" w:rsidRDefault="009D6CCD" w:rsidP="005C0517">
            <w:pPr>
              <w:keepNext/>
              <w:spacing w:after="0"/>
              <w:jc w:val="both"/>
              <w:rPr>
                <w:rFonts w:ascii="Arial" w:hAnsi="Arial" w:cs="Arial"/>
                <w:b/>
                <w:sz w:val="20"/>
                <w:szCs w:val="20"/>
              </w:rPr>
            </w:pPr>
          </w:p>
        </w:tc>
        <w:tc>
          <w:tcPr>
            <w:tcW w:w="0" w:type="auto"/>
            <w:tcBorders>
              <w:top w:val="single" w:sz="4" w:space="0" w:color="auto"/>
              <w:bottom w:val="single" w:sz="4" w:space="0" w:color="auto"/>
            </w:tcBorders>
          </w:tcPr>
          <w:p w14:paraId="455C0F14" w14:textId="77777777" w:rsidR="009D6CCD" w:rsidRPr="00AB1C01" w:rsidRDefault="009D6CCD" w:rsidP="005C0517">
            <w:pPr>
              <w:keepNext/>
              <w:spacing w:after="0"/>
              <w:jc w:val="both"/>
              <w:rPr>
                <w:rFonts w:ascii="Arial" w:hAnsi="Arial" w:cs="Arial"/>
                <w:b/>
                <w:sz w:val="20"/>
                <w:szCs w:val="20"/>
              </w:rPr>
            </w:pPr>
          </w:p>
        </w:tc>
      </w:tr>
      <w:tr w:rsidR="009D6CCD" w:rsidRPr="00AB1C01" w14:paraId="4E3A36CA" w14:textId="77777777" w:rsidTr="00F07172">
        <w:trPr>
          <w:cantSplit/>
          <w:trHeight w:val="20"/>
          <w:tblHeader/>
          <w:jc w:val="center"/>
        </w:trPr>
        <w:tc>
          <w:tcPr>
            <w:tcW w:w="3266" w:type="dxa"/>
            <w:vMerge/>
            <w:tcBorders>
              <w:top w:val="single" w:sz="4" w:space="0" w:color="auto"/>
              <w:bottom w:val="single" w:sz="4" w:space="0" w:color="auto"/>
            </w:tcBorders>
          </w:tcPr>
          <w:p w14:paraId="666C449A" w14:textId="77777777" w:rsidR="009D6CCD" w:rsidRPr="00AB1C01" w:rsidRDefault="009D6CCD" w:rsidP="005C0517">
            <w:pPr>
              <w:keepNext/>
              <w:spacing w:after="60"/>
              <w:jc w:val="both"/>
              <w:rPr>
                <w:rFonts w:ascii="Arial" w:hAnsi="Arial" w:cs="Arial"/>
                <w:sz w:val="20"/>
                <w:szCs w:val="20"/>
              </w:rPr>
            </w:pPr>
          </w:p>
        </w:tc>
        <w:tc>
          <w:tcPr>
            <w:tcW w:w="1400" w:type="dxa"/>
            <w:tcBorders>
              <w:top w:val="single" w:sz="4" w:space="0" w:color="auto"/>
              <w:bottom w:val="single" w:sz="4" w:space="0" w:color="auto"/>
            </w:tcBorders>
          </w:tcPr>
          <w:p w14:paraId="6290AA79" w14:textId="77777777" w:rsidR="009D6CCD" w:rsidRPr="00AB1C01" w:rsidRDefault="009D6CCD" w:rsidP="005C0517">
            <w:pPr>
              <w:keepNext/>
              <w:spacing w:after="0"/>
              <w:jc w:val="both"/>
              <w:rPr>
                <w:rFonts w:ascii="Arial" w:hAnsi="Arial" w:cs="Arial"/>
                <w:b/>
                <w:sz w:val="20"/>
                <w:szCs w:val="20"/>
              </w:rPr>
            </w:pPr>
            <w:r w:rsidRPr="00AB1C01">
              <w:rPr>
                <w:rFonts w:ascii="Arial" w:hAnsi="Arial" w:cs="Arial"/>
                <w:b/>
                <w:sz w:val="20"/>
                <w:szCs w:val="20"/>
              </w:rPr>
              <w:t>T0</w:t>
            </w:r>
            <w:r w:rsidRPr="00AB1C01">
              <w:rPr>
                <w:rFonts w:ascii="Arial" w:hAnsi="Arial" w:cs="Arial"/>
                <w:sz w:val="20"/>
                <w:szCs w:val="20"/>
              </w:rPr>
              <w:t xml:space="preserve"> </w:t>
            </w:r>
          </w:p>
        </w:tc>
        <w:tc>
          <w:tcPr>
            <w:tcW w:w="1555" w:type="dxa"/>
            <w:tcBorders>
              <w:top w:val="single" w:sz="4" w:space="0" w:color="auto"/>
              <w:bottom w:val="single" w:sz="4" w:space="0" w:color="auto"/>
            </w:tcBorders>
          </w:tcPr>
          <w:p w14:paraId="62E8DEB0"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b/>
                <w:sz w:val="20"/>
                <w:szCs w:val="20"/>
              </w:rPr>
              <w:t>T1</w:t>
            </w:r>
            <w:r w:rsidRPr="00AB1C01">
              <w:rPr>
                <w:rFonts w:ascii="Arial" w:hAnsi="Arial" w:cs="Arial"/>
                <w:sz w:val="20"/>
                <w:szCs w:val="20"/>
              </w:rPr>
              <w:t xml:space="preserve"> </w:t>
            </w:r>
          </w:p>
        </w:tc>
        <w:tc>
          <w:tcPr>
            <w:tcW w:w="1556" w:type="dxa"/>
            <w:tcBorders>
              <w:top w:val="single" w:sz="4" w:space="0" w:color="auto"/>
              <w:bottom w:val="single" w:sz="4" w:space="0" w:color="auto"/>
            </w:tcBorders>
          </w:tcPr>
          <w:p w14:paraId="1AB3F402"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b/>
                <w:sz w:val="20"/>
                <w:szCs w:val="20"/>
              </w:rPr>
              <w:t>T2</w:t>
            </w:r>
            <w:r w:rsidRPr="00AB1C01">
              <w:rPr>
                <w:rFonts w:ascii="Arial" w:hAnsi="Arial" w:cs="Arial"/>
                <w:sz w:val="20"/>
                <w:szCs w:val="20"/>
              </w:rPr>
              <w:t xml:space="preserve"> </w:t>
            </w:r>
          </w:p>
        </w:tc>
        <w:tc>
          <w:tcPr>
            <w:tcW w:w="1493" w:type="dxa"/>
            <w:tcBorders>
              <w:top w:val="single" w:sz="4" w:space="0" w:color="auto"/>
              <w:bottom w:val="single" w:sz="4" w:space="0" w:color="auto"/>
            </w:tcBorders>
          </w:tcPr>
          <w:p w14:paraId="04A4C40D"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b/>
                <w:sz w:val="20"/>
                <w:szCs w:val="20"/>
              </w:rPr>
              <w:t>T3</w:t>
            </w:r>
            <w:r w:rsidRPr="00AB1C01">
              <w:rPr>
                <w:rFonts w:ascii="Arial" w:hAnsi="Arial" w:cs="Arial"/>
                <w:sz w:val="20"/>
                <w:szCs w:val="20"/>
              </w:rPr>
              <w:t xml:space="preserve"> </w:t>
            </w:r>
          </w:p>
        </w:tc>
        <w:tc>
          <w:tcPr>
            <w:tcW w:w="152" w:type="dxa"/>
            <w:tcBorders>
              <w:top w:val="single" w:sz="4" w:space="0" w:color="auto"/>
              <w:bottom w:val="single" w:sz="4" w:space="0" w:color="auto"/>
            </w:tcBorders>
          </w:tcPr>
          <w:p w14:paraId="4001D999" w14:textId="77777777" w:rsidR="009D6CCD" w:rsidRPr="00AB1C01" w:rsidRDefault="009D6CCD" w:rsidP="005C0517">
            <w:pPr>
              <w:keepNext/>
              <w:spacing w:after="0"/>
              <w:jc w:val="both"/>
              <w:rPr>
                <w:rFonts w:ascii="Arial" w:hAnsi="Arial" w:cs="Arial"/>
                <w:sz w:val="20"/>
                <w:szCs w:val="20"/>
              </w:rPr>
            </w:pPr>
          </w:p>
        </w:tc>
        <w:tc>
          <w:tcPr>
            <w:tcW w:w="0" w:type="auto"/>
            <w:tcBorders>
              <w:top w:val="single" w:sz="4" w:space="0" w:color="auto"/>
              <w:bottom w:val="single" w:sz="4" w:space="0" w:color="auto"/>
            </w:tcBorders>
          </w:tcPr>
          <w:p w14:paraId="2205A93C" w14:textId="48C27A9F" w:rsidR="009D6CCD" w:rsidRPr="00AB1C01" w:rsidRDefault="00DF39E3" w:rsidP="005C0517">
            <w:pPr>
              <w:keepNext/>
              <w:spacing w:after="0"/>
              <w:jc w:val="both"/>
              <w:rPr>
                <w:rFonts w:ascii="Arial" w:hAnsi="Arial" w:cs="Arial"/>
                <w:sz w:val="20"/>
                <w:szCs w:val="20"/>
              </w:rPr>
            </w:pPr>
            <w:r w:rsidRPr="00DF39E3">
              <w:rPr>
                <w:rFonts w:ascii="Arial" w:hAnsi="Arial" w:cs="Arial"/>
                <w:b/>
                <w:i/>
                <w:iCs/>
                <w:sz w:val="20"/>
                <w:szCs w:val="20"/>
              </w:rPr>
              <w:t>P</w:t>
            </w:r>
            <w:r w:rsidR="009D6CCD" w:rsidRPr="00AB1C01">
              <w:rPr>
                <w:rFonts w:ascii="Arial" w:hAnsi="Arial" w:cs="Arial"/>
                <w:b/>
                <w:sz w:val="20"/>
                <w:szCs w:val="20"/>
              </w:rPr>
              <w:t>-value</w:t>
            </w:r>
          </w:p>
        </w:tc>
      </w:tr>
      <w:tr w:rsidR="009D6CCD" w:rsidRPr="00AB1C01" w14:paraId="2C7DBAE9" w14:textId="77777777" w:rsidTr="00F07172">
        <w:trPr>
          <w:cantSplit/>
          <w:trHeight w:val="20"/>
          <w:jc w:val="center"/>
        </w:trPr>
        <w:tc>
          <w:tcPr>
            <w:tcW w:w="3266" w:type="dxa"/>
            <w:tcBorders>
              <w:top w:val="single" w:sz="4" w:space="0" w:color="auto"/>
            </w:tcBorders>
          </w:tcPr>
          <w:p w14:paraId="2A54D4FA"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Initial body weight (g)</w:t>
            </w:r>
          </w:p>
        </w:tc>
        <w:tc>
          <w:tcPr>
            <w:tcW w:w="1400" w:type="dxa"/>
            <w:tcBorders>
              <w:top w:val="single" w:sz="4" w:space="0" w:color="auto"/>
            </w:tcBorders>
          </w:tcPr>
          <w:p w14:paraId="137B3C63" w14:textId="77777777" w:rsidR="009D6CCD" w:rsidRPr="00AB1C01" w:rsidRDefault="002209C7" w:rsidP="005C0517">
            <w:pPr>
              <w:keepNext/>
              <w:spacing w:after="0"/>
              <w:jc w:val="both"/>
              <w:rPr>
                <w:rFonts w:ascii="Arial" w:hAnsi="Arial" w:cs="Arial"/>
                <w:sz w:val="20"/>
                <w:szCs w:val="20"/>
              </w:rPr>
            </w:pPr>
            <w:r w:rsidRPr="00AB1C01">
              <w:rPr>
                <w:rFonts w:ascii="Arial" w:hAnsi="Arial" w:cs="Arial"/>
                <w:sz w:val="20"/>
                <w:szCs w:val="20"/>
              </w:rPr>
              <w:t>7.46 ± 1.19</w:t>
            </w:r>
          </w:p>
        </w:tc>
        <w:tc>
          <w:tcPr>
            <w:tcW w:w="1555" w:type="dxa"/>
            <w:tcBorders>
              <w:top w:val="single" w:sz="4" w:space="0" w:color="auto"/>
            </w:tcBorders>
          </w:tcPr>
          <w:p w14:paraId="79C852F7" w14:textId="77777777" w:rsidR="009D6CCD" w:rsidRPr="00AB1C01" w:rsidRDefault="002209C7" w:rsidP="005C0517">
            <w:pPr>
              <w:keepNext/>
              <w:spacing w:after="0"/>
              <w:jc w:val="both"/>
              <w:rPr>
                <w:rFonts w:ascii="Arial" w:hAnsi="Arial" w:cs="Arial"/>
                <w:sz w:val="20"/>
                <w:szCs w:val="20"/>
              </w:rPr>
            </w:pPr>
            <w:r w:rsidRPr="00AB1C01">
              <w:rPr>
                <w:rFonts w:ascii="Arial" w:hAnsi="Arial" w:cs="Arial"/>
                <w:sz w:val="20"/>
                <w:szCs w:val="20"/>
              </w:rPr>
              <w:t>7.17 ± 1.55</w:t>
            </w:r>
          </w:p>
        </w:tc>
        <w:tc>
          <w:tcPr>
            <w:tcW w:w="1556" w:type="dxa"/>
            <w:tcBorders>
              <w:top w:val="single" w:sz="4" w:space="0" w:color="auto"/>
            </w:tcBorders>
          </w:tcPr>
          <w:p w14:paraId="1523C5FE" w14:textId="77777777" w:rsidR="009D6CCD" w:rsidRPr="00AB1C01" w:rsidRDefault="002209C7" w:rsidP="005C0517">
            <w:pPr>
              <w:keepNext/>
              <w:spacing w:after="0"/>
              <w:jc w:val="both"/>
              <w:rPr>
                <w:rFonts w:ascii="Arial" w:hAnsi="Arial" w:cs="Arial"/>
                <w:sz w:val="20"/>
                <w:szCs w:val="20"/>
              </w:rPr>
            </w:pPr>
            <w:r w:rsidRPr="00AB1C01">
              <w:rPr>
                <w:rFonts w:ascii="Arial" w:hAnsi="Arial" w:cs="Arial"/>
                <w:sz w:val="20"/>
                <w:szCs w:val="20"/>
              </w:rPr>
              <w:t>7.57 ± 1.55</w:t>
            </w:r>
          </w:p>
        </w:tc>
        <w:tc>
          <w:tcPr>
            <w:tcW w:w="1493" w:type="dxa"/>
            <w:tcBorders>
              <w:top w:val="single" w:sz="4" w:space="0" w:color="auto"/>
            </w:tcBorders>
          </w:tcPr>
          <w:p w14:paraId="186F6948" w14:textId="77777777" w:rsidR="009D6CCD" w:rsidRPr="00AB1C01" w:rsidRDefault="002209C7" w:rsidP="005C0517">
            <w:pPr>
              <w:keepNext/>
              <w:spacing w:after="0"/>
              <w:jc w:val="both"/>
              <w:rPr>
                <w:rFonts w:ascii="Arial" w:hAnsi="Arial" w:cs="Arial"/>
                <w:sz w:val="20"/>
                <w:szCs w:val="20"/>
              </w:rPr>
            </w:pPr>
            <w:r w:rsidRPr="00AB1C01">
              <w:rPr>
                <w:rFonts w:ascii="Arial" w:hAnsi="Arial" w:cs="Arial"/>
                <w:sz w:val="20"/>
                <w:szCs w:val="20"/>
              </w:rPr>
              <w:t>7.84 ±</w:t>
            </w:r>
            <w:r w:rsidR="005A4667" w:rsidRPr="00AB1C01">
              <w:rPr>
                <w:rFonts w:ascii="Arial" w:hAnsi="Arial" w:cs="Arial"/>
                <w:sz w:val="20"/>
                <w:szCs w:val="20"/>
              </w:rPr>
              <w:t xml:space="preserve"> </w:t>
            </w:r>
            <w:r w:rsidRPr="00AB1C01">
              <w:rPr>
                <w:rFonts w:ascii="Arial" w:hAnsi="Arial" w:cs="Arial"/>
                <w:sz w:val="20"/>
                <w:szCs w:val="20"/>
              </w:rPr>
              <w:t>1.53</w:t>
            </w:r>
          </w:p>
        </w:tc>
        <w:tc>
          <w:tcPr>
            <w:tcW w:w="152" w:type="dxa"/>
            <w:tcBorders>
              <w:top w:val="single" w:sz="4" w:space="0" w:color="auto"/>
            </w:tcBorders>
          </w:tcPr>
          <w:p w14:paraId="0526B7FE" w14:textId="77777777" w:rsidR="009D6CCD" w:rsidRPr="00AB1C01" w:rsidRDefault="009D6CCD" w:rsidP="005C0517">
            <w:pPr>
              <w:keepNext/>
              <w:spacing w:after="0"/>
              <w:jc w:val="both"/>
              <w:rPr>
                <w:rFonts w:ascii="Arial" w:hAnsi="Arial" w:cs="Arial"/>
                <w:sz w:val="20"/>
                <w:szCs w:val="20"/>
              </w:rPr>
            </w:pPr>
          </w:p>
        </w:tc>
        <w:tc>
          <w:tcPr>
            <w:tcW w:w="0" w:type="auto"/>
            <w:tcBorders>
              <w:top w:val="single" w:sz="4" w:space="0" w:color="auto"/>
            </w:tcBorders>
          </w:tcPr>
          <w:p w14:paraId="396D2DAB" w14:textId="7535AF96" w:rsidR="009D6CCD" w:rsidRPr="00AB1C01" w:rsidRDefault="002209C7" w:rsidP="005C0517">
            <w:pPr>
              <w:keepNext/>
              <w:spacing w:after="0"/>
              <w:jc w:val="both"/>
              <w:rPr>
                <w:rFonts w:ascii="Arial" w:hAnsi="Arial" w:cs="Arial"/>
                <w:sz w:val="20"/>
                <w:szCs w:val="20"/>
              </w:rPr>
            </w:pPr>
            <w:r w:rsidRPr="00AB1C01">
              <w:rPr>
                <w:rFonts w:ascii="Arial" w:hAnsi="Arial" w:cs="Arial"/>
                <w:sz w:val="20"/>
                <w:szCs w:val="20"/>
              </w:rPr>
              <w:t>.1</w:t>
            </w:r>
          </w:p>
        </w:tc>
      </w:tr>
      <w:tr w:rsidR="009D6CCD" w:rsidRPr="00AB1C01" w14:paraId="2835DC09" w14:textId="77777777" w:rsidTr="00F07172">
        <w:trPr>
          <w:cantSplit/>
          <w:trHeight w:val="20"/>
          <w:jc w:val="center"/>
        </w:trPr>
        <w:tc>
          <w:tcPr>
            <w:tcW w:w="3266" w:type="dxa"/>
          </w:tcPr>
          <w:p w14:paraId="6E78428D"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 xml:space="preserve">Final body weight (g) </w:t>
            </w:r>
          </w:p>
        </w:tc>
        <w:tc>
          <w:tcPr>
            <w:tcW w:w="1400" w:type="dxa"/>
          </w:tcPr>
          <w:p w14:paraId="169E071F" w14:textId="77777777" w:rsidR="009D6CCD" w:rsidRPr="00AB1C01" w:rsidRDefault="00035E42" w:rsidP="005C0517">
            <w:pPr>
              <w:keepNext/>
              <w:spacing w:after="0"/>
              <w:jc w:val="both"/>
              <w:rPr>
                <w:rFonts w:ascii="Arial" w:hAnsi="Arial" w:cs="Arial"/>
                <w:sz w:val="20"/>
                <w:szCs w:val="20"/>
              </w:rPr>
            </w:pPr>
            <w:r w:rsidRPr="00AB1C01">
              <w:rPr>
                <w:rFonts w:ascii="Arial" w:hAnsi="Arial" w:cs="Arial"/>
                <w:sz w:val="20"/>
                <w:szCs w:val="20"/>
              </w:rPr>
              <w:t>32 ± 10</w:t>
            </w:r>
          </w:p>
        </w:tc>
        <w:tc>
          <w:tcPr>
            <w:tcW w:w="1555" w:type="dxa"/>
          </w:tcPr>
          <w:p w14:paraId="4783F951" w14:textId="77777777" w:rsidR="009D6CCD" w:rsidRPr="00AB1C01" w:rsidRDefault="00035E42" w:rsidP="005C0517">
            <w:pPr>
              <w:keepNext/>
              <w:spacing w:after="0"/>
              <w:jc w:val="both"/>
              <w:rPr>
                <w:rFonts w:ascii="Arial" w:hAnsi="Arial" w:cs="Arial"/>
                <w:sz w:val="20"/>
                <w:szCs w:val="20"/>
              </w:rPr>
            </w:pPr>
            <w:r w:rsidRPr="00AB1C01">
              <w:rPr>
                <w:rFonts w:ascii="Arial" w:hAnsi="Arial" w:cs="Arial"/>
                <w:sz w:val="20"/>
                <w:szCs w:val="20"/>
              </w:rPr>
              <w:t>36 ± 13</w:t>
            </w:r>
          </w:p>
        </w:tc>
        <w:tc>
          <w:tcPr>
            <w:tcW w:w="1556" w:type="dxa"/>
          </w:tcPr>
          <w:p w14:paraId="2D007616" w14:textId="77777777" w:rsidR="009D6CCD" w:rsidRPr="00AB1C01" w:rsidRDefault="00035E42" w:rsidP="005C0517">
            <w:pPr>
              <w:keepNext/>
              <w:spacing w:after="0"/>
              <w:jc w:val="both"/>
              <w:rPr>
                <w:rFonts w:ascii="Arial" w:hAnsi="Arial" w:cs="Arial"/>
                <w:sz w:val="20"/>
                <w:szCs w:val="20"/>
              </w:rPr>
            </w:pPr>
            <w:r w:rsidRPr="00AB1C01">
              <w:rPr>
                <w:rFonts w:ascii="Arial" w:hAnsi="Arial" w:cs="Arial"/>
                <w:sz w:val="20"/>
                <w:szCs w:val="20"/>
              </w:rPr>
              <w:t>37 ± 14</w:t>
            </w:r>
          </w:p>
        </w:tc>
        <w:tc>
          <w:tcPr>
            <w:tcW w:w="1493" w:type="dxa"/>
          </w:tcPr>
          <w:p w14:paraId="05BF05C9" w14:textId="77777777" w:rsidR="009D6CCD" w:rsidRPr="00AB1C01" w:rsidRDefault="00A32D2C" w:rsidP="005C0517">
            <w:pPr>
              <w:keepNext/>
              <w:spacing w:after="0"/>
              <w:jc w:val="both"/>
              <w:rPr>
                <w:rFonts w:ascii="Arial" w:hAnsi="Arial" w:cs="Arial"/>
                <w:sz w:val="20"/>
                <w:szCs w:val="20"/>
              </w:rPr>
            </w:pPr>
            <w:r w:rsidRPr="00AB1C01">
              <w:rPr>
                <w:rFonts w:ascii="Arial" w:hAnsi="Arial" w:cs="Arial"/>
                <w:sz w:val="20"/>
                <w:szCs w:val="20"/>
              </w:rPr>
              <w:t>34 ± 12</w:t>
            </w:r>
          </w:p>
        </w:tc>
        <w:tc>
          <w:tcPr>
            <w:tcW w:w="152" w:type="dxa"/>
          </w:tcPr>
          <w:p w14:paraId="0C4D90B1" w14:textId="77777777" w:rsidR="009D6CCD" w:rsidRPr="00AB1C01" w:rsidRDefault="009D6CCD" w:rsidP="005C0517">
            <w:pPr>
              <w:keepNext/>
              <w:spacing w:after="0"/>
              <w:jc w:val="both"/>
              <w:rPr>
                <w:rFonts w:ascii="Arial" w:hAnsi="Arial" w:cs="Arial"/>
                <w:sz w:val="20"/>
                <w:szCs w:val="20"/>
              </w:rPr>
            </w:pPr>
          </w:p>
        </w:tc>
        <w:tc>
          <w:tcPr>
            <w:tcW w:w="0" w:type="auto"/>
          </w:tcPr>
          <w:p w14:paraId="16B49146" w14:textId="1D1FDCB6" w:rsidR="009D6CCD" w:rsidRPr="00AB1C01" w:rsidRDefault="00035E42" w:rsidP="005C0517">
            <w:pPr>
              <w:keepNext/>
              <w:spacing w:after="0"/>
              <w:jc w:val="both"/>
              <w:rPr>
                <w:rFonts w:ascii="Arial" w:hAnsi="Arial" w:cs="Arial"/>
                <w:sz w:val="20"/>
                <w:szCs w:val="20"/>
              </w:rPr>
            </w:pPr>
            <w:r w:rsidRPr="00AB1C01">
              <w:rPr>
                <w:rFonts w:ascii="Arial" w:hAnsi="Arial" w:cs="Arial"/>
                <w:sz w:val="20"/>
                <w:szCs w:val="20"/>
              </w:rPr>
              <w:t xml:space="preserve">.3 </w:t>
            </w:r>
          </w:p>
        </w:tc>
      </w:tr>
      <w:tr w:rsidR="009D6CCD" w:rsidRPr="00AB1C01" w14:paraId="6F3F3334" w14:textId="77777777" w:rsidTr="00F07172">
        <w:trPr>
          <w:cantSplit/>
          <w:trHeight w:val="20"/>
          <w:jc w:val="center"/>
        </w:trPr>
        <w:tc>
          <w:tcPr>
            <w:tcW w:w="3266" w:type="dxa"/>
          </w:tcPr>
          <w:p w14:paraId="35470230"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Weight gain (g)</w:t>
            </w:r>
          </w:p>
        </w:tc>
        <w:tc>
          <w:tcPr>
            <w:tcW w:w="1400" w:type="dxa"/>
          </w:tcPr>
          <w:p w14:paraId="002BB8C5" w14:textId="77777777" w:rsidR="009D6CCD" w:rsidRPr="00AB1C01" w:rsidRDefault="00C2150A" w:rsidP="005C0517">
            <w:pPr>
              <w:keepNext/>
              <w:spacing w:after="0"/>
              <w:jc w:val="both"/>
              <w:rPr>
                <w:rFonts w:ascii="Arial" w:hAnsi="Arial" w:cs="Arial"/>
                <w:sz w:val="20"/>
                <w:szCs w:val="20"/>
              </w:rPr>
            </w:pPr>
            <w:r w:rsidRPr="00AB1C01">
              <w:rPr>
                <w:rFonts w:ascii="Arial" w:hAnsi="Arial" w:cs="Arial"/>
                <w:sz w:val="20"/>
                <w:szCs w:val="20"/>
              </w:rPr>
              <w:t>24.69</w:t>
            </w:r>
            <w:r w:rsidR="009D6CCD" w:rsidRPr="00AB1C01">
              <w:rPr>
                <w:rFonts w:ascii="Arial" w:hAnsi="Arial" w:cs="Arial"/>
                <w:sz w:val="20"/>
                <w:szCs w:val="20"/>
              </w:rPr>
              <w:t xml:space="preserve"> </w:t>
            </w:r>
            <w:r w:rsidR="006A368F" w:rsidRPr="00AB1C01">
              <w:rPr>
                <w:rFonts w:ascii="Arial" w:hAnsi="Arial" w:cs="Arial"/>
                <w:sz w:val="20"/>
                <w:szCs w:val="20"/>
              </w:rPr>
              <w:t>±</w:t>
            </w:r>
            <w:r w:rsidR="009D6CCD" w:rsidRPr="00AB1C01">
              <w:rPr>
                <w:rFonts w:ascii="Arial" w:hAnsi="Arial" w:cs="Arial"/>
                <w:sz w:val="20"/>
                <w:szCs w:val="20"/>
              </w:rPr>
              <w:t xml:space="preserve"> </w:t>
            </w:r>
            <w:r w:rsidR="00C53D4A" w:rsidRPr="00AB1C01">
              <w:rPr>
                <w:rFonts w:ascii="Arial" w:hAnsi="Arial" w:cs="Arial"/>
                <w:sz w:val="20"/>
                <w:szCs w:val="20"/>
              </w:rPr>
              <w:t>9.65</w:t>
            </w:r>
          </w:p>
        </w:tc>
        <w:tc>
          <w:tcPr>
            <w:tcW w:w="1555" w:type="dxa"/>
          </w:tcPr>
          <w:p w14:paraId="285BFC10" w14:textId="77777777" w:rsidR="009D6CCD" w:rsidRPr="00AB1C01" w:rsidRDefault="00C2150A" w:rsidP="005C0517">
            <w:pPr>
              <w:keepNext/>
              <w:spacing w:after="0"/>
              <w:jc w:val="both"/>
              <w:rPr>
                <w:rFonts w:ascii="Arial" w:hAnsi="Arial" w:cs="Arial"/>
                <w:sz w:val="20"/>
                <w:szCs w:val="20"/>
              </w:rPr>
            </w:pPr>
            <w:r w:rsidRPr="00AB1C01">
              <w:rPr>
                <w:rFonts w:ascii="Arial" w:hAnsi="Arial" w:cs="Arial"/>
                <w:sz w:val="20"/>
                <w:szCs w:val="20"/>
              </w:rPr>
              <w:t>28.58</w:t>
            </w:r>
            <w:r w:rsidR="009D6CCD" w:rsidRPr="00AB1C01">
              <w:rPr>
                <w:rFonts w:ascii="Arial" w:hAnsi="Arial" w:cs="Arial"/>
                <w:sz w:val="20"/>
                <w:szCs w:val="20"/>
              </w:rPr>
              <w:t xml:space="preserve"> ± </w:t>
            </w:r>
            <w:r w:rsidR="00C53D4A" w:rsidRPr="00AB1C01">
              <w:rPr>
                <w:rFonts w:ascii="Arial" w:hAnsi="Arial" w:cs="Arial"/>
                <w:sz w:val="20"/>
                <w:szCs w:val="20"/>
              </w:rPr>
              <w:t>12.99</w:t>
            </w:r>
          </w:p>
        </w:tc>
        <w:tc>
          <w:tcPr>
            <w:tcW w:w="1556" w:type="dxa"/>
          </w:tcPr>
          <w:p w14:paraId="6BE1C8E1" w14:textId="77777777" w:rsidR="009D6CCD" w:rsidRPr="00AB1C01" w:rsidRDefault="004E6BDB" w:rsidP="005C0517">
            <w:pPr>
              <w:keepNext/>
              <w:spacing w:after="0"/>
              <w:jc w:val="both"/>
              <w:rPr>
                <w:rFonts w:ascii="Arial" w:hAnsi="Arial" w:cs="Arial"/>
                <w:sz w:val="20"/>
                <w:szCs w:val="20"/>
              </w:rPr>
            </w:pPr>
            <w:r w:rsidRPr="00AB1C01">
              <w:rPr>
                <w:rFonts w:ascii="Arial" w:hAnsi="Arial" w:cs="Arial"/>
                <w:sz w:val="20"/>
                <w:szCs w:val="20"/>
              </w:rPr>
              <w:t>28.96</w:t>
            </w:r>
            <w:r w:rsidR="009D6CCD" w:rsidRPr="00AB1C01">
              <w:rPr>
                <w:rFonts w:ascii="Arial" w:hAnsi="Arial" w:cs="Arial"/>
                <w:sz w:val="20"/>
                <w:szCs w:val="20"/>
              </w:rPr>
              <w:t xml:space="preserve"> ± </w:t>
            </w:r>
            <w:r w:rsidR="00CF0B37" w:rsidRPr="00AB1C01">
              <w:rPr>
                <w:rFonts w:ascii="Arial" w:hAnsi="Arial" w:cs="Arial"/>
                <w:sz w:val="20"/>
                <w:szCs w:val="20"/>
              </w:rPr>
              <w:t>14.4</w:t>
            </w:r>
            <w:r w:rsidR="008022CC" w:rsidRPr="00AB1C01">
              <w:rPr>
                <w:rFonts w:ascii="Arial" w:hAnsi="Arial" w:cs="Arial"/>
                <w:sz w:val="20"/>
                <w:szCs w:val="20"/>
              </w:rPr>
              <w:t>5</w:t>
            </w:r>
          </w:p>
        </w:tc>
        <w:tc>
          <w:tcPr>
            <w:tcW w:w="1493" w:type="dxa"/>
          </w:tcPr>
          <w:p w14:paraId="4FE44A83" w14:textId="77777777" w:rsidR="009D6CCD" w:rsidRPr="00AB1C01" w:rsidRDefault="004E6BDB" w:rsidP="005C0517">
            <w:pPr>
              <w:keepNext/>
              <w:spacing w:after="0"/>
              <w:jc w:val="both"/>
              <w:rPr>
                <w:rFonts w:ascii="Arial" w:hAnsi="Arial" w:cs="Arial"/>
                <w:sz w:val="20"/>
                <w:szCs w:val="20"/>
              </w:rPr>
            </w:pPr>
            <w:r w:rsidRPr="00AB1C01">
              <w:rPr>
                <w:rFonts w:ascii="Arial" w:hAnsi="Arial" w:cs="Arial"/>
                <w:sz w:val="20"/>
                <w:szCs w:val="20"/>
              </w:rPr>
              <w:t>25.70</w:t>
            </w:r>
            <w:r w:rsidR="009D6CCD" w:rsidRPr="00AB1C01">
              <w:rPr>
                <w:rFonts w:ascii="Arial" w:hAnsi="Arial" w:cs="Arial"/>
                <w:sz w:val="20"/>
                <w:szCs w:val="20"/>
              </w:rPr>
              <w:t xml:space="preserve"> ± </w:t>
            </w:r>
            <w:r w:rsidR="008022CC" w:rsidRPr="00AB1C01">
              <w:rPr>
                <w:rFonts w:ascii="Arial" w:hAnsi="Arial" w:cs="Arial"/>
                <w:sz w:val="20"/>
                <w:szCs w:val="20"/>
              </w:rPr>
              <w:t>11.24</w:t>
            </w:r>
          </w:p>
        </w:tc>
        <w:tc>
          <w:tcPr>
            <w:tcW w:w="152" w:type="dxa"/>
          </w:tcPr>
          <w:p w14:paraId="040B574A" w14:textId="77777777" w:rsidR="009D6CCD" w:rsidRPr="00AB1C01" w:rsidRDefault="009D6CCD" w:rsidP="005C0517">
            <w:pPr>
              <w:keepNext/>
              <w:spacing w:after="0"/>
              <w:jc w:val="both"/>
              <w:rPr>
                <w:rFonts w:ascii="Arial" w:hAnsi="Arial" w:cs="Arial"/>
                <w:sz w:val="20"/>
                <w:szCs w:val="20"/>
              </w:rPr>
            </w:pPr>
          </w:p>
        </w:tc>
        <w:tc>
          <w:tcPr>
            <w:tcW w:w="0" w:type="auto"/>
          </w:tcPr>
          <w:p w14:paraId="4220613D" w14:textId="6A62E464"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.3</w:t>
            </w:r>
          </w:p>
        </w:tc>
      </w:tr>
      <w:tr w:rsidR="009D6CCD" w:rsidRPr="00AB1C01" w14:paraId="52031042" w14:textId="77777777" w:rsidTr="00F07172">
        <w:trPr>
          <w:cantSplit/>
          <w:trHeight w:val="20"/>
          <w:jc w:val="center"/>
        </w:trPr>
        <w:tc>
          <w:tcPr>
            <w:tcW w:w="3266" w:type="dxa"/>
          </w:tcPr>
          <w:p w14:paraId="669C4E1F"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Daily weight gain (g/day)</w:t>
            </w:r>
          </w:p>
        </w:tc>
        <w:tc>
          <w:tcPr>
            <w:tcW w:w="1400" w:type="dxa"/>
          </w:tcPr>
          <w:p w14:paraId="156DDB66"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0.27 ± 0.11</w:t>
            </w:r>
          </w:p>
        </w:tc>
        <w:tc>
          <w:tcPr>
            <w:tcW w:w="1555" w:type="dxa"/>
          </w:tcPr>
          <w:p w14:paraId="32868D41"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0.32 ± 0.15</w:t>
            </w:r>
          </w:p>
        </w:tc>
        <w:tc>
          <w:tcPr>
            <w:tcW w:w="1556" w:type="dxa"/>
          </w:tcPr>
          <w:p w14:paraId="6EE5CF1A"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0.32 ± 0.16</w:t>
            </w:r>
          </w:p>
        </w:tc>
        <w:tc>
          <w:tcPr>
            <w:tcW w:w="1493" w:type="dxa"/>
          </w:tcPr>
          <w:p w14:paraId="01470625"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0.29 ± 0.13</w:t>
            </w:r>
          </w:p>
        </w:tc>
        <w:tc>
          <w:tcPr>
            <w:tcW w:w="152" w:type="dxa"/>
          </w:tcPr>
          <w:p w14:paraId="1CC369EC" w14:textId="77777777" w:rsidR="009D6CCD" w:rsidRPr="00AB1C01" w:rsidRDefault="009D6CCD" w:rsidP="005C0517">
            <w:pPr>
              <w:keepNext/>
              <w:spacing w:after="0"/>
              <w:jc w:val="both"/>
              <w:rPr>
                <w:rFonts w:ascii="Arial" w:hAnsi="Arial" w:cs="Arial"/>
                <w:sz w:val="20"/>
                <w:szCs w:val="20"/>
              </w:rPr>
            </w:pPr>
          </w:p>
        </w:tc>
        <w:tc>
          <w:tcPr>
            <w:tcW w:w="0" w:type="auto"/>
          </w:tcPr>
          <w:p w14:paraId="0FC34A38" w14:textId="6EE0CBF5"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.3</w:t>
            </w:r>
          </w:p>
        </w:tc>
      </w:tr>
      <w:tr w:rsidR="009D6CCD" w:rsidRPr="00AB1C01" w14:paraId="167A613D" w14:textId="77777777" w:rsidTr="00F07172">
        <w:trPr>
          <w:cantSplit/>
          <w:trHeight w:val="20"/>
          <w:jc w:val="center"/>
        </w:trPr>
        <w:tc>
          <w:tcPr>
            <w:tcW w:w="3266" w:type="dxa"/>
          </w:tcPr>
          <w:p w14:paraId="5A93A83A"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Specific growth rate (%/day)</w:t>
            </w:r>
          </w:p>
        </w:tc>
        <w:tc>
          <w:tcPr>
            <w:tcW w:w="1400" w:type="dxa"/>
          </w:tcPr>
          <w:p w14:paraId="6DA99EF8"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1.60 ± 0.35</w:t>
            </w:r>
          </w:p>
        </w:tc>
        <w:tc>
          <w:tcPr>
            <w:tcW w:w="1555" w:type="dxa"/>
          </w:tcPr>
          <w:p w14:paraId="1F44917F"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1.75 ± 0.42</w:t>
            </w:r>
          </w:p>
        </w:tc>
        <w:tc>
          <w:tcPr>
            <w:tcW w:w="1556" w:type="dxa"/>
          </w:tcPr>
          <w:p w14:paraId="248E834A"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1.72 ± 0.47</w:t>
            </w:r>
          </w:p>
        </w:tc>
        <w:tc>
          <w:tcPr>
            <w:tcW w:w="1493" w:type="dxa"/>
          </w:tcPr>
          <w:p w14:paraId="0A4F72AC"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1.59 ± 0.35</w:t>
            </w:r>
          </w:p>
        </w:tc>
        <w:tc>
          <w:tcPr>
            <w:tcW w:w="152" w:type="dxa"/>
          </w:tcPr>
          <w:p w14:paraId="24EEDA39" w14:textId="77777777" w:rsidR="009D6CCD" w:rsidRPr="00AB1C01" w:rsidRDefault="009D6CCD" w:rsidP="005C0517">
            <w:pPr>
              <w:keepNext/>
              <w:spacing w:after="0"/>
              <w:jc w:val="both"/>
              <w:rPr>
                <w:rFonts w:ascii="Arial" w:hAnsi="Arial" w:cs="Arial"/>
                <w:sz w:val="20"/>
                <w:szCs w:val="20"/>
              </w:rPr>
            </w:pPr>
          </w:p>
        </w:tc>
        <w:tc>
          <w:tcPr>
            <w:tcW w:w="0" w:type="auto"/>
          </w:tcPr>
          <w:p w14:paraId="7A3676D9" w14:textId="40FD6AF8"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.3</w:t>
            </w:r>
          </w:p>
        </w:tc>
      </w:tr>
      <w:tr w:rsidR="009D6CCD" w:rsidRPr="00AB1C01" w14:paraId="6CDA4CAC" w14:textId="77777777" w:rsidTr="00F07172">
        <w:trPr>
          <w:cantSplit/>
          <w:trHeight w:val="20"/>
          <w:jc w:val="center"/>
        </w:trPr>
        <w:tc>
          <w:tcPr>
            <w:tcW w:w="3266" w:type="dxa"/>
          </w:tcPr>
          <w:p w14:paraId="6FF1251E"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 xml:space="preserve">Survival rate (%) </w:t>
            </w:r>
          </w:p>
        </w:tc>
        <w:tc>
          <w:tcPr>
            <w:tcW w:w="1400" w:type="dxa"/>
          </w:tcPr>
          <w:p w14:paraId="1129E670"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95.</w:t>
            </w:r>
            <w:r w:rsidR="00B3758A" w:rsidRPr="00AB1C01">
              <w:rPr>
                <w:rFonts w:ascii="Arial" w:hAnsi="Arial" w:cs="Arial"/>
                <w:sz w:val="20"/>
                <w:szCs w:val="20"/>
              </w:rPr>
              <w:t>56</w:t>
            </w:r>
            <w:r w:rsidRPr="00AB1C01">
              <w:rPr>
                <w:rFonts w:ascii="Arial" w:hAnsi="Arial" w:cs="Arial"/>
                <w:sz w:val="20"/>
                <w:szCs w:val="20"/>
              </w:rPr>
              <w:t xml:space="preserve"> ± 7.</w:t>
            </w:r>
            <w:r w:rsidR="004E6002" w:rsidRPr="00AB1C01">
              <w:rPr>
                <w:rFonts w:ascii="Arial" w:hAnsi="Arial" w:cs="Arial"/>
                <w:sz w:val="20"/>
                <w:szCs w:val="20"/>
              </w:rPr>
              <w:t>65</w:t>
            </w:r>
          </w:p>
        </w:tc>
        <w:tc>
          <w:tcPr>
            <w:tcW w:w="1555" w:type="dxa"/>
          </w:tcPr>
          <w:p w14:paraId="0F7A17F4"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91.1</w:t>
            </w:r>
            <w:r w:rsidR="00B3758A" w:rsidRPr="00AB1C01">
              <w:rPr>
                <w:rFonts w:ascii="Arial" w:hAnsi="Arial" w:cs="Arial"/>
                <w:sz w:val="20"/>
                <w:szCs w:val="20"/>
              </w:rPr>
              <w:t>1</w:t>
            </w:r>
            <w:r w:rsidRPr="00AB1C01">
              <w:rPr>
                <w:rFonts w:ascii="Arial" w:hAnsi="Arial" w:cs="Arial"/>
                <w:sz w:val="20"/>
                <w:szCs w:val="20"/>
              </w:rPr>
              <w:t xml:space="preserve"> ± 3.</w:t>
            </w:r>
            <w:r w:rsidR="001C3780" w:rsidRPr="00AB1C01">
              <w:rPr>
                <w:rFonts w:ascii="Arial" w:hAnsi="Arial" w:cs="Arial"/>
                <w:sz w:val="20"/>
                <w:szCs w:val="20"/>
              </w:rPr>
              <w:t>77</w:t>
            </w:r>
          </w:p>
        </w:tc>
        <w:tc>
          <w:tcPr>
            <w:tcW w:w="1556" w:type="dxa"/>
          </w:tcPr>
          <w:p w14:paraId="59F5A722"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91.1</w:t>
            </w:r>
            <w:r w:rsidR="00B3758A" w:rsidRPr="00AB1C01">
              <w:rPr>
                <w:rFonts w:ascii="Arial" w:hAnsi="Arial" w:cs="Arial"/>
                <w:sz w:val="20"/>
                <w:szCs w:val="20"/>
              </w:rPr>
              <w:t>1</w:t>
            </w:r>
            <w:r w:rsidRPr="00AB1C01">
              <w:rPr>
                <w:rFonts w:ascii="Arial" w:hAnsi="Arial" w:cs="Arial"/>
                <w:sz w:val="20"/>
                <w:szCs w:val="20"/>
              </w:rPr>
              <w:t xml:space="preserve"> ± 3.</w:t>
            </w:r>
            <w:r w:rsidR="001C3780" w:rsidRPr="00AB1C01">
              <w:rPr>
                <w:rFonts w:ascii="Arial" w:hAnsi="Arial" w:cs="Arial"/>
                <w:sz w:val="20"/>
                <w:szCs w:val="20"/>
              </w:rPr>
              <w:t>77</w:t>
            </w:r>
          </w:p>
        </w:tc>
        <w:tc>
          <w:tcPr>
            <w:tcW w:w="1493" w:type="dxa"/>
          </w:tcPr>
          <w:p w14:paraId="4019A5BC"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91.1</w:t>
            </w:r>
            <w:r w:rsidR="00B3758A" w:rsidRPr="00AB1C01">
              <w:rPr>
                <w:rFonts w:ascii="Arial" w:hAnsi="Arial" w:cs="Arial"/>
                <w:sz w:val="20"/>
                <w:szCs w:val="20"/>
              </w:rPr>
              <w:t>1</w:t>
            </w:r>
            <w:r w:rsidRPr="00AB1C01">
              <w:rPr>
                <w:rFonts w:ascii="Arial" w:hAnsi="Arial" w:cs="Arial"/>
                <w:sz w:val="20"/>
                <w:szCs w:val="20"/>
              </w:rPr>
              <w:t xml:space="preserve"> ± 10.</w:t>
            </w:r>
            <w:r w:rsidR="001C3780" w:rsidRPr="00AB1C01">
              <w:rPr>
                <w:rFonts w:ascii="Arial" w:hAnsi="Arial" w:cs="Arial"/>
                <w:sz w:val="20"/>
                <w:szCs w:val="20"/>
              </w:rPr>
              <w:t>19</w:t>
            </w:r>
          </w:p>
        </w:tc>
        <w:tc>
          <w:tcPr>
            <w:tcW w:w="152" w:type="dxa"/>
          </w:tcPr>
          <w:p w14:paraId="32F7E3BB" w14:textId="77777777" w:rsidR="009D6CCD" w:rsidRPr="00AB1C01" w:rsidRDefault="009D6CCD" w:rsidP="005C0517">
            <w:pPr>
              <w:keepNext/>
              <w:spacing w:after="0"/>
              <w:jc w:val="both"/>
              <w:rPr>
                <w:rFonts w:ascii="Arial" w:hAnsi="Arial" w:cs="Arial"/>
                <w:sz w:val="20"/>
                <w:szCs w:val="20"/>
              </w:rPr>
            </w:pPr>
          </w:p>
        </w:tc>
        <w:tc>
          <w:tcPr>
            <w:tcW w:w="0" w:type="auto"/>
          </w:tcPr>
          <w:p w14:paraId="6AE84CE1" w14:textId="54FD7466"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.7</w:t>
            </w:r>
          </w:p>
        </w:tc>
      </w:tr>
      <w:tr w:rsidR="009D6CCD" w:rsidRPr="00AB1C01" w14:paraId="4DF6EE9A" w14:textId="77777777" w:rsidTr="00F07172">
        <w:trPr>
          <w:cantSplit/>
          <w:trHeight w:val="20"/>
          <w:jc w:val="center"/>
        </w:trPr>
        <w:tc>
          <w:tcPr>
            <w:tcW w:w="3266" w:type="dxa"/>
            <w:tcBorders>
              <w:bottom w:val="single" w:sz="4" w:space="0" w:color="auto"/>
            </w:tcBorders>
          </w:tcPr>
          <w:p w14:paraId="0DBC42EC"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 xml:space="preserve">Feed conversion ratio </w:t>
            </w:r>
          </w:p>
        </w:tc>
        <w:tc>
          <w:tcPr>
            <w:tcW w:w="1400" w:type="dxa"/>
            <w:tcBorders>
              <w:bottom w:val="single" w:sz="4" w:space="0" w:color="auto"/>
            </w:tcBorders>
          </w:tcPr>
          <w:p w14:paraId="0A600286"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1.78 ± 0.17</w:t>
            </w:r>
          </w:p>
        </w:tc>
        <w:tc>
          <w:tcPr>
            <w:tcW w:w="1555" w:type="dxa"/>
            <w:tcBorders>
              <w:bottom w:val="single" w:sz="4" w:space="0" w:color="auto"/>
            </w:tcBorders>
          </w:tcPr>
          <w:p w14:paraId="204D774B"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1.67 ± 0.15</w:t>
            </w:r>
          </w:p>
        </w:tc>
        <w:tc>
          <w:tcPr>
            <w:tcW w:w="1556" w:type="dxa"/>
            <w:tcBorders>
              <w:bottom w:val="single" w:sz="4" w:space="0" w:color="auto"/>
            </w:tcBorders>
          </w:tcPr>
          <w:p w14:paraId="56E63CF4"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1.69 ± 0.18</w:t>
            </w:r>
          </w:p>
        </w:tc>
        <w:tc>
          <w:tcPr>
            <w:tcW w:w="1493" w:type="dxa"/>
            <w:tcBorders>
              <w:bottom w:val="single" w:sz="4" w:space="0" w:color="auto"/>
            </w:tcBorders>
          </w:tcPr>
          <w:p w14:paraId="59BD4C22" w14:textId="77777777"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1.87 ± 0.21</w:t>
            </w:r>
          </w:p>
        </w:tc>
        <w:tc>
          <w:tcPr>
            <w:tcW w:w="152" w:type="dxa"/>
            <w:tcBorders>
              <w:bottom w:val="single" w:sz="4" w:space="0" w:color="auto"/>
            </w:tcBorders>
          </w:tcPr>
          <w:p w14:paraId="4E1E98FB" w14:textId="77777777" w:rsidR="009D6CCD" w:rsidRPr="00AB1C01" w:rsidRDefault="009D6CCD" w:rsidP="005C0517">
            <w:pPr>
              <w:keepNext/>
              <w:spacing w:after="0"/>
              <w:jc w:val="both"/>
              <w:rPr>
                <w:rFonts w:ascii="Arial" w:hAnsi="Arial" w:cs="Arial"/>
                <w:sz w:val="20"/>
                <w:szCs w:val="20"/>
              </w:rPr>
            </w:pPr>
          </w:p>
        </w:tc>
        <w:tc>
          <w:tcPr>
            <w:tcW w:w="0" w:type="auto"/>
            <w:tcBorders>
              <w:bottom w:val="single" w:sz="4" w:space="0" w:color="auto"/>
            </w:tcBorders>
          </w:tcPr>
          <w:p w14:paraId="06DFACDA" w14:textId="08B85E1D" w:rsidR="009D6CCD" w:rsidRPr="00AB1C01" w:rsidRDefault="009D6CCD" w:rsidP="005C0517">
            <w:pPr>
              <w:keepNext/>
              <w:spacing w:after="0"/>
              <w:jc w:val="both"/>
              <w:rPr>
                <w:rFonts w:ascii="Arial" w:hAnsi="Arial" w:cs="Arial"/>
                <w:sz w:val="20"/>
                <w:szCs w:val="20"/>
              </w:rPr>
            </w:pPr>
            <w:r w:rsidRPr="00AB1C01">
              <w:rPr>
                <w:rFonts w:ascii="Arial" w:hAnsi="Arial" w:cs="Arial"/>
                <w:sz w:val="20"/>
                <w:szCs w:val="20"/>
              </w:rPr>
              <w:t>.4</w:t>
            </w:r>
          </w:p>
        </w:tc>
      </w:tr>
    </w:tbl>
    <w:p w14:paraId="152C67C2" w14:textId="77777777" w:rsidR="001F4E60" w:rsidRPr="00734A56" w:rsidRDefault="00876606" w:rsidP="005C0517">
      <w:pPr>
        <w:spacing w:after="120" w:line="240" w:lineRule="auto"/>
        <w:jc w:val="both"/>
        <w:rPr>
          <w:rFonts w:ascii="Arial" w:hAnsi="Arial" w:cs="Arial"/>
          <w:sz w:val="20"/>
          <w:szCs w:val="20"/>
          <w:lang w:val="en-US"/>
        </w:rPr>
      </w:pPr>
      <w:r w:rsidRPr="00734A56">
        <w:rPr>
          <w:rFonts w:ascii="Arial" w:hAnsi="Arial" w:cs="Arial"/>
          <w:sz w:val="20"/>
          <w:szCs w:val="20"/>
          <w:lang w:val="en-US"/>
        </w:rPr>
        <w:t xml:space="preserve">Data are presented in mean ± SD. T0 = control; T1 = group of fish fed with 1%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T2 = group of fish fed with 1.5%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 xml:space="preserve">; T3 = group of fish fed with 2% </w:t>
      </w:r>
      <w:r w:rsidRPr="00734A56">
        <w:rPr>
          <w:rFonts w:ascii="Arial" w:hAnsi="Arial" w:cs="Arial"/>
          <w:i/>
          <w:sz w:val="20"/>
          <w:szCs w:val="20"/>
          <w:lang w:val="en-US"/>
        </w:rPr>
        <w:t xml:space="preserve">D. </w:t>
      </w:r>
      <w:proofErr w:type="spellStart"/>
      <w:r w:rsidRPr="00734A56">
        <w:rPr>
          <w:rFonts w:ascii="Arial" w:hAnsi="Arial" w:cs="Arial"/>
          <w:i/>
          <w:sz w:val="20"/>
          <w:szCs w:val="20"/>
          <w:lang w:val="en-US"/>
        </w:rPr>
        <w:t>microcarpum</w:t>
      </w:r>
      <w:proofErr w:type="spellEnd"/>
      <w:r w:rsidRPr="00734A56">
        <w:rPr>
          <w:rFonts w:ascii="Arial" w:hAnsi="Arial" w:cs="Arial"/>
          <w:sz w:val="20"/>
          <w:szCs w:val="20"/>
          <w:lang w:val="en-US"/>
        </w:rPr>
        <w:t>.</w:t>
      </w:r>
    </w:p>
    <w:p w14:paraId="3C3C6B8D" w14:textId="77777777" w:rsidR="00E67E7B" w:rsidRPr="00734A56" w:rsidRDefault="00E67E7B" w:rsidP="005C0517">
      <w:pPr>
        <w:spacing w:after="120" w:line="240" w:lineRule="auto"/>
        <w:jc w:val="both"/>
        <w:rPr>
          <w:rFonts w:ascii="Arial" w:hAnsi="Arial" w:cs="Arial"/>
          <w:sz w:val="20"/>
          <w:szCs w:val="20"/>
          <w:lang w:val="en-US"/>
        </w:rPr>
      </w:pPr>
    </w:p>
    <w:p w14:paraId="5B2336E8" w14:textId="70FE40EA" w:rsidR="00E67E7B" w:rsidRPr="00734A56" w:rsidRDefault="00E67E7B" w:rsidP="00AB1C01">
      <w:pPr>
        <w:spacing w:after="120" w:line="240" w:lineRule="auto"/>
        <w:jc w:val="center"/>
        <w:rPr>
          <w:rFonts w:ascii="Arial" w:hAnsi="Arial" w:cs="Arial"/>
          <w:sz w:val="20"/>
          <w:szCs w:val="20"/>
        </w:rPr>
      </w:pPr>
      <w:r w:rsidRPr="00734A56">
        <w:rPr>
          <w:rFonts w:ascii="Arial" w:hAnsi="Arial" w:cs="Arial"/>
          <w:noProof/>
        </w:rPr>
        <w:lastRenderedPageBreak/>
        <w:drawing>
          <wp:inline distT="0" distB="0" distL="0" distR="0" wp14:anchorId="650D3AA8" wp14:editId="1FC5C348">
            <wp:extent cx="4572000" cy="2743200"/>
            <wp:effectExtent l="0" t="0" r="0" b="0"/>
            <wp:docPr id="1" name="Graphique 1">
              <a:extLst xmlns:a="http://schemas.openxmlformats.org/drawingml/2006/main">
                <a:ext uri="{FF2B5EF4-FFF2-40B4-BE49-F238E27FC236}">
                  <a16:creationId xmlns:a16="http://schemas.microsoft.com/office/drawing/2014/main" id="{047315FC-C6F5-4DAC-BD81-A9330D6C9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FE536E5" w14:textId="705D7F69" w:rsidR="00E855A5" w:rsidRPr="00AB1C01" w:rsidRDefault="002209C7" w:rsidP="00AB1C01">
      <w:pPr>
        <w:spacing w:after="120" w:line="240" w:lineRule="auto"/>
        <w:jc w:val="center"/>
        <w:rPr>
          <w:rFonts w:ascii="Arial" w:hAnsi="Arial" w:cs="Arial"/>
          <w:bCs/>
          <w:sz w:val="20"/>
          <w:szCs w:val="20"/>
          <w:lang w:val="en-US"/>
        </w:rPr>
      </w:pPr>
      <w:r w:rsidRPr="00AB1C01">
        <w:rPr>
          <w:rFonts w:ascii="Arial" w:hAnsi="Arial" w:cs="Arial"/>
          <w:b/>
          <w:sz w:val="20"/>
          <w:szCs w:val="20"/>
          <w:lang w:val="en-US"/>
        </w:rPr>
        <w:t xml:space="preserve">Figure 1. </w:t>
      </w:r>
      <w:r w:rsidRPr="00AB1C01">
        <w:rPr>
          <w:rFonts w:ascii="Arial" w:hAnsi="Arial" w:cs="Arial"/>
          <w:bCs/>
          <w:sz w:val="20"/>
          <w:szCs w:val="20"/>
          <w:lang w:val="en-US"/>
        </w:rPr>
        <w:t>Condition factor of reared Nile tilapia at the end of the experiment.</w:t>
      </w:r>
    </w:p>
    <w:p w14:paraId="4777D146" w14:textId="113937B1" w:rsidR="00085350" w:rsidRPr="00211206" w:rsidRDefault="004E7B15" w:rsidP="00822B1F">
      <w:pPr>
        <w:pStyle w:val="ListParagraph"/>
        <w:numPr>
          <w:ilvl w:val="1"/>
          <w:numId w:val="8"/>
        </w:numPr>
        <w:spacing w:after="120" w:line="240" w:lineRule="auto"/>
        <w:rPr>
          <w:rFonts w:ascii="Arial" w:hAnsi="Arial" w:cs="Arial"/>
          <w:b/>
          <w:bCs/>
          <w:lang w:val="en-US"/>
        </w:rPr>
      </w:pPr>
      <w:r>
        <w:rPr>
          <w:rFonts w:ascii="Arial" w:hAnsi="Arial" w:cs="Arial"/>
          <w:b/>
          <w:bCs/>
          <w:lang w:val="en-US"/>
        </w:rPr>
        <w:t>DISCUSSION</w:t>
      </w:r>
    </w:p>
    <w:p w14:paraId="5AA43B6D" w14:textId="77777777" w:rsidR="00D87F0F" w:rsidRPr="003149AB" w:rsidRDefault="006F1B7A" w:rsidP="005C0517">
      <w:pPr>
        <w:pStyle w:val="Default"/>
        <w:spacing w:after="120"/>
        <w:jc w:val="both"/>
        <w:rPr>
          <w:rFonts w:ascii="Arial" w:eastAsia="URWPalladioL-Roma" w:hAnsi="Arial" w:cs="Arial"/>
          <w:sz w:val="20"/>
          <w:szCs w:val="20"/>
          <w:lang w:val="en-US"/>
        </w:rPr>
      </w:pPr>
      <w:r w:rsidRPr="003149AB">
        <w:rPr>
          <w:rFonts w:ascii="Arial" w:hAnsi="Arial" w:cs="Arial"/>
          <w:sz w:val="20"/>
          <w:szCs w:val="20"/>
          <w:lang w:val="en-US"/>
        </w:rPr>
        <w:t xml:space="preserve">Nile tilapia is known for its tolerance and adaptability to various environmental conditions, such as water temperature, oxygen levels, salinity, and </w:t>
      </w:r>
      <w:proofErr w:type="spellStart"/>
      <w:r w:rsidRPr="003149AB">
        <w:rPr>
          <w:rFonts w:ascii="Arial" w:hAnsi="Arial" w:cs="Arial"/>
          <w:sz w:val="20"/>
          <w:szCs w:val="20"/>
          <w:lang w:val="en-US"/>
        </w:rPr>
        <w:t>pH.</w:t>
      </w:r>
      <w:proofErr w:type="spellEnd"/>
      <w:r w:rsidRPr="003149AB">
        <w:rPr>
          <w:rFonts w:ascii="Arial" w:hAnsi="Arial" w:cs="Arial"/>
          <w:sz w:val="20"/>
          <w:szCs w:val="20"/>
          <w:lang w:val="en-US"/>
        </w:rPr>
        <w:t xml:space="preserve"> However, a pH range of 6.5 to 8.7 (</w:t>
      </w:r>
      <w:proofErr w:type="spellStart"/>
      <w:r w:rsidRPr="003149AB">
        <w:rPr>
          <w:rFonts w:ascii="Arial" w:hAnsi="Arial" w:cs="Arial"/>
          <w:sz w:val="20"/>
          <w:szCs w:val="20"/>
          <w:lang w:val="en-US"/>
        </w:rPr>
        <w:t>Ogunji</w:t>
      </w:r>
      <w:proofErr w:type="spellEnd"/>
      <w:r w:rsidRPr="003149AB">
        <w:rPr>
          <w:rFonts w:ascii="Arial" w:hAnsi="Arial" w:cs="Arial"/>
          <w:sz w:val="20"/>
          <w:szCs w:val="20"/>
          <w:lang w:val="en-US"/>
        </w:rPr>
        <w:t xml:space="preserve"> and Awoke, 2017), a temperature between 25 and 30 °C (El-Sherif and El-Feky, 2009), a dissolved oxygen level greater than 3 mg/L (Mélard, 1999), and a conductivity ranging from 30 to 5,000 </w:t>
      </w:r>
      <w:r w:rsidRPr="003149AB">
        <w:rPr>
          <w:rFonts w:ascii="Arial" w:hAnsi="Arial" w:cs="Arial"/>
          <w:sz w:val="20"/>
          <w:szCs w:val="20"/>
        </w:rPr>
        <w:t>μ</w:t>
      </w:r>
      <w:r w:rsidRPr="003149AB">
        <w:rPr>
          <w:rFonts w:ascii="Arial" w:hAnsi="Arial" w:cs="Arial"/>
          <w:sz w:val="20"/>
          <w:szCs w:val="20"/>
          <w:lang w:val="en-US"/>
        </w:rPr>
        <w:t xml:space="preserve">S/cm (Kelany et al., 2024) are desirable and acceptable ranges for Nile tilapia farming. The water quality parameters measured during this study were therefore within the optimal range for the farming of </w:t>
      </w:r>
      <w:r w:rsidRPr="003149AB">
        <w:rPr>
          <w:rFonts w:ascii="Arial" w:hAnsi="Arial" w:cs="Arial"/>
          <w:i/>
          <w:sz w:val="20"/>
          <w:szCs w:val="20"/>
          <w:lang w:val="en-US"/>
        </w:rPr>
        <w:t>O. niloticus</w:t>
      </w:r>
      <w:r w:rsidRPr="003149AB">
        <w:rPr>
          <w:rFonts w:ascii="Arial" w:hAnsi="Arial" w:cs="Arial"/>
          <w:sz w:val="20"/>
          <w:szCs w:val="20"/>
          <w:lang w:val="en-US"/>
        </w:rPr>
        <w:t xml:space="preserve">. </w:t>
      </w:r>
    </w:p>
    <w:p w14:paraId="6988ABFF" w14:textId="1203F458" w:rsidR="00E277AF" w:rsidRPr="003149AB" w:rsidRDefault="00FA7090" w:rsidP="005C0517">
      <w:pPr>
        <w:pStyle w:val="Default"/>
        <w:spacing w:after="120"/>
        <w:jc w:val="both"/>
        <w:rPr>
          <w:rFonts w:ascii="Arial" w:hAnsi="Arial" w:cs="Arial"/>
          <w:sz w:val="20"/>
          <w:szCs w:val="20"/>
          <w:lang w:val="en-US"/>
        </w:rPr>
      </w:pPr>
      <w:r w:rsidRPr="003149AB">
        <w:rPr>
          <w:rFonts w:ascii="Arial" w:hAnsi="Arial" w:cs="Arial"/>
          <w:sz w:val="20"/>
          <w:szCs w:val="20"/>
          <w:lang w:val="en-US"/>
        </w:rPr>
        <w:t xml:space="preserve">The success and profitability of any fish farm depend on the quality of the inputs used and the environment where the operation is undertaken. In this study, the addition of different doses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extracts to commercial feed had no effect on the growth performance of </w:t>
      </w:r>
      <w:r w:rsidRPr="003149AB">
        <w:rPr>
          <w:rFonts w:ascii="Arial" w:hAnsi="Arial" w:cs="Arial"/>
          <w:i/>
          <w:sz w:val="20"/>
          <w:szCs w:val="20"/>
          <w:lang w:val="en-US"/>
        </w:rPr>
        <w:t>Oreochromis niloticus</w:t>
      </w:r>
      <w:r w:rsidRPr="003149AB">
        <w:rPr>
          <w:rFonts w:ascii="Arial" w:hAnsi="Arial" w:cs="Arial"/>
          <w:sz w:val="20"/>
          <w:szCs w:val="20"/>
          <w:lang w:val="en-US"/>
        </w:rPr>
        <w:t xml:space="preserve">. At the end of the experiment, weight gain, daily weight gain, specific growth rate, survival rate, and feed conversion ratio were similar between the treated and untreated groups of fish. To the best of our knowledge, no studies have been conducted on the growth of fish fed an extract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bark. However, oral administration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bark extract in the diets of rats did not affect their growth and did not result in any significant changes in their behavior or mortality rate (Fotso et al., 2022). Similarly, the inclusion of 10%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seed meal in the finisher broiler ration showed no effect on their growth performance or feed utilization (</w:t>
      </w:r>
      <w:proofErr w:type="spellStart"/>
      <w:r w:rsidRPr="003149AB">
        <w:rPr>
          <w:rFonts w:ascii="Arial" w:hAnsi="Arial" w:cs="Arial"/>
          <w:sz w:val="20"/>
          <w:szCs w:val="20"/>
          <w:lang w:val="en-US"/>
        </w:rPr>
        <w:t>Obun</w:t>
      </w:r>
      <w:proofErr w:type="spellEnd"/>
      <w:r w:rsidRPr="003149AB">
        <w:rPr>
          <w:rFonts w:ascii="Arial" w:hAnsi="Arial" w:cs="Arial"/>
          <w:sz w:val="20"/>
          <w:szCs w:val="20"/>
          <w:lang w:val="en-US"/>
        </w:rPr>
        <w:t xml:space="preserve"> et al., 2008). Similar results were reported in rabbits fed with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pulp meal (</w:t>
      </w:r>
      <w:proofErr w:type="spellStart"/>
      <w:r w:rsidRPr="003149AB">
        <w:rPr>
          <w:rFonts w:ascii="Arial" w:hAnsi="Arial" w:cs="Arial"/>
          <w:sz w:val="20"/>
          <w:szCs w:val="20"/>
          <w:lang w:val="en-US"/>
        </w:rPr>
        <w:t>Obun</w:t>
      </w:r>
      <w:proofErr w:type="spellEnd"/>
      <w:r w:rsidRPr="003149AB">
        <w:rPr>
          <w:rFonts w:ascii="Arial" w:hAnsi="Arial" w:cs="Arial"/>
          <w:sz w:val="20"/>
          <w:szCs w:val="20"/>
          <w:lang w:val="en-US"/>
        </w:rPr>
        <w:t xml:space="preserve"> et al., 2010).  Conversely, Wahedi and David (2013) revealed that the fruit pulp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has a significant effect on weight gain in rats. Indeed, they noted that the rats fed with a mixture of 500g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fruit pulp and 500g of rat mash gained less weight (175.88±24.63 g) than the control group fed with rat mash only (303.75±14.22 g). The use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seed meal as feed has also been reported in rabbits; the results showed that cooked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seed meal increased the final body weight, body weight gain, and feed conversion ratio compared to fermented seed meal (Jiya et al., 2013). According to these authors, this meal can be incorporated at 100% into the diet of weaned rabbits, as a substitute for palm kernel cake, without any adverse effects on their growth, provided that the anti-nutritional factors contained in the seeds are eliminated through cooking or fermentation. </w:t>
      </w:r>
    </w:p>
    <w:p w14:paraId="3B3B48F4" w14:textId="473B9C51" w:rsidR="00375638" w:rsidRPr="003149AB" w:rsidRDefault="006C681C" w:rsidP="005C0517">
      <w:pPr>
        <w:pStyle w:val="Default"/>
        <w:spacing w:after="120"/>
        <w:jc w:val="both"/>
        <w:rPr>
          <w:rFonts w:ascii="Arial" w:eastAsia="URWPalladioL-Roma" w:hAnsi="Arial" w:cs="Arial"/>
          <w:sz w:val="20"/>
          <w:szCs w:val="20"/>
          <w:lang w:val="en-US"/>
        </w:rPr>
      </w:pPr>
      <w:r w:rsidRPr="003149AB">
        <w:rPr>
          <w:rFonts w:ascii="Arial" w:hAnsi="Arial" w:cs="Arial"/>
          <w:sz w:val="20"/>
          <w:szCs w:val="20"/>
          <w:lang w:val="en-US"/>
        </w:rPr>
        <w:t xml:space="preserve">The condition factor can be used as an indicator of the health status of fish within a system and, consequently, help assess their well-being, particularly their nutrition (adequacy of food, water quality, etc.) </w:t>
      </w:r>
      <w:r w:rsidRPr="003149AB">
        <w:rPr>
          <w:rFonts w:ascii="Arial" w:hAnsi="Arial" w:cs="Arial"/>
          <w:sz w:val="20"/>
          <w:szCs w:val="20"/>
        </w:rPr>
        <w:t>(Abdul et al., 2023</w:t>
      </w:r>
      <w:r w:rsidR="00F026F2" w:rsidRPr="003149AB">
        <w:rPr>
          <w:rFonts w:ascii="Arial" w:hAnsi="Arial" w:cs="Arial"/>
          <w:sz w:val="20"/>
          <w:szCs w:val="20"/>
        </w:rPr>
        <w:t xml:space="preserve"> </w:t>
      </w:r>
      <w:r w:rsidRPr="003149AB">
        <w:rPr>
          <w:rFonts w:ascii="Arial" w:hAnsi="Arial" w:cs="Arial"/>
          <w:sz w:val="20"/>
          <w:szCs w:val="20"/>
        </w:rPr>
        <w:t xml:space="preserve">; Aulia et al., 2024). </w:t>
      </w:r>
      <w:proofErr w:type="spellStart"/>
      <w:r w:rsidRPr="003149AB">
        <w:rPr>
          <w:rFonts w:ascii="Arial" w:hAnsi="Arial" w:cs="Arial"/>
          <w:sz w:val="20"/>
          <w:szCs w:val="20"/>
        </w:rPr>
        <w:t>According</w:t>
      </w:r>
      <w:proofErr w:type="spellEnd"/>
      <w:r w:rsidRPr="003149AB">
        <w:rPr>
          <w:rFonts w:ascii="Arial" w:hAnsi="Arial" w:cs="Arial"/>
          <w:sz w:val="20"/>
          <w:szCs w:val="20"/>
        </w:rPr>
        <w:t xml:space="preserve"> to Da et al. </w:t>
      </w:r>
      <w:r w:rsidRPr="003149AB">
        <w:rPr>
          <w:rFonts w:ascii="Arial" w:hAnsi="Arial" w:cs="Arial"/>
          <w:sz w:val="20"/>
          <w:szCs w:val="20"/>
          <w:lang w:val="en-US"/>
        </w:rPr>
        <w:t xml:space="preserve">(2018), a condition factor greater than one indicates that a fish is in good physical condition. In this study, the condition factor values for both treated and untreated fish were greater than 1, indicating their good health and optimal environmental conditions. </w:t>
      </w:r>
    </w:p>
    <w:p w14:paraId="4CE4887D" w14:textId="3C9D8975" w:rsidR="009C1985" w:rsidRPr="00536E9E" w:rsidRDefault="00536E9E" w:rsidP="00822B1F">
      <w:pPr>
        <w:spacing w:after="120" w:line="240" w:lineRule="auto"/>
        <w:rPr>
          <w:rFonts w:ascii="Arial" w:hAnsi="Arial" w:cs="Arial"/>
          <w:b/>
          <w:bCs/>
          <w:lang w:val="en-US"/>
        </w:rPr>
      </w:pPr>
      <w:r w:rsidRPr="00536E9E">
        <w:rPr>
          <w:rFonts w:ascii="Arial" w:hAnsi="Arial" w:cs="Arial"/>
          <w:b/>
          <w:lang w:val="en-US"/>
        </w:rPr>
        <w:t xml:space="preserve">4. </w:t>
      </w:r>
      <w:r w:rsidR="00871979" w:rsidRPr="00536E9E">
        <w:rPr>
          <w:rFonts w:ascii="Arial" w:hAnsi="Arial" w:cs="Arial"/>
          <w:b/>
          <w:lang w:val="en-US"/>
        </w:rPr>
        <w:t>CONCLUSION</w:t>
      </w:r>
    </w:p>
    <w:p w14:paraId="35A110A1" w14:textId="7DEE546B" w:rsidR="00520A8D" w:rsidRPr="003149AB" w:rsidRDefault="00004FBA" w:rsidP="005C0517">
      <w:pPr>
        <w:spacing w:after="120" w:line="240" w:lineRule="auto"/>
        <w:jc w:val="both"/>
        <w:rPr>
          <w:rFonts w:ascii="Arial" w:hAnsi="Arial" w:cs="Arial"/>
          <w:sz w:val="20"/>
          <w:szCs w:val="20"/>
          <w:lang w:val="en-US"/>
        </w:rPr>
      </w:pPr>
      <w:r w:rsidRPr="003149AB">
        <w:rPr>
          <w:rFonts w:ascii="Arial" w:hAnsi="Arial" w:cs="Arial"/>
          <w:sz w:val="20"/>
          <w:szCs w:val="20"/>
          <w:lang w:val="en-US"/>
        </w:rPr>
        <w:t xml:space="preserve">This study showed that the addition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bark extract to Nile tilapia feed did not result in significant changes in water quality, growth performance, or feed utilization. Furthermore, it did not affect fish welfare. However, further studies on the effects of </w:t>
      </w:r>
      <w:r w:rsidRPr="003149AB">
        <w:rPr>
          <w:rFonts w:ascii="Arial" w:hAnsi="Arial" w:cs="Arial"/>
          <w:i/>
          <w:sz w:val="20"/>
          <w:szCs w:val="20"/>
          <w:lang w:val="en-US"/>
        </w:rPr>
        <w:t xml:space="preserve">D.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bark compounds on </w:t>
      </w:r>
      <w:r w:rsidRPr="003149AB">
        <w:rPr>
          <w:rFonts w:ascii="Arial" w:hAnsi="Arial" w:cs="Arial"/>
          <w:sz w:val="20"/>
          <w:szCs w:val="20"/>
          <w:lang w:val="en-US"/>
        </w:rPr>
        <w:lastRenderedPageBreak/>
        <w:t xml:space="preserve">fish biochemical and </w:t>
      </w:r>
      <w:proofErr w:type="spellStart"/>
      <w:r w:rsidRPr="003149AB">
        <w:rPr>
          <w:rFonts w:ascii="Arial" w:hAnsi="Arial" w:cs="Arial"/>
          <w:sz w:val="20"/>
          <w:szCs w:val="20"/>
          <w:lang w:val="en-US"/>
        </w:rPr>
        <w:t>haematological</w:t>
      </w:r>
      <w:proofErr w:type="spellEnd"/>
      <w:r w:rsidRPr="003149AB">
        <w:rPr>
          <w:rFonts w:ascii="Arial" w:hAnsi="Arial" w:cs="Arial"/>
          <w:sz w:val="20"/>
          <w:szCs w:val="20"/>
          <w:lang w:val="en-US"/>
        </w:rPr>
        <w:t xml:space="preserve"> parameters may provide additional knowledge, particularly for the development of plant-based feed additives to support sustainable aquafeed.</w:t>
      </w:r>
    </w:p>
    <w:p w14:paraId="0989C610" w14:textId="1ABB7E01" w:rsidR="00520A8D" w:rsidRPr="00B33BBA" w:rsidRDefault="00871979" w:rsidP="00822B1F">
      <w:pPr>
        <w:spacing w:after="120" w:line="240" w:lineRule="auto"/>
        <w:rPr>
          <w:rFonts w:ascii="Arial" w:hAnsi="Arial" w:cs="Arial"/>
          <w:b/>
          <w:bCs/>
          <w:lang w:val="en-US"/>
        </w:rPr>
      </w:pPr>
      <w:r w:rsidRPr="00CE2939">
        <w:rPr>
          <w:rFonts w:ascii="Arial" w:hAnsi="Arial" w:cs="Arial"/>
          <w:b/>
          <w:lang w:val="en-US"/>
        </w:rPr>
        <w:t>COMPETING INTERESTS</w:t>
      </w:r>
    </w:p>
    <w:p w14:paraId="058018FA" w14:textId="77777777" w:rsidR="00520A8D" w:rsidRPr="003149AB" w:rsidRDefault="00520A8D" w:rsidP="005C0517">
      <w:pPr>
        <w:spacing w:after="120" w:line="240" w:lineRule="auto"/>
        <w:jc w:val="both"/>
        <w:rPr>
          <w:rFonts w:ascii="Arial" w:hAnsi="Arial" w:cs="Arial"/>
          <w:sz w:val="20"/>
          <w:szCs w:val="20"/>
          <w:lang w:val="en-US"/>
        </w:rPr>
      </w:pPr>
      <w:r w:rsidRPr="003149AB">
        <w:rPr>
          <w:rFonts w:ascii="Arial" w:hAnsi="Arial" w:cs="Arial"/>
          <w:sz w:val="20"/>
          <w:szCs w:val="20"/>
          <w:lang w:val="en-US"/>
        </w:rPr>
        <w:t>The authors declare that there is no conflict of interest.</w:t>
      </w:r>
    </w:p>
    <w:p w14:paraId="74C9B18B" w14:textId="3CDAAD14" w:rsidR="00871979" w:rsidRPr="00CE2939" w:rsidRDefault="00871979" w:rsidP="00822B1F">
      <w:pPr>
        <w:spacing w:after="120" w:line="240" w:lineRule="auto"/>
        <w:rPr>
          <w:rFonts w:ascii="Arial" w:hAnsi="Arial" w:cs="Arial"/>
          <w:b/>
          <w:lang w:val="en-US"/>
        </w:rPr>
      </w:pPr>
      <w:r w:rsidRPr="00CE2939">
        <w:rPr>
          <w:rFonts w:ascii="Arial" w:hAnsi="Arial" w:cs="Arial"/>
          <w:b/>
          <w:lang w:val="en-US"/>
        </w:rPr>
        <w:t>ETHICAL APPROVAL</w:t>
      </w:r>
      <w:r w:rsidR="00B33BBA" w:rsidRPr="00CE2939">
        <w:rPr>
          <w:rFonts w:ascii="Arial" w:hAnsi="Arial" w:cs="Arial"/>
          <w:b/>
          <w:lang w:val="en-US"/>
        </w:rPr>
        <w:t xml:space="preserve"> </w:t>
      </w:r>
    </w:p>
    <w:p w14:paraId="17483DEA" w14:textId="77777777" w:rsidR="00B33BBA" w:rsidRDefault="00B33BBA" w:rsidP="00B33BBA">
      <w:pPr>
        <w:tabs>
          <w:tab w:val="left" w:pos="1172"/>
        </w:tabs>
        <w:spacing w:after="120" w:line="240" w:lineRule="auto"/>
        <w:jc w:val="both"/>
        <w:rPr>
          <w:rFonts w:ascii="Arial" w:hAnsi="Arial" w:cs="Arial"/>
          <w:sz w:val="20"/>
          <w:szCs w:val="20"/>
          <w:lang w:val="en-US"/>
        </w:rPr>
      </w:pPr>
      <w:r w:rsidRPr="003149AB">
        <w:rPr>
          <w:rFonts w:ascii="Arial" w:hAnsi="Arial" w:cs="Arial"/>
          <w:sz w:val="20"/>
          <w:szCs w:val="20"/>
          <w:lang w:val="en-US"/>
        </w:rPr>
        <w:t>The procedures and methodologies of this study were approved by the Health Research Ethics Committee (CERS No. 2026-03-145).</w:t>
      </w:r>
    </w:p>
    <w:p w14:paraId="2D5168E5" w14:textId="77777777" w:rsidR="0081133B" w:rsidRDefault="0081133B" w:rsidP="0081133B">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2731D3CA" w14:textId="77777777" w:rsidR="0081133B" w:rsidRDefault="0081133B" w:rsidP="0081133B">
      <w:pPr>
        <w:spacing w:after="0" w:line="240" w:lineRule="auto"/>
        <w:rPr>
          <w:rFonts w:ascii="Times New Roman" w:hAnsi="Times New Roman" w:cs="Times New Roman"/>
          <w:b/>
        </w:rPr>
      </w:pPr>
    </w:p>
    <w:p w14:paraId="3D96A182" w14:textId="77777777" w:rsidR="0081133B" w:rsidRDefault="0081133B" w:rsidP="0081133B">
      <w:pPr>
        <w:spacing w:after="0" w:line="240" w:lineRule="auto"/>
        <w:rPr>
          <w:rFonts w:ascii="Times New Roman" w:hAnsi="Times New Roman" w:cs="Times New Roman"/>
          <w:b/>
        </w:rPr>
      </w:pPr>
    </w:p>
    <w:p w14:paraId="56BEC9BF" w14:textId="77777777" w:rsidR="0081133B" w:rsidRDefault="0081133B" w:rsidP="0081133B">
      <w:pPr>
        <w:spacing w:after="0" w:line="240" w:lineRule="auto"/>
        <w:rPr>
          <w:rFonts w:ascii="Times New Roman" w:hAnsi="Times New Roman" w:cs="Times New Roman"/>
          <w:b/>
        </w:rPr>
      </w:pPr>
    </w:p>
    <w:p w14:paraId="704E9633" w14:textId="77777777" w:rsidR="0081133B" w:rsidRPr="002D08AC" w:rsidRDefault="0081133B" w:rsidP="0081133B">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243A1F43" w14:textId="77777777" w:rsidR="00840E20" w:rsidRPr="00CE2939" w:rsidRDefault="00840E20" w:rsidP="00822B1F">
      <w:pPr>
        <w:spacing w:after="120" w:line="240" w:lineRule="auto"/>
        <w:rPr>
          <w:rFonts w:ascii="Arial" w:hAnsi="Arial" w:cs="Arial"/>
          <w:b/>
          <w:lang w:val="en-US"/>
        </w:rPr>
      </w:pPr>
    </w:p>
    <w:p w14:paraId="3B4F9332" w14:textId="16B7CCD7" w:rsidR="00DD6A96" w:rsidRPr="00B33BBA" w:rsidRDefault="00B33BBA" w:rsidP="00822B1F">
      <w:pPr>
        <w:spacing w:after="120" w:line="240" w:lineRule="auto"/>
        <w:rPr>
          <w:rFonts w:ascii="Arial" w:hAnsi="Arial" w:cs="Arial"/>
          <w:b/>
          <w:bCs/>
          <w:lang w:val="en-US"/>
        </w:rPr>
      </w:pPr>
      <w:r w:rsidRPr="00CE2939">
        <w:rPr>
          <w:rFonts w:ascii="Arial" w:hAnsi="Arial" w:cs="Arial"/>
          <w:b/>
          <w:lang w:val="en-US"/>
        </w:rPr>
        <w:t>REFERENCES</w:t>
      </w:r>
    </w:p>
    <w:p w14:paraId="76CEBA81" w14:textId="6FE303D6" w:rsidR="00474483" w:rsidRPr="003149AB" w:rsidRDefault="00474483"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Abdul, W. O., </w:t>
      </w:r>
      <w:proofErr w:type="spellStart"/>
      <w:r w:rsidRPr="003149AB">
        <w:rPr>
          <w:rFonts w:ascii="Arial" w:hAnsi="Arial" w:cs="Arial"/>
          <w:sz w:val="20"/>
          <w:szCs w:val="20"/>
          <w:lang w:val="en-US"/>
        </w:rPr>
        <w:t>Bajela</w:t>
      </w:r>
      <w:proofErr w:type="spellEnd"/>
      <w:r w:rsidRPr="003149AB">
        <w:rPr>
          <w:rFonts w:ascii="Arial" w:hAnsi="Arial" w:cs="Arial"/>
          <w:sz w:val="20"/>
          <w:szCs w:val="20"/>
          <w:lang w:val="en-US"/>
        </w:rPr>
        <w:t xml:space="preserve">, M. L., Quadri, A. M., &amp; Adekoya, E. O. (2023). Length-weight relationship and condition factor of some commercial fish species in Lekki lagoon, Southwest Nigeria. Ife Journal of Agriculture, 35(2), 78-87. </w:t>
      </w:r>
      <w:hyperlink r:id="rId8" w:history="1">
        <w:r w:rsidR="005078D9" w:rsidRPr="00DF6361">
          <w:rPr>
            <w:rStyle w:val="Hyperlink"/>
            <w:rFonts w:ascii="Arial" w:hAnsi="Arial" w:cs="Arial"/>
            <w:sz w:val="20"/>
            <w:szCs w:val="20"/>
            <w:lang w:val="en-US"/>
          </w:rPr>
          <w:t>https://share.google/W6ST19muFP7ljOkmy</w:t>
        </w:r>
      </w:hyperlink>
      <w:r w:rsidR="005078D9">
        <w:rPr>
          <w:rFonts w:ascii="Arial" w:hAnsi="Arial" w:cs="Arial"/>
          <w:sz w:val="20"/>
          <w:szCs w:val="20"/>
          <w:lang w:val="en-US"/>
        </w:rPr>
        <w:t xml:space="preserve"> </w:t>
      </w:r>
      <w:r w:rsidRPr="003149AB">
        <w:rPr>
          <w:rFonts w:ascii="Arial" w:hAnsi="Arial" w:cs="Arial"/>
          <w:sz w:val="20"/>
          <w:szCs w:val="20"/>
          <w:lang w:val="en-US"/>
        </w:rPr>
        <w:t xml:space="preserve">   </w:t>
      </w:r>
    </w:p>
    <w:p w14:paraId="73D5E2CB" w14:textId="77777777" w:rsidR="00702B7E" w:rsidRPr="003149AB" w:rsidRDefault="00702B7E"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Alatise</w:t>
      </w:r>
      <w:proofErr w:type="spellEnd"/>
      <w:r w:rsidRPr="003149AB">
        <w:rPr>
          <w:rFonts w:ascii="Arial" w:hAnsi="Arial" w:cs="Arial"/>
          <w:sz w:val="20"/>
          <w:szCs w:val="20"/>
          <w:lang w:val="en-US"/>
        </w:rPr>
        <w:t xml:space="preserve">, S. P., </w:t>
      </w:r>
      <w:proofErr w:type="spellStart"/>
      <w:r w:rsidRPr="003149AB">
        <w:rPr>
          <w:rFonts w:ascii="Arial" w:hAnsi="Arial" w:cs="Arial"/>
          <w:sz w:val="20"/>
          <w:szCs w:val="20"/>
          <w:lang w:val="en-US"/>
        </w:rPr>
        <w:t>Olaosebikan</w:t>
      </w:r>
      <w:proofErr w:type="spellEnd"/>
      <w:r w:rsidRPr="003149AB">
        <w:rPr>
          <w:rFonts w:ascii="Arial" w:hAnsi="Arial" w:cs="Arial"/>
          <w:sz w:val="20"/>
          <w:szCs w:val="20"/>
          <w:lang w:val="en-US"/>
        </w:rPr>
        <w:t>, B. D., Ogundele, O., &amp; Robert, E. A. (2021). Proximate composition of wild biscuit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leaf and seed meals as potential ingredients for fish production. In proceedings of the 36th Annual Conference of the Fisheries Society of Nigeria, (FISON): 396-400.</w:t>
      </w:r>
    </w:p>
    <w:p w14:paraId="6F6A705E" w14:textId="367015FF" w:rsidR="00D87F0F" w:rsidRPr="003149AB" w:rsidRDefault="00D87F0F"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rPr>
        <w:t>Amoussou</w:t>
      </w:r>
      <w:proofErr w:type="spellEnd"/>
      <w:r w:rsidRPr="003149AB">
        <w:rPr>
          <w:rFonts w:ascii="Arial" w:hAnsi="Arial" w:cs="Arial"/>
          <w:sz w:val="20"/>
          <w:szCs w:val="20"/>
        </w:rPr>
        <w:t xml:space="preserve">, T. O., Toguyeni, A., Toko, I. I., </w:t>
      </w:r>
      <w:proofErr w:type="spellStart"/>
      <w:r w:rsidRPr="003149AB">
        <w:rPr>
          <w:rFonts w:ascii="Arial" w:hAnsi="Arial" w:cs="Arial"/>
          <w:sz w:val="20"/>
          <w:szCs w:val="20"/>
        </w:rPr>
        <w:t>Chikou</w:t>
      </w:r>
      <w:proofErr w:type="spellEnd"/>
      <w:r w:rsidRPr="003149AB">
        <w:rPr>
          <w:rFonts w:ascii="Arial" w:hAnsi="Arial" w:cs="Arial"/>
          <w:sz w:val="20"/>
          <w:szCs w:val="20"/>
        </w:rPr>
        <w:t xml:space="preserve">, A., &amp; Karim, I. Y. A. (2017). Caractéristiques biologiques et zootechniques des tilapias africains </w:t>
      </w:r>
      <w:proofErr w:type="spellStart"/>
      <w:r w:rsidRPr="003149AB">
        <w:rPr>
          <w:rFonts w:ascii="Arial" w:hAnsi="Arial" w:cs="Arial"/>
          <w:i/>
          <w:sz w:val="20"/>
          <w:szCs w:val="20"/>
        </w:rPr>
        <w:t>Oreochromis</w:t>
      </w:r>
      <w:proofErr w:type="spellEnd"/>
      <w:r w:rsidRPr="003149AB">
        <w:rPr>
          <w:rFonts w:ascii="Arial" w:hAnsi="Arial" w:cs="Arial"/>
          <w:i/>
          <w:sz w:val="20"/>
          <w:szCs w:val="20"/>
        </w:rPr>
        <w:t xml:space="preserve"> </w:t>
      </w:r>
      <w:proofErr w:type="spellStart"/>
      <w:r w:rsidRPr="003149AB">
        <w:rPr>
          <w:rFonts w:ascii="Arial" w:hAnsi="Arial" w:cs="Arial"/>
          <w:i/>
          <w:sz w:val="20"/>
          <w:szCs w:val="20"/>
        </w:rPr>
        <w:t>niloticus</w:t>
      </w:r>
      <w:proofErr w:type="spellEnd"/>
      <w:r w:rsidRPr="003149AB">
        <w:rPr>
          <w:rFonts w:ascii="Arial" w:hAnsi="Arial" w:cs="Arial"/>
          <w:sz w:val="20"/>
          <w:szCs w:val="20"/>
        </w:rPr>
        <w:t xml:space="preserve"> (Linnaeus, 1758) et </w:t>
      </w:r>
      <w:proofErr w:type="spellStart"/>
      <w:r w:rsidRPr="003149AB">
        <w:rPr>
          <w:rFonts w:ascii="Arial" w:hAnsi="Arial" w:cs="Arial"/>
          <w:sz w:val="20"/>
          <w:szCs w:val="20"/>
        </w:rPr>
        <w:t>Sarotherodon</w:t>
      </w:r>
      <w:proofErr w:type="spellEnd"/>
      <w:r w:rsidRPr="003149AB">
        <w:rPr>
          <w:rFonts w:ascii="Arial" w:hAnsi="Arial" w:cs="Arial"/>
          <w:sz w:val="20"/>
          <w:szCs w:val="20"/>
        </w:rPr>
        <w:t xml:space="preserve"> </w:t>
      </w:r>
      <w:proofErr w:type="spellStart"/>
      <w:r w:rsidRPr="003149AB">
        <w:rPr>
          <w:rFonts w:ascii="Arial" w:hAnsi="Arial" w:cs="Arial"/>
          <w:sz w:val="20"/>
          <w:szCs w:val="20"/>
        </w:rPr>
        <w:t>melanotheron</w:t>
      </w:r>
      <w:proofErr w:type="spellEnd"/>
      <w:r w:rsidRPr="003149AB">
        <w:rPr>
          <w:rFonts w:ascii="Arial" w:hAnsi="Arial" w:cs="Arial"/>
          <w:sz w:val="20"/>
          <w:szCs w:val="20"/>
        </w:rPr>
        <w:t xml:space="preserve"> </w:t>
      </w:r>
      <w:proofErr w:type="spellStart"/>
      <w:r w:rsidRPr="003149AB">
        <w:rPr>
          <w:rFonts w:ascii="Arial" w:hAnsi="Arial" w:cs="Arial"/>
          <w:sz w:val="20"/>
          <w:szCs w:val="20"/>
        </w:rPr>
        <w:t>Rüppell</w:t>
      </w:r>
      <w:proofErr w:type="spellEnd"/>
      <w:r w:rsidRPr="003149AB">
        <w:rPr>
          <w:rFonts w:ascii="Arial" w:hAnsi="Arial" w:cs="Arial"/>
          <w:sz w:val="20"/>
          <w:szCs w:val="20"/>
        </w:rPr>
        <w:t>, 1852</w:t>
      </w:r>
      <w:r w:rsidR="00F07172" w:rsidRPr="003149AB">
        <w:rPr>
          <w:rFonts w:ascii="Arial" w:hAnsi="Arial" w:cs="Arial"/>
          <w:sz w:val="20"/>
          <w:szCs w:val="20"/>
        </w:rPr>
        <w:t xml:space="preserve"> </w:t>
      </w:r>
      <w:r w:rsidRPr="003149AB">
        <w:rPr>
          <w:rFonts w:ascii="Arial" w:hAnsi="Arial" w:cs="Arial"/>
          <w:sz w:val="20"/>
          <w:szCs w:val="20"/>
        </w:rPr>
        <w:t xml:space="preserve">: une revue. </w:t>
      </w:r>
      <w:r w:rsidRPr="003149AB">
        <w:rPr>
          <w:rFonts w:ascii="Arial" w:hAnsi="Arial" w:cs="Arial"/>
          <w:sz w:val="20"/>
          <w:szCs w:val="20"/>
          <w:lang w:val="en-US"/>
        </w:rPr>
        <w:t xml:space="preserve">International journal of biological and chemical sciences, 10(4): 1869-1887. </w:t>
      </w:r>
      <w:hyperlink r:id="rId9" w:history="1">
        <w:r w:rsidR="00B45D8F" w:rsidRPr="00DF6361">
          <w:rPr>
            <w:rStyle w:val="Hyperlink"/>
            <w:rFonts w:ascii="Arial" w:hAnsi="Arial" w:cs="Arial"/>
            <w:sz w:val="20"/>
            <w:szCs w:val="20"/>
            <w:lang w:val="en-US"/>
          </w:rPr>
          <w:t>http://dx.doi.org/10.4314/ijbcs.v10i4.35</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6165B245" w14:textId="5D9D7071" w:rsidR="00245000" w:rsidRPr="003149AB" w:rsidRDefault="00245000"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rPr>
        <w:t>Amulejoye</w:t>
      </w:r>
      <w:proofErr w:type="spellEnd"/>
      <w:r w:rsidRPr="003149AB">
        <w:rPr>
          <w:rFonts w:ascii="Arial" w:hAnsi="Arial" w:cs="Arial"/>
          <w:sz w:val="20"/>
          <w:szCs w:val="20"/>
        </w:rPr>
        <w:t xml:space="preserve">, F. D., Mitra, A., </w:t>
      </w:r>
      <w:proofErr w:type="spellStart"/>
      <w:r w:rsidRPr="003149AB">
        <w:rPr>
          <w:rFonts w:ascii="Arial" w:hAnsi="Arial" w:cs="Arial"/>
          <w:sz w:val="20"/>
          <w:szCs w:val="20"/>
        </w:rPr>
        <w:t>Hasimuna</w:t>
      </w:r>
      <w:proofErr w:type="spellEnd"/>
      <w:r w:rsidRPr="003149AB">
        <w:rPr>
          <w:rFonts w:ascii="Arial" w:hAnsi="Arial" w:cs="Arial"/>
          <w:sz w:val="20"/>
          <w:szCs w:val="20"/>
        </w:rPr>
        <w:t xml:space="preserve">, O. J., Olusola, S. E., </w:t>
      </w:r>
      <w:proofErr w:type="spellStart"/>
      <w:r w:rsidRPr="003149AB">
        <w:rPr>
          <w:rFonts w:ascii="Arial" w:hAnsi="Arial" w:cs="Arial"/>
          <w:sz w:val="20"/>
          <w:szCs w:val="20"/>
        </w:rPr>
        <w:t>Sianangama</w:t>
      </w:r>
      <w:proofErr w:type="spellEnd"/>
      <w:r w:rsidRPr="003149AB">
        <w:rPr>
          <w:rFonts w:ascii="Arial" w:hAnsi="Arial" w:cs="Arial"/>
          <w:sz w:val="20"/>
          <w:szCs w:val="20"/>
        </w:rPr>
        <w:t xml:space="preserve">, P. C., Mphande, J., Phiri, C. M., &amp; </w:t>
      </w:r>
      <w:proofErr w:type="spellStart"/>
      <w:r w:rsidRPr="003149AB">
        <w:rPr>
          <w:rFonts w:ascii="Arial" w:hAnsi="Arial" w:cs="Arial"/>
          <w:sz w:val="20"/>
          <w:szCs w:val="20"/>
        </w:rPr>
        <w:t>Maulu</w:t>
      </w:r>
      <w:proofErr w:type="spellEnd"/>
      <w:r w:rsidRPr="003149AB">
        <w:rPr>
          <w:rFonts w:ascii="Arial" w:hAnsi="Arial" w:cs="Arial"/>
          <w:sz w:val="20"/>
          <w:szCs w:val="20"/>
        </w:rPr>
        <w:t xml:space="preserve">, S. (2025). </w:t>
      </w:r>
      <w:r w:rsidRPr="003149AB">
        <w:rPr>
          <w:rFonts w:ascii="Arial" w:hAnsi="Arial" w:cs="Arial"/>
          <w:sz w:val="20"/>
          <w:szCs w:val="20"/>
          <w:lang w:val="en-US"/>
        </w:rPr>
        <w:t xml:space="preserve">Application of medicinal plants in fish reproduction for sustainable aquaculture practices: a review. All Life, 18(1), 2575767. </w:t>
      </w:r>
      <w:hyperlink r:id="rId10" w:history="1">
        <w:r w:rsidR="00B45D8F" w:rsidRPr="00DF6361">
          <w:rPr>
            <w:rStyle w:val="Hyperlink"/>
            <w:rFonts w:ascii="Arial" w:hAnsi="Arial" w:cs="Arial"/>
            <w:sz w:val="20"/>
            <w:szCs w:val="20"/>
            <w:lang w:val="en-US"/>
          </w:rPr>
          <w:t>https://doi.org/10.1080/26895293.2025.2575767</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574DF1B" w14:textId="115C7ABE" w:rsidR="000122F9" w:rsidRPr="003149AB" w:rsidRDefault="000122F9"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Aulia, D., Jarir, D., Charity, I., </w:t>
      </w:r>
      <w:proofErr w:type="spellStart"/>
      <w:r w:rsidRPr="003149AB">
        <w:rPr>
          <w:rFonts w:ascii="Arial" w:hAnsi="Arial" w:cs="Arial"/>
          <w:sz w:val="20"/>
          <w:szCs w:val="20"/>
          <w:lang w:val="en-US"/>
        </w:rPr>
        <w:t>Asywaq</w:t>
      </w:r>
      <w:proofErr w:type="spellEnd"/>
      <w:r w:rsidRPr="003149AB">
        <w:rPr>
          <w:rFonts w:ascii="Arial" w:hAnsi="Arial" w:cs="Arial"/>
          <w:sz w:val="20"/>
          <w:szCs w:val="20"/>
          <w:lang w:val="en-US"/>
        </w:rPr>
        <w:t xml:space="preserve">, M., </w:t>
      </w:r>
      <w:proofErr w:type="spellStart"/>
      <w:r w:rsidRPr="003149AB">
        <w:rPr>
          <w:rFonts w:ascii="Arial" w:hAnsi="Arial" w:cs="Arial"/>
          <w:sz w:val="20"/>
          <w:szCs w:val="20"/>
          <w:lang w:val="en-US"/>
        </w:rPr>
        <w:t>Sabariyah</w:t>
      </w:r>
      <w:proofErr w:type="spellEnd"/>
      <w:r w:rsidRPr="003149AB">
        <w:rPr>
          <w:rFonts w:ascii="Arial" w:hAnsi="Arial" w:cs="Arial"/>
          <w:sz w:val="20"/>
          <w:szCs w:val="20"/>
          <w:lang w:val="en-US"/>
        </w:rPr>
        <w:t xml:space="preserve">, N., </w:t>
      </w:r>
      <w:proofErr w:type="spellStart"/>
      <w:r w:rsidRPr="003149AB">
        <w:rPr>
          <w:rFonts w:ascii="Arial" w:hAnsi="Arial" w:cs="Arial"/>
          <w:sz w:val="20"/>
          <w:szCs w:val="20"/>
          <w:lang w:val="en-US"/>
        </w:rPr>
        <w:t>Umidayati</w:t>
      </w:r>
      <w:proofErr w:type="spellEnd"/>
      <w:r w:rsidRPr="003149AB">
        <w:rPr>
          <w:rFonts w:ascii="Arial" w:hAnsi="Arial" w:cs="Arial"/>
          <w:sz w:val="20"/>
          <w:szCs w:val="20"/>
          <w:lang w:val="en-US"/>
        </w:rPr>
        <w:t xml:space="preserve">, U., &amp; </w:t>
      </w:r>
      <w:proofErr w:type="spellStart"/>
      <w:r w:rsidRPr="003149AB">
        <w:rPr>
          <w:rFonts w:ascii="Arial" w:hAnsi="Arial" w:cs="Arial"/>
          <w:sz w:val="20"/>
          <w:szCs w:val="20"/>
          <w:lang w:val="en-US"/>
        </w:rPr>
        <w:t>Indrayati</w:t>
      </w:r>
      <w:proofErr w:type="spellEnd"/>
      <w:r w:rsidRPr="003149AB">
        <w:rPr>
          <w:rFonts w:ascii="Arial" w:hAnsi="Arial" w:cs="Arial"/>
          <w:sz w:val="20"/>
          <w:szCs w:val="20"/>
          <w:lang w:val="en-US"/>
        </w:rPr>
        <w:t>, A. (2024). Avocado leaf and fruit extract (</w:t>
      </w:r>
      <w:proofErr w:type="spellStart"/>
      <w:r w:rsidRPr="003149AB">
        <w:rPr>
          <w:rFonts w:ascii="Arial" w:hAnsi="Arial" w:cs="Arial"/>
          <w:i/>
          <w:sz w:val="20"/>
          <w:szCs w:val="20"/>
          <w:lang w:val="en-US"/>
        </w:rPr>
        <w:t>Persea</w:t>
      </w:r>
      <w:proofErr w:type="spellEnd"/>
      <w:r w:rsidRPr="003149AB">
        <w:rPr>
          <w:rFonts w:ascii="Arial" w:hAnsi="Arial" w:cs="Arial"/>
          <w:i/>
          <w:sz w:val="20"/>
          <w:szCs w:val="20"/>
          <w:lang w:val="en-US"/>
        </w:rPr>
        <w:t xml:space="preserve"> americana</w:t>
      </w:r>
      <w:r w:rsidRPr="003149AB">
        <w:rPr>
          <w:rFonts w:ascii="Arial" w:hAnsi="Arial" w:cs="Arial"/>
          <w:sz w:val="20"/>
          <w:szCs w:val="20"/>
          <w:lang w:val="en-US"/>
        </w:rPr>
        <w:t xml:space="preserve"> MILL) as a feed additive for Nile tilapia (Oreochromis sp.). Fisheries Journal, 14(3), 1535-1545.  </w:t>
      </w:r>
      <w:hyperlink r:id="rId11" w:history="1">
        <w:r w:rsidR="00B45D8F" w:rsidRPr="00DF6361">
          <w:rPr>
            <w:rStyle w:val="Hyperlink"/>
            <w:rFonts w:ascii="Arial" w:hAnsi="Arial" w:cs="Arial"/>
            <w:sz w:val="20"/>
            <w:szCs w:val="20"/>
            <w:lang w:val="en-US"/>
          </w:rPr>
          <w:t>http://doi.org/10.29303/jp.v14i3.1034</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F9FC0B6" w14:textId="0AEC49FC" w:rsidR="00245000" w:rsidRPr="003149AB" w:rsidRDefault="00245000" w:rsidP="005C0517">
      <w:pPr>
        <w:spacing w:after="80" w:line="240" w:lineRule="auto"/>
        <w:ind w:left="425" w:hanging="425"/>
        <w:jc w:val="both"/>
        <w:rPr>
          <w:rFonts w:ascii="Arial" w:hAnsi="Arial" w:cs="Arial"/>
          <w:sz w:val="20"/>
          <w:szCs w:val="20"/>
        </w:rPr>
      </w:pPr>
      <w:r w:rsidRPr="003149AB">
        <w:rPr>
          <w:rFonts w:ascii="Arial" w:hAnsi="Arial" w:cs="Arial"/>
          <w:sz w:val="20"/>
          <w:szCs w:val="20"/>
          <w:lang w:val="en-US"/>
        </w:rPr>
        <w:t xml:space="preserve">Brum, A., Pereira, S. A., </w:t>
      </w:r>
      <w:proofErr w:type="spellStart"/>
      <w:r w:rsidRPr="003149AB">
        <w:rPr>
          <w:rFonts w:ascii="Arial" w:hAnsi="Arial" w:cs="Arial"/>
          <w:sz w:val="20"/>
          <w:szCs w:val="20"/>
          <w:lang w:val="en-US"/>
        </w:rPr>
        <w:t>Owatari</w:t>
      </w:r>
      <w:proofErr w:type="spellEnd"/>
      <w:r w:rsidRPr="003149AB">
        <w:rPr>
          <w:rFonts w:ascii="Arial" w:hAnsi="Arial" w:cs="Arial"/>
          <w:sz w:val="20"/>
          <w:szCs w:val="20"/>
          <w:lang w:val="en-US"/>
        </w:rPr>
        <w:t xml:space="preserve">, M. S., Chagas, E. C., Chaves, F. C. M., </w:t>
      </w:r>
      <w:proofErr w:type="spellStart"/>
      <w:r w:rsidRPr="003149AB">
        <w:rPr>
          <w:rFonts w:ascii="Arial" w:hAnsi="Arial" w:cs="Arial"/>
          <w:sz w:val="20"/>
          <w:szCs w:val="20"/>
          <w:lang w:val="en-US"/>
        </w:rPr>
        <w:t>Mouriño</w:t>
      </w:r>
      <w:proofErr w:type="spellEnd"/>
      <w:r w:rsidRPr="003149AB">
        <w:rPr>
          <w:rFonts w:ascii="Arial" w:hAnsi="Arial" w:cs="Arial"/>
          <w:sz w:val="20"/>
          <w:szCs w:val="20"/>
          <w:lang w:val="en-US"/>
        </w:rPr>
        <w:t>, J. L. P., &amp; Martins, M. L. (2017). Effect of dietary essential oils of clove basil and ginger on Nile tilapia (</w:t>
      </w:r>
      <w:r w:rsidRPr="003149AB">
        <w:rPr>
          <w:rFonts w:ascii="Arial" w:hAnsi="Arial" w:cs="Arial"/>
          <w:i/>
          <w:sz w:val="20"/>
          <w:szCs w:val="20"/>
          <w:lang w:val="en-US"/>
        </w:rPr>
        <w:t>Oreochromis niloticus</w:t>
      </w:r>
      <w:r w:rsidRPr="003149AB">
        <w:rPr>
          <w:rFonts w:ascii="Arial" w:hAnsi="Arial" w:cs="Arial"/>
          <w:sz w:val="20"/>
          <w:szCs w:val="20"/>
          <w:lang w:val="en-US"/>
        </w:rPr>
        <w:t xml:space="preserve">) following challenge with Streptococcus agalactiae. </w:t>
      </w:r>
      <w:r w:rsidRPr="003149AB">
        <w:rPr>
          <w:rFonts w:ascii="Arial" w:hAnsi="Arial" w:cs="Arial"/>
          <w:sz w:val="20"/>
          <w:szCs w:val="20"/>
        </w:rPr>
        <w:t xml:space="preserve">Aquaculture, 468, 235-243. </w:t>
      </w:r>
      <w:hyperlink r:id="rId12" w:history="1">
        <w:r w:rsidR="00B45D8F" w:rsidRPr="00DF6361">
          <w:rPr>
            <w:rStyle w:val="Hyperlink"/>
            <w:rFonts w:ascii="Arial" w:hAnsi="Arial" w:cs="Arial"/>
            <w:sz w:val="20"/>
            <w:szCs w:val="20"/>
          </w:rPr>
          <w:t>https://doi.org/10.1016/j.aquaculture.2016.10.020</w:t>
        </w:r>
      </w:hyperlink>
      <w:r w:rsidR="00B45D8F">
        <w:rPr>
          <w:rFonts w:ascii="Arial" w:hAnsi="Arial" w:cs="Arial"/>
          <w:sz w:val="20"/>
          <w:szCs w:val="20"/>
        </w:rPr>
        <w:t xml:space="preserve"> </w:t>
      </w:r>
      <w:r w:rsidRPr="003149AB">
        <w:rPr>
          <w:rFonts w:ascii="Arial" w:hAnsi="Arial" w:cs="Arial"/>
          <w:sz w:val="20"/>
          <w:szCs w:val="20"/>
        </w:rPr>
        <w:t xml:space="preserve"> </w:t>
      </w:r>
    </w:p>
    <w:p w14:paraId="6EB0DEE8" w14:textId="6BC1D1F3" w:rsidR="00086AD1" w:rsidRPr="003149AB" w:rsidRDefault="00086AD1"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rPr>
        <w:t xml:space="preserve">Da, N., Ouédraogo, R., &amp; </w:t>
      </w:r>
      <w:proofErr w:type="spellStart"/>
      <w:r w:rsidRPr="003149AB">
        <w:rPr>
          <w:rFonts w:ascii="Arial" w:hAnsi="Arial" w:cs="Arial"/>
          <w:sz w:val="20"/>
          <w:szCs w:val="20"/>
        </w:rPr>
        <w:t>Ouéda</w:t>
      </w:r>
      <w:proofErr w:type="spellEnd"/>
      <w:r w:rsidRPr="003149AB">
        <w:rPr>
          <w:rFonts w:ascii="Arial" w:hAnsi="Arial" w:cs="Arial"/>
          <w:sz w:val="20"/>
          <w:szCs w:val="20"/>
        </w:rPr>
        <w:t xml:space="preserve">, A. (2018). Relation poids-longueur et facteur de condition de Clarias </w:t>
      </w:r>
      <w:proofErr w:type="spellStart"/>
      <w:r w:rsidRPr="003149AB">
        <w:rPr>
          <w:rFonts w:ascii="Arial" w:hAnsi="Arial" w:cs="Arial"/>
          <w:sz w:val="20"/>
          <w:szCs w:val="20"/>
        </w:rPr>
        <w:t>anguillaris</w:t>
      </w:r>
      <w:proofErr w:type="spellEnd"/>
      <w:r w:rsidRPr="003149AB">
        <w:rPr>
          <w:rFonts w:ascii="Arial" w:hAnsi="Arial" w:cs="Arial"/>
          <w:sz w:val="20"/>
          <w:szCs w:val="20"/>
        </w:rPr>
        <w:t xml:space="preserve"> et </w:t>
      </w:r>
      <w:proofErr w:type="spellStart"/>
      <w:r w:rsidRPr="003149AB">
        <w:rPr>
          <w:rFonts w:ascii="Arial" w:hAnsi="Arial" w:cs="Arial"/>
          <w:sz w:val="20"/>
          <w:szCs w:val="20"/>
        </w:rPr>
        <w:t>Sarotherodon</w:t>
      </w:r>
      <w:proofErr w:type="spellEnd"/>
      <w:r w:rsidRPr="003149AB">
        <w:rPr>
          <w:rFonts w:ascii="Arial" w:hAnsi="Arial" w:cs="Arial"/>
          <w:sz w:val="20"/>
          <w:szCs w:val="20"/>
        </w:rPr>
        <w:t xml:space="preserve"> </w:t>
      </w:r>
      <w:proofErr w:type="spellStart"/>
      <w:r w:rsidRPr="003149AB">
        <w:rPr>
          <w:rFonts w:ascii="Arial" w:hAnsi="Arial" w:cs="Arial"/>
          <w:sz w:val="20"/>
          <w:szCs w:val="20"/>
        </w:rPr>
        <w:t>galilaeus</w:t>
      </w:r>
      <w:proofErr w:type="spellEnd"/>
      <w:r w:rsidRPr="003149AB">
        <w:rPr>
          <w:rFonts w:ascii="Arial" w:hAnsi="Arial" w:cs="Arial"/>
          <w:sz w:val="20"/>
          <w:szCs w:val="20"/>
        </w:rPr>
        <w:t xml:space="preserve"> pêchées dans le lac Bam et le réservoir de la Kompienga au Burkina Faso. </w:t>
      </w:r>
      <w:r w:rsidRPr="003149AB">
        <w:rPr>
          <w:rFonts w:ascii="Arial" w:hAnsi="Arial" w:cs="Arial"/>
          <w:sz w:val="20"/>
          <w:szCs w:val="20"/>
          <w:lang w:val="en-US"/>
        </w:rPr>
        <w:t xml:space="preserve">International Journal of Biological and Chemical Sciences, 12(4), 1601-1610. </w:t>
      </w:r>
      <w:hyperlink r:id="rId13" w:history="1">
        <w:r w:rsidR="00B45D8F" w:rsidRPr="00DF6361">
          <w:rPr>
            <w:rStyle w:val="Hyperlink"/>
            <w:rFonts w:ascii="Arial" w:hAnsi="Arial" w:cs="Arial"/>
            <w:sz w:val="20"/>
            <w:szCs w:val="20"/>
            <w:lang w:val="en-US"/>
          </w:rPr>
          <w:t>https://dx.doi.org/10.4314/ijbcs.v12i4.8</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2644D7D" w14:textId="3EC1B68D" w:rsidR="00A71833" w:rsidRPr="003149AB" w:rsidRDefault="00702B7E"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Dawa, S. I., </w:t>
      </w:r>
      <w:proofErr w:type="spellStart"/>
      <w:r w:rsidRPr="003149AB">
        <w:rPr>
          <w:rFonts w:ascii="Arial" w:hAnsi="Arial" w:cs="Arial"/>
          <w:sz w:val="20"/>
          <w:szCs w:val="20"/>
          <w:lang w:val="en-US"/>
        </w:rPr>
        <w:t>Nkafamiya</w:t>
      </w:r>
      <w:proofErr w:type="spellEnd"/>
      <w:r w:rsidRPr="003149AB">
        <w:rPr>
          <w:rFonts w:ascii="Arial" w:hAnsi="Arial" w:cs="Arial"/>
          <w:sz w:val="20"/>
          <w:szCs w:val="20"/>
          <w:lang w:val="en-US"/>
        </w:rPr>
        <w:t xml:space="preserve">, I. I., Shagal, H., </w:t>
      </w:r>
      <w:proofErr w:type="spellStart"/>
      <w:r w:rsidRPr="003149AB">
        <w:rPr>
          <w:rFonts w:ascii="Arial" w:hAnsi="Arial" w:cs="Arial"/>
          <w:sz w:val="20"/>
          <w:szCs w:val="20"/>
          <w:lang w:val="en-US"/>
        </w:rPr>
        <w:t>Mamza</w:t>
      </w:r>
      <w:proofErr w:type="spellEnd"/>
      <w:r w:rsidRPr="003149AB">
        <w:rPr>
          <w:rFonts w:ascii="Arial" w:hAnsi="Arial" w:cs="Arial"/>
          <w:sz w:val="20"/>
          <w:szCs w:val="20"/>
          <w:lang w:val="en-US"/>
        </w:rPr>
        <w:t xml:space="preserve">, U. T., &amp; Yakubu, J. (2022). </w:t>
      </w:r>
      <w:proofErr w:type="spellStart"/>
      <w:r w:rsidRPr="003149AB">
        <w:rPr>
          <w:rFonts w:ascii="Arial" w:hAnsi="Arial" w:cs="Arial"/>
          <w:sz w:val="20"/>
          <w:szCs w:val="20"/>
          <w:lang w:val="en-US"/>
        </w:rPr>
        <w:t>Antidiarrhoeal</w:t>
      </w:r>
      <w:proofErr w:type="spellEnd"/>
      <w:r w:rsidRPr="003149AB">
        <w:rPr>
          <w:rFonts w:ascii="Arial" w:hAnsi="Arial" w:cs="Arial"/>
          <w:sz w:val="20"/>
          <w:szCs w:val="20"/>
          <w:lang w:val="en-US"/>
        </w:rPr>
        <w:t xml:space="preserve"> Effects of Methanol Root Extract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(Leguminosae) in albino Rats. Bulletin of Pure and Applied Science-Chemistry, 41C (1): 22-28. </w:t>
      </w:r>
      <w:hyperlink r:id="rId14" w:history="1">
        <w:r w:rsidR="00B45D8F" w:rsidRPr="00DF6361">
          <w:rPr>
            <w:rStyle w:val="Hyperlink"/>
            <w:rFonts w:ascii="Arial" w:hAnsi="Arial" w:cs="Arial"/>
            <w:sz w:val="20"/>
            <w:szCs w:val="20"/>
            <w:lang w:val="en-US"/>
          </w:rPr>
          <w:t>https://doi.org/10.5958/2320-320X.2022.00003.6</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2CFD7AC5" w14:textId="3F9188CB" w:rsidR="00A71833" w:rsidRPr="003149AB" w:rsidRDefault="00A71833"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de-DE"/>
        </w:rPr>
        <w:t xml:space="preserve">Dadras, F., Velisek, J., &amp; Zuskova, E. (2023). </w:t>
      </w:r>
      <w:r w:rsidRPr="003149AB">
        <w:rPr>
          <w:rFonts w:ascii="Arial" w:hAnsi="Arial" w:cs="Arial"/>
          <w:sz w:val="20"/>
          <w:szCs w:val="20"/>
          <w:lang w:val="en-US"/>
        </w:rPr>
        <w:t xml:space="preserve">An update about beneficial effects of medicinal plants in aquaculture: A review. </w:t>
      </w:r>
      <w:proofErr w:type="spellStart"/>
      <w:r w:rsidRPr="003149AB">
        <w:rPr>
          <w:rFonts w:ascii="Arial" w:hAnsi="Arial" w:cs="Arial"/>
          <w:sz w:val="20"/>
          <w:szCs w:val="20"/>
          <w:lang w:val="en-US"/>
        </w:rPr>
        <w:t>Veterinární</w:t>
      </w:r>
      <w:proofErr w:type="spellEnd"/>
      <w:r w:rsidRPr="003149AB">
        <w:rPr>
          <w:rFonts w:ascii="Arial" w:hAnsi="Arial" w:cs="Arial"/>
          <w:sz w:val="20"/>
          <w:szCs w:val="20"/>
          <w:lang w:val="en-US"/>
        </w:rPr>
        <w:t xml:space="preserve"> </w:t>
      </w:r>
      <w:proofErr w:type="spellStart"/>
      <w:r w:rsidRPr="003149AB">
        <w:rPr>
          <w:rFonts w:ascii="Arial" w:hAnsi="Arial" w:cs="Arial"/>
          <w:sz w:val="20"/>
          <w:szCs w:val="20"/>
          <w:lang w:val="en-US"/>
        </w:rPr>
        <w:t>medicína</w:t>
      </w:r>
      <w:proofErr w:type="spellEnd"/>
      <w:r w:rsidRPr="003149AB">
        <w:rPr>
          <w:rFonts w:ascii="Arial" w:hAnsi="Arial" w:cs="Arial"/>
          <w:sz w:val="20"/>
          <w:szCs w:val="20"/>
          <w:lang w:val="en-US"/>
        </w:rPr>
        <w:t xml:space="preserve">, 68(12), 449-463. </w:t>
      </w:r>
      <w:hyperlink r:id="rId15" w:history="1">
        <w:r w:rsidR="00B45D8F" w:rsidRPr="00DF6361">
          <w:rPr>
            <w:rStyle w:val="Hyperlink"/>
            <w:rFonts w:ascii="Arial" w:hAnsi="Arial" w:cs="Arial"/>
            <w:sz w:val="20"/>
            <w:szCs w:val="20"/>
            <w:lang w:val="en-US"/>
          </w:rPr>
          <w:t>https://doi.org/10.17221/96/2023-VETMED</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35BA08D" w14:textId="4299D779" w:rsidR="007E765B" w:rsidRPr="003149AB" w:rsidRDefault="007E765B"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Dogara</w:t>
      </w:r>
      <w:proofErr w:type="spellEnd"/>
      <w:r w:rsidRPr="003149AB">
        <w:rPr>
          <w:rFonts w:ascii="Arial" w:hAnsi="Arial" w:cs="Arial"/>
          <w:sz w:val="20"/>
          <w:szCs w:val="20"/>
          <w:lang w:val="en-US"/>
        </w:rPr>
        <w:t xml:space="preserve">, A. M. (2022). Biological activity and chemical composition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Guill. and Perr—a systematic review. Advances in pharmacological and pharmaceutical sciences, 2022(1), 7219401, 1-24. </w:t>
      </w:r>
      <w:hyperlink r:id="rId16" w:history="1">
        <w:r w:rsidR="00B45D8F" w:rsidRPr="00DF6361">
          <w:rPr>
            <w:rStyle w:val="Hyperlink"/>
            <w:rFonts w:ascii="Arial" w:hAnsi="Arial" w:cs="Arial"/>
            <w:sz w:val="20"/>
            <w:szCs w:val="20"/>
            <w:lang w:val="en-US"/>
          </w:rPr>
          <w:t>https://doi.org/10.1155/2022/7219401</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D2AF18D" w14:textId="5F928D4D" w:rsidR="00513623" w:rsidRPr="003149AB" w:rsidRDefault="007E765B" w:rsidP="005C0517">
      <w:pPr>
        <w:spacing w:after="80" w:line="240" w:lineRule="auto"/>
        <w:ind w:left="425" w:hanging="425"/>
        <w:jc w:val="both"/>
        <w:rPr>
          <w:rFonts w:ascii="Arial" w:hAnsi="Arial" w:cs="Arial"/>
          <w:sz w:val="20"/>
          <w:szCs w:val="20"/>
          <w:lang w:val="en-US"/>
        </w:rPr>
      </w:pPr>
      <w:proofErr w:type="spellStart"/>
      <w:r w:rsidRPr="00CE2939">
        <w:rPr>
          <w:rFonts w:ascii="Arial" w:hAnsi="Arial" w:cs="Arial"/>
          <w:sz w:val="20"/>
          <w:szCs w:val="20"/>
          <w:lang w:val="en-US"/>
        </w:rPr>
        <w:lastRenderedPageBreak/>
        <w:t>Dème</w:t>
      </w:r>
      <w:proofErr w:type="spellEnd"/>
      <w:r w:rsidRPr="00CE2939">
        <w:rPr>
          <w:rFonts w:ascii="Arial" w:hAnsi="Arial" w:cs="Arial"/>
          <w:sz w:val="20"/>
          <w:szCs w:val="20"/>
          <w:lang w:val="en-US"/>
        </w:rPr>
        <w:t xml:space="preserve">, E. H. B., </w:t>
      </w:r>
      <w:proofErr w:type="spellStart"/>
      <w:r w:rsidRPr="00CE2939">
        <w:rPr>
          <w:rFonts w:ascii="Arial" w:hAnsi="Arial" w:cs="Arial"/>
          <w:sz w:val="20"/>
          <w:szCs w:val="20"/>
          <w:lang w:val="en-US"/>
        </w:rPr>
        <w:t>Failler</w:t>
      </w:r>
      <w:proofErr w:type="spellEnd"/>
      <w:r w:rsidRPr="00CE2939">
        <w:rPr>
          <w:rFonts w:ascii="Arial" w:hAnsi="Arial" w:cs="Arial"/>
          <w:sz w:val="20"/>
          <w:szCs w:val="20"/>
          <w:lang w:val="en-US"/>
        </w:rPr>
        <w:t xml:space="preserve">, P., Fall, A. D., </w:t>
      </w:r>
      <w:proofErr w:type="spellStart"/>
      <w:r w:rsidRPr="00CE2939">
        <w:rPr>
          <w:rFonts w:ascii="Arial" w:hAnsi="Arial" w:cs="Arial"/>
          <w:sz w:val="20"/>
          <w:szCs w:val="20"/>
          <w:lang w:val="en-US"/>
        </w:rPr>
        <w:t>Dème</w:t>
      </w:r>
      <w:proofErr w:type="spellEnd"/>
      <w:r w:rsidRPr="00CE2939">
        <w:rPr>
          <w:rFonts w:ascii="Arial" w:hAnsi="Arial" w:cs="Arial"/>
          <w:sz w:val="20"/>
          <w:szCs w:val="20"/>
          <w:lang w:val="en-US"/>
        </w:rPr>
        <w:t xml:space="preserve">, M., Diedhiou, I., </w:t>
      </w:r>
      <w:proofErr w:type="spellStart"/>
      <w:r w:rsidRPr="00CE2939">
        <w:rPr>
          <w:rFonts w:ascii="Arial" w:hAnsi="Arial" w:cs="Arial"/>
          <w:sz w:val="20"/>
          <w:szCs w:val="20"/>
          <w:lang w:val="en-US"/>
        </w:rPr>
        <w:t>Touron-Gardic</w:t>
      </w:r>
      <w:proofErr w:type="spellEnd"/>
      <w:r w:rsidRPr="00CE2939">
        <w:rPr>
          <w:rFonts w:ascii="Arial" w:hAnsi="Arial" w:cs="Arial"/>
          <w:sz w:val="20"/>
          <w:szCs w:val="20"/>
          <w:lang w:val="en-US"/>
        </w:rPr>
        <w:t xml:space="preserve">, G., Bocoum, W, &amp; Asiedu, B. (2023). </w:t>
      </w:r>
      <w:r w:rsidRPr="003149AB">
        <w:rPr>
          <w:rFonts w:ascii="Arial" w:hAnsi="Arial" w:cs="Arial"/>
          <w:sz w:val="20"/>
          <w:szCs w:val="20"/>
          <w:lang w:val="en-US"/>
        </w:rPr>
        <w:t xml:space="preserve">Contribution of small-scale migrant fishing to the emergence of the fishmeal industry in West Africa: Cases of Mauritania, Senegal and the Gambia. Frontiers in Marine Science, 10, 8719: 1-11. </w:t>
      </w:r>
      <w:hyperlink r:id="rId17" w:history="1">
        <w:r w:rsidR="00B45D8F" w:rsidRPr="00DF6361">
          <w:rPr>
            <w:rStyle w:val="Hyperlink"/>
            <w:rFonts w:ascii="Arial" w:hAnsi="Arial" w:cs="Arial"/>
            <w:sz w:val="20"/>
            <w:szCs w:val="20"/>
            <w:lang w:val="en-US"/>
          </w:rPr>
          <w:t>https://doi.org/10.3389/fmars.2023.871911</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3818E22" w14:textId="52F58C43" w:rsidR="00C63463" w:rsidRPr="003149AB" w:rsidRDefault="00513623"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Elgendy, M. Y., Awad, E. S., Darwish, D. A., Abbas, H. H., &amp; Abbas, W. T. (2021). Investigations on the influence of </w:t>
      </w:r>
      <w:r w:rsidRPr="003149AB">
        <w:rPr>
          <w:rFonts w:ascii="Arial" w:hAnsi="Arial" w:cs="Arial"/>
          <w:i/>
          <w:sz w:val="20"/>
          <w:szCs w:val="20"/>
          <w:lang w:val="en-US"/>
        </w:rPr>
        <w:t>Moringa oleifera</w:t>
      </w:r>
      <w:r w:rsidRPr="003149AB">
        <w:rPr>
          <w:rFonts w:ascii="Arial" w:hAnsi="Arial" w:cs="Arial"/>
          <w:sz w:val="20"/>
          <w:szCs w:val="20"/>
          <w:lang w:val="en-US"/>
        </w:rPr>
        <w:t xml:space="preserve"> on the growth, </w:t>
      </w:r>
      <w:proofErr w:type="spellStart"/>
      <w:r w:rsidRPr="003149AB">
        <w:rPr>
          <w:rFonts w:ascii="Arial" w:hAnsi="Arial" w:cs="Arial"/>
          <w:sz w:val="20"/>
          <w:szCs w:val="20"/>
          <w:lang w:val="en-US"/>
        </w:rPr>
        <w:t>haematology</w:t>
      </w:r>
      <w:proofErr w:type="spellEnd"/>
      <w:r w:rsidRPr="003149AB">
        <w:rPr>
          <w:rFonts w:ascii="Arial" w:hAnsi="Arial" w:cs="Arial"/>
          <w:sz w:val="20"/>
          <w:szCs w:val="20"/>
          <w:lang w:val="en-US"/>
        </w:rPr>
        <w:t xml:space="preserve">, immunity and disease resistance in </w:t>
      </w:r>
      <w:r w:rsidRPr="003149AB">
        <w:rPr>
          <w:rFonts w:ascii="Arial" w:hAnsi="Arial" w:cs="Arial"/>
          <w:i/>
          <w:sz w:val="20"/>
          <w:szCs w:val="20"/>
          <w:lang w:val="en-US"/>
        </w:rPr>
        <w:t>Oreochromis niloticus</w:t>
      </w:r>
      <w:r w:rsidRPr="003149AB">
        <w:rPr>
          <w:rFonts w:ascii="Arial" w:hAnsi="Arial" w:cs="Arial"/>
          <w:sz w:val="20"/>
          <w:szCs w:val="20"/>
          <w:lang w:val="en-US"/>
        </w:rPr>
        <w:t xml:space="preserve"> with special reference to the analysis of antioxidant activities by PAGE electrophoresis. Aquaculture Research, 52, 4983–4995. </w:t>
      </w:r>
      <w:hyperlink r:id="rId18" w:history="1">
        <w:r w:rsidR="00B45D8F" w:rsidRPr="00DF6361">
          <w:rPr>
            <w:rStyle w:val="Hyperlink"/>
            <w:rFonts w:ascii="Arial" w:hAnsi="Arial" w:cs="Arial"/>
            <w:sz w:val="20"/>
            <w:szCs w:val="20"/>
            <w:lang w:val="en-US"/>
          </w:rPr>
          <w:t>https://doi.org/10.1111/are.15370</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0C367503" w14:textId="374287CD" w:rsidR="004254A5" w:rsidRPr="00CE2939" w:rsidRDefault="00513623" w:rsidP="005C0517">
      <w:pPr>
        <w:spacing w:after="80" w:line="240" w:lineRule="auto"/>
        <w:ind w:left="425" w:hanging="425"/>
        <w:jc w:val="both"/>
        <w:rPr>
          <w:rFonts w:ascii="Arial" w:hAnsi="Arial" w:cs="Arial"/>
          <w:sz w:val="20"/>
          <w:szCs w:val="20"/>
        </w:rPr>
      </w:pPr>
      <w:r w:rsidRPr="003149AB">
        <w:rPr>
          <w:rFonts w:ascii="Arial" w:hAnsi="Arial" w:cs="Arial"/>
          <w:sz w:val="20"/>
          <w:szCs w:val="20"/>
          <w:lang w:val="en-US"/>
        </w:rPr>
        <w:t xml:space="preserve">Elgendy, M. Y., Ali, S. E., Dayem, A. A., Khalil, R. H., Moustafa, M. M., &amp; Abdelsalam, M. (2024). Alternative therapies recently applied in controlling farmed fish diseases: mechanisms, challenges, and prospects. </w:t>
      </w:r>
      <w:r w:rsidRPr="00CE2939">
        <w:rPr>
          <w:rFonts w:ascii="Arial" w:hAnsi="Arial" w:cs="Arial"/>
          <w:sz w:val="20"/>
          <w:szCs w:val="20"/>
        </w:rPr>
        <w:t xml:space="preserve">Aquaculture International, 32(7), 9017-9078. </w:t>
      </w:r>
      <w:hyperlink r:id="rId19" w:history="1">
        <w:r w:rsidR="00B45D8F" w:rsidRPr="00DF6361">
          <w:rPr>
            <w:rStyle w:val="Hyperlink"/>
            <w:rFonts w:ascii="Arial" w:hAnsi="Arial" w:cs="Arial"/>
            <w:sz w:val="20"/>
            <w:szCs w:val="20"/>
          </w:rPr>
          <w:t>https://doi.org/10.1007/s10499-024-01603-3</w:t>
        </w:r>
      </w:hyperlink>
      <w:r w:rsidR="00B45D8F">
        <w:rPr>
          <w:rFonts w:ascii="Arial" w:hAnsi="Arial" w:cs="Arial"/>
          <w:sz w:val="20"/>
          <w:szCs w:val="20"/>
        </w:rPr>
        <w:t xml:space="preserve"> </w:t>
      </w:r>
      <w:r w:rsidRPr="00CE2939">
        <w:rPr>
          <w:rFonts w:ascii="Arial" w:hAnsi="Arial" w:cs="Arial"/>
          <w:sz w:val="20"/>
          <w:szCs w:val="20"/>
        </w:rPr>
        <w:t xml:space="preserve"> </w:t>
      </w:r>
    </w:p>
    <w:p w14:paraId="2033B295" w14:textId="436EFB4A" w:rsidR="00702B7E" w:rsidRPr="003149AB" w:rsidRDefault="004254A5" w:rsidP="005C0517">
      <w:pPr>
        <w:pStyle w:val="ListParagraph"/>
        <w:spacing w:after="80" w:line="240" w:lineRule="auto"/>
        <w:ind w:left="425" w:hanging="425"/>
        <w:contextualSpacing w:val="0"/>
        <w:jc w:val="both"/>
        <w:rPr>
          <w:rFonts w:ascii="Arial" w:hAnsi="Arial" w:cs="Arial"/>
          <w:sz w:val="20"/>
          <w:szCs w:val="20"/>
          <w:lang w:val="en-US"/>
        </w:rPr>
      </w:pPr>
      <w:r w:rsidRPr="003149AB">
        <w:rPr>
          <w:rFonts w:ascii="Arial" w:hAnsi="Arial" w:cs="Arial"/>
          <w:sz w:val="20"/>
          <w:szCs w:val="20"/>
        </w:rPr>
        <w:t xml:space="preserve">Elhadj Bara, D., &amp; Pierre, F. (2024). </w:t>
      </w:r>
      <w:r w:rsidRPr="003149AB">
        <w:rPr>
          <w:rFonts w:ascii="Arial" w:hAnsi="Arial" w:cs="Arial"/>
          <w:sz w:val="20"/>
          <w:szCs w:val="20"/>
          <w:lang w:val="en-US"/>
        </w:rPr>
        <w:t xml:space="preserve">Analysis of Fish Consumption in the ECOWAS Region and Mauritania: Current Constraints and Future Challenges. Sustainability, 16(13), 5429, 1-18 </w:t>
      </w:r>
      <w:hyperlink r:id="rId20" w:history="1">
        <w:r w:rsidR="00B45D8F" w:rsidRPr="00DF6361">
          <w:rPr>
            <w:rStyle w:val="Hyperlink"/>
            <w:rFonts w:ascii="Arial" w:hAnsi="Arial" w:cs="Arial"/>
            <w:sz w:val="20"/>
            <w:szCs w:val="20"/>
            <w:lang w:val="en-US"/>
          </w:rPr>
          <w:t>https://doi.org/10.3390/su16135429</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7A56C455" w14:textId="6926E234" w:rsidR="006F1B7A" w:rsidRPr="003149AB" w:rsidRDefault="006F1B7A" w:rsidP="005C0517">
      <w:pPr>
        <w:pStyle w:val="ListParagraph"/>
        <w:spacing w:after="80" w:line="240" w:lineRule="auto"/>
        <w:ind w:left="425" w:hanging="425"/>
        <w:contextualSpacing w:val="0"/>
        <w:jc w:val="both"/>
        <w:rPr>
          <w:rStyle w:val="Hyperlink"/>
          <w:rFonts w:ascii="Arial" w:hAnsi="Arial" w:cs="Arial"/>
          <w:sz w:val="20"/>
          <w:szCs w:val="20"/>
          <w:lang w:val="en-US"/>
        </w:rPr>
      </w:pPr>
      <w:r w:rsidRPr="003149AB">
        <w:rPr>
          <w:rFonts w:ascii="Arial" w:hAnsi="Arial" w:cs="Arial"/>
          <w:sz w:val="20"/>
          <w:szCs w:val="20"/>
          <w:lang w:val="en-US"/>
        </w:rPr>
        <w:t>El-Sherif, M. S., &amp; El-Feky, A. M. I. (2009). Performance of Nile tilapia (</w:t>
      </w:r>
      <w:r w:rsidRPr="003149AB">
        <w:rPr>
          <w:rFonts w:ascii="Arial" w:hAnsi="Arial" w:cs="Arial"/>
          <w:i/>
          <w:sz w:val="20"/>
          <w:szCs w:val="20"/>
          <w:lang w:val="en-US"/>
        </w:rPr>
        <w:t>Oreochromis niloticus</w:t>
      </w:r>
      <w:r w:rsidRPr="003149AB">
        <w:rPr>
          <w:rFonts w:ascii="Arial" w:hAnsi="Arial" w:cs="Arial"/>
          <w:sz w:val="20"/>
          <w:szCs w:val="20"/>
          <w:lang w:val="en-US"/>
        </w:rPr>
        <w:t xml:space="preserve">) fingerlings. II. Influence of different water temperatures. International Journal of Agriculture &amp; Biology, 11(3), 301-05. </w:t>
      </w:r>
      <w:hyperlink r:id="rId21" w:history="1">
        <w:r w:rsidR="00B45D8F" w:rsidRPr="00DF6361">
          <w:rPr>
            <w:rStyle w:val="Hyperlink"/>
            <w:rFonts w:ascii="Arial" w:hAnsi="Arial" w:cs="Arial"/>
            <w:sz w:val="20"/>
            <w:szCs w:val="20"/>
            <w:lang w:val="en-US"/>
          </w:rPr>
          <w:t>https://doi.org/08346/IAZ/2009/11–3–301–305</w:t>
        </w:r>
      </w:hyperlink>
      <w:r w:rsidRPr="003149AB">
        <w:rPr>
          <w:rFonts w:ascii="Arial" w:hAnsi="Arial" w:cs="Arial"/>
          <w:sz w:val="20"/>
          <w:szCs w:val="20"/>
          <w:lang w:val="en-US"/>
        </w:rPr>
        <w:t>.</w:t>
      </w:r>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6DB6F8A6" w14:textId="5311C4EF" w:rsidR="009C046C" w:rsidRPr="003149AB" w:rsidRDefault="003D5BF3"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FAO. (2022). The State of World Fisheries and Aquaculture; FAO: Roma, Italy, 2022. </w:t>
      </w:r>
    </w:p>
    <w:p w14:paraId="1F6DD73E" w14:textId="79A8CED4" w:rsidR="009C046C" w:rsidRPr="003149AB" w:rsidRDefault="009C046C" w:rsidP="005C0517">
      <w:pPr>
        <w:pStyle w:val="ListParagraph"/>
        <w:spacing w:after="80" w:line="240" w:lineRule="auto"/>
        <w:ind w:left="425" w:hanging="425"/>
        <w:contextualSpacing w:val="0"/>
        <w:jc w:val="both"/>
        <w:rPr>
          <w:rFonts w:ascii="Arial" w:hAnsi="Arial" w:cs="Arial"/>
          <w:sz w:val="20"/>
          <w:szCs w:val="20"/>
          <w:lang w:val="en-US"/>
        </w:rPr>
      </w:pPr>
      <w:r w:rsidRPr="003149AB">
        <w:rPr>
          <w:rFonts w:ascii="Arial" w:hAnsi="Arial" w:cs="Arial"/>
          <w:sz w:val="20"/>
          <w:szCs w:val="20"/>
        </w:rPr>
        <w:t xml:space="preserve">FAO. (2026). Profils FAO de la pêche et de l'aquaculture par pays, Burkina Faso. Organisation des Nations Unies pour l'alimentation et l'agriculture (FAO-UN). Fiches d'information Profils de pays. Dans : Pêche et aquaculture [en ligne]. </w:t>
      </w:r>
      <w:r w:rsidRPr="003149AB">
        <w:rPr>
          <w:rFonts w:ascii="Arial" w:hAnsi="Arial" w:cs="Arial"/>
          <w:sz w:val="20"/>
          <w:szCs w:val="20"/>
          <w:lang w:val="en-US"/>
        </w:rPr>
        <w:t xml:space="preserve">[Cité Sunday, July 19th 2026]. </w:t>
      </w:r>
      <w:hyperlink r:id="rId22" w:history="1">
        <w:r w:rsidR="00B45D8F" w:rsidRPr="00DF6361">
          <w:rPr>
            <w:rStyle w:val="Hyperlink"/>
            <w:rFonts w:ascii="Arial" w:hAnsi="Arial" w:cs="Arial"/>
            <w:sz w:val="20"/>
            <w:szCs w:val="20"/>
            <w:lang w:val="en-US"/>
          </w:rPr>
          <w:t>http://www.fao.org/fishery/facp/bfa/fr</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r w:rsidR="00B45D8F">
        <w:rPr>
          <w:rFonts w:ascii="Arial" w:hAnsi="Arial" w:cs="Arial"/>
          <w:sz w:val="20"/>
          <w:szCs w:val="20"/>
          <w:lang w:val="en-US"/>
        </w:rPr>
        <w:t xml:space="preserve"> </w:t>
      </w:r>
    </w:p>
    <w:p w14:paraId="53E71E65" w14:textId="599CC35A" w:rsidR="00980951" w:rsidRPr="003149AB" w:rsidRDefault="00980951" w:rsidP="005C0517">
      <w:pPr>
        <w:pStyle w:val="ListParagraph"/>
        <w:spacing w:after="80" w:line="240" w:lineRule="auto"/>
        <w:ind w:left="425" w:hanging="425"/>
        <w:contextualSpacing w:val="0"/>
        <w:jc w:val="both"/>
        <w:rPr>
          <w:rFonts w:ascii="Arial" w:hAnsi="Arial" w:cs="Arial"/>
          <w:sz w:val="20"/>
          <w:szCs w:val="20"/>
          <w:lang w:val="en-US"/>
        </w:rPr>
      </w:pPr>
      <w:r w:rsidRPr="003149AB">
        <w:rPr>
          <w:rFonts w:ascii="Arial" w:hAnsi="Arial" w:cs="Arial"/>
          <w:sz w:val="20"/>
          <w:szCs w:val="20"/>
          <w:lang w:val="de-DE"/>
        </w:rPr>
        <w:t xml:space="preserve">Fotso, J. A. Y., Takuissu, G. R. N., Ngondi, J. L., &amp; Oben, J. E. (2022). </w:t>
      </w:r>
      <w:r w:rsidRPr="003149AB">
        <w:rPr>
          <w:rFonts w:ascii="Arial" w:hAnsi="Arial" w:cs="Arial"/>
          <w:sz w:val="20"/>
          <w:szCs w:val="20"/>
          <w:lang w:val="en-US"/>
        </w:rPr>
        <w:t xml:space="preserve">Acute and sub-chronic toxicity studies of aqueous bark extract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w:t>
      </w:r>
      <w:proofErr w:type="spellStart"/>
      <w:r w:rsidRPr="003149AB">
        <w:rPr>
          <w:rFonts w:ascii="Arial" w:hAnsi="Arial" w:cs="Arial"/>
          <w:sz w:val="20"/>
          <w:szCs w:val="20"/>
          <w:lang w:val="en-US"/>
        </w:rPr>
        <w:t>guill</w:t>
      </w:r>
      <w:proofErr w:type="spellEnd"/>
      <w:r w:rsidRPr="003149AB">
        <w:rPr>
          <w:rFonts w:ascii="Arial" w:hAnsi="Arial" w:cs="Arial"/>
          <w:sz w:val="20"/>
          <w:szCs w:val="20"/>
          <w:lang w:val="en-US"/>
        </w:rPr>
        <w:t xml:space="preserve">. and </w:t>
      </w:r>
      <w:proofErr w:type="spellStart"/>
      <w:r w:rsidRPr="003149AB">
        <w:rPr>
          <w:rFonts w:ascii="Arial" w:hAnsi="Arial" w:cs="Arial"/>
          <w:sz w:val="20"/>
          <w:szCs w:val="20"/>
          <w:lang w:val="en-US"/>
        </w:rPr>
        <w:t>perr</w:t>
      </w:r>
      <w:proofErr w:type="spellEnd"/>
      <w:r w:rsidRPr="003149AB">
        <w:rPr>
          <w:rFonts w:ascii="Arial" w:hAnsi="Arial" w:cs="Arial"/>
          <w:sz w:val="20"/>
          <w:szCs w:val="20"/>
          <w:lang w:val="en-US"/>
        </w:rPr>
        <w:t xml:space="preserve"> in albinos </w:t>
      </w:r>
      <w:proofErr w:type="spellStart"/>
      <w:r w:rsidRPr="003149AB">
        <w:rPr>
          <w:rFonts w:ascii="Arial" w:hAnsi="Arial" w:cs="Arial"/>
          <w:sz w:val="20"/>
          <w:szCs w:val="20"/>
          <w:lang w:val="en-US"/>
        </w:rPr>
        <w:t>wistar</w:t>
      </w:r>
      <w:proofErr w:type="spellEnd"/>
      <w:r w:rsidRPr="003149AB">
        <w:rPr>
          <w:rFonts w:ascii="Arial" w:hAnsi="Arial" w:cs="Arial"/>
          <w:sz w:val="20"/>
          <w:szCs w:val="20"/>
          <w:lang w:val="en-US"/>
        </w:rPr>
        <w:t xml:space="preserve"> rat. Toxicology and Environmental Health Sciences, 14(3), 269-276. </w:t>
      </w:r>
      <w:hyperlink r:id="rId23" w:history="1">
        <w:r w:rsidR="00B45D8F" w:rsidRPr="00DF6361">
          <w:rPr>
            <w:rStyle w:val="Hyperlink"/>
            <w:rFonts w:ascii="Arial" w:hAnsi="Arial" w:cs="Arial"/>
            <w:sz w:val="20"/>
            <w:szCs w:val="20"/>
            <w:lang w:val="en-US"/>
          </w:rPr>
          <w:t>https://doi.org/10.1007/s13530-022-00139-4</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6485DD5C" w14:textId="248DE7CD" w:rsidR="00C437E6" w:rsidRPr="003149AB" w:rsidRDefault="00C437E6" w:rsidP="005C0517">
      <w:pPr>
        <w:pStyle w:val="ListParagraph"/>
        <w:spacing w:after="80" w:line="240" w:lineRule="auto"/>
        <w:ind w:left="425" w:hanging="425"/>
        <w:contextualSpacing w:val="0"/>
        <w:jc w:val="both"/>
        <w:rPr>
          <w:rStyle w:val="Hyperlink"/>
          <w:rFonts w:ascii="Arial" w:hAnsi="Arial" w:cs="Arial"/>
          <w:sz w:val="20"/>
          <w:szCs w:val="20"/>
          <w:lang w:val="en-US"/>
        </w:rPr>
      </w:pPr>
      <w:r w:rsidRPr="003149AB">
        <w:rPr>
          <w:rFonts w:ascii="Arial" w:hAnsi="Arial" w:cs="Arial"/>
          <w:sz w:val="20"/>
          <w:szCs w:val="20"/>
          <w:lang w:val="en-US"/>
        </w:rPr>
        <w:t xml:space="preserve">Gabriel, N. N., Qiang, J., He, J., Ma, X. Y., </w:t>
      </w:r>
      <w:proofErr w:type="spellStart"/>
      <w:r w:rsidRPr="003149AB">
        <w:rPr>
          <w:rFonts w:ascii="Arial" w:hAnsi="Arial" w:cs="Arial"/>
          <w:sz w:val="20"/>
          <w:szCs w:val="20"/>
          <w:lang w:val="en-US"/>
        </w:rPr>
        <w:t>Kpundeh</w:t>
      </w:r>
      <w:proofErr w:type="spellEnd"/>
      <w:r w:rsidRPr="003149AB">
        <w:rPr>
          <w:rFonts w:ascii="Arial" w:hAnsi="Arial" w:cs="Arial"/>
          <w:sz w:val="20"/>
          <w:szCs w:val="20"/>
          <w:lang w:val="en-US"/>
        </w:rPr>
        <w:t xml:space="preserve">, M. D., &amp; Xu, P. (2015). Dietary </w:t>
      </w:r>
      <w:r w:rsidRPr="003149AB">
        <w:rPr>
          <w:rFonts w:ascii="Arial" w:hAnsi="Arial" w:cs="Arial"/>
          <w:i/>
          <w:sz w:val="20"/>
          <w:szCs w:val="20"/>
          <w:lang w:val="en-US"/>
        </w:rPr>
        <w:t>Aloe vera</w:t>
      </w:r>
      <w:r w:rsidRPr="003149AB">
        <w:rPr>
          <w:rFonts w:ascii="Arial" w:hAnsi="Arial" w:cs="Arial"/>
          <w:sz w:val="20"/>
          <w:szCs w:val="20"/>
          <w:lang w:val="en-US"/>
        </w:rPr>
        <w:t xml:space="preserve"> supplementation on growth performance, some haemato-biochemical parameters and disease resistance against Streptococcus </w:t>
      </w:r>
      <w:proofErr w:type="spellStart"/>
      <w:r w:rsidRPr="003149AB">
        <w:rPr>
          <w:rFonts w:ascii="Arial" w:hAnsi="Arial" w:cs="Arial"/>
          <w:sz w:val="20"/>
          <w:szCs w:val="20"/>
          <w:lang w:val="en-US"/>
        </w:rPr>
        <w:t>iniae</w:t>
      </w:r>
      <w:proofErr w:type="spellEnd"/>
      <w:r w:rsidRPr="003149AB">
        <w:rPr>
          <w:rFonts w:ascii="Arial" w:hAnsi="Arial" w:cs="Arial"/>
          <w:sz w:val="20"/>
          <w:szCs w:val="20"/>
          <w:lang w:val="en-US"/>
        </w:rPr>
        <w:t xml:space="preserve"> in tilapia (GIFT). Fish &amp; Shellfish Immunology, 44, 504–514. </w:t>
      </w:r>
      <w:hyperlink r:id="rId24" w:history="1">
        <w:r w:rsidR="00B45D8F" w:rsidRPr="00DF6361">
          <w:rPr>
            <w:rStyle w:val="Hyperlink"/>
            <w:rFonts w:ascii="Arial" w:hAnsi="Arial" w:cs="Arial"/>
            <w:sz w:val="20"/>
            <w:szCs w:val="20"/>
            <w:lang w:val="en-US"/>
          </w:rPr>
          <w:t>https://doi.org/10.1016/j.fsi.2015.03.002</w:t>
        </w:r>
      </w:hyperlink>
      <w:r w:rsidR="00B45D8F">
        <w:rPr>
          <w:rFonts w:ascii="Arial" w:hAnsi="Arial" w:cs="Arial"/>
          <w:sz w:val="20"/>
          <w:szCs w:val="20"/>
          <w:lang w:val="en-US"/>
        </w:rPr>
        <w:t xml:space="preserve"> </w:t>
      </w:r>
    </w:p>
    <w:p w14:paraId="7E89F600" w14:textId="77777777" w:rsidR="00782422" w:rsidRPr="003149AB" w:rsidRDefault="00782422" w:rsidP="005C0517">
      <w:pPr>
        <w:pStyle w:val="ListParagraph"/>
        <w:spacing w:after="80" w:line="240" w:lineRule="auto"/>
        <w:ind w:left="425" w:hanging="425"/>
        <w:contextualSpacing w:val="0"/>
        <w:jc w:val="both"/>
        <w:rPr>
          <w:rFonts w:ascii="Arial" w:hAnsi="Arial" w:cs="Arial"/>
          <w:sz w:val="20"/>
          <w:szCs w:val="20"/>
        </w:rPr>
      </w:pPr>
      <w:r w:rsidRPr="003149AB">
        <w:rPr>
          <w:rFonts w:ascii="Arial" w:hAnsi="Arial" w:cs="Arial"/>
          <w:sz w:val="20"/>
          <w:szCs w:val="20"/>
          <w:lang w:val="en-US"/>
        </w:rPr>
        <w:t xml:space="preserve">Guillaume, J., Kaushik, S., </w:t>
      </w:r>
      <w:proofErr w:type="spellStart"/>
      <w:r w:rsidRPr="003149AB">
        <w:rPr>
          <w:rFonts w:ascii="Arial" w:hAnsi="Arial" w:cs="Arial"/>
          <w:sz w:val="20"/>
          <w:szCs w:val="20"/>
          <w:lang w:val="en-US"/>
        </w:rPr>
        <w:t>Bergot</w:t>
      </w:r>
      <w:proofErr w:type="spellEnd"/>
      <w:r w:rsidRPr="003149AB">
        <w:rPr>
          <w:rFonts w:ascii="Arial" w:hAnsi="Arial" w:cs="Arial"/>
          <w:sz w:val="20"/>
          <w:szCs w:val="20"/>
          <w:lang w:val="en-US"/>
        </w:rPr>
        <w:t xml:space="preserve">, P., &amp; </w:t>
      </w:r>
      <w:proofErr w:type="spellStart"/>
      <w:r w:rsidRPr="003149AB">
        <w:rPr>
          <w:rFonts w:ascii="Arial" w:hAnsi="Arial" w:cs="Arial"/>
          <w:sz w:val="20"/>
          <w:szCs w:val="20"/>
          <w:lang w:val="en-US"/>
        </w:rPr>
        <w:t>Métailler</w:t>
      </w:r>
      <w:proofErr w:type="spellEnd"/>
      <w:r w:rsidRPr="003149AB">
        <w:rPr>
          <w:rFonts w:ascii="Arial" w:hAnsi="Arial" w:cs="Arial"/>
          <w:sz w:val="20"/>
          <w:szCs w:val="20"/>
          <w:lang w:val="en-US"/>
        </w:rPr>
        <w:t xml:space="preserve">, R. (1999). </w:t>
      </w:r>
      <w:r w:rsidRPr="003149AB">
        <w:rPr>
          <w:rFonts w:ascii="Arial" w:hAnsi="Arial" w:cs="Arial"/>
          <w:sz w:val="20"/>
          <w:szCs w:val="20"/>
        </w:rPr>
        <w:t>Nutrition et alimentation des poissons et crustacés. Éditions Lavoisier, Paris, France, 489p</w:t>
      </w:r>
    </w:p>
    <w:p w14:paraId="0DAF4734" w14:textId="61B995DD" w:rsidR="00C437E6" w:rsidRPr="003149AB" w:rsidRDefault="00C437E6" w:rsidP="005C0517">
      <w:pPr>
        <w:pStyle w:val="ListParagraph"/>
        <w:spacing w:after="80" w:line="240" w:lineRule="auto"/>
        <w:ind w:left="425" w:hanging="425"/>
        <w:contextualSpacing w:val="0"/>
        <w:jc w:val="both"/>
        <w:rPr>
          <w:rFonts w:ascii="Arial" w:hAnsi="Arial" w:cs="Arial"/>
          <w:sz w:val="20"/>
          <w:szCs w:val="20"/>
          <w:lang w:val="en-US"/>
        </w:rPr>
      </w:pPr>
      <w:r w:rsidRPr="003149AB">
        <w:rPr>
          <w:rFonts w:ascii="Arial" w:hAnsi="Arial" w:cs="Arial"/>
          <w:sz w:val="20"/>
          <w:szCs w:val="20"/>
        </w:rPr>
        <w:t xml:space="preserve">Hamid, N. K. A., </w:t>
      </w:r>
      <w:proofErr w:type="spellStart"/>
      <w:r w:rsidRPr="003149AB">
        <w:rPr>
          <w:rFonts w:ascii="Arial" w:hAnsi="Arial" w:cs="Arial"/>
          <w:sz w:val="20"/>
          <w:szCs w:val="20"/>
        </w:rPr>
        <w:t>Somdare</w:t>
      </w:r>
      <w:proofErr w:type="spellEnd"/>
      <w:r w:rsidRPr="003149AB">
        <w:rPr>
          <w:rFonts w:ascii="Arial" w:hAnsi="Arial" w:cs="Arial"/>
          <w:sz w:val="20"/>
          <w:szCs w:val="20"/>
        </w:rPr>
        <w:t xml:space="preserve">, P. O., </w:t>
      </w:r>
      <w:proofErr w:type="spellStart"/>
      <w:r w:rsidRPr="003149AB">
        <w:rPr>
          <w:rFonts w:ascii="Arial" w:hAnsi="Arial" w:cs="Arial"/>
          <w:sz w:val="20"/>
          <w:szCs w:val="20"/>
        </w:rPr>
        <w:t>Harashid</w:t>
      </w:r>
      <w:proofErr w:type="spellEnd"/>
      <w:r w:rsidRPr="003149AB">
        <w:rPr>
          <w:rFonts w:ascii="Arial" w:hAnsi="Arial" w:cs="Arial"/>
          <w:sz w:val="20"/>
          <w:szCs w:val="20"/>
        </w:rPr>
        <w:t xml:space="preserve">, K. A. M., Othman, N. A., Kari, Z. A., Wei, L. S., &amp; Dawood, M. A. (2022). </w:t>
      </w:r>
      <w:r w:rsidRPr="003149AB">
        <w:rPr>
          <w:rFonts w:ascii="Arial" w:hAnsi="Arial" w:cs="Arial"/>
          <w:sz w:val="20"/>
          <w:szCs w:val="20"/>
          <w:lang w:val="en-US"/>
        </w:rPr>
        <w:t xml:space="preserve">Effect of papaya (Carica papaya) leaf extract as dietary growth promoter supplement in red hybrid tilapia (Oreochromis </w:t>
      </w:r>
      <w:proofErr w:type="spellStart"/>
      <w:r w:rsidRPr="003149AB">
        <w:rPr>
          <w:rFonts w:ascii="Arial" w:hAnsi="Arial" w:cs="Arial"/>
          <w:sz w:val="20"/>
          <w:szCs w:val="20"/>
          <w:lang w:val="en-US"/>
        </w:rPr>
        <w:t>mossambicus</w:t>
      </w:r>
      <w:proofErr w:type="spellEnd"/>
      <w:r w:rsidRPr="003149AB">
        <w:rPr>
          <w:rFonts w:ascii="Arial" w:hAnsi="Arial" w:cs="Arial"/>
          <w:sz w:val="20"/>
          <w:szCs w:val="20"/>
          <w:lang w:val="en-US"/>
        </w:rPr>
        <w:t xml:space="preserve">× </w:t>
      </w:r>
      <w:r w:rsidRPr="003149AB">
        <w:rPr>
          <w:rFonts w:ascii="Arial" w:hAnsi="Arial" w:cs="Arial"/>
          <w:i/>
          <w:sz w:val="20"/>
          <w:szCs w:val="20"/>
          <w:lang w:val="en-US"/>
        </w:rPr>
        <w:t>Oreochromis niloticus</w:t>
      </w:r>
      <w:r w:rsidRPr="003149AB">
        <w:rPr>
          <w:rFonts w:ascii="Arial" w:hAnsi="Arial" w:cs="Arial"/>
          <w:sz w:val="20"/>
          <w:szCs w:val="20"/>
          <w:lang w:val="en-US"/>
        </w:rPr>
        <w:t xml:space="preserve">) diet. Saudi Journal of Biological Sciences, 29(5), 3911-3917. </w:t>
      </w:r>
      <w:hyperlink r:id="rId25" w:history="1">
        <w:r w:rsidR="00B45D8F" w:rsidRPr="00DF6361">
          <w:rPr>
            <w:rStyle w:val="Hyperlink"/>
            <w:rFonts w:ascii="Arial" w:hAnsi="Arial" w:cs="Arial"/>
            <w:sz w:val="20"/>
            <w:szCs w:val="20"/>
            <w:lang w:val="en-US"/>
          </w:rPr>
          <w:t>https://doi.org/10.1016/j.sjbs.2022.03.004</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84B4A45" w14:textId="6D87FEA9" w:rsidR="00C437E6" w:rsidRPr="003149AB" w:rsidRDefault="009C046C"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de-DE"/>
        </w:rPr>
        <w:t xml:space="preserve">Hassanin, H. A., Koko, M., Abdalla, M., Mu, W., &amp; Jiang, B. (2019).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proofErr w:type="gramStart"/>
      <w:r w:rsidRPr="003149AB">
        <w:rPr>
          <w:rFonts w:ascii="Arial" w:hAnsi="Arial" w:cs="Arial"/>
          <w:i/>
          <w:sz w:val="20"/>
          <w:szCs w:val="20"/>
          <w:lang w:val="en-US"/>
        </w:rPr>
        <w:t>microcarpum</w:t>
      </w:r>
      <w:proofErr w:type="spellEnd"/>
      <w:r w:rsidR="00F07172" w:rsidRPr="003149AB">
        <w:rPr>
          <w:rFonts w:ascii="Arial" w:hAnsi="Arial" w:cs="Arial"/>
          <w:i/>
          <w:sz w:val="20"/>
          <w:szCs w:val="20"/>
          <w:lang w:val="en-US"/>
        </w:rPr>
        <w:t xml:space="preserve"> </w:t>
      </w:r>
      <w:r w:rsidRPr="003149AB">
        <w:rPr>
          <w:rFonts w:ascii="Arial" w:hAnsi="Arial" w:cs="Arial"/>
          <w:sz w:val="20"/>
          <w:szCs w:val="20"/>
          <w:lang w:val="en-US"/>
        </w:rPr>
        <w:t>:</w:t>
      </w:r>
      <w:proofErr w:type="gramEnd"/>
      <w:r w:rsidRPr="003149AB">
        <w:rPr>
          <w:rFonts w:ascii="Arial" w:hAnsi="Arial" w:cs="Arial"/>
          <w:sz w:val="20"/>
          <w:szCs w:val="20"/>
          <w:lang w:val="en-US"/>
        </w:rPr>
        <w:t xml:space="preserve"> A novel source of nutrition and medicine: A review. Food chemistry, 274, 900-906. </w:t>
      </w:r>
      <w:hyperlink r:id="rId26" w:history="1">
        <w:r w:rsidR="00B45D8F" w:rsidRPr="00DF6361">
          <w:rPr>
            <w:rStyle w:val="Hyperlink"/>
            <w:rFonts w:ascii="Arial" w:hAnsi="Arial" w:cs="Arial"/>
            <w:sz w:val="20"/>
            <w:szCs w:val="20"/>
            <w:lang w:val="en-US"/>
          </w:rPr>
          <w:t>https://doi.org/10.1016/j.foodchem.2018.09.070</w:t>
        </w:r>
      </w:hyperlink>
      <w:r w:rsidRPr="003149AB">
        <w:rPr>
          <w:rFonts w:ascii="Arial" w:hAnsi="Arial" w:cs="Arial"/>
          <w:sz w:val="20"/>
          <w:szCs w:val="20"/>
          <w:lang w:val="en-US"/>
        </w:rPr>
        <w:t>.</w:t>
      </w:r>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B6CEB45" w14:textId="6F28326A" w:rsidR="00C437E6" w:rsidRPr="003149AB" w:rsidRDefault="00C437E6"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Ibrahim, R. E., </w:t>
      </w:r>
      <w:proofErr w:type="spellStart"/>
      <w:r w:rsidRPr="003149AB">
        <w:rPr>
          <w:rFonts w:ascii="Arial" w:hAnsi="Arial" w:cs="Arial"/>
          <w:sz w:val="20"/>
          <w:szCs w:val="20"/>
          <w:lang w:val="en-US"/>
        </w:rPr>
        <w:t>Rhouma</w:t>
      </w:r>
      <w:proofErr w:type="spellEnd"/>
      <w:r w:rsidRPr="003149AB">
        <w:rPr>
          <w:rFonts w:ascii="Arial" w:hAnsi="Arial" w:cs="Arial"/>
          <w:sz w:val="20"/>
          <w:szCs w:val="20"/>
          <w:lang w:val="en-US"/>
        </w:rPr>
        <w:t xml:space="preserve">, N. R., </w:t>
      </w:r>
      <w:proofErr w:type="spellStart"/>
      <w:r w:rsidRPr="003149AB">
        <w:rPr>
          <w:rFonts w:ascii="Arial" w:hAnsi="Arial" w:cs="Arial"/>
          <w:sz w:val="20"/>
          <w:szCs w:val="20"/>
          <w:lang w:val="en-US"/>
        </w:rPr>
        <w:t>Elbealy</w:t>
      </w:r>
      <w:proofErr w:type="spellEnd"/>
      <w:r w:rsidRPr="003149AB">
        <w:rPr>
          <w:rFonts w:ascii="Arial" w:hAnsi="Arial" w:cs="Arial"/>
          <w:sz w:val="20"/>
          <w:szCs w:val="20"/>
          <w:lang w:val="en-US"/>
        </w:rPr>
        <w:t xml:space="preserve">, M. A., </w:t>
      </w:r>
      <w:proofErr w:type="spellStart"/>
      <w:r w:rsidRPr="003149AB">
        <w:rPr>
          <w:rFonts w:ascii="Arial" w:hAnsi="Arial" w:cs="Arial"/>
          <w:sz w:val="20"/>
          <w:szCs w:val="20"/>
          <w:lang w:val="en-US"/>
        </w:rPr>
        <w:t>Abdelwarith</w:t>
      </w:r>
      <w:proofErr w:type="spellEnd"/>
      <w:r w:rsidRPr="003149AB">
        <w:rPr>
          <w:rFonts w:ascii="Arial" w:hAnsi="Arial" w:cs="Arial"/>
          <w:sz w:val="20"/>
          <w:szCs w:val="20"/>
          <w:lang w:val="en-US"/>
        </w:rPr>
        <w:t xml:space="preserve">, A. A., Younis, E. M., Khalil, S. S., Khamis, T., Mansour, A. T., Davies, S. J., El-Murr, A. &amp; Rahman, A. N. A. (2024). Effect of dietary intervention with </w:t>
      </w:r>
      <w:r w:rsidRPr="003149AB">
        <w:rPr>
          <w:rFonts w:ascii="Arial" w:hAnsi="Arial" w:cs="Arial"/>
          <w:i/>
          <w:sz w:val="20"/>
          <w:szCs w:val="20"/>
          <w:lang w:val="en-US"/>
        </w:rPr>
        <w:t>Capsicum annuum</w:t>
      </w:r>
      <w:r w:rsidRPr="003149AB">
        <w:rPr>
          <w:rFonts w:ascii="Arial" w:hAnsi="Arial" w:cs="Arial"/>
          <w:sz w:val="20"/>
          <w:szCs w:val="20"/>
          <w:lang w:val="en-US"/>
        </w:rPr>
        <w:t xml:space="preserve"> extract on growth performance, physiological status, innate immune response, and related gene expression in Nile tilapia. Comparative Biochemistry and Physiology Part B: Biochemistry and Molecular Biology, 270, 110914. </w:t>
      </w:r>
      <w:hyperlink r:id="rId27" w:history="1">
        <w:r w:rsidR="00B45D8F" w:rsidRPr="00DF6361">
          <w:rPr>
            <w:rStyle w:val="Hyperlink"/>
            <w:rFonts w:ascii="Arial" w:hAnsi="Arial" w:cs="Arial"/>
            <w:sz w:val="20"/>
            <w:szCs w:val="20"/>
            <w:lang w:val="en-US"/>
          </w:rPr>
          <w:t>https://doi.org/10.1016/j.cbpb.2023.110914</w:t>
        </w:r>
      </w:hyperlink>
      <w:r w:rsidRPr="003149AB">
        <w:rPr>
          <w:rFonts w:ascii="Arial" w:hAnsi="Arial" w:cs="Arial"/>
          <w:sz w:val="20"/>
          <w:szCs w:val="20"/>
          <w:lang w:val="en-US"/>
        </w:rPr>
        <w:t>.</w:t>
      </w:r>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C8A845E" w14:textId="5FBA8C86" w:rsidR="00922EEA" w:rsidRPr="003149AB" w:rsidRDefault="00C437E6" w:rsidP="005C0517">
      <w:pPr>
        <w:spacing w:after="80" w:line="240" w:lineRule="auto"/>
        <w:ind w:left="425" w:hanging="425"/>
        <w:jc w:val="both"/>
        <w:rPr>
          <w:rStyle w:val="Hyperlink"/>
          <w:rFonts w:ascii="Arial" w:hAnsi="Arial" w:cs="Arial"/>
          <w:sz w:val="20"/>
          <w:szCs w:val="20"/>
          <w:lang w:val="en-US"/>
        </w:rPr>
      </w:pPr>
      <w:r w:rsidRPr="003149AB">
        <w:rPr>
          <w:rFonts w:ascii="Arial" w:hAnsi="Arial" w:cs="Arial"/>
          <w:sz w:val="20"/>
          <w:szCs w:val="20"/>
        </w:rPr>
        <w:t xml:space="preserve">Janvier, Y. F., Dieudonné, M. W., Laure, N. J., &amp; Oben, J. E. (2020). </w:t>
      </w:r>
      <w:r w:rsidRPr="003149AB">
        <w:rPr>
          <w:rFonts w:ascii="Arial" w:hAnsi="Arial" w:cs="Arial"/>
          <w:sz w:val="20"/>
          <w:szCs w:val="20"/>
          <w:lang w:val="en-US"/>
        </w:rPr>
        <w:t xml:space="preserve">The potential effect of aqueous extract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bark on certain metabolic disorders associated with an atherogenic diet in rats. Journal of Food Research, 9(5), 102-112. </w:t>
      </w:r>
      <w:hyperlink r:id="rId28" w:history="1">
        <w:r w:rsidR="00B45D8F" w:rsidRPr="00DF6361">
          <w:rPr>
            <w:rStyle w:val="Hyperlink"/>
            <w:rFonts w:ascii="Arial" w:hAnsi="Arial" w:cs="Arial"/>
            <w:sz w:val="20"/>
            <w:szCs w:val="20"/>
            <w:lang w:val="en-US"/>
          </w:rPr>
          <w:t>https://doi.org/10.5539/jfr.v9n5p102</w:t>
        </w:r>
      </w:hyperlink>
      <w:r w:rsidR="00B45D8F">
        <w:rPr>
          <w:rFonts w:ascii="Arial" w:hAnsi="Arial" w:cs="Arial"/>
          <w:sz w:val="20"/>
          <w:szCs w:val="20"/>
          <w:lang w:val="en-US"/>
        </w:rPr>
        <w:t xml:space="preserve"> </w:t>
      </w:r>
    </w:p>
    <w:p w14:paraId="2904DCDF" w14:textId="5D76A07E" w:rsidR="00D11156" w:rsidRPr="003149AB" w:rsidRDefault="00922EEA"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Jiya, E. Z., </w:t>
      </w:r>
      <w:proofErr w:type="spellStart"/>
      <w:r w:rsidRPr="003149AB">
        <w:rPr>
          <w:rFonts w:ascii="Arial" w:hAnsi="Arial" w:cs="Arial"/>
          <w:sz w:val="20"/>
          <w:szCs w:val="20"/>
          <w:lang w:val="en-US"/>
        </w:rPr>
        <w:t>Ijaiya</w:t>
      </w:r>
      <w:proofErr w:type="spellEnd"/>
      <w:r w:rsidRPr="003149AB">
        <w:rPr>
          <w:rFonts w:ascii="Arial" w:hAnsi="Arial" w:cs="Arial"/>
          <w:sz w:val="20"/>
          <w:szCs w:val="20"/>
          <w:lang w:val="en-US"/>
        </w:rPr>
        <w:t xml:space="preserve">, A. T., </w:t>
      </w:r>
      <w:proofErr w:type="spellStart"/>
      <w:r w:rsidRPr="003149AB">
        <w:rPr>
          <w:rFonts w:ascii="Arial" w:hAnsi="Arial" w:cs="Arial"/>
          <w:sz w:val="20"/>
          <w:szCs w:val="20"/>
          <w:lang w:val="en-US"/>
        </w:rPr>
        <w:t>Olorunsanya</w:t>
      </w:r>
      <w:proofErr w:type="spellEnd"/>
      <w:r w:rsidRPr="003149AB">
        <w:rPr>
          <w:rFonts w:ascii="Arial" w:hAnsi="Arial" w:cs="Arial"/>
          <w:sz w:val="20"/>
          <w:szCs w:val="20"/>
          <w:lang w:val="en-US"/>
        </w:rPr>
        <w:t xml:space="preserve">, A. O., &amp; </w:t>
      </w:r>
      <w:proofErr w:type="spellStart"/>
      <w:r w:rsidRPr="003149AB">
        <w:rPr>
          <w:rFonts w:ascii="Arial" w:hAnsi="Arial" w:cs="Arial"/>
          <w:sz w:val="20"/>
          <w:szCs w:val="20"/>
          <w:lang w:val="en-US"/>
        </w:rPr>
        <w:t>Ayanwale</w:t>
      </w:r>
      <w:proofErr w:type="spellEnd"/>
      <w:r w:rsidRPr="003149AB">
        <w:rPr>
          <w:rFonts w:ascii="Arial" w:hAnsi="Arial" w:cs="Arial"/>
          <w:sz w:val="20"/>
          <w:szCs w:val="20"/>
          <w:lang w:val="en-US"/>
        </w:rPr>
        <w:t>, B. A. (2013). Performance of rabbits fed diets containing graded levels of processed tallow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seed meal. Nigerian Journal of Animal Production, 40(2), 59-70. </w:t>
      </w:r>
      <w:hyperlink r:id="rId29" w:history="1">
        <w:r w:rsidR="00B45D8F" w:rsidRPr="00DF6361">
          <w:rPr>
            <w:rStyle w:val="Hyperlink"/>
            <w:rFonts w:ascii="Arial" w:hAnsi="Arial" w:cs="Arial"/>
            <w:sz w:val="20"/>
            <w:szCs w:val="20"/>
            <w:lang w:val="en-US"/>
          </w:rPr>
          <w:t>https://www.njap.org.ng/index.php/njap/article/view/1170/1005</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A9A1EDE" w14:textId="3D06BD70" w:rsidR="00C437E6" w:rsidRPr="003149AB" w:rsidRDefault="00D11156"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lastRenderedPageBreak/>
        <w:t xml:space="preserve">Kelany, N. F., Abdel-Mohsein, H. S., Kotb, S., &amp; Ismail, A. E. M. A. (2024). Significant impact of physicochemical water parameters in tilapia aquaculture. Journal of Advanced Veterinary Research, 14(6), 1060-1064. </w:t>
      </w:r>
      <w:hyperlink r:id="rId30" w:history="1">
        <w:r w:rsidR="00B45D8F" w:rsidRPr="00DF6361">
          <w:rPr>
            <w:rStyle w:val="Hyperlink"/>
            <w:rFonts w:ascii="Arial" w:hAnsi="Arial" w:cs="Arial"/>
            <w:sz w:val="20"/>
            <w:szCs w:val="20"/>
            <w:lang w:val="en-US"/>
          </w:rPr>
          <w:t>https://advetresearch.com/index.php/AVR/article/view/1926/1289</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459F0BE8" w14:textId="7D2A9D7E" w:rsidR="00C437E6" w:rsidRPr="00CE2939" w:rsidRDefault="00C437E6" w:rsidP="005C0517">
      <w:pPr>
        <w:spacing w:after="80" w:line="240" w:lineRule="auto"/>
        <w:ind w:left="425" w:hanging="425"/>
        <w:jc w:val="both"/>
        <w:rPr>
          <w:rFonts w:ascii="Arial" w:hAnsi="Arial" w:cs="Arial"/>
          <w:sz w:val="20"/>
          <w:szCs w:val="20"/>
        </w:rPr>
      </w:pPr>
      <w:r w:rsidRPr="003149AB">
        <w:rPr>
          <w:rFonts w:ascii="Arial" w:hAnsi="Arial" w:cs="Arial"/>
          <w:sz w:val="20"/>
          <w:szCs w:val="20"/>
          <w:lang w:val="en-US"/>
        </w:rPr>
        <w:t xml:space="preserve">Kuebutornye, F. K., &amp; </w:t>
      </w:r>
      <w:proofErr w:type="spellStart"/>
      <w:r w:rsidRPr="003149AB">
        <w:rPr>
          <w:rFonts w:ascii="Arial" w:hAnsi="Arial" w:cs="Arial"/>
          <w:sz w:val="20"/>
          <w:szCs w:val="20"/>
          <w:lang w:val="en-US"/>
        </w:rPr>
        <w:t>Abarike</w:t>
      </w:r>
      <w:proofErr w:type="spellEnd"/>
      <w:r w:rsidRPr="003149AB">
        <w:rPr>
          <w:rFonts w:ascii="Arial" w:hAnsi="Arial" w:cs="Arial"/>
          <w:sz w:val="20"/>
          <w:szCs w:val="20"/>
          <w:lang w:val="en-US"/>
        </w:rPr>
        <w:t xml:space="preserve">, E. D. (2020). The contribution of medicinal plants to tilapia aquaculture: a review. </w:t>
      </w:r>
      <w:r w:rsidRPr="00CE2939">
        <w:rPr>
          <w:rFonts w:ascii="Arial" w:hAnsi="Arial" w:cs="Arial"/>
          <w:sz w:val="20"/>
          <w:szCs w:val="20"/>
        </w:rPr>
        <w:t xml:space="preserve">Aquaculture international, 28(3), 965-983. </w:t>
      </w:r>
      <w:hyperlink r:id="rId31" w:history="1">
        <w:r w:rsidR="00B45D8F" w:rsidRPr="00DF6361">
          <w:rPr>
            <w:rStyle w:val="Hyperlink"/>
            <w:rFonts w:ascii="Arial" w:hAnsi="Arial" w:cs="Arial"/>
            <w:sz w:val="20"/>
            <w:szCs w:val="20"/>
          </w:rPr>
          <w:t>https://doi.org/10.1007/s10499-020-00506-3</w:t>
        </w:r>
      </w:hyperlink>
      <w:r w:rsidR="00B45D8F">
        <w:rPr>
          <w:rFonts w:ascii="Arial" w:hAnsi="Arial" w:cs="Arial"/>
          <w:sz w:val="20"/>
          <w:szCs w:val="20"/>
        </w:rPr>
        <w:t xml:space="preserve"> </w:t>
      </w:r>
      <w:r w:rsidRPr="00CE2939">
        <w:rPr>
          <w:rFonts w:ascii="Arial" w:hAnsi="Arial" w:cs="Arial"/>
          <w:sz w:val="20"/>
          <w:szCs w:val="20"/>
        </w:rPr>
        <w:t xml:space="preserve"> </w:t>
      </w:r>
    </w:p>
    <w:p w14:paraId="01989448" w14:textId="677B90D8" w:rsidR="00533381" w:rsidRPr="003149AB" w:rsidRDefault="00533381" w:rsidP="005C0517">
      <w:pPr>
        <w:spacing w:after="80" w:line="240" w:lineRule="auto"/>
        <w:ind w:left="425" w:hanging="425"/>
        <w:jc w:val="both"/>
        <w:rPr>
          <w:rFonts w:ascii="Arial" w:eastAsiaTheme="minorEastAsia" w:hAnsi="Arial" w:cs="Arial"/>
          <w:sz w:val="20"/>
          <w:szCs w:val="20"/>
          <w:lang w:val="en-US"/>
        </w:rPr>
      </w:pPr>
      <w:r w:rsidRPr="00CE2939">
        <w:rPr>
          <w:rFonts w:ascii="Arial" w:hAnsi="Arial" w:cs="Arial"/>
          <w:sz w:val="20"/>
          <w:szCs w:val="20"/>
        </w:rPr>
        <w:t xml:space="preserve">Le </w:t>
      </w:r>
      <w:proofErr w:type="spellStart"/>
      <w:r w:rsidRPr="00CE2939">
        <w:rPr>
          <w:rFonts w:ascii="Arial" w:hAnsi="Arial" w:cs="Arial"/>
          <w:sz w:val="20"/>
          <w:szCs w:val="20"/>
        </w:rPr>
        <w:t>Cren</w:t>
      </w:r>
      <w:proofErr w:type="spellEnd"/>
      <w:r w:rsidRPr="00CE2939">
        <w:rPr>
          <w:rFonts w:ascii="Arial" w:hAnsi="Arial" w:cs="Arial"/>
          <w:sz w:val="20"/>
          <w:szCs w:val="20"/>
        </w:rPr>
        <w:t xml:space="preserve">, E.D. (1951). </w:t>
      </w:r>
      <w:r w:rsidRPr="003149AB">
        <w:rPr>
          <w:rFonts w:ascii="Arial" w:hAnsi="Arial" w:cs="Arial"/>
          <w:sz w:val="20"/>
          <w:szCs w:val="20"/>
          <w:lang w:val="en-US"/>
        </w:rPr>
        <w:t>The length-weight relationship and seasonal cycle in the gonad weight and condition in the perch (</w:t>
      </w:r>
      <w:r w:rsidRPr="003149AB">
        <w:rPr>
          <w:rFonts w:ascii="Arial" w:hAnsi="Arial" w:cs="Arial"/>
          <w:i/>
          <w:sz w:val="20"/>
          <w:szCs w:val="20"/>
          <w:lang w:val="en-US"/>
        </w:rPr>
        <w:t>Perca fluviatilis</w:t>
      </w:r>
      <w:r w:rsidRPr="003149AB">
        <w:rPr>
          <w:rFonts w:ascii="Arial" w:hAnsi="Arial" w:cs="Arial"/>
          <w:sz w:val="20"/>
          <w:szCs w:val="20"/>
          <w:lang w:val="en-US"/>
        </w:rPr>
        <w:t xml:space="preserve">). Journal of Animal Ecology, 20: 201-219. </w:t>
      </w:r>
      <w:hyperlink r:id="rId32" w:history="1">
        <w:r w:rsidR="00B45D8F" w:rsidRPr="00DF6361">
          <w:rPr>
            <w:rStyle w:val="Hyperlink"/>
            <w:rFonts w:ascii="Arial" w:hAnsi="Arial" w:cs="Arial"/>
            <w:sz w:val="20"/>
            <w:szCs w:val="20"/>
            <w:lang w:val="en-US"/>
          </w:rPr>
          <w:t>https://doi.org/10.2307/1540</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557D4F31" w14:textId="39177A6D" w:rsidR="008054D8" w:rsidRPr="003149AB" w:rsidRDefault="008054D8" w:rsidP="005C0517">
      <w:pPr>
        <w:spacing w:after="80" w:line="240" w:lineRule="auto"/>
        <w:ind w:left="425" w:hanging="425"/>
        <w:jc w:val="both"/>
        <w:rPr>
          <w:rFonts w:ascii="Arial" w:hAnsi="Arial" w:cs="Arial"/>
          <w:sz w:val="20"/>
          <w:szCs w:val="20"/>
        </w:rPr>
      </w:pPr>
      <w:r w:rsidRPr="003149AB">
        <w:rPr>
          <w:rFonts w:ascii="Arial" w:hAnsi="Arial" w:cs="Arial"/>
          <w:sz w:val="20"/>
          <w:szCs w:val="20"/>
          <w:lang w:val="en-US"/>
        </w:rPr>
        <w:t xml:space="preserve">Lieke, T., </w:t>
      </w:r>
      <w:proofErr w:type="spellStart"/>
      <w:r w:rsidRPr="003149AB">
        <w:rPr>
          <w:rFonts w:ascii="Arial" w:hAnsi="Arial" w:cs="Arial"/>
          <w:sz w:val="20"/>
          <w:szCs w:val="20"/>
          <w:lang w:val="en-US"/>
        </w:rPr>
        <w:t>Meinelt</w:t>
      </w:r>
      <w:proofErr w:type="spellEnd"/>
      <w:r w:rsidRPr="003149AB">
        <w:rPr>
          <w:rFonts w:ascii="Arial" w:hAnsi="Arial" w:cs="Arial"/>
          <w:sz w:val="20"/>
          <w:szCs w:val="20"/>
          <w:lang w:val="en-US"/>
        </w:rPr>
        <w:t xml:space="preserve">, T., </w:t>
      </w:r>
      <w:proofErr w:type="spellStart"/>
      <w:r w:rsidRPr="003149AB">
        <w:rPr>
          <w:rFonts w:ascii="Arial" w:hAnsi="Arial" w:cs="Arial"/>
          <w:sz w:val="20"/>
          <w:szCs w:val="20"/>
          <w:lang w:val="en-US"/>
        </w:rPr>
        <w:t>Hoseinifar</w:t>
      </w:r>
      <w:proofErr w:type="spellEnd"/>
      <w:r w:rsidRPr="003149AB">
        <w:rPr>
          <w:rFonts w:ascii="Arial" w:hAnsi="Arial" w:cs="Arial"/>
          <w:sz w:val="20"/>
          <w:szCs w:val="20"/>
          <w:lang w:val="en-US"/>
        </w:rPr>
        <w:t>, S. H., Pan, B., Straus, D. L., &amp; Steinberg, C. E. (2020). Sustainable aquaculture requires environmental</w:t>
      </w:r>
      <w:r w:rsidRPr="003149AB">
        <w:rPr>
          <w:rFonts w:ascii="Cambria Math" w:hAnsi="Cambria Math" w:cs="Cambria Math"/>
          <w:sz w:val="20"/>
          <w:szCs w:val="20"/>
          <w:lang w:val="en-US"/>
        </w:rPr>
        <w:t>‐</w:t>
      </w:r>
      <w:r w:rsidRPr="003149AB">
        <w:rPr>
          <w:rFonts w:ascii="Arial" w:hAnsi="Arial" w:cs="Arial"/>
          <w:sz w:val="20"/>
          <w:szCs w:val="20"/>
          <w:lang w:val="en-US"/>
        </w:rPr>
        <w:t xml:space="preserve">friendly treatment strategies for fish diseases. </w:t>
      </w:r>
      <w:proofErr w:type="spellStart"/>
      <w:r w:rsidRPr="003149AB">
        <w:rPr>
          <w:rFonts w:ascii="Arial" w:hAnsi="Arial" w:cs="Arial"/>
          <w:sz w:val="20"/>
          <w:szCs w:val="20"/>
        </w:rPr>
        <w:t>Reviews</w:t>
      </w:r>
      <w:proofErr w:type="spellEnd"/>
      <w:r w:rsidRPr="003149AB">
        <w:rPr>
          <w:rFonts w:ascii="Arial" w:hAnsi="Arial" w:cs="Arial"/>
          <w:sz w:val="20"/>
          <w:szCs w:val="20"/>
        </w:rPr>
        <w:t xml:space="preserve"> in Aquaculture, 12(2), 943-965. </w:t>
      </w:r>
      <w:hyperlink r:id="rId33" w:history="1">
        <w:r w:rsidR="00B45D8F" w:rsidRPr="00DF6361">
          <w:rPr>
            <w:rStyle w:val="Hyperlink"/>
            <w:rFonts w:ascii="Arial" w:hAnsi="Arial" w:cs="Arial"/>
            <w:sz w:val="20"/>
            <w:szCs w:val="20"/>
          </w:rPr>
          <w:t>https://doi.org/10.1111/raq.12365</w:t>
        </w:r>
      </w:hyperlink>
      <w:r w:rsidR="00B45D8F">
        <w:rPr>
          <w:rFonts w:ascii="Arial" w:hAnsi="Arial" w:cs="Arial"/>
          <w:sz w:val="20"/>
          <w:szCs w:val="20"/>
        </w:rPr>
        <w:t xml:space="preserve"> </w:t>
      </w:r>
      <w:r w:rsidRPr="003149AB">
        <w:rPr>
          <w:rFonts w:ascii="Arial" w:hAnsi="Arial" w:cs="Arial"/>
          <w:sz w:val="20"/>
          <w:szCs w:val="20"/>
        </w:rPr>
        <w:t xml:space="preserve"> </w:t>
      </w:r>
    </w:p>
    <w:p w14:paraId="4353FE1E" w14:textId="77777777" w:rsidR="00165045" w:rsidRPr="003149AB" w:rsidRDefault="00165045" w:rsidP="005C0517">
      <w:pPr>
        <w:spacing w:after="80" w:line="240" w:lineRule="auto"/>
        <w:ind w:left="425" w:hanging="425"/>
        <w:jc w:val="both"/>
        <w:rPr>
          <w:rFonts w:ascii="Arial" w:hAnsi="Arial" w:cs="Arial"/>
          <w:sz w:val="20"/>
          <w:szCs w:val="20"/>
        </w:rPr>
      </w:pPr>
      <w:proofErr w:type="spellStart"/>
      <w:r w:rsidRPr="003149AB">
        <w:rPr>
          <w:rFonts w:ascii="Arial" w:hAnsi="Arial" w:cs="Arial"/>
          <w:sz w:val="20"/>
          <w:szCs w:val="20"/>
        </w:rPr>
        <w:t>Melard</w:t>
      </w:r>
      <w:proofErr w:type="spellEnd"/>
      <w:r w:rsidRPr="003149AB">
        <w:rPr>
          <w:rFonts w:ascii="Arial" w:hAnsi="Arial" w:cs="Arial"/>
          <w:sz w:val="20"/>
          <w:szCs w:val="20"/>
        </w:rPr>
        <w:t xml:space="preserve">, C. (1999). Choix des sites, qualité de l’eau et systèmes d’élevage en aquaculture". CEFRA. Université de Liège- Station d’aquaculture de Tihange, Belgique, 80 p. </w:t>
      </w:r>
    </w:p>
    <w:p w14:paraId="084898BF" w14:textId="63357054" w:rsidR="008054D8" w:rsidRPr="003149AB" w:rsidRDefault="008054D8"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Muringai</w:t>
      </w:r>
      <w:proofErr w:type="spellEnd"/>
      <w:r w:rsidRPr="003149AB">
        <w:rPr>
          <w:rFonts w:ascii="Arial" w:hAnsi="Arial" w:cs="Arial"/>
          <w:sz w:val="20"/>
          <w:szCs w:val="20"/>
          <w:lang w:val="en-US"/>
        </w:rPr>
        <w:t xml:space="preserve">, R. T., </w:t>
      </w:r>
      <w:proofErr w:type="spellStart"/>
      <w:r w:rsidRPr="003149AB">
        <w:rPr>
          <w:rFonts w:ascii="Arial" w:hAnsi="Arial" w:cs="Arial"/>
          <w:sz w:val="20"/>
          <w:szCs w:val="20"/>
          <w:lang w:val="en-US"/>
        </w:rPr>
        <w:t>Mafongoya</w:t>
      </w:r>
      <w:proofErr w:type="spellEnd"/>
      <w:r w:rsidRPr="003149AB">
        <w:rPr>
          <w:rFonts w:ascii="Arial" w:hAnsi="Arial" w:cs="Arial"/>
          <w:sz w:val="20"/>
          <w:szCs w:val="20"/>
          <w:lang w:val="en-US"/>
        </w:rPr>
        <w:t xml:space="preserve">, P., Lottering, R. T., </w:t>
      </w:r>
      <w:proofErr w:type="spellStart"/>
      <w:r w:rsidRPr="003149AB">
        <w:rPr>
          <w:rFonts w:ascii="Arial" w:hAnsi="Arial" w:cs="Arial"/>
          <w:sz w:val="20"/>
          <w:szCs w:val="20"/>
          <w:lang w:val="en-US"/>
        </w:rPr>
        <w:t>Mugandani</w:t>
      </w:r>
      <w:proofErr w:type="spellEnd"/>
      <w:r w:rsidRPr="003149AB">
        <w:rPr>
          <w:rFonts w:ascii="Arial" w:hAnsi="Arial" w:cs="Arial"/>
          <w:sz w:val="20"/>
          <w:szCs w:val="20"/>
          <w:lang w:val="en-US"/>
        </w:rPr>
        <w:t xml:space="preserve">, R., &amp; Naidoo, D. (2022). Unlocking the Potential of Fish to Improve Food and Nutrition Security in Sub-Saharan Africa. Sustainability, 14(1), 318, 1-15. </w:t>
      </w:r>
      <w:hyperlink r:id="rId34" w:history="1">
        <w:r w:rsidR="00B45D8F" w:rsidRPr="00DF6361">
          <w:rPr>
            <w:rStyle w:val="Hyperlink"/>
            <w:rFonts w:ascii="Arial" w:hAnsi="Arial" w:cs="Arial"/>
            <w:sz w:val="20"/>
            <w:szCs w:val="20"/>
            <w:lang w:val="en-US"/>
          </w:rPr>
          <w:t>https://doi.org/10.3390/su14010318</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641894AD" w14:textId="41262B04" w:rsidR="008054D8" w:rsidRPr="003149AB" w:rsidRDefault="008054D8" w:rsidP="005C0517">
      <w:pPr>
        <w:spacing w:after="80" w:line="240" w:lineRule="auto"/>
        <w:ind w:left="425" w:hanging="425"/>
        <w:jc w:val="both"/>
        <w:rPr>
          <w:rFonts w:ascii="Arial" w:hAnsi="Arial" w:cs="Arial"/>
          <w:sz w:val="20"/>
          <w:szCs w:val="20"/>
          <w:lang w:val="en-US"/>
        </w:rPr>
      </w:pPr>
      <w:proofErr w:type="spellStart"/>
      <w:r w:rsidRPr="00CE2939">
        <w:rPr>
          <w:rFonts w:ascii="Arial" w:hAnsi="Arial" w:cs="Arial"/>
          <w:sz w:val="20"/>
          <w:szCs w:val="20"/>
        </w:rPr>
        <w:t>Nyadjeu</w:t>
      </w:r>
      <w:proofErr w:type="spellEnd"/>
      <w:r w:rsidRPr="00CE2939">
        <w:rPr>
          <w:rFonts w:ascii="Arial" w:hAnsi="Arial" w:cs="Arial"/>
          <w:sz w:val="20"/>
          <w:szCs w:val="20"/>
        </w:rPr>
        <w:t xml:space="preserve">, P., </w:t>
      </w:r>
      <w:proofErr w:type="spellStart"/>
      <w:r w:rsidRPr="00CE2939">
        <w:rPr>
          <w:rFonts w:ascii="Arial" w:hAnsi="Arial" w:cs="Arial"/>
          <w:sz w:val="20"/>
          <w:szCs w:val="20"/>
        </w:rPr>
        <w:t>Yemdjie</w:t>
      </w:r>
      <w:proofErr w:type="spellEnd"/>
      <w:r w:rsidRPr="00CE2939">
        <w:rPr>
          <w:rFonts w:ascii="Arial" w:hAnsi="Arial" w:cs="Arial"/>
          <w:sz w:val="20"/>
          <w:szCs w:val="20"/>
        </w:rPr>
        <w:t xml:space="preserve">, D. D. M., </w:t>
      </w:r>
      <w:proofErr w:type="spellStart"/>
      <w:r w:rsidRPr="00CE2939">
        <w:rPr>
          <w:rFonts w:ascii="Arial" w:hAnsi="Arial" w:cs="Arial"/>
          <w:sz w:val="20"/>
          <w:szCs w:val="20"/>
        </w:rPr>
        <w:t>Ndjuissi</w:t>
      </w:r>
      <w:proofErr w:type="spellEnd"/>
      <w:r w:rsidRPr="00CE2939">
        <w:rPr>
          <w:rFonts w:ascii="Arial" w:hAnsi="Arial" w:cs="Arial"/>
          <w:sz w:val="20"/>
          <w:szCs w:val="20"/>
        </w:rPr>
        <w:t xml:space="preserve">, N. A. T., Nguenang, G. N., </w:t>
      </w:r>
      <w:proofErr w:type="spellStart"/>
      <w:r w:rsidRPr="00CE2939">
        <w:rPr>
          <w:rFonts w:ascii="Arial" w:hAnsi="Arial" w:cs="Arial"/>
          <w:sz w:val="20"/>
          <w:szCs w:val="20"/>
        </w:rPr>
        <w:t>Dedou</w:t>
      </w:r>
      <w:proofErr w:type="spellEnd"/>
      <w:r w:rsidRPr="00CE2939">
        <w:rPr>
          <w:rFonts w:ascii="Arial" w:hAnsi="Arial" w:cs="Arial"/>
          <w:sz w:val="20"/>
          <w:szCs w:val="20"/>
        </w:rPr>
        <w:t>, N. Y. C., &amp; Tabi-</w:t>
      </w:r>
      <w:proofErr w:type="spellStart"/>
      <w:r w:rsidRPr="00CE2939">
        <w:rPr>
          <w:rFonts w:ascii="Arial" w:hAnsi="Arial" w:cs="Arial"/>
          <w:sz w:val="20"/>
          <w:szCs w:val="20"/>
        </w:rPr>
        <w:t>Tomedi</w:t>
      </w:r>
      <w:proofErr w:type="spellEnd"/>
      <w:r w:rsidRPr="00CE2939">
        <w:rPr>
          <w:rFonts w:ascii="Arial" w:hAnsi="Arial" w:cs="Arial"/>
          <w:sz w:val="20"/>
          <w:szCs w:val="20"/>
        </w:rPr>
        <w:t xml:space="preserve">, M. E. (2021). </w:t>
      </w:r>
      <w:r w:rsidRPr="003149AB">
        <w:rPr>
          <w:rFonts w:ascii="Arial" w:hAnsi="Arial" w:cs="Arial"/>
          <w:sz w:val="20"/>
          <w:szCs w:val="20"/>
          <w:lang w:val="en-US"/>
        </w:rPr>
        <w:t xml:space="preserve">Effect of </w:t>
      </w:r>
      <w:r w:rsidRPr="003149AB">
        <w:rPr>
          <w:rFonts w:ascii="Arial" w:hAnsi="Arial" w:cs="Arial"/>
          <w:i/>
          <w:sz w:val="20"/>
          <w:szCs w:val="20"/>
          <w:lang w:val="en-US"/>
        </w:rPr>
        <w:t>Zingiber officinale</w:t>
      </w:r>
      <w:r w:rsidRPr="003149AB">
        <w:rPr>
          <w:rFonts w:ascii="Arial" w:hAnsi="Arial" w:cs="Arial"/>
          <w:sz w:val="20"/>
          <w:szCs w:val="20"/>
          <w:lang w:val="en-US"/>
        </w:rPr>
        <w:t xml:space="preserve"> and </w:t>
      </w:r>
      <w:r w:rsidRPr="003149AB">
        <w:rPr>
          <w:rFonts w:ascii="Arial" w:hAnsi="Arial" w:cs="Arial"/>
          <w:i/>
          <w:sz w:val="20"/>
          <w:szCs w:val="20"/>
          <w:lang w:val="en-US"/>
        </w:rPr>
        <w:t>Allium sativum</w:t>
      </w:r>
      <w:r w:rsidRPr="003149AB">
        <w:rPr>
          <w:rFonts w:ascii="Arial" w:hAnsi="Arial" w:cs="Arial"/>
          <w:sz w:val="20"/>
          <w:szCs w:val="20"/>
          <w:lang w:val="en-US"/>
        </w:rPr>
        <w:t xml:space="preserve"> powders as natural feed additives promoting growth, feed utilization and whole-body composition in </w:t>
      </w:r>
      <w:r w:rsidRPr="003149AB">
        <w:rPr>
          <w:rFonts w:ascii="Arial" w:hAnsi="Arial" w:cs="Arial"/>
          <w:i/>
          <w:sz w:val="20"/>
          <w:szCs w:val="20"/>
          <w:lang w:val="en-US"/>
        </w:rPr>
        <w:t xml:space="preserve">Clarias </w:t>
      </w:r>
      <w:proofErr w:type="spellStart"/>
      <w:r w:rsidRPr="003149AB">
        <w:rPr>
          <w:rFonts w:ascii="Arial" w:hAnsi="Arial" w:cs="Arial"/>
          <w:i/>
          <w:sz w:val="20"/>
          <w:szCs w:val="20"/>
          <w:lang w:val="en-US"/>
        </w:rPr>
        <w:t>gariepinus</w:t>
      </w:r>
      <w:proofErr w:type="spellEnd"/>
      <w:r w:rsidRPr="003149AB">
        <w:rPr>
          <w:rFonts w:ascii="Arial" w:hAnsi="Arial" w:cs="Arial"/>
          <w:sz w:val="20"/>
          <w:szCs w:val="20"/>
          <w:lang w:val="en-US"/>
        </w:rPr>
        <w:t xml:space="preserve"> Fry. Food and Nutrition Sciences, 12 (6</w:t>
      </w:r>
      <w:proofErr w:type="gramStart"/>
      <w:r w:rsidRPr="003149AB">
        <w:rPr>
          <w:rFonts w:ascii="Arial" w:hAnsi="Arial" w:cs="Arial"/>
          <w:sz w:val="20"/>
          <w:szCs w:val="20"/>
          <w:lang w:val="en-US"/>
        </w:rPr>
        <w:t>)</w:t>
      </w:r>
      <w:r w:rsidR="00F07172" w:rsidRPr="003149AB">
        <w:rPr>
          <w:rFonts w:ascii="Arial" w:hAnsi="Arial" w:cs="Arial"/>
          <w:sz w:val="20"/>
          <w:szCs w:val="20"/>
          <w:lang w:val="en-US"/>
        </w:rPr>
        <w:t xml:space="preserve"> </w:t>
      </w:r>
      <w:r w:rsidRPr="003149AB">
        <w:rPr>
          <w:rFonts w:ascii="Arial" w:hAnsi="Arial" w:cs="Arial"/>
          <w:sz w:val="20"/>
          <w:szCs w:val="20"/>
          <w:lang w:val="en-US"/>
        </w:rPr>
        <w:t>:</w:t>
      </w:r>
      <w:proofErr w:type="gramEnd"/>
      <w:r w:rsidRPr="003149AB">
        <w:rPr>
          <w:rFonts w:ascii="Arial" w:hAnsi="Arial" w:cs="Arial"/>
          <w:sz w:val="20"/>
          <w:szCs w:val="20"/>
          <w:lang w:val="en-US"/>
        </w:rPr>
        <w:t xml:space="preserve"> 526–543. </w:t>
      </w:r>
      <w:hyperlink r:id="rId35" w:history="1">
        <w:r w:rsidR="00B45D8F" w:rsidRPr="00DF6361">
          <w:rPr>
            <w:rStyle w:val="Hyperlink"/>
            <w:rFonts w:ascii="Arial" w:hAnsi="Arial" w:cs="Arial"/>
            <w:sz w:val="20"/>
            <w:szCs w:val="20"/>
            <w:lang w:val="en-US"/>
          </w:rPr>
          <w:t>https://doi.org/10.4236/fns.2021.126040</w:t>
        </w:r>
      </w:hyperlink>
      <w:r w:rsidRPr="003149AB">
        <w:rPr>
          <w:rFonts w:ascii="Arial" w:hAnsi="Arial" w:cs="Arial"/>
          <w:sz w:val="20"/>
          <w:szCs w:val="20"/>
          <w:lang w:val="en-US"/>
        </w:rPr>
        <w:t>.</w:t>
      </w:r>
      <w:r w:rsidR="00B45D8F">
        <w:rPr>
          <w:rFonts w:ascii="Arial" w:hAnsi="Arial" w:cs="Arial"/>
          <w:sz w:val="20"/>
          <w:szCs w:val="20"/>
          <w:lang w:val="en-US"/>
        </w:rPr>
        <w:t xml:space="preserve"> </w:t>
      </w:r>
    </w:p>
    <w:p w14:paraId="1E0CA105" w14:textId="7AD46E7B" w:rsidR="004C4C98" w:rsidRPr="003149AB" w:rsidRDefault="004C4C98"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Obun</w:t>
      </w:r>
      <w:proofErr w:type="spellEnd"/>
      <w:r w:rsidRPr="003149AB">
        <w:rPr>
          <w:rFonts w:ascii="Arial" w:hAnsi="Arial" w:cs="Arial"/>
          <w:sz w:val="20"/>
          <w:szCs w:val="20"/>
          <w:lang w:val="en-US"/>
        </w:rPr>
        <w:t xml:space="preserve">, C. O., Olafadehan, O. A., </w:t>
      </w:r>
      <w:proofErr w:type="spellStart"/>
      <w:r w:rsidRPr="003149AB">
        <w:rPr>
          <w:rFonts w:ascii="Arial" w:hAnsi="Arial" w:cs="Arial"/>
          <w:sz w:val="20"/>
          <w:szCs w:val="20"/>
          <w:lang w:val="en-US"/>
        </w:rPr>
        <w:t>Ayanwale</w:t>
      </w:r>
      <w:proofErr w:type="spellEnd"/>
      <w:r w:rsidRPr="003149AB">
        <w:rPr>
          <w:rFonts w:ascii="Arial" w:hAnsi="Arial" w:cs="Arial"/>
          <w:sz w:val="20"/>
          <w:szCs w:val="20"/>
          <w:lang w:val="en-US"/>
        </w:rPr>
        <w:t xml:space="preserve">, B. A., &amp; Inuwa, M. (2008). Growth, carcass and organ weights of finisher broilers fed differently processed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(Guill and Sperr) seed meal. Volume 20, Article #126. Retrieved August 11, 2026, from </w:t>
      </w:r>
      <w:hyperlink r:id="rId36" w:history="1">
        <w:r w:rsidR="00B45D8F" w:rsidRPr="00DF6361">
          <w:rPr>
            <w:rStyle w:val="Hyperlink"/>
            <w:rFonts w:ascii="Arial" w:hAnsi="Arial" w:cs="Arial"/>
            <w:sz w:val="20"/>
            <w:szCs w:val="20"/>
            <w:lang w:val="en-US"/>
          </w:rPr>
          <w:t>http://www.lrrd.org/lrrd20/8/obun20126.htm</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6589ED11" w14:textId="66FE373B" w:rsidR="00780563" w:rsidRPr="003149AB" w:rsidRDefault="00780563"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Obun</w:t>
      </w:r>
      <w:proofErr w:type="spellEnd"/>
      <w:r w:rsidRPr="003149AB">
        <w:rPr>
          <w:rFonts w:ascii="Arial" w:hAnsi="Arial" w:cs="Arial"/>
          <w:sz w:val="20"/>
          <w:szCs w:val="20"/>
          <w:lang w:val="en-US"/>
        </w:rPr>
        <w:t xml:space="preserve">, C. O., Yahaya, S. M., </w:t>
      </w:r>
      <w:proofErr w:type="spellStart"/>
      <w:r w:rsidRPr="003149AB">
        <w:rPr>
          <w:rFonts w:ascii="Arial" w:hAnsi="Arial" w:cs="Arial"/>
          <w:sz w:val="20"/>
          <w:szCs w:val="20"/>
          <w:lang w:val="en-US"/>
        </w:rPr>
        <w:t>Kibon</w:t>
      </w:r>
      <w:proofErr w:type="spellEnd"/>
      <w:r w:rsidRPr="003149AB">
        <w:rPr>
          <w:rFonts w:ascii="Arial" w:hAnsi="Arial" w:cs="Arial"/>
          <w:sz w:val="20"/>
          <w:szCs w:val="20"/>
          <w:lang w:val="en-US"/>
        </w:rPr>
        <w:t xml:space="preserve">, A. A., Olafadehan, O. A., &amp; Alison, S. D. (2010). Evaluation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pulp meal as feed ingredient in </w:t>
      </w:r>
      <w:r w:rsidR="004E7B15" w:rsidRPr="003149AB">
        <w:rPr>
          <w:rFonts w:ascii="Arial" w:hAnsi="Arial" w:cs="Arial"/>
          <w:sz w:val="20"/>
          <w:szCs w:val="20"/>
          <w:lang w:val="en-US"/>
        </w:rPr>
        <w:t>rabbits’</w:t>
      </w:r>
      <w:r w:rsidRPr="003149AB">
        <w:rPr>
          <w:rFonts w:ascii="Arial" w:hAnsi="Arial" w:cs="Arial"/>
          <w:sz w:val="20"/>
          <w:szCs w:val="20"/>
          <w:lang w:val="en-US"/>
        </w:rPr>
        <w:t xml:space="preserve"> diets. Electronic Journal of Environmental, Agricultural &amp; Food Chemistry, 9(2), 308-314. </w:t>
      </w:r>
      <w:hyperlink r:id="rId37" w:history="1">
        <w:r w:rsidR="00B45D8F" w:rsidRPr="00DF6361">
          <w:rPr>
            <w:rStyle w:val="Hyperlink"/>
            <w:rFonts w:ascii="Arial" w:hAnsi="Arial" w:cs="Arial"/>
            <w:sz w:val="20"/>
            <w:szCs w:val="20"/>
            <w:lang w:val="en-US"/>
          </w:rPr>
          <w:t>https://www.researchgate.net/profile/Obun-Otu/publication/363644185_</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r w:rsidR="00B45D8F">
        <w:rPr>
          <w:rFonts w:ascii="Arial" w:hAnsi="Arial" w:cs="Arial"/>
          <w:sz w:val="20"/>
          <w:szCs w:val="20"/>
          <w:lang w:val="en-US"/>
        </w:rPr>
        <w:t xml:space="preserve"> </w:t>
      </w:r>
    </w:p>
    <w:p w14:paraId="7758A47A" w14:textId="24F2A154" w:rsidR="004705D9" w:rsidRPr="003149AB" w:rsidRDefault="004705D9"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rPr>
        <w:t>Obun</w:t>
      </w:r>
      <w:proofErr w:type="spellEnd"/>
      <w:r w:rsidRPr="003149AB">
        <w:rPr>
          <w:rFonts w:ascii="Arial" w:hAnsi="Arial" w:cs="Arial"/>
          <w:sz w:val="20"/>
          <w:szCs w:val="20"/>
        </w:rPr>
        <w:t xml:space="preserve">, C. O., Yahaya, S. M., &amp; </w:t>
      </w:r>
      <w:proofErr w:type="spellStart"/>
      <w:r w:rsidRPr="003149AB">
        <w:rPr>
          <w:rFonts w:ascii="Arial" w:hAnsi="Arial" w:cs="Arial"/>
          <w:sz w:val="20"/>
          <w:szCs w:val="20"/>
        </w:rPr>
        <w:t>Kibon</w:t>
      </w:r>
      <w:proofErr w:type="spellEnd"/>
      <w:r w:rsidRPr="003149AB">
        <w:rPr>
          <w:rFonts w:ascii="Arial" w:hAnsi="Arial" w:cs="Arial"/>
          <w:sz w:val="20"/>
          <w:szCs w:val="20"/>
        </w:rPr>
        <w:t xml:space="preserve">, A. (2011). </w:t>
      </w:r>
      <w:r w:rsidRPr="003149AB">
        <w:rPr>
          <w:rFonts w:ascii="Arial" w:hAnsi="Arial" w:cs="Arial"/>
          <w:sz w:val="20"/>
          <w:szCs w:val="20"/>
          <w:lang w:val="en-US"/>
        </w:rPr>
        <w:t xml:space="preserve">Performance and nutrient retention of finisher broilers fed graded levels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(Guill. and Perr.) seed meal. Animal Research International, 8(1), 1380-1387. </w:t>
      </w:r>
      <w:hyperlink r:id="rId38" w:history="1">
        <w:r w:rsidR="00B45D8F" w:rsidRPr="00DF6361">
          <w:rPr>
            <w:rStyle w:val="Hyperlink"/>
            <w:rFonts w:ascii="Arial" w:hAnsi="Arial" w:cs="Arial"/>
            <w:sz w:val="20"/>
            <w:szCs w:val="20"/>
            <w:lang w:val="en-US"/>
          </w:rPr>
          <w:t>https://www.academia.edu/attachments/51523989/download_file</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EAACD77" w14:textId="232C173A" w:rsidR="00945D6F" w:rsidRPr="003149AB" w:rsidRDefault="00945D6F" w:rsidP="005C0517">
      <w:pPr>
        <w:spacing w:after="80" w:line="240" w:lineRule="auto"/>
        <w:ind w:left="425" w:hanging="425"/>
        <w:jc w:val="both"/>
        <w:rPr>
          <w:rFonts w:ascii="Arial" w:hAnsi="Arial" w:cs="Arial"/>
          <w:sz w:val="20"/>
          <w:szCs w:val="20"/>
          <w:lang w:val="en-US"/>
        </w:rPr>
      </w:pPr>
      <w:proofErr w:type="spellStart"/>
      <w:r w:rsidRPr="003149AB">
        <w:rPr>
          <w:rFonts w:ascii="Arial" w:hAnsi="Arial" w:cs="Arial"/>
          <w:sz w:val="20"/>
          <w:szCs w:val="20"/>
          <w:lang w:val="en-US"/>
        </w:rPr>
        <w:t>Ogunji</w:t>
      </w:r>
      <w:proofErr w:type="spellEnd"/>
      <w:r w:rsidRPr="003149AB">
        <w:rPr>
          <w:rFonts w:ascii="Arial" w:hAnsi="Arial" w:cs="Arial"/>
          <w:sz w:val="20"/>
          <w:szCs w:val="20"/>
          <w:lang w:val="en-US"/>
        </w:rPr>
        <w:t xml:space="preserve">, J. O., &amp; Awoke, J. (2017). Effect of environmental regulated water temperature variations on survival, growth performance and </w:t>
      </w:r>
      <w:proofErr w:type="spellStart"/>
      <w:r w:rsidRPr="003149AB">
        <w:rPr>
          <w:rFonts w:ascii="Arial" w:hAnsi="Arial" w:cs="Arial"/>
          <w:sz w:val="20"/>
          <w:szCs w:val="20"/>
          <w:lang w:val="en-US"/>
        </w:rPr>
        <w:t>haematology</w:t>
      </w:r>
      <w:proofErr w:type="spellEnd"/>
      <w:r w:rsidRPr="003149AB">
        <w:rPr>
          <w:rFonts w:ascii="Arial" w:hAnsi="Arial" w:cs="Arial"/>
          <w:sz w:val="20"/>
          <w:szCs w:val="20"/>
          <w:lang w:val="en-US"/>
        </w:rPr>
        <w:t xml:space="preserve"> of African catfish, </w:t>
      </w:r>
      <w:r w:rsidRPr="003149AB">
        <w:rPr>
          <w:rFonts w:ascii="Arial" w:hAnsi="Arial" w:cs="Arial"/>
          <w:i/>
          <w:sz w:val="20"/>
          <w:szCs w:val="20"/>
          <w:lang w:val="en-US"/>
        </w:rPr>
        <w:t xml:space="preserve">Clarias </w:t>
      </w:r>
      <w:proofErr w:type="spellStart"/>
      <w:r w:rsidRPr="003149AB">
        <w:rPr>
          <w:rFonts w:ascii="Arial" w:hAnsi="Arial" w:cs="Arial"/>
          <w:i/>
          <w:sz w:val="20"/>
          <w:szCs w:val="20"/>
          <w:lang w:val="en-US"/>
        </w:rPr>
        <w:t>gariepinus</w:t>
      </w:r>
      <w:proofErr w:type="spellEnd"/>
      <w:r w:rsidRPr="003149AB">
        <w:rPr>
          <w:rFonts w:ascii="Arial" w:hAnsi="Arial" w:cs="Arial"/>
          <w:sz w:val="20"/>
          <w:szCs w:val="20"/>
          <w:lang w:val="en-US"/>
        </w:rPr>
        <w:t xml:space="preserve">. Our Nature, 15(1-2), 26-33. </w:t>
      </w:r>
      <w:hyperlink r:id="rId39" w:history="1">
        <w:r w:rsidR="00B45D8F" w:rsidRPr="00DF6361">
          <w:rPr>
            <w:rStyle w:val="Hyperlink"/>
            <w:rFonts w:ascii="Arial" w:hAnsi="Arial" w:cs="Arial"/>
            <w:sz w:val="20"/>
            <w:szCs w:val="20"/>
            <w:lang w:val="en-US"/>
          </w:rPr>
          <w:t>https://doi.org/10.3126/on.v15i1-2.18791</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9990C80" w14:textId="0E6EF972" w:rsidR="000F63E0" w:rsidRPr="003149AB" w:rsidRDefault="00F31DAE"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Olaniyi, C.O., Atoyebi, M.O., Obafunmiso, H.T. and Salaam, K.A. (2020) Effect of ginger (</w:t>
      </w:r>
      <w:r w:rsidRPr="003149AB">
        <w:rPr>
          <w:rFonts w:ascii="Arial" w:hAnsi="Arial" w:cs="Arial"/>
          <w:i/>
          <w:sz w:val="20"/>
          <w:szCs w:val="20"/>
          <w:lang w:val="en-US"/>
        </w:rPr>
        <w:t>Zingiber officinale</w:t>
      </w:r>
      <w:r w:rsidRPr="003149AB">
        <w:rPr>
          <w:rFonts w:ascii="Arial" w:hAnsi="Arial" w:cs="Arial"/>
          <w:sz w:val="20"/>
          <w:szCs w:val="20"/>
          <w:lang w:val="en-US"/>
        </w:rPr>
        <w:t xml:space="preserve">) in the nutrition of African catfish-A cholesterol reducer and fertility enhancer. The International Journal of Aquaculture and Fishery Sciences, 6, 21-28. </w:t>
      </w:r>
      <w:hyperlink r:id="rId40" w:history="1">
        <w:r w:rsidR="00B45D8F" w:rsidRPr="00DF6361">
          <w:rPr>
            <w:rStyle w:val="Hyperlink"/>
            <w:rFonts w:ascii="Arial" w:hAnsi="Arial" w:cs="Arial"/>
            <w:sz w:val="20"/>
            <w:szCs w:val="20"/>
            <w:lang w:val="en-US"/>
          </w:rPr>
          <w:t>https://doi.org/10.17352/2455-8400.000052</w:t>
        </w:r>
      </w:hyperlink>
      <w:r w:rsidR="00B45D8F">
        <w:rPr>
          <w:rFonts w:ascii="Arial" w:hAnsi="Arial" w:cs="Arial"/>
          <w:sz w:val="20"/>
          <w:szCs w:val="20"/>
          <w:lang w:val="en-US"/>
        </w:rPr>
        <w:t xml:space="preserve"> </w:t>
      </w:r>
    </w:p>
    <w:p w14:paraId="1F813BCE" w14:textId="77777777" w:rsidR="000F63E0" w:rsidRPr="003149AB" w:rsidRDefault="000F63E0"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Sukhdev, S. H., Suman, P. S. K., Gennaro, L., &amp; Dev, D. R. (2008). Extraction technologies for medicinal and aromatic plants. In international </w:t>
      </w:r>
      <w:proofErr w:type="spellStart"/>
      <w:r w:rsidRPr="003149AB">
        <w:rPr>
          <w:rFonts w:ascii="Arial" w:hAnsi="Arial" w:cs="Arial"/>
          <w:sz w:val="20"/>
          <w:szCs w:val="20"/>
          <w:lang w:val="en-US"/>
        </w:rPr>
        <w:t>centre</w:t>
      </w:r>
      <w:proofErr w:type="spellEnd"/>
      <w:r w:rsidRPr="003149AB">
        <w:rPr>
          <w:rFonts w:ascii="Arial" w:hAnsi="Arial" w:cs="Arial"/>
          <w:sz w:val="20"/>
          <w:szCs w:val="20"/>
          <w:lang w:val="en-US"/>
        </w:rPr>
        <w:t xml:space="preserve"> for science and high technology (Vol. 1). </w:t>
      </w:r>
      <w:r w:rsidRPr="00CE2939">
        <w:rPr>
          <w:rFonts w:ascii="Arial" w:hAnsi="Arial" w:cs="Arial"/>
          <w:sz w:val="20"/>
          <w:szCs w:val="20"/>
          <w:lang w:val="en-US"/>
        </w:rPr>
        <w:t>International Centre for Science and High Technology, Trieste, Italy, 266p</w:t>
      </w:r>
    </w:p>
    <w:p w14:paraId="3BE0153E" w14:textId="631AABC3" w:rsidR="007741C2" w:rsidRPr="003149AB" w:rsidRDefault="002F5E33"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Tadese, D. A., Song, C., Sun, C., Liu, B., Liu, B., Zhou, Q., Xu P., Ge X., Liu M., Xu X., M. Tamiru, Z. Zhou, A. Lakew &amp; Kevin, N. T. (2022). The role of currently used medicinal plants in aquaculture and their action mechanisms: a review. Reviews Aquaculture 14 (2): 816–847. </w:t>
      </w:r>
      <w:hyperlink r:id="rId41" w:history="1">
        <w:r w:rsidR="00B45D8F" w:rsidRPr="00DF6361">
          <w:rPr>
            <w:rStyle w:val="Hyperlink"/>
            <w:rFonts w:ascii="Arial" w:hAnsi="Arial" w:cs="Arial"/>
            <w:sz w:val="20"/>
            <w:szCs w:val="20"/>
            <w:lang w:val="en-US"/>
          </w:rPr>
          <w:t>https://doi.org/10.1111/raq.12626</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1E9BC956" w14:textId="4A27759F" w:rsidR="00F31DAE" w:rsidRPr="003149AB" w:rsidRDefault="007741C2"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Tran, N., Chu, L., Chan, C. Y., </w:t>
      </w:r>
      <w:proofErr w:type="spellStart"/>
      <w:r w:rsidRPr="003149AB">
        <w:rPr>
          <w:rFonts w:ascii="Arial" w:hAnsi="Arial" w:cs="Arial"/>
          <w:sz w:val="20"/>
          <w:szCs w:val="20"/>
          <w:lang w:val="en-US"/>
        </w:rPr>
        <w:t>Genschick</w:t>
      </w:r>
      <w:proofErr w:type="spellEnd"/>
      <w:r w:rsidRPr="003149AB">
        <w:rPr>
          <w:rFonts w:ascii="Arial" w:hAnsi="Arial" w:cs="Arial"/>
          <w:sz w:val="20"/>
          <w:szCs w:val="20"/>
          <w:lang w:val="en-US"/>
        </w:rPr>
        <w:t xml:space="preserve">, S., Phillips, M. J., &amp; </w:t>
      </w:r>
      <w:proofErr w:type="spellStart"/>
      <w:r w:rsidRPr="003149AB">
        <w:rPr>
          <w:rFonts w:ascii="Arial" w:hAnsi="Arial" w:cs="Arial"/>
          <w:sz w:val="20"/>
          <w:szCs w:val="20"/>
          <w:lang w:val="en-US"/>
        </w:rPr>
        <w:t>Kefi</w:t>
      </w:r>
      <w:proofErr w:type="spellEnd"/>
      <w:r w:rsidRPr="003149AB">
        <w:rPr>
          <w:rFonts w:ascii="Arial" w:hAnsi="Arial" w:cs="Arial"/>
          <w:sz w:val="20"/>
          <w:szCs w:val="20"/>
          <w:lang w:val="en-US"/>
        </w:rPr>
        <w:t xml:space="preserve">, A. S. (2019). Fish supply and demand for food security in Sub-Saharan Africa: An analysis of the Zambian fish sector. Marine Policy, 99, 343-350. </w:t>
      </w:r>
      <w:hyperlink r:id="rId42" w:history="1">
        <w:r w:rsidR="00B45D8F" w:rsidRPr="00DF6361">
          <w:rPr>
            <w:rStyle w:val="Hyperlink"/>
            <w:rFonts w:ascii="Arial" w:hAnsi="Arial" w:cs="Arial"/>
            <w:sz w:val="20"/>
            <w:szCs w:val="20"/>
            <w:lang w:val="en-US"/>
          </w:rPr>
          <w:t>https://doi.org/10.1016/j.marpol.2018.11.009</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5987AB9A" w14:textId="186ABE1C" w:rsidR="00E30F1C" w:rsidRPr="003149AB" w:rsidRDefault="00E30F1C"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Van Doan, H., </w:t>
      </w:r>
      <w:proofErr w:type="spellStart"/>
      <w:r w:rsidRPr="003149AB">
        <w:rPr>
          <w:rFonts w:ascii="Arial" w:hAnsi="Arial" w:cs="Arial"/>
          <w:sz w:val="20"/>
          <w:szCs w:val="20"/>
          <w:lang w:val="en-US"/>
        </w:rPr>
        <w:t>Hoseinifar</w:t>
      </w:r>
      <w:proofErr w:type="spellEnd"/>
      <w:r w:rsidRPr="003149AB">
        <w:rPr>
          <w:rFonts w:ascii="Arial" w:hAnsi="Arial" w:cs="Arial"/>
          <w:sz w:val="20"/>
          <w:szCs w:val="20"/>
          <w:lang w:val="en-US"/>
        </w:rPr>
        <w:t xml:space="preserve">, S. H., </w:t>
      </w:r>
      <w:proofErr w:type="spellStart"/>
      <w:r w:rsidRPr="003149AB">
        <w:rPr>
          <w:rFonts w:ascii="Arial" w:hAnsi="Arial" w:cs="Arial"/>
          <w:sz w:val="20"/>
          <w:szCs w:val="20"/>
          <w:lang w:val="en-US"/>
        </w:rPr>
        <w:t>Sringarm</w:t>
      </w:r>
      <w:proofErr w:type="spellEnd"/>
      <w:r w:rsidRPr="003149AB">
        <w:rPr>
          <w:rFonts w:ascii="Arial" w:hAnsi="Arial" w:cs="Arial"/>
          <w:sz w:val="20"/>
          <w:szCs w:val="20"/>
          <w:lang w:val="en-US"/>
        </w:rPr>
        <w:t xml:space="preserve">, K., </w:t>
      </w:r>
      <w:proofErr w:type="spellStart"/>
      <w:r w:rsidRPr="003149AB">
        <w:rPr>
          <w:rFonts w:ascii="Arial" w:hAnsi="Arial" w:cs="Arial"/>
          <w:sz w:val="20"/>
          <w:szCs w:val="20"/>
          <w:lang w:val="en-US"/>
        </w:rPr>
        <w:t>Jaturasitha</w:t>
      </w:r>
      <w:proofErr w:type="spellEnd"/>
      <w:r w:rsidRPr="003149AB">
        <w:rPr>
          <w:rFonts w:ascii="Arial" w:hAnsi="Arial" w:cs="Arial"/>
          <w:sz w:val="20"/>
          <w:szCs w:val="20"/>
          <w:lang w:val="en-US"/>
        </w:rPr>
        <w:t xml:space="preserve">, S., </w:t>
      </w:r>
      <w:proofErr w:type="spellStart"/>
      <w:r w:rsidRPr="003149AB">
        <w:rPr>
          <w:rFonts w:ascii="Arial" w:hAnsi="Arial" w:cs="Arial"/>
          <w:sz w:val="20"/>
          <w:szCs w:val="20"/>
          <w:lang w:val="en-US"/>
        </w:rPr>
        <w:t>Yuangsoi</w:t>
      </w:r>
      <w:proofErr w:type="spellEnd"/>
      <w:r w:rsidRPr="003149AB">
        <w:rPr>
          <w:rFonts w:ascii="Arial" w:hAnsi="Arial" w:cs="Arial"/>
          <w:sz w:val="20"/>
          <w:szCs w:val="20"/>
          <w:lang w:val="en-US"/>
        </w:rPr>
        <w:t xml:space="preserve">, B., Dawood, M. A. O., Esteban, M. Á., Ringø, E., &amp; </w:t>
      </w:r>
      <w:proofErr w:type="spellStart"/>
      <w:r w:rsidRPr="003149AB">
        <w:rPr>
          <w:rFonts w:ascii="Arial" w:hAnsi="Arial" w:cs="Arial"/>
          <w:sz w:val="20"/>
          <w:szCs w:val="20"/>
          <w:lang w:val="en-US"/>
        </w:rPr>
        <w:t>Faggio</w:t>
      </w:r>
      <w:proofErr w:type="spellEnd"/>
      <w:r w:rsidRPr="003149AB">
        <w:rPr>
          <w:rFonts w:ascii="Arial" w:hAnsi="Arial" w:cs="Arial"/>
          <w:sz w:val="20"/>
          <w:szCs w:val="20"/>
          <w:lang w:val="en-US"/>
        </w:rPr>
        <w:t>, C. (2019). Effects of Assam tea extract on growth, skin mucus, serum immunity and disease resistance of Nile tilapia (</w:t>
      </w:r>
      <w:r w:rsidRPr="003149AB">
        <w:rPr>
          <w:rFonts w:ascii="Arial" w:hAnsi="Arial" w:cs="Arial"/>
          <w:i/>
          <w:sz w:val="20"/>
          <w:szCs w:val="20"/>
          <w:lang w:val="en-US"/>
        </w:rPr>
        <w:t>Oreochromis niloticus</w:t>
      </w:r>
      <w:r w:rsidRPr="003149AB">
        <w:rPr>
          <w:rFonts w:ascii="Arial" w:hAnsi="Arial" w:cs="Arial"/>
          <w:sz w:val="20"/>
          <w:szCs w:val="20"/>
          <w:lang w:val="en-US"/>
        </w:rPr>
        <w:t xml:space="preserve">) against Streptococcus agalactiae. Fish &amp; Shellfish Immunology, 93, 428-435. </w:t>
      </w:r>
      <w:hyperlink r:id="rId43" w:history="1">
        <w:r w:rsidR="00B45D8F" w:rsidRPr="00DF6361">
          <w:rPr>
            <w:rStyle w:val="Hyperlink"/>
            <w:rFonts w:ascii="Arial" w:hAnsi="Arial" w:cs="Arial"/>
            <w:sz w:val="20"/>
            <w:szCs w:val="20"/>
            <w:lang w:val="en-US"/>
          </w:rPr>
          <w:t>https://doi.org/10.1016/j.fsi.2019.07.077</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44CF1819" w14:textId="680B5C55" w:rsidR="00282CA9" w:rsidRPr="003149AB" w:rsidRDefault="00E30F1C"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t xml:space="preserve">Wahedi, J. A., &amp; David, L. D. (2013). Effect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fruit pulp on the </w:t>
      </w:r>
      <w:proofErr w:type="spellStart"/>
      <w:r w:rsidRPr="003149AB">
        <w:rPr>
          <w:rFonts w:ascii="Arial" w:hAnsi="Arial" w:cs="Arial"/>
          <w:sz w:val="20"/>
          <w:szCs w:val="20"/>
          <w:lang w:val="en-US"/>
        </w:rPr>
        <w:t>haematological</w:t>
      </w:r>
      <w:proofErr w:type="spellEnd"/>
      <w:r w:rsidRPr="003149AB">
        <w:rPr>
          <w:rFonts w:ascii="Arial" w:hAnsi="Arial" w:cs="Arial"/>
          <w:sz w:val="20"/>
          <w:szCs w:val="20"/>
          <w:lang w:val="en-US"/>
        </w:rPr>
        <w:t xml:space="preserve"> indices of rats in Mubi Adamawa state, Nigeria. Global Journal of Biology, Agriculture &amp; Health Sciences, 2(3), 76-80. </w:t>
      </w:r>
      <w:hyperlink r:id="rId44" w:history="1">
        <w:r w:rsidR="00B45D8F" w:rsidRPr="00DF6361">
          <w:rPr>
            <w:rStyle w:val="Hyperlink"/>
            <w:rFonts w:ascii="Arial" w:hAnsi="Arial" w:cs="Arial"/>
            <w:sz w:val="20"/>
            <w:szCs w:val="20"/>
            <w:lang w:val="en-US"/>
          </w:rPr>
          <w:t>https://www.academia.edu/attachments/87433328/download_file</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57DC5929" w14:textId="71E146F3" w:rsidR="00481750" w:rsidRPr="003149AB" w:rsidRDefault="00702B7E" w:rsidP="005C0517">
      <w:pPr>
        <w:spacing w:after="80" w:line="240" w:lineRule="auto"/>
        <w:ind w:left="425" w:hanging="425"/>
        <w:jc w:val="both"/>
        <w:rPr>
          <w:rFonts w:ascii="Arial" w:hAnsi="Arial" w:cs="Arial"/>
          <w:sz w:val="20"/>
          <w:szCs w:val="20"/>
          <w:lang w:val="en-US"/>
        </w:rPr>
      </w:pPr>
      <w:r w:rsidRPr="003149AB">
        <w:rPr>
          <w:rFonts w:ascii="Arial" w:hAnsi="Arial" w:cs="Arial"/>
          <w:sz w:val="20"/>
          <w:szCs w:val="20"/>
          <w:lang w:val="en-US"/>
        </w:rPr>
        <w:lastRenderedPageBreak/>
        <w:t xml:space="preserve">Yaro, A. H., Yusif, B. B., </w:t>
      </w:r>
      <w:proofErr w:type="spellStart"/>
      <w:r w:rsidRPr="003149AB">
        <w:rPr>
          <w:rFonts w:ascii="Arial" w:hAnsi="Arial" w:cs="Arial"/>
          <w:sz w:val="20"/>
          <w:szCs w:val="20"/>
          <w:lang w:val="en-US"/>
        </w:rPr>
        <w:t>Mu’azu</w:t>
      </w:r>
      <w:proofErr w:type="spellEnd"/>
      <w:r w:rsidRPr="003149AB">
        <w:rPr>
          <w:rFonts w:ascii="Arial" w:hAnsi="Arial" w:cs="Arial"/>
          <w:sz w:val="20"/>
          <w:szCs w:val="20"/>
          <w:lang w:val="en-US"/>
        </w:rPr>
        <w:t xml:space="preserve">, A. B., </w:t>
      </w:r>
      <w:proofErr w:type="spellStart"/>
      <w:r w:rsidRPr="003149AB">
        <w:rPr>
          <w:rFonts w:ascii="Arial" w:hAnsi="Arial" w:cs="Arial"/>
          <w:sz w:val="20"/>
          <w:szCs w:val="20"/>
          <w:lang w:val="en-US"/>
        </w:rPr>
        <w:t>Matinja</w:t>
      </w:r>
      <w:proofErr w:type="spellEnd"/>
      <w:r w:rsidRPr="003149AB">
        <w:rPr>
          <w:rFonts w:ascii="Arial" w:hAnsi="Arial" w:cs="Arial"/>
          <w:sz w:val="20"/>
          <w:szCs w:val="20"/>
          <w:lang w:val="en-US"/>
        </w:rPr>
        <w:t xml:space="preserve">, A. I., &amp; </w:t>
      </w:r>
      <w:proofErr w:type="spellStart"/>
      <w:r w:rsidRPr="003149AB">
        <w:rPr>
          <w:rFonts w:ascii="Arial" w:hAnsi="Arial" w:cs="Arial"/>
          <w:sz w:val="20"/>
          <w:szCs w:val="20"/>
          <w:lang w:val="en-US"/>
        </w:rPr>
        <w:t>Chutiyami</w:t>
      </w:r>
      <w:proofErr w:type="spellEnd"/>
      <w:r w:rsidRPr="003149AB">
        <w:rPr>
          <w:rFonts w:ascii="Arial" w:hAnsi="Arial" w:cs="Arial"/>
          <w:sz w:val="20"/>
          <w:szCs w:val="20"/>
          <w:lang w:val="en-US"/>
        </w:rPr>
        <w:t xml:space="preserve">, M. (2017). Anti-Inflammatory and analgesic effect of </w:t>
      </w:r>
      <w:proofErr w:type="spellStart"/>
      <w:r w:rsidRPr="003149AB">
        <w:rPr>
          <w:rFonts w:ascii="Arial" w:hAnsi="Arial" w:cs="Arial"/>
          <w:i/>
          <w:sz w:val="20"/>
          <w:szCs w:val="20"/>
          <w:lang w:val="en-US"/>
        </w:rPr>
        <w:t>Detarium</w:t>
      </w:r>
      <w:proofErr w:type="spellEnd"/>
      <w:r w:rsidRPr="003149AB">
        <w:rPr>
          <w:rFonts w:ascii="Arial" w:hAnsi="Arial" w:cs="Arial"/>
          <w:i/>
          <w:sz w:val="20"/>
          <w:szCs w:val="20"/>
          <w:lang w:val="en-US"/>
        </w:rPr>
        <w:t xml:space="preserve"> </w:t>
      </w:r>
      <w:proofErr w:type="spellStart"/>
      <w:r w:rsidRPr="003149AB">
        <w:rPr>
          <w:rFonts w:ascii="Arial" w:hAnsi="Arial" w:cs="Arial"/>
          <w:i/>
          <w:sz w:val="20"/>
          <w:szCs w:val="20"/>
          <w:lang w:val="en-US"/>
        </w:rPr>
        <w:t>microcarpum</w:t>
      </w:r>
      <w:proofErr w:type="spellEnd"/>
      <w:r w:rsidRPr="003149AB">
        <w:rPr>
          <w:rFonts w:ascii="Arial" w:hAnsi="Arial" w:cs="Arial"/>
          <w:sz w:val="20"/>
          <w:szCs w:val="20"/>
          <w:lang w:val="en-US"/>
        </w:rPr>
        <w:t xml:space="preserve"> (Guill. and Perr.) stem bark methanol extract in rats and mice. International Research Journal of Pharmacy and Medical Sciences, 1(1), 7-10. </w:t>
      </w:r>
      <w:hyperlink r:id="rId45" w:history="1">
        <w:r w:rsidR="00B45D8F" w:rsidRPr="00DF6361">
          <w:rPr>
            <w:rStyle w:val="Hyperlink"/>
            <w:rFonts w:ascii="Arial" w:hAnsi="Arial" w:cs="Arial"/>
            <w:sz w:val="20"/>
            <w:szCs w:val="20"/>
            <w:lang w:val="en-US"/>
          </w:rPr>
          <w:t>https://www.academia.edu/attachments/63700191/download_file</w:t>
        </w:r>
      </w:hyperlink>
      <w:r w:rsidR="00B45D8F">
        <w:rPr>
          <w:rFonts w:ascii="Arial" w:hAnsi="Arial" w:cs="Arial"/>
          <w:sz w:val="20"/>
          <w:szCs w:val="20"/>
          <w:lang w:val="en-US"/>
        </w:rPr>
        <w:t xml:space="preserve"> </w:t>
      </w:r>
      <w:r w:rsidRPr="003149AB">
        <w:rPr>
          <w:rFonts w:ascii="Arial" w:hAnsi="Arial" w:cs="Arial"/>
          <w:sz w:val="20"/>
          <w:szCs w:val="20"/>
          <w:lang w:val="en-US"/>
        </w:rPr>
        <w:t xml:space="preserve"> </w:t>
      </w:r>
    </w:p>
    <w:p w14:paraId="3B55712E" w14:textId="30F19B33" w:rsidR="00D86837" w:rsidRPr="00734A56" w:rsidRDefault="00D86837" w:rsidP="005C0517">
      <w:pPr>
        <w:spacing w:before="240"/>
        <w:jc w:val="both"/>
        <w:rPr>
          <w:rFonts w:ascii="Arial" w:hAnsi="Arial" w:cs="Arial"/>
          <w:sz w:val="24"/>
          <w:szCs w:val="24"/>
          <w:lang w:val="en-US"/>
        </w:rPr>
      </w:pPr>
    </w:p>
    <w:sectPr w:rsidR="00D86837" w:rsidRPr="00734A56" w:rsidSect="00DA27BC">
      <w:headerReference w:type="even" r:id="rId46"/>
      <w:headerReference w:type="default" r:id="rId47"/>
      <w:footerReference w:type="even" r:id="rId48"/>
      <w:footerReference w:type="default" r:id="rId49"/>
      <w:headerReference w:type="first" r:id="rId50"/>
      <w:footerReference w:type="first" r:id="rId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3E0F8" w14:textId="77777777" w:rsidR="00A54D53" w:rsidRDefault="00A54D53" w:rsidP="003D0E26">
      <w:pPr>
        <w:spacing w:after="0" w:line="240" w:lineRule="auto"/>
      </w:pPr>
      <w:r>
        <w:separator/>
      </w:r>
    </w:p>
  </w:endnote>
  <w:endnote w:type="continuationSeparator" w:id="0">
    <w:p w14:paraId="0E87D081" w14:textId="77777777" w:rsidR="00A54D53" w:rsidRDefault="00A54D53" w:rsidP="003D0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URWPalladioL-Roma">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A30C" w14:textId="77777777" w:rsidR="00DA27BC" w:rsidRDefault="00DA2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07CC" w14:textId="77777777" w:rsidR="00DA27BC" w:rsidRDefault="00DA2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CF7E" w14:textId="77777777" w:rsidR="00DA27BC" w:rsidRDefault="00DA2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014D0" w14:textId="77777777" w:rsidR="00A54D53" w:rsidRDefault="00A54D53" w:rsidP="003D0E26">
      <w:pPr>
        <w:spacing w:after="0" w:line="240" w:lineRule="auto"/>
      </w:pPr>
      <w:r>
        <w:separator/>
      </w:r>
    </w:p>
  </w:footnote>
  <w:footnote w:type="continuationSeparator" w:id="0">
    <w:p w14:paraId="22A1B158" w14:textId="77777777" w:rsidR="00A54D53" w:rsidRDefault="00A54D53" w:rsidP="003D0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AD12" w14:textId="03366824" w:rsidR="00DA27BC" w:rsidRDefault="00DA27BC">
    <w:pPr>
      <w:pStyle w:val="Header"/>
    </w:pPr>
    <w:r>
      <w:rPr>
        <w:noProof/>
      </w:rPr>
      <w:pict w14:anchorId="7B017D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B5FB" w14:textId="45C4E544" w:rsidR="00DA27BC" w:rsidRDefault="00DA27BC">
    <w:pPr>
      <w:pStyle w:val="Header"/>
    </w:pPr>
    <w:r>
      <w:rPr>
        <w:noProof/>
      </w:rPr>
      <w:pict w14:anchorId="30D3B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FA2C" w14:textId="05EBE864" w:rsidR="00DA27BC" w:rsidRDefault="00DA27BC">
    <w:pPr>
      <w:pStyle w:val="Header"/>
    </w:pPr>
    <w:r>
      <w:rPr>
        <w:noProof/>
      </w:rPr>
      <w:pict w14:anchorId="59AE11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110D4"/>
    <w:multiLevelType w:val="hybridMultilevel"/>
    <w:tmpl w:val="C14AA824"/>
    <w:lvl w:ilvl="0" w:tplc="F40650BC">
      <w:start w:val="300"/>
      <w:numFmt w:val="decimal"/>
      <w:lvlText w:val="%1"/>
      <w:lvlJc w:val="left"/>
      <w:pPr>
        <w:ind w:left="765" w:hanging="4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F801BC"/>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 w15:restartNumberingAfterBreak="0">
    <w:nsid w:val="2D3220C7"/>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3B94586E"/>
    <w:multiLevelType w:val="multilevel"/>
    <w:tmpl w:val="91D0557C"/>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21977A7"/>
    <w:multiLevelType w:val="multilevel"/>
    <w:tmpl w:val="3A54173A"/>
    <w:lvl w:ilvl="0">
      <w:start w:val="3"/>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1095C10"/>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 w15:restartNumberingAfterBreak="0">
    <w:nsid w:val="61B35F64"/>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 w15:restartNumberingAfterBreak="0">
    <w:nsid w:val="6361469D"/>
    <w:multiLevelType w:val="hybridMultilevel"/>
    <w:tmpl w:val="8FAA13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15427957">
    <w:abstractNumId w:val="2"/>
  </w:num>
  <w:num w:numId="2" w16cid:durableId="812478686">
    <w:abstractNumId w:val="5"/>
  </w:num>
  <w:num w:numId="3" w16cid:durableId="319774126">
    <w:abstractNumId w:val="1"/>
  </w:num>
  <w:num w:numId="4" w16cid:durableId="50156772">
    <w:abstractNumId w:val="6"/>
  </w:num>
  <w:num w:numId="5" w16cid:durableId="1206530147">
    <w:abstractNumId w:val="7"/>
  </w:num>
  <w:num w:numId="6" w16cid:durableId="1424259479">
    <w:abstractNumId w:val="3"/>
  </w:num>
  <w:num w:numId="7" w16cid:durableId="1766414940">
    <w:abstractNumId w:val="0"/>
  </w:num>
  <w:num w:numId="8" w16cid:durableId="1327518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68"/>
    <w:rsid w:val="00002CBC"/>
    <w:rsid w:val="00003CC3"/>
    <w:rsid w:val="00004FBA"/>
    <w:rsid w:val="00005EBD"/>
    <w:rsid w:val="00012165"/>
    <w:rsid w:val="000122F9"/>
    <w:rsid w:val="0001345F"/>
    <w:rsid w:val="00014F4C"/>
    <w:rsid w:val="000155CE"/>
    <w:rsid w:val="00015B2D"/>
    <w:rsid w:val="0001630B"/>
    <w:rsid w:val="000214E2"/>
    <w:rsid w:val="0002482B"/>
    <w:rsid w:val="00032A25"/>
    <w:rsid w:val="00034BCA"/>
    <w:rsid w:val="00035E42"/>
    <w:rsid w:val="0003760D"/>
    <w:rsid w:val="0004168A"/>
    <w:rsid w:val="00043E6C"/>
    <w:rsid w:val="00047D40"/>
    <w:rsid w:val="00047D65"/>
    <w:rsid w:val="00057AB9"/>
    <w:rsid w:val="00061882"/>
    <w:rsid w:val="00061B5D"/>
    <w:rsid w:val="00061F2A"/>
    <w:rsid w:val="00066583"/>
    <w:rsid w:val="000713F0"/>
    <w:rsid w:val="00071A16"/>
    <w:rsid w:val="00072236"/>
    <w:rsid w:val="00075CC7"/>
    <w:rsid w:val="000831DA"/>
    <w:rsid w:val="00085350"/>
    <w:rsid w:val="00086AD1"/>
    <w:rsid w:val="000919F1"/>
    <w:rsid w:val="00094F45"/>
    <w:rsid w:val="0009619B"/>
    <w:rsid w:val="000964FB"/>
    <w:rsid w:val="0009755C"/>
    <w:rsid w:val="000A0A9D"/>
    <w:rsid w:val="000A2B69"/>
    <w:rsid w:val="000A34DE"/>
    <w:rsid w:val="000B1B66"/>
    <w:rsid w:val="000C2A44"/>
    <w:rsid w:val="000C2D0D"/>
    <w:rsid w:val="000D0E7C"/>
    <w:rsid w:val="000D41CB"/>
    <w:rsid w:val="000E3617"/>
    <w:rsid w:val="000E5460"/>
    <w:rsid w:val="000F63E0"/>
    <w:rsid w:val="000F7BDC"/>
    <w:rsid w:val="0010099A"/>
    <w:rsid w:val="00101F3C"/>
    <w:rsid w:val="0010258E"/>
    <w:rsid w:val="001026EA"/>
    <w:rsid w:val="00102D96"/>
    <w:rsid w:val="00105D20"/>
    <w:rsid w:val="00106841"/>
    <w:rsid w:val="00111099"/>
    <w:rsid w:val="00122F81"/>
    <w:rsid w:val="001322F2"/>
    <w:rsid w:val="0013321D"/>
    <w:rsid w:val="0013445B"/>
    <w:rsid w:val="00136A93"/>
    <w:rsid w:val="00137923"/>
    <w:rsid w:val="00140F33"/>
    <w:rsid w:val="00147646"/>
    <w:rsid w:val="0014792D"/>
    <w:rsid w:val="001521F4"/>
    <w:rsid w:val="00154457"/>
    <w:rsid w:val="00157455"/>
    <w:rsid w:val="00157A7E"/>
    <w:rsid w:val="00157C6A"/>
    <w:rsid w:val="00162672"/>
    <w:rsid w:val="00165045"/>
    <w:rsid w:val="001805F5"/>
    <w:rsid w:val="00190BD4"/>
    <w:rsid w:val="0019116F"/>
    <w:rsid w:val="00192CD0"/>
    <w:rsid w:val="00194116"/>
    <w:rsid w:val="00195AAD"/>
    <w:rsid w:val="00195BD4"/>
    <w:rsid w:val="001A4240"/>
    <w:rsid w:val="001C3780"/>
    <w:rsid w:val="001C438A"/>
    <w:rsid w:val="001D1F0A"/>
    <w:rsid w:val="001D6235"/>
    <w:rsid w:val="001E1D10"/>
    <w:rsid w:val="001E4750"/>
    <w:rsid w:val="001F1254"/>
    <w:rsid w:val="001F4E60"/>
    <w:rsid w:val="001F5737"/>
    <w:rsid w:val="00211206"/>
    <w:rsid w:val="002209C7"/>
    <w:rsid w:val="00221683"/>
    <w:rsid w:val="0022352F"/>
    <w:rsid w:val="002240C6"/>
    <w:rsid w:val="00226122"/>
    <w:rsid w:val="00231431"/>
    <w:rsid w:val="002323AC"/>
    <w:rsid w:val="00236470"/>
    <w:rsid w:val="00245000"/>
    <w:rsid w:val="002464DB"/>
    <w:rsid w:val="002504AB"/>
    <w:rsid w:val="002532B0"/>
    <w:rsid w:val="00261ECA"/>
    <w:rsid w:val="002746F0"/>
    <w:rsid w:val="00282CA9"/>
    <w:rsid w:val="00284A4C"/>
    <w:rsid w:val="00292918"/>
    <w:rsid w:val="00292D60"/>
    <w:rsid w:val="002A3A01"/>
    <w:rsid w:val="002A62F0"/>
    <w:rsid w:val="002B630A"/>
    <w:rsid w:val="002B69D1"/>
    <w:rsid w:val="002C23B0"/>
    <w:rsid w:val="002C3173"/>
    <w:rsid w:val="002C66CE"/>
    <w:rsid w:val="002D657E"/>
    <w:rsid w:val="002E066C"/>
    <w:rsid w:val="002F0459"/>
    <w:rsid w:val="002F52B7"/>
    <w:rsid w:val="002F5E33"/>
    <w:rsid w:val="00303F21"/>
    <w:rsid w:val="00305E79"/>
    <w:rsid w:val="00306B6A"/>
    <w:rsid w:val="003149AB"/>
    <w:rsid w:val="00315D54"/>
    <w:rsid w:val="00322D58"/>
    <w:rsid w:val="00326AA4"/>
    <w:rsid w:val="00326C00"/>
    <w:rsid w:val="00334706"/>
    <w:rsid w:val="00334861"/>
    <w:rsid w:val="0033526E"/>
    <w:rsid w:val="003421AB"/>
    <w:rsid w:val="0034343E"/>
    <w:rsid w:val="0034551B"/>
    <w:rsid w:val="0034609C"/>
    <w:rsid w:val="00352B39"/>
    <w:rsid w:val="00356086"/>
    <w:rsid w:val="00356DFF"/>
    <w:rsid w:val="0036188E"/>
    <w:rsid w:val="00361B46"/>
    <w:rsid w:val="003645EF"/>
    <w:rsid w:val="0037087A"/>
    <w:rsid w:val="00374D75"/>
    <w:rsid w:val="00375638"/>
    <w:rsid w:val="00397116"/>
    <w:rsid w:val="003A15CE"/>
    <w:rsid w:val="003A225F"/>
    <w:rsid w:val="003A3B81"/>
    <w:rsid w:val="003B1AB7"/>
    <w:rsid w:val="003B2B63"/>
    <w:rsid w:val="003C1E0D"/>
    <w:rsid w:val="003C2EED"/>
    <w:rsid w:val="003C60B2"/>
    <w:rsid w:val="003D0E26"/>
    <w:rsid w:val="003D1D20"/>
    <w:rsid w:val="003D1F11"/>
    <w:rsid w:val="003D2CD8"/>
    <w:rsid w:val="003D5BF3"/>
    <w:rsid w:val="003E1FCA"/>
    <w:rsid w:val="003E274A"/>
    <w:rsid w:val="003F6DA1"/>
    <w:rsid w:val="00400748"/>
    <w:rsid w:val="00400E73"/>
    <w:rsid w:val="00404046"/>
    <w:rsid w:val="00414656"/>
    <w:rsid w:val="004254A5"/>
    <w:rsid w:val="00426872"/>
    <w:rsid w:val="00440F32"/>
    <w:rsid w:val="004411DE"/>
    <w:rsid w:val="00442A7C"/>
    <w:rsid w:val="00452AA4"/>
    <w:rsid w:val="00453604"/>
    <w:rsid w:val="00467972"/>
    <w:rsid w:val="004705D9"/>
    <w:rsid w:val="00474483"/>
    <w:rsid w:val="004747FC"/>
    <w:rsid w:val="00475558"/>
    <w:rsid w:val="00480CF1"/>
    <w:rsid w:val="00481750"/>
    <w:rsid w:val="0048252D"/>
    <w:rsid w:val="00482844"/>
    <w:rsid w:val="0048452C"/>
    <w:rsid w:val="00490B06"/>
    <w:rsid w:val="00495F50"/>
    <w:rsid w:val="004A2969"/>
    <w:rsid w:val="004B0C3F"/>
    <w:rsid w:val="004B1CAB"/>
    <w:rsid w:val="004B72DE"/>
    <w:rsid w:val="004C4C98"/>
    <w:rsid w:val="004D1E94"/>
    <w:rsid w:val="004D46EF"/>
    <w:rsid w:val="004D479A"/>
    <w:rsid w:val="004D6AE2"/>
    <w:rsid w:val="004E0B7C"/>
    <w:rsid w:val="004E1E6E"/>
    <w:rsid w:val="004E2322"/>
    <w:rsid w:val="004E6002"/>
    <w:rsid w:val="004E6BDB"/>
    <w:rsid w:val="004E7B15"/>
    <w:rsid w:val="004F1B9B"/>
    <w:rsid w:val="004F2A62"/>
    <w:rsid w:val="00502A58"/>
    <w:rsid w:val="00502A5B"/>
    <w:rsid w:val="0050350F"/>
    <w:rsid w:val="00504A80"/>
    <w:rsid w:val="005078D9"/>
    <w:rsid w:val="00513623"/>
    <w:rsid w:val="00517E0F"/>
    <w:rsid w:val="00520A8D"/>
    <w:rsid w:val="00530736"/>
    <w:rsid w:val="00533381"/>
    <w:rsid w:val="00536E9E"/>
    <w:rsid w:val="00541203"/>
    <w:rsid w:val="005438B5"/>
    <w:rsid w:val="00545C77"/>
    <w:rsid w:val="005471F7"/>
    <w:rsid w:val="00550F4B"/>
    <w:rsid w:val="0056789D"/>
    <w:rsid w:val="00570171"/>
    <w:rsid w:val="0057269A"/>
    <w:rsid w:val="005744E3"/>
    <w:rsid w:val="00576F58"/>
    <w:rsid w:val="00580A22"/>
    <w:rsid w:val="005861C4"/>
    <w:rsid w:val="00592FCA"/>
    <w:rsid w:val="005944D9"/>
    <w:rsid w:val="00596511"/>
    <w:rsid w:val="005971FE"/>
    <w:rsid w:val="00597FD8"/>
    <w:rsid w:val="005A19EE"/>
    <w:rsid w:val="005A4667"/>
    <w:rsid w:val="005B6088"/>
    <w:rsid w:val="005B75BD"/>
    <w:rsid w:val="005C0517"/>
    <w:rsid w:val="005C28BF"/>
    <w:rsid w:val="005C3983"/>
    <w:rsid w:val="005C4688"/>
    <w:rsid w:val="005C5F1A"/>
    <w:rsid w:val="005E2470"/>
    <w:rsid w:val="005E520A"/>
    <w:rsid w:val="005E57A3"/>
    <w:rsid w:val="005F01D0"/>
    <w:rsid w:val="005F0A68"/>
    <w:rsid w:val="005F1356"/>
    <w:rsid w:val="005F2C1D"/>
    <w:rsid w:val="005F39B4"/>
    <w:rsid w:val="005F75F7"/>
    <w:rsid w:val="00601122"/>
    <w:rsid w:val="00603B62"/>
    <w:rsid w:val="006100E6"/>
    <w:rsid w:val="006138A8"/>
    <w:rsid w:val="00613D92"/>
    <w:rsid w:val="00613DD7"/>
    <w:rsid w:val="006332C5"/>
    <w:rsid w:val="006363C0"/>
    <w:rsid w:val="0063678D"/>
    <w:rsid w:val="006465F5"/>
    <w:rsid w:val="00646F5C"/>
    <w:rsid w:val="00652299"/>
    <w:rsid w:val="00654890"/>
    <w:rsid w:val="00660E78"/>
    <w:rsid w:val="006647AC"/>
    <w:rsid w:val="00673D20"/>
    <w:rsid w:val="00675892"/>
    <w:rsid w:val="00682712"/>
    <w:rsid w:val="00687632"/>
    <w:rsid w:val="00695B0C"/>
    <w:rsid w:val="006971AC"/>
    <w:rsid w:val="006A368F"/>
    <w:rsid w:val="006A7175"/>
    <w:rsid w:val="006A72CD"/>
    <w:rsid w:val="006C3D4B"/>
    <w:rsid w:val="006C681C"/>
    <w:rsid w:val="006C6E0A"/>
    <w:rsid w:val="006D002F"/>
    <w:rsid w:val="006D7D58"/>
    <w:rsid w:val="006E0343"/>
    <w:rsid w:val="006E1FF7"/>
    <w:rsid w:val="006E31EE"/>
    <w:rsid w:val="006F1B7A"/>
    <w:rsid w:val="006F3167"/>
    <w:rsid w:val="006F3CB0"/>
    <w:rsid w:val="006F64A4"/>
    <w:rsid w:val="006F6E96"/>
    <w:rsid w:val="006F73D4"/>
    <w:rsid w:val="006F78F1"/>
    <w:rsid w:val="007020C8"/>
    <w:rsid w:val="007025FE"/>
    <w:rsid w:val="00702A5D"/>
    <w:rsid w:val="00702B7E"/>
    <w:rsid w:val="007105AF"/>
    <w:rsid w:val="0071454B"/>
    <w:rsid w:val="00715169"/>
    <w:rsid w:val="0071758A"/>
    <w:rsid w:val="00720390"/>
    <w:rsid w:val="00720DD5"/>
    <w:rsid w:val="007224CB"/>
    <w:rsid w:val="00722A15"/>
    <w:rsid w:val="007235C4"/>
    <w:rsid w:val="00727F38"/>
    <w:rsid w:val="00734A56"/>
    <w:rsid w:val="0076587B"/>
    <w:rsid w:val="00772D8B"/>
    <w:rsid w:val="00773AF1"/>
    <w:rsid w:val="007741C2"/>
    <w:rsid w:val="00780563"/>
    <w:rsid w:val="00782422"/>
    <w:rsid w:val="00783396"/>
    <w:rsid w:val="00784622"/>
    <w:rsid w:val="007852EC"/>
    <w:rsid w:val="00792575"/>
    <w:rsid w:val="00792827"/>
    <w:rsid w:val="00797CA2"/>
    <w:rsid w:val="007A021D"/>
    <w:rsid w:val="007A160C"/>
    <w:rsid w:val="007A1AA0"/>
    <w:rsid w:val="007A355B"/>
    <w:rsid w:val="007B1217"/>
    <w:rsid w:val="007B3DA9"/>
    <w:rsid w:val="007B5299"/>
    <w:rsid w:val="007C6554"/>
    <w:rsid w:val="007C6C29"/>
    <w:rsid w:val="007D43D2"/>
    <w:rsid w:val="007E0C3A"/>
    <w:rsid w:val="007E3805"/>
    <w:rsid w:val="007E765B"/>
    <w:rsid w:val="007F34F1"/>
    <w:rsid w:val="007F3933"/>
    <w:rsid w:val="0080134F"/>
    <w:rsid w:val="008022CC"/>
    <w:rsid w:val="00805454"/>
    <w:rsid w:val="008054D8"/>
    <w:rsid w:val="0081133B"/>
    <w:rsid w:val="00815A9E"/>
    <w:rsid w:val="00816833"/>
    <w:rsid w:val="00817320"/>
    <w:rsid w:val="00822935"/>
    <w:rsid w:val="00822B1F"/>
    <w:rsid w:val="0082563A"/>
    <w:rsid w:val="00826064"/>
    <w:rsid w:val="00832CA8"/>
    <w:rsid w:val="00834A06"/>
    <w:rsid w:val="00840E20"/>
    <w:rsid w:val="0084253E"/>
    <w:rsid w:val="00853CA0"/>
    <w:rsid w:val="00854422"/>
    <w:rsid w:val="00857268"/>
    <w:rsid w:val="0086476A"/>
    <w:rsid w:val="008675EB"/>
    <w:rsid w:val="008704DE"/>
    <w:rsid w:val="00871979"/>
    <w:rsid w:val="00873BBA"/>
    <w:rsid w:val="00874C12"/>
    <w:rsid w:val="00875878"/>
    <w:rsid w:val="008758DB"/>
    <w:rsid w:val="00875E2C"/>
    <w:rsid w:val="00876606"/>
    <w:rsid w:val="00887E1D"/>
    <w:rsid w:val="00891829"/>
    <w:rsid w:val="0089222C"/>
    <w:rsid w:val="008A005A"/>
    <w:rsid w:val="008A1BAD"/>
    <w:rsid w:val="008B14BB"/>
    <w:rsid w:val="008B229A"/>
    <w:rsid w:val="008B3F4C"/>
    <w:rsid w:val="008C5BF8"/>
    <w:rsid w:val="008D087C"/>
    <w:rsid w:val="008D28FB"/>
    <w:rsid w:val="008D4E11"/>
    <w:rsid w:val="008E54AC"/>
    <w:rsid w:val="008E641F"/>
    <w:rsid w:val="008E7D20"/>
    <w:rsid w:val="00905D75"/>
    <w:rsid w:val="00912C1A"/>
    <w:rsid w:val="0091545C"/>
    <w:rsid w:val="00920229"/>
    <w:rsid w:val="00922AF2"/>
    <w:rsid w:val="00922EEA"/>
    <w:rsid w:val="00923E51"/>
    <w:rsid w:val="0093753B"/>
    <w:rsid w:val="0093791F"/>
    <w:rsid w:val="0094262C"/>
    <w:rsid w:val="009440F0"/>
    <w:rsid w:val="00945D6F"/>
    <w:rsid w:val="0095270C"/>
    <w:rsid w:val="009540A0"/>
    <w:rsid w:val="009636D7"/>
    <w:rsid w:val="00966FB7"/>
    <w:rsid w:val="0097304E"/>
    <w:rsid w:val="00975FEC"/>
    <w:rsid w:val="00980951"/>
    <w:rsid w:val="009825E9"/>
    <w:rsid w:val="0098270D"/>
    <w:rsid w:val="0098332C"/>
    <w:rsid w:val="0098339D"/>
    <w:rsid w:val="00993734"/>
    <w:rsid w:val="0099393F"/>
    <w:rsid w:val="00994917"/>
    <w:rsid w:val="00995536"/>
    <w:rsid w:val="009A55C3"/>
    <w:rsid w:val="009A5DCB"/>
    <w:rsid w:val="009A6917"/>
    <w:rsid w:val="009B3369"/>
    <w:rsid w:val="009B5523"/>
    <w:rsid w:val="009B7E94"/>
    <w:rsid w:val="009C046C"/>
    <w:rsid w:val="009C1985"/>
    <w:rsid w:val="009C359A"/>
    <w:rsid w:val="009C5F90"/>
    <w:rsid w:val="009D232E"/>
    <w:rsid w:val="009D6CCD"/>
    <w:rsid w:val="009D761B"/>
    <w:rsid w:val="009E304F"/>
    <w:rsid w:val="009F6505"/>
    <w:rsid w:val="009F6600"/>
    <w:rsid w:val="00A0535D"/>
    <w:rsid w:val="00A05C00"/>
    <w:rsid w:val="00A07C8E"/>
    <w:rsid w:val="00A149AE"/>
    <w:rsid w:val="00A159E3"/>
    <w:rsid w:val="00A22295"/>
    <w:rsid w:val="00A22AE7"/>
    <w:rsid w:val="00A2373F"/>
    <w:rsid w:val="00A30A28"/>
    <w:rsid w:val="00A32D2C"/>
    <w:rsid w:val="00A45859"/>
    <w:rsid w:val="00A511EF"/>
    <w:rsid w:val="00A5242B"/>
    <w:rsid w:val="00A53ECF"/>
    <w:rsid w:val="00A54D53"/>
    <w:rsid w:val="00A627DB"/>
    <w:rsid w:val="00A70FDB"/>
    <w:rsid w:val="00A71833"/>
    <w:rsid w:val="00A73694"/>
    <w:rsid w:val="00A769B1"/>
    <w:rsid w:val="00A778F3"/>
    <w:rsid w:val="00A90ACD"/>
    <w:rsid w:val="00A926AB"/>
    <w:rsid w:val="00A94D8A"/>
    <w:rsid w:val="00AA585C"/>
    <w:rsid w:val="00AB0959"/>
    <w:rsid w:val="00AB0A7E"/>
    <w:rsid w:val="00AB1C01"/>
    <w:rsid w:val="00AB20B8"/>
    <w:rsid w:val="00AD5E67"/>
    <w:rsid w:val="00AE6837"/>
    <w:rsid w:val="00AF32AF"/>
    <w:rsid w:val="00AF3561"/>
    <w:rsid w:val="00AF6D52"/>
    <w:rsid w:val="00B016FF"/>
    <w:rsid w:val="00B02B6E"/>
    <w:rsid w:val="00B04688"/>
    <w:rsid w:val="00B06D2C"/>
    <w:rsid w:val="00B12301"/>
    <w:rsid w:val="00B144E1"/>
    <w:rsid w:val="00B15024"/>
    <w:rsid w:val="00B2090F"/>
    <w:rsid w:val="00B21EFA"/>
    <w:rsid w:val="00B22A80"/>
    <w:rsid w:val="00B33BBA"/>
    <w:rsid w:val="00B345B0"/>
    <w:rsid w:val="00B34AEF"/>
    <w:rsid w:val="00B3758A"/>
    <w:rsid w:val="00B37A48"/>
    <w:rsid w:val="00B45D8F"/>
    <w:rsid w:val="00B4648B"/>
    <w:rsid w:val="00B556F6"/>
    <w:rsid w:val="00B55D3D"/>
    <w:rsid w:val="00B57BCB"/>
    <w:rsid w:val="00B64D32"/>
    <w:rsid w:val="00B66422"/>
    <w:rsid w:val="00B723AB"/>
    <w:rsid w:val="00B74745"/>
    <w:rsid w:val="00B751A9"/>
    <w:rsid w:val="00B77BD7"/>
    <w:rsid w:val="00B81486"/>
    <w:rsid w:val="00B94C63"/>
    <w:rsid w:val="00BA1317"/>
    <w:rsid w:val="00BA2963"/>
    <w:rsid w:val="00BA2C30"/>
    <w:rsid w:val="00BB1A7A"/>
    <w:rsid w:val="00BB304D"/>
    <w:rsid w:val="00BC73DC"/>
    <w:rsid w:val="00BD2065"/>
    <w:rsid w:val="00BD3451"/>
    <w:rsid w:val="00BD5750"/>
    <w:rsid w:val="00BD790E"/>
    <w:rsid w:val="00BF108E"/>
    <w:rsid w:val="00BF6CE7"/>
    <w:rsid w:val="00BF6EA9"/>
    <w:rsid w:val="00C079D0"/>
    <w:rsid w:val="00C079DC"/>
    <w:rsid w:val="00C13BA4"/>
    <w:rsid w:val="00C15280"/>
    <w:rsid w:val="00C15BA4"/>
    <w:rsid w:val="00C1677E"/>
    <w:rsid w:val="00C2150A"/>
    <w:rsid w:val="00C21A28"/>
    <w:rsid w:val="00C22F48"/>
    <w:rsid w:val="00C2355B"/>
    <w:rsid w:val="00C249FE"/>
    <w:rsid w:val="00C24AD8"/>
    <w:rsid w:val="00C308D4"/>
    <w:rsid w:val="00C3111C"/>
    <w:rsid w:val="00C35C46"/>
    <w:rsid w:val="00C36F0C"/>
    <w:rsid w:val="00C424AB"/>
    <w:rsid w:val="00C437E6"/>
    <w:rsid w:val="00C4453E"/>
    <w:rsid w:val="00C47ECA"/>
    <w:rsid w:val="00C50B0C"/>
    <w:rsid w:val="00C53D4A"/>
    <w:rsid w:val="00C62498"/>
    <w:rsid w:val="00C63463"/>
    <w:rsid w:val="00C66993"/>
    <w:rsid w:val="00C730CB"/>
    <w:rsid w:val="00C74F60"/>
    <w:rsid w:val="00C74FB2"/>
    <w:rsid w:val="00C812C6"/>
    <w:rsid w:val="00C86B6E"/>
    <w:rsid w:val="00C9013B"/>
    <w:rsid w:val="00C929C5"/>
    <w:rsid w:val="00CA2DED"/>
    <w:rsid w:val="00CC0896"/>
    <w:rsid w:val="00CC1229"/>
    <w:rsid w:val="00CC6F14"/>
    <w:rsid w:val="00CD47B2"/>
    <w:rsid w:val="00CD52AA"/>
    <w:rsid w:val="00CD7501"/>
    <w:rsid w:val="00CE0B97"/>
    <w:rsid w:val="00CE0F78"/>
    <w:rsid w:val="00CE2939"/>
    <w:rsid w:val="00CE3E2D"/>
    <w:rsid w:val="00CE588B"/>
    <w:rsid w:val="00CE5C27"/>
    <w:rsid w:val="00CE5D25"/>
    <w:rsid w:val="00CF0B37"/>
    <w:rsid w:val="00CF5DF9"/>
    <w:rsid w:val="00CF69D7"/>
    <w:rsid w:val="00D00239"/>
    <w:rsid w:val="00D01C11"/>
    <w:rsid w:val="00D03F26"/>
    <w:rsid w:val="00D06E2D"/>
    <w:rsid w:val="00D07713"/>
    <w:rsid w:val="00D11156"/>
    <w:rsid w:val="00D26199"/>
    <w:rsid w:val="00D264AC"/>
    <w:rsid w:val="00D26B79"/>
    <w:rsid w:val="00D30ECD"/>
    <w:rsid w:val="00D3318C"/>
    <w:rsid w:val="00D340FC"/>
    <w:rsid w:val="00D430F9"/>
    <w:rsid w:val="00D44480"/>
    <w:rsid w:val="00D472AA"/>
    <w:rsid w:val="00D53E46"/>
    <w:rsid w:val="00D56DA7"/>
    <w:rsid w:val="00D60D3F"/>
    <w:rsid w:val="00D62EA9"/>
    <w:rsid w:val="00D63E11"/>
    <w:rsid w:val="00D677E2"/>
    <w:rsid w:val="00D710E5"/>
    <w:rsid w:val="00D71EB3"/>
    <w:rsid w:val="00D735E3"/>
    <w:rsid w:val="00D75383"/>
    <w:rsid w:val="00D767E3"/>
    <w:rsid w:val="00D77EAA"/>
    <w:rsid w:val="00D8482D"/>
    <w:rsid w:val="00D84D45"/>
    <w:rsid w:val="00D86837"/>
    <w:rsid w:val="00D87F0F"/>
    <w:rsid w:val="00D95E7D"/>
    <w:rsid w:val="00D97359"/>
    <w:rsid w:val="00DA27BC"/>
    <w:rsid w:val="00DA47BC"/>
    <w:rsid w:val="00DA5D64"/>
    <w:rsid w:val="00DB54FA"/>
    <w:rsid w:val="00DD4BBA"/>
    <w:rsid w:val="00DD6A96"/>
    <w:rsid w:val="00DD76D4"/>
    <w:rsid w:val="00DE0662"/>
    <w:rsid w:val="00DE3B17"/>
    <w:rsid w:val="00DF0192"/>
    <w:rsid w:val="00DF0C86"/>
    <w:rsid w:val="00DF1AF1"/>
    <w:rsid w:val="00DF39E3"/>
    <w:rsid w:val="00DF5C99"/>
    <w:rsid w:val="00DF6661"/>
    <w:rsid w:val="00DF6B9E"/>
    <w:rsid w:val="00E04A91"/>
    <w:rsid w:val="00E113EC"/>
    <w:rsid w:val="00E12C25"/>
    <w:rsid w:val="00E15127"/>
    <w:rsid w:val="00E1628C"/>
    <w:rsid w:val="00E172E7"/>
    <w:rsid w:val="00E2273A"/>
    <w:rsid w:val="00E277AF"/>
    <w:rsid w:val="00E30F1C"/>
    <w:rsid w:val="00E3771B"/>
    <w:rsid w:val="00E431DE"/>
    <w:rsid w:val="00E54348"/>
    <w:rsid w:val="00E55367"/>
    <w:rsid w:val="00E5605A"/>
    <w:rsid w:val="00E5642A"/>
    <w:rsid w:val="00E57830"/>
    <w:rsid w:val="00E61526"/>
    <w:rsid w:val="00E67E7B"/>
    <w:rsid w:val="00E72E59"/>
    <w:rsid w:val="00E7382A"/>
    <w:rsid w:val="00E77980"/>
    <w:rsid w:val="00E80DD5"/>
    <w:rsid w:val="00E81341"/>
    <w:rsid w:val="00E82A3B"/>
    <w:rsid w:val="00E8371D"/>
    <w:rsid w:val="00E84F85"/>
    <w:rsid w:val="00E855A5"/>
    <w:rsid w:val="00E93E89"/>
    <w:rsid w:val="00EA37F6"/>
    <w:rsid w:val="00EA70D8"/>
    <w:rsid w:val="00EB0762"/>
    <w:rsid w:val="00EB13DC"/>
    <w:rsid w:val="00EB303F"/>
    <w:rsid w:val="00EB3544"/>
    <w:rsid w:val="00EB3F92"/>
    <w:rsid w:val="00EB506C"/>
    <w:rsid w:val="00EB567B"/>
    <w:rsid w:val="00EB78A1"/>
    <w:rsid w:val="00EC0C8A"/>
    <w:rsid w:val="00EC4D4E"/>
    <w:rsid w:val="00EC6432"/>
    <w:rsid w:val="00ED01E0"/>
    <w:rsid w:val="00ED072D"/>
    <w:rsid w:val="00ED0790"/>
    <w:rsid w:val="00ED1D4C"/>
    <w:rsid w:val="00ED7AB0"/>
    <w:rsid w:val="00EE09E4"/>
    <w:rsid w:val="00EE42F9"/>
    <w:rsid w:val="00EE45EF"/>
    <w:rsid w:val="00EF0853"/>
    <w:rsid w:val="00EF1E42"/>
    <w:rsid w:val="00EF312E"/>
    <w:rsid w:val="00EF645C"/>
    <w:rsid w:val="00EF6E47"/>
    <w:rsid w:val="00F026F2"/>
    <w:rsid w:val="00F0546B"/>
    <w:rsid w:val="00F07172"/>
    <w:rsid w:val="00F11CB0"/>
    <w:rsid w:val="00F120F1"/>
    <w:rsid w:val="00F15001"/>
    <w:rsid w:val="00F15104"/>
    <w:rsid w:val="00F31DAE"/>
    <w:rsid w:val="00F323F8"/>
    <w:rsid w:val="00F32B4D"/>
    <w:rsid w:val="00F341BC"/>
    <w:rsid w:val="00F34305"/>
    <w:rsid w:val="00F40769"/>
    <w:rsid w:val="00F50FDB"/>
    <w:rsid w:val="00F53A82"/>
    <w:rsid w:val="00F543E8"/>
    <w:rsid w:val="00F60829"/>
    <w:rsid w:val="00F6537D"/>
    <w:rsid w:val="00F65BC4"/>
    <w:rsid w:val="00F67106"/>
    <w:rsid w:val="00F676C1"/>
    <w:rsid w:val="00F705EB"/>
    <w:rsid w:val="00F72848"/>
    <w:rsid w:val="00F752EA"/>
    <w:rsid w:val="00F84D00"/>
    <w:rsid w:val="00F934D8"/>
    <w:rsid w:val="00F94CC9"/>
    <w:rsid w:val="00F9500C"/>
    <w:rsid w:val="00FA12C7"/>
    <w:rsid w:val="00FA3A3B"/>
    <w:rsid w:val="00FA44DA"/>
    <w:rsid w:val="00FA7090"/>
    <w:rsid w:val="00FB13D0"/>
    <w:rsid w:val="00FB44A4"/>
    <w:rsid w:val="00FC1ECC"/>
    <w:rsid w:val="00FC2C4A"/>
    <w:rsid w:val="00FC5AD3"/>
    <w:rsid w:val="00FD3D2C"/>
    <w:rsid w:val="00FD4DA6"/>
    <w:rsid w:val="00FE0D39"/>
    <w:rsid w:val="00FE7B0F"/>
    <w:rsid w:val="00FF2C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DD9BA"/>
  <w15:chartTrackingRefBased/>
  <w15:docId w15:val="{F117DDBC-20FC-4B57-9C0B-6045327C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9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268"/>
    <w:pPr>
      <w:ind w:left="720"/>
      <w:contextualSpacing/>
    </w:pPr>
  </w:style>
  <w:style w:type="paragraph" w:customStyle="1" w:styleId="Default">
    <w:name w:val="Default"/>
    <w:rsid w:val="00374D7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374D75"/>
    <w:rPr>
      <w:color w:val="0563C1" w:themeColor="hyperlink"/>
      <w:u w:val="single"/>
    </w:rPr>
  </w:style>
  <w:style w:type="character" w:styleId="UnresolvedMention">
    <w:name w:val="Unresolved Mention"/>
    <w:basedOn w:val="DefaultParagraphFont"/>
    <w:uiPriority w:val="99"/>
    <w:semiHidden/>
    <w:unhideWhenUsed/>
    <w:rsid w:val="00374D75"/>
    <w:rPr>
      <w:color w:val="605E5C"/>
      <w:shd w:val="clear" w:color="auto" w:fill="E1DFDD"/>
    </w:rPr>
  </w:style>
  <w:style w:type="character" w:styleId="FollowedHyperlink">
    <w:name w:val="FollowedHyperlink"/>
    <w:basedOn w:val="DefaultParagraphFont"/>
    <w:uiPriority w:val="99"/>
    <w:semiHidden/>
    <w:unhideWhenUsed/>
    <w:rsid w:val="00C9013B"/>
    <w:rPr>
      <w:color w:val="954F72" w:themeColor="followedHyperlink"/>
      <w:u w:val="single"/>
    </w:rPr>
  </w:style>
  <w:style w:type="character" w:customStyle="1" w:styleId="ref-lnk">
    <w:name w:val="ref-lnk"/>
    <w:basedOn w:val="DefaultParagraphFont"/>
    <w:rsid w:val="006F73D4"/>
  </w:style>
  <w:style w:type="character" w:customStyle="1" w:styleId="off-screen">
    <w:name w:val="off-screen"/>
    <w:basedOn w:val="DefaultParagraphFont"/>
    <w:rsid w:val="006F73D4"/>
  </w:style>
  <w:style w:type="character" w:customStyle="1" w:styleId="citationsource-journal">
    <w:name w:val="citation_source-journal"/>
    <w:basedOn w:val="DefaultParagraphFont"/>
    <w:rsid w:val="006F73D4"/>
  </w:style>
  <w:style w:type="character" w:styleId="Emphasis">
    <w:name w:val="Emphasis"/>
    <w:basedOn w:val="DefaultParagraphFont"/>
    <w:uiPriority w:val="20"/>
    <w:qFormat/>
    <w:rsid w:val="006F73D4"/>
    <w:rPr>
      <w:i/>
      <w:iCs/>
    </w:rPr>
  </w:style>
  <w:style w:type="character" w:customStyle="1" w:styleId="anchor-text">
    <w:name w:val="anchor-text"/>
    <w:basedOn w:val="DefaultParagraphFont"/>
    <w:rsid w:val="00BC73DC"/>
  </w:style>
  <w:style w:type="table" w:styleId="TableGrid">
    <w:name w:val="Table Grid"/>
    <w:basedOn w:val="TableNormal"/>
    <w:uiPriority w:val="39"/>
    <w:rsid w:val="00EB3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0E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0E26"/>
  </w:style>
  <w:style w:type="paragraph" w:styleId="Footer">
    <w:name w:val="footer"/>
    <w:basedOn w:val="Normal"/>
    <w:link w:val="FooterChar"/>
    <w:uiPriority w:val="99"/>
    <w:unhideWhenUsed/>
    <w:rsid w:val="003D0E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0E26"/>
  </w:style>
  <w:style w:type="table" w:customStyle="1" w:styleId="Table">
    <w:name w:val="Table"/>
    <w:semiHidden/>
    <w:unhideWhenUsed/>
    <w:qFormat/>
    <w:rsid w:val="00570171"/>
    <w:pPr>
      <w:spacing w:after="200" w:line="240" w:lineRule="auto"/>
    </w:pPr>
    <w:rPr>
      <w:kern w:val="0"/>
      <w:sz w:val="24"/>
      <w:szCs w:val="24"/>
      <w:lang w:val="en-US" w:eastAsia="fr-F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C249FE"/>
    <w:pPr>
      <w:spacing w:after="0" w:line="240" w:lineRule="auto"/>
    </w:pPr>
  </w:style>
  <w:style w:type="character" w:styleId="CommentReference">
    <w:name w:val="annotation reference"/>
    <w:basedOn w:val="DefaultParagraphFont"/>
    <w:uiPriority w:val="99"/>
    <w:semiHidden/>
    <w:unhideWhenUsed/>
    <w:rsid w:val="00C249FE"/>
    <w:rPr>
      <w:sz w:val="16"/>
      <w:szCs w:val="16"/>
    </w:rPr>
  </w:style>
  <w:style w:type="paragraph" w:styleId="CommentText">
    <w:name w:val="annotation text"/>
    <w:basedOn w:val="Normal"/>
    <w:link w:val="CommentTextChar"/>
    <w:uiPriority w:val="99"/>
    <w:unhideWhenUsed/>
    <w:rsid w:val="00C249FE"/>
    <w:pPr>
      <w:spacing w:line="240" w:lineRule="auto"/>
    </w:pPr>
    <w:rPr>
      <w:sz w:val="20"/>
      <w:szCs w:val="20"/>
    </w:rPr>
  </w:style>
  <w:style w:type="character" w:customStyle="1" w:styleId="CommentTextChar">
    <w:name w:val="Comment Text Char"/>
    <w:basedOn w:val="DefaultParagraphFont"/>
    <w:link w:val="CommentText"/>
    <w:uiPriority w:val="99"/>
    <w:rsid w:val="00C249FE"/>
    <w:rPr>
      <w:sz w:val="20"/>
      <w:szCs w:val="20"/>
    </w:rPr>
  </w:style>
  <w:style w:type="paragraph" w:styleId="CommentSubject">
    <w:name w:val="annotation subject"/>
    <w:basedOn w:val="CommentText"/>
    <w:next w:val="CommentText"/>
    <w:link w:val="CommentSubjectChar"/>
    <w:uiPriority w:val="99"/>
    <w:semiHidden/>
    <w:unhideWhenUsed/>
    <w:rsid w:val="00C249FE"/>
    <w:rPr>
      <w:b/>
      <w:bCs/>
    </w:rPr>
  </w:style>
  <w:style w:type="character" w:customStyle="1" w:styleId="CommentSubjectChar">
    <w:name w:val="Comment Subject Char"/>
    <w:basedOn w:val="CommentTextChar"/>
    <w:link w:val="CommentSubject"/>
    <w:uiPriority w:val="99"/>
    <w:semiHidden/>
    <w:rsid w:val="00C249FE"/>
    <w:rPr>
      <w:b/>
      <w:bCs/>
      <w:sz w:val="20"/>
      <w:szCs w:val="20"/>
    </w:rPr>
  </w:style>
  <w:style w:type="paragraph" w:customStyle="1" w:styleId="ReferHead">
    <w:name w:val="Refer Head"/>
    <w:basedOn w:val="Normal"/>
    <w:rsid w:val="00871979"/>
    <w:pPr>
      <w:keepNext/>
      <w:spacing w:after="240" w:line="240" w:lineRule="auto"/>
    </w:pPr>
    <w:rPr>
      <w:rFonts w:ascii="Helvetica" w:eastAsia="Times New Roman" w:hAnsi="Helvetica" w:cs="Times New Roman"/>
      <w:b/>
      <w:caps/>
      <w:kern w:val="0"/>
      <w:szCs w:val="20"/>
      <w:lang w:val="en-US"/>
      <w14:ligatures w14:val="none"/>
    </w:rPr>
  </w:style>
  <w:style w:type="character" w:styleId="LineNumber">
    <w:name w:val="line number"/>
    <w:basedOn w:val="DefaultParagraphFont"/>
    <w:uiPriority w:val="99"/>
    <w:semiHidden/>
    <w:unhideWhenUsed/>
    <w:rsid w:val="00CE2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3616">
      <w:bodyDiv w:val="1"/>
      <w:marLeft w:val="0"/>
      <w:marRight w:val="0"/>
      <w:marTop w:val="0"/>
      <w:marBottom w:val="0"/>
      <w:divBdr>
        <w:top w:val="none" w:sz="0" w:space="0" w:color="auto"/>
        <w:left w:val="none" w:sz="0" w:space="0" w:color="auto"/>
        <w:bottom w:val="none" w:sz="0" w:space="0" w:color="auto"/>
        <w:right w:val="none" w:sz="0" w:space="0" w:color="auto"/>
      </w:divBdr>
    </w:div>
    <w:div w:id="1748577061">
      <w:bodyDiv w:val="1"/>
      <w:marLeft w:val="0"/>
      <w:marRight w:val="0"/>
      <w:marTop w:val="0"/>
      <w:marBottom w:val="0"/>
      <w:divBdr>
        <w:top w:val="none" w:sz="0" w:space="0" w:color="auto"/>
        <w:left w:val="none" w:sz="0" w:space="0" w:color="auto"/>
        <w:bottom w:val="none" w:sz="0" w:space="0" w:color="auto"/>
        <w:right w:val="none" w:sz="0" w:space="0" w:color="auto"/>
      </w:divBdr>
      <w:divsChild>
        <w:div w:id="1370375510">
          <w:marLeft w:val="0"/>
          <w:marRight w:val="0"/>
          <w:marTop w:val="0"/>
          <w:marBottom w:val="0"/>
          <w:divBdr>
            <w:top w:val="none" w:sz="0" w:space="0" w:color="auto"/>
            <w:left w:val="none" w:sz="0" w:space="0" w:color="auto"/>
            <w:bottom w:val="none" w:sz="0" w:space="0" w:color="auto"/>
            <w:right w:val="none" w:sz="0" w:space="0" w:color="auto"/>
          </w:divBdr>
        </w:div>
        <w:div w:id="71049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x.doi.org/10.4314/ijbcs.v12i4.8" TargetMode="External"/><Relationship Id="rId18" Type="http://schemas.openxmlformats.org/officeDocument/2006/relationships/hyperlink" Target="https://doi.org/10.1111/are.15370" TargetMode="External"/><Relationship Id="rId26" Type="http://schemas.openxmlformats.org/officeDocument/2006/relationships/hyperlink" Target="https://doi.org/10.1016/j.foodchem.2018.09.070" TargetMode="External"/><Relationship Id="rId39" Type="http://schemas.openxmlformats.org/officeDocument/2006/relationships/hyperlink" Target="https://doi.org/10.3126/on.v15i1-2.18791" TargetMode="External"/><Relationship Id="rId21" Type="http://schemas.openxmlformats.org/officeDocument/2006/relationships/hyperlink" Target="https://doi.org/08346/IAZ/2009/11&#8211;3&#8211;301&#8211;305" TargetMode="External"/><Relationship Id="rId34" Type="http://schemas.openxmlformats.org/officeDocument/2006/relationships/hyperlink" Target="https://doi.org/10.3390/su14010318" TargetMode="External"/><Relationship Id="rId42" Type="http://schemas.openxmlformats.org/officeDocument/2006/relationships/hyperlink" Target="https://doi.org/10.1016/j.marpol.2018.11.009"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doi.org/10.1155/2022/7219401" TargetMode="External"/><Relationship Id="rId29" Type="http://schemas.openxmlformats.org/officeDocument/2006/relationships/hyperlink" Target="https://www.njap.org.ng/index.php/njap/article/view/1170/1005" TargetMode="External"/><Relationship Id="rId11" Type="http://schemas.openxmlformats.org/officeDocument/2006/relationships/hyperlink" Target="http://doi.org/10.29303/jp.v14i3.1034" TargetMode="External"/><Relationship Id="rId24" Type="http://schemas.openxmlformats.org/officeDocument/2006/relationships/hyperlink" Target="https://doi.org/10.1016/j.fsi.2015.03.002" TargetMode="External"/><Relationship Id="rId32" Type="http://schemas.openxmlformats.org/officeDocument/2006/relationships/hyperlink" Target="https://doi.org/10.2307/1540" TargetMode="External"/><Relationship Id="rId37" Type="http://schemas.openxmlformats.org/officeDocument/2006/relationships/hyperlink" Target="https://www.researchgate.net/profile/Obun-Otu/publication/363644185_" TargetMode="External"/><Relationship Id="rId40" Type="http://schemas.openxmlformats.org/officeDocument/2006/relationships/hyperlink" Target="https://doi.org/10.17352/2455-8400.000052" TargetMode="External"/><Relationship Id="rId45" Type="http://schemas.openxmlformats.org/officeDocument/2006/relationships/hyperlink" Target="https://www.academia.edu/attachments/63700191/download_file"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doi.org/10.1080/26895293.2025.2575767" TargetMode="External"/><Relationship Id="rId19" Type="http://schemas.openxmlformats.org/officeDocument/2006/relationships/hyperlink" Target="https://doi.org/10.1007/s10499-024-01603-3" TargetMode="External"/><Relationship Id="rId31" Type="http://schemas.openxmlformats.org/officeDocument/2006/relationships/hyperlink" Target="https://doi.org/10.1007/s10499-020-00506-3" TargetMode="External"/><Relationship Id="rId44" Type="http://schemas.openxmlformats.org/officeDocument/2006/relationships/hyperlink" Target="https://www.academia.edu/attachments/87433328/download_file"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4314/ijbcs.v10i4.35" TargetMode="External"/><Relationship Id="rId14" Type="http://schemas.openxmlformats.org/officeDocument/2006/relationships/hyperlink" Target="https://doi.org/10.5958/2320-320X.2022.00003.6" TargetMode="External"/><Relationship Id="rId22" Type="http://schemas.openxmlformats.org/officeDocument/2006/relationships/hyperlink" Target="http://www.fao.org/fishery/facp/bfa/fr" TargetMode="External"/><Relationship Id="rId27" Type="http://schemas.openxmlformats.org/officeDocument/2006/relationships/hyperlink" Target="https://doi.org/10.1016/j.cbpb.2023.110914" TargetMode="External"/><Relationship Id="rId30" Type="http://schemas.openxmlformats.org/officeDocument/2006/relationships/hyperlink" Target="https://advetresearch.com/index.php/AVR/article/view/1926/1289" TargetMode="External"/><Relationship Id="rId35" Type="http://schemas.openxmlformats.org/officeDocument/2006/relationships/hyperlink" Target="https://doi.org/10.4236/fns.2021.126040" TargetMode="External"/><Relationship Id="rId43" Type="http://schemas.openxmlformats.org/officeDocument/2006/relationships/hyperlink" Target="https://doi.org/10.1016/j.fsi.2019.07.077" TargetMode="External"/><Relationship Id="rId48" Type="http://schemas.openxmlformats.org/officeDocument/2006/relationships/footer" Target="footer1.xml"/><Relationship Id="rId8" Type="http://schemas.openxmlformats.org/officeDocument/2006/relationships/hyperlink" Target="https://share.google/W6ST19muFP7ljOkmy" TargetMode="External"/><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s://doi.org/10.1016/j.aquaculture.2016.10.020" TargetMode="External"/><Relationship Id="rId17" Type="http://schemas.openxmlformats.org/officeDocument/2006/relationships/hyperlink" Target="https://doi.org/10.3389/fmars.2023.871911" TargetMode="External"/><Relationship Id="rId25" Type="http://schemas.openxmlformats.org/officeDocument/2006/relationships/hyperlink" Target="https://doi.org/10.1016/j.sjbs.2022.03.004" TargetMode="External"/><Relationship Id="rId33" Type="http://schemas.openxmlformats.org/officeDocument/2006/relationships/hyperlink" Target="https://doi.org/10.1111/raq.12365" TargetMode="External"/><Relationship Id="rId38" Type="http://schemas.openxmlformats.org/officeDocument/2006/relationships/hyperlink" Target="https://www.academia.edu/attachments/51523989/download_file" TargetMode="External"/><Relationship Id="rId46" Type="http://schemas.openxmlformats.org/officeDocument/2006/relationships/header" Target="header1.xml"/><Relationship Id="rId20" Type="http://schemas.openxmlformats.org/officeDocument/2006/relationships/hyperlink" Target="https://doi.org/10.3390/su16135429" TargetMode="External"/><Relationship Id="rId41" Type="http://schemas.openxmlformats.org/officeDocument/2006/relationships/hyperlink" Target="https://doi.org/10.1111/raq.1262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7221/96/2023-VETMED" TargetMode="External"/><Relationship Id="rId23" Type="http://schemas.openxmlformats.org/officeDocument/2006/relationships/hyperlink" Target="https://doi.org/10.1007/s13530-022-00139-4" TargetMode="External"/><Relationship Id="rId28" Type="http://schemas.openxmlformats.org/officeDocument/2006/relationships/hyperlink" Target="https://doi.org/10.5539/jfr.v9n5p102" TargetMode="External"/><Relationship Id="rId36" Type="http://schemas.openxmlformats.org/officeDocument/2006/relationships/hyperlink" Target="http://www.lrrd.org/lrrd20/8/obun20126.htm" TargetMode="External"/><Relationship Id="rId4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DOSSIER_STAGE_ETUDIANTS\Sayouba%20OUEDRAOGO\Article\Trait&#233;_sayoub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Feuil1!$A$2</c:f>
              <c:strCache>
                <c:ptCount val="1"/>
                <c:pt idx="0">
                  <c:v>k</c:v>
                </c:pt>
              </c:strCache>
            </c:strRef>
          </c:tx>
          <c:spPr>
            <a:solidFill>
              <a:schemeClr val="bg1">
                <a:lumMod val="50000"/>
              </a:schemeClr>
            </a:solidFill>
            <a:ln>
              <a:solidFill>
                <a:schemeClr val="bg1">
                  <a:lumMod val="50000"/>
                </a:schemeClr>
              </a:solidFill>
            </a:ln>
            <a:effectLst/>
          </c:spPr>
          <c:invertIfNegative val="0"/>
          <c:dLbls>
            <c:dLbl>
              <c:idx val="0"/>
              <c:layout>
                <c:manualLayout>
                  <c:x val="2.5462668816039986E-17"/>
                  <c:y val="-6.018518518518518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A64-4402-B2D3-565FA41CF12F}"/>
                </c:ext>
              </c:extLst>
            </c:dLbl>
            <c:dLbl>
              <c:idx val="1"/>
              <c:layout>
                <c:manualLayout>
                  <c:x val="-5.0925337632079971E-17"/>
                  <c:y val="-6.48148148148148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64-4402-B2D3-565FA41CF12F}"/>
                </c:ext>
              </c:extLst>
            </c:dLbl>
            <c:dLbl>
              <c:idx val="2"/>
              <c:layout>
                <c:manualLayout>
                  <c:x val="0"/>
                  <c:y val="-5.555555555555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A64-4402-B2D3-565FA41CF12F}"/>
                </c:ext>
              </c:extLst>
            </c:dLbl>
            <c:dLbl>
              <c:idx val="3"/>
              <c:layout>
                <c:manualLayout>
                  <c:x val="0"/>
                  <c:y val="-5.55555555555555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64-4402-B2D3-565FA41CF12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Feuil1!$B$1:$E$1</c:f>
              <c:strCache>
                <c:ptCount val="4"/>
                <c:pt idx="0">
                  <c:v>T1 </c:v>
                </c:pt>
                <c:pt idx="1">
                  <c:v>T2 </c:v>
                </c:pt>
                <c:pt idx="2">
                  <c:v>T3 </c:v>
                </c:pt>
                <c:pt idx="3">
                  <c:v>T0 </c:v>
                </c:pt>
              </c:strCache>
            </c:strRef>
          </c:cat>
          <c:val>
            <c:numRef>
              <c:f>Feuil1!$B$2:$E$2</c:f>
              <c:numCache>
                <c:formatCode>General</c:formatCode>
                <c:ptCount val="4"/>
                <c:pt idx="0">
                  <c:v>2.2200000000000002</c:v>
                </c:pt>
                <c:pt idx="1">
                  <c:v>2.27</c:v>
                </c:pt>
                <c:pt idx="2">
                  <c:v>2.27</c:v>
                </c:pt>
                <c:pt idx="3">
                  <c:v>2.29</c:v>
                </c:pt>
              </c:numCache>
            </c:numRef>
          </c:val>
          <c:extLst>
            <c:ext xmlns:c16="http://schemas.microsoft.com/office/drawing/2014/chart" uri="{C3380CC4-5D6E-409C-BE32-E72D297353CC}">
              <c16:uniqueId val="{00000004-CA64-4402-B2D3-565FA41CF12F}"/>
            </c:ext>
          </c:extLst>
        </c:ser>
        <c:dLbls>
          <c:showLegendKey val="0"/>
          <c:showVal val="0"/>
          <c:showCatName val="0"/>
          <c:showSerName val="0"/>
          <c:showPercent val="0"/>
          <c:showBubbleSize val="0"/>
        </c:dLbls>
        <c:gapWidth val="219"/>
        <c:overlap val="-27"/>
        <c:axId val="424550368"/>
        <c:axId val="424550784"/>
      </c:barChart>
      <c:catAx>
        <c:axId val="424550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baseline="0">
                    <a:solidFill>
                      <a:schemeClr val="tx1"/>
                    </a:solidFill>
                    <a:effectLst/>
                    <a:latin typeface="Times New Roman" panose="02020603050405020304" pitchFamily="18" charset="0"/>
                    <a:cs typeface="Times New Roman" panose="02020603050405020304" pitchFamily="18" charset="0"/>
                  </a:rPr>
                  <a:t>Treatment</a:t>
                </a:r>
                <a:endParaRPr lang="fr-FR" sz="10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59742038495188099"/>
              <c:y val="0.899074074074073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424550784"/>
        <c:crosses val="autoZero"/>
        <c:auto val="1"/>
        <c:lblAlgn val="ctr"/>
        <c:lblOffset val="100"/>
        <c:noMultiLvlLbl val="0"/>
      </c:catAx>
      <c:valAx>
        <c:axId val="4245507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000">
                    <a:solidFill>
                      <a:schemeClr val="tx1"/>
                    </a:solidFill>
                    <a:latin typeface="Times New Roman" panose="02020603050405020304" pitchFamily="18" charset="0"/>
                    <a:cs typeface="Times New Roman" panose="02020603050405020304" pitchFamily="18" charset="0"/>
                  </a:rPr>
                  <a:t>Condition factor </a:t>
                </a:r>
              </a:p>
            </c:rich>
          </c:tx>
          <c:layout>
            <c:manualLayout>
              <c:xMode val="edge"/>
              <c:yMode val="edge"/>
              <c:x val="2.2222222222222223E-2"/>
              <c:y val="0.222260863225430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424550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5044</Words>
  <Characters>28751</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1166</cp:lastModifiedBy>
  <cp:revision>5</cp:revision>
  <dcterms:created xsi:type="dcterms:W3CDTF">2026-08-23T20:18:00Z</dcterms:created>
  <dcterms:modified xsi:type="dcterms:W3CDTF">2026-08-25T07:32:00Z</dcterms:modified>
</cp:coreProperties>
</file>