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BA60E" w14:textId="77777777" w:rsidR="0035258B" w:rsidRDefault="00000000">
      <w:pPr>
        <w:jc w:val="center"/>
        <w:rPr>
          <w:rFonts w:ascii="Times New Roman" w:hAnsi="Times New Roman" w:cs="Times New Roman"/>
          <w:sz w:val="24"/>
          <w:szCs w:val="24"/>
        </w:rPr>
      </w:pPr>
      <w:r>
        <w:rPr>
          <w:rFonts w:ascii="Times New Roman" w:hAnsi="Times New Roman" w:cs="Times New Roman"/>
          <w:b/>
          <w:bCs/>
          <w:sz w:val="24"/>
          <w:szCs w:val="24"/>
        </w:rPr>
        <w:t xml:space="preserve">EVALUATION OF THE EFFECT OF AQUEOUS EXTRACT OF </w:t>
      </w:r>
      <w:r>
        <w:rPr>
          <w:rFonts w:ascii="Times New Roman" w:hAnsi="Times New Roman" w:cs="Times New Roman"/>
          <w:b/>
          <w:bCs/>
          <w:i/>
          <w:iCs/>
          <w:sz w:val="24"/>
          <w:szCs w:val="24"/>
        </w:rPr>
        <w:t xml:space="preserve">Azanza </w:t>
      </w:r>
      <w:proofErr w:type="spellStart"/>
      <w:r>
        <w:rPr>
          <w:rFonts w:ascii="Times New Roman" w:hAnsi="Times New Roman" w:cs="Times New Roman"/>
          <w:b/>
          <w:bCs/>
          <w:i/>
          <w:iCs/>
          <w:sz w:val="24"/>
          <w:szCs w:val="24"/>
        </w:rPr>
        <w:t>garckeana</w:t>
      </w:r>
      <w:proofErr w:type="spellEnd"/>
      <w:r>
        <w:rPr>
          <w:rFonts w:ascii="Times New Roman" w:hAnsi="Times New Roman" w:cs="Times New Roman"/>
          <w:b/>
          <w:bCs/>
          <w:sz w:val="24"/>
          <w:szCs w:val="24"/>
        </w:rPr>
        <w:t xml:space="preserve"> fruit</w:t>
      </w:r>
    </w:p>
    <w:p w14:paraId="401E45B8" w14:textId="77777777" w:rsidR="0035258B" w:rsidRDefault="00000000">
      <w:pPr>
        <w:jc w:val="center"/>
        <w:rPr>
          <w:rFonts w:ascii="Times New Roman" w:hAnsi="Times New Roman" w:cs="Times New Roman"/>
          <w:sz w:val="24"/>
          <w:szCs w:val="24"/>
        </w:rPr>
      </w:pPr>
      <w:r>
        <w:rPr>
          <w:rFonts w:ascii="Times New Roman" w:hAnsi="Times New Roman" w:cs="Times New Roman"/>
          <w:b/>
          <w:bCs/>
          <w:sz w:val="24"/>
          <w:szCs w:val="24"/>
        </w:rPr>
        <w:t>ON FERTILITY HORMONES IN ALLOXAN INDUCED DIABETIC ALBINO WISTAR</w:t>
      </w:r>
    </w:p>
    <w:p w14:paraId="64658D7E" w14:textId="77777777" w:rsidR="0035258B" w:rsidRDefault="00000000">
      <w:pPr>
        <w:jc w:val="center"/>
        <w:rPr>
          <w:rFonts w:ascii="Times New Roman" w:hAnsi="Times New Roman" w:cs="Times New Roman"/>
          <w:b/>
          <w:bCs/>
          <w:sz w:val="24"/>
          <w:szCs w:val="24"/>
        </w:rPr>
      </w:pPr>
      <w:r>
        <w:rPr>
          <w:rFonts w:ascii="Times New Roman" w:hAnsi="Times New Roman" w:cs="Times New Roman"/>
          <w:b/>
          <w:bCs/>
          <w:sz w:val="24"/>
          <w:szCs w:val="24"/>
        </w:rPr>
        <w:t>RATS</w:t>
      </w:r>
    </w:p>
    <w:p w14:paraId="5C0EB432" w14:textId="77777777" w:rsidR="0034669D" w:rsidRDefault="0034669D" w:rsidP="007F3763">
      <w:pPr>
        <w:rPr>
          <w:rFonts w:ascii="Times New Roman" w:hAnsi="Times New Roman" w:cs="Times New Roman"/>
          <w:b/>
          <w:bCs/>
          <w:sz w:val="24"/>
          <w:szCs w:val="24"/>
        </w:rPr>
      </w:pPr>
    </w:p>
    <w:p w14:paraId="6654B3FF" w14:textId="77777777" w:rsidR="0034669D" w:rsidRDefault="0034669D" w:rsidP="007F3763">
      <w:pPr>
        <w:rPr>
          <w:rFonts w:ascii="Times New Roman" w:hAnsi="Times New Roman" w:cs="Times New Roman"/>
          <w:b/>
          <w:bCs/>
          <w:sz w:val="24"/>
          <w:szCs w:val="24"/>
        </w:rPr>
      </w:pPr>
    </w:p>
    <w:p w14:paraId="028A88C4" w14:textId="77777777" w:rsidR="0034669D" w:rsidRDefault="0034669D" w:rsidP="007F3763">
      <w:pPr>
        <w:rPr>
          <w:rFonts w:ascii="Times New Roman" w:hAnsi="Times New Roman" w:cs="Times New Roman"/>
          <w:b/>
          <w:bCs/>
          <w:sz w:val="24"/>
          <w:szCs w:val="24"/>
        </w:rPr>
      </w:pPr>
    </w:p>
    <w:p w14:paraId="26F1F8F6" w14:textId="77777777" w:rsidR="0035258B" w:rsidRDefault="00000000">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ABSTRACT </w:t>
      </w:r>
    </w:p>
    <w:p w14:paraId="2BE8B535" w14:textId="77777777" w:rsidR="0035258B"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Infertility is a major health problem in both the developed and developing world, leading to constant requirement of specialist investigation and treatment in order to conceive. The increase in the number of diabetics diagnosed at a young age has coincided with worldwide concerns over the fertility status of these individuals. This is because diabetes mellitus has impacted directly and indirectly on the fertility of couple. This work aims at evaluating effects of aqueous extract of </w:t>
      </w:r>
      <w:r>
        <w:rPr>
          <w:rFonts w:ascii="Times New Roman" w:hAnsi="Times New Roman" w:cs="Times New Roman"/>
          <w:i/>
          <w:iCs/>
          <w:sz w:val="24"/>
          <w:szCs w:val="24"/>
        </w:rPr>
        <w:t xml:space="preserve">Azanza </w:t>
      </w:r>
      <w:proofErr w:type="spellStart"/>
      <w:r>
        <w:rPr>
          <w:rFonts w:ascii="Times New Roman" w:hAnsi="Times New Roman" w:cs="Times New Roman"/>
          <w:i/>
          <w:iCs/>
          <w:sz w:val="24"/>
          <w:szCs w:val="24"/>
        </w:rPr>
        <w:t>garckeana</w:t>
      </w:r>
      <w:proofErr w:type="spellEnd"/>
      <w:r>
        <w:rPr>
          <w:rFonts w:ascii="Times New Roman" w:hAnsi="Times New Roman" w:cs="Times New Roman"/>
          <w:sz w:val="24"/>
          <w:szCs w:val="24"/>
        </w:rPr>
        <w:t xml:space="preserve"> on diabetes–related fertility problems in alloxan induced albino Wistar rats. Phytochemical screening was carried out on the aqueous extract. An acute and subacute toxicity tests were also done using the extract on albino Wistar rats. Biochemical parameters and indices of fertility were also determined. Histological analyses of the liver and kidney of the rats were performed. These four tests were carried out to monitor the toxicity of the aqueous extract and its anti-infertility effects in alloxan induced albino Wistar rats. Techniques applied included, </w:t>
      </w:r>
      <w:proofErr w:type="spellStart"/>
      <w:r>
        <w:rPr>
          <w:rFonts w:ascii="Times New Roman" w:hAnsi="Times New Roman" w:cs="Times New Roman"/>
          <w:sz w:val="24"/>
          <w:szCs w:val="24"/>
        </w:rPr>
        <w:t>Lorke’s</w:t>
      </w:r>
      <w:proofErr w:type="spellEnd"/>
      <w:r>
        <w:rPr>
          <w:rFonts w:ascii="Times New Roman" w:hAnsi="Times New Roman" w:cs="Times New Roman"/>
          <w:sz w:val="24"/>
          <w:szCs w:val="24"/>
        </w:rPr>
        <w:t xml:space="preserve"> method for acute and sub-acute toxicity test, Strip method for glucose test, ELISA technique for the hormonal assays, </w:t>
      </w:r>
      <w:proofErr w:type="spellStart"/>
      <w:r>
        <w:rPr>
          <w:rFonts w:ascii="Times New Roman" w:hAnsi="Times New Roman" w:cs="Times New Roman"/>
          <w:sz w:val="24"/>
          <w:szCs w:val="24"/>
        </w:rPr>
        <w:t>Haematoxilin</w:t>
      </w:r>
      <w:proofErr w:type="spellEnd"/>
      <w:r>
        <w:rPr>
          <w:rFonts w:ascii="Times New Roman" w:hAnsi="Times New Roman" w:cs="Times New Roman"/>
          <w:sz w:val="24"/>
          <w:szCs w:val="24"/>
        </w:rPr>
        <w:t xml:space="preserve"> and Eosin (H&amp;E) </w:t>
      </w:r>
      <w:proofErr w:type="spellStart"/>
      <w:r>
        <w:rPr>
          <w:rFonts w:ascii="Times New Roman" w:hAnsi="Times New Roman" w:cs="Times New Roman"/>
          <w:sz w:val="24"/>
          <w:szCs w:val="24"/>
        </w:rPr>
        <w:t>staininig</w:t>
      </w:r>
      <w:proofErr w:type="spellEnd"/>
      <w:r>
        <w:rPr>
          <w:rFonts w:ascii="Times New Roman" w:hAnsi="Times New Roman" w:cs="Times New Roman"/>
          <w:sz w:val="24"/>
          <w:szCs w:val="24"/>
        </w:rPr>
        <w:t xml:space="preserve"> technique for the histopathological studies. Results of the phytochemical screening of the extract revealed the presence of alkaloids, tannins, saponins, carbohydrate and flavonoids; acute toxicity test of the extract showed no morbidity for the six (6) different concentrations (10,100,1000,1600,2900 and 5000) mg/kg body weight used after 24 hours. The biochemical and histological analysis for the sub-acute toxicity test showed that there was no significant change on the selected biomarkers (protein, albumin, urea, creatinine, ALT, AST and ALP) when compared to the normal control, except for Creatinine where a significant decrease was observed at p&lt;0.05 and the liver enzymes (ALT, AST and ALP) where a significant increase was also observed at the same p value. The histopathological analysis of the liver and kidney of the rats also confirmed the biochemical findings except for the groups that received 10mg/kg and 5000mg/kg body weight where inflammation and congested renal tissues with normal liver tissues were observed respectively, suggesting that the aqueous extract is minimally safe for the rats and further studies should be done to confirm the safety status of the extract. The hormonal assay (progesterone, follicle stimulating hormone, thyrotropin, luteinizing hormone, estradiol, testosterone and gonadotropin releasing hormone) results of the male and female rats after induction of diabetes revealed that the treatment with the different </w:t>
      </w:r>
      <w:r>
        <w:rPr>
          <w:rFonts w:ascii="Times New Roman" w:hAnsi="Times New Roman" w:cs="Times New Roman"/>
          <w:sz w:val="24"/>
          <w:szCs w:val="24"/>
        </w:rPr>
        <w:lastRenderedPageBreak/>
        <w:t xml:space="preserve">doses of </w:t>
      </w:r>
      <w:r>
        <w:rPr>
          <w:rFonts w:ascii="Times New Roman" w:hAnsi="Times New Roman" w:cs="Times New Roman"/>
          <w:i/>
          <w:iCs/>
          <w:sz w:val="24"/>
          <w:szCs w:val="24"/>
        </w:rPr>
        <w:t xml:space="preserve">Azanza </w:t>
      </w:r>
      <w:proofErr w:type="spellStart"/>
      <w:r>
        <w:rPr>
          <w:rFonts w:ascii="Times New Roman" w:hAnsi="Times New Roman" w:cs="Times New Roman"/>
          <w:i/>
          <w:iCs/>
          <w:sz w:val="24"/>
          <w:szCs w:val="24"/>
        </w:rPr>
        <w:t>garckeana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extract (1000mg/kg, and 2000mg/kg), metformin, and clomid have significantly corrected the hormone imbalance induced by the diabetes when compared to the negative control at the following </w:t>
      </w:r>
      <w:proofErr w:type="spellStart"/>
      <w:r>
        <w:rPr>
          <w:rFonts w:ascii="Times New Roman" w:hAnsi="Times New Roman" w:cs="Times New Roman"/>
          <w:sz w:val="24"/>
          <w:szCs w:val="24"/>
        </w:rPr>
        <w:t>p.values</w:t>
      </w:r>
      <w:proofErr w:type="spellEnd"/>
      <w:r>
        <w:rPr>
          <w:rFonts w:ascii="Times New Roman" w:hAnsi="Times New Roman" w:cs="Times New Roman"/>
          <w:sz w:val="24"/>
          <w:szCs w:val="24"/>
        </w:rPr>
        <w:t xml:space="preserve"> (p&lt;0.05; p&lt;0.01; p&lt;0.001; and p&lt;0.0001). The results also revealed that when compared to the normal control, clomid exhibited more effect followed by metformin and </w:t>
      </w:r>
      <w:r>
        <w:rPr>
          <w:rFonts w:ascii="Times New Roman" w:hAnsi="Times New Roman" w:cs="Times New Roman"/>
          <w:i/>
          <w:iCs/>
          <w:sz w:val="24"/>
          <w:szCs w:val="24"/>
        </w:rPr>
        <w:t xml:space="preserve">Azanza </w:t>
      </w:r>
      <w:proofErr w:type="spellStart"/>
      <w:r>
        <w:rPr>
          <w:rFonts w:ascii="Times New Roman" w:hAnsi="Times New Roman" w:cs="Times New Roman"/>
          <w:i/>
          <w:iCs/>
          <w:sz w:val="24"/>
          <w:szCs w:val="24"/>
        </w:rPr>
        <w:t>garckeana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extract(2000mg/kg). However, the histopathology results of the liver and the kidneys of the negative control and all the treated rats revealed adverse effects with features of hepatic and renal injuries compared to the normal control which showed a normal liver tissue with normal renal parenchyma kidney cells containing adequate glomeruli and renal tubules respectively. In conclusion, findings of this study </w:t>
      </w:r>
      <w:proofErr w:type="gramStart"/>
      <w:r>
        <w:rPr>
          <w:rFonts w:ascii="Times New Roman" w:hAnsi="Times New Roman" w:cs="Times New Roman"/>
          <w:sz w:val="24"/>
          <w:szCs w:val="24"/>
        </w:rPr>
        <w:t>indicates</w:t>
      </w:r>
      <w:proofErr w:type="gramEnd"/>
      <w:r>
        <w:rPr>
          <w:rFonts w:ascii="Times New Roman" w:hAnsi="Times New Roman" w:cs="Times New Roman"/>
          <w:sz w:val="24"/>
          <w:szCs w:val="24"/>
        </w:rPr>
        <w:t xml:space="preserve"> that the aqueous fruit extract of </w:t>
      </w:r>
      <w:r>
        <w:rPr>
          <w:rFonts w:ascii="Times New Roman" w:hAnsi="Times New Roman" w:cs="Times New Roman"/>
          <w:i/>
          <w:iCs/>
          <w:sz w:val="24"/>
          <w:szCs w:val="24"/>
        </w:rPr>
        <w:t xml:space="preserve">Azanza </w:t>
      </w:r>
      <w:proofErr w:type="spellStart"/>
      <w:r>
        <w:rPr>
          <w:rFonts w:ascii="Times New Roman" w:hAnsi="Times New Roman" w:cs="Times New Roman"/>
          <w:i/>
          <w:iCs/>
          <w:sz w:val="24"/>
          <w:szCs w:val="24"/>
        </w:rPr>
        <w:t>garckeana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can be used to manage, diabetes-related fertility hormonal imbalance and the management correction is dose dependent.</w:t>
      </w:r>
    </w:p>
    <w:p w14:paraId="197C82CE" w14:textId="77777777" w:rsidR="0035258B" w:rsidRDefault="00000000">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Infertility, diabetes mellitus, alloxan, aqueous extract, toxicity studies, hormonal assays, histopathology studies.</w:t>
      </w:r>
    </w:p>
    <w:p w14:paraId="58B2D66D" w14:textId="77777777" w:rsidR="0035258B" w:rsidRDefault="00000000">
      <w:pPr>
        <w:spacing w:line="480" w:lineRule="auto"/>
        <w:jc w:val="both"/>
        <w:rPr>
          <w:rFonts w:ascii="Times New Roman" w:hAnsi="Times New Roman" w:cs="Times New Roman"/>
          <w:sz w:val="24"/>
          <w:szCs w:val="24"/>
        </w:rPr>
      </w:pPr>
      <w:r>
        <w:rPr>
          <w:rFonts w:ascii="Times New Roman" w:hAnsi="Times New Roman" w:cs="Times New Roman"/>
          <w:b/>
          <w:bCs/>
          <w:sz w:val="24"/>
          <w:szCs w:val="24"/>
        </w:rPr>
        <w:t xml:space="preserve">1.0 INTRODUCTION </w:t>
      </w:r>
    </w:p>
    <w:p w14:paraId="5FD8F946" w14:textId="77777777" w:rsidR="0035258B"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Infertility is a broad-based phenomenon, with 186 million people around the world suffering from its effects (WHO, 2021). It is defined as a couple-based disease associated with an inability to conceive after 12 months of regular unprotected sexual intercourse (Sarah &amp; Deekshita, 2022). Infertility occurs in about 10-25 percent of couples of reproductive ages globally, and it is associated with negative health outcomes such as poor mental health, chronic health conditions like cardiovascular disease, and complications attributable to infertility treatments (</w:t>
      </w:r>
      <w:proofErr w:type="spellStart"/>
      <w:r>
        <w:rPr>
          <w:rFonts w:ascii="Times New Roman" w:hAnsi="Times New Roman" w:cs="Times New Roman"/>
          <w:sz w:val="24"/>
          <w:szCs w:val="24"/>
        </w:rPr>
        <w:t>Thoma</w:t>
      </w:r>
      <w:proofErr w:type="spellEnd"/>
      <w:r>
        <w:rPr>
          <w:rFonts w:ascii="Times New Roman" w:hAnsi="Times New Roman" w:cs="Times New Roman"/>
          <w:sz w:val="24"/>
          <w:szCs w:val="24"/>
        </w:rPr>
        <w:t xml:space="preserve"> et al., 2021). While the world’s population now approaches 8 billion people, global fertility rates have been declining for decades. The annual population growth rate was 2.1 percent in 1963, but by 2020, it had fallen to just 1 percent (World Bank Data, 2022). The overall drivers of this decline include increased access to contraception and reproductive health care, an increase in women seeking higher education, women’s empowerment in the workforce, improved child survival because fewer children die in infancy, increased cost of raising children, and overall greater gender equality (World Bank Data, 2022). Further complicating the picture are misconceptions that public health interventions such as vaccines or contraceptive use contribute to infertility. Such erroneous beliefs can hinder broader public health campaigns to encourage vaccination uptake, safer sex practices, and improved public health and safety (Thomas et al., 2021). Progress on infertility prevention and treatment </w:t>
      </w:r>
      <w:r>
        <w:rPr>
          <w:rFonts w:ascii="Times New Roman" w:hAnsi="Times New Roman" w:cs="Times New Roman"/>
          <w:sz w:val="24"/>
          <w:szCs w:val="24"/>
        </w:rPr>
        <w:lastRenderedPageBreak/>
        <w:t>is challenged by global misunderstandings of the key factors that have created the problem: the epidemiology of infertility, the shame and stigma associated with fertility struggles, and a lack of political will of policy makers to fund research and prevention interventions (</w:t>
      </w:r>
      <w:proofErr w:type="spellStart"/>
      <w:r>
        <w:rPr>
          <w:rFonts w:ascii="Times New Roman" w:hAnsi="Times New Roman" w:cs="Times New Roman"/>
          <w:sz w:val="24"/>
          <w:szCs w:val="24"/>
        </w:rPr>
        <w:t>Thoma</w:t>
      </w:r>
      <w:proofErr w:type="spellEnd"/>
      <w:r>
        <w:rPr>
          <w:rFonts w:ascii="Times New Roman" w:hAnsi="Times New Roman" w:cs="Times New Roman"/>
          <w:sz w:val="24"/>
          <w:szCs w:val="24"/>
        </w:rPr>
        <w:t xml:space="preserve"> et al., 2021). Implementing infertility treatment is also not a priority for many international organizations working in low and middle-income countries (LMICs) particularly those countries with high birth rates (</w:t>
      </w:r>
      <w:proofErr w:type="spellStart"/>
      <w:r>
        <w:rPr>
          <w:rFonts w:ascii="Times New Roman" w:hAnsi="Times New Roman" w:cs="Times New Roman"/>
          <w:sz w:val="24"/>
          <w:szCs w:val="24"/>
        </w:rPr>
        <w:t>Ombelet</w:t>
      </w:r>
      <w:proofErr w:type="spellEnd"/>
      <w:r>
        <w:rPr>
          <w:rFonts w:ascii="Times New Roman" w:hAnsi="Times New Roman" w:cs="Times New Roman"/>
          <w:sz w:val="24"/>
          <w:szCs w:val="24"/>
        </w:rPr>
        <w:t xml:space="preserve"> et al., 2008). High fertility rates may discourage interventions that would aid individuals in having children, adding to the complexity of balancing reproductive autonomy with a desire to stabilize population trends. Biochemically, thyroid dysfunction, immunological disorders, malabsorption of selected micro and macronutrients (vitamins), autoimmune mechanism (gluten intolerance), metabolic dysregulation (insulin resistance) are some of the factors that contribute to infertility. In both sexes, hormone imbalance is one of the major causes of infertility (WHO, 2021).</w:t>
      </w:r>
    </w:p>
    <w:p w14:paraId="21DFDEEE" w14:textId="77777777" w:rsidR="0035258B"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Infertility can be divided into primary infertility and secondary infertility. A woman who has never conceived despite cohabitation, regular sexual intercourse for 2 years is in a state of primary infertility while the secondary infertility is the status of a woman that has conceived previously but is subsequently unable to conceive. When a woman is able to conceive but unable to produce a live birth, it is called pregnancy wastage. Clinicians define subfertility as the difficulty experienced by some couples, both of whom may have reduced fertility jointly to conceive. In some cases, both the man and woman may be infertile or </w:t>
      </w:r>
      <w:proofErr w:type="spellStart"/>
      <w:r>
        <w:rPr>
          <w:rFonts w:ascii="Times New Roman" w:hAnsi="Times New Roman" w:cs="Times New Roman"/>
          <w:sz w:val="24"/>
          <w:szCs w:val="24"/>
        </w:rPr>
        <w:t>subfertile</w:t>
      </w:r>
      <w:proofErr w:type="spellEnd"/>
      <w:r>
        <w:rPr>
          <w:rFonts w:ascii="Times New Roman" w:hAnsi="Times New Roman" w:cs="Times New Roman"/>
          <w:sz w:val="24"/>
          <w:szCs w:val="24"/>
        </w:rPr>
        <w:t xml:space="preserve">, and couple’s infertility arises from the combination of these conditions. Some researchers have shown in other cases that the cause may be related to some biochemical parameters such as thyroid dysfunction, immunological disorders, autoimmune mechanisms, metabolic dysregulation, as well as malabsorption of selected micro- and macronutrient having an impact on the fertility; and the couple cannot conceive together without assistance (Avidor-Reiss, et al., 2015; Wasilewski, et al., 2020). Against this background, this research is a plant-based attempt to regulate the hormonal imbalance that occurs in diabetes patient thereby improving fertility status. Infertility is a condition with psychological, economic, medical implications resulting in trauma, stress, particularly in a social set-up like ours, with a strong emphasis on childbearing. According to the International Committee for Monitoring Assisted </w:t>
      </w:r>
      <w:r>
        <w:rPr>
          <w:rFonts w:ascii="Times New Roman" w:hAnsi="Times New Roman" w:cs="Times New Roman"/>
          <w:sz w:val="24"/>
          <w:szCs w:val="24"/>
        </w:rPr>
        <w:lastRenderedPageBreak/>
        <w:t xml:space="preserve">Reproductive Technology, World Health Organization (WHO), infertility is a disease of reproductive system defined by failure to achieve the clinical pregnancy after 12 months or more of regular unprotected sexual intercourse (Zegers-Hochschild et al., 2009). </w:t>
      </w:r>
    </w:p>
    <w:p w14:paraId="2478048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Diabetes and infertility in women </w:t>
      </w:r>
    </w:p>
    <w:p w14:paraId="2B52DED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Reproductive dysfunction is a common but little studied complication of diabetes. The spectrum of reproductive health problems in diabetes is broad, and encompasses delayed puberty and menarche, menstrual cycle abnormalities, subfertility, adverse pregnancy outcomes, and potentially early menopause (Lascar et al., 2018). Depending on the age at diagnosis of diabetes, reproductive problems can manifest early in puberty, emerge later when fertility is desired, or occur during the climacteric period (Schweiger et al., 2010). Historically, women with type 1 </w:t>
      </w:r>
    </w:p>
    <w:p w14:paraId="253B237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w:t>
      </w:r>
      <w:proofErr w:type="gramStart"/>
      <w:r>
        <w:rPr>
          <w:rFonts w:ascii="Times New Roman" w:eastAsia="CIDFont" w:hAnsi="Times New Roman" w:cs="Times New Roman"/>
          <w:color w:val="000000"/>
          <w:kern w:val="0"/>
          <w:sz w:val="24"/>
          <w:szCs w:val="24"/>
          <w:lang w:eastAsia="zh-CN" w:bidi="ar"/>
        </w:rPr>
        <w:t>have</w:t>
      </w:r>
      <w:proofErr w:type="gramEnd"/>
      <w:r>
        <w:rPr>
          <w:rFonts w:ascii="Times New Roman" w:eastAsia="CIDFont" w:hAnsi="Times New Roman" w:cs="Times New Roman"/>
          <w:color w:val="000000"/>
          <w:kern w:val="0"/>
          <w:sz w:val="24"/>
          <w:szCs w:val="24"/>
          <w:lang w:eastAsia="zh-CN" w:bidi="ar"/>
        </w:rPr>
        <w:t xml:space="preserve"> frequently had amenorrhea and infertility, due to central hypogonadism (Kim et al., 2014). With the intensification of insulin therapy and improved metabolic control, these problems have declined, but do persist. Additional reproductive implications of contemporary diabetes management are now emerging, including polycystic ovary syndrome and hyperandrogenism, which are underpinned by insulin action on the ovary (Codner and Escobar, 2007). The sharp rise in type 2 diabetes incidence in youth suggests that more women of reproductive age will encounter diabetes-related reproductive problems in their lifetimes (Kesley et al., 2018). With an ever-increasing number of young women living with diabetes, clinicians need to be aware of and equipped for the challenges of navigating reproductive health concerns across the lifespan (Kjaer et al., 1992). Diabetes mellitus Type 1 and Type 2 should be considered in the differential diagnosis of menstrual abnormalities and infertility (Mayer-Davis et al., 2017). The reproductive period of diabetic women may be reduced due to delayed menarche and premature menopause. During the reproductive years, diabetes has been associated with menstrual abnormalities, such as oligomenorrhea and secondary amenorrhea. Codner et al., (2012) found that better glycemic control and prevention of diabetic complications </w:t>
      </w:r>
      <w:proofErr w:type="gramStart"/>
      <w:r>
        <w:rPr>
          <w:rFonts w:ascii="Times New Roman" w:eastAsia="CIDFont" w:hAnsi="Times New Roman" w:cs="Times New Roman"/>
          <w:color w:val="000000"/>
          <w:kern w:val="0"/>
          <w:sz w:val="24"/>
          <w:szCs w:val="24"/>
          <w:lang w:eastAsia="zh-CN" w:bidi="ar"/>
        </w:rPr>
        <w:t>improves</w:t>
      </w:r>
      <w:proofErr w:type="gramEnd"/>
      <w:r>
        <w:rPr>
          <w:rFonts w:ascii="Times New Roman" w:eastAsia="CIDFont" w:hAnsi="Times New Roman" w:cs="Times New Roman"/>
          <w:color w:val="000000"/>
          <w:kern w:val="0"/>
          <w:sz w:val="24"/>
          <w:szCs w:val="24"/>
          <w:lang w:eastAsia="zh-CN" w:bidi="ar"/>
        </w:rPr>
        <w:t xml:space="preserve"> these irregularities and increases fertility rates close to those that are seen in the general population. Women with persistent menstrual abnormalities </w:t>
      </w:r>
      <w:r>
        <w:rPr>
          <w:rFonts w:ascii="Times New Roman" w:eastAsia="CIDFont" w:hAnsi="Times New Roman" w:cs="Times New Roman"/>
          <w:color w:val="000000"/>
          <w:kern w:val="0"/>
          <w:sz w:val="24"/>
          <w:szCs w:val="24"/>
          <w:lang w:eastAsia="zh-CN" w:bidi="ar"/>
        </w:rPr>
        <w:lastRenderedPageBreak/>
        <w:t>despite adequate treatment need to be approached by broader evaluation, which will include the examination of the hypothalamic</w:t>
      </w:r>
      <w:r>
        <w:rPr>
          <w:rFonts w:ascii="Times New Roman" w:hAnsi="Times New Roman" w:cs="Times New Roman"/>
          <w:sz w:val="24"/>
          <w:szCs w:val="24"/>
        </w:rPr>
        <w:t xml:space="preserve"> </w:t>
      </w:r>
      <w:r>
        <w:rPr>
          <w:rFonts w:ascii="Times New Roman" w:eastAsia="CIDFont" w:hAnsi="Times New Roman" w:cs="Times New Roman"/>
          <w:color w:val="000000"/>
          <w:kern w:val="0"/>
          <w:sz w:val="24"/>
          <w:szCs w:val="24"/>
          <w:lang w:eastAsia="zh-CN" w:bidi="ar"/>
        </w:rPr>
        <w:t>pituitary-ovarian axis and the hormonal status, presence of autoimmune thyroid disease and anti</w:t>
      </w:r>
      <w:r>
        <w:rPr>
          <w:rFonts w:ascii="Times New Roman" w:hAnsi="Times New Roman" w:cs="Times New Roman"/>
          <w:sz w:val="24"/>
          <w:szCs w:val="24"/>
        </w:rPr>
        <w:t>-</w:t>
      </w:r>
      <w:r>
        <w:rPr>
          <w:rFonts w:ascii="Times New Roman" w:eastAsia="CIDFont" w:hAnsi="Times New Roman" w:cs="Times New Roman"/>
          <w:color w:val="000000"/>
          <w:kern w:val="0"/>
          <w:sz w:val="24"/>
          <w:szCs w:val="24"/>
          <w:lang w:eastAsia="zh-CN" w:bidi="ar"/>
        </w:rPr>
        <w:t xml:space="preserve">ovarian autoantibodies, and hyperandrogenism (Palatnik, et al., 2009). Two studies found longer time to pregnancy and lower fecundability issue ratios among women with any type of diabetes compared with women without diabetes (Whitworth, et al., 2011; Eisenberg et al., 2016). The higher risk of miscarriage among women with type 2 diabetes found in this study is in line with earlier studies reporting higher issues of pregnancy losses among women with either type 1 or type 2 diabetes (Thong, et al.,2019, McGrogan et al.,2014), including a linear increase in the risk of spontaneous abortion with increasing glucose levels (Wei et al.,2019). Subsequent epidemiologic studies supported the fact that diagnosis of Type 1 diabetes prior to menarche, particularly before 10 years of age, caused a delay in </w:t>
      </w:r>
      <w:proofErr w:type="spellStart"/>
      <w:r>
        <w:rPr>
          <w:rFonts w:ascii="Times New Roman" w:eastAsia="CIDFont" w:hAnsi="Times New Roman" w:cs="Times New Roman"/>
          <w:color w:val="000000"/>
          <w:kern w:val="0"/>
          <w:sz w:val="24"/>
          <w:szCs w:val="24"/>
          <w:lang w:eastAsia="zh-CN" w:bidi="ar"/>
        </w:rPr>
        <w:t>menarchial</w:t>
      </w:r>
      <w:proofErr w:type="spellEnd"/>
      <w:r>
        <w:rPr>
          <w:rFonts w:ascii="Times New Roman" w:eastAsia="CIDFont" w:hAnsi="Times New Roman" w:cs="Times New Roman"/>
          <w:color w:val="000000"/>
          <w:kern w:val="0"/>
          <w:sz w:val="24"/>
          <w:szCs w:val="24"/>
          <w:lang w:eastAsia="zh-CN" w:bidi="ar"/>
        </w:rPr>
        <w:t xml:space="preserve"> age of approximately 1 year when compared with control (Yeshaya et al.,1995). Similar results were obtained in studies conducted in different demographic populations. Moreover, a correlation was found between the </w:t>
      </w:r>
      <w:proofErr w:type="spellStart"/>
      <w:r>
        <w:rPr>
          <w:rFonts w:ascii="Times New Roman" w:eastAsia="CIDFont" w:hAnsi="Times New Roman" w:cs="Times New Roman"/>
          <w:color w:val="000000"/>
          <w:kern w:val="0"/>
          <w:sz w:val="24"/>
          <w:szCs w:val="24"/>
          <w:lang w:eastAsia="zh-CN" w:bidi="ar"/>
        </w:rPr>
        <w:t>menarchial</w:t>
      </w:r>
      <w:proofErr w:type="spellEnd"/>
      <w:r>
        <w:rPr>
          <w:rFonts w:ascii="Times New Roman" w:eastAsia="CIDFont" w:hAnsi="Times New Roman" w:cs="Times New Roman"/>
          <w:color w:val="000000"/>
          <w:kern w:val="0"/>
          <w:sz w:val="24"/>
          <w:szCs w:val="24"/>
          <w:lang w:eastAsia="zh-CN" w:bidi="ar"/>
        </w:rPr>
        <w:t xml:space="preserve"> age delay and the presence of menstrual irregularities (Thong et al.,2019, McGrogan et al.,2014). Kjaer </w:t>
      </w:r>
      <w:r>
        <w:rPr>
          <w:rFonts w:ascii="Times New Roman" w:eastAsia="CIDFont" w:hAnsi="Times New Roman" w:cs="Times New Roman"/>
          <w:i/>
          <w:color w:val="000000"/>
          <w:kern w:val="0"/>
          <w:sz w:val="24"/>
          <w:szCs w:val="24"/>
          <w:lang w:eastAsia="zh-CN" w:bidi="ar"/>
        </w:rPr>
        <w:t>et al</w:t>
      </w:r>
      <w:r>
        <w:rPr>
          <w:rFonts w:ascii="Times New Roman" w:eastAsia="CIDFont" w:hAnsi="Times New Roman" w:cs="Times New Roman"/>
          <w:color w:val="000000"/>
          <w:kern w:val="0"/>
          <w:sz w:val="24"/>
          <w:szCs w:val="24"/>
          <w:lang w:eastAsia="zh-CN" w:bidi="ar"/>
        </w:rPr>
        <w:t xml:space="preserve"> found menstrual dysfunction to be twice frequent in diabetic women compared with nondiabetic controls (21.6 vs 10.8%) (Yeshaya et al.,1995), which is lower than reported by </w:t>
      </w:r>
      <w:proofErr w:type="spellStart"/>
      <w:r>
        <w:rPr>
          <w:rFonts w:ascii="Times New Roman" w:eastAsia="CIDFont" w:hAnsi="Times New Roman" w:cs="Times New Roman"/>
          <w:color w:val="000000"/>
          <w:kern w:val="0"/>
          <w:sz w:val="24"/>
          <w:szCs w:val="24"/>
          <w:lang w:eastAsia="zh-CN" w:bidi="ar"/>
        </w:rPr>
        <w:t>Begqvist</w:t>
      </w:r>
      <w:proofErr w:type="spellEnd"/>
      <w:r>
        <w:rPr>
          <w:rFonts w:ascii="Times New Roman" w:eastAsia="CIDFont" w:hAnsi="Times New Roman" w:cs="Times New Roman"/>
          <w:color w:val="000000"/>
          <w:kern w:val="0"/>
          <w:sz w:val="24"/>
          <w:szCs w:val="24"/>
          <w:lang w:eastAsia="zh-CN" w:bidi="ar"/>
        </w:rPr>
        <w:t xml:space="preserve">, but no less bothersome. In addition, in </w:t>
      </w:r>
      <w:proofErr w:type="spellStart"/>
      <w:r>
        <w:rPr>
          <w:rFonts w:ascii="Times New Roman" w:eastAsia="CIDFont" w:hAnsi="Times New Roman" w:cs="Times New Roman"/>
          <w:color w:val="000000"/>
          <w:kern w:val="0"/>
          <w:sz w:val="24"/>
          <w:szCs w:val="24"/>
          <w:lang w:eastAsia="zh-CN" w:bidi="ar"/>
        </w:rPr>
        <w:t>Strotmeyer’s</w:t>
      </w:r>
      <w:proofErr w:type="spellEnd"/>
      <w:r>
        <w:rPr>
          <w:rFonts w:ascii="Times New Roman" w:eastAsia="CIDFont" w:hAnsi="Times New Roman" w:cs="Times New Roman"/>
          <w:color w:val="000000"/>
          <w:kern w:val="0"/>
          <w:sz w:val="24"/>
          <w:szCs w:val="24"/>
          <w:lang w:eastAsia="zh-CN" w:bidi="ar"/>
        </w:rPr>
        <w:t xml:space="preserve"> study, Type 1 diabetes was independently associated with longer cycle length (&gt;31 days), long menstruation (≥6 days), heavy menstruation, and more reports of any menstrual problem at the younger age ranges (&lt;29 years) (Wei et al.,2019). As women moved closer to the end of their reproductive years, the differences found by diabetes status were no longer significant. The </w:t>
      </w:r>
      <w:proofErr w:type="gramStart"/>
      <w:r>
        <w:rPr>
          <w:rFonts w:ascii="Times New Roman" w:eastAsia="CIDFont" w:hAnsi="Times New Roman" w:cs="Times New Roman"/>
          <w:color w:val="000000"/>
          <w:kern w:val="0"/>
          <w:sz w:val="24"/>
          <w:szCs w:val="24"/>
          <w:lang w:eastAsia="zh-CN" w:bidi="ar"/>
        </w:rPr>
        <w:t>above described</w:t>
      </w:r>
      <w:proofErr w:type="gramEnd"/>
      <w:r>
        <w:rPr>
          <w:rFonts w:ascii="Times New Roman" w:eastAsia="CIDFont" w:hAnsi="Times New Roman" w:cs="Times New Roman"/>
          <w:color w:val="000000"/>
          <w:kern w:val="0"/>
          <w:sz w:val="24"/>
          <w:szCs w:val="24"/>
          <w:lang w:eastAsia="zh-CN" w:bidi="ar"/>
        </w:rPr>
        <w:t xml:space="preserve"> observations may reflect a general dysfunction of the hypothalamic– pituitary–ovarian (HPO) axis (Wei et al.,2019). The effect of Type 1 diabetes on the reproductive endocrine axis can be conceptualized as anorexia-like hypothalamic anovulation. Diabetic women with low BMI are more likely to have menstrual irregularities (Yeshaya et al.,1995). There are catabolic processes in young diabetic girls and nutritional restriction leads to intracellular starvation, especially before the diagnosis and initiating insulin treatment. This may subsequently cause disruption </w:t>
      </w:r>
      <w:r>
        <w:rPr>
          <w:rFonts w:ascii="Times New Roman" w:eastAsia="CIDFont" w:hAnsi="Times New Roman" w:cs="Times New Roman"/>
          <w:color w:val="000000"/>
          <w:kern w:val="0"/>
          <w:sz w:val="24"/>
          <w:szCs w:val="24"/>
          <w:lang w:eastAsia="zh-CN" w:bidi="ar"/>
        </w:rPr>
        <w:lastRenderedPageBreak/>
        <w:t xml:space="preserve">in hypothalamic pulsatile secretion of gonadotrophin-releasing hormone (GnRH), with a resultant decrease in gonadotropins secretion. </w:t>
      </w:r>
    </w:p>
    <w:p w14:paraId="68CB50E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Diabetes and infertility in men </w:t>
      </w:r>
    </w:p>
    <w:p w14:paraId="5AEBD09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mellitus is one of the most common medical conditions in the world. One of its major effects includes its impact on the male reproductive system. Up to 90% of diabetic men are affected by some kind of sexual dysfunction, such as erectile dysfunction, ejaculatory dysfunction, and decreased libido, which can impact male infertility. Study showed that diabetic patients in child-bearing age have alterations of conventional sperm parameters compared to non-diabetic controls. Of particular, the main alterations concern sperm concentration, progressive motility, and normal forms. Patients with DM1 showed a progressive motility that significantly deteriorated alongside the duration of the disease. Previous studies did not show significant variations of this parameter and no correlation with age, disease duration, or HbA1c levels (Agbaje, Rogers, McVicar, McClure, Atkinson, Mallidis, et al, 2007). Mitochondrial membrane potential is the main parameter that better reflects mitochondrial function, which regulates sperm motility. An association between decreased sperm progressive motility and an increase in the percentage of spermatozoa with low MMP has been shown in both groups of diabetic patients compared to controls. Other studies have shown that mitochondrial ultrastructural alterations are associated with a decreased sperm motility (Amaral, Lourenço, Marques, Ramalho-Santos, 2013 and Pelliccione, </w:t>
      </w:r>
      <w:proofErr w:type="spellStart"/>
      <w:r>
        <w:rPr>
          <w:rFonts w:ascii="Times New Roman" w:eastAsia="CIDFont" w:hAnsi="Times New Roman" w:cs="Times New Roman"/>
          <w:color w:val="000000"/>
          <w:kern w:val="0"/>
          <w:sz w:val="24"/>
          <w:szCs w:val="24"/>
          <w:lang w:eastAsia="zh-CN" w:bidi="ar"/>
        </w:rPr>
        <w:t>Micillo</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Cordeschi</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D’Angeli</w:t>
      </w:r>
      <w:proofErr w:type="spellEnd"/>
      <w:r>
        <w:rPr>
          <w:rFonts w:ascii="Times New Roman" w:eastAsia="CIDFont" w:hAnsi="Times New Roman" w:cs="Times New Roman"/>
          <w:color w:val="000000"/>
          <w:kern w:val="0"/>
          <w:sz w:val="24"/>
          <w:szCs w:val="24"/>
          <w:lang w:eastAsia="zh-CN" w:bidi="ar"/>
        </w:rPr>
        <w:t xml:space="preserve"> A, </w:t>
      </w:r>
      <w:proofErr w:type="spellStart"/>
      <w:r>
        <w:rPr>
          <w:rFonts w:ascii="Times New Roman" w:eastAsia="CIDFont" w:hAnsi="Times New Roman" w:cs="Times New Roman"/>
          <w:color w:val="000000"/>
          <w:kern w:val="0"/>
          <w:sz w:val="24"/>
          <w:szCs w:val="24"/>
          <w:lang w:eastAsia="zh-CN" w:bidi="ar"/>
        </w:rPr>
        <w:t>Necozione</w:t>
      </w:r>
      <w:proofErr w:type="spellEnd"/>
      <w:r>
        <w:rPr>
          <w:rFonts w:ascii="Times New Roman" w:eastAsia="CIDFont" w:hAnsi="Times New Roman" w:cs="Times New Roman"/>
          <w:color w:val="000000"/>
          <w:kern w:val="0"/>
          <w:sz w:val="24"/>
          <w:szCs w:val="24"/>
          <w:lang w:eastAsia="zh-CN" w:bidi="ar"/>
        </w:rPr>
        <w:t>, Gandini, 2011). In patients with DM1, the alteration of the mitochondrial function became evident in patients with a disease duration ranging between 5 and 10 years, whereas the alterations of sperm progressive motility became significant in patients with a disease duration greater than 10 years. Therefore, mitochondrial alteration seems to anticipate the subsequent and physiological decrease in sperm motility. The epididymis is a potential target of the oxidative stress in diabetic patients. Immunohistochemically analysis has shown the presence of AGE receptors in this organ (</w:t>
      </w:r>
      <w:proofErr w:type="spellStart"/>
      <w:r>
        <w:rPr>
          <w:rFonts w:ascii="Times New Roman" w:eastAsia="CIDFont" w:hAnsi="Times New Roman" w:cs="Times New Roman"/>
          <w:color w:val="000000"/>
          <w:kern w:val="0"/>
          <w:sz w:val="24"/>
          <w:szCs w:val="24"/>
          <w:lang w:eastAsia="zh-CN" w:bidi="ar"/>
        </w:rPr>
        <w:t>Mallidis</w:t>
      </w:r>
      <w:proofErr w:type="spellEnd"/>
      <w:r>
        <w:rPr>
          <w:rFonts w:ascii="Times New Roman" w:eastAsia="CIDFont" w:hAnsi="Times New Roman" w:cs="Times New Roman"/>
          <w:color w:val="000000"/>
          <w:kern w:val="0"/>
          <w:sz w:val="24"/>
          <w:szCs w:val="24"/>
          <w:lang w:eastAsia="zh-CN" w:bidi="ar"/>
        </w:rPr>
        <w:t xml:space="preserve">, Agbaje, Rogers, Glenn, Pringle, Atkinson, et al, 2009). </w:t>
      </w:r>
      <w:proofErr w:type="spellStart"/>
      <w:r>
        <w:rPr>
          <w:rFonts w:ascii="Times New Roman" w:eastAsia="CIDFont" w:hAnsi="Times New Roman" w:cs="Times New Roman"/>
          <w:color w:val="000000"/>
          <w:kern w:val="0"/>
          <w:sz w:val="24"/>
          <w:szCs w:val="24"/>
          <w:lang w:eastAsia="zh-CN" w:bidi="ar"/>
        </w:rPr>
        <w:t>Epidididymo</w:t>
      </w:r>
      <w:proofErr w:type="spellEnd"/>
      <w:r>
        <w:rPr>
          <w:rFonts w:ascii="Times New Roman" w:eastAsia="CIDFont" w:hAnsi="Times New Roman" w:cs="Times New Roman"/>
          <w:color w:val="000000"/>
          <w:kern w:val="0"/>
          <w:sz w:val="24"/>
          <w:szCs w:val="24"/>
          <w:lang w:eastAsia="zh-CN" w:bidi="ar"/>
        </w:rPr>
        <w:t xml:space="preserve">-epididymal ultrasound evaluation revealed a lack of physiological contraction of the cranial and caudal portion of the epididymis </w:t>
      </w:r>
      <w:r>
        <w:rPr>
          <w:rFonts w:ascii="Times New Roman" w:eastAsia="CIDFont" w:hAnsi="Times New Roman" w:cs="Times New Roman"/>
          <w:color w:val="000000"/>
          <w:kern w:val="0"/>
          <w:sz w:val="24"/>
          <w:szCs w:val="24"/>
          <w:lang w:eastAsia="zh-CN" w:bidi="ar"/>
        </w:rPr>
        <w:lastRenderedPageBreak/>
        <w:t xml:space="preserve">after ejaculation in DM1 patients. Conventionally, the ultrasound epididymal thickness decreases by approximately 3 mm after ejaculation, as found in DM1 patients with a duration of illness of less than 10 years. This decrease did not occur in patients with a long (&gt;10 years) disease duration suggesting </w:t>
      </w:r>
      <w:proofErr w:type="spellStart"/>
      <w:r>
        <w:rPr>
          <w:rFonts w:ascii="Times New Roman" w:eastAsia="CIDFont" w:hAnsi="Times New Roman" w:cs="Times New Roman"/>
          <w:color w:val="000000"/>
          <w:kern w:val="0"/>
          <w:sz w:val="24"/>
          <w:szCs w:val="24"/>
          <w:lang w:eastAsia="zh-CN" w:bidi="ar"/>
        </w:rPr>
        <w:t>anatonia</w:t>
      </w:r>
      <w:proofErr w:type="spellEnd"/>
      <w:r>
        <w:rPr>
          <w:rFonts w:ascii="Times New Roman" w:eastAsia="CIDFont" w:hAnsi="Times New Roman" w:cs="Times New Roman"/>
          <w:color w:val="000000"/>
          <w:kern w:val="0"/>
          <w:sz w:val="24"/>
          <w:szCs w:val="24"/>
          <w:lang w:eastAsia="zh-CN" w:bidi="ar"/>
        </w:rPr>
        <w:t xml:space="preserve">/hypotonia state of these anatomical structures, poorly studied in patients with DM1. </w:t>
      </w:r>
    </w:p>
    <w:p w14:paraId="23ADF17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UTILITY OF </w:t>
      </w:r>
      <w:r>
        <w:rPr>
          <w:rFonts w:ascii="Times New Roman" w:eastAsia="CIDFont" w:hAnsi="Times New Roman" w:cs="Times New Roman"/>
          <w:b/>
          <w:bCs/>
          <w:i/>
          <w:iCs/>
          <w:color w:val="000000"/>
          <w:kern w:val="0"/>
          <w:sz w:val="24"/>
          <w:szCs w:val="24"/>
          <w:lang w:eastAsia="zh-CN" w:bidi="ar"/>
        </w:rPr>
        <w:t xml:space="preserve">Azanza </w:t>
      </w:r>
      <w:proofErr w:type="spellStart"/>
      <w:r>
        <w:rPr>
          <w:rFonts w:ascii="Times New Roman" w:eastAsia="CIDFont" w:hAnsi="Times New Roman" w:cs="Times New Roman"/>
          <w:b/>
          <w:bCs/>
          <w:i/>
          <w:iCs/>
          <w:color w:val="000000"/>
          <w:kern w:val="0"/>
          <w:sz w:val="24"/>
          <w:szCs w:val="24"/>
          <w:lang w:eastAsia="zh-CN" w:bidi="ar"/>
        </w:rPr>
        <w:t>garckeana</w:t>
      </w:r>
      <w:proofErr w:type="spellEnd"/>
      <w:r>
        <w:rPr>
          <w:rFonts w:ascii="Times New Roman" w:eastAsia="CIDFont" w:hAnsi="Times New Roman" w:cs="Times New Roman"/>
          <w:b/>
          <w:bCs/>
          <w:i/>
          <w:iCs/>
          <w:color w:val="000000"/>
          <w:kern w:val="0"/>
          <w:sz w:val="24"/>
          <w:szCs w:val="24"/>
          <w:lang w:eastAsia="zh-CN" w:bidi="ar"/>
        </w:rPr>
        <w:t xml:space="preserve"> </w:t>
      </w:r>
    </w:p>
    <w:p w14:paraId="63146BE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is a deciduous shrub that grows to a height of 3-15 m. It grows naturally in </w:t>
      </w:r>
    </w:p>
    <w:p w14:paraId="217CF77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Tropical regions of Africa especially at 1700 m above sea level with total annual rainfall of </w:t>
      </w:r>
    </w:p>
    <w:p w14:paraId="522EECB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between 250 and 1270 mm (Orwa, Mutua, Kindt, </w:t>
      </w:r>
      <w:proofErr w:type="spellStart"/>
      <w:r>
        <w:rPr>
          <w:rFonts w:ascii="Times New Roman" w:eastAsia="CIDFont" w:hAnsi="Times New Roman" w:cs="Times New Roman"/>
          <w:color w:val="000000"/>
          <w:kern w:val="0"/>
          <w:sz w:val="24"/>
          <w:szCs w:val="24"/>
          <w:lang w:eastAsia="zh-CN" w:bidi="ar"/>
        </w:rPr>
        <w:t>Jamnadass</w:t>
      </w:r>
      <w:proofErr w:type="spellEnd"/>
      <w:r>
        <w:rPr>
          <w:rFonts w:ascii="Times New Roman" w:eastAsia="CIDFont" w:hAnsi="Times New Roman" w:cs="Times New Roman"/>
          <w:color w:val="000000"/>
          <w:kern w:val="0"/>
          <w:sz w:val="24"/>
          <w:szCs w:val="24"/>
          <w:lang w:eastAsia="zh-CN" w:bidi="ar"/>
        </w:rPr>
        <w:t xml:space="preserve">, Anthony, 2009). In Nigeria, it </w:t>
      </w:r>
    </w:p>
    <w:p w14:paraId="6D3D24A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grows mainly in a town called Tula in </w:t>
      </w:r>
      <w:proofErr w:type="spellStart"/>
      <w:r>
        <w:rPr>
          <w:rFonts w:ascii="Times New Roman" w:eastAsia="CIDFont" w:hAnsi="Times New Roman" w:cs="Times New Roman"/>
          <w:color w:val="000000"/>
          <w:kern w:val="0"/>
          <w:sz w:val="24"/>
          <w:szCs w:val="24"/>
          <w:lang w:eastAsia="zh-CN" w:bidi="ar"/>
        </w:rPr>
        <w:t>Kaltungo</w:t>
      </w:r>
      <w:proofErr w:type="spellEnd"/>
      <w:r>
        <w:rPr>
          <w:rFonts w:ascii="Times New Roman" w:eastAsia="CIDFont" w:hAnsi="Times New Roman" w:cs="Times New Roman"/>
          <w:color w:val="000000"/>
          <w:kern w:val="0"/>
          <w:sz w:val="24"/>
          <w:szCs w:val="24"/>
          <w:lang w:eastAsia="zh-CN" w:bidi="ar"/>
        </w:rPr>
        <w:t xml:space="preserve"> Local Government Area of Gombe State, North</w:t>
      </w:r>
    </w:p>
    <w:p w14:paraId="5DB4805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East region. It is also found in other African countries such as South Africa, Mozambique, </w:t>
      </w:r>
    </w:p>
    <w:p w14:paraId="70ABBFA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Botswana, Zimbabwe, Tanzania, DR Congo, Kenya, Malawi and Namibia. It is known by </w:t>
      </w:r>
    </w:p>
    <w:p w14:paraId="07E438C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different common and local names that include “silky kola”, “snot apple”, “chewing gum” and in </w:t>
      </w:r>
    </w:p>
    <w:p w14:paraId="5963966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local Hausa language, “Goron Tula” (“Tula” being the town it grows naturally in Nigeria </w:t>
      </w:r>
    </w:p>
    <w:p w14:paraId="5C8D619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while “</w:t>
      </w:r>
      <w:proofErr w:type="spellStart"/>
      <w:r>
        <w:rPr>
          <w:rFonts w:ascii="Times New Roman" w:eastAsia="CIDFont" w:hAnsi="Times New Roman" w:cs="Times New Roman"/>
          <w:color w:val="000000"/>
          <w:kern w:val="0"/>
          <w:sz w:val="24"/>
          <w:szCs w:val="24"/>
          <w:lang w:eastAsia="zh-CN" w:bidi="ar"/>
        </w:rPr>
        <w:t>goro</w:t>
      </w:r>
      <w:proofErr w:type="spellEnd"/>
      <w:r>
        <w:rPr>
          <w:rFonts w:ascii="Times New Roman" w:eastAsia="CIDFont" w:hAnsi="Times New Roman" w:cs="Times New Roman"/>
          <w:color w:val="000000"/>
          <w:kern w:val="0"/>
          <w:sz w:val="24"/>
          <w:szCs w:val="24"/>
          <w:lang w:eastAsia="zh-CN" w:bidi="ar"/>
        </w:rPr>
        <w:t xml:space="preserve">” means kola). In Nigeria, particularly around the areas among the communities </w:t>
      </w:r>
    </w:p>
    <w:p w14:paraId="36E5502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where it grows naturally,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has been associated with many socio-medicinal uses </w:t>
      </w:r>
    </w:p>
    <w:p w14:paraId="16406C1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 their traditional settings. It is traditionally used for the treatment of various ailments that </w:t>
      </w:r>
    </w:p>
    <w:p w14:paraId="407E8CB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include chest pain, cough, stomachache, menstrual disorder and sexually-transmitted diseases </w:t>
      </w:r>
    </w:p>
    <w:p w14:paraId="51E9E9D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such as gonorrhea and syphilis. It is also used traditionally to enhance libido as its consumption </w:t>
      </w:r>
    </w:p>
    <w:p w14:paraId="15BD3D1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is traditionally claimed to enhance development of a strong desire for sexual intercourse in both </w:t>
      </w:r>
    </w:p>
    <w:p w14:paraId="17DC8C1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males and females alike, suggesting its possible aphrodisiac property.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has </w:t>
      </w:r>
    </w:p>
    <w:p w14:paraId="02F7432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been reported to possess antibacterial and antifungal activities (</w:t>
      </w:r>
      <w:proofErr w:type="spellStart"/>
      <w:r>
        <w:rPr>
          <w:rFonts w:ascii="Times New Roman" w:eastAsia="CIDFont" w:hAnsi="Times New Roman" w:cs="Times New Roman"/>
          <w:color w:val="000000"/>
          <w:kern w:val="0"/>
          <w:sz w:val="24"/>
          <w:szCs w:val="24"/>
          <w:lang w:eastAsia="zh-CN" w:bidi="ar"/>
        </w:rPr>
        <w:t>Maroyi</w:t>
      </w:r>
      <w:proofErr w:type="spellEnd"/>
      <w:r>
        <w:rPr>
          <w:rFonts w:ascii="Times New Roman" w:eastAsia="CIDFont" w:hAnsi="Times New Roman" w:cs="Times New Roman"/>
          <w:color w:val="000000"/>
          <w:kern w:val="0"/>
          <w:sz w:val="24"/>
          <w:szCs w:val="24"/>
          <w:lang w:eastAsia="zh-CN" w:bidi="ar"/>
        </w:rPr>
        <w:t xml:space="preserve">, 2017), anti-hyperglycemic effect (Amuri, </w:t>
      </w:r>
      <w:proofErr w:type="spellStart"/>
      <w:r>
        <w:rPr>
          <w:rFonts w:ascii="Times New Roman" w:eastAsia="CIDFont" w:hAnsi="Times New Roman" w:cs="Times New Roman"/>
          <w:color w:val="000000"/>
          <w:kern w:val="0"/>
          <w:sz w:val="24"/>
          <w:szCs w:val="24"/>
          <w:lang w:eastAsia="zh-CN" w:bidi="ar"/>
        </w:rPr>
        <w:t>Maseho</w:t>
      </w:r>
      <w:proofErr w:type="spellEnd"/>
      <w:r>
        <w:rPr>
          <w:rFonts w:ascii="Times New Roman" w:eastAsia="CIDFont" w:hAnsi="Times New Roman" w:cs="Times New Roman"/>
          <w:color w:val="000000"/>
          <w:kern w:val="0"/>
          <w:sz w:val="24"/>
          <w:szCs w:val="24"/>
          <w:lang w:eastAsia="zh-CN" w:bidi="ar"/>
        </w:rPr>
        <w:t xml:space="preserve">, Simbi, Okusa, Duez, </w:t>
      </w:r>
      <w:proofErr w:type="spellStart"/>
      <w:r>
        <w:rPr>
          <w:rFonts w:ascii="Times New Roman" w:eastAsia="CIDFont" w:hAnsi="Times New Roman" w:cs="Times New Roman"/>
          <w:color w:val="000000"/>
          <w:kern w:val="0"/>
          <w:sz w:val="24"/>
          <w:szCs w:val="24"/>
          <w:lang w:eastAsia="zh-CN" w:bidi="ar"/>
        </w:rPr>
        <w:t>Byanga</w:t>
      </w:r>
      <w:proofErr w:type="spellEnd"/>
      <w:r>
        <w:rPr>
          <w:rFonts w:ascii="Times New Roman" w:eastAsia="CIDFont" w:hAnsi="Times New Roman" w:cs="Times New Roman"/>
          <w:color w:val="000000"/>
          <w:kern w:val="0"/>
          <w:sz w:val="24"/>
          <w:szCs w:val="24"/>
          <w:lang w:eastAsia="zh-CN" w:bidi="ar"/>
        </w:rPr>
        <w:t xml:space="preserve">, 2017), antioxidant and </w:t>
      </w:r>
    </w:p>
    <w:p w14:paraId="62D8A94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cytotoxicity activity (</w:t>
      </w:r>
      <w:proofErr w:type="spellStart"/>
      <w:r>
        <w:rPr>
          <w:rFonts w:ascii="Times New Roman" w:eastAsia="CIDFont" w:hAnsi="Times New Roman" w:cs="Times New Roman"/>
          <w:color w:val="000000"/>
          <w:kern w:val="0"/>
          <w:sz w:val="24"/>
          <w:szCs w:val="24"/>
          <w:lang w:eastAsia="zh-CN" w:bidi="ar"/>
        </w:rPr>
        <w:t>Maroyi</w:t>
      </w:r>
      <w:proofErr w:type="spellEnd"/>
      <w:r>
        <w:rPr>
          <w:rFonts w:ascii="Times New Roman" w:eastAsia="CIDFont" w:hAnsi="Times New Roman" w:cs="Times New Roman"/>
          <w:color w:val="000000"/>
          <w:kern w:val="0"/>
          <w:sz w:val="24"/>
          <w:szCs w:val="24"/>
          <w:lang w:eastAsia="zh-CN" w:bidi="ar"/>
        </w:rPr>
        <w:t xml:space="preserve">, 2017) and antimalarial property (Connelly, Fabiano, Patel, </w:t>
      </w:r>
    </w:p>
    <w:p w14:paraId="2CE2EEC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Kinyanjui, </w:t>
      </w:r>
      <w:proofErr w:type="spellStart"/>
      <w:r>
        <w:rPr>
          <w:rFonts w:ascii="Times New Roman" w:eastAsia="CIDFont" w:hAnsi="Times New Roman" w:cs="Times New Roman"/>
          <w:color w:val="000000"/>
          <w:kern w:val="0"/>
          <w:sz w:val="24"/>
          <w:szCs w:val="24"/>
          <w:lang w:eastAsia="zh-CN" w:bidi="ar"/>
        </w:rPr>
        <w:t>Mberu</w:t>
      </w:r>
      <w:proofErr w:type="spellEnd"/>
      <w:r>
        <w:rPr>
          <w:rFonts w:ascii="Times New Roman" w:eastAsia="CIDFont" w:hAnsi="Times New Roman" w:cs="Times New Roman"/>
          <w:color w:val="000000"/>
          <w:kern w:val="0"/>
          <w:sz w:val="24"/>
          <w:szCs w:val="24"/>
          <w:lang w:eastAsia="zh-CN" w:bidi="ar"/>
        </w:rPr>
        <w:t xml:space="preserve">, Watkins, 1996). Some of these pharmacological properties have been </w:t>
      </w:r>
    </w:p>
    <w:p w14:paraId="18EEF49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attributed to some of the phytochemicals such as tannins, flavonoids, saponins, alkaloids and </w:t>
      </w:r>
    </w:p>
    <w:p w14:paraId="222992A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xanthones that are found in it (Zhang, Gan, Li, Zhou, Li, Xu, Li, 2015). It has also been reported </w:t>
      </w:r>
    </w:p>
    <w:p w14:paraId="2FEBF60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 have </w:t>
      </w:r>
      <w:proofErr w:type="gramStart"/>
      <w:r>
        <w:rPr>
          <w:rFonts w:ascii="Times New Roman" w:eastAsia="CIDFont" w:hAnsi="Times New Roman" w:cs="Times New Roman"/>
          <w:color w:val="000000"/>
          <w:kern w:val="0"/>
          <w:sz w:val="24"/>
          <w:szCs w:val="24"/>
          <w:lang w:eastAsia="zh-CN" w:bidi="ar"/>
        </w:rPr>
        <w:t>high quality</w:t>
      </w:r>
      <w:proofErr w:type="gramEnd"/>
      <w:r>
        <w:rPr>
          <w:rFonts w:ascii="Times New Roman" w:eastAsia="CIDFont" w:hAnsi="Times New Roman" w:cs="Times New Roman"/>
          <w:color w:val="000000"/>
          <w:kern w:val="0"/>
          <w:sz w:val="24"/>
          <w:szCs w:val="24"/>
          <w:lang w:eastAsia="zh-CN" w:bidi="ar"/>
        </w:rPr>
        <w:t xml:space="preserve"> pectin of good industrial application especially in food and pharmaceutical </w:t>
      </w:r>
    </w:p>
    <w:p w14:paraId="0A4AFAF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industries (Joel, </w:t>
      </w:r>
      <w:proofErr w:type="spellStart"/>
      <w:r>
        <w:rPr>
          <w:rFonts w:ascii="Times New Roman" w:eastAsia="CIDFont" w:hAnsi="Times New Roman" w:cs="Times New Roman"/>
          <w:color w:val="000000"/>
          <w:kern w:val="0"/>
          <w:sz w:val="24"/>
          <w:szCs w:val="24"/>
          <w:lang w:eastAsia="zh-CN" w:bidi="ar"/>
        </w:rPr>
        <w:t>Barminas</w:t>
      </w:r>
      <w:proofErr w:type="spellEnd"/>
      <w:r>
        <w:rPr>
          <w:rFonts w:ascii="Times New Roman" w:eastAsia="CIDFont" w:hAnsi="Times New Roman" w:cs="Times New Roman"/>
          <w:color w:val="000000"/>
          <w:kern w:val="0"/>
          <w:sz w:val="24"/>
          <w:szCs w:val="24"/>
          <w:lang w:eastAsia="zh-CN" w:bidi="ar"/>
        </w:rPr>
        <w:t xml:space="preserve">, Riki, Yelwa, and Edeh, 2018).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has also been found </w:t>
      </w:r>
    </w:p>
    <w:p w14:paraId="798B5A1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to improve growth rate when included in a diet or feed at above 20 % in fish (</w:t>
      </w:r>
      <w:proofErr w:type="spellStart"/>
      <w:r>
        <w:rPr>
          <w:rFonts w:ascii="Times New Roman" w:eastAsia="CIDFont" w:hAnsi="Times New Roman" w:cs="Times New Roman"/>
          <w:color w:val="000000"/>
          <w:kern w:val="0"/>
          <w:sz w:val="24"/>
          <w:szCs w:val="24"/>
          <w:lang w:eastAsia="zh-CN" w:bidi="ar"/>
        </w:rPr>
        <w:t>Ochokwu</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Ajijola</w:t>
      </w:r>
      <w:proofErr w:type="spellEnd"/>
      <w:r>
        <w:rPr>
          <w:rFonts w:ascii="Times New Roman" w:eastAsia="CIDFont" w:hAnsi="Times New Roman" w:cs="Times New Roman"/>
          <w:color w:val="000000"/>
          <w:kern w:val="0"/>
          <w:sz w:val="24"/>
          <w:szCs w:val="24"/>
          <w:lang w:eastAsia="zh-CN" w:bidi="ar"/>
        </w:rPr>
        <w:t xml:space="preserve"> </w:t>
      </w:r>
    </w:p>
    <w:p w14:paraId="720C9F5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Onyia, 2014). Curiously,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is reported to have significant influence on </w:t>
      </w:r>
    </w:p>
    <w:p w14:paraId="694A9FC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fecundity and potential pro-fertility property in fish (Onyia, </w:t>
      </w:r>
      <w:proofErr w:type="spellStart"/>
      <w:r>
        <w:rPr>
          <w:rFonts w:ascii="Times New Roman" w:eastAsia="CIDFont" w:hAnsi="Times New Roman" w:cs="Times New Roman"/>
          <w:color w:val="000000"/>
          <w:kern w:val="0"/>
          <w:sz w:val="24"/>
          <w:szCs w:val="24"/>
          <w:lang w:eastAsia="zh-CN" w:bidi="ar"/>
        </w:rPr>
        <w:t>Ochokwu</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Diyaware</w:t>
      </w:r>
      <w:proofErr w:type="spellEnd"/>
      <w:r>
        <w:rPr>
          <w:rFonts w:ascii="Times New Roman" w:eastAsia="CIDFont" w:hAnsi="Times New Roman" w:cs="Times New Roman"/>
          <w:color w:val="000000"/>
          <w:kern w:val="0"/>
          <w:sz w:val="24"/>
          <w:szCs w:val="24"/>
          <w:lang w:eastAsia="zh-CN" w:bidi="ar"/>
        </w:rPr>
        <w:t xml:space="preserve">, and Michael, </w:t>
      </w:r>
    </w:p>
    <w:p w14:paraId="6EE186C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2015). </w:t>
      </w:r>
    </w:p>
    <w:p w14:paraId="5CFBDA6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2.0 MATERIALS AND METHODS </w:t>
      </w:r>
    </w:p>
    <w:p w14:paraId="44F598A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MATERIALS </w:t>
      </w:r>
    </w:p>
    <w:p w14:paraId="1CEEEBB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Plant Material </w:t>
      </w:r>
    </w:p>
    <w:p w14:paraId="14D6385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garkeana</w:t>
      </w:r>
      <w:proofErr w:type="spellEnd"/>
      <w:r>
        <w:rPr>
          <w:rFonts w:ascii="Times New Roman" w:eastAsia="CIDFont" w:hAnsi="Times New Roman" w:cs="Times New Roman"/>
          <w:color w:val="000000"/>
          <w:kern w:val="0"/>
          <w:sz w:val="24"/>
          <w:szCs w:val="24"/>
          <w:lang w:eastAsia="zh-CN" w:bidi="ar"/>
        </w:rPr>
        <w:t xml:space="preserve"> fruits were obtained from Tula village, </w:t>
      </w:r>
      <w:proofErr w:type="spellStart"/>
      <w:r>
        <w:rPr>
          <w:rFonts w:ascii="Times New Roman" w:eastAsia="CIDFont" w:hAnsi="Times New Roman" w:cs="Times New Roman"/>
          <w:color w:val="000000"/>
          <w:kern w:val="0"/>
          <w:sz w:val="24"/>
          <w:szCs w:val="24"/>
          <w:lang w:eastAsia="zh-CN" w:bidi="ar"/>
        </w:rPr>
        <w:t>Kaltungo</w:t>
      </w:r>
      <w:proofErr w:type="spellEnd"/>
      <w:r>
        <w:rPr>
          <w:rFonts w:ascii="Times New Roman" w:eastAsia="CIDFont" w:hAnsi="Times New Roman" w:cs="Times New Roman"/>
          <w:color w:val="000000"/>
          <w:kern w:val="0"/>
          <w:sz w:val="24"/>
          <w:szCs w:val="24"/>
          <w:lang w:eastAsia="zh-CN" w:bidi="ar"/>
        </w:rPr>
        <w:t xml:space="preserve"> Local Government area, </w:t>
      </w:r>
    </w:p>
    <w:p w14:paraId="793BCEB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Gombe State of North East Nigeria. It was identified and authenticated at the herbarium unit of </w:t>
      </w:r>
    </w:p>
    <w:p w14:paraId="067671B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College of Forestry opposite, University of Jos, Plateau State, Nigeria. Specimen was </w:t>
      </w:r>
    </w:p>
    <w:p w14:paraId="08F6341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deposited and voucher number (JUHN20000303) obtained. The fruits were washed and chopped </w:t>
      </w:r>
    </w:p>
    <w:p w14:paraId="6839BE7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 pieces, and then air dried at room temperature for 3 weeks. The chopped fruits were further </w:t>
      </w:r>
    </w:p>
    <w:p w14:paraId="0A4D6A4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dried at 60</w:t>
      </w:r>
      <w:r>
        <w:rPr>
          <w:rFonts w:ascii="Times New Roman" w:eastAsia="CIDFont" w:hAnsi="Times New Roman" w:cs="Times New Roman"/>
          <w:color w:val="000000"/>
          <w:kern w:val="0"/>
          <w:sz w:val="24"/>
          <w:szCs w:val="24"/>
          <w:vertAlign w:val="superscript"/>
          <w:lang w:eastAsia="zh-CN" w:bidi="ar"/>
        </w:rPr>
        <w:t>0</w:t>
      </w:r>
      <w:r>
        <w:rPr>
          <w:rFonts w:ascii="Times New Roman" w:eastAsia="CIDFont" w:hAnsi="Times New Roman" w:cs="Times New Roman"/>
          <w:color w:val="000000"/>
          <w:kern w:val="0"/>
          <w:sz w:val="24"/>
          <w:szCs w:val="24"/>
          <w:lang w:eastAsia="zh-CN" w:bidi="ar"/>
        </w:rPr>
        <w:t>C in an oven (</w:t>
      </w:r>
      <w:proofErr w:type="spellStart"/>
      <w:r>
        <w:rPr>
          <w:rFonts w:ascii="Times New Roman" w:eastAsia="CIDFont" w:hAnsi="Times New Roman" w:cs="Times New Roman"/>
          <w:color w:val="000000"/>
          <w:kern w:val="0"/>
          <w:sz w:val="24"/>
          <w:szCs w:val="24"/>
          <w:lang w:eastAsia="zh-CN" w:bidi="ar"/>
        </w:rPr>
        <w:t>Uniscope</w:t>
      </w:r>
      <w:proofErr w:type="spellEnd"/>
      <w:r>
        <w:rPr>
          <w:rFonts w:ascii="Times New Roman" w:eastAsia="CIDFont" w:hAnsi="Times New Roman" w:cs="Times New Roman"/>
          <w:color w:val="000000"/>
          <w:kern w:val="0"/>
          <w:sz w:val="24"/>
          <w:szCs w:val="24"/>
          <w:lang w:eastAsia="zh-CN" w:bidi="ar"/>
        </w:rPr>
        <w:t xml:space="preserve"> SM9053 </w:t>
      </w:r>
      <w:proofErr w:type="spellStart"/>
      <w:r>
        <w:rPr>
          <w:rFonts w:ascii="Times New Roman" w:eastAsia="CIDFont" w:hAnsi="Times New Roman" w:cs="Times New Roman"/>
          <w:color w:val="000000"/>
          <w:kern w:val="0"/>
          <w:sz w:val="24"/>
          <w:szCs w:val="24"/>
          <w:lang w:eastAsia="zh-CN" w:bidi="ar"/>
        </w:rPr>
        <w:t>Surgifriend</w:t>
      </w:r>
      <w:proofErr w:type="spellEnd"/>
      <w:r>
        <w:rPr>
          <w:rFonts w:ascii="Times New Roman" w:eastAsia="CIDFont" w:hAnsi="Times New Roman" w:cs="Times New Roman"/>
          <w:color w:val="000000"/>
          <w:kern w:val="0"/>
          <w:sz w:val="24"/>
          <w:szCs w:val="24"/>
          <w:lang w:eastAsia="zh-CN" w:bidi="ar"/>
        </w:rPr>
        <w:t xml:space="preserve"> medicals, England) to constant weight. </w:t>
      </w:r>
    </w:p>
    <w:p w14:paraId="56F1CC8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dried fruits were crushed into fine powder using mortar and pestle. </w:t>
      </w:r>
    </w:p>
    <w:p w14:paraId="153F2DA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Experimental Animals </w:t>
      </w:r>
    </w:p>
    <w:p w14:paraId="33C65F3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Sixty (60) adult male and female albino rats weighing between 136 g – 265 g were obtained from </w:t>
      </w:r>
    </w:p>
    <w:p w14:paraId="5C409AA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Animal House unit, Department of Pharmacology, Faculty of Pharmaceutical Sciences, </w:t>
      </w:r>
    </w:p>
    <w:p w14:paraId="3578C27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University of Jos. The rats were housed in well-ventilated rat cages, allowed to acclimatize to </w:t>
      </w:r>
    </w:p>
    <w:p w14:paraId="74C84C7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animal house condition for 7 days and were fed with standard rat pellet and tap water before the </w:t>
      </w:r>
    </w:p>
    <w:p w14:paraId="432AE5F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experiment. </w:t>
      </w:r>
    </w:p>
    <w:p w14:paraId="5FC4580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METHODS </w:t>
      </w:r>
    </w:p>
    <w:p w14:paraId="0A7283C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Preparation of </w:t>
      </w:r>
      <w:r>
        <w:rPr>
          <w:rFonts w:ascii="Times New Roman" w:eastAsia="CIDFont" w:hAnsi="Times New Roman" w:cs="Times New Roman"/>
          <w:b/>
          <w:bCs/>
          <w:i/>
          <w:iCs/>
          <w:color w:val="000000"/>
          <w:kern w:val="0"/>
          <w:sz w:val="24"/>
          <w:szCs w:val="24"/>
          <w:lang w:eastAsia="zh-CN" w:bidi="ar"/>
        </w:rPr>
        <w:t xml:space="preserve">Azanza </w:t>
      </w:r>
      <w:proofErr w:type="spellStart"/>
      <w:r>
        <w:rPr>
          <w:rFonts w:ascii="Times New Roman" w:eastAsia="CIDFont" w:hAnsi="Times New Roman" w:cs="Times New Roman"/>
          <w:b/>
          <w:bCs/>
          <w:i/>
          <w:iCs/>
          <w:color w:val="000000"/>
          <w:kern w:val="0"/>
          <w:sz w:val="24"/>
          <w:szCs w:val="24"/>
          <w:lang w:eastAsia="zh-CN" w:bidi="ar"/>
        </w:rPr>
        <w:t>garckeana</w:t>
      </w:r>
      <w:proofErr w:type="spellEnd"/>
      <w:r>
        <w:rPr>
          <w:rFonts w:ascii="Times New Roman" w:eastAsia="CIDFont" w:hAnsi="Times New Roman" w:cs="Times New Roman"/>
          <w:b/>
          <w:bCs/>
          <w:color w:val="000000"/>
          <w:kern w:val="0"/>
          <w:sz w:val="24"/>
          <w:szCs w:val="24"/>
          <w:lang w:eastAsia="zh-CN" w:bidi="ar"/>
        </w:rPr>
        <w:t xml:space="preserve"> fruit Extracts </w:t>
      </w:r>
    </w:p>
    <w:p w14:paraId="663529D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Aqueous extract of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was prepared by cutting the fruits open and the </w:t>
      </w:r>
    </w:p>
    <w:p w14:paraId="2093668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seeds removed. The fruits were air-dried at room temperature until constant weight was obtained, </w:t>
      </w:r>
    </w:p>
    <w:p w14:paraId="51D0930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then pounded into fine powder using ceramic mortar and pestle. The resulting powder was </w:t>
      </w:r>
    </w:p>
    <w:p w14:paraId="49A5021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macerated in distilled water for 24 hours for proper extraction according to the method described </w:t>
      </w:r>
    </w:p>
    <w:p w14:paraId="5A4D9C3F"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by Momodu et al. (2021) with slight modification. The samples were thereafter filtered using 35 </w:t>
      </w:r>
    </w:p>
    <w:p w14:paraId="6E6FF4B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Whatman No 1 filter paper and the filtrate were concentrated in oven at 55</w:t>
      </w:r>
      <w:r>
        <w:rPr>
          <w:rFonts w:ascii="Times New Roman" w:eastAsia="CIDFont" w:hAnsi="Times New Roman" w:cs="Times New Roman"/>
          <w:color w:val="000000"/>
          <w:kern w:val="0"/>
          <w:sz w:val="24"/>
          <w:szCs w:val="24"/>
          <w:vertAlign w:val="superscript"/>
          <w:lang w:eastAsia="zh-CN" w:bidi="ar"/>
        </w:rPr>
        <w:t>0</w:t>
      </w:r>
      <w:r>
        <w:rPr>
          <w:rFonts w:ascii="Times New Roman" w:eastAsia="CIDFont" w:hAnsi="Times New Roman" w:cs="Times New Roman"/>
          <w:color w:val="000000"/>
          <w:kern w:val="0"/>
          <w:sz w:val="24"/>
          <w:szCs w:val="24"/>
          <w:lang w:eastAsia="zh-CN" w:bidi="ar"/>
        </w:rPr>
        <w:t xml:space="preserve">C. The extract was </w:t>
      </w:r>
    </w:p>
    <w:p w14:paraId="580B72B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thereafter kept in air-tight container and stored in the refrigerator prior to use. Extract was </w:t>
      </w:r>
    </w:p>
    <w:p w14:paraId="4A3D6BF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reconstituted in distilled water to give the doses of 500 and 1000 mg/kg body weight for use in </w:t>
      </w:r>
    </w:p>
    <w:p w14:paraId="3162C7A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this study. </w:t>
      </w:r>
    </w:p>
    <w:p w14:paraId="3591457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Determination of LD50 of the aqueous extract of </w:t>
      </w:r>
      <w:r>
        <w:rPr>
          <w:rFonts w:ascii="Times New Roman" w:eastAsia="CIDFont" w:hAnsi="Times New Roman" w:cs="Times New Roman"/>
          <w:b/>
          <w:bCs/>
          <w:i/>
          <w:iCs/>
          <w:color w:val="000000"/>
          <w:kern w:val="0"/>
          <w:sz w:val="24"/>
          <w:szCs w:val="24"/>
          <w:lang w:eastAsia="zh-CN" w:bidi="ar"/>
        </w:rPr>
        <w:t xml:space="preserve">Azanza </w:t>
      </w:r>
      <w:proofErr w:type="spellStart"/>
      <w:r>
        <w:rPr>
          <w:rFonts w:ascii="Times New Roman" w:eastAsia="CIDFont" w:hAnsi="Times New Roman" w:cs="Times New Roman"/>
          <w:b/>
          <w:bCs/>
          <w:i/>
          <w:iCs/>
          <w:color w:val="000000"/>
          <w:kern w:val="0"/>
          <w:sz w:val="24"/>
          <w:szCs w:val="24"/>
          <w:lang w:eastAsia="zh-CN" w:bidi="ar"/>
        </w:rPr>
        <w:t>garckeana</w:t>
      </w:r>
      <w:proofErr w:type="spellEnd"/>
      <w:r>
        <w:rPr>
          <w:rFonts w:ascii="Times New Roman" w:eastAsia="CIDFont" w:hAnsi="Times New Roman" w:cs="Times New Roman"/>
          <w:b/>
          <w:bCs/>
          <w:i/>
          <w:iCs/>
          <w:color w:val="000000"/>
          <w:kern w:val="0"/>
          <w:sz w:val="24"/>
          <w:szCs w:val="24"/>
          <w:lang w:eastAsia="zh-CN" w:bidi="ar"/>
        </w:rPr>
        <w:t xml:space="preserve"> </w:t>
      </w:r>
      <w:r>
        <w:rPr>
          <w:rFonts w:ascii="Times New Roman" w:eastAsia="CIDFont" w:hAnsi="Times New Roman" w:cs="Times New Roman"/>
          <w:b/>
          <w:bCs/>
          <w:color w:val="000000"/>
          <w:kern w:val="0"/>
          <w:sz w:val="24"/>
          <w:szCs w:val="24"/>
          <w:lang w:eastAsia="zh-CN" w:bidi="ar"/>
        </w:rPr>
        <w:t xml:space="preserve">fruit </w:t>
      </w:r>
    </w:p>
    <w:p w14:paraId="212338E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Median lethal dose (LD50) is the logarithm dose of a drug that kills 50% of the population to </w:t>
      </w:r>
    </w:p>
    <w:p w14:paraId="5F4BD39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which the drug is administered. </w:t>
      </w:r>
      <w:proofErr w:type="spellStart"/>
      <w:r>
        <w:rPr>
          <w:rFonts w:ascii="Times New Roman" w:eastAsia="CIDFont" w:hAnsi="Times New Roman" w:cs="Times New Roman"/>
          <w:color w:val="000000"/>
          <w:kern w:val="0"/>
          <w:sz w:val="24"/>
          <w:szCs w:val="24"/>
          <w:lang w:eastAsia="zh-CN" w:bidi="ar"/>
        </w:rPr>
        <w:t>Lorke</w:t>
      </w:r>
      <w:proofErr w:type="spellEnd"/>
      <w:r>
        <w:rPr>
          <w:rFonts w:ascii="Times New Roman" w:eastAsia="CIDFont" w:hAnsi="Times New Roman" w:cs="Times New Roman"/>
          <w:color w:val="000000"/>
          <w:kern w:val="0"/>
          <w:sz w:val="24"/>
          <w:szCs w:val="24"/>
          <w:lang w:eastAsia="zh-CN" w:bidi="ar"/>
        </w:rPr>
        <w:t xml:space="preserve"> method has been used to determine this lethal dose </w:t>
      </w:r>
    </w:p>
    <w:p w14:paraId="7B01D6A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t>
      </w:r>
      <w:proofErr w:type="spellStart"/>
      <w:r>
        <w:rPr>
          <w:rFonts w:ascii="Times New Roman" w:eastAsia="CIDFont" w:hAnsi="Times New Roman" w:cs="Times New Roman"/>
          <w:color w:val="000000"/>
          <w:kern w:val="0"/>
          <w:sz w:val="24"/>
          <w:szCs w:val="24"/>
          <w:lang w:eastAsia="zh-CN" w:bidi="ar"/>
        </w:rPr>
        <w:t>Lorke</w:t>
      </w:r>
      <w:proofErr w:type="spellEnd"/>
      <w:r>
        <w:rPr>
          <w:rFonts w:ascii="Times New Roman" w:eastAsia="CIDFont" w:hAnsi="Times New Roman" w:cs="Times New Roman"/>
          <w:color w:val="000000"/>
          <w:kern w:val="0"/>
          <w:sz w:val="24"/>
          <w:szCs w:val="24"/>
          <w:lang w:eastAsia="zh-CN" w:bidi="ar"/>
        </w:rPr>
        <w:t xml:space="preserve">, 1983). Acute and subacute toxicity was carried out. Acute toxicity was done to determine whether or not the plant extract possesses a short-term effect on the experimental </w:t>
      </w:r>
    </w:p>
    <w:p w14:paraId="1094630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animals. Whereas subacute toxicity was done to determine whether or not the plant extract possesses some effects that could affect biochemical parameters of the experimental animals. </w:t>
      </w:r>
    </w:p>
    <w:p w14:paraId="27A759A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determination of the acute toxicity (LD50) of the extract was done using the method of </w:t>
      </w:r>
    </w:p>
    <w:p w14:paraId="5A276DA1" w14:textId="77777777" w:rsidR="0035258B" w:rsidRDefault="00000000">
      <w:pPr>
        <w:spacing w:line="480" w:lineRule="auto"/>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Lorke</w:t>
      </w:r>
      <w:proofErr w:type="spellEnd"/>
      <w:r>
        <w:rPr>
          <w:rFonts w:ascii="Times New Roman" w:eastAsia="CIDFont" w:hAnsi="Times New Roman" w:cs="Times New Roman"/>
          <w:color w:val="000000"/>
          <w:kern w:val="0"/>
          <w:sz w:val="24"/>
          <w:szCs w:val="24"/>
          <w:lang w:eastAsia="zh-CN" w:bidi="ar"/>
        </w:rPr>
        <w:t xml:space="preserve"> (1983). Twenty-four (24) male and female rats were randomly divided into two groups </w:t>
      </w:r>
    </w:p>
    <w:p w14:paraId="35A58D0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(alpha and beta) consisting of 12 and 12 rats respectively. The first group was further divided </w:t>
      </w:r>
    </w:p>
    <w:p w14:paraId="2B205A0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into six (6) groups consisting of two (2) rats each (i.e. A - F). Group A B, C, D, E and F received 10, 100, 1000, 1600, 2900 and 5000, mg/kg body weight doses of the extract respectively (Table 2). The first group (alpha) received treatment for 1 day and no mortality was recorded after observation, and the second group (beta) was divided into six (6) groups consisting of two (2) rats each (i.e. A-F). They received treatment of 10, 100, 1000, 1600, 2800, and 5000 mg/kg body weight doses of the extract respectively for 21 days. Extracts were administered orally using an oral cannula. The aqueous extract was weighed and dissolved in distilled water based on doses to be administered. Care was taken to prevent spills and injury to the animal. </w:t>
      </w:r>
    </w:p>
    <w:p w14:paraId="132B7F0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Rats were sacrificed 24 h after the last treatment was administered and their blood, liver and </w:t>
      </w:r>
    </w:p>
    <w:p w14:paraId="06B46B3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kidney collected into plain tubes for determination of liver and kidney function indices. This was </w:t>
      </w:r>
    </w:p>
    <w:p w14:paraId="5281B74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done according to guidelines specified by Institutional Animal Care and Use Committee </w:t>
      </w:r>
    </w:p>
    <w:p w14:paraId="556115A1" w14:textId="77777777" w:rsidR="0035258B" w:rsidRDefault="00000000">
      <w:pPr>
        <w:spacing w:line="480" w:lineRule="auto"/>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(IACUC). </w:t>
      </w:r>
    </w:p>
    <w:p w14:paraId="024A519C" w14:textId="54B3A10B" w:rsidR="00704B93" w:rsidRPr="00704B93" w:rsidRDefault="00704B93" w:rsidP="00704B93">
      <w:pPr>
        <w:pStyle w:val="ListParagraph"/>
        <w:numPr>
          <w:ilvl w:val="0"/>
          <w:numId w:val="12"/>
        </w:numPr>
        <w:spacing w:line="480" w:lineRule="auto"/>
        <w:jc w:val="both"/>
        <w:rPr>
          <w:rFonts w:eastAsia="CIDFont"/>
          <w:b/>
          <w:bCs/>
          <w:color w:val="000000"/>
          <w:sz w:val="24"/>
          <w:szCs w:val="24"/>
          <w:lang w:eastAsia="zh-CN" w:bidi="ar"/>
        </w:rPr>
      </w:pPr>
      <w:r w:rsidRPr="00704B93">
        <w:rPr>
          <w:rFonts w:eastAsia="CIDFont"/>
          <w:b/>
          <w:bCs/>
          <w:color w:val="000000"/>
          <w:sz w:val="24"/>
          <w:szCs w:val="24"/>
          <w:lang w:eastAsia="zh-CN" w:bidi="ar"/>
        </w:rPr>
        <w:t>RESULTS</w:t>
      </w:r>
    </w:p>
    <w:p w14:paraId="2CAD558A" w14:textId="060933C7" w:rsidR="00704B93" w:rsidRDefault="00704B93" w:rsidP="00704B93">
      <w:pPr>
        <w:pStyle w:val="Heading2"/>
        <w:tabs>
          <w:tab w:val="left" w:pos="733"/>
        </w:tabs>
        <w:spacing w:before="161"/>
        <w:ind w:left="359"/>
        <w:rPr>
          <w:i/>
        </w:rPr>
      </w:pPr>
      <w:r>
        <w:lastRenderedPageBreak/>
        <w:t>3.1THE</w:t>
      </w:r>
      <w:r>
        <w:rPr>
          <w:spacing w:val="4"/>
        </w:rPr>
        <w:t xml:space="preserve"> </w:t>
      </w:r>
      <w:r>
        <w:t>PHYTOCHEMICAL</w:t>
      </w:r>
      <w:r>
        <w:rPr>
          <w:spacing w:val="5"/>
        </w:rPr>
        <w:t xml:space="preserve"> </w:t>
      </w:r>
      <w:r>
        <w:t>SCREENING</w:t>
      </w:r>
      <w:r>
        <w:rPr>
          <w:spacing w:val="4"/>
        </w:rPr>
        <w:t xml:space="preserve"> </w:t>
      </w:r>
      <w:r>
        <w:t>OF</w:t>
      </w:r>
      <w:r>
        <w:rPr>
          <w:spacing w:val="5"/>
        </w:rPr>
        <w:t xml:space="preserve"> </w:t>
      </w:r>
      <w:r>
        <w:t>THE</w:t>
      </w:r>
      <w:r>
        <w:rPr>
          <w:spacing w:val="4"/>
        </w:rPr>
        <w:t xml:space="preserve"> </w:t>
      </w:r>
      <w:r>
        <w:t>AQUEOUS</w:t>
      </w:r>
      <w:r>
        <w:rPr>
          <w:spacing w:val="5"/>
        </w:rPr>
        <w:t xml:space="preserve"> </w:t>
      </w:r>
      <w:r>
        <w:t>EXTRACT</w:t>
      </w:r>
      <w:r>
        <w:rPr>
          <w:spacing w:val="7"/>
        </w:rPr>
        <w:t xml:space="preserve"> </w:t>
      </w:r>
      <w:r>
        <w:t>OF</w:t>
      </w:r>
      <w:r>
        <w:rPr>
          <w:spacing w:val="14"/>
        </w:rPr>
        <w:t xml:space="preserve"> </w:t>
      </w:r>
      <w:r>
        <w:rPr>
          <w:i/>
          <w:spacing w:val="-2"/>
        </w:rPr>
        <w:t>Azanza</w:t>
      </w:r>
    </w:p>
    <w:p w14:paraId="10B769CD" w14:textId="77777777" w:rsidR="00704B93" w:rsidRDefault="00704B93" w:rsidP="00704B93">
      <w:pPr>
        <w:pStyle w:val="BodyText"/>
        <w:rPr>
          <w:b/>
          <w:i/>
        </w:rPr>
      </w:pPr>
    </w:p>
    <w:p w14:paraId="676288B4" w14:textId="77777777" w:rsidR="00704B93" w:rsidRDefault="00704B93" w:rsidP="00704B93">
      <w:pPr>
        <w:ind w:left="360"/>
        <w:jc w:val="both"/>
        <w:rPr>
          <w:b/>
          <w:sz w:val="24"/>
        </w:rPr>
      </w:pPr>
      <w:proofErr w:type="spellStart"/>
      <w:r>
        <w:rPr>
          <w:b/>
          <w:i/>
          <w:sz w:val="24"/>
        </w:rPr>
        <w:t>garckeana</w:t>
      </w:r>
      <w:proofErr w:type="spellEnd"/>
      <w:r>
        <w:rPr>
          <w:b/>
          <w:i/>
          <w:spacing w:val="-11"/>
          <w:sz w:val="24"/>
        </w:rPr>
        <w:t xml:space="preserve"> </w:t>
      </w:r>
      <w:r>
        <w:rPr>
          <w:b/>
          <w:spacing w:val="-2"/>
          <w:sz w:val="24"/>
        </w:rPr>
        <w:t>FRUIT</w:t>
      </w:r>
    </w:p>
    <w:p w14:paraId="4A235A2D" w14:textId="77777777" w:rsidR="00704B93" w:rsidRDefault="00704B93" w:rsidP="00704B93">
      <w:pPr>
        <w:pStyle w:val="BodyText"/>
        <w:spacing w:before="158"/>
        <w:rPr>
          <w:b/>
        </w:rPr>
      </w:pPr>
    </w:p>
    <w:p w14:paraId="494742B2" w14:textId="77777777" w:rsidR="00704B93" w:rsidRDefault="00704B93" w:rsidP="00704B93">
      <w:pPr>
        <w:pStyle w:val="BodyText"/>
        <w:spacing w:line="480" w:lineRule="auto"/>
        <w:ind w:left="360" w:right="361"/>
        <w:jc w:val="both"/>
      </w:pPr>
      <w:r>
        <w:t>The phytochemical</w:t>
      </w:r>
      <w:r>
        <w:rPr>
          <w:spacing w:val="-1"/>
        </w:rPr>
        <w:t xml:space="preserve"> </w:t>
      </w:r>
      <w:r>
        <w:t>screening of the aqueous and methanolic extract</w:t>
      </w:r>
      <w:r>
        <w:rPr>
          <w:spacing w:val="-1"/>
        </w:rPr>
        <w:t xml:space="preserve"> </w:t>
      </w:r>
      <w:r>
        <w:t>of A</w:t>
      </w:r>
      <w:r>
        <w:rPr>
          <w:i/>
        </w:rPr>
        <w:t xml:space="preserve">zanza </w:t>
      </w:r>
      <w:proofErr w:type="spellStart"/>
      <w:r>
        <w:rPr>
          <w:i/>
        </w:rPr>
        <w:t>garckeana</w:t>
      </w:r>
      <w:proofErr w:type="spellEnd"/>
      <w:r>
        <w:rPr>
          <w:i/>
        </w:rPr>
        <w:t xml:space="preserve"> </w:t>
      </w:r>
      <w:r>
        <w:t>shows that both contain Alkaloids and carbohydrate. The aqueous extract in addition contains tannins and saponins while the methanolic extract in addition contain Flavonoids respectively</w:t>
      </w:r>
    </w:p>
    <w:p w14:paraId="36E1DF7F" w14:textId="77777777" w:rsidR="00704B93" w:rsidRDefault="00704B93" w:rsidP="00704B93">
      <w:pPr>
        <w:pStyle w:val="BodyText"/>
        <w:jc w:val="both"/>
        <w:sectPr w:rsidR="00704B93" w:rsidSect="00704B93">
          <w:headerReference w:type="even" r:id="rId7"/>
          <w:headerReference w:type="default" r:id="rId8"/>
          <w:footerReference w:type="even" r:id="rId9"/>
          <w:footerReference w:type="default" r:id="rId10"/>
          <w:headerReference w:type="first" r:id="rId11"/>
          <w:footerReference w:type="first" r:id="rId12"/>
          <w:pgSz w:w="12240" w:h="15840"/>
          <w:pgMar w:top="1320" w:right="1080" w:bottom="280" w:left="1080" w:header="752" w:footer="0" w:gutter="0"/>
          <w:cols w:space="720"/>
        </w:sectPr>
      </w:pPr>
    </w:p>
    <w:p w14:paraId="1247DA44" w14:textId="77777777" w:rsidR="00704B93" w:rsidRDefault="00704B93" w:rsidP="00704B93">
      <w:pPr>
        <w:spacing w:before="100"/>
        <w:ind w:left="360"/>
        <w:rPr>
          <w:i/>
          <w:sz w:val="24"/>
        </w:rPr>
      </w:pPr>
      <w:r>
        <w:rPr>
          <w:b/>
          <w:sz w:val="24"/>
        </w:rPr>
        <w:lastRenderedPageBreak/>
        <w:t>Table</w:t>
      </w:r>
      <w:r>
        <w:rPr>
          <w:b/>
          <w:spacing w:val="-10"/>
          <w:sz w:val="24"/>
        </w:rPr>
        <w:t xml:space="preserve"> </w:t>
      </w:r>
      <w:r>
        <w:rPr>
          <w:b/>
          <w:sz w:val="24"/>
        </w:rPr>
        <w:t>1:</w:t>
      </w:r>
      <w:r>
        <w:rPr>
          <w:b/>
          <w:spacing w:val="-6"/>
          <w:sz w:val="24"/>
        </w:rPr>
        <w:t xml:space="preserve"> </w:t>
      </w:r>
      <w:r>
        <w:rPr>
          <w:sz w:val="24"/>
        </w:rPr>
        <w:t>Phytochemical</w:t>
      </w:r>
      <w:r>
        <w:rPr>
          <w:spacing w:val="-8"/>
          <w:sz w:val="24"/>
        </w:rPr>
        <w:t xml:space="preserve"> </w:t>
      </w:r>
      <w:r>
        <w:rPr>
          <w:sz w:val="24"/>
        </w:rPr>
        <w:t>screening</w:t>
      </w:r>
      <w:r>
        <w:rPr>
          <w:spacing w:val="-8"/>
          <w:sz w:val="24"/>
        </w:rPr>
        <w:t xml:space="preserve"> </w:t>
      </w:r>
      <w:r>
        <w:rPr>
          <w:sz w:val="24"/>
        </w:rPr>
        <w:t>of</w:t>
      </w:r>
      <w:r>
        <w:rPr>
          <w:spacing w:val="-3"/>
          <w:sz w:val="24"/>
        </w:rPr>
        <w:t xml:space="preserve"> </w:t>
      </w:r>
      <w:r>
        <w:rPr>
          <w:i/>
          <w:sz w:val="24"/>
        </w:rPr>
        <w:t>Azanza</w:t>
      </w:r>
      <w:r>
        <w:rPr>
          <w:i/>
          <w:spacing w:val="-8"/>
          <w:sz w:val="24"/>
        </w:rPr>
        <w:t xml:space="preserve"> </w:t>
      </w:r>
      <w:proofErr w:type="spellStart"/>
      <w:r>
        <w:rPr>
          <w:i/>
          <w:spacing w:val="-2"/>
          <w:sz w:val="24"/>
        </w:rPr>
        <w:t>garkeana</w:t>
      </w:r>
      <w:proofErr w:type="spellEnd"/>
    </w:p>
    <w:p w14:paraId="698D0EFC" w14:textId="77777777" w:rsidR="00704B93" w:rsidRDefault="00704B93" w:rsidP="00704B93">
      <w:pPr>
        <w:pStyle w:val="BodyText"/>
        <w:spacing w:before="212"/>
        <w:rPr>
          <w:i/>
          <w:sz w:val="20"/>
        </w:rPr>
      </w:pPr>
    </w:p>
    <w:tbl>
      <w:tblPr>
        <w:tblW w:w="0" w:type="auto"/>
        <w:tblInd w:w="259" w:type="dxa"/>
        <w:tblLayout w:type="fixed"/>
        <w:tblCellMar>
          <w:left w:w="0" w:type="dxa"/>
          <w:right w:w="0" w:type="dxa"/>
        </w:tblCellMar>
        <w:tblLook w:val="04A0" w:firstRow="1" w:lastRow="0" w:firstColumn="1" w:lastColumn="0" w:noHBand="0" w:noVBand="1"/>
      </w:tblPr>
      <w:tblGrid>
        <w:gridCol w:w="3841"/>
        <w:gridCol w:w="2667"/>
        <w:gridCol w:w="2995"/>
      </w:tblGrid>
      <w:tr w:rsidR="00704B93" w14:paraId="40DF28D4" w14:textId="77777777" w:rsidTr="00912F9D">
        <w:trPr>
          <w:trHeight w:val="585"/>
        </w:trPr>
        <w:tc>
          <w:tcPr>
            <w:tcW w:w="3841" w:type="dxa"/>
            <w:tcBorders>
              <w:top w:val="single" w:sz="4" w:space="0" w:color="000000"/>
              <w:bottom w:val="single" w:sz="4" w:space="0" w:color="000000"/>
            </w:tcBorders>
          </w:tcPr>
          <w:p w14:paraId="6384C0CC" w14:textId="77777777" w:rsidR="00704B93" w:rsidRDefault="00704B93" w:rsidP="00912F9D">
            <w:pPr>
              <w:pStyle w:val="TableParagraph"/>
              <w:spacing w:line="275" w:lineRule="exact"/>
              <w:ind w:left="108"/>
              <w:rPr>
                <w:b/>
                <w:sz w:val="24"/>
              </w:rPr>
            </w:pPr>
            <w:r>
              <w:rPr>
                <w:b/>
                <w:spacing w:val="-2"/>
                <w:sz w:val="24"/>
              </w:rPr>
              <w:t>PHYTOCHEMICALS</w:t>
            </w:r>
          </w:p>
        </w:tc>
        <w:tc>
          <w:tcPr>
            <w:tcW w:w="2667" w:type="dxa"/>
            <w:tcBorders>
              <w:top w:val="single" w:sz="4" w:space="0" w:color="000000"/>
              <w:bottom w:val="single" w:sz="4" w:space="0" w:color="000000"/>
            </w:tcBorders>
          </w:tcPr>
          <w:p w14:paraId="76E5377C" w14:textId="77777777" w:rsidR="00704B93" w:rsidRDefault="00704B93" w:rsidP="00912F9D">
            <w:pPr>
              <w:pStyle w:val="TableParagraph"/>
              <w:spacing w:line="275" w:lineRule="exact"/>
              <w:ind w:left="968"/>
              <w:rPr>
                <w:b/>
                <w:sz w:val="24"/>
              </w:rPr>
            </w:pPr>
            <w:r>
              <w:rPr>
                <w:b/>
                <w:spacing w:val="-2"/>
                <w:sz w:val="24"/>
              </w:rPr>
              <w:t>AQUEOUS</w:t>
            </w:r>
          </w:p>
        </w:tc>
        <w:tc>
          <w:tcPr>
            <w:tcW w:w="2995" w:type="dxa"/>
            <w:tcBorders>
              <w:top w:val="single" w:sz="4" w:space="0" w:color="000000"/>
              <w:bottom w:val="single" w:sz="4" w:space="0" w:color="000000"/>
            </w:tcBorders>
          </w:tcPr>
          <w:p w14:paraId="528E8708" w14:textId="77777777" w:rsidR="00704B93" w:rsidRDefault="00704B93" w:rsidP="00912F9D">
            <w:pPr>
              <w:pStyle w:val="TableParagraph"/>
              <w:spacing w:line="275" w:lineRule="exact"/>
              <w:ind w:left="511"/>
              <w:rPr>
                <w:b/>
                <w:sz w:val="24"/>
              </w:rPr>
            </w:pPr>
            <w:r>
              <w:rPr>
                <w:b/>
                <w:spacing w:val="-2"/>
                <w:sz w:val="24"/>
              </w:rPr>
              <w:t>METHANOL</w:t>
            </w:r>
          </w:p>
        </w:tc>
      </w:tr>
      <w:tr w:rsidR="00704B93" w14:paraId="7FA45AC2" w14:textId="77777777" w:rsidTr="00912F9D">
        <w:trPr>
          <w:trHeight w:val="442"/>
        </w:trPr>
        <w:tc>
          <w:tcPr>
            <w:tcW w:w="3841" w:type="dxa"/>
            <w:tcBorders>
              <w:top w:val="single" w:sz="4" w:space="0" w:color="000000"/>
            </w:tcBorders>
          </w:tcPr>
          <w:p w14:paraId="4C2E2E92" w14:textId="77777777" w:rsidR="00704B93" w:rsidRDefault="00704B93" w:rsidP="00912F9D">
            <w:pPr>
              <w:pStyle w:val="TableParagraph"/>
              <w:spacing w:line="275" w:lineRule="exact"/>
              <w:ind w:left="108"/>
              <w:rPr>
                <w:b/>
                <w:sz w:val="24"/>
              </w:rPr>
            </w:pPr>
            <w:r>
              <w:rPr>
                <w:b/>
                <w:spacing w:val="-2"/>
                <w:sz w:val="24"/>
              </w:rPr>
              <w:t>ALKALOIDS</w:t>
            </w:r>
          </w:p>
        </w:tc>
        <w:tc>
          <w:tcPr>
            <w:tcW w:w="2667" w:type="dxa"/>
            <w:tcBorders>
              <w:top w:val="single" w:sz="4" w:space="0" w:color="000000"/>
            </w:tcBorders>
          </w:tcPr>
          <w:p w14:paraId="22BD83E9" w14:textId="77777777" w:rsidR="00704B93" w:rsidRDefault="00704B93" w:rsidP="00912F9D">
            <w:pPr>
              <w:pStyle w:val="TableParagraph"/>
              <w:spacing w:line="275" w:lineRule="exact"/>
              <w:ind w:left="968"/>
              <w:rPr>
                <w:b/>
                <w:sz w:val="24"/>
              </w:rPr>
            </w:pPr>
            <w:r>
              <w:rPr>
                <w:b/>
                <w:spacing w:val="-10"/>
                <w:sz w:val="24"/>
              </w:rPr>
              <w:t>+</w:t>
            </w:r>
          </w:p>
        </w:tc>
        <w:tc>
          <w:tcPr>
            <w:tcW w:w="2995" w:type="dxa"/>
            <w:tcBorders>
              <w:top w:val="single" w:sz="4" w:space="0" w:color="000000"/>
            </w:tcBorders>
          </w:tcPr>
          <w:p w14:paraId="5B7A588F" w14:textId="77777777" w:rsidR="00704B93" w:rsidRDefault="00704B93" w:rsidP="00912F9D">
            <w:pPr>
              <w:pStyle w:val="TableParagraph"/>
              <w:spacing w:line="275" w:lineRule="exact"/>
              <w:ind w:left="511"/>
              <w:rPr>
                <w:b/>
                <w:sz w:val="24"/>
              </w:rPr>
            </w:pPr>
            <w:r>
              <w:rPr>
                <w:b/>
                <w:spacing w:val="-10"/>
                <w:sz w:val="24"/>
              </w:rPr>
              <w:t>+</w:t>
            </w:r>
          </w:p>
        </w:tc>
      </w:tr>
      <w:tr w:rsidR="00704B93" w14:paraId="68125961" w14:textId="77777777" w:rsidTr="00912F9D">
        <w:trPr>
          <w:trHeight w:val="592"/>
        </w:trPr>
        <w:tc>
          <w:tcPr>
            <w:tcW w:w="3841" w:type="dxa"/>
          </w:tcPr>
          <w:p w14:paraId="5F3ACB7F" w14:textId="77777777" w:rsidR="00704B93" w:rsidRDefault="00704B93" w:rsidP="00912F9D">
            <w:pPr>
              <w:pStyle w:val="TableParagraph"/>
              <w:spacing w:before="156"/>
              <w:ind w:left="108"/>
              <w:rPr>
                <w:b/>
                <w:sz w:val="24"/>
              </w:rPr>
            </w:pPr>
            <w:r>
              <w:rPr>
                <w:b/>
                <w:spacing w:val="-2"/>
                <w:sz w:val="24"/>
              </w:rPr>
              <w:t>FLAVONOIDS</w:t>
            </w:r>
          </w:p>
        </w:tc>
        <w:tc>
          <w:tcPr>
            <w:tcW w:w="2667" w:type="dxa"/>
          </w:tcPr>
          <w:p w14:paraId="6D9DAD43" w14:textId="77777777" w:rsidR="00704B93" w:rsidRDefault="00704B93" w:rsidP="00912F9D">
            <w:pPr>
              <w:pStyle w:val="TableParagraph"/>
              <w:spacing w:before="156"/>
              <w:ind w:left="968"/>
              <w:rPr>
                <w:b/>
                <w:sz w:val="24"/>
              </w:rPr>
            </w:pPr>
            <w:r>
              <w:rPr>
                <w:b/>
                <w:spacing w:val="-10"/>
                <w:sz w:val="24"/>
              </w:rPr>
              <w:t>-</w:t>
            </w:r>
          </w:p>
        </w:tc>
        <w:tc>
          <w:tcPr>
            <w:tcW w:w="2995" w:type="dxa"/>
          </w:tcPr>
          <w:p w14:paraId="550CD348" w14:textId="77777777" w:rsidR="00704B93" w:rsidRDefault="00704B93" w:rsidP="00912F9D">
            <w:pPr>
              <w:pStyle w:val="TableParagraph"/>
              <w:spacing w:before="156"/>
              <w:ind w:left="511"/>
              <w:rPr>
                <w:b/>
                <w:sz w:val="24"/>
              </w:rPr>
            </w:pPr>
            <w:r>
              <w:rPr>
                <w:b/>
                <w:spacing w:val="-10"/>
                <w:sz w:val="24"/>
              </w:rPr>
              <w:t>+</w:t>
            </w:r>
          </w:p>
        </w:tc>
      </w:tr>
      <w:tr w:rsidR="00704B93" w14:paraId="3371A8BB" w14:textId="77777777" w:rsidTr="00912F9D">
        <w:trPr>
          <w:trHeight w:val="592"/>
        </w:trPr>
        <w:tc>
          <w:tcPr>
            <w:tcW w:w="3841" w:type="dxa"/>
          </w:tcPr>
          <w:p w14:paraId="22FBD17B" w14:textId="77777777" w:rsidR="00704B93" w:rsidRDefault="00704B93" w:rsidP="00912F9D">
            <w:pPr>
              <w:pStyle w:val="TableParagraph"/>
              <w:spacing w:before="149"/>
              <w:ind w:left="108"/>
              <w:rPr>
                <w:b/>
                <w:sz w:val="24"/>
              </w:rPr>
            </w:pPr>
            <w:r>
              <w:rPr>
                <w:b/>
                <w:spacing w:val="-2"/>
                <w:sz w:val="24"/>
              </w:rPr>
              <w:t>TANINS</w:t>
            </w:r>
          </w:p>
        </w:tc>
        <w:tc>
          <w:tcPr>
            <w:tcW w:w="2667" w:type="dxa"/>
          </w:tcPr>
          <w:p w14:paraId="31A01D19" w14:textId="77777777" w:rsidR="00704B93" w:rsidRDefault="00704B93" w:rsidP="00912F9D">
            <w:pPr>
              <w:pStyle w:val="TableParagraph"/>
              <w:spacing w:before="149"/>
              <w:ind w:left="968"/>
              <w:rPr>
                <w:b/>
                <w:sz w:val="24"/>
              </w:rPr>
            </w:pPr>
            <w:r>
              <w:rPr>
                <w:b/>
                <w:spacing w:val="-10"/>
                <w:sz w:val="24"/>
              </w:rPr>
              <w:t>+</w:t>
            </w:r>
          </w:p>
        </w:tc>
        <w:tc>
          <w:tcPr>
            <w:tcW w:w="2995" w:type="dxa"/>
          </w:tcPr>
          <w:p w14:paraId="66891182" w14:textId="77777777" w:rsidR="00704B93" w:rsidRDefault="00704B93" w:rsidP="00912F9D">
            <w:pPr>
              <w:pStyle w:val="TableParagraph"/>
              <w:spacing w:before="149"/>
              <w:ind w:left="511"/>
              <w:rPr>
                <w:b/>
                <w:sz w:val="24"/>
              </w:rPr>
            </w:pPr>
            <w:r>
              <w:rPr>
                <w:b/>
                <w:spacing w:val="-10"/>
                <w:sz w:val="24"/>
              </w:rPr>
              <w:t>-</w:t>
            </w:r>
          </w:p>
        </w:tc>
      </w:tr>
      <w:tr w:rsidR="00704B93" w14:paraId="0A266FFB" w14:textId="77777777" w:rsidTr="00912F9D">
        <w:trPr>
          <w:trHeight w:val="592"/>
        </w:trPr>
        <w:tc>
          <w:tcPr>
            <w:tcW w:w="3841" w:type="dxa"/>
          </w:tcPr>
          <w:p w14:paraId="2A62D51E" w14:textId="77777777" w:rsidR="00704B93" w:rsidRDefault="00704B93" w:rsidP="00912F9D">
            <w:pPr>
              <w:pStyle w:val="TableParagraph"/>
              <w:spacing w:before="156"/>
              <w:ind w:left="108"/>
              <w:rPr>
                <w:b/>
                <w:sz w:val="24"/>
              </w:rPr>
            </w:pPr>
            <w:r>
              <w:rPr>
                <w:b/>
                <w:spacing w:val="-2"/>
                <w:sz w:val="24"/>
              </w:rPr>
              <w:t>SAPONINS</w:t>
            </w:r>
          </w:p>
        </w:tc>
        <w:tc>
          <w:tcPr>
            <w:tcW w:w="2667" w:type="dxa"/>
          </w:tcPr>
          <w:p w14:paraId="2C96A8CE" w14:textId="77777777" w:rsidR="00704B93" w:rsidRDefault="00704B93" w:rsidP="00912F9D">
            <w:pPr>
              <w:pStyle w:val="TableParagraph"/>
              <w:spacing w:before="156"/>
              <w:ind w:left="968"/>
              <w:rPr>
                <w:b/>
                <w:sz w:val="24"/>
              </w:rPr>
            </w:pPr>
            <w:r>
              <w:rPr>
                <w:b/>
                <w:spacing w:val="-5"/>
                <w:sz w:val="24"/>
              </w:rPr>
              <w:t>++</w:t>
            </w:r>
          </w:p>
        </w:tc>
        <w:tc>
          <w:tcPr>
            <w:tcW w:w="2995" w:type="dxa"/>
          </w:tcPr>
          <w:p w14:paraId="2AD6B690" w14:textId="77777777" w:rsidR="00704B93" w:rsidRDefault="00704B93" w:rsidP="00912F9D">
            <w:pPr>
              <w:pStyle w:val="TableParagraph"/>
              <w:spacing w:before="156"/>
              <w:ind w:left="511"/>
              <w:rPr>
                <w:b/>
                <w:sz w:val="24"/>
              </w:rPr>
            </w:pPr>
            <w:r>
              <w:rPr>
                <w:b/>
                <w:spacing w:val="-10"/>
                <w:sz w:val="24"/>
              </w:rPr>
              <w:t>-</w:t>
            </w:r>
          </w:p>
        </w:tc>
      </w:tr>
      <w:tr w:rsidR="00704B93" w14:paraId="7056F8AA" w14:textId="77777777" w:rsidTr="00912F9D">
        <w:trPr>
          <w:trHeight w:val="592"/>
        </w:trPr>
        <w:tc>
          <w:tcPr>
            <w:tcW w:w="3841" w:type="dxa"/>
          </w:tcPr>
          <w:p w14:paraId="7FA2B676" w14:textId="77777777" w:rsidR="00704B93" w:rsidRDefault="00704B93" w:rsidP="00912F9D">
            <w:pPr>
              <w:pStyle w:val="TableParagraph"/>
              <w:spacing w:before="149"/>
              <w:ind w:left="108"/>
              <w:rPr>
                <w:b/>
                <w:sz w:val="24"/>
              </w:rPr>
            </w:pPr>
            <w:r>
              <w:rPr>
                <w:b/>
                <w:spacing w:val="-2"/>
                <w:sz w:val="24"/>
              </w:rPr>
              <w:t>TERPENS/STEROIDS</w:t>
            </w:r>
          </w:p>
        </w:tc>
        <w:tc>
          <w:tcPr>
            <w:tcW w:w="2667" w:type="dxa"/>
          </w:tcPr>
          <w:p w14:paraId="203EDB9C" w14:textId="77777777" w:rsidR="00704B93" w:rsidRDefault="00704B93" w:rsidP="00912F9D">
            <w:pPr>
              <w:pStyle w:val="TableParagraph"/>
              <w:spacing w:before="149"/>
              <w:ind w:left="968"/>
              <w:rPr>
                <w:b/>
                <w:sz w:val="24"/>
              </w:rPr>
            </w:pPr>
            <w:r>
              <w:rPr>
                <w:b/>
                <w:spacing w:val="-10"/>
                <w:sz w:val="24"/>
              </w:rPr>
              <w:t>-</w:t>
            </w:r>
          </w:p>
        </w:tc>
        <w:tc>
          <w:tcPr>
            <w:tcW w:w="2995" w:type="dxa"/>
          </w:tcPr>
          <w:p w14:paraId="267BA433" w14:textId="77777777" w:rsidR="00704B93" w:rsidRDefault="00704B93" w:rsidP="00912F9D">
            <w:pPr>
              <w:pStyle w:val="TableParagraph"/>
              <w:spacing w:before="149"/>
              <w:ind w:left="511"/>
              <w:rPr>
                <w:b/>
                <w:sz w:val="24"/>
              </w:rPr>
            </w:pPr>
            <w:r>
              <w:rPr>
                <w:b/>
                <w:spacing w:val="-10"/>
                <w:sz w:val="24"/>
              </w:rPr>
              <w:t>-</w:t>
            </w:r>
          </w:p>
        </w:tc>
      </w:tr>
      <w:tr w:rsidR="00704B93" w14:paraId="3753F9C4" w14:textId="77777777" w:rsidTr="00912F9D">
        <w:trPr>
          <w:trHeight w:val="592"/>
        </w:trPr>
        <w:tc>
          <w:tcPr>
            <w:tcW w:w="3841" w:type="dxa"/>
          </w:tcPr>
          <w:p w14:paraId="538E7E2E" w14:textId="77777777" w:rsidR="00704B93" w:rsidRDefault="00704B93" w:rsidP="00912F9D">
            <w:pPr>
              <w:pStyle w:val="TableParagraph"/>
              <w:spacing w:before="156"/>
              <w:ind w:left="108"/>
              <w:rPr>
                <w:b/>
                <w:sz w:val="24"/>
              </w:rPr>
            </w:pPr>
            <w:r>
              <w:rPr>
                <w:b/>
                <w:sz w:val="24"/>
              </w:rPr>
              <w:t>CARDIAC</w:t>
            </w:r>
            <w:r>
              <w:rPr>
                <w:b/>
                <w:spacing w:val="-14"/>
                <w:sz w:val="24"/>
              </w:rPr>
              <w:t xml:space="preserve"> </w:t>
            </w:r>
            <w:r>
              <w:rPr>
                <w:b/>
                <w:spacing w:val="-2"/>
                <w:sz w:val="24"/>
              </w:rPr>
              <w:t>GLYCOSIDES</w:t>
            </w:r>
          </w:p>
        </w:tc>
        <w:tc>
          <w:tcPr>
            <w:tcW w:w="2667" w:type="dxa"/>
          </w:tcPr>
          <w:p w14:paraId="1C8B7E42" w14:textId="77777777" w:rsidR="00704B93" w:rsidRDefault="00704B93" w:rsidP="00912F9D">
            <w:pPr>
              <w:pStyle w:val="TableParagraph"/>
              <w:spacing w:before="156"/>
              <w:ind w:left="968"/>
              <w:rPr>
                <w:b/>
                <w:sz w:val="24"/>
              </w:rPr>
            </w:pPr>
            <w:r>
              <w:rPr>
                <w:b/>
                <w:spacing w:val="-10"/>
                <w:sz w:val="24"/>
              </w:rPr>
              <w:t>-</w:t>
            </w:r>
          </w:p>
        </w:tc>
        <w:tc>
          <w:tcPr>
            <w:tcW w:w="2995" w:type="dxa"/>
          </w:tcPr>
          <w:p w14:paraId="2E7771C2" w14:textId="77777777" w:rsidR="00704B93" w:rsidRDefault="00704B93" w:rsidP="00912F9D">
            <w:pPr>
              <w:pStyle w:val="TableParagraph"/>
              <w:spacing w:before="156"/>
              <w:ind w:left="511"/>
              <w:rPr>
                <w:b/>
                <w:sz w:val="24"/>
              </w:rPr>
            </w:pPr>
            <w:r>
              <w:rPr>
                <w:b/>
                <w:spacing w:val="-10"/>
                <w:sz w:val="24"/>
              </w:rPr>
              <w:t>-</w:t>
            </w:r>
          </w:p>
        </w:tc>
      </w:tr>
      <w:tr w:rsidR="00704B93" w14:paraId="27977D31" w14:textId="77777777" w:rsidTr="00912F9D">
        <w:trPr>
          <w:trHeight w:val="593"/>
        </w:trPr>
        <w:tc>
          <w:tcPr>
            <w:tcW w:w="3841" w:type="dxa"/>
          </w:tcPr>
          <w:p w14:paraId="2BA1A953" w14:textId="77777777" w:rsidR="00704B93" w:rsidRDefault="00704B93" w:rsidP="00912F9D">
            <w:pPr>
              <w:pStyle w:val="TableParagraph"/>
              <w:spacing w:before="149"/>
              <w:ind w:left="108"/>
              <w:rPr>
                <w:b/>
                <w:sz w:val="24"/>
              </w:rPr>
            </w:pPr>
            <w:r>
              <w:rPr>
                <w:b/>
                <w:spacing w:val="-2"/>
                <w:sz w:val="24"/>
              </w:rPr>
              <w:t>BALSAM</w:t>
            </w:r>
          </w:p>
        </w:tc>
        <w:tc>
          <w:tcPr>
            <w:tcW w:w="2667" w:type="dxa"/>
          </w:tcPr>
          <w:p w14:paraId="73E995D0" w14:textId="77777777" w:rsidR="00704B93" w:rsidRDefault="00704B93" w:rsidP="00912F9D">
            <w:pPr>
              <w:pStyle w:val="TableParagraph"/>
              <w:spacing w:before="149"/>
              <w:ind w:left="968"/>
              <w:rPr>
                <w:b/>
                <w:sz w:val="24"/>
              </w:rPr>
            </w:pPr>
            <w:r>
              <w:rPr>
                <w:b/>
                <w:spacing w:val="-10"/>
                <w:sz w:val="24"/>
              </w:rPr>
              <w:t>-</w:t>
            </w:r>
          </w:p>
        </w:tc>
        <w:tc>
          <w:tcPr>
            <w:tcW w:w="2995" w:type="dxa"/>
          </w:tcPr>
          <w:p w14:paraId="63254366" w14:textId="77777777" w:rsidR="00704B93" w:rsidRDefault="00704B93" w:rsidP="00912F9D">
            <w:pPr>
              <w:pStyle w:val="TableParagraph"/>
              <w:spacing w:before="149"/>
              <w:ind w:left="511"/>
              <w:rPr>
                <w:b/>
                <w:sz w:val="24"/>
              </w:rPr>
            </w:pPr>
            <w:r>
              <w:rPr>
                <w:b/>
                <w:spacing w:val="-10"/>
                <w:sz w:val="24"/>
              </w:rPr>
              <w:t>-</w:t>
            </w:r>
          </w:p>
        </w:tc>
      </w:tr>
      <w:tr w:rsidR="00704B93" w14:paraId="2FD1D9C3" w14:textId="77777777" w:rsidTr="00912F9D">
        <w:trPr>
          <w:trHeight w:val="592"/>
        </w:trPr>
        <w:tc>
          <w:tcPr>
            <w:tcW w:w="3841" w:type="dxa"/>
          </w:tcPr>
          <w:p w14:paraId="79AA922B" w14:textId="77777777" w:rsidR="00704B93" w:rsidRDefault="00704B93" w:rsidP="00912F9D">
            <w:pPr>
              <w:pStyle w:val="TableParagraph"/>
              <w:spacing w:before="158"/>
              <w:ind w:left="108"/>
              <w:rPr>
                <w:b/>
                <w:sz w:val="24"/>
              </w:rPr>
            </w:pPr>
            <w:r>
              <w:rPr>
                <w:b/>
                <w:spacing w:val="-2"/>
                <w:sz w:val="24"/>
              </w:rPr>
              <w:t>CARBOHYDRATES</w:t>
            </w:r>
          </w:p>
        </w:tc>
        <w:tc>
          <w:tcPr>
            <w:tcW w:w="2667" w:type="dxa"/>
          </w:tcPr>
          <w:p w14:paraId="1FB685DE" w14:textId="77777777" w:rsidR="00704B93" w:rsidRDefault="00704B93" w:rsidP="00912F9D">
            <w:pPr>
              <w:pStyle w:val="TableParagraph"/>
              <w:spacing w:before="158"/>
              <w:ind w:left="968"/>
              <w:rPr>
                <w:b/>
                <w:sz w:val="24"/>
              </w:rPr>
            </w:pPr>
            <w:r>
              <w:rPr>
                <w:b/>
                <w:spacing w:val="-10"/>
                <w:sz w:val="24"/>
              </w:rPr>
              <w:t>+</w:t>
            </w:r>
          </w:p>
        </w:tc>
        <w:tc>
          <w:tcPr>
            <w:tcW w:w="2995" w:type="dxa"/>
          </w:tcPr>
          <w:p w14:paraId="383A4E12" w14:textId="77777777" w:rsidR="00704B93" w:rsidRDefault="00704B93" w:rsidP="00912F9D">
            <w:pPr>
              <w:pStyle w:val="TableParagraph"/>
              <w:spacing w:before="158"/>
              <w:ind w:left="511"/>
              <w:rPr>
                <w:b/>
                <w:sz w:val="24"/>
              </w:rPr>
            </w:pPr>
            <w:r>
              <w:rPr>
                <w:b/>
                <w:spacing w:val="-10"/>
                <w:sz w:val="24"/>
              </w:rPr>
              <w:t>+</w:t>
            </w:r>
          </w:p>
        </w:tc>
      </w:tr>
      <w:tr w:rsidR="00704B93" w14:paraId="37226775" w14:textId="77777777" w:rsidTr="00912F9D">
        <w:trPr>
          <w:trHeight w:val="592"/>
        </w:trPr>
        <w:tc>
          <w:tcPr>
            <w:tcW w:w="3841" w:type="dxa"/>
          </w:tcPr>
          <w:p w14:paraId="209BE3C9" w14:textId="77777777" w:rsidR="00704B93" w:rsidRDefault="00704B93" w:rsidP="00912F9D">
            <w:pPr>
              <w:pStyle w:val="TableParagraph"/>
              <w:spacing w:before="148"/>
              <w:ind w:left="108"/>
              <w:rPr>
                <w:b/>
                <w:sz w:val="24"/>
              </w:rPr>
            </w:pPr>
            <w:r>
              <w:rPr>
                <w:b/>
                <w:spacing w:val="-2"/>
                <w:sz w:val="24"/>
              </w:rPr>
              <w:t>PHENOL</w:t>
            </w:r>
          </w:p>
        </w:tc>
        <w:tc>
          <w:tcPr>
            <w:tcW w:w="2667" w:type="dxa"/>
          </w:tcPr>
          <w:p w14:paraId="177E569C" w14:textId="77777777" w:rsidR="00704B93" w:rsidRDefault="00704B93" w:rsidP="00912F9D">
            <w:pPr>
              <w:pStyle w:val="TableParagraph"/>
              <w:spacing w:before="148"/>
              <w:ind w:left="968"/>
              <w:rPr>
                <w:b/>
                <w:sz w:val="24"/>
              </w:rPr>
            </w:pPr>
            <w:r>
              <w:rPr>
                <w:b/>
                <w:spacing w:val="-10"/>
                <w:sz w:val="24"/>
              </w:rPr>
              <w:t>-</w:t>
            </w:r>
          </w:p>
        </w:tc>
        <w:tc>
          <w:tcPr>
            <w:tcW w:w="2995" w:type="dxa"/>
          </w:tcPr>
          <w:p w14:paraId="64CD682D" w14:textId="77777777" w:rsidR="00704B93" w:rsidRDefault="00704B93" w:rsidP="00912F9D">
            <w:pPr>
              <w:pStyle w:val="TableParagraph"/>
              <w:spacing w:before="148"/>
              <w:ind w:left="511"/>
              <w:rPr>
                <w:b/>
                <w:sz w:val="24"/>
              </w:rPr>
            </w:pPr>
            <w:r>
              <w:rPr>
                <w:b/>
                <w:spacing w:val="-10"/>
                <w:sz w:val="24"/>
              </w:rPr>
              <w:t>-</w:t>
            </w:r>
          </w:p>
        </w:tc>
      </w:tr>
      <w:tr w:rsidR="00704B93" w14:paraId="1909C0C1" w14:textId="77777777" w:rsidTr="00912F9D">
        <w:trPr>
          <w:trHeight w:val="433"/>
        </w:trPr>
        <w:tc>
          <w:tcPr>
            <w:tcW w:w="3841" w:type="dxa"/>
          </w:tcPr>
          <w:p w14:paraId="3DE7B691" w14:textId="77777777" w:rsidR="00704B93" w:rsidRDefault="00704B93" w:rsidP="00912F9D">
            <w:pPr>
              <w:pStyle w:val="TableParagraph"/>
              <w:spacing w:before="158" w:line="256" w:lineRule="exact"/>
              <w:ind w:left="108"/>
              <w:rPr>
                <w:b/>
                <w:sz w:val="24"/>
              </w:rPr>
            </w:pPr>
            <w:r>
              <w:rPr>
                <w:b/>
                <w:spacing w:val="-2"/>
                <w:sz w:val="24"/>
              </w:rPr>
              <w:t>RESINS</w:t>
            </w:r>
          </w:p>
        </w:tc>
        <w:tc>
          <w:tcPr>
            <w:tcW w:w="2667" w:type="dxa"/>
          </w:tcPr>
          <w:p w14:paraId="7D53A1F4" w14:textId="77777777" w:rsidR="00704B93" w:rsidRDefault="00704B93" w:rsidP="00912F9D">
            <w:pPr>
              <w:pStyle w:val="TableParagraph"/>
              <w:spacing w:before="158" w:line="256" w:lineRule="exact"/>
              <w:ind w:left="968"/>
              <w:rPr>
                <w:b/>
                <w:sz w:val="24"/>
              </w:rPr>
            </w:pPr>
            <w:r>
              <w:rPr>
                <w:b/>
                <w:spacing w:val="-10"/>
                <w:sz w:val="24"/>
              </w:rPr>
              <w:t>-</w:t>
            </w:r>
          </w:p>
        </w:tc>
        <w:tc>
          <w:tcPr>
            <w:tcW w:w="2995" w:type="dxa"/>
          </w:tcPr>
          <w:p w14:paraId="0C790036" w14:textId="77777777" w:rsidR="00704B93" w:rsidRDefault="00704B93" w:rsidP="00912F9D">
            <w:pPr>
              <w:pStyle w:val="TableParagraph"/>
              <w:spacing w:before="158" w:line="256" w:lineRule="exact"/>
              <w:ind w:left="511"/>
              <w:rPr>
                <w:b/>
                <w:sz w:val="24"/>
              </w:rPr>
            </w:pPr>
            <w:r>
              <w:rPr>
                <w:b/>
                <w:spacing w:val="-10"/>
                <w:sz w:val="24"/>
              </w:rPr>
              <w:t>-</w:t>
            </w:r>
          </w:p>
        </w:tc>
      </w:tr>
    </w:tbl>
    <w:p w14:paraId="26347B3D" w14:textId="77777777" w:rsidR="00704B93" w:rsidRDefault="00704B93" w:rsidP="00704B93">
      <w:pPr>
        <w:pStyle w:val="BodyText"/>
        <w:spacing w:before="59"/>
        <w:rPr>
          <w:i/>
          <w:sz w:val="20"/>
        </w:rPr>
      </w:pPr>
      <w:r>
        <w:rPr>
          <w:i/>
          <w:noProof/>
          <w:sz w:val="20"/>
        </w:rPr>
        <mc:AlternateContent>
          <mc:Choice Requires="wps">
            <w:drawing>
              <wp:anchor distT="0" distB="0" distL="0" distR="0" simplePos="0" relativeHeight="251661312" behindDoc="1" locked="0" layoutInCell="1" allowOverlap="1" wp14:anchorId="345CEB3C" wp14:editId="6BB919A3">
                <wp:simplePos x="0" y="0"/>
                <wp:positionH relativeFrom="page">
                  <wp:posOffset>836295</wp:posOffset>
                </wp:positionH>
                <wp:positionV relativeFrom="paragraph">
                  <wp:posOffset>198755</wp:posOffset>
                </wp:positionV>
                <wp:extent cx="604266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42660" cy="6350"/>
                        </a:xfrm>
                        <a:custGeom>
                          <a:avLst/>
                          <a:gdLst/>
                          <a:ahLst/>
                          <a:cxnLst/>
                          <a:rect l="l" t="t" r="r" b="b"/>
                          <a:pathLst>
                            <a:path w="6042660" h="6350">
                              <a:moveTo>
                                <a:pt x="6042660" y="0"/>
                              </a:moveTo>
                              <a:lnTo>
                                <a:pt x="4398264" y="0"/>
                              </a:lnTo>
                              <a:lnTo>
                                <a:pt x="4395216" y="0"/>
                              </a:lnTo>
                              <a:lnTo>
                                <a:pt x="0" y="0"/>
                              </a:lnTo>
                              <a:lnTo>
                                <a:pt x="0" y="6083"/>
                              </a:lnTo>
                              <a:lnTo>
                                <a:pt x="4395216" y="6083"/>
                              </a:lnTo>
                              <a:lnTo>
                                <a:pt x="4398264" y="6083"/>
                              </a:lnTo>
                              <a:lnTo>
                                <a:pt x="6042660" y="6083"/>
                              </a:lnTo>
                              <a:lnTo>
                                <a:pt x="6042660" y="0"/>
                              </a:lnTo>
                              <a:close/>
                            </a:path>
                          </a:pathLst>
                        </a:custGeom>
                        <a:solidFill>
                          <a:srgbClr val="000000"/>
                        </a:solidFill>
                      </wps:spPr>
                      <wps:bodyPr wrap="square" lIns="0" tIns="0" rIns="0" bIns="0" rtlCol="0">
                        <a:noAutofit/>
                      </wps:bodyPr>
                    </wps:wsp>
                  </a:graphicData>
                </a:graphic>
              </wp:anchor>
            </w:drawing>
          </mc:Choice>
          <mc:Fallback>
            <w:pict>
              <v:shape w14:anchorId="26F56D57" id="Graphic 20" o:spid="_x0000_s1026" style="position:absolute;margin-left:65.85pt;margin-top:15.65pt;width:475.8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60426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" path="m6042660,l4398264,r-3048,l,,,6083r4395216,l4398264,6083r1644396,l6042660,xe" fillcolor="black" stroked="f">
                <v:path arrowok="t"/>
                <w10:wrap type="topAndBottom" anchorx="page"/>
              </v:shape>
            </w:pict>
          </mc:Fallback>
        </mc:AlternateContent>
      </w:r>
    </w:p>
    <w:p w14:paraId="4668A5CE" w14:textId="77777777" w:rsidR="00704B93" w:rsidRDefault="00704B93" w:rsidP="00704B93">
      <w:pPr>
        <w:pStyle w:val="BodyText"/>
        <w:rPr>
          <w:i/>
          <w:sz w:val="20"/>
        </w:rPr>
        <w:sectPr w:rsidR="00704B93" w:rsidSect="00704B93">
          <w:headerReference w:type="even" r:id="rId13"/>
          <w:headerReference w:type="default" r:id="rId14"/>
          <w:headerReference w:type="first" r:id="rId15"/>
          <w:pgSz w:w="12240" w:h="15840"/>
          <w:pgMar w:top="1320" w:right="1080" w:bottom="280" w:left="1080" w:header="752" w:footer="0" w:gutter="0"/>
          <w:cols w:space="720"/>
        </w:sectPr>
      </w:pPr>
    </w:p>
    <w:p w14:paraId="37ADB717" w14:textId="5BD94EA7" w:rsidR="00704B93" w:rsidRDefault="00704B93" w:rsidP="00704B93">
      <w:pPr>
        <w:pStyle w:val="Heading1"/>
        <w:spacing w:before="99"/>
        <w:ind w:left="360" w:firstLine="0"/>
        <w:rPr>
          <w:position w:val="1"/>
        </w:rPr>
      </w:pPr>
      <w:r>
        <w:rPr>
          <w:position w:val="1"/>
        </w:rPr>
        <w:lastRenderedPageBreak/>
        <w:t>3.2.</w:t>
      </w:r>
      <w:r>
        <w:rPr>
          <w:spacing w:val="-8"/>
          <w:position w:val="1"/>
        </w:rPr>
        <w:t xml:space="preserve"> </w:t>
      </w:r>
      <w:r>
        <w:rPr>
          <w:position w:val="1"/>
        </w:rPr>
        <w:t>ACUTE</w:t>
      </w:r>
      <w:r>
        <w:rPr>
          <w:spacing w:val="-3"/>
          <w:position w:val="1"/>
        </w:rPr>
        <w:t xml:space="preserve"> </w:t>
      </w:r>
      <w:r>
        <w:rPr>
          <w:position w:val="1"/>
        </w:rPr>
        <w:t>TOXICITY</w:t>
      </w:r>
      <w:r>
        <w:rPr>
          <w:spacing w:val="-7"/>
          <w:position w:val="1"/>
        </w:rPr>
        <w:t xml:space="preserve"> </w:t>
      </w:r>
      <w:r>
        <w:rPr>
          <w:position w:val="1"/>
        </w:rPr>
        <w:t>(LD</w:t>
      </w:r>
      <w:r>
        <w:rPr>
          <w:sz w:val="16"/>
        </w:rPr>
        <w:t>50</w:t>
      </w:r>
      <w:r>
        <w:rPr>
          <w:position w:val="1"/>
        </w:rPr>
        <w:t>)</w:t>
      </w:r>
      <w:r>
        <w:rPr>
          <w:spacing w:val="-8"/>
          <w:position w:val="1"/>
        </w:rPr>
        <w:t xml:space="preserve"> </w:t>
      </w:r>
      <w:r>
        <w:rPr>
          <w:spacing w:val="-2"/>
          <w:position w:val="1"/>
        </w:rPr>
        <w:t>ASSESSMENT</w:t>
      </w:r>
    </w:p>
    <w:p w14:paraId="1E55AC5F" w14:textId="77777777" w:rsidR="00704B93" w:rsidRDefault="00704B93" w:rsidP="00704B93">
      <w:pPr>
        <w:pStyle w:val="BodyText"/>
        <w:spacing w:before="162"/>
        <w:rPr>
          <w:b/>
        </w:rPr>
      </w:pPr>
    </w:p>
    <w:p w14:paraId="57C28922" w14:textId="59B7F876" w:rsidR="00704B93" w:rsidRDefault="00704B93" w:rsidP="00704B93">
      <w:pPr>
        <w:pStyle w:val="BodyText"/>
        <w:spacing w:line="480" w:lineRule="auto"/>
        <w:ind w:left="360" w:right="369"/>
        <w:jc w:val="both"/>
      </w:pPr>
      <w:r>
        <w:t>The results of the acute toxicity showed no mortality in all the groups; 10mg/kg, 100mg/kg, 1000mg/kg, 1600mg/kg, 2900mg/kg and 5000mg/kg doses of extract after 24 hours of administration (table 2).</w:t>
      </w:r>
    </w:p>
    <w:p w14:paraId="5D13C846" w14:textId="77777777" w:rsidR="00704B93" w:rsidRDefault="00704B93" w:rsidP="00704B93">
      <w:pPr>
        <w:pStyle w:val="BodyText"/>
        <w:spacing w:line="480" w:lineRule="auto"/>
        <w:jc w:val="both"/>
        <w:sectPr w:rsidR="00704B93" w:rsidSect="00704B93">
          <w:headerReference w:type="even" r:id="rId16"/>
          <w:headerReference w:type="default" r:id="rId17"/>
          <w:headerReference w:type="first" r:id="rId18"/>
          <w:pgSz w:w="12240" w:h="15840"/>
          <w:pgMar w:top="1320" w:right="1080" w:bottom="280" w:left="1080" w:header="752" w:footer="0" w:gutter="0"/>
          <w:pgNumType w:start="1"/>
          <w:cols w:space="720"/>
        </w:sectPr>
      </w:pPr>
    </w:p>
    <w:p w14:paraId="5AF706FC" w14:textId="77777777" w:rsidR="00704B93" w:rsidRDefault="00704B93" w:rsidP="00704B93">
      <w:pPr>
        <w:spacing w:before="99"/>
        <w:ind w:left="360"/>
        <w:rPr>
          <w:position w:val="2"/>
          <w:sz w:val="24"/>
        </w:rPr>
      </w:pPr>
      <w:r>
        <w:rPr>
          <w:b/>
          <w:position w:val="2"/>
          <w:sz w:val="24"/>
        </w:rPr>
        <w:lastRenderedPageBreak/>
        <w:t>Table</w:t>
      </w:r>
      <w:r>
        <w:rPr>
          <w:b/>
          <w:spacing w:val="-8"/>
          <w:position w:val="2"/>
          <w:sz w:val="24"/>
        </w:rPr>
        <w:t xml:space="preserve"> </w:t>
      </w:r>
      <w:r>
        <w:rPr>
          <w:b/>
          <w:position w:val="2"/>
          <w:sz w:val="24"/>
        </w:rPr>
        <w:t>2:</w:t>
      </w:r>
      <w:r>
        <w:rPr>
          <w:b/>
          <w:spacing w:val="-4"/>
          <w:position w:val="2"/>
          <w:sz w:val="24"/>
        </w:rPr>
        <w:t xml:space="preserve"> </w:t>
      </w:r>
      <w:r>
        <w:rPr>
          <w:position w:val="2"/>
          <w:sz w:val="24"/>
        </w:rPr>
        <w:t>Acute</w:t>
      </w:r>
      <w:r>
        <w:rPr>
          <w:spacing w:val="-7"/>
          <w:position w:val="2"/>
          <w:sz w:val="24"/>
        </w:rPr>
        <w:t xml:space="preserve"> </w:t>
      </w:r>
      <w:r>
        <w:rPr>
          <w:position w:val="2"/>
          <w:sz w:val="24"/>
        </w:rPr>
        <w:t>toxicity</w:t>
      </w:r>
      <w:r>
        <w:rPr>
          <w:spacing w:val="-3"/>
          <w:position w:val="2"/>
          <w:sz w:val="24"/>
        </w:rPr>
        <w:t xml:space="preserve"> </w:t>
      </w:r>
      <w:r>
        <w:rPr>
          <w:position w:val="2"/>
          <w:sz w:val="24"/>
        </w:rPr>
        <w:t>(LD</w:t>
      </w:r>
      <w:r>
        <w:rPr>
          <w:sz w:val="16"/>
        </w:rPr>
        <w:t>50</w:t>
      </w:r>
      <w:r>
        <w:rPr>
          <w:position w:val="2"/>
          <w:sz w:val="24"/>
        </w:rPr>
        <w:t>)</w:t>
      </w:r>
      <w:r>
        <w:rPr>
          <w:spacing w:val="-5"/>
          <w:position w:val="2"/>
          <w:sz w:val="24"/>
        </w:rPr>
        <w:t xml:space="preserve"> </w:t>
      </w:r>
      <w:r>
        <w:rPr>
          <w:spacing w:val="-2"/>
          <w:position w:val="2"/>
          <w:sz w:val="24"/>
        </w:rPr>
        <w:t>assessment</w:t>
      </w:r>
    </w:p>
    <w:p w14:paraId="51D3DE6B" w14:textId="77777777" w:rsidR="00704B93" w:rsidRDefault="00704B93" w:rsidP="00704B93">
      <w:pPr>
        <w:pStyle w:val="BodyText"/>
        <w:spacing w:before="210" w:after="1"/>
        <w:rPr>
          <w:sz w:val="20"/>
        </w:rPr>
      </w:pPr>
    </w:p>
    <w:tbl>
      <w:tblPr>
        <w:tblW w:w="0" w:type="auto"/>
        <w:tblInd w:w="252" w:type="dxa"/>
        <w:tblLayout w:type="fixed"/>
        <w:tblCellMar>
          <w:left w:w="0" w:type="dxa"/>
          <w:right w:w="0" w:type="dxa"/>
        </w:tblCellMar>
        <w:tblLook w:val="04A0" w:firstRow="1" w:lastRow="0" w:firstColumn="1" w:lastColumn="0" w:noHBand="0" w:noVBand="1"/>
      </w:tblPr>
      <w:tblGrid>
        <w:gridCol w:w="1377"/>
        <w:gridCol w:w="2314"/>
        <w:gridCol w:w="2182"/>
        <w:gridCol w:w="836"/>
      </w:tblGrid>
      <w:tr w:rsidR="00704B93" w14:paraId="5D8C55F7" w14:textId="77777777" w:rsidTr="00912F9D">
        <w:trPr>
          <w:trHeight w:val="551"/>
        </w:trPr>
        <w:tc>
          <w:tcPr>
            <w:tcW w:w="1377" w:type="dxa"/>
            <w:tcBorders>
              <w:top w:val="single" w:sz="4" w:space="0" w:color="000000"/>
              <w:bottom w:val="single" w:sz="4" w:space="0" w:color="000000"/>
            </w:tcBorders>
          </w:tcPr>
          <w:p w14:paraId="480885CA" w14:textId="77777777" w:rsidR="00704B93" w:rsidRDefault="00704B93" w:rsidP="00912F9D">
            <w:pPr>
              <w:pStyle w:val="TableParagraph"/>
              <w:spacing w:line="275" w:lineRule="exact"/>
              <w:ind w:left="115"/>
              <w:rPr>
                <w:b/>
                <w:sz w:val="24"/>
              </w:rPr>
            </w:pPr>
            <w:r>
              <w:rPr>
                <w:b/>
                <w:spacing w:val="-2"/>
                <w:sz w:val="24"/>
              </w:rPr>
              <w:t>Groups</w:t>
            </w:r>
          </w:p>
        </w:tc>
        <w:tc>
          <w:tcPr>
            <w:tcW w:w="2314" w:type="dxa"/>
            <w:tcBorders>
              <w:top w:val="single" w:sz="4" w:space="0" w:color="000000"/>
              <w:bottom w:val="single" w:sz="4" w:space="0" w:color="000000"/>
            </w:tcBorders>
          </w:tcPr>
          <w:p w14:paraId="0A0164D6" w14:textId="77777777" w:rsidR="00704B93" w:rsidRDefault="00704B93" w:rsidP="00912F9D">
            <w:pPr>
              <w:pStyle w:val="TableParagraph"/>
              <w:spacing w:line="275" w:lineRule="exact"/>
              <w:ind w:left="108"/>
              <w:rPr>
                <w:b/>
                <w:sz w:val="24"/>
              </w:rPr>
            </w:pPr>
            <w:r>
              <w:rPr>
                <w:b/>
                <w:sz w:val="24"/>
              </w:rPr>
              <w:t>Number</w:t>
            </w:r>
            <w:r>
              <w:rPr>
                <w:b/>
                <w:spacing w:val="-7"/>
                <w:sz w:val="24"/>
              </w:rPr>
              <w:t xml:space="preserve"> </w:t>
            </w:r>
            <w:r>
              <w:rPr>
                <w:b/>
                <w:sz w:val="24"/>
              </w:rPr>
              <w:t>of</w:t>
            </w:r>
            <w:r>
              <w:rPr>
                <w:b/>
                <w:spacing w:val="-6"/>
                <w:sz w:val="24"/>
              </w:rPr>
              <w:t xml:space="preserve"> </w:t>
            </w:r>
            <w:r>
              <w:rPr>
                <w:b/>
                <w:sz w:val="24"/>
              </w:rPr>
              <w:t>rats</w:t>
            </w:r>
            <w:r>
              <w:rPr>
                <w:b/>
                <w:spacing w:val="-5"/>
                <w:sz w:val="24"/>
              </w:rPr>
              <w:t xml:space="preserve"> </w:t>
            </w:r>
            <w:r>
              <w:rPr>
                <w:b/>
                <w:spacing w:val="-4"/>
                <w:sz w:val="24"/>
              </w:rPr>
              <w:t>used</w:t>
            </w:r>
          </w:p>
        </w:tc>
        <w:tc>
          <w:tcPr>
            <w:tcW w:w="2182" w:type="dxa"/>
            <w:tcBorders>
              <w:top w:val="single" w:sz="4" w:space="0" w:color="000000"/>
              <w:bottom w:val="single" w:sz="4" w:space="0" w:color="000000"/>
            </w:tcBorders>
          </w:tcPr>
          <w:p w14:paraId="72862009" w14:textId="77777777" w:rsidR="00704B93" w:rsidRDefault="00704B93" w:rsidP="00912F9D">
            <w:pPr>
              <w:pStyle w:val="TableParagraph"/>
              <w:spacing w:line="275" w:lineRule="exact"/>
              <w:ind w:left="110"/>
              <w:rPr>
                <w:b/>
                <w:sz w:val="24"/>
              </w:rPr>
            </w:pPr>
            <w:r>
              <w:rPr>
                <w:b/>
                <w:sz w:val="24"/>
              </w:rPr>
              <w:t>Mortality</w:t>
            </w:r>
            <w:r>
              <w:rPr>
                <w:b/>
                <w:spacing w:val="-12"/>
                <w:sz w:val="24"/>
              </w:rPr>
              <w:t xml:space="preserve"> </w:t>
            </w:r>
            <w:r>
              <w:rPr>
                <w:b/>
                <w:spacing w:val="-2"/>
                <w:sz w:val="24"/>
              </w:rPr>
              <w:t>recorded</w:t>
            </w:r>
          </w:p>
        </w:tc>
        <w:tc>
          <w:tcPr>
            <w:tcW w:w="836" w:type="dxa"/>
            <w:tcBorders>
              <w:top w:val="single" w:sz="4" w:space="0" w:color="000000"/>
              <w:bottom w:val="single" w:sz="4" w:space="0" w:color="000000"/>
            </w:tcBorders>
          </w:tcPr>
          <w:p w14:paraId="1E87DF40" w14:textId="77777777" w:rsidR="00704B93" w:rsidRDefault="00704B93" w:rsidP="00912F9D">
            <w:pPr>
              <w:pStyle w:val="TableParagraph"/>
              <w:spacing w:line="275" w:lineRule="exact"/>
              <w:ind w:left="110"/>
              <w:rPr>
                <w:b/>
                <w:sz w:val="16"/>
              </w:rPr>
            </w:pPr>
            <w:r>
              <w:rPr>
                <w:b/>
                <w:spacing w:val="-4"/>
                <w:position w:val="1"/>
                <w:sz w:val="24"/>
              </w:rPr>
              <w:t>LD</w:t>
            </w:r>
            <w:r>
              <w:rPr>
                <w:b/>
                <w:spacing w:val="-4"/>
                <w:sz w:val="16"/>
              </w:rPr>
              <w:t>50</w:t>
            </w:r>
          </w:p>
        </w:tc>
      </w:tr>
      <w:tr w:rsidR="00704B93" w14:paraId="19F7ABF4" w14:textId="77777777" w:rsidTr="00912F9D">
        <w:trPr>
          <w:trHeight w:val="418"/>
        </w:trPr>
        <w:tc>
          <w:tcPr>
            <w:tcW w:w="1377" w:type="dxa"/>
            <w:tcBorders>
              <w:top w:val="single" w:sz="4" w:space="0" w:color="000000"/>
            </w:tcBorders>
          </w:tcPr>
          <w:p w14:paraId="6BCADC04" w14:textId="77777777" w:rsidR="00704B93" w:rsidRDefault="00704B93" w:rsidP="00912F9D">
            <w:pPr>
              <w:pStyle w:val="TableParagraph"/>
              <w:spacing w:line="275" w:lineRule="exact"/>
              <w:ind w:left="115"/>
              <w:rPr>
                <w:sz w:val="24"/>
              </w:rPr>
            </w:pPr>
            <w:r>
              <w:rPr>
                <w:sz w:val="24"/>
              </w:rPr>
              <w:t>10</w:t>
            </w:r>
            <w:r>
              <w:rPr>
                <w:spacing w:val="-4"/>
                <w:sz w:val="24"/>
              </w:rPr>
              <w:t xml:space="preserve"> g/kg</w:t>
            </w:r>
          </w:p>
        </w:tc>
        <w:tc>
          <w:tcPr>
            <w:tcW w:w="2314" w:type="dxa"/>
            <w:tcBorders>
              <w:top w:val="single" w:sz="4" w:space="0" w:color="000000"/>
            </w:tcBorders>
          </w:tcPr>
          <w:p w14:paraId="606765E2" w14:textId="77777777" w:rsidR="00704B93" w:rsidRDefault="00704B93" w:rsidP="00912F9D">
            <w:pPr>
              <w:pStyle w:val="TableParagraph"/>
              <w:spacing w:line="275" w:lineRule="exact"/>
              <w:ind w:left="107"/>
              <w:rPr>
                <w:sz w:val="24"/>
              </w:rPr>
            </w:pPr>
            <w:r>
              <w:rPr>
                <w:spacing w:val="-10"/>
                <w:sz w:val="24"/>
              </w:rPr>
              <w:t>2</w:t>
            </w:r>
          </w:p>
        </w:tc>
        <w:tc>
          <w:tcPr>
            <w:tcW w:w="2182" w:type="dxa"/>
            <w:tcBorders>
              <w:top w:val="single" w:sz="4" w:space="0" w:color="000000"/>
            </w:tcBorders>
          </w:tcPr>
          <w:p w14:paraId="79BC869C" w14:textId="77777777" w:rsidR="00704B93" w:rsidRDefault="00704B93" w:rsidP="00912F9D">
            <w:pPr>
              <w:pStyle w:val="TableParagraph"/>
              <w:spacing w:line="275" w:lineRule="exact"/>
              <w:ind w:left="107"/>
              <w:rPr>
                <w:sz w:val="24"/>
              </w:rPr>
            </w:pPr>
            <w:r>
              <w:rPr>
                <w:spacing w:val="-10"/>
                <w:sz w:val="24"/>
              </w:rPr>
              <w:t>0</w:t>
            </w:r>
          </w:p>
        </w:tc>
        <w:tc>
          <w:tcPr>
            <w:tcW w:w="836" w:type="dxa"/>
            <w:tcBorders>
              <w:top w:val="single" w:sz="4" w:space="0" w:color="000000"/>
            </w:tcBorders>
          </w:tcPr>
          <w:p w14:paraId="50850402" w14:textId="77777777" w:rsidR="00704B93" w:rsidRDefault="00704B93" w:rsidP="00912F9D">
            <w:pPr>
              <w:pStyle w:val="TableParagraph"/>
              <w:spacing w:line="275" w:lineRule="exact"/>
              <w:ind w:left="108"/>
              <w:rPr>
                <w:sz w:val="24"/>
              </w:rPr>
            </w:pPr>
            <w:r>
              <w:rPr>
                <w:spacing w:val="-5"/>
                <w:sz w:val="24"/>
              </w:rPr>
              <w:t>&gt;10</w:t>
            </w:r>
          </w:p>
        </w:tc>
      </w:tr>
      <w:tr w:rsidR="00704B93" w14:paraId="39532B9D" w14:textId="77777777" w:rsidTr="00912F9D">
        <w:trPr>
          <w:trHeight w:val="552"/>
        </w:trPr>
        <w:tc>
          <w:tcPr>
            <w:tcW w:w="1377" w:type="dxa"/>
          </w:tcPr>
          <w:p w14:paraId="4D8C6058" w14:textId="77777777" w:rsidR="00704B93" w:rsidRDefault="00704B93" w:rsidP="00912F9D">
            <w:pPr>
              <w:pStyle w:val="TableParagraph"/>
              <w:spacing w:before="132"/>
              <w:ind w:left="115"/>
              <w:rPr>
                <w:sz w:val="24"/>
              </w:rPr>
            </w:pPr>
            <w:r>
              <w:rPr>
                <w:sz w:val="24"/>
              </w:rPr>
              <w:t>100</w:t>
            </w:r>
            <w:r>
              <w:rPr>
                <w:spacing w:val="-5"/>
                <w:sz w:val="24"/>
              </w:rPr>
              <w:t xml:space="preserve"> </w:t>
            </w:r>
            <w:r>
              <w:rPr>
                <w:spacing w:val="-2"/>
                <w:sz w:val="24"/>
              </w:rPr>
              <w:t>mg/kg</w:t>
            </w:r>
          </w:p>
        </w:tc>
        <w:tc>
          <w:tcPr>
            <w:tcW w:w="2314" w:type="dxa"/>
          </w:tcPr>
          <w:p w14:paraId="1D58EC5C" w14:textId="77777777" w:rsidR="00704B93" w:rsidRDefault="00704B93" w:rsidP="00912F9D">
            <w:pPr>
              <w:pStyle w:val="TableParagraph"/>
              <w:spacing w:before="132"/>
              <w:ind w:left="107"/>
              <w:rPr>
                <w:sz w:val="24"/>
              </w:rPr>
            </w:pPr>
            <w:r>
              <w:rPr>
                <w:spacing w:val="-10"/>
                <w:sz w:val="24"/>
              </w:rPr>
              <w:t>2</w:t>
            </w:r>
          </w:p>
        </w:tc>
        <w:tc>
          <w:tcPr>
            <w:tcW w:w="2182" w:type="dxa"/>
          </w:tcPr>
          <w:p w14:paraId="77703779" w14:textId="77777777" w:rsidR="00704B93" w:rsidRDefault="00704B93" w:rsidP="00912F9D">
            <w:pPr>
              <w:pStyle w:val="TableParagraph"/>
              <w:spacing w:before="132"/>
              <w:ind w:left="109"/>
              <w:rPr>
                <w:sz w:val="24"/>
              </w:rPr>
            </w:pPr>
            <w:r>
              <w:rPr>
                <w:spacing w:val="-10"/>
                <w:sz w:val="24"/>
              </w:rPr>
              <w:t>0</w:t>
            </w:r>
          </w:p>
        </w:tc>
        <w:tc>
          <w:tcPr>
            <w:tcW w:w="836" w:type="dxa"/>
          </w:tcPr>
          <w:p w14:paraId="270D03B0" w14:textId="77777777" w:rsidR="00704B93" w:rsidRDefault="00704B93" w:rsidP="00912F9D">
            <w:pPr>
              <w:pStyle w:val="TableParagraph"/>
              <w:spacing w:before="132"/>
              <w:ind w:left="107"/>
              <w:rPr>
                <w:sz w:val="24"/>
              </w:rPr>
            </w:pPr>
            <w:r>
              <w:rPr>
                <w:spacing w:val="-4"/>
                <w:sz w:val="24"/>
              </w:rPr>
              <w:t>&gt;100</w:t>
            </w:r>
          </w:p>
        </w:tc>
      </w:tr>
      <w:tr w:rsidR="00704B93" w14:paraId="46F03FA4" w14:textId="77777777" w:rsidTr="00912F9D">
        <w:trPr>
          <w:trHeight w:val="552"/>
        </w:trPr>
        <w:tc>
          <w:tcPr>
            <w:tcW w:w="1377" w:type="dxa"/>
          </w:tcPr>
          <w:p w14:paraId="46BCF41C" w14:textId="77777777" w:rsidR="00704B93" w:rsidRDefault="00704B93" w:rsidP="00912F9D">
            <w:pPr>
              <w:pStyle w:val="TableParagraph"/>
              <w:spacing w:before="132"/>
              <w:ind w:left="115"/>
              <w:rPr>
                <w:sz w:val="24"/>
              </w:rPr>
            </w:pPr>
            <w:r>
              <w:rPr>
                <w:sz w:val="24"/>
              </w:rPr>
              <w:t>1000</w:t>
            </w:r>
            <w:r>
              <w:rPr>
                <w:spacing w:val="-6"/>
                <w:sz w:val="24"/>
              </w:rPr>
              <w:t xml:space="preserve"> </w:t>
            </w:r>
            <w:r>
              <w:rPr>
                <w:spacing w:val="-2"/>
                <w:sz w:val="24"/>
              </w:rPr>
              <w:t>mg/kg</w:t>
            </w:r>
          </w:p>
        </w:tc>
        <w:tc>
          <w:tcPr>
            <w:tcW w:w="2314" w:type="dxa"/>
          </w:tcPr>
          <w:p w14:paraId="59EDBA5A" w14:textId="77777777" w:rsidR="00704B93" w:rsidRDefault="00704B93" w:rsidP="00912F9D">
            <w:pPr>
              <w:pStyle w:val="TableParagraph"/>
              <w:spacing w:before="132"/>
              <w:ind w:left="108"/>
              <w:rPr>
                <w:sz w:val="24"/>
              </w:rPr>
            </w:pPr>
            <w:r>
              <w:rPr>
                <w:spacing w:val="-10"/>
                <w:sz w:val="24"/>
              </w:rPr>
              <w:t>2</w:t>
            </w:r>
          </w:p>
        </w:tc>
        <w:tc>
          <w:tcPr>
            <w:tcW w:w="2182" w:type="dxa"/>
          </w:tcPr>
          <w:p w14:paraId="1012E2EB" w14:textId="77777777" w:rsidR="00704B93" w:rsidRDefault="00704B93" w:rsidP="00912F9D">
            <w:pPr>
              <w:pStyle w:val="TableParagraph"/>
              <w:spacing w:before="132"/>
              <w:ind w:left="111"/>
              <w:rPr>
                <w:sz w:val="24"/>
              </w:rPr>
            </w:pPr>
            <w:r>
              <w:rPr>
                <w:spacing w:val="-10"/>
                <w:sz w:val="24"/>
              </w:rPr>
              <w:t>0</w:t>
            </w:r>
          </w:p>
        </w:tc>
        <w:tc>
          <w:tcPr>
            <w:tcW w:w="836" w:type="dxa"/>
          </w:tcPr>
          <w:p w14:paraId="3F980B24" w14:textId="77777777" w:rsidR="00704B93" w:rsidRDefault="00704B93" w:rsidP="00912F9D">
            <w:pPr>
              <w:pStyle w:val="TableParagraph"/>
              <w:spacing w:before="132"/>
              <w:ind w:left="108"/>
              <w:rPr>
                <w:sz w:val="24"/>
              </w:rPr>
            </w:pPr>
            <w:r>
              <w:rPr>
                <w:spacing w:val="-4"/>
                <w:sz w:val="24"/>
              </w:rPr>
              <w:t>&gt;1000</w:t>
            </w:r>
          </w:p>
        </w:tc>
      </w:tr>
      <w:tr w:rsidR="00704B93" w14:paraId="3927DE69" w14:textId="77777777" w:rsidTr="00912F9D">
        <w:trPr>
          <w:trHeight w:val="551"/>
        </w:trPr>
        <w:tc>
          <w:tcPr>
            <w:tcW w:w="1377" w:type="dxa"/>
          </w:tcPr>
          <w:p w14:paraId="09C64F12" w14:textId="77777777" w:rsidR="00704B93" w:rsidRDefault="00704B93" w:rsidP="00912F9D">
            <w:pPr>
              <w:pStyle w:val="TableParagraph"/>
              <w:spacing w:before="132"/>
              <w:ind w:left="115"/>
              <w:rPr>
                <w:sz w:val="24"/>
              </w:rPr>
            </w:pPr>
            <w:r>
              <w:rPr>
                <w:sz w:val="24"/>
              </w:rPr>
              <w:t>1600</w:t>
            </w:r>
            <w:r>
              <w:rPr>
                <w:spacing w:val="-6"/>
                <w:sz w:val="24"/>
              </w:rPr>
              <w:t xml:space="preserve"> </w:t>
            </w:r>
            <w:r>
              <w:rPr>
                <w:spacing w:val="-2"/>
                <w:sz w:val="24"/>
              </w:rPr>
              <w:t>mg/kg</w:t>
            </w:r>
          </w:p>
        </w:tc>
        <w:tc>
          <w:tcPr>
            <w:tcW w:w="2314" w:type="dxa"/>
          </w:tcPr>
          <w:p w14:paraId="17D42CE0" w14:textId="77777777" w:rsidR="00704B93" w:rsidRDefault="00704B93" w:rsidP="00912F9D">
            <w:pPr>
              <w:pStyle w:val="TableParagraph"/>
              <w:spacing w:before="132"/>
              <w:ind w:left="108"/>
              <w:rPr>
                <w:sz w:val="24"/>
              </w:rPr>
            </w:pPr>
            <w:r>
              <w:rPr>
                <w:spacing w:val="-10"/>
                <w:sz w:val="24"/>
              </w:rPr>
              <w:t>2</w:t>
            </w:r>
          </w:p>
        </w:tc>
        <w:tc>
          <w:tcPr>
            <w:tcW w:w="2182" w:type="dxa"/>
          </w:tcPr>
          <w:p w14:paraId="41CA3DDB" w14:textId="77777777" w:rsidR="00704B93" w:rsidRDefault="00704B93" w:rsidP="00912F9D">
            <w:pPr>
              <w:pStyle w:val="TableParagraph"/>
              <w:spacing w:before="132"/>
              <w:ind w:left="111"/>
              <w:rPr>
                <w:sz w:val="24"/>
              </w:rPr>
            </w:pPr>
            <w:r>
              <w:rPr>
                <w:spacing w:val="-10"/>
                <w:sz w:val="24"/>
              </w:rPr>
              <w:t>0</w:t>
            </w:r>
          </w:p>
        </w:tc>
        <w:tc>
          <w:tcPr>
            <w:tcW w:w="836" w:type="dxa"/>
          </w:tcPr>
          <w:p w14:paraId="06B3C20B" w14:textId="77777777" w:rsidR="00704B93" w:rsidRDefault="00704B93" w:rsidP="00912F9D">
            <w:pPr>
              <w:pStyle w:val="TableParagraph"/>
              <w:spacing w:before="132"/>
              <w:ind w:left="108"/>
              <w:rPr>
                <w:sz w:val="24"/>
              </w:rPr>
            </w:pPr>
            <w:r>
              <w:rPr>
                <w:spacing w:val="-4"/>
                <w:sz w:val="24"/>
              </w:rPr>
              <w:t>&gt;1600</w:t>
            </w:r>
          </w:p>
        </w:tc>
      </w:tr>
      <w:tr w:rsidR="00704B93" w14:paraId="4617C070" w14:textId="77777777" w:rsidTr="00912F9D">
        <w:trPr>
          <w:trHeight w:val="552"/>
        </w:trPr>
        <w:tc>
          <w:tcPr>
            <w:tcW w:w="1377" w:type="dxa"/>
          </w:tcPr>
          <w:p w14:paraId="498C47BF" w14:textId="77777777" w:rsidR="00704B93" w:rsidRDefault="00704B93" w:rsidP="00912F9D">
            <w:pPr>
              <w:pStyle w:val="TableParagraph"/>
              <w:spacing w:before="132"/>
              <w:ind w:left="115"/>
              <w:rPr>
                <w:sz w:val="24"/>
              </w:rPr>
            </w:pPr>
            <w:r>
              <w:rPr>
                <w:sz w:val="24"/>
              </w:rPr>
              <w:t>2900</w:t>
            </w:r>
            <w:r>
              <w:rPr>
                <w:spacing w:val="-6"/>
                <w:sz w:val="24"/>
              </w:rPr>
              <w:t xml:space="preserve"> </w:t>
            </w:r>
            <w:r>
              <w:rPr>
                <w:spacing w:val="-2"/>
                <w:sz w:val="24"/>
              </w:rPr>
              <w:t>mg/kg</w:t>
            </w:r>
          </w:p>
        </w:tc>
        <w:tc>
          <w:tcPr>
            <w:tcW w:w="2314" w:type="dxa"/>
          </w:tcPr>
          <w:p w14:paraId="25A94FEB" w14:textId="77777777" w:rsidR="00704B93" w:rsidRDefault="00704B93" w:rsidP="00912F9D">
            <w:pPr>
              <w:pStyle w:val="TableParagraph"/>
              <w:spacing w:before="132"/>
              <w:ind w:left="108"/>
              <w:rPr>
                <w:sz w:val="24"/>
              </w:rPr>
            </w:pPr>
            <w:r>
              <w:rPr>
                <w:spacing w:val="-10"/>
                <w:sz w:val="24"/>
              </w:rPr>
              <w:t>2</w:t>
            </w:r>
          </w:p>
        </w:tc>
        <w:tc>
          <w:tcPr>
            <w:tcW w:w="2182" w:type="dxa"/>
          </w:tcPr>
          <w:p w14:paraId="6B6BA291" w14:textId="77777777" w:rsidR="00704B93" w:rsidRDefault="00704B93" w:rsidP="00912F9D">
            <w:pPr>
              <w:pStyle w:val="TableParagraph"/>
              <w:spacing w:before="132"/>
              <w:ind w:left="111"/>
              <w:rPr>
                <w:sz w:val="24"/>
              </w:rPr>
            </w:pPr>
            <w:r>
              <w:rPr>
                <w:spacing w:val="-10"/>
                <w:sz w:val="24"/>
              </w:rPr>
              <w:t>0</w:t>
            </w:r>
          </w:p>
        </w:tc>
        <w:tc>
          <w:tcPr>
            <w:tcW w:w="836" w:type="dxa"/>
          </w:tcPr>
          <w:p w14:paraId="1B48775C" w14:textId="77777777" w:rsidR="00704B93" w:rsidRDefault="00704B93" w:rsidP="00912F9D">
            <w:pPr>
              <w:pStyle w:val="TableParagraph"/>
              <w:spacing w:before="132"/>
              <w:ind w:left="108"/>
              <w:rPr>
                <w:sz w:val="24"/>
              </w:rPr>
            </w:pPr>
            <w:r>
              <w:rPr>
                <w:spacing w:val="-4"/>
                <w:sz w:val="24"/>
              </w:rPr>
              <w:t>&gt;2900</w:t>
            </w:r>
          </w:p>
        </w:tc>
      </w:tr>
      <w:tr w:rsidR="00704B93" w14:paraId="4E3BE845" w14:textId="77777777" w:rsidTr="00912F9D">
        <w:trPr>
          <w:trHeight w:val="685"/>
        </w:trPr>
        <w:tc>
          <w:tcPr>
            <w:tcW w:w="1377" w:type="dxa"/>
            <w:tcBorders>
              <w:bottom w:val="single" w:sz="4" w:space="0" w:color="000000"/>
            </w:tcBorders>
          </w:tcPr>
          <w:p w14:paraId="183E757C" w14:textId="77777777" w:rsidR="00704B93" w:rsidRDefault="00704B93" w:rsidP="00912F9D">
            <w:pPr>
              <w:pStyle w:val="TableParagraph"/>
              <w:spacing w:before="132"/>
              <w:ind w:left="115"/>
              <w:rPr>
                <w:sz w:val="24"/>
              </w:rPr>
            </w:pPr>
            <w:r>
              <w:rPr>
                <w:sz w:val="24"/>
              </w:rPr>
              <w:t>5000</w:t>
            </w:r>
            <w:r>
              <w:rPr>
                <w:spacing w:val="-6"/>
                <w:sz w:val="24"/>
              </w:rPr>
              <w:t xml:space="preserve"> </w:t>
            </w:r>
            <w:r>
              <w:rPr>
                <w:spacing w:val="-2"/>
                <w:sz w:val="24"/>
              </w:rPr>
              <w:t>mg/kg</w:t>
            </w:r>
          </w:p>
        </w:tc>
        <w:tc>
          <w:tcPr>
            <w:tcW w:w="2314" w:type="dxa"/>
            <w:tcBorders>
              <w:bottom w:val="single" w:sz="4" w:space="0" w:color="000000"/>
            </w:tcBorders>
          </w:tcPr>
          <w:p w14:paraId="2F2DE5FF" w14:textId="77777777" w:rsidR="00704B93" w:rsidRDefault="00704B93" w:rsidP="00912F9D">
            <w:pPr>
              <w:pStyle w:val="TableParagraph"/>
              <w:spacing w:before="132"/>
              <w:ind w:left="108"/>
              <w:rPr>
                <w:sz w:val="24"/>
              </w:rPr>
            </w:pPr>
            <w:r>
              <w:rPr>
                <w:spacing w:val="-10"/>
                <w:sz w:val="24"/>
              </w:rPr>
              <w:t>2</w:t>
            </w:r>
          </w:p>
        </w:tc>
        <w:tc>
          <w:tcPr>
            <w:tcW w:w="2182" w:type="dxa"/>
            <w:tcBorders>
              <w:bottom w:val="single" w:sz="4" w:space="0" w:color="000000"/>
            </w:tcBorders>
          </w:tcPr>
          <w:p w14:paraId="0EDD3A36" w14:textId="77777777" w:rsidR="00704B93" w:rsidRDefault="00704B93" w:rsidP="00912F9D">
            <w:pPr>
              <w:pStyle w:val="TableParagraph"/>
              <w:spacing w:before="132"/>
              <w:ind w:left="111"/>
              <w:rPr>
                <w:sz w:val="24"/>
              </w:rPr>
            </w:pPr>
            <w:r>
              <w:rPr>
                <w:spacing w:val="-10"/>
                <w:sz w:val="24"/>
              </w:rPr>
              <w:t>0</w:t>
            </w:r>
          </w:p>
        </w:tc>
        <w:tc>
          <w:tcPr>
            <w:tcW w:w="836" w:type="dxa"/>
            <w:tcBorders>
              <w:bottom w:val="single" w:sz="4" w:space="0" w:color="000000"/>
            </w:tcBorders>
          </w:tcPr>
          <w:p w14:paraId="580EE389" w14:textId="77777777" w:rsidR="00704B93" w:rsidRDefault="00704B93" w:rsidP="00912F9D">
            <w:pPr>
              <w:pStyle w:val="TableParagraph"/>
              <w:spacing w:before="132"/>
              <w:ind w:left="108"/>
              <w:rPr>
                <w:sz w:val="24"/>
              </w:rPr>
            </w:pPr>
            <w:r>
              <w:rPr>
                <w:spacing w:val="-4"/>
                <w:sz w:val="24"/>
              </w:rPr>
              <w:t>&gt;5000</w:t>
            </w:r>
          </w:p>
        </w:tc>
      </w:tr>
      <w:tr w:rsidR="00704B93" w14:paraId="0BE780A8" w14:textId="77777777" w:rsidTr="00912F9D">
        <w:trPr>
          <w:trHeight w:val="274"/>
        </w:trPr>
        <w:tc>
          <w:tcPr>
            <w:tcW w:w="1377" w:type="dxa"/>
            <w:tcBorders>
              <w:top w:val="single" w:sz="4" w:space="0" w:color="000000"/>
            </w:tcBorders>
          </w:tcPr>
          <w:p w14:paraId="6B4A6F50" w14:textId="77777777" w:rsidR="00704B93" w:rsidRDefault="00704B93" w:rsidP="00912F9D">
            <w:pPr>
              <w:pStyle w:val="TableParagraph"/>
              <w:spacing w:line="255" w:lineRule="exact"/>
              <w:ind w:left="115"/>
              <w:rPr>
                <w:b/>
                <w:sz w:val="24"/>
              </w:rPr>
            </w:pPr>
            <w:r>
              <w:rPr>
                <w:b/>
                <w:spacing w:val="-4"/>
                <w:sz w:val="24"/>
              </w:rPr>
              <w:t>Key:</w:t>
            </w:r>
          </w:p>
        </w:tc>
        <w:tc>
          <w:tcPr>
            <w:tcW w:w="2314" w:type="dxa"/>
            <w:tcBorders>
              <w:top w:val="single" w:sz="4" w:space="0" w:color="000000"/>
            </w:tcBorders>
          </w:tcPr>
          <w:p w14:paraId="219D3E82" w14:textId="77777777" w:rsidR="00704B93" w:rsidRDefault="00704B93" w:rsidP="00912F9D">
            <w:pPr>
              <w:pStyle w:val="TableParagraph"/>
              <w:rPr>
                <w:sz w:val="20"/>
              </w:rPr>
            </w:pPr>
          </w:p>
        </w:tc>
        <w:tc>
          <w:tcPr>
            <w:tcW w:w="2182" w:type="dxa"/>
            <w:tcBorders>
              <w:top w:val="single" w:sz="4" w:space="0" w:color="000000"/>
            </w:tcBorders>
          </w:tcPr>
          <w:p w14:paraId="2873D12D" w14:textId="77777777" w:rsidR="00704B93" w:rsidRDefault="00704B93" w:rsidP="00912F9D">
            <w:pPr>
              <w:pStyle w:val="TableParagraph"/>
              <w:rPr>
                <w:sz w:val="20"/>
              </w:rPr>
            </w:pPr>
          </w:p>
        </w:tc>
        <w:tc>
          <w:tcPr>
            <w:tcW w:w="836" w:type="dxa"/>
            <w:tcBorders>
              <w:top w:val="single" w:sz="4" w:space="0" w:color="000000"/>
            </w:tcBorders>
          </w:tcPr>
          <w:p w14:paraId="7E2C7DEA" w14:textId="77777777" w:rsidR="00704B93" w:rsidRDefault="00704B93" w:rsidP="00912F9D">
            <w:pPr>
              <w:pStyle w:val="TableParagraph"/>
              <w:rPr>
                <w:sz w:val="20"/>
              </w:rPr>
            </w:pPr>
          </w:p>
        </w:tc>
      </w:tr>
    </w:tbl>
    <w:p w14:paraId="4B3F703E" w14:textId="77777777" w:rsidR="00704B93" w:rsidRDefault="00704B93" w:rsidP="00704B93">
      <w:pPr>
        <w:pStyle w:val="BodyText"/>
        <w:spacing w:before="158"/>
      </w:pPr>
    </w:p>
    <w:p w14:paraId="5BC1D1BD" w14:textId="77777777" w:rsidR="00704B93" w:rsidRDefault="00704B93" w:rsidP="00704B93">
      <w:pPr>
        <w:pStyle w:val="BodyText"/>
        <w:ind w:left="360"/>
        <w:rPr>
          <w:position w:val="2"/>
        </w:rPr>
      </w:pPr>
      <w:r>
        <w:rPr>
          <w:b/>
          <w:position w:val="2"/>
        </w:rPr>
        <w:t>&gt;</w:t>
      </w:r>
      <w:r>
        <w:rPr>
          <w:b/>
          <w:spacing w:val="-5"/>
          <w:position w:val="2"/>
        </w:rPr>
        <w:t xml:space="preserve"> </w:t>
      </w:r>
      <w:r>
        <w:rPr>
          <w:position w:val="2"/>
        </w:rPr>
        <w:t>Indicates</w:t>
      </w:r>
      <w:r>
        <w:rPr>
          <w:spacing w:val="-5"/>
          <w:position w:val="2"/>
        </w:rPr>
        <w:t xml:space="preserve"> </w:t>
      </w:r>
      <w:r>
        <w:rPr>
          <w:position w:val="2"/>
        </w:rPr>
        <w:t>that</w:t>
      </w:r>
      <w:r>
        <w:rPr>
          <w:spacing w:val="-6"/>
          <w:position w:val="2"/>
        </w:rPr>
        <w:t xml:space="preserve"> </w:t>
      </w:r>
      <w:r>
        <w:rPr>
          <w:position w:val="2"/>
        </w:rPr>
        <w:t>the</w:t>
      </w:r>
      <w:r>
        <w:rPr>
          <w:spacing w:val="-5"/>
          <w:position w:val="2"/>
        </w:rPr>
        <w:t xml:space="preserve"> </w:t>
      </w:r>
      <w:r>
        <w:rPr>
          <w:position w:val="2"/>
        </w:rPr>
        <w:t>LD</w:t>
      </w:r>
      <w:r>
        <w:rPr>
          <w:sz w:val="16"/>
        </w:rPr>
        <w:t>50</w:t>
      </w:r>
      <w:r>
        <w:rPr>
          <w:spacing w:val="15"/>
          <w:sz w:val="16"/>
        </w:rPr>
        <w:t xml:space="preserve"> </w:t>
      </w:r>
      <w:r>
        <w:rPr>
          <w:position w:val="2"/>
        </w:rPr>
        <w:t>is</w:t>
      </w:r>
      <w:r>
        <w:rPr>
          <w:spacing w:val="-5"/>
          <w:position w:val="2"/>
        </w:rPr>
        <w:t xml:space="preserve"> </w:t>
      </w:r>
      <w:r>
        <w:rPr>
          <w:position w:val="2"/>
        </w:rPr>
        <w:t>above</w:t>
      </w:r>
      <w:r>
        <w:rPr>
          <w:spacing w:val="-6"/>
          <w:position w:val="2"/>
        </w:rPr>
        <w:t xml:space="preserve"> </w:t>
      </w:r>
      <w:r>
        <w:rPr>
          <w:position w:val="2"/>
        </w:rPr>
        <w:t>the</w:t>
      </w:r>
      <w:r>
        <w:rPr>
          <w:spacing w:val="-7"/>
          <w:position w:val="2"/>
        </w:rPr>
        <w:t xml:space="preserve"> </w:t>
      </w:r>
      <w:r>
        <w:rPr>
          <w:position w:val="2"/>
        </w:rPr>
        <w:t>prescribed</w:t>
      </w:r>
      <w:r>
        <w:rPr>
          <w:spacing w:val="-6"/>
          <w:position w:val="2"/>
        </w:rPr>
        <w:t xml:space="preserve"> </w:t>
      </w:r>
      <w:r>
        <w:rPr>
          <w:position w:val="2"/>
        </w:rPr>
        <w:t>dose</w:t>
      </w:r>
      <w:r>
        <w:rPr>
          <w:spacing w:val="-7"/>
          <w:position w:val="2"/>
        </w:rPr>
        <w:t xml:space="preserve"> </w:t>
      </w:r>
      <w:r>
        <w:rPr>
          <w:position w:val="2"/>
        </w:rPr>
        <w:t>for</w:t>
      </w:r>
      <w:r>
        <w:rPr>
          <w:spacing w:val="-5"/>
          <w:position w:val="2"/>
        </w:rPr>
        <w:t xml:space="preserve"> </w:t>
      </w:r>
      <w:r>
        <w:rPr>
          <w:position w:val="2"/>
        </w:rPr>
        <w:t>the</w:t>
      </w:r>
      <w:r>
        <w:rPr>
          <w:spacing w:val="-6"/>
          <w:position w:val="2"/>
        </w:rPr>
        <w:t xml:space="preserve"> </w:t>
      </w:r>
      <w:r>
        <w:rPr>
          <w:position w:val="2"/>
        </w:rPr>
        <w:t>specified</w:t>
      </w:r>
      <w:r>
        <w:rPr>
          <w:spacing w:val="-5"/>
          <w:position w:val="2"/>
        </w:rPr>
        <w:t xml:space="preserve"> </w:t>
      </w:r>
      <w:r>
        <w:rPr>
          <w:spacing w:val="-2"/>
          <w:position w:val="2"/>
        </w:rPr>
        <w:t>step.</w:t>
      </w:r>
    </w:p>
    <w:p w14:paraId="359829FC" w14:textId="77777777" w:rsidR="00704B93" w:rsidRDefault="00704B93" w:rsidP="00704B93">
      <w:pPr>
        <w:pStyle w:val="BodyText"/>
        <w:rPr>
          <w:position w:val="2"/>
        </w:rPr>
        <w:sectPr w:rsidR="00704B93" w:rsidSect="00704B93">
          <w:pgSz w:w="12240" w:h="15840"/>
          <w:pgMar w:top="1320" w:right="1080" w:bottom="280" w:left="1080" w:header="752" w:footer="0" w:gutter="0"/>
          <w:cols w:space="720"/>
        </w:sectPr>
      </w:pPr>
    </w:p>
    <w:p w14:paraId="298F78B9" w14:textId="716E2F79" w:rsidR="00704B93" w:rsidRDefault="00704B93" w:rsidP="00704B93">
      <w:pPr>
        <w:pStyle w:val="Heading1"/>
        <w:numPr>
          <w:ilvl w:val="1"/>
          <w:numId w:val="13"/>
        </w:numPr>
        <w:tabs>
          <w:tab w:val="left" w:pos="718"/>
        </w:tabs>
        <w:spacing w:before="100"/>
      </w:pPr>
      <w:r>
        <w:lastRenderedPageBreak/>
        <w:t>SUB-ACUTE</w:t>
      </w:r>
      <w:r>
        <w:rPr>
          <w:spacing w:val="-17"/>
        </w:rPr>
        <w:t xml:space="preserve"> </w:t>
      </w:r>
      <w:r>
        <w:t>TOXICITY</w:t>
      </w:r>
      <w:r>
        <w:rPr>
          <w:spacing w:val="-14"/>
        </w:rPr>
        <w:t xml:space="preserve"> </w:t>
      </w:r>
      <w:r>
        <w:rPr>
          <w:spacing w:val="-2"/>
        </w:rPr>
        <w:t>ASSESSMENT</w:t>
      </w:r>
    </w:p>
    <w:p w14:paraId="00171253" w14:textId="77777777" w:rsidR="00704B93" w:rsidRDefault="00704B93" w:rsidP="00704B93">
      <w:pPr>
        <w:pStyle w:val="BodyText"/>
        <w:rPr>
          <w:b/>
        </w:rPr>
      </w:pPr>
    </w:p>
    <w:p w14:paraId="1026A7B6" w14:textId="77777777" w:rsidR="00704B93" w:rsidRDefault="00704B93" w:rsidP="00704B93">
      <w:pPr>
        <w:pStyle w:val="BodyText"/>
        <w:spacing w:line="480" w:lineRule="auto"/>
        <w:ind w:left="360" w:right="362"/>
        <w:jc w:val="both"/>
      </w:pPr>
      <w:r>
        <w:t>Table</w:t>
      </w:r>
      <w:r>
        <w:rPr>
          <w:spacing w:val="-4"/>
        </w:rPr>
        <w:t xml:space="preserve"> </w:t>
      </w:r>
      <w:r>
        <w:t>The results</w:t>
      </w:r>
      <w:r>
        <w:rPr>
          <w:spacing w:val="-1"/>
        </w:rPr>
        <w:t xml:space="preserve"> </w:t>
      </w:r>
      <w:r>
        <w:t>of the</w:t>
      </w:r>
      <w:r>
        <w:rPr>
          <w:spacing w:val="-4"/>
        </w:rPr>
        <w:t xml:space="preserve"> </w:t>
      </w:r>
      <w:r>
        <w:t xml:space="preserve">sub-acute administration of </w:t>
      </w:r>
      <w:r>
        <w:rPr>
          <w:i/>
        </w:rPr>
        <w:t>Azanza</w:t>
      </w:r>
      <w:r>
        <w:rPr>
          <w:i/>
          <w:spacing w:val="-1"/>
        </w:rPr>
        <w:t xml:space="preserve"> </w:t>
      </w:r>
      <w:proofErr w:type="spellStart"/>
      <w:r>
        <w:rPr>
          <w:i/>
        </w:rPr>
        <w:t>garckeana</w:t>
      </w:r>
      <w:proofErr w:type="spellEnd"/>
      <w:r>
        <w:rPr>
          <w:i/>
        </w:rPr>
        <w:t xml:space="preserve"> </w:t>
      </w:r>
      <w:r>
        <w:t>extract to</w:t>
      </w:r>
      <w:r>
        <w:rPr>
          <w:spacing w:val="-1"/>
        </w:rPr>
        <w:t xml:space="preserve"> </w:t>
      </w:r>
      <w:r>
        <w:t>six</w:t>
      </w:r>
      <w:r>
        <w:rPr>
          <w:spacing w:val="-1"/>
        </w:rPr>
        <w:t xml:space="preserve"> </w:t>
      </w:r>
      <w:r>
        <w:t>(6)</w:t>
      </w:r>
      <w:r>
        <w:rPr>
          <w:spacing w:val="-1"/>
        </w:rPr>
        <w:t xml:space="preserve"> </w:t>
      </w:r>
      <w:r>
        <w:t>different groups of animals for twenty-one (21) days on weight, Total protein, albumin, urea, creatinine ALT(GPT), AST (GOT) and ALP indicated final weight</w:t>
      </w:r>
      <w:r>
        <w:rPr>
          <w:spacing w:val="-4"/>
        </w:rPr>
        <w:t xml:space="preserve"> </w:t>
      </w:r>
      <w:r>
        <w:t>lower than the corresponding initial weight except the group treated with AFEAG 10mg/kg. So, the plant extract used at a dose</w:t>
      </w:r>
      <w:r>
        <w:rPr>
          <w:spacing w:val="40"/>
        </w:rPr>
        <w:t xml:space="preserve"> </w:t>
      </w:r>
      <w:r>
        <w:t>higher than 10 mg/kg caused loss of weight.</w:t>
      </w:r>
    </w:p>
    <w:p w14:paraId="35FCB561" w14:textId="77777777" w:rsidR="00704B93" w:rsidRDefault="00704B93" w:rsidP="00704B93">
      <w:pPr>
        <w:pStyle w:val="BodyText"/>
        <w:spacing w:line="480" w:lineRule="auto"/>
        <w:ind w:left="360" w:right="369"/>
        <w:jc w:val="both"/>
      </w:pPr>
      <w:r>
        <w:t>For total protein, albumin, urea, creatinine and ALAT (GPT), Table 3 revealed no significant difference of level between the groups treated with AFEAG at 100, 1000, 1600, 2900 and 5000 mg/kg, compared with corresponding group of AFEAG 10 mg/kg.</w:t>
      </w:r>
    </w:p>
    <w:p w14:paraId="3AC71D94" w14:textId="77777777" w:rsidR="00704B93" w:rsidRDefault="00704B93" w:rsidP="00704B93">
      <w:pPr>
        <w:pStyle w:val="BodyText"/>
        <w:spacing w:line="480" w:lineRule="auto"/>
        <w:ind w:left="360" w:right="368"/>
        <w:jc w:val="both"/>
      </w:pPr>
      <w:r>
        <w:t>For AST (GOT) the significant difference of activity was found only with 2900 and 5000 mg/kg relative</w:t>
      </w:r>
      <w:r>
        <w:rPr>
          <w:spacing w:val="-2"/>
        </w:rPr>
        <w:t xml:space="preserve"> </w:t>
      </w:r>
      <w:r>
        <w:t>corresponding group of</w:t>
      </w:r>
      <w:r>
        <w:rPr>
          <w:spacing w:val="-2"/>
        </w:rPr>
        <w:t xml:space="preserve"> </w:t>
      </w:r>
      <w:proofErr w:type="gramStart"/>
      <w:r>
        <w:t>A,F</w:t>
      </w:r>
      <w:proofErr w:type="gramEnd"/>
      <w:r>
        <w:t>,</w:t>
      </w:r>
      <w:proofErr w:type="gramStart"/>
      <w:r>
        <w:t>E,A</w:t>
      </w:r>
      <w:proofErr w:type="gramEnd"/>
      <w:r>
        <w:t>,G 10 mg/kg. The difference</w:t>
      </w:r>
      <w:r>
        <w:rPr>
          <w:spacing w:val="-2"/>
        </w:rPr>
        <w:t xml:space="preserve"> </w:t>
      </w:r>
      <w:r>
        <w:t>was highly significant at</w:t>
      </w:r>
      <w:r>
        <w:rPr>
          <w:spacing w:val="-2"/>
        </w:rPr>
        <w:t xml:space="preserve"> </w:t>
      </w:r>
      <w:r>
        <w:t xml:space="preserve">p-value &lt; .05 with Alkaline Phosphatase activity for 100, 1000, 2900 and 5000mg/kg groups compared with corresponding group of </w:t>
      </w:r>
      <w:proofErr w:type="gramStart"/>
      <w:r>
        <w:t>A,F</w:t>
      </w:r>
      <w:proofErr w:type="gramEnd"/>
      <w:r>
        <w:t>,</w:t>
      </w:r>
      <w:proofErr w:type="gramStart"/>
      <w:r>
        <w:t>E,A</w:t>
      </w:r>
      <w:proofErr w:type="gramEnd"/>
      <w:r>
        <w:t>,G 10 mg/kg.</w:t>
      </w:r>
    </w:p>
    <w:p w14:paraId="03C68824" w14:textId="77777777" w:rsidR="00704B93" w:rsidRDefault="00704B93" w:rsidP="00704B93">
      <w:pPr>
        <w:pStyle w:val="BodyText"/>
        <w:spacing w:line="480" w:lineRule="auto"/>
        <w:ind w:left="360" w:right="366"/>
        <w:jc w:val="both"/>
      </w:pPr>
      <w:r>
        <w:t>Therefore, AFEAG was and is not harmful for the biochemical parameters analyses. These findings showed a decrease of weight in groups treated with doses higher than 10 mg/kg but could also explain the safety of AFEAG on biochemical parameters though there was no normal control group. AFEAG 10 mg/kg showed an increase of body weight and this could explain the safety of body weight when this plant is used at small doses.</w:t>
      </w:r>
    </w:p>
    <w:p w14:paraId="72618A97" w14:textId="77777777" w:rsidR="00704B93" w:rsidRDefault="00704B93" w:rsidP="00704B93">
      <w:pPr>
        <w:pStyle w:val="BodyText"/>
        <w:spacing w:line="480" w:lineRule="auto"/>
        <w:jc w:val="both"/>
        <w:sectPr w:rsidR="00704B93" w:rsidSect="00704B93">
          <w:pgSz w:w="12240" w:h="15840"/>
          <w:pgMar w:top="1320" w:right="1080" w:bottom="280" w:left="1080" w:header="752" w:footer="0" w:gutter="0"/>
          <w:cols w:space="720"/>
        </w:sectPr>
      </w:pPr>
    </w:p>
    <w:p w14:paraId="230EC7EE" w14:textId="77777777" w:rsidR="00704B93" w:rsidRDefault="00704B93" w:rsidP="00704B93">
      <w:pPr>
        <w:spacing w:before="27"/>
        <w:ind w:right="1"/>
        <w:jc w:val="center"/>
        <w:rPr>
          <w:rFonts w:ascii="Calibri"/>
        </w:rPr>
      </w:pPr>
      <w:r>
        <w:rPr>
          <w:rFonts w:ascii="Calibri"/>
          <w:spacing w:val="-5"/>
        </w:rPr>
        <w:lastRenderedPageBreak/>
        <w:t>74</w:t>
      </w:r>
    </w:p>
    <w:p w14:paraId="0918BFB8" w14:textId="77777777" w:rsidR="00704B93" w:rsidRDefault="00704B93" w:rsidP="00704B93">
      <w:pPr>
        <w:pStyle w:val="BodyText"/>
        <w:spacing w:before="170"/>
        <w:rPr>
          <w:rFonts w:ascii="Calibri"/>
        </w:rPr>
      </w:pPr>
    </w:p>
    <w:p w14:paraId="157FA98C" w14:textId="77777777" w:rsidR="00704B93" w:rsidRDefault="00704B93" w:rsidP="00704B93">
      <w:pPr>
        <w:pStyle w:val="BodyText"/>
        <w:ind w:left="1080"/>
      </w:pPr>
      <w:r>
        <w:rPr>
          <w:b/>
        </w:rPr>
        <w:t>Table</w:t>
      </w:r>
      <w:r>
        <w:rPr>
          <w:b/>
          <w:spacing w:val="-4"/>
        </w:rPr>
        <w:t xml:space="preserve"> </w:t>
      </w:r>
      <w:r>
        <w:rPr>
          <w:b/>
        </w:rPr>
        <w:t>3:</w:t>
      </w:r>
      <w:r>
        <w:rPr>
          <w:b/>
          <w:spacing w:val="-3"/>
        </w:rPr>
        <w:t xml:space="preserve"> </w:t>
      </w:r>
      <w:r>
        <w:t>Weights</w:t>
      </w:r>
      <w:r>
        <w:rPr>
          <w:spacing w:val="-1"/>
        </w:rPr>
        <w:t xml:space="preserve"> </w:t>
      </w:r>
      <w:r>
        <w:t>and</w:t>
      </w:r>
      <w:r>
        <w:rPr>
          <w:spacing w:val="-1"/>
        </w:rPr>
        <w:t xml:space="preserve"> </w:t>
      </w:r>
      <w:r>
        <w:t>Levels</w:t>
      </w:r>
      <w:r>
        <w:rPr>
          <w:spacing w:val="1"/>
        </w:rPr>
        <w:t xml:space="preserve"> </w:t>
      </w:r>
      <w:r>
        <w:t>of</w:t>
      </w:r>
      <w:r>
        <w:rPr>
          <w:spacing w:val="-1"/>
        </w:rPr>
        <w:t xml:space="preserve"> </w:t>
      </w:r>
      <w:r>
        <w:t xml:space="preserve">Biochemical </w:t>
      </w:r>
      <w:r>
        <w:rPr>
          <w:spacing w:val="-2"/>
        </w:rPr>
        <w:t>Parameters</w:t>
      </w:r>
    </w:p>
    <w:p w14:paraId="5D982012" w14:textId="77777777" w:rsidR="00704B93" w:rsidRDefault="00704B93" w:rsidP="00704B93">
      <w:pPr>
        <w:pStyle w:val="BodyText"/>
        <w:spacing w:before="208"/>
        <w:rPr>
          <w:sz w:val="20"/>
        </w:rPr>
      </w:pPr>
    </w:p>
    <w:tbl>
      <w:tblPr>
        <w:tblW w:w="0" w:type="auto"/>
        <w:tblInd w:w="93" w:type="dxa"/>
        <w:tblLayout w:type="fixed"/>
        <w:tblCellMar>
          <w:left w:w="0" w:type="dxa"/>
          <w:right w:w="0" w:type="dxa"/>
        </w:tblCellMar>
        <w:tblLook w:val="04A0" w:firstRow="1" w:lastRow="0" w:firstColumn="1" w:lastColumn="0" w:noHBand="0" w:noVBand="1"/>
      </w:tblPr>
      <w:tblGrid>
        <w:gridCol w:w="2825"/>
        <w:gridCol w:w="1847"/>
        <w:gridCol w:w="1790"/>
        <w:gridCol w:w="1742"/>
        <w:gridCol w:w="1706"/>
        <w:gridCol w:w="1707"/>
        <w:gridCol w:w="1685"/>
        <w:gridCol w:w="1628"/>
      </w:tblGrid>
      <w:tr w:rsidR="00704B93" w14:paraId="3FBB3175" w14:textId="77777777" w:rsidTr="00912F9D">
        <w:trPr>
          <w:trHeight w:val="551"/>
        </w:trPr>
        <w:tc>
          <w:tcPr>
            <w:tcW w:w="2825" w:type="dxa"/>
            <w:vMerge w:val="restart"/>
            <w:tcBorders>
              <w:top w:val="single" w:sz="4" w:space="0" w:color="000000"/>
              <w:bottom w:val="single" w:sz="4" w:space="0" w:color="000000"/>
              <w:right w:val="single" w:sz="4" w:space="0" w:color="000000"/>
            </w:tcBorders>
          </w:tcPr>
          <w:p w14:paraId="301345EE" w14:textId="77777777" w:rsidR="00704B93" w:rsidRDefault="00704B93" w:rsidP="00912F9D">
            <w:pPr>
              <w:pStyle w:val="TableParagraph"/>
              <w:rPr>
                <w:sz w:val="24"/>
              </w:rPr>
            </w:pPr>
          </w:p>
          <w:p w14:paraId="6E6E8ACF" w14:textId="77777777" w:rsidR="00704B93" w:rsidRDefault="00704B93" w:rsidP="00912F9D">
            <w:pPr>
              <w:pStyle w:val="TableParagraph"/>
              <w:spacing w:before="3"/>
              <w:rPr>
                <w:sz w:val="24"/>
              </w:rPr>
            </w:pPr>
          </w:p>
          <w:p w14:paraId="21D00EC1" w14:textId="77777777" w:rsidR="00704B93" w:rsidRDefault="00704B93" w:rsidP="00912F9D">
            <w:pPr>
              <w:pStyle w:val="TableParagraph"/>
              <w:ind w:left="124"/>
              <w:rPr>
                <w:b/>
                <w:sz w:val="24"/>
              </w:rPr>
            </w:pPr>
            <w:r>
              <w:rPr>
                <w:b/>
                <w:spacing w:val="-2"/>
                <w:sz w:val="24"/>
              </w:rPr>
              <w:t>PARAMETERS</w:t>
            </w:r>
          </w:p>
        </w:tc>
        <w:tc>
          <w:tcPr>
            <w:tcW w:w="12105" w:type="dxa"/>
            <w:gridSpan w:val="7"/>
            <w:tcBorders>
              <w:top w:val="single" w:sz="4" w:space="0" w:color="000000"/>
              <w:left w:val="single" w:sz="4" w:space="0" w:color="000000"/>
              <w:bottom w:val="single" w:sz="4" w:space="0" w:color="000000"/>
            </w:tcBorders>
          </w:tcPr>
          <w:p w14:paraId="45D2B6CA" w14:textId="77777777" w:rsidR="00704B93" w:rsidRDefault="00704B93" w:rsidP="00912F9D">
            <w:pPr>
              <w:pStyle w:val="TableParagraph"/>
              <w:spacing w:line="275" w:lineRule="exact"/>
              <w:ind w:left="2052"/>
              <w:rPr>
                <w:b/>
                <w:sz w:val="24"/>
              </w:rPr>
            </w:pPr>
            <w:r>
              <w:rPr>
                <w:b/>
                <w:sz w:val="24"/>
              </w:rPr>
              <w:t>PLANT</w:t>
            </w:r>
            <w:r>
              <w:rPr>
                <w:b/>
                <w:spacing w:val="-6"/>
                <w:sz w:val="24"/>
              </w:rPr>
              <w:t xml:space="preserve"> </w:t>
            </w:r>
            <w:r>
              <w:rPr>
                <w:b/>
                <w:spacing w:val="-2"/>
                <w:sz w:val="24"/>
              </w:rPr>
              <w:t>EXTRACT</w:t>
            </w:r>
          </w:p>
        </w:tc>
      </w:tr>
      <w:tr w:rsidR="00704B93" w14:paraId="6C1EB185" w14:textId="77777777" w:rsidTr="00912F9D">
        <w:trPr>
          <w:trHeight w:val="1103"/>
        </w:trPr>
        <w:tc>
          <w:tcPr>
            <w:tcW w:w="2825" w:type="dxa"/>
            <w:vMerge/>
            <w:tcBorders>
              <w:top w:val="nil"/>
              <w:bottom w:val="single" w:sz="4" w:space="0" w:color="000000"/>
              <w:right w:val="single" w:sz="4" w:space="0" w:color="000000"/>
            </w:tcBorders>
          </w:tcPr>
          <w:p w14:paraId="0B6539B0" w14:textId="77777777" w:rsidR="00704B93" w:rsidRDefault="00704B93" w:rsidP="00912F9D">
            <w:pPr>
              <w:rPr>
                <w:sz w:val="2"/>
                <w:szCs w:val="2"/>
              </w:rPr>
            </w:pPr>
          </w:p>
        </w:tc>
        <w:tc>
          <w:tcPr>
            <w:tcW w:w="1847" w:type="dxa"/>
            <w:tcBorders>
              <w:top w:val="single" w:sz="4" w:space="0" w:color="000000"/>
              <w:left w:val="single" w:sz="4" w:space="0" w:color="000000"/>
              <w:bottom w:val="single" w:sz="4" w:space="0" w:color="000000"/>
            </w:tcBorders>
          </w:tcPr>
          <w:p w14:paraId="4562C2CB" w14:textId="77777777" w:rsidR="00704B93" w:rsidRDefault="00704B93" w:rsidP="00912F9D">
            <w:pPr>
              <w:pStyle w:val="TableParagraph"/>
              <w:spacing w:line="275" w:lineRule="exact"/>
              <w:ind w:left="100"/>
              <w:rPr>
                <w:sz w:val="24"/>
              </w:rPr>
            </w:pPr>
            <w:r>
              <w:rPr>
                <w:noProof/>
                <w:sz w:val="24"/>
              </w:rPr>
              <mc:AlternateContent>
                <mc:Choice Requires="wpg">
                  <w:drawing>
                    <wp:anchor distT="0" distB="0" distL="0" distR="0" simplePos="0" relativeHeight="251660288" behindDoc="1" locked="0" layoutInCell="1" allowOverlap="1" wp14:anchorId="37196EF0" wp14:editId="65C1B63E">
                      <wp:simplePos x="0" y="0"/>
                      <wp:positionH relativeFrom="column">
                        <wp:posOffset>66675</wp:posOffset>
                      </wp:positionH>
                      <wp:positionV relativeFrom="paragraph">
                        <wp:posOffset>158115</wp:posOffset>
                      </wp:positionV>
                      <wp:extent cx="969645" cy="7620"/>
                      <wp:effectExtent l="0" t="0" r="0" b="0"/>
                      <wp:wrapNone/>
                      <wp:docPr id="22" name="Group 22"/>
                      <wp:cNvGraphicFramePr/>
                      <a:graphic xmlns:a="http://schemas.openxmlformats.org/drawingml/2006/main">
                        <a:graphicData uri="http://schemas.microsoft.com/office/word/2010/wordprocessingGroup">
                          <wpg:wgp>
                            <wpg:cNvGrpSpPr/>
                            <wpg:grpSpPr>
                              <a:xfrm>
                                <a:off x="0" y="0"/>
                                <a:ext cx="969644" cy="7620"/>
                                <a:chOff x="0" y="0"/>
                                <a:chExt cx="969644" cy="7620"/>
                              </a:xfrm>
                            </wpg:grpSpPr>
                            <wps:wsp>
                              <wps:cNvPr id="23" name="Graphic 23"/>
                              <wps:cNvSpPr/>
                              <wps:spPr>
                                <a:xfrm>
                                  <a:off x="0" y="0"/>
                                  <a:ext cx="969644" cy="7620"/>
                                </a:xfrm>
                                <a:custGeom>
                                  <a:avLst/>
                                  <a:gdLst/>
                                  <a:ahLst/>
                                  <a:cxnLst/>
                                  <a:rect l="l" t="t" r="r" b="b"/>
                                  <a:pathLst>
                                    <a:path w="969644" h="7620">
                                      <a:moveTo>
                                        <a:pt x="969263" y="7619"/>
                                      </a:moveTo>
                                      <a:lnTo>
                                        <a:pt x="0" y="7619"/>
                                      </a:lnTo>
                                      <a:lnTo>
                                        <a:pt x="0" y="0"/>
                                      </a:lnTo>
                                      <a:lnTo>
                                        <a:pt x="969263" y="0"/>
                                      </a:lnTo>
                                      <a:lnTo>
                                        <a:pt x="969263" y="7619"/>
                                      </a:lnTo>
                                      <a:close/>
                                    </a:path>
                                  </a:pathLst>
                                </a:custGeom>
                                <a:solidFill>
                                  <a:srgbClr val="FFFFFF"/>
                                </a:solidFill>
                              </wps:spPr>
                              <wps:bodyPr wrap="square" lIns="0" tIns="0" rIns="0" bIns="0" rtlCol="0">
                                <a:noAutofit/>
                              </wps:bodyPr>
                            </wps:wsp>
                          </wpg:wgp>
                        </a:graphicData>
                      </a:graphic>
                    </wp:anchor>
                  </w:drawing>
                </mc:Choice>
                <mc:Fallback>
                  <w:pict>
                    <v:group w14:anchorId="3F0A7E37" id="Group 22" o:spid="_x0000_s1026" style="position:absolute;margin-left:5.25pt;margin-top:12.45pt;width:76.35pt;height:.6pt;z-index:-251656192;mso-wrap-distance-left:0;mso-wrap-distance-right:0" coordsize="96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">
                      <v:shape id="Graphic 23" o:spid="_x0000_s1027" style="position:absolute;width:9696;height:76;visibility:visible;mso-wrap-style:square;v-text-anchor:top" coordsize="96964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" path="m969263,7619l,7619,,,969263,r,7619xe" stroked="f">
                        <v:path arrowok="t"/>
                      </v:shape>
                    </v:group>
                  </w:pict>
                </mc:Fallback>
              </mc:AlternateContent>
            </w:r>
            <w:r>
              <w:rPr>
                <w:sz w:val="24"/>
              </w:rPr>
              <w:t>Normal</w:t>
            </w:r>
            <w:r>
              <w:rPr>
                <w:spacing w:val="-2"/>
                <w:sz w:val="24"/>
              </w:rPr>
              <w:t xml:space="preserve"> Control</w:t>
            </w:r>
          </w:p>
        </w:tc>
        <w:tc>
          <w:tcPr>
            <w:tcW w:w="1790" w:type="dxa"/>
            <w:tcBorders>
              <w:top w:val="single" w:sz="4" w:space="0" w:color="000000"/>
              <w:bottom w:val="single" w:sz="4" w:space="0" w:color="000000"/>
            </w:tcBorders>
          </w:tcPr>
          <w:p w14:paraId="78D7C5E0" w14:textId="77777777" w:rsidR="00704B93" w:rsidRDefault="00704B93" w:rsidP="00912F9D">
            <w:pPr>
              <w:pStyle w:val="TableParagraph"/>
              <w:spacing w:line="275" w:lineRule="exact"/>
              <w:ind w:left="211"/>
              <w:rPr>
                <w:b/>
                <w:sz w:val="24"/>
              </w:rPr>
            </w:pPr>
            <w:r>
              <w:rPr>
                <w:b/>
                <w:spacing w:val="-2"/>
                <w:sz w:val="24"/>
              </w:rPr>
              <w:t>AFEAG</w:t>
            </w:r>
          </w:p>
          <w:p w14:paraId="08CF244E" w14:textId="77777777" w:rsidR="00704B93" w:rsidRDefault="00704B93" w:rsidP="00912F9D">
            <w:pPr>
              <w:pStyle w:val="TableParagraph"/>
              <w:rPr>
                <w:sz w:val="24"/>
              </w:rPr>
            </w:pPr>
          </w:p>
          <w:p w14:paraId="0DB0769E" w14:textId="77777777" w:rsidR="00704B93" w:rsidRDefault="00704B93" w:rsidP="00912F9D">
            <w:pPr>
              <w:pStyle w:val="TableParagraph"/>
              <w:ind w:left="211"/>
              <w:rPr>
                <w:b/>
                <w:sz w:val="24"/>
              </w:rPr>
            </w:pPr>
            <w:r>
              <w:rPr>
                <w:b/>
                <w:spacing w:val="-2"/>
                <w:sz w:val="24"/>
              </w:rPr>
              <w:t>10mg/kg</w:t>
            </w:r>
          </w:p>
        </w:tc>
        <w:tc>
          <w:tcPr>
            <w:tcW w:w="1742" w:type="dxa"/>
            <w:tcBorders>
              <w:top w:val="single" w:sz="4" w:space="0" w:color="000000"/>
              <w:bottom w:val="single" w:sz="4" w:space="0" w:color="000000"/>
            </w:tcBorders>
          </w:tcPr>
          <w:p w14:paraId="45C33A4E" w14:textId="77777777" w:rsidR="00704B93" w:rsidRDefault="00704B93" w:rsidP="00912F9D">
            <w:pPr>
              <w:pStyle w:val="TableParagraph"/>
              <w:spacing w:line="275" w:lineRule="exact"/>
              <w:ind w:left="174"/>
              <w:rPr>
                <w:b/>
                <w:sz w:val="24"/>
              </w:rPr>
            </w:pPr>
            <w:r>
              <w:rPr>
                <w:b/>
                <w:spacing w:val="-2"/>
                <w:sz w:val="24"/>
              </w:rPr>
              <w:t>AFEAG</w:t>
            </w:r>
          </w:p>
          <w:p w14:paraId="6DA090EF" w14:textId="77777777" w:rsidR="00704B93" w:rsidRDefault="00704B93" w:rsidP="00912F9D">
            <w:pPr>
              <w:pStyle w:val="TableParagraph"/>
              <w:rPr>
                <w:sz w:val="24"/>
              </w:rPr>
            </w:pPr>
          </w:p>
          <w:p w14:paraId="43E50F6B" w14:textId="77777777" w:rsidR="00704B93" w:rsidRDefault="00704B93" w:rsidP="00912F9D">
            <w:pPr>
              <w:pStyle w:val="TableParagraph"/>
              <w:ind w:left="174"/>
              <w:rPr>
                <w:b/>
                <w:sz w:val="24"/>
              </w:rPr>
            </w:pPr>
            <w:r>
              <w:rPr>
                <w:b/>
                <w:spacing w:val="-2"/>
                <w:sz w:val="24"/>
              </w:rPr>
              <w:t>100mg/kg</w:t>
            </w:r>
          </w:p>
        </w:tc>
        <w:tc>
          <w:tcPr>
            <w:tcW w:w="1706" w:type="dxa"/>
            <w:tcBorders>
              <w:top w:val="single" w:sz="4" w:space="0" w:color="000000"/>
              <w:bottom w:val="single" w:sz="4" w:space="0" w:color="000000"/>
            </w:tcBorders>
          </w:tcPr>
          <w:p w14:paraId="458D599B" w14:textId="77777777" w:rsidR="00704B93" w:rsidRDefault="00704B93" w:rsidP="00912F9D">
            <w:pPr>
              <w:pStyle w:val="TableParagraph"/>
              <w:spacing w:line="275" w:lineRule="exact"/>
              <w:ind w:left="164"/>
              <w:rPr>
                <w:b/>
                <w:sz w:val="24"/>
              </w:rPr>
            </w:pPr>
            <w:r>
              <w:rPr>
                <w:b/>
                <w:spacing w:val="-2"/>
                <w:sz w:val="24"/>
              </w:rPr>
              <w:t>AFEAG</w:t>
            </w:r>
          </w:p>
          <w:p w14:paraId="5AB37210" w14:textId="77777777" w:rsidR="00704B93" w:rsidRDefault="00704B93" w:rsidP="00912F9D">
            <w:pPr>
              <w:pStyle w:val="TableParagraph"/>
              <w:rPr>
                <w:sz w:val="24"/>
              </w:rPr>
            </w:pPr>
          </w:p>
          <w:p w14:paraId="312BB917" w14:textId="77777777" w:rsidR="00704B93" w:rsidRDefault="00704B93" w:rsidP="00912F9D">
            <w:pPr>
              <w:pStyle w:val="TableParagraph"/>
              <w:ind w:left="164"/>
              <w:rPr>
                <w:b/>
                <w:sz w:val="24"/>
              </w:rPr>
            </w:pPr>
            <w:r>
              <w:rPr>
                <w:b/>
                <w:spacing w:val="-2"/>
                <w:sz w:val="24"/>
              </w:rPr>
              <w:t>1000mg/kg</w:t>
            </w:r>
          </w:p>
        </w:tc>
        <w:tc>
          <w:tcPr>
            <w:tcW w:w="1707" w:type="dxa"/>
            <w:tcBorders>
              <w:top w:val="single" w:sz="4" w:space="0" w:color="000000"/>
              <w:bottom w:val="single" w:sz="4" w:space="0" w:color="000000"/>
            </w:tcBorders>
          </w:tcPr>
          <w:p w14:paraId="756862B2" w14:textId="77777777" w:rsidR="00704B93" w:rsidRDefault="00704B93" w:rsidP="00912F9D">
            <w:pPr>
              <w:pStyle w:val="TableParagraph"/>
              <w:spacing w:line="275" w:lineRule="exact"/>
              <w:ind w:left="129"/>
              <w:rPr>
                <w:b/>
                <w:sz w:val="24"/>
              </w:rPr>
            </w:pPr>
            <w:r>
              <w:rPr>
                <w:b/>
                <w:spacing w:val="-2"/>
                <w:sz w:val="24"/>
              </w:rPr>
              <w:t>AFEAG</w:t>
            </w:r>
          </w:p>
          <w:p w14:paraId="409F4179" w14:textId="77777777" w:rsidR="00704B93" w:rsidRDefault="00704B93" w:rsidP="00912F9D">
            <w:pPr>
              <w:pStyle w:val="TableParagraph"/>
              <w:rPr>
                <w:sz w:val="24"/>
              </w:rPr>
            </w:pPr>
          </w:p>
          <w:p w14:paraId="389F8DB5" w14:textId="77777777" w:rsidR="00704B93" w:rsidRDefault="00704B93" w:rsidP="00912F9D">
            <w:pPr>
              <w:pStyle w:val="TableParagraph"/>
              <w:ind w:left="129"/>
              <w:rPr>
                <w:b/>
                <w:sz w:val="24"/>
              </w:rPr>
            </w:pPr>
            <w:r>
              <w:rPr>
                <w:b/>
                <w:spacing w:val="-2"/>
                <w:sz w:val="24"/>
              </w:rPr>
              <w:t>1600mg/kg</w:t>
            </w:r>
          </w:p>
        </w:tc>
        <w:tc>
          <w:tcPr>
            <w:tcW w:w="1685" w:type="dxa"/>
            <w:tcBorders>
              <w:top w:val="single" w:sz="4" w:space="0" w:color="000000"/>
              <w:bottom w:val="single" w:sz="4" w:space="0" w:color="000000"/>
            </w:tcBorders>
          </w:tcPr>
          <w:p w14:paraId="5C0C2EEC" w14:textId="77777777" w:rsidR="00704B93" w:rsidRDefault="00704B93" w:rsidP="00912F9D">
            <w:pPr>
              <w:pStyle w:val="TableParagraph"/>
              <w:spacing w:line="275" w:lineRule="exact"/>
              <w:ind w:left="176"/>
              <w:rPr>
                <w:b/>
                <w:sz w:val="24"/>
              </w:rPr>
            </w:pPr>
            <w:r>
              <w:rPr>
                <w:b/>
                <w:spacing w:val="-2"/>
                <w:sz w:val="24"/>
              </w:rPr>
              <w:t>AFEAG</w:t>
            </w:r>
          </w:p>
          <w:p w14:paraId="5A70E93A" w14:textId="77777777" w:rsidR="00704B93" w:rsidRDefault="00704B93" w:rsidP="00912F9D">
            <w:pPr>
              <w:pStyle w:val="TableParagraph"/>
              <w:rPr>
                <w:sz w:val="24"/>
              </w:rPr>
            </w:pPr>
          </w:p>
          <w:p w14:paraId="38B03993" w14:textId="77777777" w:rsidR="00704B93" w:rsidRDefault="00704B93" w:rsidP="00912F9D">
            <w:pPr>
              <w:pStyle w:val="TableParagraph"/>
              <w:ind w:left="176"/>
              <w:rPr>
                <w:b/>
                <w:sz w:val="24"/>
              </w:rPr>
            </w:pPr>
            <w:r>
              <w:rPr>
                <w:b/>
                <w:spacing w:val="-2"/>
                <w:sz w:val="24"/>
              </w:rPr>
              <w:t>2900mg/kg</w:t>
            </w:r>
          </w:p>
        </w:tc>
        <w:tc>
          <w:tcPr>
            <w:tcW w:w="1628" w:type="dxa"/>
            <w:tcBorders>
              <w:top w:val="single" w:sz="4" w:space="0" w:color="000000"/>
              <w:bottom w:val="single" w:sz="4" w:space="0" w:color="000000"/>
            </w:tcBorders>
          </w:tcPr>
          <w:p w14:paraId="5B9D9EA2" w14:textId="77777777" w:rsidR="00704B93" w:rsidRDefault="00704B93" w:rsidP="00912F9D">
            <w:pPr>
              <w:pStyle w:val="TableParagraph"/>
              <w:spacing w:line="275" w:lineRule="exact"/>
              <w:ind w:left="109"/>
              <w:rPr>
                <w:b/>
                <w:sz w:val="24"/>
              </w:rPr>
            </w:pPr>
            <w:r>
              <w:rPr>
                <w:b/>
                <w:spacing w:val="-2"/>
                <w:sz w:val="24"/>
              </w:rPr>
              <w:t>AFEAG</w:t>
            </w:r>
          </w:p>
          <w:p w14:paraId="48DB8BB6" w14:textId="77777777" w:rsidR="00704B93" w:rsidRDefault="00704B93" w:rsidP="00912F9D">
            <w:pPr>
              <w:pStyle w:val="TableParagraph"/>
              <w:rPr>
                <w:sz w:val="24"/>
              </w:rPr>
            </w:pPr>
          </w:p>
          <w:p w14:paraId="298B9D4F" w14:textId="77777777" w:rsidR="00704B93" w:rsidRDefault="00704B93" w:rsidP="00912F9D">
            <w:pPr>
              <w:pStyle w:val="TableParagraph"/>
              <w:ind w:left="109"/>
              <w:rPr>
                <w:b/>
                <w:sz w:val="24"/>
              </w:rPr>
            </w:pPr>
            <w:r>
              <w:rPr>
                <w:b/>
                <w:spacing w:val="-2"/>
                <w:sz w:val="24"/>
              </w:rPr>
              <w:t>5000mg/kg</w:t>
            </w:r>
          </w:p>
        </w:tc>
      </w:tr>
      <w:tr w:rsidR="00704B93" w14:paraId="2A03ED8B" w14:textId="77777777" w:rsidTr="00912F9D">
        <w:trPr>
          <w:trHeight w:val="417"/>
        </w:trPr>
        <w:tc>
          <w:tcPr>
            <w:tcW w:w="2825" w:type="dxa"/>
            <w:tcBorders>
              <w:top w:val="single" w:sz="4" w:space="0" w:color="000000"/>
              <w:right w:val="single" w:sz="4" w:space="0" w:color="000000"/>
            </w:tcBorders>
          </w:tcPr>
          <w:p w14:paraId="708D22A4" w14:textId="77777777" w:rsidR="00704B93" w:rsidRDefault="00704B93" w:rsidP="00912F9D">
            <w:pPr>
              <w:pStyle w:val="TableParagraph"/>
              <w:spacing w:line="275" w:lineRule="exact"/>
              <w:ind w:left="124"/>
              <w:rPr>
                <w:b/>
                <w:sz w:val="24"/>
              </w:rPr>
            </w:pPr>
            <w:r>
              <w:rPr>
                <w:b/>
                <w:sz w:val="24"/>
              </w:rPr>
              <w:t>Initial</w:t>
            </w:r>
            <w:r>
              <w:rPr>
                <w:b/>
                <w:spacing w:val="-15"/>
                <w:sz w:val="24"/>
              </w:rPr>
              <w:t xml:space="preserve"> </w:t>
            </w:r>
            <w:r>
              <w:rPr>
                <w:b/>
                <w:sz w:val="24"/>
              </w:rPr>
              <w:t>Weight</w:t>
            </w:r>
            <w:r>
              <w:rPr>
                <w:b/>
                <w:spacing w:val="-7"/>
                <w:sz w:val="24"/>
              </w:rPr>
              <w:t xml:space="preserve"> </w:t>
            </w:r>
            <w:r>
              <w:rPr>
                <w:b/>
                <w:spacing w:val="-5"/>
                <w:sz w:val="24"/>
              </w:rPr>
              <w:t>(g)</w:t>
            </w:r>
          </w:p>
        </w:tc>
        <w:tc>
          <w:tcPr>
            <w:tcW w:w="1847" w:type="dxa"/>
            <w:tcBorders>
              <w:top w:val="single" w:sz="4" w:space="0" w:color="000000"/>
              <w:left w:val="single" w:sz="4" w:space="0" w:color="000000"/>
            </w:tcBorders>
          </w:tcPr>
          <w:p w14:paraId="7176D9FF" w14:textId="77777777" w:rsidR="00704B93" w:rsidRDefault="00704B93" w:rsidP="00912F9D">
            <w:pPr>
              <w:pStyle w:val="TableParagraph"/>
              <w:spacing w:line="275" w:lineRule="exact"/>
              <w:ind w:left="100"/>
              <w:rPr>
                <w:sz w:val="24"/>
              </w:rPr>
            </w:pPr>
            <w:r>
              <w:rPr>
                <w:spacing w:val="-2"/>
                <w:sz w:val="24"/>
              </w:rPr>
              <w:t>189.2±4.65</w:t>
            </w:r>
          </w:p>
        </w:tc>
        <w:tc>
          <w:tcPr>
            <w:tcW w:w="1790" w:type="dxa"/>
            <w:tcBorders>
              <w:top w:val="single" w:sz="4" w:space="0" w:color="000000"/>
            </w:tcBorders>
          </w:tcPr>
          <w:p w14:paraId="7796058B" w14:textId="77777777" w:rsidR="00704B93" w:rsidRDefault="00704B93" w:rsidP="00912F9D">
            <w:pPr>
              <w:pStyle w:val="TableParagraph"/>
              <w:spacing w:line="275" w:lineRule="exact"/>
              <w:ind w:left="213"/>
              <w:rPr>
                <w:sz w:val="24"/>
              </w:rPr>
            </w:pPr>
            <w:r>
              <w:rPr>
                <w:spacing w:val="-2"/>
                <w:sz w:val="24"/>
              </w:rPr>
              <w:t>142.07±1.63</w:t>
            </w:r>
          </w:p>
        </w:tc>
        <w:tc>
          <w:tcPr>
            <w:tcW w:w="1742" w:type="dxa"/>
            <w:tcBorders>
              <w:top w:val="single" w:sz="4" w:space="0" w:color="000000"/>
            </w:tcBorders>
          </w:tcPr>
          <w:p w14:paraId="515F93B7" w14:textId="77777777" w:rsidR="00704B93" w:rsidRDefault="00704B93" w:rsidP="00912F9D">
            <w:pPr>
              <w:pStyle w:val="TableParagraph"/>
              <w:spacing w:line="275" w:lineRule="exact"/>
              <w:ind w:left="178"/>
              <w:rPr>
                <w:sz w:val="24"/>
              </w:rPr>
            </w:pPr>
            <w:r>
              <w:rPr>
                <w:spacing w:val="-2"/>
                <w:sz w:val="24"/>
              </w:rPr>
              <w:t>133.80±1.80</w:t>
            </w:r>
          </w:p>
        </w:tc>
        <w:tc>
          <w:tcPr>
            <w:tcW w:w="1706" w:type="dxa"/>
            <w:tcBorders>
              <w:top w:val="single" w:sz="4" w:space="0" w:color="000000"/>
            </w:tcBorders>
          </w:tcPr>
          <w:p w14:paraId="5AB2B4D0" w14:textId="77777777" w:rsidR="00704B93" w:rsidRDefault="00704B93" w:rsidP="00912F9D">
            <w:pPr>
              <w:pStyle w:val="TableParagraph"/>
              <w:spacing w:line="275" w:lineRule="exact"/>
              <w:ind w:left="171"/>
              <w:rPr>
                <w:sz w:val="24"/>
              </w:rPr>
            </w:pPr>
            <w:r>
              <w:rPr>
                <w:spacing w:val="-2"/>
                <w:sz w:val="24"/>
              </w:rPr>
              <w:t>150.70±4.70</w:t>
            </w:r>
          </w:p>
        </w:tc>
        <w:tc>
          <w:tcPr>
            <w:tcW w:w="1707" w:type="dxa"/>
            <w:tcBorders>
              <w:top w:val="single" w:sz="4" w:space="0" w:color="000000"/>
            </w:tcBorders>
          </w:tcPr>
          <w:p w14:paraId="14CF6788" w14:textId="77777777" w:rsidR="00704B93" w:rsidRDefault="00704B93" w:rsidP="00912F9D">
            <w:pPr>
              <w:pStyle w:val="TableParagraph"/>
              <w:spacing w:line="275" w:lineRule="exact"/>
              <w:ind w:left="136"/>
              <w:rPr>
                <w:sz w:val="24"/>
              </w:rPr>
            </w:pPr>
            <w:r>
              <w:rPr>
                <w:spacing w:val="-2"/>
                <w:sz w:val="24"/>
              </w:rPr>
              <w:t>210.73±9.67</w:t>
            </w:r>
          </w:p>
        </w:tc>
        <w:tc>
          <w:tcPr>
            <w:tcW w:w="1685" w:type="dxa"/>
            <w:tcBorders>
              <w:top w:val="single" w:sz="4" w:space="0" w:color="000000"/>
            </w:tcBorders>
          </w:tcPr>
          <w:p w14:paraId="73C38952" w14:textId="77777777" w:rsidR="00704B93" w:rsidRDefault="00704B93" w:rsidP="00912F9D">
            <w:pPr>
              <w:pStyle w:val="TableParagraph"/>
              <w:spacing w:line="275" w:lineRule="exact"/>
              <w:ind w:left="187"/>
              <w:rPr>
                <w:sz w:val="24"/>
              </w:rPr>
            </w:pPr>
            <w:r>
              <w:rPr>
                <w:spacing w:val="-2"/>
                <w:sz w:val="24"/>
              </w:rPr>
              <w:t>187.27±2.73</w:t>
            </w:r>
          </w:p>
        </w:tc>
        <w:tc>
          <w:tcPr>
            <w:tcW w:w="1628" w:type="dxa"/>
            <w:tcBorders>
              <w:top w:val="single" w:sz="4" w:space="0" w:color="000000"/>
            </w:tcBorders>
          </w:tcPr>
          <w:p w14:paraId="2F78027B" w14:textId="77777777" w:rsidR="00704B93" w:rsidRDefault="00704B93" w:rsidP="00912F9D">
            <w:pPr>
              <w:pStyle w:val="TableParagraph"/>
              <w:spacing w:line="275" w:lineRule="exact"/>
              <w:ind w:left="122"/>
              <w:rPr>
                <w:sz w:val="24"/>
              </w:rPr>
            </w:pPr>
            <w:r>
              <w:rPr>
                <w:spacing w:val="-2"/>
                <w:sz w:val="24"/>
              </w:rPr>
              <w:t>196.57±9.43</w:t>
            </w:r>
          </w:p>
        </w:tc>
      </w:tr>
      <w:tr w:rsidR="00704B93" w14:paraId="2FCE8B59" w14:textId="77777777" w:rsidTr="00912F9D">
        <w:trPr>
          <w:trHeight w:val="551"/>
        </w:trPr>
        <w:tc>
          <w:tcPr>
            <w:tcW w:w="2825" w:type="dxa"/>
            <w:tcBorders>
              <w:right w:val="single" w:sz="4" w:space="0" w:color="000000"/>
            </w:tcBorders>
          </w:tcPr>
          <w:p w14:paraId="73BCC48F" w14:textId="77777777" w:rsidR="00704B93" w:rsidRDefault="00704B93" w:rsidP="00912F9D">
            <w:pPr>
              <w:pStyle w:val="TableParagraph"/>
              <w:spacing w:before="133"/>
              <w:ind w:left="124"/>
              <w:rPr>
                <w:b/>
                <w:sz w:val="24"/>
              </w:rPr>
            </w:pPr>
            <w:r>
              <w:rPr>
                <w:b/>
                <w:sz w:val="24"/>
              </w:rPr>
              <w:t>Final</w:t>
            </w:r>
            <w:r>
              <w:rPr>
                <w:b/>
                <w:spacing w:val="-13"/>
                <w:sz w:val="24"/>
              </w:rPr>
              <w:t xml:space="preserve"> </w:t>
            </w:r>
            <w:r>
              <w:rPr>
                <w:b/>
                <w:sz w:val="24"/>
              </w:rPr>
              <w:t>Weight</w:t>
            </w:r>
            <w:r>
              <w:rPr>
                <w:b/>
                <w:spacing w:val="-9"/>
                <w:sz w:val="24"/>
              </w:rPr>
              <w:t xml:space="preserve"> </w:t>
            </w:r>
            <w:r>
              <w:rPr>
                <w:b/>
                <w:spacing w:val="-5"/>
                <w:sz w:val="24"/>
              </w:rPr>
              <w:t>(g)</w:t>
            </w:r>
          </w:p>
        </w:tc>
        <w:tc>
          <w:tcPr>
            <w:tcW w:w="1847" w:type="dxa"/>
            <w:tcBorders>
              <w:left w:val="single" w:sz="4" w:space="0" w:color="000000"/>
            </w:tcBorders>
          </w:tcPr>
          <w:p w14:paraId="2BCDA4B3" w14:textId="77777777" w:rsidR="00704B93" w:rsidRDefault="00704B93" w:rsidP="00912F9D">
            <w:pPr>
              <w:pStyle w:val="TableParagraph"/>
              <w:spacing w:before="133"/>
              <w:ind w:left="100"/>
              <w:rPr>
                <w:sz w:val="24"/>
              </w:rPr>
            </w:pPr>
            <w:r>
              <w:rPr>
                <w:spacing w:val="-2"/>
                <w:sz w:val="24"/>
              </w:rPr>
              <w:t>207.8±7.43</w:t>
            </w:r>
          </w:p>
        </w:tc>
        <w:tc>
          <w:tcPr>
            <w:tcW w:w="1790" w:type="dxa"/>
          </w:tcPr>
          <w:p w14:paraId="0B343F85" w14:textId="77777777" w:rsidR="00704B93" w:rsidRDefault="00704B93" w:rsidP="00912F9D">
            <w:pPr>
              <w:pStyle w:val="TableParagraph"/>
              <w:spacing w:before="133"/>
              <w:ind w:left="213"/>
              <w:rPr>
                <w:sz w:val="24"/>
              </w:rPr>
            </w:pPr>
            <w:r>
              <w:rPr>
                <w:spacing w:val="-2"/>
                <w:sz w:val="24"/>
              </w:rPr>
              <w:t>147.5±3.17</w:t>
            </w:r>
          </w:p>
        </w:tc>
        <w:tc>
          <w:tcPr>
            <w:tcW w:w="1742" w:type="dxa"/>
          </w:tcPr>
          <w:p w14:paraId="6E7598A5" w14:textId="77777777" w:rsidR="00704B93" w:rsidRDefault="00704B93" w:rsidP="00912F9D">
            <w:pPr>
              <w:pStyle w:val="TableParagraph"/>
              <w:spacing w:before="133"/>
              <w:ind w:left="178"/>
              <w:rPr>
                <w:sz w:val="24"/>
              </w:rPr>
            </w:pPr>
            <w:r>
              <w:rPr>
                <w:spacing w:val="-2"/>
                <w:sz w:val="24"/>
              </w:rPr>
              <w:t>133.07±2.47</w:t>
            </w:r>
          </w:p>
        </w:tc>
        <w:tc>
          <w:tcPr>
            <w:tcW w:w="1706" w:type="dxa"/>
          </w:tcPr>
          <w:p w14:paraId="306DEF26" w14:textId="77777777" w:rsidR="00704B93" w:rsidRDefault="00704B93" w:rsidP="00912F9D">
            <w:pPr>
              <w:pStyle w:val="TableParagraph"/>
              <w:spacing w:before="133"/>
              <w:ind w:left="171"/>
              <w:rPr>
                <w:sz w:val="24"/>
              </w:rPr>
            </w:pPr>
            <w:r>
              <w:rPr>
                <w:spacing w:val="-2"/>
                <w:sz w:val="24"/>
              </w:rPr>
              <w:t>145.90±3.60</w:t>
            </w:r>
          </w:p>
        </w:tc>
        <w:tc>
          <w:tcPr>
            <w:tcW w:w="1707" w:type="dxa"/>
          </w:tcPr>
          <w:p w14:paraId="047C4C5D" w14:textId="77777777" w:rsidR="00704B93" w:rsidRDefault="00704B93" w:rsidP="00912F9D">
            <w:pPr>
              <w:pStyle w:val="TableParagraph"/>
              <w:spacing w:before="133"/>
              <w:ind w:left="137"/>
              <w:rPr>
                <w:sz w:val="24"/>
              </w:rPr>
            </w:pPr>
            <w:r>
              <w:rPr>
                <w:spacing w:val="-2"/>
                <w:sz w:val="24"/>
              </w:rPr>
              <w:t>190.77±0.07</w:t>
            </w:r>
          </w:p>
        </w:tc>
        <w:tc>
          <w:tcPr>
            <w:tcW w:w="1685" w:type="dxa"/>
          </w:tcPr>
          <w:p w14:paraId="2F8A512C" w14:textId="77777777" w:rsidR="00704B93" w:rsidRDefault="00704B93" w:rsidP="00912F9D">
            <w:pPr>
              <w:pStyle w:val="TableParagraph"/>
              <w:spacing w:before="133"/>
              <w:ind w:left="187"/>
              <w:rPr>
                <w:sz w:val="24"/>
              </w:rPr>
            </w:pPr>
            <w:r>
              <w:rPr>
                <w:spacing w:val="-2"/>
                <w:sz w:val="24"/>
              </w:rPr>
              <w:t>177.80±6.00</w:t>
            </w:r>
          </w:p>
        </w:tc>
        <w:tc>
          <w:tcPr>
            <w:tcW w:w="1628" w:type="dxa"/>
          </w:tcPr>
          <w:p w14:paraId="6858C01A" w14:textId="77777777" w:rsidR="00704B93" w:rsidRDefault="00704B93" w:rsidP="00912F9D">
            <w:pPr>
              <w:pStyle w:val="TableParagraph"/>
              <w:spacing w:before="133"/>
              <w:ind w:left="122"/>
              <w:rPr>
                <w:sz w:val="24"/>
              </w:rPr>
            </w:pPr>
            <w:r>
              <w:rPr>
                <w:spacing w:val="-2"/>
                <w:sz w:val="24"/>
              </w:rPr>
              <w:t>186.27±12.93</w:t>
            </w:r>
          </w:p>
        </w:tc>
      </w:tr>
      <w:tr w:rsidR="00704B93" w14:paraId="57405AE2" w14:textId="77777777" w:rsidTr="00912F9D">
        <w:trPr>
          <w:trHeight w:val="552"/>
        </w:trPr>
        <w:tc>
          <w:tcPr>
            <w:tcW w:w="2825" w:type="dxa"/>
            <w:tcBorders>
              <w:right w:val="single" w:sz="4" w:space="0" w:color="000000"/>
            </w:tcBorders>
          </w:tcPr>
          <w:p w14:paraId="21C4B05F" w14:textId="77777777" w:rsidR="00704B93" w:rsidRDefault="00704B93" w:rsidP="00912F9D">
            <w:pPr>
              <w:pStyle w:val="TableParagraph"/>
              <w:spacing w:before="133"/>
              <w:ind w:left="124"/>
              <w:rPr>
                <w:b/>
                <w:sz w:val="24"/>
              </w:rPr>
            </w:pPr>
            <w:r>
              <w:rPr>
                <w:b/>
                <w:spacing w:val="-2"/>
                <w:sz w:val="24"/>
              </w:rPr>
              <w:t>Total</w:t>
            </w:r>
            <w:r>
              <w:rPr>
                <w:b/>
                <w:spacing w:val="-3"/>
                <w:sz w:val="24"/>
              </w:rPr>
              <w:t xml:space="preserve"> </w:t>
            </w:r>
            <w:r>
              <w:rPr>
                <w:b/>
                <w:spacing w:val="-2"/>
                <w:sz w:val="24"/>
              </w:rPr>
              <w:t>Protein</w:t>
            </w:r>
            <w:r>
              <w:rPr>
                <w:b/>
                <w:spacing w:val="-4"/>
                <w:sz w:val="24"/>
              </w:rPr>
              <w:t xml:space="preserve"> </w:t>
            </w:r>
            <w:r>
              <w:rPr>
                <w:b/>
                <w:spacing w:val="-2"/>
                <w:sz w:val="24"/>
              </w:rPr>
              <w:t>(g/L)</w:t>
            </w:r>
          </w:p>
        </w:tc>
        <w:tc>
          <w:tcPr>
            <w:tcW w:w="1847" w:type="dxa"/>
            <w:tcBorders>
              <w:left w:val="single" w:sz="4" w:space="0" w:color="000000"/>
            </w:tcBorders>
          </w:tcPr>
          <w:p w14:paraId="11AEFA97" w14:textId="77777777" w:rsidR="00704B93" w:rsidRDefault="00704B93" w:rsidP="00912F9D">
            <w:pPr>
              <w:pStyle w:val="TableParagraph"/>
              <w:spacing w:before="133"/>
              <w:ind w:left="100"/>
              <w:rPr>
                <w:sz w:val="24"/>
              </w:rPr>
            </w:pPr>
            <w:r>
              <w:rPr>
                <w:spacing w:val="-2"/>
                <w:sz w:val="24"/>
              </w:rPr>
              <w:t>78.67±4.16</w:t>
            </w:r>
          </w:p>
        </w:tc>
        <w:tc>
          <w:tcPr>
            <w:tcW w:w="1790" w:type="dxa"/>
          </w:tcPr>
          <w:p w14:paraId="00D030AD" w14:textId="77777777" w:rsidR="00704B93" w:rsidRDefault="00704B93" w:rsidP="00912F9D">
            <w:pPr>
              <w:pStyle w:val="TableParagraph"/>
              <w:spacing w:before="133"/>
              <w:ind w:left="213"/>
              <w:rPr>
                <w:sz w:val="24"/>
              </w:rPr>
            </w:pPr>
            <w:r>
              <w:rPr>
                <w:spacing w:val="-2"/>
                <w:sz w:val="24"/>
              </w:rPr>
              <w:t>99.33±0.67</w:t>
            </w:r>
          </w:p>
        </w:tc>
        <w:tc>
          <w:tcPr>
            <w:tcW w:w="1742" w:type="dxa"/>
          </w:tcPr>
          <w:p w14:paraId="4DE80AB4" w14:textId="77777777" w:rsidR="00704B93" w:rsidRDefault="00704B93" w:rsidP="00912F9D">
            <w:pPr>
              <w:pStyle w:val="TableParagraph"/>
              <w:spacing w:before="133"/>
              <w:ind w:left="178"/>
              <w:rPr>
                <w:sz w:val="24"/>
              </w:rPr>
            </w:pPr>
            <w:r>
              <w:rPr>
                <w:spacing w:val="-2"/>
                <w:sz w:val="24"/>
              </w:rPr>
              <w:t>97.33±2.67</w:t>
            </w:r>
          </w:p>
        </w:tc>
        <w:tc>
          <w:tcPr>
            <w:tcW w:w="1706" w:type="dxa"/>
          </w:tcPr>
          <w:p w14:paraId="59EF7B86" w14:textId="77777777" w:rsidR="00704B93" w:rsidRDefault="00704B93" w:rsidP="00912F9D">
            <w:pPr>
              <w:pStyle w:val="TableParagraph"/>
              <w:spacing w:before="133"/>
              <w:ind w:left="171"/>
              <w:rPr>
                <w:sz w:val="24"/>
              </w:rPr>
            </w:pPr>
            <w:r>
              <w:rPr>
                <w:spacing w:val="-2"/>
                <w:sz w:val="24"/>
              </w:rPr>
              <w:t>90.67±1.33</w:t>
            </w:r>
          </w:p>
        </w:tc>
        <w:tc>
          <w:tcPr>
            <w:tcW w:w="1707" w:type="dxa"/>
          </w:tcPr>
          <w:p w14:paraId="5362AAB5" w14:textId="77777777" w:rsidR="00704B93" w:rsidRDefault="00704B93" w:rsidP="00912F9D">
            <w:pPr>
              <w:pStyle w:val="TableParagraph"/>
              <w:spacing w:before="133"/>
              <w:ind w:left="136"/>
              <w:rPr>
                <w:sz w:val="24"/>
              </w:rPr>
            </w:pPr>
            <w:r>
              <w:rPr>
                <w:spacing w:val="-2"/>
                <w:sz w:val="24"/>
              </w:rPr>
              <w:t>90.67±5.67</w:t>
            </w:r>
          </w:p>
        </w:tc>
        <w:tc>
          <w:tcPr>
            <w:tcW w:w="1685" w:type="dxa"/>
          </w:tcPr>
          <w:p w14:paraId="0B3BB23B" w14:textId="77777777" w:rsidR="00704B93" w:rsidRDefault="00704B93" w:rsidP="00912F9D">
            <w:pPr>
              <w:pStyle w:val="TableParagraph"/>
              <w:spacing w:before="133"/>
              <w:ind w:left="187"/>
              <w:rPr>
                <w:sz w:val="24"/>
              </w:rPr>
            </w:pPr>
            <w:r>
              <w:rPr>
                <w:spacing w:val="-2"/>
                <w:sz w:val="24"/>
              </w:rPr>
              <w:t>91.33±0.67</w:t>
            </w:r>
          </w:p>
        </w:tc>
        <w:tc>
          <w:tcPr>
            <w:tcW w:w="1628" w:type="dxa"/>
          </w:tcPr>
          <w:p w14:paraId="0C31380F" w14:textId="77777777" w:rsidR="00704B93" w:rsidRDefault="00704B93" w:rsidP="00912F9D">
            <w:pPr>
              <w:pStyle w:val="TableParagraph"/>
              <w:spacing w:before="133"/>
              <w:ind w:left="120"/>
              <w:rPr>
                <w:sz w:val="24"/>
              </w:rPr>
            </w:pPr>
            <w:r>
              <w:rPr>
                <w:spacing w:val="-2"/>
                <w:sz w:val="24"/>
              </w:rPr>
              <w:t>90.67±5.33</w:t>
            </w:r>
          </w:p>
        </w:tc>
      </w:tr>
      <w:tr w:rsidR="00704B93" w14:paraId="79CFC3A8" w14:textId="77777777" w:rsidTr="00912F9D">
        <w:trPr>
          <w:trHeight w:val="551"/>
        </w:trPr>
        <w:tc>
          <w:tcPr>
            <w:tcW w:w="2825" w:type="dxa"/>
            <w:tcBorders>
              <w:right w:val="single" w:sz="4" w:space="0" w:color="000000"/>
            </w:tcBorders>
          </w:tcPr>
          <w:p w14:paraId="5AEB7C39" w14:textId="77777777" w:rsidR="00704B93" w:rsidRDefault="00704B93" w:rsidP="00912F9D">
            <w:pPr>
              <w:pStyle w:val="TableParagraph"/>
              <w:spacing w:before="133"/>
              <w:ind w:left="124"/>
              <w:rPr>
                <w:b/>
                <w:sz w:val="24"/>
              </w:rPr>
            </w:pPr>
            <w:r>
              <w:rPr>
                <w:b/>
                <w:sz w:val="24"/>
              </w:rPr>
              <w:t>Albumin</w:t>
            </w:r>
            <w:r>
              <w:rPr>
                <w:b/>
                <w:spacing w:val="1"/>
                <w:sz w:val="24"/>
              </w:rPr>
              <w:t xml:space="preserve"> </w:t>
            </w:r>
            <w:r>
              <w:rPr>
                <w:b/>
                <w:spacing w:val="-2"/>
                <w:sz w:val="24"/>
              </w:rPr>
              <w:t>(g/L)</w:t>
            </w:r>
          </w:p>
        </w:tc>
        <w:tc>
          <w:tcPr>
            <w:tcW w:w="1847" w:type="dxa"/>
            <w:tcBorders>
              <w:left w:val="single" w:sz="4" w:space="0" w:color="000000"/>
            </w:tcBorders>
          </w:tcPr>
          <w:p w14:paraId="170974AC" w14:textId="77777777" w:rsidR="00704B93" w:rsidRDefault="00704B93" w:rsidP="00912F9D">
            <w:pPr>
              <w:pStyle w:val="TableParagraph"/>
              <w:spacing w:before="133"/>
              <w:ind w:left="100"/>
              <w:rPr>
                <w:sz w:val="24"/>
              </w:rPr>
            </w:pPr>
            <w:r>
              <w:rPr>
                <w:spacing w:val="-2"/>
                <w:sz w:val="24"/>
              </w:rPr>
              <w:t>47.33±5.03</w:t>
            </w:r>
          </w:p>
        </w:tc>
        <w:tc>
          <w:tcPr>
            <w:tcW w:w="1790" w:type="dxa"/>
          </w:tcPr>
          <w:p w14:paraId="60CD956B" w14:textId="77777777" w:rsidR="00704B93" w:rsidRDefault="00704B93" w:rsidP="00912F9D">
            <w:pPr>
              <w:pStyle w:val="TableParagraph"/>
              <w:spacing w:before="133"/>
              <w:ind w:left="213"/>
              <w:rPr>
                <w:sz w:val="24"/>
              </w:rPr>
            </w:pPr>
            <w:r>
              <w:rPr>
                <w:spacing w:val="-2"/>
                <w:sz w:val="24"/>
              </w:rPr>
              <w:t>48.33±1.67</w:t>
            </w:r>
          </w:p>
        </w:tc>
        <w:tc>
          <w:tcPr>
            <w:tcW w:w="1742" w:type="dxa"/>
          </w:tcPr>
          <w:p w14:paraId="49EA06C8" w14:textId="77777777" w:rsidR="00704B93" w:rsidRDefault="00704B93" w:rsidP="00912F9D">
            <w:pPr>
              <w:pStyle w:val="TableParagraph"/>
              <w:spacing w:before="133"/>
              <w:ind w:left="178"/>
              <w:rPr>
                <w:sz w:val="24"/>
              </w:rPr>
            </w:pPr>
            <w:r>
              <w:rPr>
                <w:spacing w:val="-2"/>
                <w:sz w:val="24"/>
              </w:rPr>
              <w:t>51.67±1.67</w:t>
            </w:r>
          </w:p>
        </w:tc>
        <w:tc>
          <w:tcPr>
            <w:tcW w:w="1706" w:type="dxa"/>
          </w:tcPr>
          <w:p w14:paraId="3213097D" w14:textId="77777777" w:rsidR="00704B93" w:rsidRDefault="00704B93" w:rsidP="00912F9D">
            <w:pPr>
              <w:pStyle w:val="TableParagraph"/>
              <w:spacing w:before="133"/>
              <w:ind w:left="171"/>
              <w:rPr>
                <w:sz w:val="24"/>
              </w:rPr>
            </w:pPr>
            <w:r>
              <w:rPr>
                <w:spacing w:val="-2"/>
                <w:sz w:val="24"/>
              </w:rPr>
              <w:t>41.67±0.33</w:t>
            </w:r>
          </w:p>
        </w:tc>
        <w:tc>
          <w:tcPr>
            <w:tcW w:w="1707" w:type="dxa"/>
          </w:tcPr>
          <w:p w14:paraId="1F5FCA4B" w14:textId="77777777" w:rsidR="00704B93" w:rsidRDefault="00704B93" w:rsidP="00912F9D">
            <w:pPr>
              <w:pStyle w:val="TableParagraph"/>
              <w:spacing w:before="133"/>
              <w:ind w:left="136"/>
              <w:rPr>
                <w:sz w:val="24"/>
              </w:rPr>
            </w:pPr>
            <w:r>
              <w:rPr>
                <w:spacing w:val="-2"/>
                <w:sz w:val="24"/>
              </w:rPr>
              <w:t>52.67±1.33</w:t>
            </w:r>
          </w:p>
        </w:tc>
        <w:tc>
          <w:tcPr>
            <w:tcW w:w="1685" w:type="dxa"/>
          </w:tcPr>
          <w:p w14:paraId="38E05678" w14:textId="77777777" w:rsidR="00704B93" w:rsidRDefault="00704B93" w:rsidP="00912F9D">
            <w:pPr>
              <w:pStyle w:val="TableParagraph"/>
              <w:spacing w:before="133"/>
              <w:ind w:left="187"/>
              <w:rPr>
                <w:sz w:val="24"/>
              </w:rPr>
            </w:pPr>
            <w:r>
              <w:rPr>
                <w:spacing w:val="-2"/>
                <w:sz w:val="24"/>
              </w:rPr>
              <w:t>48.00±0.00</w:t>
            </w:r>
          </w:p>
        </w:tc>
        <w:tc>
          <w:tcPr>
            <w:tcW w:w="1628" w:type="dxa"/>
          </w:tcPr>
          <w:p w14:paraId="11620E6A" w14:textId="77777777" w:rsidR="00704B93" w:rsidRDefault="00704B93" w:rsidP="00912F9D">
            <w:pPr>
              <w:pStyle w:val="TableParagraph"/>
              <w:spacing w:before="133"/>
              <w:ind w:left="120"/>
              <w:rPr>
                <w:sz w:val="24"/>
              </w:rPr>
            </w:pPr>
            <w:r>
              <w:rPr>
                <w:spacing w:val="-2"/>
                <w:sz w:val="24"/>
              </w:rPr>
              <w:t>47.67±0.33</w:t>
            </w:r>
          </w:p>
        </w:tc>
      </w:tr>
      <w:tr w:rsidR="00704B93" w14:paraId="3B2FF890" w14:textId="77777777" w:rsidTr="00912F9D">
        <w:trPr>
          <w:trHeight w:val="547"/>
        </w:trPr>
        <w:tc>
          <w:tcPr>
            <w:tcW w:w="2825" w:type="dxa"/>
            <w:tcBorders>
              <w:right w:val="single" w:sz="4" w:space="0" w:color="000000"/>
            </w:tcBorders>
          </w:tcPr>
          <w:p w14:paraId="32920B5A" w14:textId="77777777" w:rsidR="00704B93" w:rsidRDefault="00704B93" w:rsidP="00912F9D">
            <w:pPr>
              <w:pStyle w:val="TableParagraph"/>
              <w:spacing w:before="133"/>
              <w:ind w:left="124"/>
              <w:rPr>
                <w:b/>
                <w:sz w:val="24"/>
              </w:rPr>
            </w:pPr>
            <w:r>
              <w:rPr>
                <w:b/>
                <w:sz w:val="24"/>
              </w:rPr>
              <w:t>Urea</w:t>
            </w:r>
            <w:r>
              <w:rPr>
                <w:b/>
                <w:spacing w:val="-6"/>
                <w:sz w:val="24"/>
              </w:rPr>
              <w:t xml:space="preserve"> </w:t>
            </w:r>
            <w:r>
              <w:rPr>
                <w:b/>
                <w:spacing w:val="-2"/>
                <w:sz w:val="24"/>
              </w:rPr>
              <w:t>(mmol/L)</w:t>
            </w:r>
          </w:p>
        </w:tc>
        <w:tc>
          <w:tcPr>
            <w:tcW w:w="1847" w:type="dxa"/>
            <w:tcBorders>
              <w:left w:val="single" w:sz="4" w:space="0" w:color="000000"/>
            </w:tcBorders>
          </w:tcPr>
          <w:p w14:paraId="27CA5756" w14:textId="77777777" w:rsidR="00704B93" w:rsidRDefault="00704B93" w:rsidP="00912F9D">
            <w:pPr>
              <w:pStyle w:val="TableParagraph"/>
              <w:spacing w:before="133"/>
              <w:ind w:left="100"/>
              <w:rPr>
                <w:sz w:val="24"/>
              </w:rPr>
            </w:pPr>
            <w:r>
              <w:rPr>
                <w:spacing w:val="-2"/>
                <w:sz w:val="24"/>
              </w:rPr>
              <w:t>3.73±0.50</w:t>
            </w:r>
          </w:p>
        </w:tc>
        <w:tc>
          <w:tcPr>
            <w:tcW w:w="1790" w:type="dxa"/>
          </w:tcPr>
          <w:p w14:paraId="18853757" w14:textId="77777777" w:rsidR="00704B93" w:rsidRDefault="00704B93" w:rsidP="00912F9D">
            <w:pPr>
              <w:pStyle w:val="TableParagraph"/>
              <w:spacing w:before="133"/>
              <w:ind w:left="213"/>
              <w:rPr>
                <w:sz w:val="24"/>
              </w:rPr>
            </w:pPr>
            <w:r>
              <w:rPr>
                <w:spacing w:val="-2"/>
                <w:sz w:val="24"/>
              </w:rPr>
              <w:t>5.17±0.23</w:t>
            </w:r>
          </w:p>
        </w:tc>
        <w:tc>
          <w:tcPr>
            <w:tcW w:w="1742" w:type="dxa"/>
          </w:tcPr>
          <w:p w14:paraId="49A8C7D1" w14:textId="77777777" w:rsidR="00704B93" w:rsidRDefault="00704B93" w:rsidP="00912F9D">
            <w:pPr>
              <w:pStyle w:val="TableParagraph"/>
              <w:spacing w:before="133"/>
              <w:ind w:left="178"/>
              <w:rPr>
                <w:sz w:val="24"/>
              </w:rPr>
            </w:pPr>
            <w:r>
              <w:rPr>
                <w:spacing w:val="-2"/>
                <w:sz w:val="24"/>
              </w:rPr>
              <w:t>5.73±0.03</w:t>
            </w:r>
          </w:p>
        </w:tc>
        <w:tc>
          <w:tcPr>
            <w:tcW w:w="1706" w:type="dxa"/>
          </w:tcPr>
          <w:p w14:paraId="6B067424" w14:textId="77777777" w:rsidR="00704B93" w:rsidRDefault="00704B93" w:rsidP="00912F9D">
            <w:pPr>
              <w:pStyle w:val="TableParagraph"/>
              <w:spacing w:before="133"/>
              <w:ind w:left="169"/>
              <w:rPr>
                <w:sz w:val="24"/>
              </w:rPr>
            </w:pPr>
            <w:r>
              <w:rPr>
                <w:spacing w:val="-2"/>
                <w:sz w:val="24"/>
              </w:rPr>
              <w:t>4.67±0.03</w:t>
            </w:r>
          </w:p>
        </w:tc>
        <w:tc>
          <w:tcPr>
            <w:tcW w:w="1707" w:type="dxa"/>
          </w:tcPr>
          <w:p w14:paraId="71A27366" w14:textId="77777777" w:rsidR="00704B93" w:rsidRDefault="00704B93" w:rsidP="00912F9D">
            <w:pPr>
              <w:pStyle w:val="TableParagraph"/>
              <w:spacing w:before="133"/>
              <w:ind w:left="136"/>
              <w:rPr>
                <w:sz w:val="24"/>
              </w:rPr>
            </w:pPr>
            <w:r>
              <w:rPr>
                <w:spacing w:val="-2"/>
                <w:sz w:val="24"/>
              </w:rPr>
              <w:t>8.87±1.43</w:t>
            </w:r>
          </w:p>
        </w:tc>
        <w:tc>
          <w:tcPr>
            <w:tcW w:w="1685" w:type="dxa"/>
          </w:tcPr>
          <w:p w14:paraId="003206AC" w14:textId="77777777" w:rsidR="00704B93" w:rsidRDefault="00704B93" w:rsidP="00912F9D">
            <w:pPr>
              <w:pStyle w:val="TableParagraph"/>
              <w:spacing w:before="133"/>
              <w:ind w:left="184"/>
              <w:rPr>
                <w:sz w:val="24"/>
              </w:rPr>
            </w:pPr>
            <w:r>
              <w:rPr>
                <w:spacing w:val="-2"/>
                <w:sz w:val="24"/>
              </w:rPr>
              <w:t>6.73±0.57</w:t>
            </w:r>
          </w:p>
        </w:tc>
        <w:tc>
          <w:tcPr>
            <w:tcW w:w="1628" w:type="dxa"/>
          </w:tcPr>
          <w:p w14:paraId="1A369648" w14:textId="77777777" w:rsidR="00704B93" w:rsidRDefault="00704B93" w:rsidP="00912F9D">
            <w:pPr>
              <w:pStyle w:val="TableParagraph"/>
              <w:spacing w:before="133"/>
              <w:ind w:left="120"/>
              <w:rPr>
                <w:sz w:val="24"/>
              </w:rPr>
            </w:pPr>
            <w:r>
              <w:rPr>
                <w:spacing w:val="-2"/>
                <w:sz w:val="24"/>
              </w:rPr>
              <w:t>6.03±0.07</w:t>
            </w:r>
          </w:p>
        </w:tc>
      </w:tr>
      <w:tr w:rsidR="00704B93" w14:paraId="618FAE40" w14:textId="77777777" w:rsidTr="00912F9D">
        <w:trPr>
          <w:trHeight w:val="584"/>
        </w:trPr>
        <w:tc>
          <w:tcPr>
            <w:tcW w:w="2825" w:type="dxa"/>
            <w:tcBorders>
              <w:right w:val="single" w:sz="4" w:space="0" w:color="000000"/>
            </w:tcBorders>
          </w:tcPr>
          <w:p w14:paraId="3A5F7B32" w14:textId="77777777" w:rsidR="00704B93" w:rsidRDefault="00704B93" w:rsidP="00912F9D">
            <w:pPr>
              <w:pStyle w:val="TableParagraph"/>
              <w:spacing w:before="143"/>
              <w:ind w:left="124"/>
              <w:rPr>
                <w:b/>
                <w:sz w:val="24"/>
              </w:rPr>
            </w:pPr>
            <w:r>
              <w:rPr>
                <w:b/>
                <w:sz w:val="24"/>
              </w:rPr>
              <w:t>Creatinine</w:t>
            </w:r>
            <w:r>
              <w:rPr>
                <w:b/>
                <w:spacing w:val="-9"/>
                <w:sz w:val="24"/>
              </w:rPr>
              <w:t xml:space="preserve"> </w:t>
            </w:r>
            <w:r>
              <w:rPr>
                <w:b/>
                <w:spacing w:val="-2"/>
                <w:sz w:val="24"/>
              </w:rPr>
              <w:t>(</w:t>
            </w:r>
            <w:r>
              <w:rPr>
                <w:rFonts w:ascii="Century" w:hAnsi="Century"/>
                <w:spacing w:val="-2"/>
                <w:sz w:val="24"/>
              </w:rPr>
              <w:t>µ</w:t>
            </w:r>
            <w:r>
              <w:rPr>
                <w:b/>
                <w:spacing w:val="-2"/>
                <w:sz w:val="24"/>
              </w:rPr>
              <w:t>mol/L)</w:t>
            </w:r>
          </w:p>
        </w:tc>
        <w:tc>
          <w:tcPr>
            <w:tcW w:w="1847" w:type="dxa"/>
            <w:tcBorders>
              <w:left w:val="single" w:sz="4" w:space="0" w:color="000000"/>
            </w:tcBorders>
          </w:tcPr>
          <w:p w14:paraId="7C05F2C5" w14:textId="77777777" w:rsidR="00704B93" w:rsidRDefault="00704B93" w:rsidP="00912F9D">
            <w:pPr>
              <w:pStyle w:val="TableParagraph"/>
              <w:spacing w:before="137"/>
              <w:ind w:left="100"/>
              <w:rPr>
                <w:sz w:val="24"/>
              </w:rPr>
            </w:pPr>
            <w:r>
              <w:rPr>
                <w:spacing w:val="-2"/>
                <w:sz w:val="24"/>
              </w:rPr>
              <w:t>60.57±0.50</w:t>
            </w:r>
          </w:p>
        </w:tc>
        <w:tc>
          <w:tcPr>
            <w:tcW w:w="1790" w:type="dxa"/>
          </w:tcPr>
          <w:p w14:paraId="0B3F65F5" w14:textId="77777777" w:rsidR="00704B93" w:rsidRDefault="00704B93" w:rsidP="00912F9D">
            <w:pPr>
              <w:pStyle w:val="TableParagraph"/>
              <w:spacing w:before="156"/>
              <w:ind w:left="211"/>
              <w:rPr>
                <w:sz w:val="24"/>
              </w:rPr>
            </w:pPr>
            <w:r>
              <w:rPr>
                <w:spacing w:val="-2"/>
                <w:sz w:val="24"/>
              </w:rPr>
              <w:t>28.63±1.37</w:t>
            </w:r>
            <w:r>
              <w:rPr>
                <w:spacing w:val="-2"/>
                <w:sz w:val="24"/>
                <w:vertAlign w:val="superscript"/>
              </w:rPr>
              <w:t>a</w:t>
            </w:r>
          </w:p>
        </w:tc>
        <w:tc>
          <w:tcPr>
            <w:tcW w:w="1742" w:type="dxa"/>
          </w:tcPr>
          <w:p w14:paraId="1A371B2F" w14:textId="77777777" w:rsidR="00704B93" w:rsidRDefault="00704B93" w:rsidP="00912F9D">
            <w:pPr>
              <w:pStyle w:val="TableParagraph"/>
              <w:spacing w:before="156"/>
              <w:ind w:left="175"/>
              <w:rPr>
                <w:sz w:val="24"/>
              </w:rPr>
            </w:pPr>
            <w:r>
              <w:rPr>
                <w:spacing w:val="-2"/>
                <w:sz w:val="24"/>
              </w:rPr>
              <w:t>16.30±4.90</w:t>
            </w:r>
            <w:r>
              <w:rPr>
                <w:spacing w:val="-2"/>
                <w:sz w:val="24"/>
                <w:vertAlign w:val="superscript"/>
              </w:rPr>
              <w:t>b</w:t>
            </w:r>
          </w:p>
        </w:tc>
        <w:tc>
          <w:tcPr>
            <w:tcW w:w="1706" w:type="dxa"/>
          </w:tcPr>
          <w:p w14:paraId="4F1A8FDF" w14:textId="77777777" w:rsidR="00704B93" w:rsidRDefault="00704B93" w:rsidP="00912F9D">
            <w:pPr>
              <w:pStyle w:val="TableParagraph"/>
              <w:spacing w:before="156"/>
              <w:ind w:left="165"/>
              <w:rPr>
                <w:sz w:val="24"/>
              </w:rPr>
            </w:pPr>
            <w:r>
              <w:rPr>
                <w:spacing w:val="-2"/>
                <w:sz w:val="24"/>
              </w:rPr>
              <w:t>19.90±5.35</w:t>
            </w:r>
            <w:r>
              <w:rPr>
                <w:spacing w:val="-2"/>
                <w:sz w:val="24"/>
                <w:vertAlign w:val="superscript"/>
              </w:rPr>
              <w:t>b</w:t>
            </w:r>
          </w:p>
        </w:tc>
        <w:tc>
          <w:tcPr>
            <w:tcW w:w="1707" w:type="dxa"/>
          </w:tcPr>
          <w:p w14:paraId="490E47E3" w14:textId="77777777" w:rsidR="00704B93" w:rsidRDefault="00704B93" w:rsidP="00912F9D">
            <w:pPr>
              <w:pStyle w:val="TableParagraph"/>
              <w:spacing w:before="156"/>
              <w:ind w:left="130"/>
              <w:rPr>
                <w:sz w:val="24"/>
              </w:rPr>
            </w:pPr>
            <w:r>
              <w:rPr>
                <w:spacing w:val="-2"/>
                <w:sz w:val="24"/>
              </w:rPr>
              <w:t>27.00±2.300</w:t>
            </w:r>
            <w:r>
              <w:rPr>
                <w:spacing w:val="-2"/>
                <w:sz w:val="24"/>
                <w:vertAlign w:val="superscript"/>
              </w:rPr>
              <w:t>a</w:t>
            </w:r>
          </w:p>
        </w:tc>
        <w:tc>
          <w:tcPr>
            <w:tcW w:w="1685" w:type="dxa"/>
          </w:tcPr>
          <w:p w14:paraId="43E89C31" w14:textId="77777777" w:rsidR="00704B93" w:rsidRDefault="00704B93" w:rsidP="00912F9D">
            <w:pPr>
              <w:pStyle w:val="TableParagraph"/>
              <w:spacing w:before="156"/>
              <w:ind w:left="177"/>
              <w:rPr>
                <w:sz w:val="24"/>
              </w:rPr>
            </w:pPr>
            <w:r>
              <w:rPr>
                <w:spacing w:val="-2"/>
                <w:sz w:val="24"/>
              </w:rPr>
              <w:t>18.00±1.90</w:t>
            </w:r>
            <w:r>
              <w:rPr>
                <w:spacing w:val="-2"/>
                <w:sz w:val="24"/>
                <w:vertAlign w:val="superscript"/>
              </w:rPr>
              <w:t>b</w:t>
            </w:r>
          </w:p>
        </w:tc>
        <w:tc>
          <w:tcPr>
            <w:tcW w:w="1628" w:type="dxa"/>
          </w:tcPr>
          <w:p w14:paraId="4DBCDDA4" w14:textId="77777777" w:rsidR="00704B93" w:rsidRDefault="00704B93" w:rsidP="00912F9D">
            <w:pPr>
              <w:pStyle w:val="TableParagraph"/>
              <w:spacing w:before="156"/>
              <w:ind w:left="110"/>
              <w:rPr>
                <w:sz w:val="24"/>
              </w:rPr>
            </w:pPr>
            <w:r>
              <w:rPr>
                <w:spacing w:val="-2"/>
                <w:sz w:val="24"/>
              </w:rPr>
              <w:t>22.67±1.47</w:t>
            </w:r>
            <w:r>
              <w:rPr>
                <w:spacing w:val="-2"/>
                <w:sz w:val="24"/>
                <w:vertAlign w:val="superscript"/>
              </w:rPr>
              <w:t>a</w:t>
            </w:r>
          </w:p>
        </w:tc>
      </w:tr>
      <w:tr w:rsidR="00704B93" w14:paraId="681E8DD7" w14:textId="77777777" w:rsidTr="00912F9D">
        <w:trPr>
          <w:trHeight w:val="421"/>
        </w:trPr>
        <w:tc>
          <w:tcPr>
            <w:tcW w:w="2825" w:type="dxa"/>
            <w:tcBorders>
              <w:right w:val="single" w:sz="4" w:space="0" w:color="000000"/>
            </w:tcBorders>
          </w:tcPr>
          <w:p w14:paraId="601CA6A3" w14:textId="77777777" w:rsidR="00704B93" w:rsidRDefault="00704B93" w:rsidP="00912F9D">
            <w:pPr>
              <w:pStyle w:val="TableParagraph"/>
              <w:tabs>
                <w:tab w:val="left" w:pos="1439"/>
              </w:tabs>
              <w:spacing w:before="141" w:line="261" w:lineRule="exact"/>
              <w:ind w:left="124"/>
              <w:rPr>
                <w:b/>
                <w:sz w:val="24"/>
              </w:rPr>
            </w:pPr>
            <w:r>
              <w:rPr>
                <w:b/>
                <w:spacing w:val="-2"/>
                <w:sz w:val="24"/>
              </w:rPr>
              <w:t>Alkaline</w:t>
            </w:r>
            <w:r>
              <w:rPr>
                <w:b/>
                <w:sz w:val="24"/>
              </w:rPr>
              <w:tab/>
            </w:r>
            <w:r>
              <w:rPr>
                <w:b/>
                <w:spacing w:val="-2"/>
                <w:sz w:val="24"/>
              </w:rPr>
              <w:t>Phosphatase</w:t>
            </w:r>
          </w:p>
        </w:tc>
        <w:tc>
          <w:tcPr>
            <w:tcW w:w="1847" w:type="dxa"/>
            <w:tcBorders>
              <w:left w:val="single" w:sz="4" w:space="0" w:color="000000"/>
            </w:tcBorders>
          </w:tcPr>
          <w:p w14:paraId="4631AFCE" w14:textId="77777777" w:rsidR="00704B93" w:rsidRDefault="00704B93" w:rsidP="00912F9D">
            <w:pPr>
              <w:pStyle w:val="TableParagraph"/>
              <w:spacing w:before="141" w:line="261" w:lineRule="exact"/>
              <w:ind w:left="100"/>
              <w:rPr>
                <w:sz w:val="24"/>
              </w:rPr>
            </w:pPr>
            <w:r>
              <w:rPr>
                <w:spacing w:val="-2"/>
                <w:sz w:val="24"/>
              </w:rPr>
              <w:t>61.33±11.02</w:t>
            </w:r>
          </w:p>
        </w:tc>
        <w:tc>
          <w:tcPr>
            <w:tcW w:w="1790" w:type="dxa"/>
          </w:tcPr>
          <w:p w14:paraId="7B323D96" w14:textId="77777777" w:rsidR="00704B93" w:rsidRDefault="00704B93" w:rsidP="00912F9D">
            <w:pPr>
              <w:pStyle w:val="TableParagraph"/>
            </w:pPr>
          </w:p>
        </w:tc>
        <w:tc>
          <w:tcPr>
            <w:tcW w:w="1742" w:type="dxa"/>
          </w:tcPr>
          <w:p w14:paraId="517195D5" w14:textId="77777777" w:rsidR="00704B93" w:rsidRDefault="00704B93" w:rsidP="00912F9D">
            <w:pPr>
              <w:pStyle w:val="TableParagraph"/>
            </w:pPr>
          </w:p>
        </w:tc>
        <w:tc>
          <w:tcPr>
            <w:tcW w:w="1706" w:type="dxa"/>
          </w:tcPr>
          <w:p w14:paraId="0D8DED6A" w14:textId="77777777" w:rsidR="00704B93" w:rsidRDefault="00704B93" w:rsidP="00912F9D">
            <w:pPr>
              <w:pStyle w:val="TableParagraph"/>
            </w:pPr>
          </w:p>
        </w:tc>
        <w:tc>
          <w:tcPr>
            <w:tcW w:w="1707" w:type="dxa"/>
          </w:tcPr>
          <w:p w14:paraId="18D9B79A" w14:textId="77777777" w:rsidR="00704B93" w:rsidRDefault="00704B93" w:rsidP="00912F9D">
            <w:pPr>
              <w:pStyle w:val="TableParagraph"/>
            </w:pPr>
          </w:p>
        </w:tc>
        <w:tc>
          <w:tcPr>
            <w:tcW w:w="1685" w:type="dxa"/>
          </w:tcPr>
          <w:p w14:paraId="73655C58" w14:textId="77777777" w:rsidR="00704B93" w:rsidRDefault="00704B93" w:rsidP="00912F9D">
            <w:pPr>
              <w:pStyle w:val="TableParagraph"/>
            </w:pPr>
          </w:p>
        </w:tc>
        <w:tc>
          <w:tcPr>
            <w:tcW w:w="1628" w:type="dxa"/>
          </w:tcPr>
          <w:p w14:paraId="12948E2A" w14:textId="77777777" w:rsidR="00704B93" w:rsidRDefault="00704B93" w:rsidP="00912F9D">
            <w:pPr>
              <w:pStyle w:val="TableParagraph"/>
            </w:pPr>
          </w:p>
        </w:tc>
      </w:tr>
      <w:tr w:rsidR="00704B93" w14:paraId="6F14ACAB" w14:textId="77777777" w:rsidTr="00912F9D">
        <w:trPr>
          <w:trHeight w:val="276"/>
        </w:trPr>
        <w:tc>
          <w:tcPr>
            <w:tcW w:w="2825" w:type="dxa"/>
            <w:tcBorders>
              <w:right w:val="single" w:sz="4" w:space="0" w:color="000000"/>
            </w:tcBorders>
          </w:tcPr>
          <w:p w14:paraId="77344DDD" w14:textId="77777777" w:rsidR="00704B93" w:rsidRDefault="00704B93" w:rsidP="00912F9D">
            <w:pPr>
              <w:pStyle w:val="TableParagraph"/>
              <w:rPr>
                <w:sz w:val="20"/>
              </w:rPr>
            </w:pPr>
          </w:p>
        </w:tc>
        <w:tc>
          <w:tcPr>
            <w:tcW w:w="1847" w:type="dxa"/>
            <w:tcBorders>
              <w:left w:val="single" w:sz="4" w:space="0" w:color="000000"/>
            </w:tcBorders>
          </w:tcPr>
          <w:p w14:paraId="2C9C128B" w14:textId="77777777" w:rsidR="00704B93" w:rsidRDefault="00704B93" w:rsidP="00912F9D">
            <w:pPr>
              <w:pStyle w:val="TableParagraph"/>
              <w:rPr>
                <w:sz w:val="20"/>
              </w:rPr>
            </w:pPr>
          </w:p>
        </w:tc>
        <w:tc>
          <w:tcPr>
            <w:tcW w:w="1790" w:type="dxa"/>
          </w:tcPr>
          <w:p w14:paraId="7A8030B0" w14:textId="77777777" w:rsidR="00704B93" w:rsidRDefault="00704B93" w:rsidP="00912F9D">
            <w:pPr>
              <w:pStyle w:val="TableParagraph"/>
              <w:spacing w:line="256" w:lineRule="exact"/>
              <w:ind w:left="211"/>
              <w:rPr>
                <w:sz w:val="24"/>
              </w:rPr>
            </w:pPr>
            <w:r>
              <w:rPr>
                <w:spacing w:val="-2"/>
                <w:sz w:val="24"/>
              </w:rPr>
              <w:t>102.33±12.33</w:t>
            </w:r>
            <w:r>
              <w:rPr>
                <w:spacing w:val="-2"/>
                <w:sz w:val="24"/>
                <w:vertAlign w:val="superscript"/>
              </w:rPr>
              <w:t>c</w:t>
            </w:r>
          </w:p>
        </w:tc>
        <w:tc>
          <w:tcPr>
            <w:tcW w:w="1742" w:type="dxa"/>
          </w:tcPr>
          <w:p w14:paraId="22D8DA1B" w14:textId="77777777" w:rsidR="00704B93" w:rsidRDefault="00704B93" w:rsidP="00912F9D">
            <w:pPr>
              <w:pStyle w:val="TableParagraph"/>
              <w:spacing w:line="256" w:lineRule="exact"/>
              <w:ind w:left="174"/>
              <w:rPr>
                <w:sz w:val="24"/>
              </w:rPr>
            </w:pPr>
            <w:r>
              <w:rPr>
                <w:spacing w:val="-2"/>
                <w:sz w:val="24"/>
              </w:rPr>
              <w:t>149.13±11.37</w:t>
            </w:r>
            <w:r>
              <w:rPr>
                <w:spacing w:val="-2"/>
                <w:sz w:val="24"/>
                <w:vertAlign w:val="superscript"/>
              </w:rPr>
              <w:t>d</w:t>
            </w:r>
          </w:p>
        </w:tc>
        <w:tc>
          <w:tcPr>
            <w:tcW w:w="1706" w:type="dxa"/>
          </w:tcPr>
          <w:p w14:paraId="7434158C" w14:textId="77777777" w:rsidR="00704B93" w:rsidRDefault="00704B93" w:rsidP="00912F9D">
            <w:pPr>
              <w:pStyle w:val="TableParagraph"/>
              <w:spacing w:line="256" w:lineRule="exact"/>
              <w:ind w:left="165"/>
              <w:rPr>
                <w:sz w:val="24"/>
              </w:rPr>
            </w:pPr>
            <w:r>
              <w:rPr>
                <w:spacing w:val="-2"/>
                <w:sz w:val="24"/>
              </w:rPr>
              <w:t>153.20±23.40</w:t>
            </w:r>
            <w:r>
              <w:rPr>
                <w:spacing w:val="-2"/>
                <w:sz w:val="24"/>
                <w:vertAlign w:val="superscript"/>
              </w:rPr>
              <w:t>d</w:t>
            </w:r>
          </w:p>
        </w:tc>
        <w:tc>
          <w:tcPr>
            <w:tcW w:w="1707" w:type="dxa"/>
          </w:tcPr>
          <w:p w14:paraId="0D2B909A" w14:textId="77777777" w:rsidR="00704B93" w:rsidRDefault="00704B93" w:rsidP="00912F9D">
            <w:pPr>
              <w:pStyle w:val="TableParagraph"/>
              <w:spacing w:line="256" w:lineRule="exact"/>
              <w:ind w:left="129"/>
              <w:rPr>
                <w:sz w:val="24"/>
              </w:rPr>
            </w:pPr>
            <w:r>
              <w:rPr>
                <w:spacing w:val="-2"/>
                <w:sz w:val="24"/>
              </w:rPr>
              <w:t>120.93±8.17</w:t>
            </w:r>
            <w:r>
              <w:rPr>
                <w:spacing w:val="-2"/>
                <w:sz w:val="24"/>
                <w:vertAlign w:val="superscript"/>
              </w:rPr>
              <w:t>c</w:t>
            </w:r>
          </w:p>
        </w:tc>
        <w:tc>
          <w:tcPr>
            <w:tcW w:w="1685" w:type="dxa"/>
          </w:tcPr>
          <w:p w14:paraId="5B57176B" w14:textId="77777777" w:rsidR="00704B93" w:rsidRDefault="00704B93" w:rsidP="00912F9D">
            <w:pPr>
              <w:pStyle w:val="TableParagraph"/>
              <w:spacing w:line="256" w:lineRule="exact"/>
              <w:ind w:left="177"/>
              <w:rPr>
                <w:sz w:val="24"/>
              </w:rPr>
            </w:pPr>
            <w:r>
              <w:rPr>
                <w:spacing w:val="-2"/>
                <w:sz w:val="24"/>
              </w:rPr>
              <w:t>121.93±19.87</w:t>
            </w:r>
            <w:r>
              <w:rPr>
                <w:spacing w:val="-2"/>
                <w:sz w:val="24"/>
                <w:vertAlign w:val="superscript"/>
              </w:rPr>
              <w:t>c</w:t>
            </w:r>
          </w:p>
        </w:tc>
        <w:tc>
          <w:tcPr>
            <w:tcW w:w="1628" w:type="dxa"/>
          </w:tcPr>
          <w:p w14:paraId="372A5BE8" w14:textId="77777777" w:rsidR="00704B93" w:rsidRDefault="00704B93" w:rsidP="00912F9D">
            <w:pPr>
              <w:pStyle w:val="TableParagraph"/>
              <w:spacing w:line="256" w:lineRule="exact"/>
              <w:ind w:left="109"/>
              <w:rPr>
                <w:sz w:val="24"/>
              </w:rPr>
            </w:pPr>
            <w:r>
              <w:rPr>
                <w:spacing w:val="-2"/>
                <w:sz w:val="24"/>
              </w:rPr>
              <w:t>200.17±15.87</w:t>
            </w:r>
            <w:r>
              <w:rPr>
                <w:spacing w:val="-2"/>
                <w:sz w:val="24"/>
                <w:vertAlign w:val="superscript"/>
              </w:rPr>
              <w:t>d</w:t>
            </w:r>
          </w:p>
        </w:tc>
      </w:tr>
      <w:tr w:rsidR="00704B93" w14:paraId="021100D0" w14:textId="77777777" w:rsidTr="00912F9D">
        <w:trPr>
          <w:trHeight w:val="413"/>
        </w:trPr>
        <w:tc>
          <w:tcPr>
            <w:tcW w:w="2825" w:type="dxa"/>
            <w:tcBorders>
              <w:right w:val="single" w:sz="4" w:space="0" w:color="000000"/>
            </w:tcBorders>
          </w:tcPr>
          <w:p w14:paraId="073110B7" w14:textId="77777777" w:rsidR="00704B93" w:rsidRDefault="00704B93" w:rsidP="00912F9D">
            <w:pPr>
              <w:pStyle w:val="TableParagraph"/>
              <w:spacing w:line="271" w:lineRule="exact"/>
              <w:ind w:left="124"/>
              <w:rPr>
                <w:b/>
                <w:sz w:val="24"/>
              </w:rPr>
            </w:pPr>
            <w:r>
              <w:rPr>
                <w:b/>
                <w:spacing w:val="-2"/>
                <w:sz w:val="24"/>
              </w:rPr>
              <w:t>(IU/L)</w:t>
            </w:r>
          </w:p>
        </w:tc>
        <w:tc>
          <w:tcPr>
            <w:tcW w:w="1847" w:type="dxa"/>
            <w:tcBorders>
              <w:left w:val="single" w:sz="4" w:space="0" w:color="000000"/>
            </w:tcBorders>
          </w:tcPr>
          <w:p w14:paraId="005AE1E0" w14:textId="77777777" w:rsidR="00704B93" w:rsidRDefault="00704B93" w:rsidP="00912F9D">
            <w:pPr>
              <w:pStyle w:val="TableParagraph"/>
            </w:pPr>
          </w:p>
        </w:tc>
        <w:tc>
          <w:tcPr>
            <w:tcW w:w="1790" w:type="dxa"/>
          </w:tcPr>
          <w:p w14:paraId="3997F3FD" w14:textId="77777777" w:rsidR="00704B93" w:rsidRDefault="00704B93" w:rsidP="00912F9D">
            <w:pPr>
              <w:pStyle w:val="TableParagraph"/>
            </w:pPr>
          </w:p>
        </w:tc>
        <w:tc>
          <w:tcPr>
            <w:tcW w:w="1742" w:type="dxa"/>
          </w:tcPr>
          <w:p w14:paraId="157811CC" w14:textId="77777777" w:rsidR="00704B93" w:rsidRDefault="00704B93" w:rsidP="00912F9D">
            <w:pPr>
              <w:pStyle w:val="TableParagraph"/>
            </w:pPr>
          </w:p>
        </w:tc>
        <w:tc>
          <w:tcPr>
            <w:tcW w:w="1706" w:type="dxa"/>
          </w:tcPr>
          <w:p w14:paraId="3A4F7BA7" w14:textId="77777777" w:rsidR="00704B93" w:rsidRDefault="00704B93" w:rsidP="00912F9D">
            <w:pPr>
              <w:pStyle w:val="TableParagraph"/>
            </w:pPr>
          </w:p>
        </w:tc>
        <w:tc>
          <w:tcPr>
            <w:tcW w:w="1707" w:type="dxa"/>
          </w:tcPr>
          <w:p w14:paraId="16478685" w14:textId="77777777" w:rsidR="00704B93" w:rsidRDefault="00704B93" w:rsidP="00912F9D">
            <w:pPr>
              <w:pStyle w:val="TableParagraph"/>
            </w:pPr>
          </w:p>
        </w:tc>
        <w:tc>
          <w:tcPr>
            <w:tcW w:w="1685" w:type="dxa"/>
          </w:tcPr>
          <w:p w14:paraId="51004F6B" w14:textId="77777777" w:rsidR="00704B93" w:rsidRDefault="00704B93" w:rsidP="00912F9D">
            <w:pPr>
              <w:pStyle w:val="TableParagraph"/>
            </w:pPr>
          </w:p>
        </w:tc>
        <w:tc>
          <w:tcPr>
            <w:tcW w:w="1628" w:type="dxa"/>
          </w:tcPr>
          <w:p w14:paraId="13F39111" w14:textId="77777777" w:rsidR="00704B93" w:rsidRDefault="00704B93" w:rsidP="00912F9D">
            <w:pPr>
              <w:pStyle w:val="TableParagraph"/>
            </w:pPr>
          </w:p>
        </w:tc>
      </w:tr>
      <w:tr w:rsidR="00704B93" w14:paraId="62CE0CC3" w14:textId="77777777" w:rsidTr="00912F9D">
        <w:trPr>
          <w:trHeight w:val="551"/>
        </w:trPr>
        <w:tc>
          <w:tcPr>
            <w:tcW w:w="2825" w:type="dxa"/>
            <w:tcBorders>
              <w:right w:val="single" w:sz="4" w:space="0" w:color="000000"/>
            </w:tcBorders>
          </w:tcPr>
          <w:p w14:paraId="6158D18D" w14:textId="77777777" w:rsidR="00704B93" w:rsidRDefault="00704B93" w:rsidP="00912F9D">
            <w:pPr>
              <w:pStyle w:val="TableParagraph"/>
              <w:spacing w:before="133"/>
              <w:ind w:left="124"/>
              <w:rPr>
                <w:b/>
                <w:sz w:val="24"/>
              </w:rPr>
            </w:pPr>
            <w:r>
              <w:rPr>
                <w:b/>
                <w:spacing w:val="-2"/>
                <w:sz w:val="24"/>
              </w:rPr>
              <w:t>ALAT(GPT)</w:t>
            </w:r>
            <w:r>
              <w:rPr>
                <w:b/>
                <w:sz w:val="24"/>
              </w:rPr>
              <w:t xml:space="preserve"> </w:t>
            </w:r>
            <w:r>
              <w:rPr>
                <w:b/>
                <w:spacing w:val="-2"/>
                <w:sz w:val="24"/>
              </w:rPr>
              <w:t>(IU/L)</w:t>
            </w:r>
          </w:p>
        </w:tc>
        <w:tc>
          <w:tcPr>
            <w:tcW w:w="1847" w:type="dxa"/>
            <w:tcBorders>
              <w:left w:val="single" w:sz="4" w:space="0" w:color="000000"/>
            </w:tcBorders>
          </w:tcPr>
          <w:p w14:paraId="276BEB96" w14:textId="77777777" w:rsidR="00704B93" w:rsidRDefault="00704B93" w:rsidP="00912F9D">
            <w:pPr>
              <w:pStyle w:val="TableParagraph"/>
              <w:spacing w:before="133"/>
              <w:ind w:left="100"/>
              <w:rPr>
                <w:sz w:val="24"/>
              </w:rPr>
            </w:pPr>
            <w:r>
              <w:rPr>
                <w:spacing w:val="-2"/>
                <w:sz w:val="24"/>
              </w:rPr>
              <w:t>52.67±4.04</w:t>
            </w:r>
          </w:p>
        </w:tc>
        <w:tc>
          <w:tcPr>
            <w:tcW w:w="1790" w:type="dxa"/>
          </w:tcPr>
          <w:p w14:paraId="7239B068" w14:textId="77777777" w:rsidR="00704B93" w:rsidRDefault="00704B93" w:rsidP="00912F9D">
            <w:pPr>
              <w:pStyle w:val="TableParagraph"/>
              <w:spacing w:before="133"/>
              <w:ind w:left="213"/>
              <w:rPr>
                <w:sz w:val="24"/>
              </w:rPr>
            </w:pPr>
            <w:r>
              <w:rPr>
                <w:spacing w:val="-2"/>
                <w:sz w:val="24"/>
              </w:rPr>
              <w:t>81.90±6.10</w:t>
            </w:r>
            <w:r>
              <w:rPr>
                <w:spacing w:val="-2"/>
                <w:sz w:val="24"/>
                <w:vertAlign w:val="superscript"/>
              </w:rPr>
              <w:t>a</w:t>
            </w:r>
          </w:p>
        </w:tc>
        <w:tc>
          <w:tcPr>
            <w:tcW w:w="1742" w:type="dxa"/>
          </w:tcPr>
          <w:p w14:paraId="2A317A99" w14:textId="77777777" w:rsidR="00704B93" w:rsidRDefault="00704B93" w:rsidP="00912F9D">
            <w:pPr>
              <w:pStyle w:val="TableParagraph"/>
              <w:spacing w:before="133"/>
              <w:ind w:left="175"/>
              <w:rPr>
                <w:sz w:val="24"/>
              </w:rPr>
            </w:pPr>
            <w:r>
              <w:rPr>
                <w:spacing w:val="-2"/>
                <w:sz w:val="24"/>
              </w:rPr>
              <w:t>72.03±1.77</w:t>
            </w:r>
            <w:r>
              <w:rPr>
                <w:spacing w:val="-2"/>
                <w:sz w:val="24"/>
                <w:vertAlign w:val="superscript"/>
              </w:rPr>
              <w:t>a</w:t>
            </w:r>
          </w:p>
        </w:tc>
        <w:tc>
          <w:tcPr>
            <w:tcW w:w="1706" w:type="dxa"/>
          </w:tcPr>
          <w:p w14:paraId="4738F9F3" w14:textId="77777777" w:rsidR="00704B93" w:rsidRDefault="00704B93" w:rsidP="00912F9D">
            <w:pPr>
              <w:pStyle w:val="TableParagraph"/>
              <w:spacing w:before="133"/>
              <w:ind w:left="165"/>
              <w:rPr>
                <w:sz w:val="24"/>
              </w:rPr>
            </w:pPr>
            <w:r>
              <w:rPr>
                <w:spacing w:val="-2"/>
                <w:sz w:val="24"/>
              </w:rPr>
              <w:t>74.53±0.17</w:t>
            </w:r>
            <w:r>
              <w:rPr>
                <w:spacing w:val="-2"/>
                <w:sz w:val="24"/>
                <w:vertAlign w:val="superscript"/>
              </w:rPr>
              <w:t>a</w:t>
            </w:r>
          </w:p>
        </w:tc>
        <w:tc>
          <w:tcPr>
            <w:tcW w:w="1707" w:type="dxa"/>
          </w:tcPr>
          <w:p w14:paraId="6FD9CC38" w14:textId="77777777" w:rsidR="00704B93" w:rsidRDefault="00704B93" w:rsidP="00912F9D">
            <w:pPr>
              <w:pStyle w:val="TableParagraph"/>
              <w:spacing w:before="133"/>
              <w:ind w:left="130"/>
              <w:rPr>
                <w:sz w:val="24"/>
              </w:rPr>
            </w:pPr>
            <w:r>
              <w:rPr>
                <w:spacing w:val="-2"/>
                <w:sz w:val="24"/>
              </w:rPr>
              <w:t>76.47±7.83</w:t>
            </w:r>
            <w:r>
              <w:rPr>
                <w:spacing w:val="-2"/>
                <w:sz w:val="24"/>
                <w:vertAlign w:val="superscript"/>
              </w:rPr>
              <w:t>a</w:t>
            </w:r>
          </w:p>
        </w:tc>
        <w:tc>
          <w:tcPr>
            <w:tcW w:w="1685" w:type="dxa"/>
          </w:tcPr>
          <w:p w14:paraId="117C8498" w14:textId="77777777" w:rsidR="00704B93" w:rsidRDefault="00704B93" w:rsidP="00912F9D">
            <w:pPr>
              <w:pStyle w:val="TableParagraph"/>
              <w:spacing w:before="133"/>
              <w:ind w:left="177"/>
              <w:rPr>
                <w:sz w:val="24"/>
              </w:rPr>
            </w:pPr>
            <w:r>
              <w:rPr>
                <w:spacing w:val="-2"/>
                <w:sz w:val="24"/>
              </w:rPr>
              <w:t>91.57±4.43</w:t>
            </w:r>
            <w:r>
              <w:rPr>
                <w:spacing w:val="-2"/>
                <w:sz w:val="24"/>
                <w:vertAlign w:val="superscript"/>
              </w:rPr>
              <w:t>b</w:t>
            </w:r>
          </w:p>
        </w:tc>
        <w:tc>
          <w:tcPr>
            <w:tcW w:w="1628" w:type="dxa"/>
          </w:tcPr>
          <w:p w14:paraId="70F7859F" w14:textId="77777777" w:rsidR="00704B93" w:rsidRDefault="00704B93" w:rsidP="00912F9D">
            <w:pPr>
              <w:pStyle w:val="TableParagraph"/>
              <w:spacing w:before="133"/>
              <w:ind w:left="110"/>
              <w:rPr>
                <w:sz w:val="24"/>
              </w:rPr>
            </w:pPr>
            <w:r>
              <w:rPr>
                <w:spacing w:val="-2"/>
                <w:sz w:val="24"/>
              </w:rPr>
              <w:t>88.07±3.03</w:t>
            </w:r>
            <w:r>
              <w:rPr>
                <w:spacing w:val="-2"/>
                <w:sz w:val="24"/>
                <w:vertAlign w:val="superscript"/>
              </w:rPr>
              <w:t>a</w:t>
            </w:r>
          </w:p>
        </w:tc>
      </w:tr>
      <w:tr w:rsidR="00704B93" w14:paraId="63430BB9" w14:textId="77777777" w:rsidTr="00912F9D">
        <w:trPr>
          <w:trHeight w:val="685"/>
        </w:trPr>
        <w:tc>
          <w:tcPr>
            <w:tcW w:w="2825" w:type="dxa"/>
            <w:tcBorders>
              <w:bottom w:val="single" w:sz="4" w:space="0" w:color="000000"/>
              <w:right w:val="single" w:sz="4" w:space="0" w:color="000000"/>
            </w:tcBorders>
          </w:tcPr>
          <w:p w14:paraId="15CC732D" w14:textId="77777777" w:rsidR="00704B93" w:rsidRDefault="00704B93" w:rsidP="00912F9D">
            <w:pPr>
              <w:pStyle w:val="TableParagraph"/>
              <w:spacing w:before="133"/>
              <w:ind w:left="124"/>
              <w:rPr>
                <w:b/>
                <w:sz w:val="24"/>
              </w:rPr>
            </w:pPr>
            <w:proofErr w:type="spellStart"/>
            <w:proofErr w:type="gramStart"/>
            <w:r>
              <w:rPr>
                <w:b/>
                <w:spacing w:val="-2"/>
                <w:sz w:val="24"/>
              </w:rPr>
              <w:t>AsPAT</w:t>
            </w:r>
            <w:proofErr w:type="spellEnd"/>
            <w:r>
              <w:rPr>
                <w:b/>
                <w:spacing w:val="-2"/>
                <w:sz w:val="24"/>
              </w:rPr>
              <w:t>(</w:t>
            </w:r>
            <w:proofErr w:type="gramEnd"/>
            <w:r>
              <w:rPr>
                <w:b/>
                <w:spacing w:val="-2"/>
                <w:sz w:val="24"/>
              </w:rPr>
              <w:t>GOT)(IU/L)</w:t>
            </w:r>
          </w:p>
        </w:tc>
        <w:tc>
          <w:tcPr>
            <w:tcW w:w="1847" w:type="dxa"/>
            <w:tcBorders>
              <w:left w:val="single" w:sz="4" w:space="0" w:color="000000"/>
              <w:bottom w:val="single" w:sz="4" w:space="0" w:color="000000"/>
            </w:tcBorders>
          </w:tcPr>
          <w:p w14:paraId="5F6B531F" w14:textId="77777777" w:rsidR="00704B93" w:rsidRDefault="00704B93" w:rsidP="00912F9D">
            <w:pPr>
              <w:pStyle w:val="TableParagraph"/>
              <w:spacing w:before="133"/>
              <w:ind w:left="100"/>
              <w:rPr>
                <w:sz w:val="24"/>
              </w:rPr>
            </w:pPr>
            <w:r>
              <w:rPr>
                <w:spacing w:val="-2"/>
                <w:sz w:val="24"/>
              </w:rPr>
              <w:t>35.00±3.00</w:t>
            </w:r>
          </w:p>
        </w:tc>
        <w:tc>
          <w:tcPr>
            <w:tcW w:w="1790" w:type="dxa"/>
            <w:tcBorders>
              <w:bottom w:val="single" w:sz="4" w:space="0" w:color="000000"/>
            </w:tcBorders>
          </w:tcPr>
          <w:p w14:paraId="3360BAEF" w14:textId="77777777" w:rsidR="00704B93" w:rsidRDefault="00704B93" w:rsidP="00912F9D">
            <w:pPr>
              <w:pStyle w:val="TableParagraph"/>
              <w:spacing w:before="133"/>
              <w:ind w:left="213"/>
              <w:rPr>
                <w:sz w:val="24"/>
              </w:rPr>
            </w:pPr>
            <w:r>
              <w:rPr>
                <w:spacing w:val="-2"/>
                <w:sz w:val="24"/>
              </w:rPr>
              <w:t>191.33±10.67</w:t>
            </w:r>
            <w:r>
              <w:rPr>
                <w:spacing w:val="-2"/>
                <w:sz w:val="24"/>
                <w:vertAlign w:val="superscript"/>
              </w:rPr>
              <w:t>c</w:t>
            </w:r>
          </w:p>
        </w:tc>
        <w:tc>
          <w:tcPr>
            <w:tcW w:w="1742" w:type="dxa"/>
            <w:tcBorders>
              <w:bottom w:val="single" w:sz="4" w:space="0" w:color="000000"/>
            </w:tcBorders>
          </w:tcPr>
          <w:p w14:paraId="20F0212B" w14:textId="77777777" w:rsidR="00704B93" w:rsidRDefault="00704B93" w:rsidP="00912F9D">
            <w:pPr>
              <w:pStyle w:val="TableParagraph"/>
              <w:spacing w:before="133"/>
              <w:ind w:left="174"/>
              <w:rPr>
                <w:sz w:val="24"/>
              </w:rPr>
            </w:pPr>
            <w:r>
              <w:rPr>
                <w:spacing w:val="-2"/>
                <w:sz w:val="24"/>
              </w:rPr>
              <w:t>200.23±0.23</w:t>
            </w:r>
            <w:r>
              <w:rPr>
                <w:spacing w:val="-2"/>
                <w:sz w:val="24"/>
                <w:vertAlign w:val="superscript"/>
              </w:rPr>
              <w:t>c</w:t>
            </w:r>
          </w:p>
        </w:tc>
        <w:tc>
          <w:tcPr>
            <w:tcW w:w="1706" w:type="dxa"/>
            <w:tcBorders>
              <w:bottom w:val="single" w:sz="4" w:space="0" w:color="000000"/>
            </w:tcBorders>
          </w:tcPr>
          <w:p w14:paraId="373526E5" w14:textId="77777777" w:rsidR="00704B93" w:rsidRDefault="00704B93" w:rsidP="00912F9D">
            <w:pPr>
              <w:pStyle w:val="TableParagraph"/>
              <w:spacing w:before="133"/>
              <w:ind w:left="165"/>
              <w:rPr>
                <w:sz w:val="24"/>
              </w:rPr>
            </w:pPr>
            <w:r>
              <w:rPr>
                <w:spacing w:val="-2"/>
                <w:sz w:val="24"/>
              </w:rPr>
              <w:t>179.07±3.83</w:t>
            </w:r>
            <w:r>
              <w:rPr>
                <w:spacing w:val="-2"/>
                <w:sz w:val="24"/>
                <w:vertAlign w:val="superscript"/>
              </w:rPr>
              <w:t>b</w:t>
            </w:r>
          </w:p>
        </w:tc>
        <w:tc>
          <w:tcPr>
            <w:tcW w:w="1707" w:type="dxa"/>
            <w:tcBorders>
              <w:bottom w:val="single" w:sz="4" w:space="0" w:color="000000"/>
            </w:tcBorders>
          </w:tcPr>
          <w:p w14:paraId="0D21E27B" w14:textId="77777777" w:rsidR="00704B93" w:rsidRDefault="00704B93" w:rsidP="00912F9D">
            <w:pPr>
              <w:pStyle w:val="TableParagraph"/>
              <w:spacing w:before="133"/>
              <w:ind w:left="129"/>
              <w:rPr>
                <w:sz w:val="24"/>
              </w:rPr>
            </w:pPr>
            <w:r>
              <w:rPr>
                <w:spacing w:val="-2"/>
                <w:sz w:val="24"/>
              </w:rPr>
              <w:t>192.53±10.47</w:t>
            </w:r>
            <w:r>
              <w:rPr>
                <w:spacing w:val="-2"/>
                <w:sz w:val="24"/>
                <w:vertAlign w:val="superscript"/>
              </w:rPr>
              <w:t>c</w:t>
            </w:r>
          </w:p>
        </w:tc>
        <w:tc>
          <w:tcPr>
            <w:tcW w:w="1685" w:type="dxa"/>
            <w:tcBorders>
              <w:bottom w:val="single" w:sz="4" w:space="0" w:color="000000"/>
            </w:tcBorders>
          </w:tcPr>
          <w:p w14:paraId="67FA4081" w14:textId="77777777" w:rsidR="00704B93" w:rsidRDefault="00704B93" w:rsidP="00912F9D">
            <w:pPr>
              <w:pStyle w:val="TableParagraph"/>
              <w:spacing w:before="133"/>
              <w:ind w:left="177"/>
              <w:rPr>
                <w:sz w:val="24"/>
              </w:rPr>
            </w:pPr>
            <w:r>
              <w:rPr>
                <w:spacing w:val="-2"/>
                <w:sz w:val="24"/>
              </w:rPr>
              <w:t>221.03±1.02</w:t>
            </w:r>
            <w:r>
              <w:rPr>
                <w:spacing w:val="-2"/>
                <w:sz w:val="24"/>
                <w:vertAlign w:val="superscript"/>
              </w:rPr>
              <w:t>d</w:t>
            </w:r>
          </w:p>
        </w:tc>
        <w:tc>
          <w:tcPr>
            <w:tcW w:w="1628" w:type="dxa"/>
            <w:tcBorders>
              <w:bottom w:val="single" w:sz="4" w:space="0" w:color="000000"/>
            </w:tcBorders>
          </w:tcPr>
          <w:p w14:paraId="06897B12" w14:textId="77777777" w:rsidR="00704B93" w:rsidRDefault="00704B93" w:rsidP="00912F9D">
            <w:pPr>
              <w:pStyle w:val="TableParagraph"/>
              <w:spacing w:before="133"/>
              <w:ind w:left="109"/>
              <w:rPr>
                <w:sz w:val="24"/>
              </w:rPr>
            </w:pPr>
            <w:r>
              <w:rPr>
                <w:spacing w:val="-2"/>
                <w:sz w:val="24"/>
              </w:rPr>
              <w:t>219.73±2.2</w:t>
            </w:r>
            <w:r>
              <w:rPr>
                <w:spacing w:val="-2"/>
                <w:sz w:val="24"/>
                <w:vertAlign w:val="superscript"/>
              </w:rPr>
              <w:t>d</w:t>
            </w:r>
          </w:p>
        </w:tc>
      </w:tr>
    </w:tbl>
    <w:p w14:paraId="1E259C2A" w14:textId="77777777" w:rsidR="00704B93" w:rsidRDefault="00704B93" w:rsidP="00704B93">
      <w:pPr>
        <w:spacing w:before="247"/>
        <w:ind w:left="1080"/>
        <w:rPr>
          <w:i/>
          <w:sz w:val="24"/>
        </w:rPr>
      </w:pPr>
      <w:r>
        <w:rPr>
          <w:sz w:val="24"/>
        </w:rPr>
        <w:t>AFEAG:</w:t>
      </w:r>
      <w:r>
        <w:rPr>
          <w:spacing w:val="-1"/>
          <w:sz w:val="24"/>
        </w:rPr>
        <w:t xml:space="preserve"> </w:t>
      </w:r>
      <w:r>
        <w:rPr>
          <w:sz w:val="24"/>
        </w:rPr>
        <w:t>Aqueous</w:t>
      </w:r>
      <w:r>
        <w:rPr>
          <w:spacing w:val="-1"/>
          <w:sz w:val="24"/>
        </w:rPr>
        <w:t xml:space="preserve"> </w:t>
      </w:r>
      <w:r>
        <w:rPr>
          <w:sz w:val="24"/>
        </w:rPr>
        <w:t>Fruit Extract</w:t>
      </w:r>
      <w:r>
        <w:rPr>
          <w:spacing w:val="-3"/>
          <w:sz w:val="24"/>
        </w:rPr>
        <w:t xml:space="preserve"> </w:t>
      </w:r>
      <w:r>
        <w:rPr>
          <w:sz w:val="24"/>
        </w:rPr>
        <w:t>of</w:t>
      </w:r>
      <w:r>
        <w:rPr>
          <w:spacing w:val="-6"/>
          <w:sz w:val="24"/>
        </w:rPr>
        <w:t xml:space="preserve"> </w:t>
      </w:r>
      <w:proofErr w:type="spellStart"/>
      <w:r>
        <w:rPr>
          <w:i/>
          <w:sz w:val="24"/>
        </w:rPr>
        <w:t>Azanga</w:t>
      </w:r>
      <w:proofErr w:type="spellEnd"/>
      <w:r>
        <w:rPr>
          <w:i/>
          <w:sz w:val="24"/>
        </w:rPr>
        <w:t xml:space="preserve"> </w:t>
      </w:r>
      <w:proofErr w:type="spellStart"/>
      <w:r>
        <w:rPr>
          <w:i/>
          <w:spacing w:val="-2"/>
          <w:sz w:val="24"/>
        </w:rPr>
        <w:t>garkeana</w:t>
      </w:r>
      <w:proofErr w:type="spellEnd"/>
    </w:p>
    <w:p w14:paraId="23E4B693" w14:textId="77777777" w:rsidR="00704B93" w:rsidRDefault="00704B93" w:rsidP="00704B93">
      <w:pPr>
        <w:pStyle w:val="BodyText"/>
        <w:spacing w:before="161"/>
        <w:rPr>
          <w:i/>
        </w:rPr>
      </w:pPr>
    </w:p>
    <w:p w14:paraId="183CEB8A" w14:textId="77777777" w:rsidR="00704B93" w:rsidRDefault="00704B93" w:rsidP="00704B93">
      <w:pPr>
        <w:pStyle w:val="BodyText"/>
        <w:tabs>
          <w:tab w:val="left" w:pos="1981"/>
          <w:tab w:val="left" w:pos="2722"/>
          <w:tab w:val="left" w:pos="4119"/>
          <w:tab w:val="left" w:pos="4769"/>
          <w:tab w:val="left" w:pos="6426"/>
          <w:tab w:val="left" w:pos="7305"/>
          <w:tab w:val="left" w:pos="7960"/>
          <w:tab w:val="left" w:pos="9023"/>
          <w:tab w:val="left" w:pos="9688"/>
          <w:tab w:val="left" w:pos="10749"/>
          <w:tab w:val="left" w:pos="11404"/>
          <w:tab w:val="left" w:pos="12587"/>
          <w:tab w:val="left" w:pos="13250"/>
        </w:tabs>
        <w:ind w:left="1080"/>
      </w:pPr>
      <w:r>
        <w:rPr>
          <w:spacing w:val="-4"/>
        </w:rPr>
        <w:t>Data</w:t>
      </w:r>
      <w:r>
        <w:tab/>
      </w:r>
      <w:r>
        <w:rPr>
          <w:spacing w:val="-5"/>
        </w:rPr>
        <w:t>are</w:t>
      </w:r>
      <w:r>
        <w:tab/>
      </w:r>
      <w:r>
        <w:rPr>
          <w:spacing w:val="-2"/>
        </w:rPr>
        <w:t>expressed</w:t>
      </w:r>
      <w:r>
        <w:tab/>
      </w:r>
      <w:r>
        <w:rPr>
          <w:spacing w:val="-5"/>
        </w:rPr>
        <w:t>as</w:t>
      </w:r>
      <w:r>
        <w:tab/>
      </w:r>
      <w:proofErr w:type="spellStart"/>
      <w:r>
        <w:rPr>
          <w:spacing w:val="-2"/>
        </w:rPr>
        <w:t>mean±SEM</w:t>
      </w:r>
      <w:proofErr w:type="spellEnd"/>
      <w:r>
        <w:rPr>
          <w:spacing w:val="-2"/>
        </w:rPr>
        <w:t>.</w:t>
      </w:r>
      <w:r>
        <w:tab/>
      </w:r>
      <w:r>
        <w:rPr>
          <w:spacing w:val="-4"/>
        </w:rPr>
        <w:t>n=3,</w:t>
      </w:r>
      <w:r>
        <w:tab/>
      </w:r>
      <w:proofErr w:type="spellStart"/>
      <w:r>
        <w:rPr>
          <w:spacing w:val="-5"/>
          <w:vertAlign w:val="superscript"/>
        </w:rPr>
        <w:t>a</w:t>
      </w:r>
      <w:r>
        <w:rPr>
          <w:spacing w:val="-5"/>
        </w:rPr>
        <w:t>P</w:t>
      </w:r>
      <w:proofErr w:type="spellEnd"/>
      <w:r>
        <w:tab/>
      </w:r>
      <w:r>
        <w:rPr>
          <w:spacing w:val="-2"/>
        </w:rPr>
        <w:t>&lt;0.05,</w:t>
      </w:r>
      <w:r>
        <w:tab/>
      </w:r>
      <w:proofErr w:type="spellStart"/>
      <w:r>
        <w:rPr>
          <w:spacing w:val="-5"/>
          <w:vertAlign w:val="superscript"/>
        </w:rPr>
        <w:t>b</w:t>
      </w:r>
      <w:r>
        <w:rPr>
          <w:spacing w:val="-5"/>
        </w:rPr>
        <w:t>P</w:t>
      </w:r>
      <w:proofErr w:type="spellEnd"/>
      <w:r>
        <w:tab/>
      </w:r>
      <w:r>
        <w:rPr>
          <w:spacing w:val="-2"/>
        </w:rPr>
        <w:t>&lt;0.01,</w:t>
      </w:r>
      <w:r>
        <w:tab/>
      </w:r>
      <w:proofErr w:type="spellStart"/>
      <w:r>
        <w:rPr>
          <w:spacing w:val="-5"/>
          <w:vertAlign w:val="superscript"/>
        </w:rPr>
        <w:t>c</w:t>
      </w:r>
      <w:r>
        <w:rPr>
          <w:spacing w:val="-5"/>
        </w:rPr>
        <w:t>P</w:t>
      </w:r>
      <w:proofErr w:type="spellEnd"/>
      <w:r>
        <w:tab/>
      </w:r>
      <w:r>
        <w:rPr>
          <w:spacing w:val="-2"/>
        </w:rPr>
        <w:t>&lt;0.001,</w:t>
      </w:r>
      <w:r>
        <w:tab/>
      </w:r>
      <w:proofErr w:type="spellStart"/>
      <w:r>
        <w:rPr>
          <w:spacing w:val="-5"/>
          <w:vertAlign w:val="superscript"/>
        </w:rPr>
        <w:t>d</w:t>
      </w:r>
      <w:r>
        <w:rPr>
          <w:spacing w:val="-5"/>
        </w:rPr>
        <w:t>P</w:t>
      </w:r>
      <w:proofErr w:type="spellEnd"/>
      <w:r>
        <w:tab/>
      </w:r>
      <w:r>
        <w:rPr>
          <w:spacing w:val="-2"/>
        </w:rPr>
        <w:t>&lt;0.0001</w:t>
      </w:r>
    </w:p>
    <w:p w14:paraId="7424C135" w14:textId="77777777" w:rsidR="00704B93" w:rsidRDefault="00704B93" w:rsidP="00704B93">
      <w:pPr>
        <w:pStyle w:val="BodyText"/>
        <w:sectPr w:rsidR="00704B93" w:rsidSect="00704B93">
          <w:headerReference w:type="even" r:id="rId19"/>
          <w:headerReference w:type="default" r:id="rId20"/>
          <w:headerReference w:type="first" r:id="rId21"/>
          <w:pgSz w:w="15840" w:h="12240" w:orient="landscape"/>
          <w:pgMar w:top="680" w:right="360" w:bottom="280" w:left="360" w:header="0" w:footer="0" w:gutter="0"/>
          <w:cols w:space="720"/>
        </w:sectPr>
      </w:pPr>
    </w:p>
    <w:p w14:paraId="4114F14F" w14:textId="79B947B2" w:rsidR="00704B93" w:rsidRDefault="00704B93" w:rsidP="00704B93">
      <w:pPr>
        <w:pStyle w:val="Heading1"/>
        <w:numPr>
          <w:ilvl w:val="1"/>
          <w:numId w:val="13"/>
        </w:numPr>
        <w:tabs>
          <w:tab w:val="left" w:pos="1438"/>
        </w:tabs>
        <w:spacing w:before="79"/>
      </w:pPr>
      <w:r>
        <w:lastRenderedPageBreak/>
        <w:t>ANTI</w:t>
      </w:r>
      <w:r>
        <w:rPr>
          <w:spacing w:val="-12"/>
        </w:rPr>
        <w:t xml:space="preserve"> </w:t>
      </w:r>
      <w:r>
        <w:t>INFERTILITY</w:t>
      </w:r>
      <w:r>
        <w:rPr>
          <w:spacing w:val="-12"/>
        </w:rPr>
        <w:t xml:space="preserve"> </w:t>
      </w:r>
      <w:r>
        <w:rPr>
          <w:spacing w:val="-2"/>
        </w:rPr>
        <w:t>ACTIVITIES</w:t>
      </w:r>
    </w:p>
    <w:p w14:paraId="5B7A42A2" w14:textId="77777777" w:rsidR="00704B93" w:rsidRDefault="00704B93" w:rsidP="00704B93">
      <w:pPr>
        <w:pStyle w:val="BodyText"/>
        <w:rPr>
          <w:b/>
        </w:rPr>
      </w:pPr>
    </w:p>
    <w:p w14:paraId="7C5B2002" w14:textId="77777777" w:rsidR="00704B93" w:rsidRDefault="00704B93" w:rsidP="00704B93">
      <w:pPr>
        <w:pStyle w:val="Heading2"/>
        <w:numPr>
          <w:ilvl w:val="2"/>
          <w:numId w:val="13"/>
        </w:numPr>
        <w:tabs>
          <w:tab w:val="left" w:pos="1618"/>
        </w:tabs>
        <w:ind w:hanging="538"/>
      </w:pPr>
      <w:r>
        <w:t>Body</w:t>
      </w:r>
      <w:r>
        <w:rPr>
          <w:spacing w:val="-4"/>
        </w:rPr>
        <w:t xml:space="preserve"> </w:t>
      </w:r>
      <w:r>
        <w:t>weight</w:t>
      </w:r>
      <w:r>
        <w:rPr>
          <w:spacing w:val="-5"/>
        </w:rPr>
        <w:t xml:space="preserve"> </w:t>
      </w:r>
      <w:r>
        <w:t>of</w:t>
      </w:r>
      <w:r>
        <w:rPr>
          <w:spacing w:val="-8"/>
        </w:rPr>
        <w:t xml:space="preserve"> </w:t>
      </w:r>
      <w:r>
        <w:rPr>
          <w:spacing w:val="-2"/>
        </w:rPr>
        <w:t>animals</w:t>
      </w:r>
    </w:p>
    <w:p w14:paraId="4EE7E0CA" w14:textId="77777777" w:rsidR="00704B93" w:rsidRDefault="00704B93" w:rsidP="00704B93">
      <w:pPr>
        <w:pStyle w:val="BodyText"/>
        <w:rPr>
          <w:b/>
        </w:rPr>
      </w:pPr>
    </w:p>
    <w:p w14:paraId="30A78D29" w14:textId="5531291A" w:rsidR="00704B93" w:rsidRDefault="00704B93" w:rsidP="00704B93">
      <w:pPr>
        <w:pStyle w:val="BodyText"/>
        <w:spacing w:line="480" w:lineRule="auto"/>
        <w:ind w:left="1080" w:right="1087"/>
        <w:jc w:val="both"/>
      </w:pPr>
      <w:r>
        <w:t>The weight of rats used for the anti-infertility test was between 112 and 223 g. The findings in Figure</w:t>
      </w:r>
      <w:r>
        <w:rPr>
          <w:spacing w:val="-2"/>
        </w:rPr>
        <w:t xml:space="preserve"> </w:t>
      </w:r>
      <w:r w:rsidR="00D661EB">
        <w:t>1</w:t>
      </w:r>
      <w:r>
        <w:rPr>
          <w:spacing w:val="-2"/>
        </w:rPr>
        <w:t xml:space="preserve"> </w:t>
      </w:r>
      <w:r>
        <w:t>revealed</w:t>
      </w:r>
      <w:r>
        <w:rPr>
          <w:spacing w:val="-2"/>
        </w:rPr>
        <w:t xml:space="preserve"> </w:t>
      </w:r>
      <w:r>
        <w:t>a</w:t>
      </w:r>
      <w:r>
        <w:rPr>
          <w:spacing w:val="-5"/>
        </w:rPr>
        <w:t xml:space="preserve"> </w:t>
      </w:r>
      <w:r>
        <w:t>loss</w:t>
      </w:r>
      <w:r>
        <w:rPr>
          <w:spacing w:val="-2"/>
        </w:rPr>
        <w:t xml:space="preserve"> </w:t>
      </w:r>
      <w:r>
        <w:t>in</w:t>
      </w:r>
      <w:r>
        <w:rPr>
          <w:spacing w:val="-2"/>
        </w:rPr>
        <w:t xml:space="preserve"> </w:t>
      </w:r>
      <w:r>
        <w:t>final</w:t>
      </w:r>
      <w:r>
        <w:rPr>
          <w:spacing w:val="-2"/>
        </w:rPr>
        <w:t xml:space="preserve"> </w:t>
      </w:r>
      <w:r>
        <w:t>body</w:t>
      </w:r>
      <w:r>
        <w:rPr>
          <w:spacing w:val="-2"/>
        </w:rPr>
        <w:t xml:space="preserve"> </w:t>
      </w:r>
      <w:r>
        <w:t>weight both</w:t>
      </w:r>
      <w:r>
        <w:rPr>
          <w:spacing w:val="-5"/>
        </w:rPr>
        <w:t xml:space="preserve"> </w:t>
      </w:r>
      <w:r>
        <w:t>in</w:t>
      </w:r>
      <w:r>
        <w:rPr>
          <w:spacing w:val="-2"/>
        </w:rPr>
        <w:t xml:space="preserve"> </w:t>
      </w:r>
      <w:r>
        <w:t>males</w:t>
      </w:r>
      <w:r>
        <w:rPr>
          <w:spacing w:val="-2"/>
        </w:rPr>
        <w:t xml:space="preserve"> </w:t>
      </w:r>
      <w:r>
        <w:t>and</w:t>
      </w:r>
      <w:r>
        <w:rPr>
          <w:spacing w:val="-2"/>
        </w:rPr>
        <w:t xml:space="preserve"> </w:t>
      </w:r>
      <w:r>
        <w:t>females.</w:t>
      </w:r>
      <w:r>
        <w:rPr>
          <w:spacing w:val="-2"/>
        </w:rPr>
        <w:t xml:space="preserve"> </w:t>
      </w:r>
      <w:r>
        <w:t>Among</w:t>
      </w:r>
      <w:r>
        <w:rPr>
          <w:spacing w:val="-2"/>
        </w:rPr>
        <w:t xml:space="preserve"> </w:t>
      </w:r>
      <w:r>
        <w:t>all animals,</w:t>
      </w:r>
      <w:r>
        <w:rPr>
          <w:spacing w:val="-2"/>
        </w:rPr>
        <w:t xml:space="preserve"> </w:t>
      </w:r>
      <w:r>
        <w:t>only the Normal Control Group of males’ added weight significantly compared with corresponding Negative control groups.</w:t>
      </w:r>
    </w:p>
    <w:p w14:paraId="26DF2753" w14:textId="77777777" w:rsidR="00704B93" w:rsidRDefault="00704B93" w:rsidP="00704B93">
      <w:pPr>
        <w:pStyle w:val="BodyText"/>
        <w:spacing w:line="480" w:lineRule="auto"/>
        <w:jc w:val="both"/>
        <w:sectPr w:rsidR="00704B93" w:rsidSect="00704B93">
          <w:headerReference w:type="even" r:id="rId22"/>
          <w:headerReference w:type="default" r:id="rId23"/>
          <w:headerReference w:type="first" r:id="rId24"/>
          <w:pgSz w:w="12240" w:h="15840"/>
          <w:pgMar w:top="1340" w:right="360" w:bottom="280" w:left="360" w:header="752" w:footer="0" w:gutter="0"/>
          <w:pgNumType w:start="5"/>
          <w:cols w:space="720"/>
        </w:sectPr>
      </w:pPr>
    </w:p>
    <w:p w14:paraId="59F4754A" w14:textId="77777777" w:rsidR="00704B93" w:rsidRDefault="00704B93" w:rsidP="00704B93">
      <w:pPr>
        <w:pStyle w:val="BodyText"/>
      </w:pPr>
    </w:p>
    <w:p w14:paraId="1244856E" w14:textId="77777777" w:rsidR="00704B93" w:rsidRDefault="00704B93" w:rsidP="00704B93">
      <w:pPr>
        <w:pStyle w:val="BodyText"/>
      </w:pPr>
    </w:p>
    <w:p w14:paraId="69BF95DD" w14:textId="77777777" w:rsidR="00704B93" w:rsidRDefault="00704B93" w:rsidP="00704B93">
      <w:pPr>
        <w:pStyle w:val="BodyText"/>
      </w:pPr>
    </w:p>
    <w:p w14:paraId="75E5355F" w14:textId="77777777" w:rsidR="00704B93" w:rsidRDefault="00704B93" w:rsidP="00704B93">
      <w:pPr>
        <w:pStyle w:val="BodyText"/>
      </w:pPr>
    </w:p>
    <w:p w14:paraId="753D618A" w14:textId="77777777" w:rsidR="00704B93" w:rsidRDefault="00704B93" w:rsidP="00704B93">
      <w:pPr>
        <w:pStyle w:val="BodyText"/>
      </w:pPr>
    </w:p>
    <w:p w14:paraId="4ED3D7DA" w14:textId="77777777" w:rsidR="00704B93" w:rsidRDefault="00704B93" w:rsidP="00704B93">
      <w:pPr>
        <w:pStyle w:val="BodyText"/>
      </w:pPr>
    </w:p>
    <w:p w14:paraId="300CB59D" w14:textId="77777777" w:rsidR="00704B93" w:rsidRDefault="00704B93" w:rsidP="00704B93">
      <w:pPr>
        <w:pStyle w:val="BodyText"/>
      </w:pPr>
    </w:p>
    <w:p w14:paraId="72A025B1" w14:textId="77777777" w:rsidR="00704B93" w:rsidRDefault="00704B93" w:rsidP="00704B93">
      <w:pPr>
        <w:pStyle w:val="BodyText"/>
      </w:pPr>
    </w:p>
    <w:p w14:paraId="04D2F975" w14:textId="77777777" w:rsidR="00704B93" w:rsidRDefault="00704B93" w:rsidP="00704B93">
      <w:pPr>
        <w:pStyle w:val="BodyText"/>
      </w:pPr>
    </w:p>
    <w:p w14:paraId="2CB89E40" w14:textId="77777777" w:rsidR="00704B93" w:rsidRDefault="00704B93" w:rsidP="00704B93">
      <w:pPr>
        <w:pStyle w:val="BodyText"/>
      </w:pPr>
    </w:p>
    <w:p w14:paraId="419BBF30" w14:textId="77777777" w:rsidR="00704B93" w:rsidRDefault="00704B93" w:rsidP="00704B93">
      <w:pPr>
        <w:pStyle w:val="BodyText"/>
      </w:pPr>
    </w:p>
    <w:p w14:paraId="0F026849" w14:textId="77777777" w:rsidR="00704B93" w:rsidRDefault="00704B93" w:rsidP="00704B93">
      <w:pPr>
        <w:pStyle w:val="BodyText"/>
      </w:pPr>
    </w:p>
    <w:p w14:paraId="6A6775CF" w14:textId="77777777" w:rsidR="00704B93" w:rsidRDefault="00704B93" w:rsidP="00704B93">
      <w:pPr>
        <w:pStyle w:val="BodyText"/>
      </w:pPr>
    </w:p>
    <w:p w14:paraId="1E1F765F" w14:textId="77777777" w:rsidR="00704B93" w:rsidRDefault="00704B93" w:rsidP="00704B93">
      <w:pPr>
        <w:pStyle w:val="BodyText"/>
      </w:pPr>
    </w:p>
    <w:p w14:paraId="380CCAC4" w14:textId="77777777" w:rsidR="00704B93" w:rsidRDefault="00704B93" w:rsidP="00704B93">
      <w:pPr>
        <w:pStyle w:val="BodyText"/>
      </w:pPr>
    </w:p>
    <w:p w14:paraId="5DCB9A24" w14:textId="77777777" w:rsidR="00704B93" w:rsidRDefault="00704B93" w:rsidP="00704B93">
      <w:pPr>
        <w:pStyle w:val="BodyText"/>
      </w:pPr>
    </w:p>
    <w:p w14:paraId="66E54838" w14:textId="77777777" w:rsidR="00704B93" w:rsidRDefault="00704B93" w:rsidP="00704B93">
      <w:pPr>
        <w:pStyle w:val="BodyText"/>
        <w:spacing w:before="84"/>
      </w:pPr>
    </w:p>
    <w:p w14:paraId="051070D4" w14:textId="77777777" w:rsidR="00704B93" w:rsidRDefault="00704B93" w:rsidP="00704B93">
      <w:pPr>
        <w:ind w:left="1139"/>
        <w:rPr>
          <w:sz w:val="24"/>
        </w:rPr>
      </w:pPr>
      <w:r>
        <w:rPr>
          <w:noProof/>
          <w:sz w:val="24"/>
        </w:rPr>
        <w:drawing>
          <wp:anchor distT="0" distB="0" distL="0" distR="0" simplePos="0" relativeHeight="251659264" behindDoc="0" locked="0" layoutInCell="1" allowOverlap="1" wp14:anchorId="5379462F" wp14:editId="6E8654DC">
            <wp:simplePos x="0" y="0"/>
            <wp:positionH relativeFrom="page">
              <wp:posOffset>987425</wp:posOffset>
            </wp:positionH>
            <wp:positionV relativeFrom="paragraph">
              <wp:posOffset>-2984500</wp:posOffset>
            </wp:positionV>
            <wp:extent cx="5779135" cy="31305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stretch>
                      <a:fillRect/>
                    </a:stretch>
                  </pic:blipFill>
                  <pic:spPr>
                    <a:xfrm>
                      <a:off x="0" y="0"/>
                      <a:ext cx="5779008" cy="3130296"/>
                    </a:xfrm>
                    <a:prstGeom prst="rect">
                      <a:avLst/>
                    </a:prstGeom>
                  </pic:spPr>
                </pic:pic>
              </a:graphicData>
            </a:graphic>
          </wp:anchor>
        </w:drawing>
      </w:r>
      <w:r>
        <w:rPr>
          <w:spacing w:val="-10"/>
          <w:sz w:val="24"/>
        </w:rPr>
        <w:t>.</w:t>
      </w:r>
    </w:p>
    <w:p w14:paraId="62C51861" w14:textId="77777777" w:rsidR="00704B93" w:rsidRDefault="00704B93" w:rsidP="00704B93">
      <w:pPr>
        <w:pStyle w:val="BodyText"/>
        <w:spacing w:before="159"/>
      </w:pPr>
    </w:p>
    <w:p w14:paraId="3E453740" w14:textId="325F9674" w:rsidR="00704B93" w:rsidRDefault="00704B93" w:rsidP="00704B93">
      <w:pPr>
        <w:pStyle w:val="BodyText"/>
        <w:ind w:left="1080"/>
      </w:pPr>
      <w:r>
        <w:t>Figure</w:t>
      </w:r>
      <w:r>
        <w:rPr>
          <w:spacing w:val="-7"/>
        </w:rPr>
        <w:t xml:space="preserve"> </w:t>
      </w:r>
      <w:r w:rsidR="00D661EB">
        <w:t>1</w:t>
      </w:r>
      <w:r>
        <w:t>:</w:t>
      </w:r>
      <w:r>
        <w:rPr>
          <w:spacing w:val="-2"/>
        </w:rPr>
        <w:t xml:space="preserve"> </w:t>
      </w:r>
      <w:r>
        <w:t>Initial</w:t>
      </w:r>
      <w:r>
        <w:rPr>
          <w:spacing w:val="-8"/>
        </w:rPr>
        <w:t xml:space="preserve"> </w:t>
      </w:r>
      <w:r>
        <w:t>and</w:t>
      </w:r>
      <w:r>
        <w:rPr>
          <w:spacing w:val="-3"/>
        </w:rPr>
        <w:t xml:space="preserve"> </w:t>
      </w:r>
      <w:r>
        <w:t>Final</w:t>
      </w:r>
      <w:r>
        <w:rPr>
          <w:spacing w:val="-4"/>
        </w:rPr>
        <w:t xml:space="preserve"> </w:t>
      </w:r>
      <w:r>
        <w:t>Body</w:t>
      </w:r>
      <w:r>
        <w:rPr>
          <w:spacing w:val="-6"/>
        </w:rPr>
        <w:t xml:space="preserve"> </w:t>
      </w:r>
      <w:r>
        <w:t>Weights</w:t>
      </w:r>
      <w:r>
        <w:rPr>
          <w:spacing w:val="-6"/>
        </w:rPr>
        <w:t xml:space="preserve"> </w:t>
      </w:r>
      <w:r>
        <w:t>of</w:t>
      </w:r>
      <w:r>
        <w:rPr>
          <w:spacing w:val="-7"/>
        </w:rPr>
        <w:t xml:space="preserve"> </w:t>
      </w:r>
      <w:r>
        <w:t>Male</w:t>
      </w:r>
      <w:r>
        <w:rPr>
          <w:spacing w:val="-6"/>
        </w:rPr>
        <w:t xml:space="preserve"> </w:t>
      </w:r>
      <w:r>
        <w:t>and</w:t>
      </w:r>
      <w:r>
        <w:rPr>
          <w:spacing w:val="-6"/>
        </w:rPr>
        <w:t xml:space="preserve"> </w:t>
      </w:r>
      <w:r>
        <w:t>Female</w:t>
      </w:r>
      <w:r>
        <w:rPr>
          <w:spacing w:val="-8"/>
        </w:rPr>
        <w:t xml:space="preserve"> </w:t>
      </w:r>
      <w:r>
        <w:rPr>
          <w:spacing w:val="-2"/>
        </w:rPr>
        <w:t>Rats.</w:t>
      </w:r>
    </w:p>
    <w:p w14:paraId="00656F51" w14:textId="77777777" w:rsidR="00704B93" w:rsidRDefault="00704B93" w:rsidP="00704B93">
      <w:pPr>
        <w:pStyle w:val="BodyText"/>
        <w:spacing w:before="160"/>
      </w:pPr>
    </w:p>
    <w:p w14:paraId="4E6C1A77" w14:textId="77777777" w:rsidR="00704B93" w:rsidRDefault="00704B93" w:rsidP="00704B93">
      <w:pPr>
        <w:pStyle w:val="BodyText"/>
        <w:spacing w:before="1" w:line="480" w:lineRule="auto"/>
        <w:ind w:left="1080" w:right="1078"/>
      </w:pPr>
      <w:r>
        <w:t>IWM: Initial Weight of Males; FWM: Final Weight of Males; IWF: Initial Weight of Females;</w:t>
      </w:r>
      <w:r>
        <w:rPr>
          <w:spacing w:val="40"/>
        </w:rPr>
        <w:t xml:space="preserve"> </w:t>
      </w:r>
      <w:r>
        <w:t>FWF: Final Weight of Females.</w:t>
      </w:r>
    </w:p>
    <w:p w14:paraId="24402F3C" w14:textId="77777777" w:rsidR="00704B93" w:rsidRDefault="00704B93" w:rsidP="00704B93">
      <w:pPr>
        <w:pStyle w:val="BodyText"/>
        <w:spacing w:line="480" w:lineRule="auto"/>
        <w:ind w:left="1080" w:right="1078"/>
      </w:pPr>
      <w:r>
        <w:t>Data</w:t>
      </w:r>
      <w:r>
        <w:rPr>
          <w:spacing w:val="40"/>
        </w:rPr>
        <w:t xml:space="preserve"> </w:t>
      </w:r>
      <w:r>
        <w:t>are</w:t>
      </w:r>
      <w:r>
        <w:rPr>
          <w:spacing w:val="40"/>
        </w:rPr>
        <w:t xml:space="preserve"> </w:t>
      </w:r>
      <w:r>
        <w:t>presented</w:t>
      </w:r>
      <w:r>
        <w:rPr>
          <w:spacing w:val="40"/>
        </w:rPr>
        <w:t xml:space="preserve"> </w:t>
      </w:r>
      <w:r>
        <w:t>as</w:t>
      </w:r>
      <w:r>
        <w:rPr>
          <w:spacing w:val="40"/>
        </w:rPr>
        <w:t xml:space="preserve"> </w:t>
      </w:r>
      <w:r>
        <w:t>mean</w:t>
      </w:r>
      <w:r>
        <w:rPr>
          <w:spacing w:val="40"/>
        </w:rPr>
        <w:t xml:space="preserve"> </w:t>
      </w:r>
      <w:r>
        <w:t>±</w:t>
      </w:r>
      <w:r>
        <w:rPr>
          <w:spacing w:val="40"/>
        </w:rPr>
        <w:t xml:space="preserve"> </w:t>
      </w:r>
      <w:r>
        <w:t>SEM.</w:t>
      </w:r>
      <w:r>
        <w:rPr>
          <w:spacing w:val="40"/>
        </w:rPr>
        <w:t xml:space="preserve"> </w:t>
      </w:r>
      <w:r>
        <w:t>n=3,</w:t>
      </w:r>
      <w:r>
        <w:rPr>
          <w:spacing w:val="40"/>
        </w:rPr>
        <w:t xml:space="preserve"> </w:t>
      </w:r>
      <w:r>
        <w:rPr>
          <w:vertAlign w:val="superscript"/>
        </w:rPr>
        <w:t>*</w:t>
      </w:r>
      <w:r>
        <w:t>P</w:t>
      </w:r>
      <w:r>
        <w:rPr>
          <w:spacing w:val="40"/>
        </w:rPr>
        <w:t xml:space="preserve"> </w:t>
      </w:r>
      <w:r>
        <w:t>&lt;0.05</w:t>
      </w:r>
      <w:r>
        <w:rPr>
          <w:spacing w:val="40"/>
        </w:rPr>
        <w:t xml:space="preserve"> </w:t>
      </w:r>
      <w:r>
        <w:t>Compared</w:t>
      </w:r>
      <w:r>
        <w:rPr>
          <w:spacing w:val="40"/>
        </w:rPr>
        <w:t xml:space="preserve"> </w:t>
      </w:r>
      <w:r>
        <w:t>with</w:t>
      </w:r>
      <w:r>
        <w:rPr>
          <w:spacing w:val="40"/>
        </w:rPr>
        <w:t xml:space="preserve"> </w:t>
      </w:r>
      <w:r>
        <w:t>corresponding</w:t>
      </w:r>
      <w:r>
        <w:rPr>
          <w:spacing w:val="40"/>
        </w:rPr>
        <w:t xml:space="preserve"> </w:t>
      </w:r>
      <w:r>
        <w:t xml:space="preserve">Negative </w:t>
      </w:r>
      <w:r>
        <w:rPr>
          <w:spacing w:val="-2"/>
        </w:rPr>
        <w:t>Control.</w:t>
      </w:r>
    </w:p>
    <w:p w14:paraId="4D60D727" w14:textId="77777777" w:rsidR="00704B93" w:rsidRDefault="00704B93" w:rsidP="00704B93">
      <w:pPr>
        <w:pStyle w:val="BodyText"/>
        <w:spacing w:line="480" w:lineRule="auto"/>
        <w:sectPr w:rsidR="00704B93" w:rsidSect="00704B93">
          <w:pgSz w:w="12240" w:h="15840"/>
          <w:pgMar w:top="1340" w:right="360" w:bottom="280" w:left="360" w:header="752" w:footer="0" w:gutter="0"/>
          <w:cols w:space="720"/>
        </w:sectPr>
      </w:pPr>
    </w:p>
    <w:p w14:paraId="172AE284" w14:textId="77777777" w:rsidR="00704B93" w:rsidRDefault="00704B93" w:rsidP="00704B93">
      <w:pPr>
        <w:pStyle w:val="Heading2"/>
        <w:numPr>
          <w:ilvl w:val="2"/>
          <w:numId w:val="13"/>
        </w:numPr>
        <w:tabs>
          <w:tab w:val="left" w:pos="1618"/>
        </w:tabs>
        <w:spacing w:before="79"/>
        <w:ind w:hanging="538"/>
      </w:pPr>
      <w:r>
        <w:lastRenderedPageBreak/>
        <w:t>Glucose</w:t>
      </w:r>
      <w:r>
        <w:rPr>
          <w:spacing w:val="-6"/>
        </w:rPr>
        <w:t xml:space="preserve"> </w:t>
      </w:r>
      <w:r>
        <w:t>level</w:t>
      </w:r>
      <w:r>
        <w:rPr>
          <w:spacing w:val="-6"/>
        </w:rPr>
        <w:t xml:space="preserve"> </w:t>
      </w:r>
      <w:r>
        <w:t>of</w:t>
      </w:r>
      <w:r>
        <w:rPr>
          <w:spacing w:val="-7"/>
        </w:rPr>
        <w:t xml:space="preserve"> </w:t>
      </w:r>
      <w:r>
        <w:rPr>
          <w:spacing w:val="-2"/>
        </w:rPr>
        <w:t>animals</w:t>
      </w:r>
    </w:p>
    <w:p w14:paraId="63409248" w14:textId="77777777" w:rsidR="00704B93" w:rsidRDefault="00704B93" w:rsidP="00704B93">
      <w:pPr>
        <w:pStyle w:val="BodyText"/>
        <w:rPr>
          <w:b/>
        </w:rPr>
      </w:pPr>
    </w:p>
    <w:p w14:paraId="3F38B411" w14:textId="26CD9609" w:rsidR="00704B93" w:rsidRDefault="00704B93" w:rsidP="00704B93">
      <w:pPr>
        <w:pStyle w:val="BodyText"/>
        <w:spacing w:line="480" w:lineRule="auto"/>
        <w:ind w:left="1080" w:right="1089"/>
        <w:jc w:val="both"/>
      </w:pPr>
      <w:r>
        <w:t xml:space="preserve">The results revealed that initial levels of glucose in male and female rats were higher than their final levels except for Normal Control and Negative Control Groups. For the Normal Control Group, there was no difference between initial and final levels of glucose in animals. While the final glucose level in Negative control increased compared to the initial glucose level for both sexes. Treated groups exhibited a significant decrease of glucose level compared with corresponding Negative Control Group in males and females. The decrease of glucose level in females was more relevant than the one in males (Figure </w:t>
      </w:r>
      <w:r w:rsidR="008D19DF">
        <w:t>2</w:t>
      </w:r>
      <w:r>
        <w:t>).</w:t>
      </w:r>
    </w:p>
    <w:p w14:paraId="7D60B6D4" w14:textId="77777777" w:rsidR="00704B93" w:rsidRDefault="00704B93" w:rsidP="00704B93">
      <w:pPr>
        <w:pStyle w:val="BodyText"/>
        <w:spacing w:line="480" w:lineRule="auto"/>
        <w:jc w:val="both"/>
        <w:sectPr w:rsidR="00704B93" w:rsidSect="00704B93">
          <w:pgSz w:w="12240" w:h="15840"/>
          <w:pgMar w:top="1340" w:right="360" w:bottom="280" w:left="360" w:header="752" w:footer="0" w:gutter="0"/>
          <w:cols w:space="720"/>
        </w:sectPr>
      </w:pPr>
    </w:p>
    <w:p w14:paraId="0252EE3D" w14:textId="77777777" w:rsidR="00704B93" w:rsidRDefault="00704B93" w:rsidP="00704B93">
      <w:pPr>
        <w:pStyle w:val="BodyText"/>
        <w:spacing w:before="152"/>
        <w:rPr>
          <w:sz w:val="20"/>
        </w:rPr>
      </w:pPr>
    </w:p>
    <w:p w14:paraId="428A3A28" w14:textId="77777777" w:rsidR="00704B93" w:rsidRDefault="00704B93" w:rsidP="00704B93">
      <w:pPr>
        <w:pStyle w:val="BodyText"/>
        <w:ind w:left="1344"/>
        <w:rPr>
          <w:sz w:val="20"/>
        </w:rPr>
      </w:pPr>
      <w:r>
        <w:rPr>
          <w:noProof/>
          <w:sz w:val="20"/>
        </w:rPr>
        <w:drawing>
          <wp:inline distT="0" distB="0" distL="0" distR="0" wp14:anchorId="32726951" wp14:editId="6A3F29C1">
            <wp:extent cx="5095875" cy="2560320"/>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5096256" cy="2560320"/>
                    </a:xfrm>
                    <a:prstGeom prst="rect">
                      <a:avLst/>
                    </a:prstGeom>
                  </pic:spPr>
                </pic:pic>
              </a:graphicData>
            </a:graphic>
          </wp:inline>
        </w:drawing>
      </w:r>
    </w:p>
    <w:p w14:paraId="4BE5D983" w14:textId="77777777" w:rsidR="00704B93" w:rsidRDefault="00704B93" w:rsidP="00704B93">
      <w:pPr>
        <w:pStyle w:val="BodyText"/>
      </w:pPr>
    </w:p>
    <w:p w14:paraId="4BD66449" w14:textId="77777777" w:rsidR="00704B93" w:rsidRDefault="00704B93" w:rsidP="00704B93">
      <w:pPr>
        <w:pStyle w:val="BodyText"/>
        <w:spacing w:before="169"/>
      </w:pPr>
    </w:p>
    <w:p w14:paraId="7AD21B5C" w14:textId="7625D89E" w:rsidR="00704B93" w:rsidRDefault="00704B93" w:rsidP="00704B93">
      <w:pPr>
        <w:pStyle w:val="BodyText"/>
        <w:ind w:left="1139"/>
      </w:pPr>
      <w:r>
        <w:t>Figure</w:t>
      </w:r>
      <w:r>
        <w:rPr>
          <w:spacing w:val="-6"/>
        </w:rPr>
        <w:t xml:space="preserve"> </w:t>
      </w:r>
      <w:r w:rsidR="00D661EB">
        <w:t>2</w:t>
      </w:r>
      <w:r>
        <w:t>:</w:t>
      </w:r>
      <w:r>
        <w:rPr>
          <w:spacing w:val="-3"/>
        </w:rPr>
        <w:t xml:space="preserve"> </w:t>
      </w:r>
      <w:r>
        <w:t>Initial</w:t>
      </w:r>
      <w:r>
        <w:rPr>
          <w:spacing w:val="-6"/>
        </w:rPr>
        <w:t xml:space="preserve"> </w:t>
      </w:r>
      <w:r>
        <w:t>and</w:t>
      </w:r>
      <w:r>
        <w:rPr>
          <w:spacing w:val="-4"/>
        </w:rPr>
        <w:t xml:space="preserve"> </w:t>
      </w:r>
      <w:r>
        <w:t>Final</w:t>
      </w:r>
      <w:r>
        <w:rPr>
          <w:spacing w:val="-6"/>
        </w:rPr>
        <w:t xml:space="preserve"> </w:t>
      </w:r>
      <w:r>
        <w:t>Glucose</w:t>
      </w:r>
      <w:r>
        <w:rPr>
          <w:spacing w:val="-7"/>
        </w:rPr>
        <w:t xml:space="preserve"> </w:t>
      </w:r>
      <w:r>
        <w:t>of</w:t>
      </w:r>
      <w:r>
        <w:rPr>
          <w:spacing w:val="-8"/>
        </w:rPr>
        <w:t xml:space="preserve"> </w:t>
      </w:r>
      <w:r>
        <w:t>Male</w:t>
      </w:r>
      <w:r>
        <w:rPr>
          <w:spacing w:val="-6"/>
        </w:rPr>
        <w:t xml:space="preserve"> </w:t>
      </w:r>
      <w:r>
        <w:t>and</w:t>
      </w:r>
      <w:r>
        <w:rPr>
          <w:spacing w:val="-1"/>
        </w:rPr>
        <w:t xml:space="preserve"> </w:t>
      </w:r>
      <w:r>
        <w:t>Female</w:t>
      </w:r>
      <w:r>
        <w:rPr>
          <w:spacing w:val="-8"/>
        </w:rPr>
        <w:t xml:space="preserve"> </w:t>
      </w:r>
      <w:r>
        <w:rPr>
          <w:spacing w:val="-2"/>
        </w:rPr>
        <w:t>Rats.</w:t>
      </w:r>
    </w:p>
    <w:p w14:paraId="69708644" w14:textId="77777777" w:rsidR="00704B93" w:rsidRDefault="00704B93" w:rsidP="00704B93">
      <w:pPr>
        <w:pStyle w:val="BodyText"/>
        <w:spacing w:before="159"/>
      </w:pPr>
    </w:p>
    <w:p w14:paraId="1CDBC3A2" w14:textId="77777777" w:rsidR="00704B93" w:rsidRDefault="00704B93" w:rsidP="00704B93">
      <w:pPr>
        <w:pStyle w:val="BodyText"/>
        <w:spacing w:line="480" w:lineRule="auto"/>
        <w:ind w:left="1080" w:right="1078"/>
      </w:pPr>
      <w:proofErr w:type="spellStart"/>
      <w:r>
        <w:t>IGluM</w:t>
      </w:r>
      <w:proofErr w:type="spellEnd"/>
      <w:r>
        <w:t>:</w:t>
      </w:r>
      <w:r>
        <w:rPr>
          <w:spacing w:val="39"/>
        </w:rPr>
        <w:t xml:space="preserve"> </w:t>
      </w:r>
      <w:r>
        <w:t>Initial</w:t>
      </w:r>
      <w:r>
        <w:rPr>
          <w:spacing w:val="34"/>
        </w:rPr>
        <w:t xml:space="preserve"> </w:t>
      </w:r>
      <w:r>
        <w:t>Glucose</w:t>
      </w:r>
      <w:r>
        <w:rPr>
          <w:spacing w:val="40"/>
        </w:rPr>
        <w:t xml:space="preserve"> </w:t>
      </w:r>
      <w:r>
        <w:t>of</w:t>
      </w:r>
      <w:r>
        <w:rPr>
          <w:spacing w:val="34"/>
        </w:rPr>
        <w:t xml:space="preserve"> </w:t>
      </w:r>
      <w:r>
        <w:t>Males;</w:t>
      </w:r>
      <w:r>
        <w:rPr>
          <w:spacing w:val="39"/>
        </w:rPr>
        <w:t xml:space="preserve"> </w:t>
      </w:r>
      <w:proofErr w:type="spellStart"/>
      <w:r>
        <w:t>FGluM</w:t>
      </w:r>
      <w:proofErr w:type="spellEnd"/>
      <w:r>
        <w:t>:</w:t>
      </w:r>
      <w:r>
        <w:rPr>
          <w:spacing w:val="39"/>
        </w:rPr>
        <w:t xml:space="preserve"> </w:t>
      </w:r>
      <w:r>
        <w:t>Final</w:t>
      </w:r>
      <w:r>
        <w:rPr>
          <w:spacing w:val="34"/>
        </w:rPr>
        <w:t xml:space="preserve"> </w:t>
      </w:r>
      <w:r>
        <w:t>Glucose</w:t>
      </w:r>
      <w:r>
        <w:rPr>
          <w:spacing w:val="36"/>
        </w:rPr>
        <w:t xml:space="preserve"> </w:t>
      </w:r>
      <w:r>
        <w:t>of</w:t>
      </w:r>
      <w:r>
        <w:rPr>
          <w:spacing w:val="36"/>
        </w:rPr>
        <w:t xml:space="preserve"> </w:t>
      </w:r>
      <w:r>
        <w:t>Males;</w:t>
      </w:r>
      <w:r>
        <w:rPr>
          <w:spacing w:val="39"/>
        </w:rPr>
        <w:t xml:space="preserve"> </w:t>
      </w:r>
      <w:proofErr w:type="spellStart"/>
      <w:r>
        <w:t>IGluF</w:t>
      </w:r>
      <w:proofErr w:type="spellEnd"/>
      <w:r>
        <w:t>:</w:t>
      </w:r>
      <w:r>
        <w:rPr>
          <w:spacing w:val="39"/>
        </w:rPr>
        <w:t xml:space="preserve"> </w:t>
      </w:r>
      <w:r>
        <w:t>Initial</w:t>
      </w:r>
      <w:r>
        <w:rPr>
          <w:spacing w:val="37"/>
        </w:rPr>
        <w:t xml:space="preserve"> </w:t>
      </w:r>
      <w:r>
        <w:t>Glucose</w:t>
      </w:r>
      <w:r>
        <w:rPr>
          <w:spacing w:val="36"/>
        </w:rPr>
        <w:t xml:space="preserve"> </w:t>
      </w:r>
      <w:r>
        <w:t xml:space="preserve">of Females; </w:t>
      </w:r>
      <w:proofErr w:type="spellStart"/>
      <w:r>
        <w:t>FGluF</w:t>
      </w:r>
      <w:proofErr w:type="spellEnd"/>
      <w:r>
        <w:t>: Final Glucose of Females.</w:t>
      </w:r>
    </w:p>
    <w:p w14:paraId="35ECEB07" w14:textId="77777777" w:rsidR="00704B93" w:rsidRDefault="00704B93" w:rsidP="00704B93">
      <w:pPr>
        <w:pStyle w:val="BodyText"/>
        <w:spacing w:line="480" w:lineRule="auto"/>
        <w:ind w:left="1080"/>
      </w:pPr>
      <w:r>
        <w:t>Data</w:t>
      </w:r>
      <w:r>
        <w:rPr>
          <w:spacing w:val="17"/>
        </w:rPr>
        <w:t xml:space="preserve"> </w:t>
      </w:r>
      <w:r>
        <w:t>are presented</w:t>
      </w:r>
      <w:r>
        <w:rPr>
          <w:spacing w:val="18"/>
        </w:rPr>
        <w:t xml:space="preserve"> </w:t>
      </w:r>
      <w:r>
        <w:t>as mean ±</w:t>
      </w:r>
      <w:r>
        <w:rPr>
          <w:spacing w:val="18"/>
        </w:rPr>
        <w:t xml:space="preserve"> </w:t>
      </w:r>
      <w:r>
        <w:t>SEM. n=3,</w:t>
      </w:r>
      <w:r>
        <w:rPr>
          <w:spacing w:val="20"/>
        </w:rPr>
        <w:t xml:space="preserve"> </w:t>
      </w:r>
      <w:proofErr w:type="spellStart"/>
      <w:r>
        <w:rPr>
          <w:vertAlign w:val="superscript"/>
        </w:rPr>
        <w:t>a</w:t>
      </w:r>
      <w:r>
        <w:t>P</w:t>
      </w:r>
      <w:proofErr w:type="spellEnd"/>
      <w:r>
        <w:t xml:space="preserve"> &lt;0.01,</w:t>
      </w:r>
      <w:r>
        <w:rPr>
          <w:spacing w:val="75"/>
        </w:rPr>
        <w:t xml:space="preserve"> </w:t>
      </w:r>
      <w:proofErr w:type="spellStart"/>
      <w:r>
        <w:rPr>
          <w:vertAlign w:val="superscript"/>
        </w:rPr>
        <w:t>b</w:t>
      </w:r>
      <w:r>
        <w:t>P</w:t>
      </w:r>
      <w:proofErr w:type="spellEnd"/>
      <w:r>
        <w:t xml:space="preserve"> &lt;0.001 and</w:t>
      </w:r>
      <w:r>
        <w:rPr>
          <w:spacing w:val="40"/>
        </w:rPr>
        <w:t xml:space="preserve"> </w:t>
      </w:r>
      <w:proofErr w:type="spellStart"/>
      <w:r>
        <w:rPr>
          <w:vertAlign w:val="superscript"/>
        </w:rPr>
        <w:t>c</w:t>
      </w:r>
      <w:r>
        <w:t>P</w:t>
      </w:r>
      <w:proofErr w:type="spellEnd"/>
      <w:r>
        <w:t xml:space="preserve"> &lt;0.0001 Compared with corresponding Negative Control.</w:t>
      </w:r>
    </w:p>
    <w:p w14:paraId="5D0148D4" w14:textId="77777777" w:rsidR="00704B93" w:rsidRDefault="00704B93" w:rsidP="00704B93">
      <w:pPr>
        <w:pStyle w:val="BodyText"/>
        <w:spacing w:line="480" w:lineRule="auto"/>
        <w:sectPr w:rsidR="00704B93" w:rsidSect="00704B93">
          <w:pgSz w:w="12240" w:h="15840"/>
          <w:pgMar w:top="1340" w:right="360" w:bottom="280" w:left="360" w:header="752" w:footer="0" w:gutter="0"/>
          <w:cols w:space="720"/>
        </w:sectPr>
      </w:pPr>
    </w:p>
    <w:p w14:paraId="1553CC54" w14:textId="77777777" w:rsidR="00704B93" w:rsidRDefault="00704B93" w:rsidP="00704B93">
      <w:pPr>
        <w:pStyle w:val="Heading2"/>
        <w:numPr>
          <w:ilvl w:val="2"/>
          <w:numId w:val="13"/>
        </w:numPr>
        <w:tabs>
          <w:tab w:val="left" w:pos="1618"/>
        </w:tabs>
        <w:spacing w:before="79"/>
        <w:ind w:hanging="538"/>
      </w:pPr>
      <w:r>
        <w:lastRenderedPageBreak/>
        <w:t>Hormonal</w:t>
      </w:r>
      <w:r>
        <w:rPr>
          <w:spacing w:val="-6"/>
        </w:rPr>
        <w:t xml:space="preserve"> </w:t>
      </w:r>
      <w:r>
        <w:t>assays</w:t>
      </w:r>
      <w:r>
        <w:rPr>
          <w:spacing w:val="-8"/>
        </w:rPr>
        <w:t xml:space="preserve"> </w:t>
      </w:r>
      <w:r>
        <w:t>from</w:t>
      </w:r>
      <w:r>
        <w:rPr>
          <w:spacing w:val="-6"/>
        </w:rPr>
        <w:t xml:space="preserve"> </w:t>
      </w:r>
      <w:r>
        <w:t>male</w:t>
      </w:r>
      <w:r>
        <w:rPr>
          <w:spacing w:val="-8"/>
        </w:rPr>
        <w:t xml:space="preserve"> </w:t>
      </w:r>
      <w:r>
        <w:rPr>
          <w:spacing w:val="-4"/>
        </w:rPr>
        <w:t>rats</w:t>
      </w:r>
    </w:p>
    <w:p w14:paraId="4AD267CA" w14:textId="77777777" w:rsidR="00704B93" w:rsidRDefault="00704B93" w:rsidP="00704B93">
      <w:pPr>
        <w:pStyle w:val="BodyText"/>
        <w:rPr>
          <w:b/>
        </w:rPr>
      </w:pPr>
    </w:p>
    <w:p w14:paraId="04E48FD8" w14:textId="77777777" w:rsidR="00704B93" w:rsidRDefault="00704B93" w:rsidP="00704B93">
      <w:pPr>
        <w:pStyle w:val="BodyText"/>
        <w:spacing w:line="480" w:lineRule="auto"/>
        <w:ind w:left="1080" w:right="1088"/>
        <w:jc w:val="both"/>
      </w:pPr>
      <w:r>
        <w:t>Generally,</w:t>
      </w:r>
      <w:r>
        <w:rPr>
          <w:spacing w:val="-2"/>
        </w:rPr>
        <w:t xml:space="preserve"> </w:t>
      </w:r>
      <w:r>
        <w:t>table</w:t>
      </w:r>
      <w:r>
        <w:rPr>
          <w:spacing w:val="-5"/>
        </w:rPr>
        <w:t xml:space="preserve"> </w:t>
      </w:r>
      <w:r>
        <w:t>6</w:t>
      </w:r>
      <w:r>
        <w:rPr>
          <w:spacing w:val="-2"/>
        </w:rPr>
        <w:t xml:space="preserve"> </w:t>
      </w:r>
      <w:r>
        <w:t>showed that</w:t>
      </w:r>
      <w:r>
        <w:rPr>
          <w:spacing w:val="-2"/>
        </w:rPr>
        <w:t xml:space="preserve"> </w:t>
      </w:r>
      <w:r>
        <w:t>levels</w:t>
      </w:r>
      <w:r>
        <w:rPr>
          <w:spacing w:val="-2"/>
        </w:rPr>
        <w:t xml:space="preserve"> </w:t>
      </w:r>
      <w:r>
        <w:t>of</w:t>
      </w:r>
      <w:r>
        <w:rPr>
          <w:spacing w:val="-2"/>
        </w:rPr>
        <w:t xml:space="preserve"> </w:t>
      </w:r>
      <w:r>
        <w:t>hormones</w:t>
      </w:r>
      <w:r>
        <w:rPr>
          <w:spacing w:val="-4"/>
        </w:rPr>
        <w:t xml:space="preserve"> </w:t>
      </w:r>
      <w:r>
        <w:t>increased</w:t>
      </w:r>
      <w:r>
        <w:rPr>
          <w:spacing w:val="-5"/>
        </w:rPr>
        <w:t xml:space="preserve"> </w:t>
      </w:r>
      <w:r>
        <w:t>in normal</w:t>
      </w:r>
      <w:r>
        <w:rPr>
          <w:spacing w:val="-4"/>
        </w:rPr>
        <w:t xml:space="preserve"> </w:t>
      </w:r>
      <w:r>
        <w:t>control</w:t>
      </w:r>
      <w:r>
        <w:rPr>
          <w:spacing w:val="-2"/>
        </w:rPr>
        <w:t xml:space="preserve"> </w:t>
      </w:r>
      <w:r>
        <w:t>and</w:t>
      </w:r>
      <w:r>
        <w:rPr>
          <w:spacing w:val="-2"/>
        </w:rPr>
        <w:t xml:space="preserve"> </w:t>
      </w:r>
      <w:r>
        <w:t>treated</w:t>
      </w:r>
      <w:r>
        <w:rPr>
          <w:spacing w:val="-2"/>
        </w:rPr>
        <w:t xml:space="preserve"> </w:t>
      </w:r>
      <w:r>
        <w:t>groups compared with the corresponding Negative Control Group. However, groups treated with plant extracts (PE1 and PE2) did not increase significantly the level of testosterone at 14, 21 and 28 days. While all the treated groups (PE1, PE2, Metformin and Clomid) showed a significant increase of progesterone level at 14, 21 and 28 days.</w:t>
      </w:r>
    </w:p>
    <w:p w14:paraId="4F6F14AE" w14:textId="77777777" w:rsidR="00704B93" w:rsidRDefault="00704B93" w:rsidP="00704B93">
      <w:pPr>
        <w:pStyle w:val="BodyText"/>
        <w:spacing w:line="480" w:lineRule="auto"/>
        <w:jc w:val="both"/>
        <w:sectPr w:rsidR="00704B93" w:rsidSect="00704B93">
          <w:pgSz w:w="12240" w:h="15840"/>
          <w:pgMar w:top="1340" w:right="360" w:bottom="280" w:left="360" w:header="752" w:footer="0" w:gutter="0"/>
          <w:cols w:space="720"/>
        </w:sectPr>
      </w:pPr>
    </w:p>
    <w:p w14:paraId="73792E6D" w14:textId="25C71109" w:rsidR="00704B93" w:rsidRDefault="00704B93" w:rsidP="00704B93">
      <w:pPr>
        <w:pStyle w:val="BodyText"/>
        <w:spacing w:before="79"/>
        <w:ind w:left="1080"/>
      </w:pPr>
      <w:r>
        <w:rPr>
          <w:b/>
        </w:rPr>
        <w:lastRenderedPageBreak/>
        <w:t>Table</w:t>
      </w:r>
      <w:r>
        <w:rPr>
          <w:b/>
          <w:spacing w:val="-8"/>
        </w:rPr>
        <w:t xml:space="preserve"> </w:t>
      </w:r>
      <w:r>
        <w:rPr>
          <w:b/>
        </w:rPr>
        <w:t>4:</w:t>
      </w:r>
      <w:r>
        <w:rPr>
          <w:b/>
          <w:spacing w:val="-4"/>
        </w:rPr>
        <w:t xml:space="preserve"> </w:t>
      </w:r>
      <w:r>
        <w:t>Level</w:t>
      </w:r>
      <w:r>
        <w:rPr>
          <w:spacing w:val="-7"/>
        </w:rPr>
        <w:t xml:space="preserve"> </w:t>
      </w:r>
      <w:r>
        <w:t>of</w:t>
      </w:r>
      <w:r>
        <w:rPr>
          <w:spacing w:val="-5"/>
        </w:rPr>
        <w:t xml:space="preserve"> </w:t>
      </w:r>
      <w:r>
        <w:t>Hormones</w:t>
      </w:r>
      <w:r>
        <w:rPr>
          <w:spacing w:val="-8"/>
        </w:rPr>
        <w:t xml:space="preserve"> </w:t>
      </w:r>
      <w:r>
        <w:t>in</w:t>
      </w:r>
      <w:r>
        <w:rPr>
          <w:spacing w:val="-3"/>
        </w:rPr>
        <w:t xml:space="preserve"> </w:t>
      </w:r>
      <w:r>
        <w:t>Males</w:t>
      </w:r>
      <w:r>
        <w:rPr>
          <w:spacing w:val="-6"/>
        </w:rPr>
        <w:t xml:space="preserve"> </w:t>
      </w:r>
      <w:r>
        <w:t>According</w:t>
      </w:r>
      <w:r>
        <w:rPr>
          <w:spacing w:val="-5"/>
        </w:rPr>
        <w:t xml:space="preserve"> </w:t>
      </w:r>
      <w:r>
        <w:t>to</w:t>
      </w:r>
      <w:r>
        <w:rPr>
          <w:spacing w:val="-6"/>
        </w:rPr>
        <w:t xml:space="preserve"> </w:t>
      </w:r>
      <w:r>
        <w:t>the</w:t>
      </w:r>
      <w:r>
        <w:rPr>
          <w:spacing w:val="-6"/>
        </w:rPr>
        <w:t xml:space="preserve"> </w:t>
      </w:r>
      <w:r>
        <w:t>Period</w:t>
      </w:r>
      <w:r>
        <w:rPr>
          <w:spacing w:val="-6"/>
        </w:rPr>
        <w:t xml:space="preserve"> </w:t>
      </w:r>
      <w:r>
        <w:t>and</w:t>
      </w:r>
      <w:r>
        <w:rPr>
          <w:spacing w:val="-3"/>
        </w:rPr>
        <w:t xml:space="preserve"> </w:t>
      </w:r>
      <w:r>
        <w:t>the</w:t>
      </w:r>
      <w:r>
        <w:rPr>
          <w:spacing w:val="-7"/>
        </w:rPr>
        <w:t xml:space="preserve"> </w:t>
      </w:r>
      <w:r>
        <w:rPr>
          <w:spacing w:val="-2"/>
        </w:rPr>
        <w:t>Treatment</w:t>
      </w:r>
    </w:p>
    <w:p w14:paraId="0AF6F5ED" w14:textId="77777777" w:rsidR="00704B93" w:rsidRDefault="00704B93" w:rsidP="00704B93">
      <w:pPr>
        <w:pStyle w:val="BodyText"/>
        <w:spacing w:before="212" w:after="1"/>
        <w:rPr>
          <w:sz w:val="20"/>
        </w:rPr>
      </w:pPr>
    </w:p>
    <w:tbl>
      <w:tblPr>
        <w:tblW w:w="5000" w:type="pct"/>
        <w:tblCellMar>
          <w:left w:w="0" w:type="dxa"/>
          <w:right w:w="0" w:type="dxa"/>
        </w:tblCellMar>
        <w:tblLook w:val="04A0" w:firstRow="1" w:lastRow="0" w:firstColumn="1" w:lastColumn="0" w:noHBand="0" w:noVBand="1"/>
      </w:tblPr>
      <w:tblGrid>
        <w:gridCol w:w="978"/>
        <w:gridCol w:w="1428"/>
        <w:gridCol w:w="1970"/>
        <w:gridCol w:w="1548"/>
        <w:gridCol w:w="1472"/>
        <w:gridCol w:w="1463"/>
        <w:gridCol w:w="2661"/>
      </w:tblGrid>
      <w:tr w:rsidR="00704B93" w14:paraId="33C2780D" w14:textId="77777777" w:rsidTr="00D661EB">
        <w:trPr>
          <w:trHeight w:val="274"/>
        </w:trPr>
        <w:tc>
          <w:tcPr>
            <w:tcW w:w="424" w:type="pct"/>
            <w:tcBorders>
              <w:top w:val="single" w:sz="4" w:space="0" w:color="000000"/>
            </w:tcBorders>
          </w:tcPr>
          <w:p w14:paraId="3F452EFC" w14:textId="77777777" w:rsidR="00704B93" w:rsidRDefault="00704B93" w:rsidP="00912F9D">
            <w:pPr>
              <w:pStyle w:val="TableParagraph"/>
              <w:spacing w:line="255" w:lineRule="exact"/>
              <w:ind w:left="107"/>
              <w:rPr>
                <w:b/>
                <w:sz w:val="24"/>
              </w:rPr>
            </w:pPr>
            <w:r>
              <w:rPr>
                <w:b/>
                <w:spacing w:val="-2"/>
                <w:sz w:val="24"/>
              </w:rPr>
              <w:t>Period</w:t>
            </w:r>
          </w:p>
        </w:tc>
        <w:tc>
          <w:tcPr>
            <w:tcW w:w="620" w:type="pct"/>
            <w:tcBorders>
              <w:top w:val="single" w:sz="4" w:space="0" w:color="000000"/>
            </w:tcBorders>
          </w:tcPr>
          <w:p w14:paraId="5C2841A0" w14:textId="77777777" w:rsidR="00704B93" w:rsidRDefault="00704B93" w:rsidP="00912F9D">
            <w:pPr>
              <w:pStyle w:val="TableParagraph"/>
              <w:spacing w:line="255" w:lineRule="exact"/>
              <w:ind w:left="149"/>
              <w:rPr>
                <w:b/>
                <w:sz w:val="24"/>
              </w:rPr>
            </w:pPr>
            <w:r>
              <w:rPr>
                <w:b/>
                <w:spacing w:val="-2"/>
                <w:sz w:val="24"/>
              </w:rPr>
              <w:t>Experiment</w:t>
            </w:r>
          </w:p>
        </w:tc>
        <w:tc>
          <w:tcPr>
            <w:tcW w:w="855" w:type="pct"/>
            <w:tcBorders>
              <w:top w:val="single" w:sz="4" w:space="0" w:color="000000"/>
            </w:tcBorders>
          </w:tcPr>
          <w:p w14:paraId="0F6A8D4A" w14:textId="77777777" w:rsidR="00704B93" w:rsidRDefault="00704B93" w:rsidP="00912F9D">
            <w:pPr>
              <w:pStyle w:val="TableParagraph"/>
              <w:spacing w:line="255" w:lineRule="exact"/>
              <w:ind w:left="496"/>
              <w:rPr>
                <w:b/>
                <w:sz w:val="24"/>
              </w:rPr>
            </w:pPr>
            <w:r>
              <w:rPr>
                <w:b/>
                <w:spacing w:val="-5"/>
                <w:sz w:val="24"/>
              </w:rPr>
              <w:t>LH</w:t>
            </w:r>
          </w:p>
        </w:tc>
        <w:tc>
          <w:tcPr>
            <w:tcW w:w="672" w:type="pct"/>
            <w:tcBorders>
              <w:top w:val="single" w:sz="4" w:space="0" w:color="000000"/>
            </w:tcBorders>
          </w:tcPr>
          <w:p w14:paraId="05BB1485" w14:textId="77777777" w:rsidR="00704B93" w:rsidRDefault="00704B93" w:rsidP="00912F9D">
            <w:pPr>
              <w:pStyle w:val="TableParagraph"/>
              <w:spacing w:line="255" w:lineRule="exact"/>
              <w:ind w:left="194"/>
              <w:rPr>
                <w:b/>
                <w:sz w:val="24"/>
              </w:rPr>
            </w:pPr>
            <w:r>
              <w:rPr>
                <w:b/>
                <w:spacing w:val="-5"/>
                <w:sz w:val="24"/>
              </w:rPr>
              <w:t>FSH</w:t>
            </w:r>
          </w:p>
        </w:tc>
        <w:tc>
          <w:tcPr>
            <w:tcW w:w="639" w:type="pct"/>
            <w:tcBorders>
              <w:top w:val="single" w:sz="4" w:space="0" w:color="000000"/>
            </w:tcBorders>
          </w:tcPr>
          <w:p w14:paraId="750EF47A" w14:textId="77777777" w:rsidR="00704B93" w:rsidRDefault="00704B93" w:rsidP="00912F9D">
            <w:pPr>
              <w:pStyle w:val="TableParagraph"/>
              <w:spacing w:line="255" w:lineRule="exact"/>
              <w:ind w:left="122"/>
              <w:rPr>
                <w:b/>
                <w:sz w:val="24"/>
              </w:rPr>
            </w:pPr>
            <w:r>
              <w:rPr>
                <w:b/>
                <w:spacing w:val="-2"/>
                <w:sz w:val="24"/>
              </w:rPr>
              <w:t>Estradiol</w:t>
            </w:r>
          </w:p>
        </w:tc>
        <w:tc>
          <w:tcPr>
            <w:tcW w:w="635" w:type="pct"/>
            <w:tcBorders>
              <w:top w:val="single" w:sz="4" w:space="0" w:color="000000"/>
            </w:tcBorders>
          </w:tcPr>
          <w:p w14:paraId="59C5D512" w14:textId="77777777" w:rsidR="00704B93" w:rsidRDefault="00704B93" w:rsidP="00912F9D">
            <w:pPr>
              <w:pStyle w:val="TableParagraph"/>
              <w:spacing w:line="255" w:lineRule="exact"/>
              <w:ind w:left="123" w:right="-29"/>
              <w:rPr>
                <w:b/>
                <w:sz w:val="24"/>
              </w:rPr>
            </w:pPr>
            <w:r>
              <w:rPr>
                <w:b/>
                <w:spacing w:val="-2"/>
                <w:sz w:val="24"/>
              </w:rPr>
              <w:t>Testosterone</w:t>
            </w:r>
          </w:p>
        </w:tc>
        <w:tc>
          <w:tcPr>
            <w:tcW w:w="1155" w:type="pct"/>
            <w:tcBorders>
              <w:top w:val="single" w:sz="4" w:space="0" w:color="000000"/>
            </w:tcBorders>
          </w:tcPr>
          <w:p w14:paraId="158BEAFC" w14:textId="77777777" w:rsidR="00704B93" w:rsidRDefault="00704B93" w:rsidP="00912F9D">
            <w:pPr>
              <w:pStyle w:val="TableParagraph"/>
              <w:spacing w:line="255" w:lineRule="exact"/>
              <w:ind w:left="672"/>
              <w:rPr>
                <w:b/>
                <w:sz w:val="24"/>
              </w:rPr>
            </w:pPr>
            <w:r>
              <w:rPr>
                <w:b/>
                <w:spacing w:val="-2"/>
                <w:sz w:val="24"/>
              </w:rPr>
              <w:t>Progesterone</w:t>
            </w:r>
          </w:p>
        </w:tc>
      </w:tr>
      <w:tr w:rsidR="00704B93" w14:paraId="101AAFB8" w14:textId="77777777" w:rsidTr="00D661EB">
        <w:trPr>
          <w:trHeight w:val="655"/>
        </w:trPr>
        <w:tc>
          <w:tcPr>
            <w:tcW w:w="424" w:type="pct"/>
            <w:tcBorders>
              <w:bottom w:val="single" w:sz="4" w:space="0" w:color="000000"/>
            </w:tcBorders>
          </w:tcPr>
          <w:p w14:paraId="46844E88" w14:textId="77777777" w:rsidR="00704B93" w:rsidRDefault="00704B93" w:rsidP="00912F9D">
            <w:pPr>
              <w:pStyle w:val="TableParagraph"/>
            </w:pPr>
          </w:p>
        </w:tc>
        <w:tc>
          <w:tcPr>
            <w:tcW w:w="620" w:type="pct"/>
            <w:tcBorders>
              <w:bottom w:val="single" w:sz="4" w:space="0" w:color="000000"/>
            </w:tcBorders>
          </w:tcPr>
          <w:p w14:paraId="5CC5A001" w14:textId="77777777" w:rsidR="00704B93" w:rsidRDefault="00704B93" w:rsidP="00912F9D">
            <w:pPr>
              <w:pStyle w:val="TableParagraph"/>
              <w:ind w:left="149"/>
              <w:rPr>
                <w:b/>
                <w:sz w:val="24"/>
              </w:rPr>
            </w:pPr>
            <w:r>
              <w:rPr>
                <w:b/>
                <w:spacing w:val="-2"/>
                <w:sz w:val="24"/>
              </w:rPr>
              <w:t>Groups</w:t>
            </w:r>
          </w:p>
        </w:tc>
        <w:tc>
          <w:tcPr>
            <w:tcW w:w="855" w:type="pct"/>
            <w:tcBorders>
              <w:bottom w:val="single" w:sz="4" w:space="0" w:color="000000"/>
            </w:tcBorders>
          </w:tcPr>
          <w:p w14:paraId="24983615" w14:textId="77777777" w:rsidR="00704B93" w:rsidRDefault="00704B93" w:rsidP="00912F9D">
            <w:pPr>
              <w:pStyle w:val="TableParagraph"/>
              <w:ind w:left="496"/>
              <w:rPr>
                <w:b/>
                <w:sz w:val="24"/>
              </w:rPr>
            </w:pPr>
            <w:r>
              <w:rPr>
                <w:b/>
                <w:spacing w:val="-2"/>
                <w:sz w:val="24"/>
              </w:rPr>
              <w:t>(</w:t>
            </w:r>
            <w:proofErr w:type="spellStart"/>
            <w:r>
              <w:rPr>
                <w:b/>
                <w:spacing w:val="-2"/>
                <w:sz w:val="24"/>
              </w:rPr>
              <w:t>mIU</w:t>
            </w:r>
            <w:proofErr w:type="spellEnd"/>
            <w:r>
              <w:rPr>
                <w:b/>
                <w:spacing w:val="-2"/>
                <w:sz w:val="24"/>
              </w:rPr>
              <w:t>/ml)</w:t>
            </w:r>
          </w:p>
        </w:tc>
        <w:tc>
          <w:tcPr>
            <w:tcW w:w="672" w:type="pct"/>
            <w:tcBorders>
              <w:bottom w:val="single" w:sz="4" w:space="0" w:color="000000"/>
            </w:tcBorders>
          </w:tcPr>
          <w:p w14:paraId="7E5F96CC" w14:textId="77777777" w:rsidR="00704B93" w:rsidRDefault="00704B93" w:rsidP="00912F9D">
            <w:pPr>
              <w:pStyle w:val="TableParagraph"/>
              <w:ind w:left="194"/>
              <w:rPr>
                <w:b/>
                <w:sz w:val="24"/>
              </w:rPr>
            </w:pPr>
            <w:r>
              <w:rPr>
                <w:b/>
                <w:spacing w:val="-2"/>
                <w:sz w:val="24"/>
              </w:rPr>
              <w:t>(</w:t>
            </w:r>
            <w:proofErr w:type="spellStart"/>
            <w:r>
              <w:rPr>
                <w:b/>
                <w:spacing w:val="-2"/>
                <w:sz w:val="24"/>
              </w:rPr>
              <w:t>mIU</w:t>
            </w:r>
            <w:proofErr w:type="spellEnd"/>
            <w:r>
              <w:rPr>
                <w:b/>
                <w:spacing w:val="-2"/>
                <w:sz w:val="24"/>
              </w:rPr>
              <w:t>/ml)</w:t>
            </w:r>
          </w:p>
        </w:tc>
        <w:tc>
          <w:tcPr>
            <w:tcW w:w="639" w:type="pct"/>
            <w:tcBorders>
              <w:bottom w:val="single" w:sz="4" w:space="0" w:color="000000"/>
            </w:tcBorders>
          </w:tcPr>
          <w:p w14:paraId="342901C7" w14:textId="77777777" w:rsidR="00704B93" w:rsidRDefault="00704B93" w:rsidP="00912F9D">
            <w:pPr>
              <w:pStyle w:val="TableParagraph"/>
              <w:ind w:left="122"/>
              <w:rPr>
                <w:b/>
                <w:sz w:val="24"/>
              </w:rPr>
            </w:pPr>
            <w:r>
              <w:rPr>
                <w:b/>
                <w:spacing w:val="-2"/>
                <w:sz w:val="24"/>
              </w:rPr>
              <w:t>(pg/ml)</w:t>
            </w:r>
          </w:p>
        </w:tc>
        <w:tc>
          <w:tcPr>
            <w:tcW w:w="635" w:type="pct"/>
            <w:tcBorders>
              <w:bottom w:val="single" w:sz="4" w:space="0" w:color="000000"/>
            </w:tcBorders>
          </w:tcPr>
          <w:p w14:paraId="2435F7E7" w14:textId="77777777" w:rsidR="00704B93" w:rsidRDefault="00704B93" w:rsidP="00912F9D">
            <w:pPr>
              <w:pStyle w:val="TableParagraph"/>
              <w:ind w:left="123"/>
              <w:rPr>
                <w:b/>
                <w:sz w:val="24"/>
              </w:rPr>
            </w:pPr>
            <w:r>
              <w:rPr>
                <w:b/>
                <w:spacing w:val="-2"/>
                <w:sz w:val="24"/>
              </w:rPr>
              <w:t>(ng/ml)</w:t>
            </w:r>
          </w:p>
        </w:tc>
        <w:tc>
          <w:tcPr>
            <w:tcW w:w="1155" w:type="pct"/>
            <w:tcBorders>
              <w:bottom w:val="single" w:sz="4" w:space="0" w:color="000000"/>
            </w:tcBorders>
          </w:tcPr>
          <w:p w14:paraId="45740CC5" w14:textId="77777777" w:rsidR="00704B93" w:rsidRDefault="00704B93" w:rsidP="00912F9D">
            <w:pPr>
              <w:pStyle w:val="TableParagraph"/>
              <w:ind w:left="672"/>
              <w:rPr>
                <w:b/>
                <w:sz w:val="24"/>
              </w:rPr>
            </w:pPr>
            <w:r>
              <w:rPr>
                <w:b/>
                <w:spacing w:val="-2"/>
                <w:sz w:val="24"/>
              </w:rPr>
              <w:t>(ng/ml)</w:t>
            </w:r>
          </w:p>
        </w:tc>
      </w:tr>
      <w:tr w:rsidR="00704B93" w14:paraId="4BECA9A9" w14:textId="77777777" w:rsidTr="00D661EB">
        <w:trPr>
          <w:trHeight w:val="569"/>
        </w:trPr>
        <w:tc>
          <w:tcPr>
            <w:tcW w:w="424" w:type="pct"/>
            <w:tcBorders>
              <w:top w:val="single" w:sz="4" w:space="0" w:color="000000"/>
            </w:tcBorders>
          </w:tcPr>
          <w:p w14:paraId="6AD3EAA0" w14:textId="77777777" w:rsidR="00704B93" w:rsidRDefault="00704B93" w:rsidP="00912F9D">
            <w:pPr>
              <w:pStyle w:val="TableParagraph"/>
            </w:pPr>
          </w:p>
        </w:tc>
        <w:tc>
          <w:tcPr>
            <w:tcW w:w="620" w:type="pct"/>
            <w:tcBorders>
              <w:top w:val="single" w:sz="4" w:space="0" w:color="000000"/>
            </w:tcBorders>
          </w:tcPr>
          <w:p w14:paraId="5EDCF296" w14:textId="77777777" w:rsidR="00704B93" w:rsidRDefault="00704B93" w:rsidP="00912F9D">
            <w:pPr>
              <w:pStyle w:val="TableParagraph"/>
              <w:spacing w:line="276" w:lineRule="exact"/>
              <w:ind w:left="149" w:right="481"/>
              <w:rPr>
                <w:sz w:val="24"/>
              </w:rPr>
            </w:pPr>
            <w:r>
              <w:rPr>
                <w:spacing w:val="-2"/>
                <w:sz w:val="24"/>
              </w:rPr>
              <w:t>Normal Control</w:t>
            </w:r>
          </w:p>
        </w:tc>
        <w:tc>
          <w:tcPr>
            <w:tcW w:w="855" w:type="pct"/>
            <w:tcBorders>
              <w:top w:val="single" w:sz="4" w:space="0" w:color="000000"/>
            </w:tcBorders>
          </w:tcPr>
          <w:p w14:paraId="5D534513" w14:textId="77777777" w:rsidR="00704B93" w:rsidRDefault="00704B93" w:rsidP="00912F9D">
            <w:pPr>
              <w:pStyle w:val="TableParagraph"/>
              <w:spacing w:line="275" w:lineRule="exact"/>
              <w:ind w:left="496"/>
              <w:rPr>
                <w:sz w:val="24"/>
              </w:rPr>
            </w:pPr>
            <w:r>
              <w:rPr>
                <w:sz w:val="24"/>
              </w:rPr>
              <w:t>11.38</w:t>
            </w:r>
            <w:r>
              <w:rPr>
                <w:spacing w:val="-7"/>
                <w:sz w:val="24"/>
              </w:rPr>
              <w:t xml:space="preserve"> </w:t>
            </w:r>
            <w:r>
              <w:rPr>
                <w:spacing w:val="-2"/>
                <w:sz w:val="24"/>
              </w:rPr>
              <w:t>±0.25</w:t>
            </w:r>
            <w:r>
              <w:rPr>
                <w:spacing w:val="-2"/>
                <w:sz w:val="24"/>
                <w:vertAlign w:val="superscript"/>
              </w:rPr>
              <w:t>d</w:t>
            </w:r>
          </w:p>
        </w:tc>
        <w:tc>
          <w:tcPr>
            <w:tcW w:w="672" w:type="pct"/>
            <w:tcBorders>
              <w:top w:val="single" w:sz="4" w:space="0" w:color="000000"/>
            </w:tcBorders>
          </w:tcPr>
          <w:p w14:paraId="5E8DC8E9" w14:textId="77777777" w:rsidR="00704B93" w:rsidRDefault="00704B93" w:rsidP="00912F9D">
            <w:pPr>
              <w:pStyle w:val="TableParagraph"/>
              <w:spacing w:line="275" w:lineRule="exact"/>
              <w:ind w:left="162"/>
              <w:rPr>
                <w:sz w:val="24"/>
              </w:rPr>
            </w:pPr>
            <w:r>
              <w:rPr>
                <w:spacing w:val="-2"/>
                <w:sz w:val="24"/>
              </w:rPr>
              <w:t>12.54±0.18</w:t>
            </w:r>
            <w:r>
              <w:rPr>
                <w:spacing w:val="-2"/>
                <w:sz w:val="24"/>
                <w:vertAlign w:val="superscript"/>
              </w:rPr>
              <w:t>d</w:t>
            </w:r>
          </w:p>
        </w:tc>
        <w:tc>
          <w:tcPr>
            <w:tcW w:w="639" w:type="pct"/>
            <w:tcBorders>
              <w:top w:val="single" w:sz="4" w:space="0" w:color="000000"/>
            </w:tcBorders>
          </w:tcPr>
          <w:p w14:paraId="006178C7" w14:textId="77777777" w:rsidR="00704B93" w:rsidRDefault="00704B93" w:rsidP="00912F9D">
            <w:pPr>
              <w:pStyle w:val="TableParagraph"/>
              <w:spacing w:line="275" w:lineRule="exact"/>
              <w:ind w:left="121"/>
              <w:rPr>
                <w:sz w:val="24"/>
              </w:rPr>
            </w:pPr>
            <w:r>
              <w:rPr>
                <w:spacing w:val="-2"/>
                <w:sz w:val="24"/>
              </w:rPr>
              <w:t>8.80±0.15</w:t>
            </w:r>
            <w:r>
              <w:rPr>
                <w:spacing w:val="-2"/>
                <w:sz w:val="24"/>
                <w:vertAlign w:val="superscript"/>
              </w:rPr>
              <w:t>d</w:t>
            </w:r>
          </w:p>
        </w:tc>
        <w:tc>
          <w:tcPr>
            <w:tcW w:w="635" w:type="pct"/>
            <w:tcBorders>
              <w:top w:val="single" w:sz="4" w:space="0" w:color="000000"/>
            </w:tcBorders>
          </w:tcPr>
          <w:p w14:paraId="36630D83" w14:textId="77777777" w:rsidR="00704B93" w:rsidRDefault="00704B93" w:rsidP="00912F9D">
            <w:pPr>
              <w:pStyle w:val="TableParagraph"/>
              <w:spacing w:line="275" w:lineRule="exact"/>
              <w:ind w:left="122"/>
              <w:rPr>
                <w:sz w:val="24"/>
              </w:rPr>
            </w:pPr>
            <w:r>
              <w:rPr>
                <w:spacing w:val="-2"/>
                <w:sz w:val="24"/>
              </w:rPr>
              <w:t>8.06±0.02</w:t>
            </w:r>
            <w:r>
              <w:rPr>
                <w:spacing w:val="-2"/>
                <w:sz w:val="24"/>
                <w:vertAlign w:val="superscript"/>
              </w:rPr>
              <w:t>d</w:t>
            </w:r>
          </w:p>
        </w:tc>
        <w:tc>
          <w:tcPr>
            <w:tcW w:w="1155" w:type="pct"/>
            <w:tcBorders>
              <w:top w:val="single" w:sz="4" w:space="0" w:color="000000"/>
            </w:tcBorders>
          </w:tcPr>
          <w:p w14:paraId="110A1C4E" w14:textId="77777777" w:rsidR="00704B93" w:rsidRDefault="00704B93" w:rsidP="00912F9D">
            <w:pPr>
              <w:pStyle w:val="TableParagraph"/>
              <w:spacing w:line="275" w:lineRule="exact"/>
              <w:ind w:left="673"/>
              <w:rPr>
                <w:sz w:val="24"/>
              </w:rPr>
            </w:pPr>
            <w:r>
              <w:rPr>
                <w:spacing w:val="-2"/>
                <w:sz w:val="24"/>
              </w:rPr>
              <w:t>25.73±1.91</w:t>
            </w:r>
            <w:r>
              <w:rPr>
                <w:spacing w:val="-2"/>
                <w:sz w:val="24"/>
                <w:vertAlign w:val="superscript"/>
              </w:rPr>
              <w:t>d</w:t>
            </w:r>
          </w:p>
        </w:tc>
      </w:tr>
      <w:tr w:rsidR="00704B93" w14:paraId="4BAA7D7E" w14:textId="77777777" w:rsidTr="00D661EB">
        <w:trPr>
          <w:trHeight w:val="283"/>
        </w:trPr>
        <w:tc>
          <w:tcPr>
            <w:tcW w:w="424" w:type="pct"/>
          </w:tcPr>
          <w:p w14:paraId="5135A39E" w14:textId="77777777" w:rsidR="00704B93" w:rsidRDefault="00704B93" w:rsidP="00912F9D">
            <w:pPr>
              <w:pStyle w:val="TableParagraph"/>
              <w:rPr>
                <w:sz w:val="20"/>
              </w:rPr>
            </w:pPr>
          </w:p>
        </w:tc>
        <w:tc>
          <w:tcPr>
            <w:tcW w:w="620" w:type="pct"/>
          </w:tcPr>
          <w:p w14:paraId="11D2BB78" w14:textId="77777777" w:rsidR="00704B93" w:rsidRDefault="00704B93" w:rsidP="00912F9D">
            <w:pPr>
              <w:pStyle w:val="TableParagraph"/>
              <w:spacing w:before="8" w:line="256" w:lineRule="exact"/>
              <w:ind w:left="149"/>
              <w:rPr>
                <w:sz w:val="24"/>
              </w:rPr>
            </w:pPr>
            <w:r>
              <w:rPr>
                <w:spacing w:val="-2"/>
                <w:sz w:val="24"/>
              </w:rPr>
              <w:t>Negative</w:t>
            </w:r>
          </w:p>
        </w:tc>
        <w:tc>
          <w:tcPr>
            <w:tcW w:w="855" w:type="pct"/>
          </w:tcPr>
          <w:p w14:paraId="5C6EA09E" w14:textId="77777777" w:rsidR="00704B93" w:rsidRDefault="00704B93" w:rsidP="00912F9D">
            <w:pPr>
              <w:pStyle w:val="TableParagraph"/>
              <w:spacing w:before="8" w:line="256" w:lineRule="exact"/>
              <w:ind w:left="496"/>
              <w:rPr>
                <w:sz w:val="24"/>
              </w:rPr>
            </w:pPr>
            <w:r>
              <w:rPr>
                <w:spacing w:val="-2"/>
                <w:sz w:val="24"/>
              </w:rPr>
              <w:t>2.12±0.14</w:t>
            </w:r>
          </w:p>
        </w:tc>
        <w:tc>
          <w:tcPr>
            <w:tcW w:w="672" w:type="pct"/>
          </w:tcPr>
          <w:p w14:paraId="1B14A5D1" w14:textId="77777777" w:rsidR="00704B93" w:rsidRDefault="00704B93" w:rsidP="00912F9D">
            <w:pPr>
              <w:pStyle w:val="TableParagraph"/>
              <w:spacing w:before="8" w:line="256" w:lineRule="exact"/>
              <w:ind w:left="193"/>
              <w:rPr>
                <w:sz w:val="24"/>
              </w:rPr>
            </w:pPr>
            <w:r>
              <w:rPr>
                <w:spacing w:val="-2"/>
                <w:sz w:val="24"/>
              </w:rPr>
              <w:t>2.93±0.04</w:t>
            </w:r>
          </w:p>
        </w:tc>
        <w:tc>
          <w:tcPr>
            <w:tcW w:w="639" w:type="pct"/>
          </w:tcPr>
          <w:p w14:paraId="022A034B" w14:textId="77777777" w:rsidR="00704B93" w:rsidRDefault="00704B93" w:rsidP="00912F9D">
            <w:pPr>
              <w:pStyle w:val="TableParagraph"/>
              <w:spacing w:before="8" w:line="256" w:lineRule="exact"/>
              <w:ind w:left="118"/>
              <w:rPr>
                <w:sz w:val="24"/>
              </w:rPr>
            </w:pPr>
            <w:r>
              <w:rPr>
                <w:spacing w:val="-2"/>
                <w:sz w:val="24"/>
              </w:rPr>
              <w:t>2.05±0.04</w:t>
            </w:r>
          </w:p>
        </w:tc>
        <w:tc>
          <w:tcPr>
            <w:tcW w:w="635" w:type="pct"/>
          </w:tcPr>
          <w:p w14:paraId="20CD08D9" w14:textId="77777777" w:rsidR="00704B93" w:rsidRDefault="00704B93" w:rsidP="00912F9D">
            <w:pPr>
              <w:pStyle w:val="TableParagraph"/>
              <w:spacing w:before="8" w:line="256" w:lineRule="exact"/>
              <w:ind w:left="118"/>
              <w:rPr>
                <w:sz w:val="24"/>
              </w:rPr>
            </w:pPr>
            <w:r>
              <w:rPr>
                <w:spacing w:val="-2"/>
                <w:sz w:val="24"/>
              </w:rPr>
              <w:t>0.06±0.02</w:t>
            </w:r>
          </w:p>
        </w:tc>
        <w:tc>
          <w:tcPr>
            <w:tcW w:w="1155" w:type="pct"/>
          </w:tcPr>
          <w:p w14:paraId="74D933F0" w14:textId="77777777" w:rsidR="00704B93" w:rsidRDefault="00704B93" w:rsidP="00912F9D">
            <w:pPr>
              <w:pStyle w:val="TableParagraph"/>
              <w:spacing w:before="8" w:line="256" w:lineRule="exact"/>
              <w:ind w:left="664"/>
              <w:rPr>
                <w:sz w:val="24"/>
              </w:rPr>
            </w:pPr>
            <w:r>
              <w:rPr>
                <w:spacing w:val="-2"/>
                <w:sz w:val="24"/>
              </w:rPr>
              <w:t>3.71±0.20</w:t>
            </w:r>
          </w:p>
        </w:tc>
      </w:tr>
      <w:tr w:rsidR="00704B93" w14:paraId="2BE16168" w14:textId="77777777" w:rsidTr="00D661EB">
        <w:trPr>
          <w:trHeight w:val="639"/>
        </w:trPr>
        <w:tc>
          <w:tcPr>
            <w:tcW w:w="424" w:type="pct"/>
          </w:tcPr>
          <w:p w14:paraId="669D15A0" w14:textId="77777777" w:rsidR="00704B93" w:rsidRDefault="00704B93" w:rsidP="00912F9D">
            <w:pPr>
              <w:pStyle w:val="TableParagraph"/>
              <w:spacing w:before="105"/>
              <w:ind w:left="107"/>
              <w:rPr>
                <w:b/>
                <w:sz w:val="24"/>
              </w:rPr>
            </w:pPr>
            <w:r>
              <w:rPr>
                <w:b/>
                <w:spacing w:val="-5"/>
                <w:sz w:val="24"/>
              </w:rPr>
              <w:t>14</w:t>
            </w:r>
          </w:p>
          <w:p w14:paraId="33538693" w14:textId="77777777" w:rsidR="00704B93" w:rsidRDefault="00704B93" w:rsidP="00912F9D">
            <w:pPr>
              <w:pStyle w:val="TableParagraph"/>
              <w:spacing w:line="238" w:lineRule="exact"/>
              <w:ind w:left="107"/>
              <w:rPr>
                <w:b/>
                <w:sz w:val="24"/>
              </w:rPr>
            </w:pPr>
            <w:r>
              <w:rPr>
                <w:b/>
                <w:spacing w:val="-4"/>
                <w:sz w:val="24"/>
              </w:rPr>
              <w:t>days</w:t>
            </w:r>
          </w:p>
        </w:tc>
        <w:tc>
          <w:tcPr>
            <w:tcW w:w="620" w:type="pct"/>
          </w:tcPr>
          <w:p w14:paraId="265E7B03" w14:textId="77777777" w:rsidR="00704B93" w:rsidRDefault="00704B93" w:rsidP="00912F9D">
            <w:pPr>
              <w:pStyle w:val="TableParagraph"/>
              <w:ind w:left="149"/>
              <w:rPr>
                <w:sz w:val="24"/>
              </w:rPr>
            </w:pPr>
            <w:r>
              <w:rPr>
                <w:spacing w:val="-2"/>
                <w:sz w:val="24"/>
              </w:rPr>
              <w:t>control</w:t>
            </w:r>
          </w:p>
          <w:p w14:paraId="11A1F21E" w14:textId="77777777" w:rsidR="00704B93" w:rsidRDefault="00704B93" w:rsidP="00912F9D">
            <w:pPr>
              <w:pStyle w:val="TableParagraph"/>
              <w:spacing w:before="38"/>
              <w:ind w:left="149"/>
              <w:rPr>
                <w:sz w:val="24"/>
              </w:rPr>
            </w:pPr>
            <w:r>
              <w:rPr>
                <w:spacing w:val="-5"/>
                <w:sz w:val="24"/>
              </w:rPr>
              <w:t>PE1</w:t>
            </w:r>
          </w:p>
        </w:tc>
        <w:tc>
          <w:tcPr>
            <w:tcW w:w="855" w:type="pct"/>
          </w:tcPr>
          <w:p w14:paraId="0CD21C14" w14:textId="77777777" w:rsidR="00704B93" w:rsidRDefault="00704B93" w:rsidP="00912F9D">
            <w:pPr>
              <w:pStyle w:val="TableParagraph"/>
              <w:spacing w:before="38"/>
              <w:rPr>
                <w:sz w:val="24"/>
              </w:rPr>
            </w:pPr>
          </w:p>
          <w:p w14:paraId="738BE110" w14:textId="77777777" w:rsidR="00704B93" w:rsidRDefault="00704B93" w:rsidP="00912F9D">
            <w:pPr>
              <w:pStyle w:val="TableParagraph"/>
              <w:ind w:left="496"/>
              <w:rPr>
                <w:sz w:val="24"/>
              </w:rPr>
            </w:pPr>
            <w:r>
              <w:rPr>
                <w:spacing w:val="-2"/>
                <w:sz w:val="24"/>
              </w:rPr>
              <w:t>4.49±0.25</w:t>
            </w:r>
            <w:r>
              <w:rPr>
                <w:spacing w:val="-2"/>
                <w:sz w:val="24"/>
                <w:vertAlign w:val="superscript"/>
              </w:rPr>
              <w:t>a</w:t>
            </w:r>
          </w:p>
        </w:tc>
        <w:tc>
          <w:tcPr>
            <w:tcW w:w="672" w:type="pct"/>
          </w:tcPr>
          <w:p w14:paraId="58460CAF" w14:textId="77777777" w:rsidR="00704B93" w:rsidRDefault="00704B93" w:rsidP="00912F9D">
            <w:pPr>
              <w:pStyle w:val="TableParagraph"/>
              <w:spacing w:before="38"/>
              <w:rPr>
                <w:sz w:val="24"/>
              </w:rPr>
            </w:pPr>
          </w:p>
          <w:p w14:paraId="126188BE" w14:textId="77777777" w:rsidR="00704B93" w:rsidRDefault="00704B93" w:rsidP="00912F9D">
            <w:pPr>
              <w:pStyle w:val="TableParagraph"/>
              <w:ind w:left="194"/>
              <w:rPr>
                <w:sz w:val="24"/>
              </w:rPr>
            </w:pPr>
            <w:r>
              <w:rPr>
                <w:spacing w:val="-2"/>
                <w:sz w:val="24"/>
              </w:rPr>
              <w:t>4.52±0.28</w:t>
            </w:r>
          </w:p>
        </w:tc>
        <w:tc>
          <w:tcPr>
            <w:tcW w:w="639" w:type="pct"/>
          </w:tcPr>
          <w:p w14:paraId="42C79B78" w14:textId="77777777" w:rsidR="00704B93" w:rsidRDefault="00704B93" w:rsidP="00912F9D">
            <w:pPr>
              <w:pStyle w:val="TableParagraph"/>
              <w:spacing w:before="38"/>
              <w:rPr>
                <w:sz w:val="24"/>
              </w:rPr>
            </w:pPr>
          </w:p>
          <w:p w14:paraId="7EA41824" w14:textId="77777777" w:rsidR="00704B93" w:rsidRDefault="00704B93" w:rsidP="00912F9D">
            <w:pPr>
              <w:pStyle w:val="TableParagraph"/>
              <w:ind w:left="122"/>
              <w:rPr>
                <w:sz w:val="24"/>
              </w:rPr>
            </w:pPr>
            <w:r>
              <w:rPr>
                <w:spacing w:val="-2"/>
                <w:sz w:val="24"/>
              </w:rPr>
              <w:t>4.67±0.09</w:t>
            </w:r>
            <w:r>
              <w:rPr>
                <w:spacing w:val="-2"/>
                <w:sz w:val="24"/>
                <w:vertAlign w:val="superscript"/>
              </w:rPr>
              <w:t>a</w:t>
            </w:r>
          </w:p>
        </w:tc>
        <w:tc>
          <w:tcPr>
            <w:tcW w:w="635" w:type="pct"/>
          </w:tcPr>
          <w:p w14:paraId="783F1D34" w14:textId="77777777" w:rsidR="00704B93" w:rsidRDefault="00704B93" w:rsidP="00912F9D">
            <w:pPr>
              <w:pStyle w:val="TableParagraph"/>
              <w:spacing w:before="38"/>
              <w:rPr>
                <w:sz w:val="24"/>
              </w:rPr>
            </w:pPr>
          </w:p>
          <w:p w14:paraId="2850451C" w14:textId="77777777" w:rsidR="00704B93" w:rsidRDefault="00704B93" w:rsidP="00912F9D">
            <w:pPr>
              <w:pStyle w:val="TableParagraph"/>
              <w:ind w:left="123"/>
              <w:rPr>
                <w:sz w:val="24"/>
              </w:rPr>
            </w:pPr>
            <w:r>
              <w:rPr>
                <w:spacing w:val="-2"/>
                <w:sz w:val="24"/>
              </w:rPr>
              <w:t>1.31±0.08</w:t>
            </w:r>
          </w:p>
        </w:tc>
        <w:tc>
          <w:tcPr>
            <w:tcW w:w="1155" w:type="pct"/>
          </w:tcPr>
          <w:p w14:paraId="2A780855" w14:textId="77777777" w:rsidR="00704B93" w:rsidRDefault="00704B93" w:rsidP="00912F9D">
            <w:pPr>
              <w:pStyle w:val="TableParagraph"/>
              <w:spacing w:before="38"/>
              <w:rPr>
                <w:sz w:val="24"/>
              </w:rPr>
            </w:pPr>
          </w:p>
          <w:p w14:paraId="59E47174" w14:textId="77777777" w:rsidR="00704B93" w:rsidRDefault="00704B93" w:rsidP="00912F9D">
            <w:pPr>
              <w:pStyle w:val="TableParagraph"/>
              <w:ind w:left="672"/>
              <w:rPr>
                <w:sz w:val="24"/>
              </w:rPr>
            </w:pPr>
            <w:r>
              <w:rPr>
                <w:spacing w:val="-2"/>
                <w:sz w:val="24"/>
              </w:rPr>
              <w:t>8.69±0.59</w:t>
            </w:r>
            <w:r>
              <w:rPr>
                <w:spacing w:val="-2"/>
                <w:sz w:val="24"/>
                <w:vertAlign w:val="superscript"/>
              </w:rPr>
              <w:t>d</w:t>
            </w:r>
          </w:p>
        </w:tc>
      </w:tr>
      <w:tr w:rsidR="00704B93" w14:paraId="5F817B17" w14:textId="77777777" w:rsidTr="00D661EB">
        <w:trPr>
          <w:trHeight w:val="283"/>
        </w:trPr>
        <w:tc>
          <w:tcPr>
            <w:tcW w:w="424" w:type="pct"/>
          </w:tcPr>
          <w:p w14:paraId="0062ACB3" w14:textId="77777777" w:rsidR="00704B93" w:rsidRDefault="00704B93" w:rsidP="00912F9D">
            <w:pPr>
              <w:pStyle w:val="TableParagraph"/>
              <w:rPr>
                <w:sz w:val="20"/>
              </w:rPr>
            </w:pPr>
          </w:p>
        </w:tc>
        <w:tc>
          <w:tcPr>
            <w:tcW w:w="620" w:type="pct"/>
          </w:tcPr>
          <w:p w14:paraId="6488014D" w14:textId="77777777" w:rsidR="00704B93" w:rsidRDefault="00704B93" w:rsidP="00912F9D">
            <w:pPr>
              <w:pStyle w:val="TableParagraph"/>
              <w:spacing w:line="263" w:lineRule="exact"/>
              <w:ind w:left="149"/>
              <w:rPr>
                <w:sz w:val="24"/>
              </w:rPr>
            </w:pPr>
            <w:r>
              <w:rPr>
                <w:spacing w:val="-5"/>
                <w:sz w:val="24"/>
              </w:rPr>
              <w:t>PE2</w:t>
            </w:r>
          </w:p>
        </w:tc>
        <w:tc>
          <w:tcPr>
            <w:tcW w:w="855" w:type="pct"/>
          </w:tcPr>
          <w:p w14:paraId="50A6E29B" w14:textId="77777777" w:rsidR="00704B93" w:rsidRDefault="00704B93" w:rsidP="00912F9D">
            <w:pPr>
              <w:pStyle w:val="TableParagraph"/>
              <w:spacing w:line="263" w:lineRule="exact"/>
              <w:ind w:left="496"/>
              <w:rPr>
                <w:sz w:val="24"/>
              </w:rPr>
            </w:pPr>
            <w:r>
              <w:rPr>
                <w:spacing w:val="-2"/>
                <w:sz w:val="24"/>
              </w:rPr>
              <w:t>6.58±0.09</w:t>
            </w:r>
            <w:r>
              <w:rPr>
                <w:spacing w:val="-2"/>
                <w:sz w:val="24"/>
                <w:vertAlign w:val="superscript"/>
              </w:rPr>
              <w:t>d</w:t>
            </w:r>
          </w:p>
        </w:tc>
        <w:tc>
          <w:tcPr>
            <w:tcW w:w="672" w:type="pct"/>
          </w:tcPr>
          <w:p w14:paraId="2D50314C" w14:textId="77777777" w:rsidR="00704B93" w:rsidRDefault="00704B93" w:rsidP="00912F9D">
            <w:pPr>
              <w:pStyle w:val="TableParagraph"/>
              <w:spacing w:line="263" w:lineRule="exact"/>
              <w:ind w:left="194"/>
              <w:rPr>
                <w:sz w:val="24"/>
              </w:rPr>
            </w:pPr>
            <w:r>
              <w:rPr>
                <w:spacing w:val="-2"/>
                <w:sz w:val="24"/>
              </w:rPr>
              <w:t>6.10±0.66</w:t>
            </w:r>
            <w:r>
              <w:rPr>
                <w:spacing w:val="-2"/>
                <w:sz w:val="24"/>
                <w:vertAlign w:val="superscript"/>
              </w:rPr>
              <w:t>b</w:t>
            </w:r>
          </w:p>
        </w:tc>
        <w:tc>
          <w:tcPr>
            <w:tcW w:w="639" w:type="pct"/>
          </w:tcPr>
          <w:p w14:paraId="787FF40B" w14:textId="77777777" w:rsidR="00704B93" w:rsidRDefault="00704B93" w:rsidP="00912F9D">
            <w:pPr>
              <w:pStyle w:val="TableParagraph"/>
              <w:spacing w:line="263" w:lineRule="exact"/>
              <w:ind w:left="122"/>
              <w:rPr>
                <w:sz w:val="24"/>
              </w:rPr>
            </w:pPr>
            <w:r>
              <w:rPr>
                <w:spacing w:val="-2"/>
                <w:sz w:val="24"/>
              </w:rPr>
              <w:t>6.47±0.10</w:t>
            </w:r>
            <w:r>
              <w:rPr>
                <w:spacing w:val="-2"/>
                <w:sz w:val="24"/>
                <w:vertAlign w:val="superscript"/>
              </w:rPr>
              <w:t>d</w:t>
            </w:r>
          </w:p>
        </w:tc>
        <w:tc>
          <w:tcPr>
            <w:tcW w:w="635" w:type="pct"/>
          </w:tcPr>
          <w:p w14:paraId="5FC2361E" w14:textId="77777777" w:rsidR="00704B93" w:rsidRDefault="00704B93" w:rsidP="00912F9D">
            <w:pPr>
              <w:pStyle w:val="TableParagraph"/>
              <w:spacing w:line="263" w:lineRule="exact"/>
              <w:ind w:left="123"/>
              <w:rPr>
                <w:sz w:val="24"/>
              </w:rPr>
            </w:pPr>
            <w:r>
              <w:rPr>
                <w:spacing w:val="-2"/>
                <w:sz w:val="24"/>
              </w:rPr>
              <w:t>2.17±0.05</w:t>
            </w:r>
          </w:p>
        </w:tc>
        <w:tc>
          <w:tcPr>
            <w:tcW w:w="1155" w:type="pct"/>
          </w:tcPr>
          <w:p w14:paraId="38A2FAEF" w14:textId="77777777" w:rsidR="00704B93" w:rsidRDefault="00704B93" w:rsidP="00912F9D">
            <w:pPr>
              <w:pStyle w:val="TableParagraph"/>
              <w:spacing w:line="263" w:lineRule="exact"/>
              <w:ind w:left="672"/>
              <w:rPr>
                <w:sz w:val="24"/>
              </w:rPr>
            </w:pPr>
            <w:r>
              <w:rPr>
                <w:spacing w:val="-2"/>
                <w:sz w:val="24"/>
              </w:rPr>
              <w:t>13.83±0.36</w:t>
            </w:r>
            <w:r>
              <w:rPr>
                <w:spacing w:val="-2"/>
                <w:sz w:val="24"/>
                <w:vertAlign w:val="superscript"/>
              </w:rPr>
              <w:t>d</w:t>
            </w:r>
          </w:p>
        </w:tc>
      </w:tr>
      <w:tr w:rsidR="00704B93" w14:paraId="2EDC8DCC" w14:textId="77777777" w:rsidTr="00D661EB">
        <w:trPr>
          <w:trHeight w:val="315"/>
        </w:trPr>
        <w:tc>
          <w:tcPr>
            <w:tcW w:w="424" w:type="pct"/>
          </w:tcPr>
          <w:p w14:paraId="055BFA26" w14:textId="77777777" w:rsidR="00704B93" w:rsidRDefault="00704B93" w:rsidP="00912F9D">
            <w:pPr>
              <w:pStyle w:val="TableParagraph"/>
            </w:pPr>
          </w:p>
        </w:tc>
        <w:tc>
          <w:tcPr>
            <w:tcW w:w="620" w:type="pct"/>
          </w:tcPr>
          <w:p w14:paraId="349840A6" w14:textId="77777777" w:rsidR="00704B93" w:rsidRDefault="00704B93" w:rsidP="00912F9D">
            <w:pPr>
              <w:pStyle w:val="TableParagraph"/>
              <w:spacing w:before="25" w:line="270" w:lineRule="exact"/>
              <w:ind w:left="149"/>
              <w:rPr>
                <w:sz w:val="24"/>
              </w:rPr>
            </w:pPr>
            <w:r>
              <w:rPr>
                <w:spacing w:val="-2"/>
                <w:sz w:val="24"/>
              </w:rPr>
              <w:t>Metformin</w:t>
            </w:r>
          </w:p>
        </w:tc>
        <w:tc>
          <w:tcPr>
            <w:tcW w:w="855" w:type="pct"/>
          </w:tcPr>
          <w:p w14:paraId="4FF4E6A9" w14:textId="77777777" w:rsidR="00704B93" w:rsidRDefault="00704B93" w:rsidP="00912F9D">
            <w:pPr>
              <w:pStyle w:val="TableParagraph"/>
              <w:spacing w:before="25" w:line="270" w:lineRule="exact"/>
              <w:ind w:left="496"/>
              <w:rPr>
                <w:sz w:val="24"/>
              </w:rPr>
            </w:pPr>
            <w:r>
              <w:rPr>
                <w:spacing w:val="-2"/>
                <w:sz w:val="24"/>
              </w:rPr>
              <w:t>8.65±0.59</w:t>
            </w:r>
            <w:r>
              <w:rPr>
                <w:spacing w:val="-2"/>
                <w:sz w:val="24"/>
                <w:vertAlign w:val="superscript"/>
              </w:rPr>
              <w:t>d</w:t>
            </w:r>
          </w:p>
        </w:tc>
        <w:tc>
          <w:tcPr>
            <w:tcW w:w="672" w:type="pct"/>
          </w:tcPr>
          <w:p w14:paraId="0141D0BE" w14:textId="77777777" w:rsidR="00704B93" w:rsidRDefault="00704B93" w:rsidP="00912F9D">
            <w:pPr>
              <w:pStyle w:val="TableParagraph"/>
              <w:spacing w:before="25" w:line="270" w:lineRule="exact"/>
              <w:ind w:left="194"/>
              <w:rPr>
                <w:sz w:val="24"/>
              </w:rPr>
            </w:pPr>
            <w:r>
              <w:rPr>
                <w:spacing w:val="-2"/>
                <w:sz w:val="24"/>
              </w:rPr>
              <w:t>9.03±0.08</w:t>
            </w:r>
            <w:r>
              <w:rPr>
                <w:spacing w:val="-2"/>
                <w:sz w:val="24"/>
                <w:vertAlign w:val="superscript"/>
              </w:rPr>
              <w:t>d</w:t>
            </w:r>
          </w:p>
        </w:tc>
        <w:tc>
          <w:tcPr>
            <w:tcW w:w="639" w:type="pct"/>
          </w:tcPr>
          <w:p w14:paraId="54F1B95A" w14:textId="77777777" w:rsidR="00704B93" w:rsidRDefault="00704B93" w:rsidP="00912F9D">
            <w:pPr>
              <w:pStyle w:val="TableParagraph"/>
              <w:spacing w:before="25" w:line="270" w:lineRule="exact"/>
              <w:ind w:left="122"/>
              <w:rPr>
                <w:sz w:val="24"/>
              </w:rPr>
            </w:pPr>
            <w:r>
              <w:rPr>
                <w:spacing w:val="-2"/>
                <w:sz w:val="24"/>
              </w:rPr>
              <w:t>8.93±0.26</w:t>
            </w:r>
            <w:r>
              <w:rPr>
                <w:spacing w:val="-2"/>
                <w:sz w:val="24"/>
                <w:vertAlign w:val="superscript"/>
              </w:rPr>
              <w:t>d</w:t>
            </w:r>
          </w:p>
        </w:tc>
        <w:tc>
          <w:tcPr>
            <w:tcW w:w="635" w:type="pct"/>
          </w:tcPr>
          <w:p w14:paraId="5860919B" w14:textId="77777777" w:rsidR="00704B93" w:rsidRDefault="00704B93" w:rsidP="00912F9D">
            <w:pPr>
              <w:pStyle w:val="TableParagraph"/>
              <w:spacing w:before="25" w:line="270" w:lineRule="exact"/>
              <w:ind w:left="123"/>
              <w:rPr>
                <w:sz w:val="24"/>
              </w:rPr>
            </w:pPr>
            <w:r>
              <w:rPr>
                <w:spacing w:val="-2"/>
                <w:sz w:val="24"/>
              </w:rPr>
              <w:t>3.10±0.04</w:t>
            </w:r>
            <w:r>
              <w:rPr>
                <w:spacing w:val="-2"/>
                <w:sz w:val="24"/>
                <w:vertAlign w:val="superscript"/>
              </w:rPr>
              <w:t>b</w:t>
            </w:r>
          </w:p>
        </w:tc>
        <w:tc>
          <w:tcPr>
            <w:tcW w:w="1155" w:type="pct"/>
          </w:tcPr>
          <w:p w14:paraId="0BBEB96F" w14:textId="77777777" w:rsidR="00704B93" w:rsidRDefault="00704B93" w:rsidP="00912F9D">
            <w:pPr>
              <w:pStyle w:val="TableParagraph"/>
              <w:spacing w:before="25" w:line="270" w:lineRule="exact"/>
              <w:ind w:left="672"/>
              <w:rPr>
                <w:sz w:val="24"/>
              </w:rPr>
            </w:pPr>
            <w:r>
              <w:rPr>
                <w:spacing w:val="-2"/>
                <w:sz w:val="24"/>
              </w:rPr>
              <w:t>21.15±0.39</w:t>
            </w:r>
            <w:r>
              <w:rPr>
                <w:spacing w:val="-2"/>
                <w:sz w:val="24"/>
                <w:vertAlign w:val="superscript"/>
              </w:rPr>
              <w:t>d</w:t>
            </w:r>
          </w:p>
        </w:tc>
      </w:tr>
      <w:tr w:rsidR="00704B93" w14:paraId="5EA3EF43" w14:textId="77777777" w:rsidTr="00D661EB">
        <w:trPr>
          <w:trHeight w:val="397"/>
        </w:trPr>
        <w:tc>
          <w:tcPr>
            <w:tcW w:w="424" w:type="pct"/>
            <w:tcBorders>
              <w:bottom w:val="single" w:sz="4" w:space="0" w:color="000000"/>
            </w:tcBorders>
          </w:tcPr>
          <w:p w14:paraId="5E38A6F8" w14:textId="77777777" w:rsidR="00704B93" w:rsidRDefault="00704B93" w:rsidP="00912F9D">
            <w:pPr>
              <w:pStyle w:val="TableParagraph"/>
            </w:pPr>
          </w:p>
        </w:tc>
        <w:tc>
          <w:tcPr>
            <w:tcW w:w="620" w:type="pct"/>
            <w:tcBorders>
              <w:bottom w:val="single" w:sz="4" w:space="0" w:color="000000"/>
            </w:tcBorders>
          </w:tcPr>
          <w:p w14:paraId="3E6A6C75" w14:textId="77777777" w:rsidR="00704B93" w:rsidRDefault="00704B93" w:rsidP="00912F9D">
            <w:pPr>
              <w:pStyle w:val="TableParagraph"/>
              <w:spacing w:before="24"/>
              <w:ind w:left="149"/>
              <w:rPr>
                <w:sz w:val="24"/>
              </w:rPr>
            </w:pPr>
            <w:r>
              <w:rPr>
                <w:spacing w:val="-2"/>
                <w:sz w:val="24"/>
              </w:rPr>
              <w:t>Clomid</w:t>
            </w:r>
          </w:p>
        </w:tc>
        <w:tc>
          <w:tcPr>
            <w:tcW w:w="855" w:type="pct"/>
            <w:tcBorders>
              <w:bottom w:val="single" w:sz="4" w:space="0" w:color="000000"/>
            </w:tcBorders>
          </w:tcPr>
          <w:p w14:paraId="13CFA1B8" w14:textId="77777777" w:rsidR="00704B93" w:rsidRDefault="00704B93" w:rsidP="00912F9D">
            <w:pPr>
              <w:pStyle w:val="TableParagraph"/>
              <w:spacing w:before="24"/>
              <w:ind w:left="495"/>
              <w:rPr>
                <w:sz w:val="24"/>
              </w:rPr>
            </w:pPr>
            <w:r>
              <w:rPr>
                <w:spacing w:val="-2"/>
                <w:sz w:val="24"/>
              </w:rPr>
              <w:t>10.14±0.03</w:t>
            </w:r>
            <w:r>
              <w:rPr>
                <w:spacing w:val="-2"/>
                <w:sz w:val="24"/>
                <w:vertAlign w:val="superscript"/>
              </w:rPr>
              <w:t>d</w:t>
            </w:r>
          </w:p>
        </w:tc>
        <w:tc>
          <w:tcPr>
            <w:tcW w:w="672" w:type="pct"/>
            <w:tcBorders>
              <w:bottom w:val="single" w:sz="4" w:space="0" w:color="000000"/>
            </w:tcBorders>
          </w:tcPr>
          <w:p w14:paraId="1F7BC1D3" w14:textId="77777777" w:rsidR="00704B93" w:rsidRDefault="00704B93" w:rsidP="00912F9D">
            <w:pPr>
              <w:pStyle w:val="TableParagraph"/>
              <w:spacing w:before="24"/>
              <w:ind w:left="193"/>
              <w:rPr>
                <w:sz w:val="24"/>
              </w:rPr>
            </w:pPr>
            <w:r>
              <w:rPr>
                <w:spacing w:val="-2"/>
                <w:sz w:val="24"/>
              </w:rPr>
              <w:t>9.99±0.35</w:t>
            </w:r>
            <w:r>
              <w:rPr>
                <w:spacing w:val="-2"/>
                <w:sz w:val="24"/>
                <w:vertAlign w:val="superscript"/>
              </w:rPr>
              <w:t>d</w:t>
            </w:r>
          </w:p>
        </w:tc>
        <w:tc>
          <w:tcPr>
            <w:tcW w:w="639" w:type="pct"/>
            <w:tcBorders>
              <w:bottom w:val="single" w:sz="4" w:space="0" w:color="000000"/>
            </w:tcBorders>
          </w:tcPr>
          <w:p w14:paraId="69C7750C" w14:textId="77777777" w:rsidR="00704B93" w:rsidRDefault="00704B93" w:rsidP="00912F9D">
            <w:pPr>
              <w:pStyle w:val="TableParagraph"/>
              <w:spacing w:before="24"/>
              <w:ind w:left="121"/>
              <w:rPr>
                <w:sz w:val="24"/>
              </w:rPr>
            </w:pPr>
            <w:r>
              <w:rPr>
                <w:spacing w:val="-2"/>
                <w:sz w:val="24"/>
              </w:rPr>
              <w:t>9.13±0.37</w:t>
            </w:r>
            <w:r>
              <w:rPr>
                <w:spacing w:val="-2"/>
                <w:sz w:val="24"/>
                <w:vertAlign w:val="superscript"/>
              </w:rPr>
              <w:t>d</w:t>
            </w:r>
          </w:p>
        </w:tc>
        <w:tc>
          <w:tcPr>
            <w:tcW w:w="635" w:type="pct"/>
            <w:tcBorders>
              <w:bottom w:val="single" w:sz="4" w:space="0" w:color="000000"/>
            </w:tcBorders>
          </w:tcPr>
          <w:p w14:paraId="23E22C72" w14:textId="77777777" w:rsidR="00704B93" w:rsidRDefault="00704B93" w:rsidP="00912F9D">
            <w:pPr>
              <w:pStyle w:val="TableParagraph"/>
              <w:spacing w:before="24"/>
              <w:ind w:left="122"/>
              <w:rPr>
                <w:sz w:val="24"/>
              </w:rPr>
            </w:pPr>
            <w:r>
              <w:rPr>
                <w:spacing w:val="-2"/>
                <w:sz w:val="24"/>
              </w:rPr>
              <w:t>5.12±0.06</w:t>
            </w:r>
            <w:r>
              <w:rPr>
                <w:spacing w:val="-2"/>
                <w:sz w:val="24"/>
                <w:vertAlign w:val="superscript"/>
              </w:rPr>
              <w:t>d</w:t>
            </w:r>
          </w:p>
        </w:tc>
        <w:tc>
          <w:tcPr>
            <w:tcW w:w="1155" w:type="pct"/>
            <w:tcBorders>
              <w:bottom w:val="single" w:sz="4" w:space="0" w:color="000000"/>
            </w:tcBorders>
          </w:tcPr>
          <w:p w14:paraId="36CFD826" w14:textId="77777777" w:rsidR="00704B93" w:rsidRDefault="00704B93" w:rsidP="00912F9D">
            <w:pPr>
              <w:pStyle w:val="TableParagraph"/>
              <w:spacing w:before="24"/>
              <w:ind w:left="673"/>
              <w:rPr>
                <w:sz w:val="24"/>
              </w:rPr>
            </w:pPr>
            <w:r>
              <w:rPr>
                <w:spacing w:val="-2"/>
                <w:sz w:val="24"/>
              </w:rPr>
              <w:t>24.13±0.61</w:t>
            </w:r>
            <w:r>
              <w:rPr>
                <w:spacing w:val="-2"/>
                <w:sz w:val="24"/>
                <w:vertAlign w:val="superscript"/>
              </w:rPr>
              <w:t>d</w:t>
            </w:r>
          </w:p>
        </w:tc>
      </w:tr>
      <w:tr w:rsidR="00704B93" w14:paraId="6D30A53E" w14:textId="77777777" w:rsidTr="00D661EB">
        <w:trPr>
          <w:trHeight w:val="568"/>
        </w:trPr>
        <w:tc>
          <w:tcPr>
            <w:tcW w:w="424" w:type="pct"/>
            <w:tcBorders>
              <w:top w:val="single" w:sz="4" w:space="0" w:color="000000"/>
            </w:tcBorders>
          </w:tcPr>
          <w:p w14:paraId="521EC5CA" w14:textId="77777777" w:rsidR="00704B93" w:rsidRDefault="00704B93" w:rsidP="00912F9D">
            <w:pPr>
              <w:pStyle w:val="TableParagraph"/>
            </w:pPr>
          </w:p>
        </w:tc>
        <w:tc>
          <w:tcPr>
            <w:tcW w:w="620" w:type="pct"/>
            <w:tcBorders>
              <w:top w:val="single" w:sz="4" w:space="0" w:color="000000"/>
            </w:tcBorders>
          </w:tcPr>
          <w:p w14:paraId="0196B82B" w14:textId="77777777" w:rsidR="00704B93" w:rsidRDefault="00704B93" w:rsidP="00912F9D">
            <w:pPr>
              <w:pStyle w:val="TableParagraph"/>
              <w:spacing w:line="276" w:lineRule="exact"/>
              <w:ind w:left="149" w:right="481"/>
              <w:rPr>
                <w:sz w:val="24"/>
              </w:rPr>
            </w:pPr>
            <w:r>
              <w:rPr>
                <w:spacing w:val="-2"/>
                <w:sz w:val="24"/>
              </w:rPr>
              <w:t>Normal Control</w:t>
            </w:r>
          </w:p>
        </w:tc>
        <w:tc>
          <w:tcPr>
            <w:tcW w:w="855" w:type="pct"/>
            <w:tcBorders>
              <w:top w:val="single" w:sz="4" w:space="0" w:color="000000"/>
            </w:tcBorders>
          </w:tcPr>
          <w:p w14:paraId="0E23FEAC" w14:textId="77777777" w:rsidR="00704B93" w:rsidRDefault="00704B93" w:rsidP="00912F9D">
            <w:pPr>
              <w:pStyle w:val="TableParagraph"/>
              <w:spacing w:line="275" w:lineRule="exact"/>
              <w:ind w:left="496"/>
              <w:rPr>
                <w:sz w:val="24"/>
              </w:rPr>
            </w:pPr>
            <w:r>
              <w:rPr>
                <w:spacing w:val="-2"/>
                <w:sz w:val="24"/>
              </w:rPr>
              <w:t>11.90±0.13</w:t>
            </w:r>
            <w:r>
              <w:rPr>
                <w:spacing w:val="-2"/>
                <w:sz w:val="24"/>
                <w:vertAlign w:val="superscript"/>
              </w:rPr>
              <w:t>d</w:t>
            </w:r>
          </w:p>
        </w:tc>
        <w:tc>
          <w:tcPr>
            <w:tcW w:w="672" w:type="pct"/>
            <w:tcBorders>
              <w:top w:val="single" w:sz="4" w:space="0" w:color="000000"/>
            </w:tcBorders>
          </w:tcPr>
          <w:p w14:paraId="15EDD70B" w14:textId="77777777" w:rsidR="00704B93" w:rsidRDefault="00704B93" w:rsidP="00912F9D">
            <w:pPr>
              <w:pStyle w:val="TableParagraph"/>
              <w:spacing w:line="275" w:lineRule="exact"/>
              <w:ind w:left="193"/>
              <w:rPr>
                <w:sz w:val="24"/>
              </w:rPr>
            </w:pPr>
            <w:r>
              <w:rPr>
                <w:spacing w:val="-2"/>
                <w:sz w:val="24"/>
              </w:rPr>
              <w:t>12.7±0.31</w:t>
            </w:r>
            <w:r>
              <w:rPr>
                <w:spacing w:val="-2"/>
                <w:sz w:val="24"/>
                <w:vertAlign w:val="superscript"/>
              </w:rPr>
              <w:t>d</w:t>
            </w:r>
          </w:p>
        </w:tc>
        <w:tc>
          <w:tcPr>
            <w:tcW w:w="639" w:type="pct"/>
            <w:tcBorders>
              <w:top w:val="single" w:sz="4" w:space="0" w:color="000000"/>
            </w:tcBorders>
          </w:tcPr>
          <w:p w14:paraId="605F75B5" w14:textId="77777777" w:rsidR="00704B93" w:rsidRDefault="00704B93" w:rsidP="00912F9D">
            <w:pPr>
              <w:pStyle w:val="TableParagraph"/>
              <w:spacing w:line="275" w:lineRule="exact"/>
              <w:ind w:left="121"/>
              <w:rPr>
                <w:sz w:val="24"/>
              </w:rPr>
            </w:pPr>
            <w:r>
              <w:rPr>
                <w:spacing w:val="-2"/>
                <w:sz w:val="24"/>
              </w:rPr>
              <w:t>18.93±0.62</w:t>
            </w:r>
            <w:r>
              <w:rPr>
                <w:spacing w:val="-2"/>
                <w:sz w:val="24"/>
                <w:vertAlign w:val="superscript"/>
              </w:rPr>
              <w:t>d</w:t>
            </w:r>
          </w:p>
        </w:tc>
        <w:tc>
          <w:tcPr>
            <w:tcW w:w="635" w:type="pct"/>
            <w:tcBorders>
              <w:top w:val="single" w:sz="4" w:space="0" w:color="000000"/>
            </w:tcBorders>
          </w:tcPr>
          <w:p w14:paraId="4933857F" w14:textId="77777777" w:rsidR="00704B93" w:rsidRDefault="00704B93" w:rsidP="00912F9D">
            <w:pPr>
              <w:pStyle w:val="TableParagraph"/>
              <w:spacing w:line="275" w:lineRule="exact"/>
              <w:ind w:left="122"/>
              <w:rPr>
                <w:sz w:val="24"/>
              </w:rPr>
            </w:pPr>
            <w:r>
              <w:rPr>
                <w:spacing w:val="-2"/>
                <w:sz w:val="24"/>
              </w:rPr>
              <w:t>8.09±0.03</w:t>
            </w:r>
            <w:r>
              <w:rPr>
                <w:spacing w:val="-2"/>
                <w:sz w:val="24"/>
                <w:vertAlign w:val="superscript"/>
              </w:rPr>
              <w:t>d</w:t>
            </w:r>
          </w:p>
        </w:tc>
        <w:tc>
          <w:tcPr>
            <w:tcW w:w="1155" w:type="pct"/>
            <w:tcBorders>
              <w:top w:val="single" w:sz="4" w:space="0" w:color="000000"/>
            </w:tcBorders>
          </w:tcPr>
          <w:p w14:paraId="5895281C" w14:textId="77777777" w:rsidR="00704B93" w:rsidRDefault="00704B93" w:rsidP="00912F9D">
            <w:pPr>
              <w:pStyle w:val="TableParagraph"/>
              <w:spacing w:line="275" w:lineRule="exact"/>
              <w:ind w:left="673"/>
              <w:rPr>
                <w:sz w:val="24"/>
              </w:rPr>
            </w:pPr>
            <w:r>
              <w:rPr>
                <w:spacing w:val="-2"/>
                <w:sz w:val="24"/>
              </w:rPr>
              <w:t>26.60±1.26</w:t>
            </w:r>
            <w:r>
              <w:rPr>
                <w:spacing w:val="-2"/>
                <w:sz w:val="24"/>
                <w:vertAlign w:val="superscript"/>
              </w:rPr>
              <w:t>d</w:t>
            </w:r>
          </w:p>
        </w:tc>
      </w:tr>
      <w:tr w:rsidR="00704B93" w14:paraId="49548470" w14:textId="77777777" w:rsidTr="00D661EB">
        <w:trPr>
          <w:trHeight w:val="608"/>
        </w:trPr>
        <w:tc>
          <w:tcPr>
            <w:tcW w:w="424" w:type="pct"/>
          </w:tcPr>
          <w:p w14:paraId="7E402B03" w14:textId="77777777" w:rsidR="00704B93" w:rsidRDefault="00704B93" w:rsidP="00912F9D">
            <w:pPr>
              <w:pStyle w:val="TableParagraph"/>
              <w:spacing w:before="76"/>
              <w:rPr>
                <w:sz w:val="24"/>
              </w:rPr>
            </w:pPr>
          </w:p>
          <w:p w14:paraId="7EBF1D14" w14:textId="77777777" w:rsidR="00704B93" w:rsidRDefault="00704B93" w:rsidP="00912F9D">
            <w:pPr>
              <w:pStyle w:val="TableParagraph"/>
              <w:spacing w:line="236" w:lineRule="exact"/>
              <w:ind w:left="107"/>
              <w:rPr>
                <w:b/>
                <w:sz w:val="24"/>
              </w:rPr>
            </w:pPr>
            <w:r>
              <w:rPr>
                <w:b/>
                <w:spacing w:val="-5"/>
                <w:sz w:val="24"/>
              </w:rPr>
              <w:t>21</w:t>
            </w:r>
          </w:p>
        </w:tc>
        <w:tc>
          <w:tcPr>
            <w:tcW w:w="620" w:type="pct"/>
          </w:tcPr>
          <w:p w14:paraId="04CB8660" w14:textId="77777777" w:rsidR="00704B93" w:rsidRDefault="00704B93" w:rsidP="00912F9D">
            <w:pPr>
              <w:pStyle w:val="TableParagraph"/>
              <w:spacing w:before="6"/>
              <w:ind w:left="149" w:right="352"/>
              <w:rPr>
                <w:sz w:val="24"/>
              </w:rPr>
            </w:pPr>
            <w:r>
              <w:rPr>
                <w:spacing w:val="-2"/>
                <w:sz w:val="24"/>
              </w:rPr>
              <w:t>Negative control</w:t>
            </w:r>
          </w:p>
        </w:tc>
        <w:tc>
          <w:tcPr>
            <w:tcW w:w="855" w:type="pct"/>
          </w:tcPr>
          <w:p w14:paraId="0EEEB8F7" w14:textId="77777777" w:rsidR="00704B93" w:rsidRDefault="00704B93" w:rsidP="00912F9D">
            <w:pPr>
              <w:pStyle w:val="TableParagraph"/>
              <w:spacing w:before="6"/>
              <w:ind w:left="496"/>
              <w:rPr>
                <w:sz w:val="24"/>
              </w:rPr>
            </w:pPr>
            <w:r>
              <w:rPr>
                <w:spacing w:val="-2"/>
                <w:sz w:val="24"/>
              </w:rPr>
              <w:t>2.59±0.03</w:t>
            </w:r>
          </w:p>
        </w:tc>
        <w:tc>
          <w:tcPr>
            <w:tcW w:w="672" w:type="pct"/>
          </w:tcPr>
          <w:p w14:paraId="773A9606" w14:textId="77777777" w:rsidR="00704B93" w:rsidRDefault="00704B93" w:rsidP="00912F9D">
            <w:pPr>
              <w:pStyle w:val="TableParagraph"/>
              <w:spacing w:before="6"/>
              <w:ind w:left="193"/>
              <w:rPr>
                <w:sz w:val="24"/>
              </w:rPr>
            </w:pPr>
            <w:r>
              <w:rPr>
                <w:spacing w:val="-2"/>
                <w:sz w:val="24"/>
              </w:rPr>
              <w:t>2.16±0.13</w:t>
            </w:r>
          </w:p>
        </w:tc>
        <w:tc>
          <w:tcPr>
            <w:tcW w:w="639" w:type="pct"/>
          </w:tcPr>
          <w:p w14:paraId="1D9A4A29" w14:textId="77777777" w:rsidR="00704B93" w:rsidRDefault="00704B93" w:rsidP="00912F9D">
            <w:pPr>
              <w:pStyle w:val="TableParagraph"/>
              <w:spacing w:before="6"/>
              <w:ind w:left="118"/>
              <w:rPr>
                <w:sz w:val="24"/>
              </w:rPr>
            </w:pPr>
            <w:r>
              <w:rPr>
                <w:spacing w:val="-2"/>
                <w:sz w:val="24"/>
              </w:rPr>
              <w:t>2.99±0.06</w:t>
            </w:r>
          </w:p>
        </w:tc>
        <w:tc>
          <w:tcPr>
            <w:tcW w:w="635" w:type="pct"/>
          </w:tcPr>
          <w:p w14:paraId="431BC29D" w14:textId="77777777" w:rsidR="00704B93" w:rsidRDefault="00704B93" w:rsidP="00912F9D">
            <w:pPr>
              <w:pStyle w:val="TableParagraph"/>
              <w:spacing w:before="6"/>
              <w:ind w:left="118"/>
              <w:rPr>
                <w:sz w:val="24"/>
              </w:rPr>
            </w:pPr>
            <w:r>
              <w:rPr>
                <w:spacing w:val="-2"/>
                <w:sz w:val="24"/>
              </w:rPr>
              <w:t>0.11±0.02</w:t>
            </w:r>
          </w:p>
        </w:tc>
        <w:tc>
          <w:tcPr>
            <w:tcW w:w="1155" w:type="pct"/>
          </w:tcPr>
          <w:p w14:paraId="1B05D1F6" w14:textId="77777777" w:rsidR="00704B93" w:rsidRDefault="00704B93" w:rsidP="00912F9D">
            <w:pPr>
              <w:pStyle w:val="TableParagraph"/>
              <w:spacing w:before="6"/>
              <w:ind w:left="664"/>
              <w:rPr>
                <w:sz w:val="24"/>
              </w:rPr>
            </w:pPr>
            <w:r>
              <w:rPr>
                <w:spacing w:val="-2"/>
                <w:sz w:val="24"/>
              </w:rPr>
              <w:t>3.73±0.18</w:t>
            </w:r>
          </w:p>
        </w:tc>
      </w:tr>
      <w:tr w:rsidR="00704B93" w14:paraId="1E63277B" w14:textId="77777777" w:rsidTr="00D661EB">
        <w:trPr>
          <w:trHeight w:val="295"/>
        </w:trPr>
        <w:tc>
          <w:tcPr>
            <w:tcW w:w="424" w:type="pct"/>
          </w:tcPr>
          <w:p w14:paraId="4A698DC2" w14:textId="7766F6FD" w:rsidR="00704B93" w:rsidRDefault="00704B93" w:rsidP="00912F9D">
            <w:pPr>
              <w:pStyle w:val="TableParagraph"/>
              <w:spacing w:before="19" w:line="256" w:lineRule="exact"/>
              <w:ind w:left="107"/>
              <w:rPr>
                <w:b/>
                <w:sz w:val="24"/>
              </w:rPr>
            </w:pPr>
            <w:r>
              <w:rPr>
                <w:b/>
                <w:spacing w:val="-4"/>
                <w:sz w:val="24"/>
              </w:rPr>
              <w:t>Days</w:t>
            </w:r>
          </w:p>
        </w:tc>
        <w:tc>
          <w:tcPr>
            <w:tcW w:w="620" w:type="pct"/>
          </w:tcPr>
          <w:p w14:paraId="4E7039D8" w14:textId="77777777" w:rsidR="00704B93" w:rsidRDefault="00704B93" w:rsidP="00912F9D">
            <w:pPr>
              <w:pStyle w:val="TableParagraph"/>
              <w:spacing w:line="267" w:lineRule="exact"/>
              <w:ind w:left="149"/>
              <w:rPr>
                <w:sz w:val="24"/>
              </w:rPr>
            </w:pPr>
            <w:r>
              <w:rPr>
                <w:spacing w:val="-5"/>
                <w:sz w:val="24"/>
              </w:rPr>
              <w:t>PE1</w:t>
            </w:r>
          </w:p>
        </w:tc>
        <w:tc>
          <w:tcPr>
            <w:tcW w:w="855" w:type="pct"/>
          </w:tcPr>
          <w:p w14:paraId="426802AA" w14:textId="77777777" w:rsidR="00704B93" w:rsidRDefault="00704B93" w:rsidP="00912F9D">
            <w:pPr>
              <w:pStyle w:val="TableParagraph"/>
              <w:spacing w:line="267" w:lineRule="exact"/>
              <w:ind w:left="496"/>
              <w:rPr>
                <w:sz w:val="24"/>
              </w:rPr>
            </w:pPr>
            <w:r>
              <w:rPr>
                <w:spacing w:val="-2"/>
                <w:sz w:val="24"/>
              </w:rPr>
              <w:t>4.59±0.26</w:t>
            </w:r>
          </w:p>
        </w:tc>
        <w:tc>
          <w:tcPr>
            <w:tcW w:w="672" w:type="pct"/>
          </w:tcPr>
          <w:p w14:paraId="2B3AFC84" w14:textId="77777777" w:rsidR="00704B93" w:rsidRDefault="00704B93" w:rsidP="00912F9D">
            <w:pPr>
              <w:pStyle w:val="TableParagraph"/>
              <w:spacing w:line="267" w:lineRule="exact"/>
              <w:ind w:left="194"/>
              <w:rPr>
                <w:sz w:val="24"/>
              </w:rPr>
            </w:pPr>
            <w:r>
              <w:rPr>
                <w:spacing w:val="-2"/>
                <w:sz w:val="24"/>
              </w:rPr>
              <w:t>2.36±0.09</w:t>
            </w:r>
          </w:p>
        </w:tc>
        <w:tc>
          <w:tcPr>
            <w:tcW w:w="639" w:type="pct"/>
          </w:tcPr>
          <w:p w14:paraId="10F615BE" w14:textId="77777777" w:rsidR="00704B93" w:rsidRDefault="00704B93" w:rsidP="00912F9D">
            <w:pPr>
              <w:pStyle w:val="TableParagraph"/>
              <w:spacing w:line="267" w:lineRule="exact"/>
              <w:ind w:left="122"/>
              <w:rPr>
                <w:sz w:val="24"/>
              </w:rPr>
            </w:pPr>
            <w:r>
              <w:rPr>
                <w:spacing w:val="-2"/>
                <w:sz w:val="24"/>
              </w:rPr>
              <w:t>10.20±0.67</w:t>
            </w:r>
            <w:r>
              <w:rPr>
                <w:spacing w:val="-2"/>
                <w:sz w:val="24"/>
                <w:vertAlign w:val="superscript"/>
              </w:rPr>
              <w:t>d</w:t>
            </w:r>
          </w:p>
        </w:tc>
        <w:tc>
          <w:tcPr>
            <w:tcW w:w="635" w:type="pct"/>
          </w:tcPr>
          <w:p w14:paraId="4BACDFEE" w14:textId="77777777" w:rsidR="00704B93" w:rsidRDefault="00704B93" w:rsidP="00912F9D">
            <w:pPr>
              <w:pStyle w:val="TableParagraph"/>
              <w:spacing w:line="267" w:lineRule="exact"/>
              <w:ind w:left="123"/>
              <w:rPr>
                <w:sz w:val="24"/>
              </w:rPr>
            </w:pPr>
            <w:r>
              <w:rPr>
                <w:spacing w:val="-2"/>
                <w:sz w:val="24"/>
              </w:rPr>
              <w:t>0.06±0.01</w:t>
            </w:r>
          </w:p>
        </w:tc>
        <w:tc>
          <w:tcPr>
            <w:tcW w:w="1155" w:type="pct"/>
          </w:tcPr>
          <w:p w14:paraId="4217995C" w14:textId="77777777" w:rsidR="00704B93" w:rsidRDefault="00704B93" w:rsidP="00912F9D">
            <w:pPr>
              <w:pStyle w:val="TableParagraph"/>
              <w:spacing w:line="267" w:lineRule="exact"/>
              <w:ind w:left="672"/>
              <w:rPr>
                <w:sz w:val="24"/>
              </w:rPr>
            </w:pPr>
            <w:r>
              <w:rPr>
                <w:spacing w:val="-2"/>
                <w:sz w:val="24"/>
              </w:rPr>
              <w:t>10.82±0.10</w:t>
            </w:r>
            <w:r>
              <w:rPr>
                <w:spacing w:val="-2"/>
                <w:sz w:val="24"/>
                <w:vertAlign w:val="superscript"/>
              </w:rPr>
              <w:t>d</w:t>
            </w:r>
          </w:p>
        </w:tc>
      </w:tr>
      <w:tr w:rsidR="00704B93" w14:paraId="1F138305" w14:textId="77777777" w:rsidTr="00D661EB">
        <w:trPr>
          <w:trHeight w:val="302"/>
        </w:trPr>
        <w:tc>
          <w:tcPr>
            <w:tcW w:w="424" w:type="pct"/>
          </w:tcPr>
          <w:p w14:paraId="5CEE50FB" w14:textId="77777777" w:rsidR="00704B93" w:rsidRDefault="00704B93" w:rsidP="00912F9D">
            <w:pPr>
              <w:pStyle w:val="TableParagraph"/>
            </w:pPr>
          </w:p>
        </w:tc>
        <w:tc>
          <w:tcPr>
            <w:tcW w:w="620" w:type="pct"/>
          </w:tcPr>
          <w:p w14:paraId="3DA588F9" w14:textId="77777777" w:rsidR="00704B93" w:rsidRDefault="00704B93" w:rsidP="00912F9D">
            <w:pPr>
              <w:pStyle w:val="TableParagraph"/>
              <w:spacing w:before="12" w:line="270" w:lineRule="exact"/>
              <w:ind w:left="149"/>
              <w:rPr>
                <w:sz w:val="24"/>
              </w:rPr>
            </w:pPr>
            <w:r>
              <w:rPr>
                <w:spacing w:val="-5"/>
                <w:sz w:val="24"/>
              </w:rPr>
              <w:t>PE2</w:t>
            </w:r>
          </w:p>
        </w:tc>
        <w:tc>
          <w:tcPr>
            <w:tcW w:w="855" w:type="pct"/>
          </w:tcPr>
          <w:p w14:paraId="12847F7E" w14:textId="77777777" w:rsidR="00704B93" w:rsidRDefault="00704B93" w:rsidP="00912F9D">
            <w:pPr>
              <w:pStyle w:val="TableParagraph"/>
              <w:spacing w:before="12" w:line="270" w:lineRule="exact"/>
              <w:ind w:left="496"/>
              <w:rPr>
                <w:sz w:val="24"/>
              </w:rPr>
            </w:pPr>
            <w:r>
              <w:rPr>
                <w:spacing w:val="-2"/>
                <w:sz w:val="24"/>
              </w:rPr>
              <w:t>6.69±0.10</w:t>
            </w:r>
            <w:r>
              <w:rPr>
                <w:spacing w:val="-2"/>
                <w:sz w:val="24"/>
                <w:vertAlign w:val="superscript"/>
              </w:rPr>
              <w:t>d</w:t>
            </w:r>
          </w:p>
        </w:tc>
        <w:tc>
          <w:tcPr>
            <w:tcW w:w="672" w:type="pct"/>
          </w:tcPr>
          <w:p w14:paraId="001BBFBF" w14:textId="77777777" w:rsidR="00704B93" w:rsidRDefault="00704B93" w:rsidP="00912F9D">
            <w:pPr>
              <w:pStyle w:val="TableParagraph"/>
              <w:spacing w:before="12" w:line="270" w:lineRule="exact"/>
              <w:ind w:left="194"/>
              <w:rPr>
                <w:sz w:val="24"/>
              </w:rPr>
            </w:pPr>
            <w:r>
              <w:rPr>
                <w:spacing w:val="-2"/>
                <w:sz w:val="24"/>
              </w:rPr>
              <w:t>4.67±0.14</w:t>
            </w:r>
            <w:r>
              <w:rPr>
                <w:spacing w:val="-2"/>
                <w:sz w:val="24"/>
                <w:vertAlign w:val="superscript"/>
              </w:rPr>
              <w:t>a</w:t>
            </w:r>
          </w:p>
        </w:tc>
        <w:tc>
          <w:tcPr>
            <w:tcW w:w="639" w:type="pct"/>
          </w:tcPr>
          <w:p w14:paraId="4397B3FD" w14:textId="77777777" w:rsidR="00704B93" w:rsidRDefault="00704B93" w:rsidP="00912F9D">
            <w:pPr>
              <w:pStyle w:val="TableParagraph"/>
              <w:spacing w:before="12" w:line="270" w:lineRule="exact"/>
              <w:ind w:left="122"/>
              <w:rPr>
                <w:sz w:val="24"/>
              </w:rPr>
            </w:pPr>
            <w:r>
              <w:rPr>
                <w:spacing w:val="-2"/>
                <w:sz w:val="24"/>
              </w:rPr>
              <w:t>12.47±0.38</w:t>
            </w:r>
            <w:r>
              <w:rPr>
                <w:spacing w:val="-2"/>
                <w:sz w:val="24"/>
                <w:vertAlign w:val="superscript"/>
              </w:rPr>
              <w:t>d</w:t>
            </w:r>
          </w:p>
        </w:tc>
        <w:tc>
          <w:tcPr>
            <w:tcW w:w="635" w:type="pct"/>
          </w:tcPr>
          <w:p w14:paraId="2DE0D431" w14:textId="77777777" w:rsidR="00704B93" w:rsidRDefault="00704B93" w:rsidP="00912F9D">
            <w:pPr>
              <w:pStyle w:val="TableParagraph"/>
              <w:spacing w:before="12" w:line="270" w:lineRule="exact"/>
              <w:ind w:left="123"/>
              <w:rPr>
                <w:sz w:val="24"/>
              </w:rPr>
            </w:pPr>
            <w:r>
              <w:rPr>
                <w:spacing w:val="-2"/>
                <w:sz w:val="24"/>
              </w:rPr>
              <w:t>0.97±0.38</w:t>
            </w:r>
          </w:p>
        </w:tc>
        <w:tc>
          <w:tcPr>
            <w:tcW w:w="1155" w:type="pct"/>
          </w:tcPr>
          <w:p w14:paraId="25393784" w14:textId="77777777" w:rsidR="00704B93" w:rsidRDefault="00704B93" w:rsidP="00912F9D">
            <w:pPr>
              <w:pStyle w:val="TableParagraph"/>
              <w:spacing w:before="12" w:line="270" w:lineRule="exact"/>
              <w:ind w:left="672"/>
              <w:rPr>
                <w:sz w:val="24"/>
              </w:rPr>
            </w:pPr>
            <w:r>
              <w:rPr>
                <w:spacing w:val="-2"/>
                <w:sz w:val="24"/>
              </w:rPr>
              <w:t>12.86±0.94</w:t>
            </w:r>
            <w:r>
              <w:rPr>
                <w:spacing w:val="-2"/>
                <w:sz w:val="24"/>
                <w:vertAlign w:val="superscript"/>
              </w:rPr>
              <w:t>d</w:t>
            </w:r>
          </w:p>
        </w:tc>
      </w:tr>
      <w:tr w:rsidR="00704B93" w14:paraId="63DC5602" w14:textId="77777777" w:rsidTr="00D661EB">
        <w:trPr>
          <w:trHeight w:val="315"/>
        </w:trPr>
        <w:tc>
          <w:tcPr>
            <w:tcW w:w="424" w:type="pct"/>
          </w:tcPr>
          <w:p w14:paraId="4A9615E8" w14:textId="77777777" w:rsidR="00704B93" w:rsidRDefault="00704B93" w:rsidP="00912F9D">
            <w:pPr>
              <w:pStyle w:val="TableParagraph"/>
            </w:pPr>
          </w:p>
        </w:tc>
        <w:tc>
          <w:tcPr>
            <w:tcW w:w="620" w:type="pct"/>
          </w:tcPr>
          <w:p w14:paraId="7AD33CDF" w14:textId="77777777" w:rsidR="00704B93" w:rsidRDefault="00704B93" w:rsidP="00912F9D">
            <w:pPr>
              <w:pStyle w:val="TableParagraph"/>
              <w:spacing w:before="24" w:line="271" w:lineRule="exact"/>
              <w:ind w:left="149"/>
              <w:rPr>
                <w:sz w:val="24"/>
              </w:rPr>
            </w:pPr>
            <w:r>
              <w:rPr>
                <w:spacing w:val="-2"/>
                <w:sz w:val="24"/>
              </w:rPr>
              <w:t>Metformin</w:t>
            </w:r>
          </w:p>
        </w:tc>
        <w:tc>
          <w:tcPr>
            <w:tcW w:w="855" w:type="pct"/>
          </w:tcPr>
          <w:p w14:paraId="14D31DD1" w14:textId="77777777" w:rsidR="00704B93" w:rsidRDefault="00704B93" w:rsidP="00912F9D">
            <w:pPr>
              <w:pStyle w:val="TableParagraph"/>
              <w:spacing w:before="24" w:line="271" w:lineRule="exact"/>
              <w:ind w:left="496"/>
              <w:rPr>
                <w:sz w:val="24"/>
              </w:rPr>
            </w:pPr>
            <w:r>
              <w:rPr>
                <w:spacing w:val="-2"/>
                <w:sz w:val="24"/>
              </w:rPr>
              <w:t>9.59±0.17</w:t>
            </w:r>
            <w:r>
              <w:rPr>
                <w:spacing w:val="-2"/>
                <w:sz w:val="24"/>
                <w:vertAlign w:val="superscript"/>
              </w:rPr>
              <w:t>d</w:t>
            </w:r>
          </w:p>
        </w:tc>
        <w:tc>
          <w:tcPr>
            <w:tcW w:w="672" w:type="pct"/>
          </w:tcPr>
          <w:p w14:paraId="022B967F" w14:textId="77777777" w:rsidR="00704B93" w:rsidRDefault="00704B93" w:rsidP="00912F9D">
            <w:pPr>
              <w:pStyle w:val="TableParagraph"/>
              <w:spacing w:before="24" w:line="271" w:lineRule="exact"/>
              <w:ind w:left="194"/>
              <w:rPr>
                <w:sz w:val="24"/>
              </w:rPr>
            </w:pPr>
            <w:r>
              <w:rPr>
                <w:spacing w:val="-2"/>
                <w:sz w:val="24"/>
              </w:rPr>
              <w:t>8.14±0.34</w:t>
            </w:r>
            <w:r>
              <w:rPr>
                <w:spacing w:val="-2"/>
                <w:sz w:val="24"/>
                <w:vertAlign w:val="superscript"/>
              </w:rPr>
              <w:t>d</w:t>
            </w:r>
          </w:p>
        </w:tc>
        <w:tc>
          <w:tcPr>
            <w:tcW w:w="639" w:type="pct"/>
          </w:tcPr>
          <w:p w14:paraId="5D39491F" w14:textId="77777777" w:rsidR="00704B93" w:rsidRDefault="00704B93" w:rsidP="00912F9D">
            <w:pPr>
              <w:pStyle w:val="TableParagraph"/>
              <w:spacing w:before="24" w:line="271" w:lineRule="exact"/>
              <w:ind w:left="122"/>
              <w:rPr>
                <w:sz w:val="24"/>
              </w:rPr>
            </w:pPr>
            <w:r>
              <w:rPr>
                <w:spacing w:val="-2"/>
                <w:sz w:val="24"/>
              </w:rPr>
              <w:t>15.03±0.27</w:t>
            </w:r>
            <w:r>
              <w:rPr>
                <w:spacing w:val="-2"/>
                <w:sz w:val="24"/>
                <w:vertAlign w:val="superscript"/>
              </w:rPr>
              <w:t>d</w:t>
            </w:r>
          </w:p>
        </w:tc>
        <w:tc>
          <w:tcPr>
            <w:tcW w:w="635" w:type="pct"/>
          </w:tcPr>
          <w:p w14:paraId="79B712F0" w14:textId="77777777" w:rsidR="00704B93" w:rsidRDefault="00704B93" w:rsidP="00912F9D">
            <w:pPr>
              <w:pStyle w:val="TableParagraph"/>
              <w:spacing w:before="24" w:line="271" w:lineRule="exact"/>
              <w:ind w:left="123"/>
              <w:rPr>
                <w:sz w:val="24"/>
              </w:rPr>
            </w:pPr>
            <w:r>
              <w:rPr>
                <w:spacing w:val="-2"/>
                <w:sz w:val="24"/>
              </w:rPr>
              <w:t>2.00±0.17</w:t>
            </w:r>
          </w:p>
        </w:tc>
        <w:tc>
          <w:tcPr>
            <w:tcW w:w="1155" w:type="pct"/>
          </w:tcPr>
          <w:p w14:paraId="7F5E6883" w14:textId="77777777" w:rsidR="00704B93" w:rsidRDefault="00704B93" w:rsidP="00912F9D">
            <w:pPr>
              <w:pStyle w:val="TableParagraph"/>
              <w:spacing w:before="24" w:line="271" w:lineRule="exact"/>
              <w:ind w:left="672"/>
              <w:rPr>
                <w:sz w:val="24"/>
              </w:rPr>
            </w:pPr>
            <w:r>
              <w:rPr>
                <w:spacing w:val="-2"/>
                <w:sz w:val="24"/>
              </w:rPr>
              <w:t>18.25±0.42</w:t>
            </w:r>
            <w:r>
              <w:rPr>
                <w:spacing w:val="-2"/>
                <w:sz w:val="24"/>
                <w:vertAlign w:val="superscript"/>
              </w:rPr>
              <w:t>d</w:t>
            </w:r>
          </w:p>
        </w:tc>
      </w:tr>
      <w:tr w:rsidR="00704B93" w14:paraId="3CC80721" w14:textId="77777777" w:rsidTr="00D661EB">
        <w:trPr>
          <w:trHeight w:val="316"/>
        </w:trPr>
        <w:tc>
          <w:tcPr>
            <w:tcW w:w="424" w:type="pct"/>
            <w:tcBorders>
              <w:bottom w:val="single" w:sz="4" w:space="0" w:color="000000"/>
            </w:tcBorders>
          </w:tcPr>
          <w:p w14:paraId="16DC84A3" w14:textId="77777777" w:rsidR="00704B93" w:rsidRDefault="00704B93" w:rsidP="00912F9D">
            <w:pPr>
              <w:pStyle w:val="TableParagraph"/>
            </w:pPr>
          </w:p>
        </w:tc>
        <w:tc>
          <w:tcPr>
            <w:tcW w:w="620" w:type="pct"/>
            <w:tcBorders>
              <w:bottom w:val="single" w:sz="4" w:space="0" w:color="000000"/>
            </w:tcBorders>
          </w:tcPr>
          <w:p w14:paraId="24D92900" w14:textId="77777777" w:rsidR="00704B93" w:rsidRDefault="00704B93" w:rsidP="00912F9D">
            <w:pPr>
              <w:pStyle w:val="TableParagraph"/>
              <w:spacing w:before="25" w:line="271" w:lineRule="exact"/>
              <w:ind w:left="149"/>
              <w:rPr>
                <w:sz w:val="24"/>
              </w:rPr>
            </w:pPr>
            <w:r>
              <w:rPr>
                <w:spacing w:val="-2"/>
                <w:sz w:val="24"/>
              </w:rPr>
              <w:t>Clomid</w:t>
            </w:r>
          </w:p>
        </w:tc>
        <w:tc>
          <w:tcPr>
            <w:tcW w:w="855" w:type="pct"/>
            <w:tcBorders>
              <w:bottom w:val="single" w:sz="4" w:space="0" w:color="000000"/>
            </w:tcBorders>
          </w:tcPr>
          <w:p w14:paraId="3A0698ED" w14:textId="77777777" w:rsidR="00704B93" w:rsidRDefault="00704B93" w:rsidP="00912F9D">
            <w:pPr>
              <w:pStyle w:val="TableParagraph"/>
              <w:spacing w:before="25" w:line="271" w:lineRule="exact"/>
              <w:ind w:left="496"/>
              <w:rPr>
                <w:sz w:val="24"/>
              </w:rPr>
            </w:pPr>
            <w:r>
              <w:rPr>
                <w:spacing w:val="-2"/>
                <w:sz w:val="24"/>
              </w:rPr>
              <w:t>10.46±0.21</w:t>
            </w:r>
            <w:r>
              <w:rPr>
                <w:spacing w:val="-2"/>
                <w:sz w:val="24"/>
                <w:vertAlign w:val="superscript"/>
              </w:rPr>
              <w:t>d</w:t>
            </w:r>
          </w:p>
        </w:tc>
        <w:tc>
          <w:tcPr>
            <w:tcW w:w="672" w:type="pct"/>
            <w:tcBorders>
              <w:bottom w:val="single" w:sz="4" w:space="0" w:color="000000"/>
            </w:tcBorders>
          </w:tcPr>
          <w:p w14:paraId="2A259138" w14:textId="77777777" w:rsidR="00704B93" w:rsidRDefault="00704B93" w:rsidP="00912F9D">
            <w:pPr>
              <w:pStyle w:val="TableParagraph"/>
              <w:spacing w:before="25" w:line="271" w:lineRule="exact"/>
              <w:ind w:left="194"/>
              <w:rPr>
                <w:sz w:val="24"/>
              </w:rPr>
            </w:pPr>
            <w:r>
              <w:rPr>
                <w:spacing w:val="-2"/>
                <w:sz w:val="24"/>
              </w:rPr>
              <w:t>12.21±0.65</w:t>
            </w:r>
            <w:r>
              <w:rPr>
                <w:spacing w:val="-2"/>
                <w:sz w:val="24"/>
                <w:vertAlign w:val="superscript"/>
              </w:rPr>
              <w:t>d</w:t>
            </w:r>
          </w:p>
        </w:tc>
        <w:tc>
          <w:tcPr>
            <w:tcW w:w="639" w:type="pct"/>
            <w:tcBorders>
              <w:bottom w:val="single" w:sz="4" w:space="0" w:color="000000"/>
            </w:tcBorders>
          </w:tcPr>
          <w:p w14:paraId="7E40D201" w14:textId="77777777" w:rsidR="00704B93" w:rsidRDefault="00704B93" w:rsidP="00912F9D">
            <w:pPr>
              <w:pStyle w:val="TableParagraph"/>
              <w:spacing w:before="25" w:line="271" w:lineRule="exact"/>
              <w:ind w:left="122"/>
              <w:rPr>
                <w:sz w:val="24"/>
              </w:rPr>
            </w:pPr>
            <w:r>
              <w:rPr>
                <w:spacing w:val="-2"/>
                <w:sz w:val="24"/>
              </w:rPr>
              <w:t>17.37±0.72</w:t>
            </w:r>
            <w:r>
              <w:rPr>
                <w:spacing w:val="-2"/>
                <w:sz w:val="24"/>
                <w:vertAlign w:val="superscript"/>
              </w:rPr>
              <w:t>d</w:t>
            </w:r>
          </w:p>
        </w:tc>
        <w:tc>
          <w:tcPr>
            <w:tcW w:w="635" w:type="pct"/>
            <w:tcBorders>
              <w:bottom w:val="single" w:sz="4" w:space="0" w:color="000000"/>
            </w:tcBorders>
          </w:tcPr>
          <w:p w14:paraId="17C56734" w14:textId="77777777" w:rsidR="00704B93" w:rsidRDefault="00704B93" w:rsidP="00912F9D">
            <w:pPr>
              <w:pStyle w:val="TableParagraph"/>
              <w:spacing w:before="25" w:line="271" w:lineRule="exact"/>
              <w:ind w:left="123"/>
              <w:rPr>
                <w:sz w:val="24"/>
              </w:rPr>
            </w:pPr>
            <w:r>
              <w:rPr>
                <w:spacing w:val="-2"/>
                <w:sz w:val="24"/>
              </w:rPr>
              <w:t>3.08±0.05</w:t>
            </w:r>
            <w:r>
              <w:rPr>
                <w:spacing w:val="-2"/>
                <w:sz w:val="24"/>
                <w:vertAlign w:val="superscript"/>
              </w:rPr>
              <w:t>a</w:t>
            </w:r>
          </w:p>
        </w:tc>
        <w:tc>
          <w:tcPr>
            <w:tcW w:w="1155" w:type="pct"/>
            <w:tcBorders>
              <w:bottom w:val="single" w:sz="4" w:space="0" w:color="000000"/>
            </w:tcBorders>
          </w:tcPr>
          <w:p w14:paraId="0B14ECAB" w14:textId="77777777" w:rsidR="00704B93" w:rsidRDefault="00704B93" w:rsidP="00912F9D">
            <w:pPr>
              <w:pStyle w:val="TableParagraph"/>
              <w:spacing w:before="25" w:line="271" w:lineRule="exact"/>
              <w:ind w:left="672"/>
              <w:rPr>
                <w:sz w:val="24"/>
              </w:rPr>
            </w:pPr>
            <w:r>
              <w:rPr>
                <w:spacing w:val="-2"/>
                <w:sz w:val="24"/>
              </w:rPr>
              <w:t>19.48±0.33</w:t>
            </w:r>
            <w:r>
              <w:rPr>
                <w:spacing w:val="-2"/>
                <w:sz w:val="24"/>
                <w:vertAlign w:val="superscript"/>
              </w:rPr>
              <w:t>d</w:t>
            </w:r>
          </w:p>
        </w:tc>
      </w:tr>
      <w:tr w:rsidR="00704B93" w14:paraId="27353C7F" w14:textId="77777777" w:rsidTr="00D661EB">
        <w:trPr>
          <w:trHeight w:val="569"/>
        </w:trPr>
        <w:tc>
          <w:tcPr>
            <w:tcW w:w="424" w:type="pct"/>
            <w:tcBorders>
              <w:top w:val="single" w:sz="4" w:space="0" w:color="000000"/>
            </w:tcBorders>
          </w:tcPr>
          <w:p w14:paraId="60C660DE" w14:textId="77777777" w:rsidR="00704B93" w:rsidRDefault="00704B93" w:rsidP="00912F9D">
            <w:pPr>
              <w:pStyle w:val="TableParagraph"/>
            </w:pPr>
          </w:p>
        </w:tc>
        <w:tc>
          <w:tcPr>
            <w:tcW w:w="620" w:type="pct"/>
            <w:tcBorders>
              <w:top w:val="single" w:sz="4" w:space="0" w:color="000000"/>
            </w:tcBorders>
          </w:tcPr>
          <w:p w14:paraId="357F035C" w14:textId="77777777" w:rsidR="00704B93" w:rsidRDefault="00704B93" w:rsidP="00912F9D">
            <w:pPr>
              <w:pStyle w:val="TableParagraph"/>
              <w:spacing w:line="276" w:lineRule="exact"/>
              <w:ind w:left="149" w:right="481"/>
              <w:rPr>
                <w:sz w:val="24"/>
              </w:rPr>
            </w:pPr>
            <w:r>
              <w:rPr>
                <w:spacing w:val="-2"/>
                <w:sz w:val="24"/>
              </w:rPr>
              <w:t>Normal Control</w:t>
            </w:r>
          </w:p>
        </w:tc>
        <w:tc>
          <w:tcPr>
            <w:tcW w:w="855" w:type="pct"/>
            <w:tcBorders>
              <w:top w:val="single" w:sz="4" w:space="0" w:color="000000"/>
            </w:tcBorders>
          </w:tcPr>
          <w:p w14:paraId="64B0AAAD" w14:textId="77777777" w:rsidR="00704B93" w:rsidRDefault="00704B93" w:rsidP="00912F9D">
            <w:pPr>
              <w:pStyle w:val="TableParagraph"/>
              <w:spacing w:line="275" w:lineRule="exact"/>
              <w:ind w:left="496"/>
              <w:rPr>
                <w:sz w:val="24"/>
              </w:rPr>
            </w:pPr>
            <w:r>
              <w:rPr>
                <w:spacing w:val="-2"/>
                <w:sz w:val="24"/>
              </w:rPr>
              <w:t>8.28±0.12</w:t>
            </w:r>
            <w:r>
              <w:rPr>
                <w:spacing w:val="-2"/>
                <w:sz w:val="24"/>
                <w:vertAlign w:val="superscript"/>
              </w:rPr>
              <w:t>d</w:t>
            </w:r>
          </w:p>
        </w:tc>
        <w:tc>
          <w:tcPr>
            <w:tcW w:w="672" w:type="pct"/>
            <w:tcBorders>
              <w:top w:val="single" w:sz="4" w:space="0" w:color="000000"/>
            </w:tcBorders>
          </w:tcPr>
          <w:p w14:paraId="689088E9" w14:textId="77777777" w:rsidR="00704B93" w:rsidRDefault="00704B93" w:rsidP="00912F9D">
            <w:pPr>
              <w:pStyle w:val="TableParagraph"/>
              <w:spacing w:line="275" w:lineRule="exact"/>
              <w:ind w:left="193"/>
              <w:rPr>
                <w:sz w:val="24"/>
              </w:rPr>
            </w:pPr>
            <w:r>
              <w:rPr>
                <w:spacing w:val="-2"/>
                <w:sz w:val="24"/>
              </w:rPr>
              <w:t>8.95±0.07</w:t>
            </w:r>
            <w:r>
              <w:rPr>
                <w:spacing w:val="-2"/>
                <w:sz w:val="24"/>
                <w:vertAlign w:val="superscript"/>
              </w:rPr>
              <w:t>d</w:t>
            </w:r>
          </w:p>
        </w:tc>
        <w:tc>
          <w:tcPr>
            <w:tcW w:w="639" w:type="pct"/>
            <w:tcBorders>
              <w:top w:val="single" w:sz="4" w:space="0" w:color="000000"/>
            </w:tcBorders>
          </w:tcPr>
          <w:p w14:paraId="0BE1393A" w14:textId="77777777" w:rsidR="00704B93" w:rsidRDefault="00704B93" w:rsidP="00912F9D">
            <w:pPr>
              <w:pStyle w:val="TableParagraph"/>
              <w:spacing w:line="275" w:lineRule="exact"/>
              <w:ind w:left="121"/>
              <w:rPr>
                <w:sz w:val="24"/>
              </w:rPr>
            </w:pPr>
            <w:r>
              <w:rPr>
                <w:spacing w:val="-2"/>
                <w:sz w:val="24"/>
              </w:rPr>
              <w:t>39.30±1.49</w:t>
            </w:r>
            <w:r>
              <w:rPr>
                <w:spacing w:val="-2"/>
                <w:sz w:val="24"/>
                <w:vertAlign w:val="superscript"/>
              </w:rPr>
              <w:t>d</w:t>
            </w:r>
          </w:p>
        </w:tc>
        <w:tc>
          <w:tcPr>
            <w:tcW w:w="635" w:type="pct"/>
            <w:tcBorders>
              <w:top w:val="single" w:sz="4" w:space="0" w:color="000000"/>
            </w:tcBorders>
          </w:tcPr>
          <w:p w14:paraId="5A5D0CBB" w14:textId="77777777" w:rsidR="00704B93" w:rsidRDefault="00704B93" w:rsidP="00912F9D">
            <w:pPr>
              <w:pStyle w:val="TableParagraph"/>
              <w:spacing w:line="275" w:lineRule="exact"/>
              <w:ind w:left="122"/>
              <w:rPr>
                <w:sz w:val="24"/>
              </w:rPr>
            </w:pPr>
            <w:r>
              <w:rPr>
                <w:spacing w:val="-2"/>
                <w:sz w:val="24"/>
              </w:rPr>
              <w:t>6.04±0.07</w:t>
            </w:r>
            <w:r>
              <w:rPr>
                <w:spacing w:val="-2"/>
                <w:sz w:val="24"/>
                <w:vertAlign w:val="superscript"/>
              </w:rPr>
              <w:t>d</w:t>
            </w:r>
          </w:p>
        </w:tc>
        <w:tc>
          <w:tcPr>
            <w:tcW w:w="1155" w:type="pct"/>
            <w:tcBorders>
              <w:top w:val="single" w:sz="4" w:space="0" w:color="000000"/>
            </w:tcBorders>
          </w:tcPr>
          <w:p w14:paraId="3EBE57A5" w14:textId="77777777" w:rsidR="00704B93" w:rsidRDefault="00704B93" w:rsidP="00912F9D">
            <w:pPr>
              <w:pStyle w:val="TableParagraph"/>
              <w:spacing w:line="275" w:lineRule="exact"/>
              <w:ind w:left="673"/>
              <w:rPr>
                <w:sz w:val="24"/>
              </w:rPr>
            </w:pPr>
            <w:r>
              <w:rPr>
                <w:spacing w:val="-2"/>
                <w:sz w:val="24"/>
              </w:rPr>
              <w:t>27.17±1.32</w:t>
            </w:r>
            <w:r>
              <w:rPr>
                <w:spacing w:val="-2"/>
                <w:sz w:val="24"/>
                <w:vertAlign w:val="superscript"/>
              </w:rPr>
              <w:t>d</w:t>
            </w:r>
          </w:p>
        </w:tc>
      </w:tr>
      <w:tr w:rsidR="00704B93" w14:paraId="36D5C612" w14:textId="77777777" w:rsidTr="00D661EB">
        <w:trPr>
          <w:trHeight w:val="608"/>
        </w:trPr>
        <w:tc>
          <w:tcPr>
            <w:tcW w:w="424" w:type="pct"/>
          </w:tcPr>
          <w:p w14:paraId="405E88A9" w14:textId="77777777" w:rsidR="00704B93" w:rsidRDefault="00704B93" w:rsidP="00912F9D">
            <w:pPr>
              <w:pStyle w:val="TableParagraph"/>
              <w:spacing w:before="75"/>
              <w:rPr>
                <w:sz w:val="24"/>
              </w:rPr>
            </w:pPr>
          </w:p>
          <w:p w14:paraId="05ADA1E6" w14:textId="77777777" w:rsidR="00704B93" w:rsidRDefault="00704B93" w:rsidP="00912F9D">
            <w:pPr>
              <w:pStyle w:val="TableParagraph"/>
              <w:spacing w:line="238" w:lineRule="exact"/>
              <w:ind w:left="107"/>
              <w:rPr>
                <w:b/>
                <w:sz w:val="24"/>
              </w:rPr>
            </w:pPr>
            <w:r>
              <w:rPr>
                <w:b/>
                <w:spacing w:val="-5"/>
                <w:sz w:val="24"/>
              </w:rPr>
              <w:t>28</w:t>
            </w:r>
          </w:p>
        </w:tc>
        <w:tc>
          <w:tcPr>
            <w:tcW w:w="620" w:type="pct"/>
          </w:tcPr>
          <w:p w14:paraId="7128BA9C" w14:textId="77777777" w:rsidR="00704B93" w:rsidRDefault="00704B93" w:rsidP="00912F9D">
            <w:pPr>
              <w:pStyle w:val="TableParagraph"/>
              <w:spacing w:before="8"/>
              <w:ind w:left="149" w:right="352"/>
              <w:rPr>
                <w:sz w:val="24"/>
              </w:rPr>
            </w:pPr>
            <w:r>
              <w:rPr>
                <w:spacing w:val="-2"/>
                <w:sz w:val="24"/>
              </w:rPr>
              <w:t>Negative control</w:t>
            </w:r>
          </w:p>
        </w:tc>
        <w:tc>
          <w:tcPr>
            <w:tcW w:w="855" w:type="pct"/>
          </w:tcPr>
          <w:p w14:paraId="428BEC81" w14:textId="77777777" w:rsidR="00704B93" w:rsidRDefault="00704B93" w:rsidP="00912F9D">
            <w:pPr>
              <w:pStyle w:val="TableParagraph"/>
              <w:spacing w:before="8"/>
              <w:ind w:left="496"/>
              <w:rPr>
                <w:sz w:val="24"/>
              </w:rPr>
            </w:pPr>
            <w:r>
              <w:rPr>
                <w:spacing w:val="-2"/>
                <w:sz w:val="24"/>
              </w:rPr>
              <w:t>1.97±0.09</w:t>
            </w:r>
          </w:p>
        </w:tc>
        <w:tc>
          <w:tcPr>
            <w:tcW w:w="672" w:type="pct"/>
          </w:tcPr>
          <w:p w14:paraId="0CFCF831" w14:textId="77777777" w:rsidR="00704B93" w:rsidRDefault="00704B93" w:rsidP="00912F9D">
            <w:pPr>
              <w:pStyle w:val="TableParagraph"/>
              <w:spacing w:before="8"/>
              <w:ind w:left="193"/>
              <w:rPr>
                <w:sz w:val="24"/>
              </w:rPr>
            </w:pPr>
            <w:r>
              <w:rPr>
                <w:spacing w:val="-2"/>
                <w:sz w:val="24"/>
              </w:rPr>
              <w:t>1.94±0.05</w:t>
            </w:r>
          </w:p>
        </w:tc>
        <w:tc>
          <w:tcPr>
            <w:tcW w:w="639" w:type="pct"/>
          </w:tcPr>
          <w:p w14:paraId="5FCA35C8" w14:textId="77777777" w:rsidR="00704B93" w:rsidRDefault="00704B93" w:rsidP="00912F9D">
            <w:pPr>
              <w:pStyle w:val="TableParagraph"/>
              <w:spacing w:before="8"/>
              <w:ind w:left="118"/>
              <w:rPr>
                <w:sz w:val="24"/>
              </w:rPr>
            </w:pPr>
            <w:r>
              <w:rPr>
                <w:spacing w:val="-2"/>
                <w:sz w:val="24"/>
              </w:rPr>
              <w:t>10.43±0.35</w:t>
            </w:r>
          </w:p>
        </w:tc>
        <w:tc>
          <w:tcPr>
            <w:tcW w:w="635" w:type="pct"/>
          </w:tcPr>
          <w:p w14:paraId="6B7E2C85" w14:textId="77777777" w:rsidR="00704B93" w:rsidRDefault="00704B93" w:rsidP="00912F9D">
            <w:pPr>
              <w:pStyle w:val="TableParagraph"/>
              <w:spacing w:before="8"/>
              <w:ind w:left="116"/>
              <w:rPr>
                <w:sz w:val="24"/>
              </w:rPr>
            </w:pPr>
            <w:r>
              <w:rPr>
                <w:spacing w:val="-2"/>
                <w:sz w:val="24"/>
              </w:rPr>
              <w:t>0.59±0.12</w:t>
            </w:r>
          </w:p>
        </w:tc>
        <w:tc>
          <w:tcPr>
            <w:tcW w:w="1155" w:type="pct"/>
          </w:tcPr>
          <w:p w14:paraId="627ED59D" w14:textId="77777777" w:rsidR="00704B93" w:rsidRDefault="00704B93" w:rsidP="00912F9D">
            <w:pPr>
              <w:pStyle w:val="TableParagraph"/>
              <w:spacing w:before="8"/>
              <w:ind w:left="664"/>
              <w:rPr>
                <w:sz w:val="24"/>
              </w:rPr>
            </w:pPr>
            <w:r>
              <w:rPr>
                <w:spacing w:val="-2"/>
                <w:sz w:val="24"/>
              </w:rPr>
              <w:t>4.45±0.19</w:t>
            </w:r>
          </w:p>
        </w:tc>
      </w:tr>
      <w:tr w:rsidR="00704B93" w14:paraId="248D472F" w14:textId="77777777" w:rsidTr="00D661EB">
        <w:trPr>
          <w:trHeight w:val="294"/>
        </w:trPr>
        <w:tc>
          <w:tcPr>
            <w:tcW w:w="424" w:type="pct"/>
          </w:tcPr>
          <w:p w14:paraId="421C78CE" w14:textId="50F7FB09" w:rsidR="00704B93" w:rsidRDefault="00704B93" w:rsidP="00912F9D">
            <w:pPr>
              <w:pStyle w:val="TableParagraph"/>
              <w:spacing w:before="18" w:line="256" w:lineRule="exact"/>
              <w:ind w:left="107"/>
              <w:rPr>
                <w:b/>
                <w:sz w:val="24"/>
              </w:rPr>
            </w:pPr>
            <w:r>
              <w:rPr>
                <w:b/>
                <w:spacing w:val="-4"/>
                <w:sz w:val="24"/>
              </w:rPr>
              <w:t>Days</w:t>
            </w:r>
          </w:p>
        </w:tc>
        <w:tc>
          <w:tcPr>
            <w:tcW w:w="620" w:type="pct"/>
          </w:tcPr>
          <w:p w14:paraId="59534FA0" w14:textId="77777777" w:rsidR="00704B93" w:rsidRDefault="00704B93" w:rsidP="00912F9D">
            <w:pPr>
              <w:pStyle w:val="TableParagraph"/>
              <w:spacing w:line="268" w:lineRule="exact"/>
              <w:ind w:left="149"/>
              <w:rPr>
                <w:sz w:val="24"/>
              </w:rPr>
            </w:pPr>
            <w:r>
              <w:rPr>
                <w:spacing w:val="-5"/>
                <w:sz w:val="24"/>
              </w:rPr>
              <w:t>PE1</w:t>
            </w:r>
          </w:p>
        </w:tc>
        <w:tc>
          <w:tcPr>
            <w:tcW w:w="855" w:type="pct"/>
          </w:tcPr>
          <w:p w14:paraId="6C229054" w14:textId="77777777" w:rsidR="00704B93" w:rsidRDefault="00704B93" w:rsidP="00912F9D">
            <w:pPr>
              <w:pStyle w:val="TableParagraph"/>
              <w:spacing w:line="268" w:lineRule="exact"/>
              <w:ind w:left="496"/>
              <w:rPr>
                <w:sz w:val="24"/>
              </w:rPr>
            </w:pPr>
            <w:r>
              <w:rPr>
                <w:spacing w:val="-2"/>
                <w:sz w:val="24"/>
              </w:rPr>
              <w:t>3.95±0.25</w:t>
            </w:r>
          </w:p>
        </w:tc>
        <w:tc>
          <w:tcPr>
            <w:tcW w:w="672" w:type="pct"/>
          </w:tcPr>
          <w:p w14:paraId="0507D33E" w14:textId="77777777" w:rsidR="00704B93" w:rsidRDefault="00704B93" w:rsidP="00912F9D">
            <w:pPr>
              <w:pStyle w:val="TableParagraph"/>
              <w:spacing w:line="268" w:lineRule="exact"/>
              <w:ind w:left="194"/>
              <w:rPr>
                <w:sz w:val="24"/>
              </w:rPr>
            </w:pPr>
            <w:r>
              <w:rPr>
                <w:spacing w:val="-2"/>
                <w:sz w:val="24"/>
              </w:rPr>
              <w:t>3.59±0.30</w:t>
            </w:r>
          </w:p>
        </w:tc>
        <w:tc>
          <w:tcPr>
            <w:tcW w:w="639" w:type="pct"/>
          </w:tcPr>
          <w:p w14:paraId="183F9438" w14:textId="77777777" w:rsidR="00704B93" w:rsidRDefault="00704B93" w:rsidP="00912F9D">
            <w:pPr>
              <w:pStyle w:val="TableParagraph"/>
              <w:spacing w:line="268" w:lineRule="exact"/>
              <w:ind w:left="122"/>
              <w:rPr>
                <w:sz w:val="24"/>
              </w:rPr>
            </w:pPr>
            <w:r>
              <w:rPr>
                <w:spacing w:val="-2"/>
                <w:sz w:val="24"/>
              </w:rPr>
              <w:t>19.56±0.43</w:t>
            </w:r>
            <w:r>
              <w:rPr>
                <w:spacing w:val="-2"/>
                <w:sz w:val="24"/>
                <w:vertAlign w:val="superscript"/>
              </w:rPr>
              <w:t>d</w:t>
            </w:r>
          </w:p>
        </w:tc>
        <w:tc>
          <w:tcPr>
            <w:tcW w:w="635" w:type="pct"/>
          </w:tcPr>
          <w:p w14:paraId="5A25DFA4" w14:textId="77777777" w:rsidR="00704B93" w:rsidRDefault="00704B93" w:rsidP="00912F9D">
            <w:pPr>
              <w:pStyle w:val="TableParagraph"/>
              <w:spacing w:line="268" w:lineRule="exact"/>
              <w:ind w:left="123"/>
              <w:rPr>
                <w:sz w:val="24"/>
              </w:rPr>
            </w:pPr>
            <w:r>
              <w:rPr>
                <w:spacing w:val="-2"/>
                <w:sz w:val="24"/>
              </w:rPr>
              <w:t>1.20±0.05</w:t>
            </w:r>
          </w:p>
        </w:tc>
        <w:tc>
          <w:tcPr>
            <w:tcW w:w="1155" w:type="pct"/>
          </w:tcPr>
          <w:p w14:paraId="7A01725D" w14:textId="77777777" w:rsidR="00704B93" w:rsidRDefault="00704B93" w:rsidP="00912F9D">
            <w:pPr>
              <w:pStyle w:val="TableParagraph"/>
              <w:spacing w:line="268" w:lineRule="exact"/>
              <w:ind w:left="672"/>
              <w:rPr>
                <w:sz w:val="24"/>
              </w:rPr>
            </w:pPr>
            <w:r>
              <w:rPr>
                <w:spacing w:val="-2"/>
                <w:sz w:val="24"/>
              </w:rPr>
              <w:t>11.38±0.76</w:t>
            </w:r>
            <w:r>
              <w:rPr>
                <w:spacing w:val="-2"/>
                <w:sz w:val="24"/>
                <w:vertAlign w:val="superscript"/>
              </w:rPr>
              <w:t>d</w:t>
            </w:r>
          </w:p>
        </w:tc>
      </w:tr>
      <w:tr w:rsidR="00704B93" w14:paraId="37C34506" w14:textId="77777777" w:rsidTr="00D661EB">
        <w:trPr>
          <w:trHeight w:val="303"/>
        </w:trPr>
        <w:tc>
          <w:tcPr>
            <w:tcW w:w="424" w:type="pct"/>
          </w:tcPr>
          <w:p w14:paraId="5AF0910B" w14:textId="77777777" w:rsidR="00704B93" w:rsidRDefault="00704B93" w:rsidP="00912F9D">
            <w:pPr>
              <w:pStyle w:val="TableParagraph"/>
            </w:pPr>
          </w:p>
        </w:tc>
        <w:tc>
          <w:tcPr>
            <w:tcW w:w="620" w:type="pct"/>
          </w:tcPr>
          <w:p w14:paraId="59F92AF6" w14:textId="77777777" w:rsidR="00704B93" w:rsidRDefault="00704B93" w:rsidP="00912F9D">
            <w:pPr>
              <w:pStyle w:val="TableParagraph"/>
              <w:spacing w:before="12" w:line="271" w:lineRule="exact"/>
              <w:ind w:left="149"/>
              <w:rPr>
                <w:sz w:val="24"/>
              </w:rPr>
            </w:pPr>
            <w:r>
              <w:rPr>
                <w:spacing w:val="-5"/>
                <w:sz w:val="24"/>
              </w:rPr>
              <w:t>PE2</w:t>
            </w:r>
          </w:p>
        </w:tc>
        <w:tc>
          <w:tcPr>
            <w:tcW w:w="855" w:type="pct"/>
          </w:tcPr>
          <w:p w14:paraId="46F202A6" w14:textId="77777777" w:rsidR="00704B93" w:rsidRDefault="00704B93" w:rsidP="00912F9D">
            <w:pPr>
              <w:pStyle w:val="TableParagraph"/>
              <w:spacing w:before="12" w:line="271" w:lineRule="exact"/>
              <w:ind w:left="496"/>
              <w:rPr>
                <w:sz w:val="24"/>
              </w:rPr>
            </w:pPr>
            <w:r>
              <w:rPr>
                <w:spacing w:val="-2"/>
                <w:sz w:val="24"/>
              </w:rPr>
              <w:t>5.78±0.08</w:t>
            </w:r>
            <w:r>
              <w:rPr>
                <w:spacing w:val="-2"/>
                <w:sz w:val="24"/>
                <w:vertAlign w:val="superscript"/>
              </w:rPr>
              <w:t>c</w:t>
            </w:r>
          </w:p>
        </w:tc>
        <w:tc>
          <w:tcPr>
            <w:tcW w:w="672" w:type="pct"/>
          </w:tcPr>
          <w:p w14:paraId="4D5C67A1" w14:textId="77777777" w:rsidR="00704B93" w:rsidRDefault="00704B93" w:rsidP="00912F9D">
            <w:pPr>
              <w:pStyle w:val="TableParagraph"/>
              <w:spacing w:before="12" w:line="271" w:lineRule="exact"/>
              <w:ind w:left="194"/>
              <w:rPr>
                <w:sz w:val="24"/>
              </w:rPr>
            </w:pPr>
            <w:r>
              <w:rPr>
                <w:spacing w:val="-2"/>
                <w:sz w:val="24"/>
              </w:rPr>
              <w:t>5.91±0.54</w:t>
            </w:r>
            <w:r>
              <w:rPr>
                <w:spacing w:val="-2"/>
                <w:sz w:val="24"/>
                <w:vertAlign w:val="superscript"/>
              </w:rPr>
              <w:t>c</w:t>
            </w:r>
          </w:p>
        </w:tc>
        <w:tc>
          <w:tcPr>
            <w:tcW w:w="639" w:type="pct"/>
          </w:tcPr>
          <w:p w14:paraId="6D0076B5" w14:textId="77777777" w:rsidR="00704B93" w:rsidRDefault="00704B93" w:rsidP="00912F9D">
            <w:pPr>
              <w:pStyle w:val="TableParagraph"/>
              <w:spacing w:before="12" w:line="271" w:lineRule="exact"/>
              <w:ind w:left="122"/>
              <w:rPr>
                <w:sz w:val="24"/>
              </w:rPr>
            </w:pPr>
            <w:r>
              <w:rPr>
                <w:spacing w:val="-2"/>
                <w:sz w:val="24"/>
              </w:rPr>
              <w:t>27.57±0.73</w:t>
            </w:r>
            <w:r>
              <w:rPr>
                <w:spacing w:val="-2"/>
                <w:sz w:val="24"/>
                <w:vertAlign w:val="superscript"/>
              </w:rPr>
              <w:t>d</w:t>
            </w:r>
          </w:p>
        </w:tc>
        <w:tc>
          <w:tcPr>
            <w:tcW w:w="635" w:type="pct"/>
          </w:tcPr>
          <w:p w14:paraId="45D6FB2F" w14:textId="77777777" w:rsidR="00704B93" w:rsidRDefault="00704B93" w:rsidP="00912F9D">
            <w:pPr>
              <w:pStyle w:val="TableParagraph"/>
              <w:spacing w:before="12" w:line="271" w:lineRule="exact"/>
              <w:ind w:left="123"/>
              <w:rPr>
                <w:sz w:val="24"/>
              </w:rPr>
            </w:pPr>
            <w:r>
              <w:rPr>
                <w:spacing w:val="-2"/>
                <w:sz w:val="24"/>
              </w:rPr>
              <w:t>2.05±0.00</w:t>
            </w:r>
          </w:p>
        </w:tc>
        <w:tc>
          <w:tcPr>
            <w:tcW w:w="1155" w:type="pct"/>
          </w:tcPr>
          <w:p w14:paraId="636F169C" w14:textId="77777777" w:rsidR="00704B93" w:rsidRDefault="00704B93" w:rsidP="00912F9D">
            <w:pPr>
              <w:pStyle w:val="TableParagraph"/>
              <w:spacing w:before="12" w:line="271" w:lineRule="exact"/>
              <w:ind w:left="672"/>
              <w:rPr>
                <w:sz w:val="24"/>
              </w:rPr>
            </w:pPr>
            <w:r>
              <w:rPr>
                <w:spacing w:val="-2"/>
                <w:sz w:val="24"/>
              </w:rPr>
              <w:t>14.75±0.13</w:t>
            </w:r>
            <w:r>
              <w:rPr>
                <w:spacing w:val="-2"/>
                <w:sz w:val="24"/>
                <w:vertAlign w:val="superscript"/>
              </w:rPr>
              <w:t>d</w:t>
            </w:r>
          </w:p>
        </w:tc>
      </w:tr>
      <w:tr w:rsidR="00704B93" w14:paraId="1EA4BF0D" w14:textId="77777777" w:rsidTr="00D661EB">
        <w:trPr>
          <w:trHeight w:val="316"/>
        </w:trPr>
        <w:tc>
          <w:tcPr>
            <w:tcW w:w="424" w:type="pct"/>
          </w:tcPr>
          <w:p w14:paraId="593BD5AA" w14:textId="77777777" w:rsidR="00704B93" w:rsidRDefault="00704B93" w:rsidP="00912F9D">
            <w:pPr>
              <w:pStyle w:val="TableParagraph"/>
            </w:pPr>
          </w:p>
        </w:tc>
        <w:tc>
          <w:tcPr>
            <w:tcW w:w="620" w:type="pct"/>
          </w:tcPr>
          <w:p w14:paraId="6780B678" w14:textId="77777777" w:rsidR="00704B93" w:rsidRDefault="00704B93" w:rsidP="00912F9D">
            <w:pPr>
              <w:pStyle w:val="TableParagraph"/>
              <w:spacing w:before="25" w:line="271" w:lineRule="exact"/>
              <w:ind w:left="149"/>
              <w:rPr>
                <w:sz w:val="24"/>
              </w:rPr>
            </w:pPr>
            <w:r>
              <w:rPr>
                <w:spacing w:val="-2"/>
                <w:sz w:val="24"/>
              </w:rPr>
              <w:t>Metformin</w:t>
            </w:r>
          </w:p>
        </w:tc>
        <w:tc>
          <w:tcPr>
            <w:tcW w:w="855" w:type="pct"/>
          </w:tcPr>
          <w:p w14:paraId="4FE50005" w14:textId="77777777" w:rsidR="00704B93" w:rsidRDefault="00704B93" w:rsidP="00912F9D">
            <w:pPr>
              <w:pStyle w:val="TableParagraph"/>
              <w:spacing w:before="25" w:line="271" w:lineRule="exact"/>
              <w:ind w:left="496"/>
              <w:rPr>
                <w:sz w:val="24"/>
              </w:rPr>
            </w:pPr>
            <w:r>
              <w:rPr>
                <w:spacing w:val="-2"/>
                <w:sz w:val="24"/>
              </w:rPr>
              <w:t>6.35±0.17</w:t>
            </w:r>
            <w:r>
              <w:rPr>
                <w:spacing w:val="-2"/>
                <w:sz w:val="24"/>
                <w:vertAlign w:val="superscript"/>
              </w:rPr>
              <w:t>d</w:t>
            </w:r>
          </w:p>
        </w:tc>
        <w:tc>
          <w:tcPr>
            <w:tcW w:w="672" w:type="pct"/>
          </w:tcPr>
          <w:p w14:paraId="1F3EA546" w14:textId="77777777" w:rsidR="00704B93" w:rsidRDefault="00704B93" w:rsidP="00912F9D">
            <w:pPr>
              <w:pStyle w:val="TableParagraph"/>
              <w:spacing w:before="25" w:line="271" w:lineRule="exact"/>
              <w:ind w:left="194"/>
              <w:rPr>
                <w:sz w:val="24"/>
              </w:rPr>
            </w:pPr>
            <w:r>
              <w:rPr>
                <w:spacing w:val="-2"/>
                <w:sz w:val="24"/>
              </w:rPr>
              <w:t>5.89±0.83</w:t>
            </w:r>
            <w:r>
              <w:rPr>
                <w:spacing w:val="-2"/>
                <w:sz w:val="24"/>
                <w:vertAlign w:val="superscript"/>
              </w:rPr>
              <w:t>c</w:t>
            </w:r>
          </w:p>
        </w:tc>
        <w:tc>
          <w:tcPr>
            <w:tcW w:w="639" w:type="pct"/>
          </w:tcPr>
          <w:p w14:paraId="41571FA8" w14:textId="77777777" w:rsidR="00704B93" w:rsidRDefault="00704B93" w:rsidP="00912F9D">
            <w:pPr>
              <w:pStyle w:val="TableParagraph"/>
              <w:spacing w:before="25" w:line="271" w:lineRule="exact"/>
              <w:ind w:left="122"/>
              <w:rPr>
                <w:sz w:val="24"/>
              </w:rPr>
            </w:pPr>
            <w:r>
              <w:rPr>
                <w:spacing w:val="-2"/>
                <w:sz w:val="24"/>
              </w:rPr>
              <w:t>31.73±0.03</w:t>
            </w:r>
            <w:r>
              <w:rPr>
                <w:spacing w:val="-2"/>
                <w:sz w:val="24"/>
                <w:vertAlign w:val="superscript"/>
              </w:rPr>
              <w:t>d</w:t>
            </w:r>
          </w:p>
        </w:tc>
        <w:tc>
          <w:tcPr>
            <w:tcW w:w="635" w:type="pct"/>
          </w:tcPr>
          <w:p w14:paraId="466656D5" w14:textId="77777777" w:rsidR="00704B93" w:rsidRDefault="00704B93" w:rsidP="00912F9D">
            <w:pPr>
              <w:pStyle w:val="TableParagraph"/>
              <w:spacing w:before="25" w:line="271" w:lineRule="exact"/>
              <w:ind w:left="123"/>
              <w:rPr>
                <w:sz w:val="24"/>
              </w:rPr>
            </w:pPr>
            <w:r>
              <w:rPr>
                <w:spacing w:val="-2"/>
                <w:sz w:val="24"/>
              </w:rPr>
              <w:t>3.15±0.06</w:t>
            </w:r>
            <w:r>
              <w:rPr>
                <w:spacing w:val="-2"/>
                <w:sz w:val="24"/>
                <w:vertAlign w:val="superscript"/>
              </w:rPr>
              <w:t>a</w:t>
            </w:r>
          </w:p>
        </w:tc>
        <w:tc>
          <w:tcPr>
            <w:tcW w:w="1155" w:type="pct"/>
          </w:tcPr>
          <w:p w14:paraId="5F1E0B4F" w14:textId="77777777" w:rsidR="00704B93" w:rsidRDefault="00704B93" w:rsidP="00912F9D">
            <w:pPr>
              <w:pStyle w:val="TableParagraph"/>
              <w:spacing w:before="25" w:line="271" w:lineRule="exact"/>
              <w:ind w:left="672"/>
              <w:rPr>
                <w:sz w:val="24"/>
              </w:rPr>
            </w:pPr>
            <w:r>
              <w:rPr>
                <w:spacing w:val="-2"/>
                <w:sz w:val="24"/>
              </w:rPr>
              <w:t>21.02±0.39</w:t>
            </w:r>
            <w:r>
              <w:rPr>
                <w:spacing w:val="-2"/>
                <w:sz w:val="24"/>
                <w:vertAlign w:val="superscript"/>
              </w:rPr>
              <w:t>d</w:t>
            </w:r>
          </w:p>
        </w:tc>
      </w:tr>
      <w:tr w:rsidR="00704B93" w14:paraId="17D16A5E" w14:textId="77777777" w:rsidTr="00D661EB">
        <w:trPr>
          <w:trHeight w:val="316"/>
        </w:trPr>
        <w:tc>
          <w:tcPr>
            <w:tcW w:w="424" w:type="pct"/>
            <w:tcBorders>
              <w:bottom w:val="single" w:sz="4" w:space="0" w:color="000000"/>
            </w:tcBorders>
          </w:tcPr>
          <w:p w14:paraId="31421809" w14:textId="77777777" w:rsidR="00704B93" w:rsidRDefault="00704B93" w:rsidP="00912F9D">
            <w:pPr>
              <w:pStyle w:val="TableParagraph"/>
            </w:pPr>
          </w:p>
        </w:tc>
        <w:tc>
          <w:tcPr>
            <w:tcW w:w="620" w:type="pct"/>
            <w:tcBorders>
              <w:bottom w:val="single" w:sz="4" w:space="0" w:color="000000"/>
            </w:tcBorders>
          </w:tcPr>
          <w:p w14:paraId="4FA0E198" w14:textId="77777777" w:rsidR="00704B93" w:rsidRDefault="00704B93" w:rsidP="00912F9D">
            <w:pPr>
              <w:pStyle w:val="TableParagraph"/>
              <w:spacing w:before="25" w:line="271" w:lineRule="exact"/>
              <w:ind w:left="149"/>
              <w:rPr>
                <w:sz w:val="24"/>
              </w:rPr>
            </w:pPr>
            <w:r>
              <w:rPr>
                <w:spacing w:val="-2"/>
                <w:sz w:val="24"/>
              </w:rPr>
              <w:t>Clomid</w:t>
            </w:r>
          </w:p>
        </w:tc>
        <w:tc>
          <w:tcPr>
            <w:tcW w:w="855" w:type="pct"/>
            <w:tcBorders>
              <w:bottom w:val="single" w:sz="4" w:space="0" w:color="000000"/>
            </w:tcBorders>
          </w:tcPr>
          <w:p w14:paraId="69FB5344" w14:textId="77777777" w:rsidR="00704B93" w:rsidRDefault="00704B93" w:rsidP="00912F9D">
            <w:pPr>
              <w:pStyle w:val="TableParagraph"/>
              <w:spacing w:before="25" w:line="271" w:lineRule="exact"/>
              <w:ind w:left="496"/>
              <w:rPr>
                <w:sz w:val="24"/>
              </w:rPr>
            </w:pPr>
            <w:r>
              <w:rPr>
                <w:spacing w:val="-2"/>
                <w:sz w:val="24"/>
              </w:rPr>
              <w:t>8.34±0.28</w:t>
            </w:r>
            <w:r>
              <w:rPr>
                <w:spacing w:val="-2"/>
                <w:sz w:val="24"/>
                <w:vertAlign w:val="superscript"/>
              </w:rPr>
              <w:t>d</w:t>
            </w:r>
          </w:p>
        </w:tc>
        <w:tc>
          <w:tcPr>
            <w:tcW w:w="672" w:type="pct"/>
            <w:tcBorders>
              <w:bottom w:val="single" w:sz="4" w:space="0" w:color="000000"/>
            </w:tcBorders>
          </w:tcPr>
          <w:p w14:paraId="69B649BE" w14:textId="77777777" w:rsidR="00704B93" w:rsidRDefault="00704B93" w:rsidP="00912F9D">
            <w:pPr>
              <w:pStyle w:val="TableParagraph"/>
              <w:spacing w:before="25" w:line="271" w:lineRule="exact"/>
              <w:ind w:left="194"/>
              <w:rPr>
                <w:sz w:val="24"/>
              </w:rPr>
            </w:pPr>
            <w:r>
              <w:rPr>
                <w:spacing w:val="-2"/>
                <w:sz w:val="24"/>
              </w:rPr>
              <w:t>8.48±0.27</w:t>
            </w:r>
            <w:r>
              <w:rPr>
                <w:spacing w:val="-2"/>
                <w:sz w:val="24"/>
                <w:vertAlign w:val="superscript"/>
              </w:rPr>
              <w:t>d</w:t>
            </w:r>
          </w:p>
        </w:tc>
        <w:tc>
          <w:tcPr>
            <w:tcW w:w="639" w:type="pct"/>
            <w:tcBorders>
              <w:bottom w:val="single" w:sz="4" w:space="0" w:color="000000"/>
            </w:tcBorders>
          </w:tcPr>
          <w:p w14:paraId="1137E966" w14:textId="77777777" w:rsidR="00704B93" w:rsidRDefault="00704B93" w:rsidP="00912F9D">
            <w:pPr>
              <w:pStyle w:val="TableParagraph"/>
              <w:spacing w:before="25" w:line="271" w:lineRule="exact"/>
              <w:ind w:left="122"/>
              <w:rPr>
                <w:sz w:val="24"/>
              </w:rPr>
            </w:pPr>
            <w:r>
              <w:rPr>
                <w:spacing w:val="-2"/>
                <w:sz w:val="24"/>
              </w:rPr>
              <w:t>33.9±0.90</w:t>
            </w:r>
            <w:r>
              <w:rPr>
                <w:spacing w:val="-2"/>
                <w:sz w:val="24"/>
                <w:vertAlign w:val="superscript"/>
              </w:rPr>
              <w:t>d</w:t>
            </w:r>
          </w:p>
        </w:tc>
        <w:tc>
          <w:tcPr>
            <w:tcW w:w="635" w:type="pct"/>
            <w:tcBorders>
              <w:bottom w:val="single" w:sz="4" w:space="0" w:color="000000"/>
            </w:tcBorders>
          </w:tcPr>
          <w:p w14:paraId="2901ACB2" w14:textId="77777777" w:rsidR="00704B93" w:rsidRDefault="00704B93" w:rsidP="00912F9D">
            <w:pPr>
              <w:pStyle w:val="TableParagraph"/>
              <w:spacing w:before="25" w:line="271" w:lineRule="exact"/>
              <w:ind w:left="123"/>
              <w:rPr>
                <w:sz w:val="24"/>
              </w:rPr>
            </w:pPr>
            <w:r>
              <w:rPr>
                <w:spacing w:val="-2"/>
                <w:sz w:val="24"/>
              </w:rPr>
              <w:t>4.23±0.09</w:t>
            </w:r>
            <w:r>
              <w:rPr>
                <w:spacing w:val="-2"/>
                <w:sz w:val="24"/>
                <w:vertAlign w:val="superscript"/>
              </w:rPr>
              <w:t>c</w:t>
            </w:r>
          </w:p>
        </w:tc>
        <w:tc>
          <w:tcPr>
            <w:tcW w:w="1155" w:type="pct"/>
            <w:tcBorders>
              <w:bottom w:val="single" w:sz="4" w:space="0" w:color="000000"/>
            </w:tcBorders>
          </w:tcPr>
          <w:p w14:paraId="404AFCCF" w14:textId="77777777" w:rsidR="00704B93" w:rsidRDefault="00704B93" w:rsidP="00912F9D">
            <w:pPr>
              <w:pStyle w:val="TableParagraph"/>
              <w:spacing w:before="25" w:line="271" w:lineRule="exact"/>
              <w:ind w:left="672"/>
              <w:rPr>
                <w:sz w:val="24"/>
              </w:rPr>
            </w:pPr>
            <w:r>
              <w:rPr>
                <w:spacing w:val="-2"/>
                <w:sz w:val="24"/>
              </w:rPr>
              <w:t>19.37±4.28</w:t>
            </w:r>
            <w:r>
              <w:rPr>
                <w:spacing w:val="-2"/>
                <w:sz w:val="24"/>
                <w:vertAlign w:val="superscript"/>
              </w:rPr>
              <w:t>d</w:t>
            </w:r>
          </w:p>
        </w:tc>
      </w:tr>
      <w:tr w:rsidR="00704B93" w14:paraId="6EF6258A" w14:textId="77777777" w:rsidTr="00D661EB">
        <w:trPr>
          <w:trHeight w:val="514"/>
        </w:trPr>
        <w:tc>
          <w:tcPr>
            <w:tcW w:w="1044" w:type="pct"/>
            <w:gridSpan w:val="2"/>
            <w:tcBorders>
              <w:top w:val="single" w:sz="4" w:space="0" w:color="000000"/>
            </w:tcBorders>
          </w:tcPr>
          <w:p w14:paraId="57EA5178" w14:textId="77777777" w:rsidR="00704B93" w:rsidRDefault="00704B93" w:rsidP="00912F9D">
            <w:pPr>
              <w:pStyle w:val="TableParagraph"/>
              <w:spacing w:before="239" w:line="256" w:lineRule="exact"/>
              <w:ind w:left="851"/>
              <w:rPr>
                <w:sz w:val="24"/>
              </w:rPr>
            </w:pPr>
            <w:r>
              <w:rPr>
                <w:sz w:val="24"/>
              </w:rPr>
              <w:t>FSH:</w:t>
            </w:r>
            <w:r>
              <w:rPr>
                <w:spacing w:val="45"/>
                <w:sz w:val="24"/>
              </w:rPr>
              <w:t xml:space="preserve"> </w:t>
            </w:r>
            <w:r>
              <w:rPr>
                <w:spacing w:val="-2"/>
                <w:sz w:val="24"/>
              </w:rPr>
              <w:t>Follicle</w:t>
            </w:r>
          </w:p>
        </w:tc>
        <w:tc>
          <w:tcPr>
            <w:tcW w:w="2801" w:type="pct"/>
            <w:gridSpan w:val="4"/>
            <w:tcBorders>
              <w:top w:val="single" w:sz="4" w:space="0" w:color="000000"/>
            </w:tcBorders>
          </w:tcPr>
          <w:p w14:paraId="534440B5" w14:textId="77777777" w:rsidR="00704B93" w:rsidRDefault="00704B93" w:rsidP="00912F9D">
            <w:pPr>
              <w:pStyle w:val="TableParagraph"/>
              <w:spacing w:before="239" w:line="256" w:lineRule="exact"/>
              <w:ind w:left="7"/>
              <w:rPr>
                <w:sz w:val="24"/>
              </w:rPr>
            </w:pPr>
            <w:r>
              <w:rPr>
                <w:sz w:val="24"/>
              </w:rPr>
              <w:t>Stimulating</w:t>
            </w:r>
            <w:r>
              <w:rPr>
                <w:spacing w:val="44"/>
                <w:sz w:val="24"/>
              </w:rPr>
              <w:t xml:space="preserve"> </w:t>
            </w:r>
            <w:r>
              <w:rPr>
                <w:sz w:val="24"/>
              </w:rPr>
              <w:t>Hormone;</w:t>
            </w:r>
            <w:r>
              <w:rPr>
                <w:spacing w:val="43"/>
                <w:sz w:val="24"/>
              </w:rPr>
              <w:t xml:space="preserve"> </w:t>
            </w:r>
            <w:r>
              <w:rPr>
                <w:sz w:val="24"/>
              </w:rPr>
              <w:t>LH:</w:t>
            </w:r>
            <w:r>
              <w:rPr>
                <w:spacing w:val="42"/>
                <w:sz w:val="24"/>
              </w:rPr>
              <w:t xml:space="preserve"> </w:t>
            </w:r>
            <w:proofErr w:type="spellStart"/>
            <w:r>
              <w:rPr>
                <w:sz w:val="24"/>
              </w:rPr>
              <w:t>Luteinising</w:t>
            </w:r>
            <w:proofErr w:type="spellEnd"/>
            <w:r>
              <w:rPr>
                <w:spacing w:val="45"/>
                <w:sz w:val="24"/>
              </w:rPr>
              <w:t xml:space="preserve"> </w:t>
            </w:r>
            <w:r>
              <w:rPr>
                <w:sz w:val="24"/>
              </w:rPr>
              <w:t>Hormone;</w:t>
            </w:r>
            <w:r>
              <w:rPr>
                <w:spacing w:val="44"/>
                <w:sz w:val="24"/>
              </w:rPr>
              <w:t xml:space="preserve"> </w:t>
            </w:r>
            <w:r>
              <w:rPr>
                <w:sz w:val="24"/>
              </w:rPr>
              <w:t>PE:</w:t>
            </w:r>
            <w:r>
              <w:rPr>
                <w:spacing w:val="43"/>
                <w:sz w:val="24"/>
              </w:rPr>
              <w:t xml:space="preserve"> </w:t>
            </w:r>
            <w:r>
              <w:rPr>
                <w:spacing w:val="-2"/>
                <w:sz w:val="24"/>
              </w:rPr>
              <w:t>Plant</w:t>
            </w:r>
          </w:p>
        </w:tc>
        <w:tc>
          <w:tcPr>
            <w:tcW w:w="1155" w:type="pct"/>
            <w:tcBorders>
              <w:top w:val="single" w:sz="4" w:space="0" w:color="000000"/>
            </w:tcBorders>
          </w:tcPr>
          <w:p w14:paraId="7C7350F8" w14:textId="77777777" w:rsidR="00704B93" w:rsidRDefault="00704B93" w:rsidP="00912F9D">
            <w:pPr>
              <w:pStyle w:val="TableParagraph"/>
              <w:spacing w:before="239" w:line="256" w:lineRule="exact"/>
              <w:ind w:left="-27"/>
              <w:rPr>
                <w:sz w:val="24"/>
              </w:rPr>
            </w:pPr>
            <w:r>
              <w:rPr>
                <w:sz w:val="24"/>
              </w:rPr>
              <w:t>Extract.</w:t>
            </w:r>
            <w:r>
              <w:rPr>
                <w:spacing w:val="44"/>
                <w:sz w:val="24"/>
              </w:rPr>
              <w:t xml:space="preserve"> </w:t>
            </w:r>
            <w:r>
              <w:rPr>
                <w:sz w:val="24"/>
              </w:rPr>
              <w:t>Data</w:t>
            </w:r>
            <w:r>
              <w:rPr>
                <w:spacing w:val="43"/>
                <w:sz w:val="24"/>
              </w:rPr>
              <w:t xml:space="preserve"> </w:t>
            </w:r>
            <w:r>
              <w:rPr>
                <w:spacing w:val="-5"/>
                <w:sz w:val="24"/>
              </w:rPr>
              <w:t>are</w:t>
            </w:r>
          </w:p>
        </w:tc>
      </w:tr>
    </w:tbl>
    <w:p w14:paraId="740B0B40" w14:textId="77777777" w:rsidR="00704B93" w:rsidRDefault="00704B93" w:rsidP="00704B93">
      <w:pPr>
        <w:pStyle w:val="BodyText"/>
        <w:spacing w:before="6"/>
      </w:pPr>
    </w:p>
    <w:p w14:paraId="66BB9AA5" w14:textId="77777777" w:rsidR="00704B93" w:rsidRDefault="00704B93" w:rsidP="00704B93">
      <w:pPr>
        <w:pStyle w:val="BodyText"/>
        <w:spacing w:line="480" w:lineRule="auto"/>
        <w:ind w:left="1080"/>
      </w:pPr>
      <w:r>
        <w:t>expressed</w:t>
      </w:r>
      <w:r>
        <w:rPr>
          <w:spacing w:val="40"/>
        </w:rPr>
        <w:t xml:space="preserve"> </w:t>
      </w:r>
      <w:r>
        <w:t>as</w:t>
      </w:r>
      <w:r>
        <w:rPr>
          <w:spacing w:val="40"/>
        </w:rPr>
        <w:t xml:space="preserve"> </w:t>
      </w:r>
      <w:proofErr w:type="spellStart"/>
      <w:r>
        <w:t>mean±SEM</w:t>
      </w:r>
      <w:proofErr w:type="spellEnd"/>
      <w:r>
        <w:t>.</w:t>
      </w:r>
      <w:r>
        <w:rPr>
          <w:spacing w:val="40"/>
        </w:rPr>
        <w:t xml:space="preserve"> </w:t>
      </w:r>
      <w:r>
        <w:t>n=3,</w:t>
      </w:r>
      <w:r>
        <w:rPr>
          <w:spacing w:val="40"/>
        </w:rPr>
        <w:t xml:space="preserve"> </w:t>
      </w:r>
      <w:proofErr w:type="spellStart"/>
      <w:r>
        <w:rPr>
          <w:vertAlign w:val="superscript"/>
        </w:rPr>
        <w:t>a</w:t>
      </w:r>
      <w:r>
        <w:t>P</w:t>
      </w:r>
      <w:proofErr w:type="spellEnd"/>
      <w:r>
        <w:rPr>
          <w:spacing w:val="40"/>
        </w:rPr>
        <w:t xml:space="preserve"> </w:t>
      </w:r>
      <w:r>
        <w:t>&lt;0.05,</w:t>
      </w:r>
      <w:r>
        <w:rPr>
          <w:spacing w:val="40"/>
        </w:rPr>
        <w:t xml:space="preserve"> </w:t>
      </w:r>
      <w:proofErr w:type="spellStart"/>
      <w:r>
        <w:rPr>
          <w:vertAlign w:val="superscript"/>
        </w:rPr>
        <w:t>b</w:t>
      </w:r>
      <w:r>
        <w:t>P</w:t>
      </w:r>
      <w:proofErr w:type="spellEnd"/>
      <w:r>
        <w:rPr>
          <w:spacing w:val="40"/>
        </w:rPr>
        <w:t xml:space="preserve"> </w:t>
      </w:r>
      <w:r>
        <w:t>&lt;0.01,</w:t>
      </w:r>
      <w:r>
        <w:rPr>
          <w:spacing w:val="40"/>
        </w:rPr>
        <w:t xml:space="preserve"> </w:t>
      </w:r>
      <w:proofErr w:type="spellStart"/>
      <w:r>
        <w:rPr>
          <w:vertAlign w:val="superscript"/>
        </w:rPr>
        <w:t>c</w:t>
      </w:r>
      <w:r>
        <w:t>P</w:t>
      </w:r>
      <w:proofErr w:type="spellEnd"/>
      <w:r>
        <w:rPr>
          <w:spacing w:val="40"/>
        </w:rPr>
        <w:t xml:space="preserve"> </w:t>
      </w:r>
      <w:r>
        <w:t>&lt;0.001,</w:t>
      </w:r>
      <w:r>
        <w:rPr>
          <w:spacing w:val="40"/>
        </w:rPr>
        <w:t xml:space="preserve"> </w:t>
      </w:r>
      <w:proofErr w:type="spellStart"/>
      <w:r>
        <w:rPr>
          <w:vertAlign w:val="superscript"/>
        </w:rPr>
        <w:t>d</w:t>
      </w:r>
      <w:r>
        <w:t>P</w:t>
      </w:r>
      <w:proofErr w:type="spellEnd"/>
      <w:r>
        <w:rPr>
          <w:spacing w:val="40"/>
        </w:rPr>
        <w:t xml:space="preserve"> </w:t>
      </w:r>
      <w:r>
        <w:t>&lt;0.0001</w:t>
      </w:r>
      <w:r>
        <w:rPr>
          <w:spacing w:val="40"/>
        </w:rPr>
        <w:t xml:space="preserve"> </w:t>
      </w:r>
      <w:r>
        <w:t>Compared</w:t>
      </w:r>
      <w:r>
        <w:rPr>
          <w:spacing w:val="40"/>
        </w:rPr>
        <w:t xml:space="preserve"> </w:t>
      </w:r>
      <w:r>
        <w:t>with</w:t>
      </w:r>
      <w:r>
        <w:rPr>
          <w:spacing w:val="40"/>
        </w:rPr>
        <w:t xml:space="preserve"> </w:t>
      </w:r>
      <w:r>
        <w:t>corresponding Negative Control.</w:t>
      </w:r>
    </w:p>
    <w:p w14:paraId="4628AAA5" w14:textId="77777777" w:rsidR="00704B93" w:rsidRDefault="00704B93" w:rsidP="00704B93">
      <w:pPr>
        <w:pStyle w:val="BodyText"/>
        <w:spacing w:line="480" w:lineRule="auto"/>
        <w:sectPr w:rsidR="00704B93" w:rsidSect="00704B93">
          <w:headerReference w:type="even" r:id="rId27"/>
          <w:headerReference w:type="default" r:id="rId28"/>
          <w:headerReference w:type="first" r:id="rId29"/>
          <w:pgSz w:w="12240" w:h="15840"/>
          <w:pgMar w:top="1340" w:right="360" w:bottom="280" w:left="360" w:header="752" w:footer="0" w:gutter="0"/>
          <w:cols w:space="720"/>
        </w:sectPr>
      </w:pPr>
    </w:p>
    <w:p w14:paraId="21275BB4" w14:textId="77777777" w:rsidR="00704B93" w:rsidRDefault="00704B93" w:rsidP="00704B93">
      <w:pPr>
        <w:pStyle w:val="Heading2"/>
        <w:numPr>
          <w:ilvl w:val="2"/>
          <w:numId w:val="13"/>
        </w:numPr>
        <w:tabs>
          <w:tab w:val="left" w:pos="1618"/>
        </w:tabs>
        <w:spacing w:before="79"/>
        <w:ind w:hanging="538"/>
      </w:pPr>
      <w:r>
        <w:lastRenderedPageBreak/>
        <w:t>Hormonal</w:t>
      </w:r>
      <w:r>
        <w:rPr>
          <w:spacing w:val="-7"/>
        </w:rPr>
        <w:t xml:space="preserve"> </w:t>
      </w:r>
      <w:r>
        <w:t>assays</w:t>
      </w:r>
      <w:r>
        <w:rPr>
          <w:spacing w:val="-8"/>
        </w:rPr>
        <w:t xml:space="preserve"> </w:t>
      </w:r>
      <w:r>
        <w:t>from</w:t>
      </w:r>
      <w:r>
        <w:rPr>
          <w:spacing w:val="-8"/>
        </w:rPr>
        <w:t xml:space="preserve"> </w:t>
      </w:r>
      <w:r>
        <w:t>female</w:t>
      </w:r>
      <w:r>
        <w:rPr>
          <w:spacing w:val="-8"/>
        </w:rPr>
        <w:t xml:space="preserve"> </w:t>
      </w:r>
      <w:r>
        <w:rPr>
          <w:spacing w:val="-4"/>
        </w:rPr>
        <w:t>rats</w:t>
      </w:r>
    </w:p>
    <w:p w14:paraId="7DF5C11C" w14:textId="77777777" w:rsidR="00704B93" w:rsidRDefault="00704B93" w:rsidP="00704B93">
      <w:pPr>
        <w:pStyle w:val="BodyText"/>
        <w:rPr>
          <w:b/>
        </w:rPr>
      </w:pPr>
    </w:p>
    <w:p w14:paraId="57FE3C44" w14:textId="77777777" w:rsidR="00704B93" w:rsidRDefault="00704B93" w:rsidP="00704B93">
      <w:pPr>
        <w:pStyle w:val="BodyText"/>
        <w:spacing w:line="480" w:lineRule="auto"/>
        <w:ind w:left="1080" w:right="1087"/>
        <w:jc w:val="both"/>
      </w:pPr>
      <w:r>
        <w:t>Overall, table 7 showed that levels of hormones increased in normal control and treated groups compared with corresponding Negative Control. The increase of LH level was dose and time dependent especially for the group treated with PE1. Normal Control and Groups treated with PE2, Metformin and Clomid presented a significant increase of LH level at 14, 21 and 28 days. About FSH, Normal Control and all the treated groups presented a significant increase of level but the group treated with PE1 showed only a significant increase at 14 days. While all the treated groups (PE1, PE2, Metformin and Clomid) and Normal Control showed a significant increase of estradiol and progesterone levels at 14, 21 and 28 days. With TSH and GnRH, levels have been not increased significantly in Groups treated with plant extracts (PE1 and PE2) while the significance increase was time dependent in Normal Control, Metformin, and Clomid</w:t>
      </w:r>
      <w:r>
        <w:rPr>
          <w:spacing w:val="80"/>
        </w:rPr>
        <w:t xml:space="preserve"> </w:t>
      </w:r>
      <w:r>
        <w:rPr>
          <w:spacing w:val="-2"/>
        </w:rPr>
        <w:t>groups.</w:t>
      </w:r>
    </w:p>
    <w:p w14:paraId="4F5AE886" w14:textId="77777777" w:rsidR="00704B93" w:rsidRDefault="00704B93" w:rsidP="00704B93">
      <w:pPr>
        <w:pStyle w:val="BodyText"/>
        <w:spacing w:line="480" w:lineRule="auto"/>
        <w:jc w:val="both"/>
        <w:sectPr w:rsidR="00704B93" w:rsidSect="00704B93">
          <w:headerReference w:type="even" r:id="rId30"/>
          <w:headerReference w:type="default" r:id="rId31"/>
          <w:headerReference w:type="first" r:id="rId32"/>
          <w:pgSz w:w="12240" w:h="15840"/>
          <w:pgMar w:top="1340" w:right="360" w:bottom="280" w:left="360" w:header="752" w:footer="0" w:gutter="0"/>
          <w:pgNumType w:start="1"/>
          <w:cols w:space="720"/>
        </w:sectPr>
      </w:pPr>
    </w:p>
    <w:p w14:paraId="6D974521" w14:textId="2DA5FD68" w:rsidR="00704B93" w:rsidRDefault="00704B93" w:rsidP="00704B93">
      <w:pPr>
        <w:pStyle w:val="BodyText"/>
        <w:spacing w:before="79"/>
        <w:ind w:left="1080"/>
      </w:pPr>
      <w:r>
        <w:rPr>
          <w:b/>
        </w:rPr>
        <w:lastRenderedPageBreak/>
        <w:t>Table</w:t>
      </w:r>
      <w:r>
        <w:rPr>
          <w:b/>
          <w:spacing w:val="-8"/>
        </w:rPr>
        <w:t xml:space="preserve"> </w:t>
      </w:r>
      <w:r w:rsidR="00D223FC">
        <w:rPr>
          <w:b/>
        </w:rPr>
        <w:t>5</w:t>
      </w:r>
      <w:r>
        <w:rPr>
          <w:b/>
        </w:rPr>
        <w:t>:</w:t>
      </w:r>
      <w:r>
        <w:rPr>
          <w:b/>
          <w:spacing w:val="-4"/>
        </w:rPr>
        <w:t xml:space="preserve"> </w:t>
      </w:r>
      <w:r>
        <w:t>Level</w:t>
      </w:r>
      <w:r>
        <w:rPr>
          <w:spacing w:val="-7"/>
        </w:rPr>
        <w:t xml:space="preserve"> </w:t>
      </w:r>
      <w:r>
        <w:t>of</w:t>
      </w:r>
      <w:r>
        <w:rPr>
          <w:spacing w:val="-5"/>
        </w:rPr>
        <w:t xml:space="preserve"> </w:t>
      </w:r>
      <w:r>
        <w:t>Hormones</w:t>
      </w:r>
      <w:r>
        <w:rPr>
          <w:spacing w:val="-8"/>
        </w:rPr>
        <w:t xml:space="preserve"> </w:t>
      </w:r>
      <w:r>
        <w:t>in</w:t>
      </w:r>
      <w:r>
        <w:rPr>
          <w:spacing w:val="-3"/>
        </w:rPr>
        <w:t xml:space="preserve"> </w:t>
      </w:r>
      <w:r>
        <w:t>Females</w:t>
      </w:r>
      <w:r>
        <w:rPr>
          <w:spacing w:val="-3"/>
        </w:rPr>
        <w:t xml:space="preserve"> </w:t>
      </w:r>
      <w:r>
        <w:t>According</w:t>
      </w:r>
      <w:r>
        <w:rPr>
          <w:spacing w:val="-6"/>
        </w:rPr>
        <w:t xml:space="preserve"> </w:t>
      </w:r>
      <w:r>
        <w:t>to</w:t>
      </w:r>
      <w:r>
        <w:rPr>
          <w:spacing w:val="-5"/>
        </w:rPr>
        <w:t xml:space="preserve"> </w:t>
      </w:r>
      <w:r>
        <w:t>the</w:t>
      </w:r>
      <w:r>
        <w:rPr>
          <w:spacing w:val="-8"/>
        </w:rPr>
        <w:t xml:space="preserve"> </w:t>
      </w:r>
      <w:r>
        <w:t>Period</w:t>
      </w:r>
      <w:r>
        <w:rPr>
          <w:spacing w:val="-6"/>
        </w:rPr>
        <w:t xml:space="preserve"> </w:t>
      </w:r>
      <w:r>
        <w:t>and</w:t>
      </w:r>
      <w:r>
        <w:rPr>
          <w:spacing w:val="-6"/>
        </w:rPr>
        <w:t xml:space="preserve"> </w:t>
      </w:r>
      <w:r>
        <w:t>the</w:t>
      </w:r>
      <w:r>
        <w:rPr>
          <w:spacing w:val="-5"/>
        </w:rPr>
        <w:t xml:space="preserve"> </w:t>
      </w:r>
      <w:r>
        <w:rPr>
          <w:spacing w:val="-2"/>
        </w:rPr>
        <w:t>Treatment</w:t>
      </w:r>
    </w:p>
    <w:p w14:paraId="5F43E4C5" w14:textId="77777777" w:rsidR="00704B93" w:rsidRDefault="00704B93" w:rsidP="00704B93">
      <w:pPr>
        <w:pStyle w:val="BodyText"/>
        <w:spacing w:before="212" w:after="1"/>
        <w:rPr>
          <w:sz w:val="20"/>
        </w:rPr>
      </w:pPr>
    </w:p>
    <w:tbl>
      <w:tblPr>
        <w:tblW w:w="5000" w:type="pct"/>
        <w:tblCellMar>
          <w:left w:w="0" w:type="dxa"/>
          <w:right w:w="0" w:type="dxa"/>
        </w:tblCellMar>
        <w:tblLook w:val="04A0" w:firstRow="1" w:lastRow="0" w:firstColumn="1" w:lastColumn="0" w:noHBand="0" w:noVBand="1"/>
      </w:tblPr>
      <w:tblGrid>
        <w:gridCol w:w="725"/>
        <w:gridCol w:w="1321"/>
        <w:gridCol w:w="1177"/>
        <w:gridCol w:w="1176"/>
        <w:gridCol w:w="1393"/>
        <w:gridCol w:w="1114"/>
        <w:gridCol w:w="1107"/>
        <w:gridCol w:w="1347"/>
      </w:tblGrid>
      <w:tr w:rsidR="00704B93" w14:paraId="55CDF4ED" w14:textId="77777777" w:rsidTr="00F61606">
        <w:trPr>
          <w:trHeight w:val="832"/>
        </w:trPr>
        <w:tc>
          <w:tcPr>
            <w:tcW w:w="417" w:type="pct"/>
            <w:tcBorders>
              <w:top w:val="single" w:sz="4" w:space="0" w:color="000000"/>
              <w:bottom w:val="single" w:sz="4" w:space="0" w:color="000000"/>
            </w:tcBorders>
          </w:tcPr>
          <w:p w14:paraId="4AAC350E" w14:textId="77777777" w:rsidR="00704B93" w:rsidRDefault="00704B93" w:rsidP="00912F9D">
            <w:pPr>
              <w:pStyle w:val="TableParagraph"/>
              <w:spacing w:line="275" w:lineRule="exact"/>
              <w:ind w:left="107"/>
              <w:rPr>
                <w:b/>
                <w:sz w:val="24"/>
              </w:rPr>
            </w:pPr>
            <w:r>
              <w:rPr>
                <w:b/>
                <w:spacing w:val="-2"/>
                <w:sz w:val="24"/>
              </w:rPr>
              <w:t>Period</w:t>
            </w:r>
          </w:p>
        </w:tc>
        <w:tc>
          <w:tcPr>
            <w:tcW w:w="668" w:type="pct"/>
            <w:tcBorders>
              <w:top w:val="single" w:sz="4" w:space="0" w:color="000000"/>
              <w:bottom w:val="single" w:sz="4" w:space="0" w:color="000000"/>
            </w:tcBorders>
          </w:tcPr>
          <w:p w14:paraId="4B7C2B9C" w14:textId="77777777" w:rsidR="00704B93" w:rsidRDefault="00704B93" w:rsidP="00912F9D">
            <w:pPr>
              <w:pStyle w:val="TableParagraph"/>
              <w:ind w:left="109"/>
              <w:rPr>
                <w:b/>
                <w:sz w:val="24"/>
              </w:rPr>
            </w:pPr>
            <w:r>
              <w:rPr>
                <w:b/>
                <w:spacing w:val="-2"/>
                <w:sz w:val="24"/>
              </w:rPr>
              <w:t>Experiment Groups</w:t>
            </w:r>
          </w:p>
        </w:tc>
        <w:tc>
          <w:tcPr>
            <w:tcW w:w="648" w:type="pct"/>
            <w:tcBorders>
              <w:top w:val="single" w:sz="4" w:space="0" w:color="000000"/>
              <w:bottom w:val="single" w:sz="4" w:space="0" w:color="000000"/>
            </w:tcBorders>
          </w:tcPr>
          <w:p w14:paraId="75A1CB1F" w14:textId="77777777" w:rsidR="00704B93" w:rsidRDefault="00704B93" w:rsidP="00912F9D">
            <w:pPr>
              <w:pStyle w:val="TableParagraph"/>
              <w:spacing w:line="275" w:lineRule="exact"/>
              <w:ind w:left="108"/>
              <w:rPr>
                <w:b/>
                <w:sz w:val="24"/>
              </w:rPr>
            </w:pPr>
            <w:r>
              <w:rPr>
                <w:b/>
                <w:spacing w:val="-5"/>
                <w:sz w:val="24"/>
              </w:rPr>
              <w:t>LH</w:t>
            </w:r>
          </w:p>
          <w:p w14:paraId="5AFA6117" w14:textId="77777777" w:rsidR="00704B93" w:rsidRDefault="00704B93" w:rsidP="00912F9D">
            <w:pPr>
              <w:pStyle w:val="TableParagraph"/>
              <w:ind w:left="108"/>
              <w:rPr>
                <w:b/>
                <w:sz w:val="24"/>
              </w:rPr>
            </w:pPr>
            <w:r>
              <w:rPr>
                <w:b/>
                <w:spacing w:val="-2"/>
                <w:sz w:val="24"/>
              </w:rPr>
              <w:t>(</w:t>
            </w:r>
            <w:proofErr w:type="spellStart"/>
            <w:r>
              <w:rPr>
                <w:b/>
                <w:spacing w:val="-2"/>
                <w:sz w:val="24"/>
              </w:rPr>
              <w:t>mIU</w:t>
            </w:r>
            <w:proofErr w:type="spellEnd"/>
            <w:r>
              <w:rPr>
                <w:b/>
                <w:spacing w:val="-2"/>
                <w:sz w:val="24"/>
              </w:rPr>
              <w:t>/ml)</w:t>
            </w:r>
          </w:p>
        </w:tc>
        <w:tc>
          <w:tcPr>
            <w:tcW w:w="648" w:type="pct"/>
            <w:tcBorders>
              <w:top w:val="single" w:sz="4" w:space="0" w:color="000000"/>
              <w:bottom w:val="single" w:sz="4" w:space="0" w:color="000000"/>
            </w:tcBorders>
          </w:tcPr>
          <w:p w14:paraId="526BA0DF" w14:textId="77777777" w:rsidR="00704B93" w:rsidRDefault="00704B93" w:rsidP="00912F9D">
            <w:pPr>
              <w:pStyle w:val="TableParagraph"/>
              <w:spacing w:line="275" w:lineRule="exact"/>
              <w:ind w:left="107"/>
              <w:rPr>
                <w:b/>
                <w:sz w:val="24"/>
              </w:rPr>
            </w:pPr>
            <w:r>
              <w:rPr>
                <w:b/>
                <w:spacing w:val="-5"/>
                <w:sz w:val="24"/>
              </w:rPr>
              <w:t>FSH</w:t>
            </w:r>
          </w:p>
          <w:p w14:paraId="06076BF9" w14:textId="77777777" w:rsidR="00704B93" w:rsidRDefault="00704B93" w:rsidP="00912F9D">
            <w:pPr>
              <w:pStyle w:val="TableParagraph"/>
              <w:ind w:left="107"/>
              <w:rPr>
                <w:b/>
                <w:sz w:val="24"/>
              </w:rPr>
            </w:pPr>
            <w:r>
              <w:rPr>
                <w:b/>
                <w:spacing w:val="-2"/>
                <w:sz w:val="24"/>
              </w:rPr>
              <w:t>(</w:t>
            </w:r>
            <w:proofErr w:type="spellStart"/>
            <w:r>
              <w:rPr>
                <w:b/>
                <w:spacing w:val="-2"/>
                <w:sz w:val="24"/>
              </w:rPr>
              <w:t>mIU</w:t>
            </w:r>
            <w:proofErr w:type="spellEnd"/>
            <w:r>
              <w:rPr>
                <w:b/>
                <w:spacing w:val="-2"/>
                <w:sz w:val="24"/>
              </w:rPr>
              <w:t>/ml)</w:t>
            </w:r>
          </w:p>
        </w:tc>
        <w:tc>
          <w:tcPr>
            <w:tcW w:w="704" w:type="pct"/>
            <w:tcBorders>
              <w:top w:val="single" w:sz="4" w:space="0" w:color="000000"/>
              <w:bottom w:val="single" w:sz="4" w:space="0" w:color="000000"/>
            </w:tcBorders>
          </w:tcPr>
          <w:p w14:paraId="65C5E494" w14:textId="77777777" w:rsidR="00704B93" w:rsidRDefault="00704B93" w:rsidP="00912F9D">
            <w:pPr>
              <w:pStyle w:val="TableParagraph"/>
              <w:ind w:left="108" w:right="451"/>
              <w:rPr>
                <w:b/>
                <w:sz w:val="24"/>
              </w:rPr>
            </w:pPr>
            <w:r>
              <w:rPr>
                <w:b/>
                <w:spacing w:val="-2"/>
                <w:sz w:val="24"/>
              </w:rPr>
              <w:t>Estradiol (pg/ml)</w:t>
            </w:r>
          </w:p>
        </w:tc>
        <w:tc>
          <w:tcPr>
            <w:tcW w:w="592" w:type="pct"/>
            <w:tcBorders>
              <w:top w:val="single" w:sz="4" w:space="0" w:color="000000"/>
              <w:bottom w:val="single" w:sz="4" w:space="0" w:color="000000"/>
            </w:tcBorders>
          </w:tcPr>
          <w:p w14:paraId="73DEF9A6" w14:textId="77777777" w:rsidR="00704B93" w:rsidRDefault="00704B93" w:rsidP="00912F9D">
            <w:pPr>
              <w:pStyle w:val="TableParagraph"/>
              <w:spacing w:line="275" w:lineRule="exact"/>
              <w:ind w:left="107"/>
              <w:rPr>
                <w:b/>
                <w:sz w:val="24"/>
              </w:rPr>
            </w:pPr>
            <w:r>
              <w:rPr>
                <w:b/>
                <w:spacing w:val="-5"/>
                <w:sz w:val="24"/>
              </w:rPr>
              <w:t>TSH</w:t>
            </w:r>
          </w:p>
          <w:p w14:paraId="4C1C471F" w14:textId="77777777" w:rsidR="00704B93" w:rsidRDefault="00704B93" w:rsidP="00912F9D">
            <w:pPr>
              <w:pStyle w:val="TableParagraph"/>
              <w:ind w:left="107"/>
              <w:rPr>
                <w:b/>
                <w:sz w:val="24"/>
              </w:rPr>
            </w:pPr>
            <w:r>
              <w:rPr>
                <w:b/>
                <w:spacing w:val="-2"/>
                <w:sz w:val="24"/>
              </w:rPr>
              <w:t>(</w:t>
            </w:r>
            <w:proofErr w:type="spellStart"/>
            <w:r>
              <w:rPr>
                <w:b/>
                <w:spacing w:val="-2"/>
                <w:sz w:val="24"/>
              </w:rPr>
              <w:t>mUI</w:t>
            </w:r>
            <w:proofErr w:type="spellEnd"/>
            <w:r>
              <w:rPr>
                <w:b/>
                <w:spacing w:val="-2"/>
                <w:sz w:val="24"/>
              </w:rPr>
              <w:t>/ml)</w:t>
            </w:r>
          </w:p>
        </w:tc>
        <w:tc>
          <w:tcPr>
            <w:tcW w:w="588" w:type="pct"/>
            <w:tcBorders>
              <w:top w:val="single" w:sz="4" w:space="0" w:color="000000"/>
              <w:bottom w:val="single" w:sz="4" w:space="0" w:color="000000"/>
            </w:tcBorders>
          </w:tcPr>
          <w:p w14:paraId="73E146CD" w14:textId="77777777" w:rsidR="00704B93" w:rsidRDefault="00704B93" w:rsidP="00912F9D">
            <w:pPr>
              <w:pStyle w:val="TableParagraph"/>
              <w:spacing w:line="275" w:lineRule="exact"/>
              <w:ind w:left="107"/>
              <w:rPr>
                <w:b/>
                <w:sz w:val="24"/>
              </w:rPr>
            </w:pPr>
            <w:r>
              <w:rPr>
                <w:b/>
                <w:spacing w:val="-4"/>
                <w:sz w:val="24"/>
              </w:rPr>
              <w:t>GnRH</w:t>
            </w:r>
          </w:p>
          <w:p w14:paraId="24661ECF" w14:textId="77777777" w:rsidR="00704B93" w:rsidRDefault="00704B93" w:rsidP="00912F9D">
            <w:pPr>
              <w:pStyle w:val="TableParagraph"/>
              <w:ind w:left="107"/>
              <w:rPr>
                <w:b/>
                <w:sz w:val="24"/>
              </w:rPr>
            </w:pPr>
            <w:r>
              <w:rPr>
                <w:b/>
                <w:spacing w:val="-2"/>
                <w:sz w:val="24"/>
              </w:rPr>
              <w:t>(ng/ml)</w:t>
            </w:r>
          </w:p>
        </w:tc>
        <w:tc>
          <w:tcPr>
            <w:tcW w:w="734" w:type="pct"/>
            <w:tcBorders>
              <w:top w:val="single" w:sz="4" w:space="0" w:color="000000"/>
              <w:bottom w:val="single" w:sz="4" w:space="0" w:color="000000"/>
            </w:tcBorders>
          </w:tcPr>
          <w:p w14:paraId="7CB8BA3F" w14:textId="77777777" w:rsidR="00704B93" w:rsidRDefault="00704B93" w:rsidP="00912F9D">
            <w:pPr>
              <w:pStyle w:val="TableParagraph"/>
              <w:ind w:left="117"/>
              <w:rPr>
                <w:b/>
                <w:sz w:val="24"/>
              </w:rPr>
            </w:pPr>
            <w:r>
              <w:rPr>
                <w:b/>
                <w:spacing w:val="-2"/>
                <w:sz w:val="24"/>
              </w:rPr>
              <w:t>Progesterone (ng/ml)</w:t>
            </w:r>
          </w:p>
        </w:tc>
      </w:tr>
      <w:tr w:rsidR="00704B93" w14:paraId="2B6A8D7E" w14:textId="77777777" w:rsidTr="00F61606">
        <w:trPr>
          <w:trHeight w:val="568"/>
        </w:trPr>
        <w:tc>
          <w:tcPr>
            <w:tcW w:w="417" w:type="pct"/>
            <w:tcBorders>
              <w:top w:val="single" w:sz="4" w:space="0" w:color="000000"/>
            </w:tcBorders>
          </w:tcPr>
          <w:p w14:paraId="593A139E" w14:textId="77777777" w:rsidR="00704B93" w:rsidRDefault="00704B93" w:rsidP="00912F9D">
            <w:pPr>
              <w:pStyle w:val="TableParagraph"/>
            </w:pPr>
          </w:p>
        </w:tc>
        <w:tc>
          <w:tcPr>
            <w:tcW w:w="668" w:type="pct"/>
            <w:tcBorders>
              <w:top w:val="single" w:sz="4" w:space="0" w:color="000000"/>
            </w:tcBorders>
          </w:tcPr>
          <w:p w14:paraId="240F8757" w14:textId="77777777" w:rsidR="00704B93" w:rsidRDefault="00704B93" w:rsidP="00912F9D">
            <w:pPr>
              <w:pStyle w:val="TableParagraph"/>
              <w:spacing w:line="276" w:lineRule="exact"/>
              <w:ind w:left="109" w:right="580"/>
              <w:rPr>
                <w:sz w:val="24"/>
              </w:rPr>
            </w:pPr>
            <w:r>
              <w:rPr>
                <w:spacing w:val="-2"/>
                <w:sz w:val="24"/>
              </w:rPr>
              <w:t>Normal Control</w:t>
            </w:r>
          </w:p>
        </w:tc>
        <w:tc>
          <w:tcPr>
            <w:tcW w:w="648" w:type="pct"/>
            <w:tcBorders>
              <w:top w:val="single" w:sz="4" w:space="0" w:color="000000"/>
            </w:tcBorders>
          </w:tcPr>
          <w:p w14:paraId="02C7E083" w14:textId="77777777" w:rsidR="00704B93" w:rsidRDefault="00704B93" w:rsidP="00912F9D">
            <w:pPr>
              <w:pStyle w:val="TableParagraph"/>
              <w:spacing w:line="275" w:lineRule="exact"/>
              <w:ind w:left="108"/>
              <w:rPr>
                <w:sz w:val="24"/>
              </w:rPr>
            </w:pPr>
            <w:r>
              <w:rPr>
                <w:spacing w:val="-2"/>
                <w:sz w:val="24"/>
              </w:rPr>
              <w:t>17.08</w:t>
            </w:r>
          </w:p>
          <w:p w14:paraId="48FCB524" w14:textId="77777777" w:rsidR="00704B93" w:rsidRDefault="00704B93" w:rsidP="00912F9D">
            <w:pPr>
              <w:pStyle w:val="TableParagraph"/>
              <w:spacing w:line="273" w:lineRule="exact"/>
              <w:ind w:left="108"/>
              <w:rPr>
                <w:sz w:val="24"/>
              </w:rPr>
            </w:pPr>
            <w:r>
              <w:rPr>
                <w:spacing w:val="-2"/>
                <w:sz w:val="24"/>
              </w:rPr>
              <w:t>±0.50</w:t>
            </w:r>
            <w:r>
              <w:rPr>
                <w:spacing w:val="-2"/>
                <w:sz w:val="24"/>
                <w:vertAlign w:val="superscript"/>
              </w:rPr>
              <w:t>d</w:t>
            </w:r>
          </w:p>
        </w:tc>
        <w:tc>
          <w:tcPr>
            <w:tcW w:w="648" w:type="pct"/>
            <w:tcBorders>
              <w:top w:val="single" w:sz="4" w:space="0" w:color="000000"/>
            </w:tcBorders>
          </w:tcPr>
          <w:p w14:paraId="21BDFEB9" w14:textId="77777777" w:rsidR="00704B93" w:rsidRDefault="00704B93" w:rsidP="00912F9D">
            <w:pPr>
              <w:pStyle w:val="TableParagraph"/>
              <w:spacing w:line="275" w:lineRule="exact"/>
              <w:ind w:left="107"/>
              <w:rPr>
                <w:sz w:val="24"/>
              </w:rPr>
            </w:pPr>
            <w:r>
              <w:rPr>
                <w:spacing w:val="-2"/>
                <w:sz w:val="24"/>
              </w:rPr>
              <w:t>17.60±1.23</w:t>
            </w:r>
            <w:r>
              <w:rPr>
                <w:spacing w:val="-2"/>
                <w:sz w:val="24"/>
                <w:vertAlign w:val="superscript"/>
              </w:rPr>
              <w:t>d</w:t>
            </w:r>
          </w:p>
        </w:tc>
        <w:tc>
          <w:tcPr>
            <w:tcW w:w="704" w:type="pct"/>
            <w:tcBorders>
              <w:top w:val="single" w:sz="4" w:space="0" w:color="000000"/>
            </w:tcBorders>
          </w:tcPr>
          <w:p w14:paraId="10E1C51E" w14:textId="77777777" w:rsidR="00704B93" w:rsidRDefault="00704B93" w:rsidP="00912F9D">
            <w:pPr>
              <w:pStyle w:val="TableParagraph"/>
              <w:spacing w:line="275" w:lineRule="exact"/>
              <w:ind w:left="83" w:right="199"/>
              <w:jc w:val="center"/>
              <w:rPr>
                <w:sz w:val="24"/>
              </w:rPr>
            </w:pPr>
            <w:r>
              <w:rPr>
                <w:spacing w:val="-2"/>
                <w:sz w:val="24"/>
              </w:rPr>
              <w:t>41.46±0.84</w:t>
            </w:r>
            <w:r>
              <w:rPr>
                <w:spacing w:val="-2"/>
                <w:sz w:val="24"/>
                <w:vertAlign w:val="superscript"/>
              </w:rPr>
              <w:t>d</w:t>
            </w:r>
          </w:p>
        </w:tc>
        <w:tc>
          <w:tcPr>
            <w:tcW w:w="592" w:type="pct"/>
            <w:tcBorders>
              <w:top w:val="single" w:sz="4" w:space="0" w:color="000000"/>
            </w:tcBorders>
          </w:tcPr>
          <w:p w14:paraId="4053D56F" w14:textId="77777777" w:rsidR="00704B93" w:rsidRDefault="00704B93" w:rsidP="00912F9D">
            <w:pPr>
              <w:pStyle w:val="TableParagraph"/>
              <w:spacing w:line="275" w:lineRule="exact"/>
              <w:ind w:right="79"/>
              <w:jc w:val="center"/>
              <w:rPr>
                <w:sz w:val="24"/>
              </w:rPr>
            </w:pPr>
            <w:r>
              <w:rPr>
                <w:spacing w:val="-2"/>
                <w:sz w:val="24"/>
              </w:rPr>
              <w:t>5.74</w:t>
            </w:r>
            <w:r>
              <w:rPr>
                <w:b/>
                <w:spacing w:val="-2"/>
                <w:sz w:val="24"/>
              </w:rPr>
              <w:t>±</w:t>
            </w:r>
            <w:r>
              <w:rPr>
                <w:spacing w:val="-2"/>
                <w:sz w:val="24"/>
              </w:rPr>
              <w:t>0.42</w:t>
            </w:r>
          </w:p>
        </w:tc>
        <w:tc>
          <w:tcPr>
            <w:tcW w:w="588" w:type="pct"/>
            <w:tcBorders>
              <w:top w:val="single" w:sz="4" w:space="0" w:color="000000"/>
            </w:tcBorders>
          </w:tcPr>
          <w:p w14:paraId="6B2FCC61" w14:textId="77777777" w:rsidR="00704B93" w:rsidRDefault="00704B93" w:rsidP="00912F9D">
            <w:pPr>
              <w:pStyle w:val="TableParagraph"/>
              <w:spacing w:line="275" w:lineRule="exact"/>
              <w:ind w:left="72" w:right="72"/>
              <w:jc w:val="center"/>
              <w:rPr>
                <w:sz w:val="24"/>
              </w:rPr>
            </w:pPr>
            <w:r>
              <w:rPr>
                <w:spacing w:val="-2"/>
                <w:sz w:val="24"/>
              </w:rPr>
              <w:t>8.57</w:t>
            </w:r>
            <w:r>
              <w:rPr>
                <w:b/>
                <w:spacing w:val="-2"/>
                <w:sz w:val="24"/>
              </w:rPr>
              <w:t>±</w:t>
            </w:r>
            <w:r>
              <w:rPr>
                <w:spacing w:val="-2"/>
                <w:sz w:val="24"/>
              </w:rPr>
              <w:t>0.26</w:t>
            </w:r>
            <w:r>
              <w:rPr>
                <w:spacing w:val="-2"/>
                <w:sz w:val="24"/>
                <w:vertAlign w:val="superscript"/>
              </w:rPr>
              <w:t>c</w:t>
            </w:r>
          </w:p>
        </w:tc>
        <w:tc>
          <w:tcPr>
            <w:tcW w:w="734" w:type="pct"/>
            <w:tcBorders>
              <w:top w:val="single" w:sz="4" w:space="0" w:color="000000"/>
            </w:tcBorders>
          </w:tcPr>
          <w:p w14:paraId="23C082E7" w14:textId="77777777" w:rsidR="00704B93" w:rsidRDefault="00704B93" w:rsidP="00912F9D">
            <w:pPr>
              <w:pStyle w:val="TableParagraph"/>
              <w:spacing w:line="275" w:lineRule="exact"/>
              <w:ind w:left="117"/>
              <w:rPr>
                <w:sz w:val="24"/>
              </w:rPr>
            </w:pPr>
            <w:r>
              <w:rPr>
                <w:spacing w:val="-2"/>
                <w:sz w:val="24"/>
              </w:rPr>
              <w:t>85.87</w:t>
            </w:r>
            <w:r>
              <w:rPr>
                <w:b/>
                <w:spacing w:val="-2"/>
                <w:sz w:val="24"/>
              </w:rPr>
              <w:t>±</w:t>
            </w:r>
            <w:r>
              <w:rPr>
                <w:spacing w:val="-2"/>
                <w:sz w:val="24"/>
              </w:rPr>
              <w:t>3.31</w:t>
            </w:r>
            <w:r>
              <w:rPr>
                <w:spacing w:val="-2"/>
                <w:sz w:val="24"/>
                <w:vertAlign w:val="superscript"/>
              </w:rPr>
              <w:t>d</w:t>
            </w:r>
          </w:p>
        </w:tc>
      </w:tr>
      <w:tr w:rsidR="00704B93" w14:paraId="0E3D1296" w14:textId="77777777" w:rsidTr="00F61606">
        <w:trPr>
          <w:trHeight w:val="608"/>
        </w:trPr>
        <w:tc>
          <w:tcPr>
            <w:tcW w:w="417" w:type="pct"/>
          </w:tcPr>
          <w:p w14:paraId="31C2EFBE" w14:textId="77777777" w:rsidR="00704B93" w:rsidRDefault="00704B93" w:rsidP="00912F9D">
            <w:pPr>
              <w:pStyle w:val="TableParagraph"/>
              <w:spacing w:before="76"/>
              <w:rPr>
                <w:sz w:val="24"/>
              </w:rPr>
            </w:pPr>
          </w:p>
          <w:p w14:paraId="1E74251E" w14:textId="77777777" w:rsidR="00704B93" w:rsidRDefault="00704B93" w:rsidP="00912F9D">
            <w:pPr>
              <w:pStyle w:val="TableParagraph"/>
              <w:spacing w:line="236" w:lineRule="exact"/>
              <w:ind w:left="107"/>
              <w:rPr>
                <w:b/>
                <w:sz w:val="24"/>
              </w:rPr>
            </w:pPr>
            <w:r>
              <w:rPr>
                <w:b/>
                <w:spacing w:val="-5"/>
                <w:sz w:val="24"/>
              </w:rPr>
              <w:t>14</w:t>
            </w:r>
          </w:p>
        </w:tc>
        <w:tc>
          <w:tcPr>
            <w:tcW w:w="668" w:type="pct"/>
          </w:tcPr>
          <w:p w14:paraId="68C0A240" w14:textId="77777777" w:rsidR="00704B93" w:rsidRDefault="00704B93" w:rsidP="00912F9D">
            <w:pPr>
              <w:pStyle w:val="TableParagraph"/>
              <w:spacing w:before="6"/>
              <w:ind w:left="109" w:right="451"/>
              <w:rPr>
                <w:sz w:val="24"/>
              </w:rPr>
            </w:pPr>
            <w:r>
              <w:rPr>
                <w:spacing w:val="-2"/>
                <w:sz w:val="24"/>
              </w:rPr>
              <w:t>Negative control</w:t>
            </w:r>
          </w:p>
        </w:tc>
        <w:tc>
          <w:tcPr>
            <w:tcW w:w="648" w:type="pct"/>
          </w:tcPr>
          <w:p w14:paraId="411D4D7D" w14:textId="77777777" w:rsidR="00704B93" w:rsidRDefault="00704B93" w:rsidP="00912F9D">
            <w:pPr>
              <w:pStyle w:val="TableParagraph"/>
              <w:spacing w:before="6"/>
              <w:ind w:left="108"/>
              <w:rPr>
                <w:b/>
                <w:sz w:val="24"/>
              </w:rPr>
            </w:pPr>
            <w:r>
              <w:rPr>
                <w:b/>
                <w:spacing w:val="-2"/>
                <w:sz w:val="24"/>
              </w:rPr>
              <w:t>3.60±0.29</w:t>
            </w:r>
          </w:p>
        </w:tc>
        <w:tc>
          <w:tcPr>
            <w:tcW w:w="648" w:type="pct"/>
          </w:tcPr>
          <w:p w14:paraId="1C327EE4" w14:textId="77777777" w:rsidR="00704B93" w:rsidRDefault="00704B93" w:rsidP="00912F9D">
            <w:pPr>
              <w:pStyle w:val="TableParagraph"/>
              <w:spacing w:before="6"/>
              <w:ind w:left="107"/>
              <w:rPr>
                <w:b/>
                <w:sz w:val="24"/>
              </w:rPr>
            </w:pPr>
            <w:r>
              <w:rPr>
                <w:b/>
                <w:spacing w:val="-2"/>
                <w:sz w:val="24"/>
              </w:rPr>
              <w:t>3.24±0.13</w:t>
            </w:r>
          </w:p>
        </w:tc>
        <w:tc>
          <w:tcPr>
            <w:tcW w:w="704" w:type="pct"/>
          </w:tcPr>
          <w:p w14:paraId="583AB96F" w14:textId="77777777" w:rsidR="00704B93" w:rsidRDefault="00704B93" w:rsidP="00912F9D">
            <w:pPr>
              <w:pStyle w:val="TableParagraph"/>
              <w:spacing w:before="6"/>
              <w:ind w:left="1" w:right="200"/>
              <w:jc w:val="center"/>
              <w:rPr>
                <w:b/>
                <w:sz w:val="24"/>
              </w:rPr>
            </w:pPr>
            <w:r>
              <w:rPr>
                <w:b/>
                <w:spacing w:val="-2"/>
                <w:sz w:val="24"/>
              </w:rPr>
              <w:t>41.45±0.83</w:t>
            </w:r>
          </w:p>
        </w:tc>
        <w:tc>
          <w:tcPr>
            <w:tcW w:w="592" w:type="pct"/>
          </w:tcPr>
          <w:p w14:paraId="5FE8B189" w14:textId="77777777" w:rsidR="00704B93" w:rsidRDefault="00704B93" w:rsidP="00912F9D">
            <w:pPr>
              <w:pStyle w:val="TableParagraph"/>
              <w:spacing w:before="6"/>
              <w:ind w:right="79"/>
              <w:jc w:val="center"/>
              <w:rPr>
                <w:b/>
                <w:sz w:val="24"/>
              </w:rPr>
            </w:pPr>
            <w:r>
              <w:rPr>
                <w:b/>
                <w:spacing w:val="-2"/>
                <w:sz w:val="24"/>
              </w:rPr>
              <w:t>0.77±0.39</w:t>
            </w:r>
          </w:p>
        </w:tc>
        <w:tc>
          <w:tcPr>
            <w:tcW w:w="588" w:type="pct"/>
          </w:tcPr>
          <w:p w14:paraId="7CEFC948" w14:textId="77777777" w:rsidR="00704B93" w:rsidRDefault="00704B93" w:rsidP="00912F9D">
            <w:pPr>
              <w:pStyle w:val="TableParagraph"/>
              <w:spacing w:before="6"/>
              <w:ind w:left="7" w:right="79"/>
              <w:jc w:val="center"/>
              <w:rPr>
                <w:b/>
                <w:sz w:val="24"/>
              </w:rPr>
            </w:pPr>
            <w:r>
              <w:rPr>
                <w:b/>
                <w:spacing w:val="-2"/>
                <w:sz w:val="24"/>
              </w:rPr>
              <w:t>0.20±0.02</w:t>
            </w:r>
          </w:p>
        </w:tc>
        <w:tc>
          <w:tcPr>
            <w:tcW w:w="734" w:type="pct"/>
          </w:tcPr>
          <w:p w14:paraId="1609BA4E" w14:textId="77777777" w:rsidR="00704B93" w:rsidRDefault="00704B93" w:rsidP="00912F9D">
            <w:pPr>
              <w:pStyle w:val="TableParagraph"/>
              <w:spacing w:before="6"/>
              <w:ind w:left="117"/>
              <w:rPr>
                <w:b/>
                <w:sz w:val="24"/>
              </w:rPr>
            </w:pPr>
            <w:r>
              <w:rPr>
                <w:b/>
                <w:spacing w:val="-2"/>
                <w:sz w:val="24"/>
              </w:rPr>
              <w:t>22.85±1.16</w:t>
            </w:r>
          </w:p>
        </w:tc>
      </w:tr>
      <w:tr w:rsidR="00704B93" w14:paraId="597891CB" w14:textId="77777777" w:rsidTr="00F61606">
        <w:trPr>
          <w:trHeight w:val="295"/>
        </w:trPr>
        <w:tc>
          <w:tcPr>
            <w:tcW w:w="417" w:type="pct"/>
          </w:tcPr>
          <w:p w14:paraId="57FECC92" w14:textId="77777777" w:rsidR="00704B93" w:rsidRDefault="00704B93" w:rsidP="00912F9D">
            <w:pPr>
              <w:pStyle w:val="TableParagraph"/>
              <w:spacing w:before="19" w:line="256" w:lineRule="exact"/>
              <w:ind w:left="107"/>
              <w:rPr>
                <w:b/>
                <w:sz w:val="24"/>
              </w:rPr>
            </w:pPr>
            <w:r>
              <w:rPr>
                <w:b/>
                <w:spacing w:val="-4"/>
                <w:sz w:val="24"/>
              </w:rPr>
              <w:t>days</w:t>
            </w:r>
          </w:p>
        </w:tc>
        <w:tc>
          <w:tcPr>
            <w:tcW w:w="668" w:type="pct"/>
          </w:tcPr>
          <w:p w14:paraId="64FAF333" w14:textId="77777777" w:rsidR="00704B93" w:rsidRDefault="00704B93" w:rsidP="00912F9D">
            <w:pPr>
              <w:pStyle w:val="TableParagraph"/>
              <w:spacing w:line="267" w:lineRule="exact"/>
              <w:ind w:left="109"/>
              <w:rPr>
                <w:sz w:val="24"/>
              </w:rPr>
            </w:pPr>
            <w:r>
              <w:rPr>
                <w:spacing w:val="-5"/>
                <w:sz w:val="24"/>
              </w:rPr>
              <w:t>PE1</w:t>
            </w:r>
          </w:p>
        </w:tc>
        <w:tc>
          <w:tcPr>
            <w:tcW w:w="648" w:type="pct"/>
          </w:tcPr>
          <w:p w14:paraId="0A50D687" w14:textId="77777777" w:rsidR="00704B93" w:rsidRDefault="00704B93" w:rsidP="00912F9D">
            <w:pPr>
              <w:pStyle w:val="TableParagraph"/>
              <w:spacing w:line="267" w:lineRule="exact"/>
              <w:ind w:left="108"/>
              <w:rPr>
                <w:sz w:val="24"/>
              </w:rPr>
            </w:pPr>
            <w:r>
              <w:rPr>
                <w:spacing w:val="-2"/>
                <w:sz w:val="24"/>
              </w:rPr>
              <w:t>8.07±0.34</w:t>
            </w:r>
          </w:p>
        </w:tc>
        <w:tc>
          <w:tcPr>
            <w:tcW w:w="648" w:type="pct"/>
          </w:tcPr>
          <w:p w14:paraId="5A42BB34" w14:textId="77777777" w:rsidR="00704B93" w:rsidRDefault="00704B93" w:rsidP="00912F9D">
            <w:pPr>
              <w:pStyle w:val="TableParagraph"/>
              <w:spacing w:line="267" w:lineRule="exact"/>
              <w:ind w:left="107"/>
              <w:rPr>
                <w:sz w:val="24"/>
              </w:rPr>
            </w:pPr>
            <w:r>
              <w:rPr>
                <w:spacing w:val="-2"/>
                <w:sz w:val="24"/>
              </w:rPr>
              <w:t>8.87±0.27</w:t>
            </w:r>
            <w:r>
              <w:rPr>
                <w:spacing w:val="-2"/>
                <w:sz w:val="24"/>
                <w:vertAlign w:val="superscript"/>
              </w:rPr>
              <w:t>a</w:t>
            </w:r>
          </w:p>
        </w:tc>
        <w:tc>
          <w:tcPr>
            <w:tcW w:w="704" w:type="pct"/>
          </w:tcPr>
          <w:p w14:paraId="4D14A2A4" w14:textId="77777777" w:rsidR="00704B93" w:rsidRDefault="00704B93" w:rsidP="00912F9D">
            <w:pPr>
              <w:pStyle w:val="TableParagraph"/>
              <w:spacing w:line="267" w:lineRule="exact"/>
              <w:ind w:left="83" w:right="199"/>
              <w:jc w:val="center"/>
              <w:rPr>
                <w:sz w:val="24"/>
              </w:rPr>
            </w:pPr>
            <w:r>
              <w:rPr>
                <w:spacing w:val="-2"/>
                <w:sz w:val="24"/>
              </w:rPr>
              <w:t>67.50±1.71</w:t>
            </w:r>
            <w:r>
              <w:rPr>
                <w:spacing w:val="-2"/>
                <w:sz w:val="24"/>
                <w:vertAlign w:val="superscript"/>
              </w:rPr>
              <w:t>d</w:t>
            </w:r>
          </w:p>
        </w:tc>
        <w:tc>
          <w:tcPr>
            <w:tcW w:w="592" w:type="pct"/>
          </w:tcPr>
          <w:p w14:paraId="2BB044DF" w14:textId="77777777" w:rsidR="00704B93" w:rsidRDefault="00704B93" w:rsidP="00912F9D">
            <w:pPr>
              <w:pStyle w:val="TableParagraph"/>
              <w:spacing w:line="267" w:lineRule="exact"/>
              <w:ind w:left="1" w:right="79"/>
              <w:jc w:val="center"/>
              <w:rPr>
                <w:sz w:val="24"/>
              </w:rPr>
            </w:pPr>
            <w:r>
              <w:rPr>
                <w:spacing w:val="-2"/>
                <w:sz w:val="24"/>
              </w:rPr>
              <w:t>1.85</w:t>
            </w:r>
            <w:r>
              <w:rPr>
                <w:b/>
                <w:spacing w:val="-2"/>
                <w:sz w:val="24"/>
              </w:rPr>
              <w:t>±</w:t>
            </w:r>
            <w:r>
              <w:rPr>
                <w:spacing w:val="-2"/>
                <w:sz w:val="24"/>
              </w:rPr>
              <w:t>0.10</w:t>
            </w:r>
          </w:p>
        </w:tc>
        <w:tc>
          <w:tcPr>
            <w:tcW w:w="588" w:type="pct"/>
          </w:tcPr>
          <w:p w14:paraId="244EE9F1" w14:textId="77777777" w:rsidR="00704B93" w:rsidRDefault="00704B93" w:rsidP="00912F9D">
            <w:pPr>
              <w:pStyle w:val="TableParagraph"/>
              <w:spacing w:line="267" w:lineRule="exact"/>
              <w:ind w:left="7" w:right="78"/>
              <w:jc w:val="center"/>
              <w:rPr>
                <w:sz w:val="24"/>
              </w:rPr>
            </w:pPr>
            <w:r>
              <w:rPr>
                <w:spacing w:val="-2"/>
                <w:sz w:val="24"/>
              </w:rPr>
              <w:t>1.56</w:t>
            </w:r>
            <w:r>
              <w:rPr>
                <w:b/>
                <w:spacing w:val="-2"/>
                <w:sz w:val="24"/>
              </w:rPr>
              <w:t>±</w:t>
            </w:r>
            <w:r>
              <w:rPr>
                <w:spacing w:val="-2"/>
                <w:sz w:val="24"/>
              </w:rPr>
              <w:t>0.20</w:t>
            </w:r>
          </w:p>
        </w:tc>
        <w:tc>
          <w:tcPr>
            <w:tcW w:w="734" w:type="pct"/>
          </w:tcPr>
          <w:p w14:paraId="02718E9B" w14:textId="77777777" w:rsidR="00704B93" w:rsidRDefault="00704B93" w:rsidP="00912F9D">
            <w:pPr>
              <w:pStyle w:val="TableParagraph"/>
              <w:spacing w:line="267" w:lineRule="exact"/>
              <w:ind w:left="117"/>
              <w:rPr>
                <w:sz w:val="24"/>
              </w:rPr>
            </w:pPr>
            <w:r>
              <w:rPr>
                <w:spacing w:val="-2"/>
                <w:sz w:val="24"/>
              </w:rPr>
              <w:t>45.97</w:t>
            </w:r>
            <w:r>
              <w:rPr>
                <w:b/>
                <w:spacing w:val="-2"/>
                <w:sz w:val="24"/>
              </w:rPr>
              <w:t>±</w:t>
            </w:r>
            <w:r>
              <w:rPr>
                <w:spacing w:val="-2"/>
                <w:sz w:val="24"/>
              </w:rPr>
              <w:t>0.94</w:t>
            </w:r>
            <w:r>
              <w:rPr>
                <w:spacing w:val="-2"/>
                <w:sz w:val="24"/>
                <w:vertAlign w:val="superscript"/>
              </w:rPr>
              <w:t>d</w:t>
            </w:r>
          </w:p>
        </w:tc>
      </w:tr>
      <w:tr w:rsidR="00704B93" w14:paraId="2B5E0F01" w14:textId="77777777" w:rsidTr="00F61606">
        <w:trPr>
          <w:trHeight w:val="302"/>
        </w:trPr>
        <w:tc>
          <w:tcPr>
            <w:tcW w:w="417" w:type="pct"/>
          </w:tcPr>
          <w:p w14:paraId="017E0F84" w14:textId="77777777" w:rsidR="00704B93" w:rsidRDefault="00704B93" w:rsidP="00912F9D">
            <w:pPr>
              <w:pStyle w:val="TableParagraph"/>
            </w:pPr>
          </w:p>
        </w:tc>
        <w:tc>
          <w:tcPr>
            <w:tcW w:w="668" w:type="pct"/>
          </w:tcPr>
          <w:p w14:paraId="5C25DB3F" w14:textId="77777777" w:rsidR="00704B93" w:rsidRDefault="00704B93" w:rsidP="00912F9D">
            <w:pPr>
              <w:pStyle w:val="TableParagraph"/>
              <w:spacing w:before="12" w:line="270" w:lineRule="exact"/>
              <w:ind w:left="109"/>
              <w:rPr>
                <w:sz w:val="24"/>
              </w:rPr>
            </w:pPr>
            <w:r>
              <w:rPr>
                <w:spacing w:val="-5"/>
                <w:sz w:val="24"/>
              </w:rPr>
              <w:t>PE2</w:t>
            </w:r>
          </w:p>
        </w:tc>
        <w:tc>
          <w:tcPr>
            <w:tcW w:w="648" w:type="pct"/>
          </w:tcPr>
          <w:p w14:paraId="3358E4BE" w14:textId="77777777" w:rsidR="00704B93" w:rsidRDefault="00704B93" w:rsidP="00912F9D">
            <w:pPr>
              <w:pStyle w:val="TableParagraph"/>
              <w:spacing w:before="12" w:line="270" w:lineRule="exact"/>
              <w:ind w:left="108"/>
              <w:rPr>
                <w:sz w:val="24"/>
              </w:rPr>
            </w:pPr>
            <w:r>
              <w:rPr>
                <w:spacing w:val="-2"/>
                <w:sz w:val="24"/>
              </w:rPr>
              <w:t>11.75±0.03</w:t>
            </w:r>
            <w:r>
              <w:rPr>
                <w:spacing w:val="-2"/>
                <w:sz w:val="24"/>
                <w:vertAlign w:val="superscript"/>
              </w:rPr>
              <w:t>c</w:t>
            </w:r>
          </w:p>
        </w:tc>
        <w:tc>
          <w:tcPr>
            <w:tcW w:w="648" w:type="pct"/>
          </w:tcPr>
          <w:p w14:paraId="744C1EB1" w14:textId="77777777" w:rsidR="00704B93" w:rsidRDefault="00704B93" w:rsidP="00912F9D">
            <w:pPr>
              <w:pStyle w:val="TableParagraph"/>
              <w:spacing w:before="12" w:line="270" w:lineRule="exact"/>
              <w:ind w:left="107"/>
              <w:rPr>
                <w:sz w:val="24"/>
              </w:rPr>
            </w:pPr>
            <w:r>
              <w:rPr>
                <w:spacing w:val="-2"/>
                <w:sz w:val="24"/>
              </w:rPr>
              <w:t>10.80±0.65</w:t>
            </w:r>
            <w:r>
              <w:rPr>
                <w:spacing w:val="-2"/>
                <w:sz w:val="24"/>
                <w:vertAlign w:val="superscript"/>
              </w:rPr>
              <w:t>c</w:t>
            </w:r>
          </w:p>
        </w:tc>
        <w:tc>
          <w:tcPr>
            <w:tcW w:w="704" w:type="pct"/>
          </w:tcPr>
          <w:p w14:paraId="27426C0E" w14:textId="77777777" w:rsidR="00704B93" w:rsidRDefault="00704B93" w:rsidP="00912F9D">
            <w:pPr>
              <w:pStyle w:val="TableParagraph"/>
              <w:spacing w:before="12" w:line="270" w:lineRule="exact"/>
              <w:ind w:left="1"/>
              <w:jc w:val="center"/>
              <w:rPr>
                <w:sz w:val="24"/>
              </w:rPr>
            </w:pPr>
            <w:r>
              <w:rPr>
                <w:spacing w:val="-2"/>
                <w:sz w:val="24"/>
              </w:rPr>
              <w:t>100.03±6.29</w:t>
            </w:r>
            <w:r>
              <w:rPr>
                <w:spacing w:val="-2"/>
                <w:sz w:val="24"/>
                <w:vertAlign w:val="superscript"/>
              </w:rPr>
              <w:t>d</w:t>
            </w:r>
          </w:p>
        </w:tc>
        <w:tc>
          <w:tcPr>
            <w:tcW w:w="592" w:type="pct"/>
          </w:tcPr>
          <w:p w14:paraId="3A382363" w14:textId="77777777" w:rsidR="00704B93" w:rsidRDefault="00704B93" w:rsidP="00912F9D">
            <w:pPr>
              <w:pStyle w:val="TableParagraph"/>
              <w:spacing w:before="12" w:line="270" w:lineRule="exact"/>
              <w:ind w:left="1" w:right="79"/>
              <w:jc w:val="center"/>
              <w:rPr>
                <w:sz w:val="24"/>
              </w:rPr>
            </w:pPr>
            <w:r>
              <w:rPr>
                <w:spacing w:val="-2"/>
                <w:sz w:val="24"/>
              </w:rPr>
              <w:t>3.14</w:t>
            </w:r>
            <w:r>
              <w:rPr>
                <w:b/>
                <w:spacing w:val="-2"/>
                <w:sz w:val="24"/>
              </w:rPr>
              <w:t>±</w:t>
            </w:r>
            <w:r>
              <w:rPr>
                <w:spacing w:val="-2"/>
                <w:sz w:val="24"/>
              </w:rPr>
              <w:t>0.72</w:t>
            </w:r>
          </w:p>
        </w:tc>
        <w:tc>
          <w:tcPr>
            <w:tcW w:w="588" w:type="pct"/>
          </w:tcPr>
          <w:p w14:paraId="16B25FB0" w14:textId="77777777" w:rsidR="00704B93" w:rsidRDefault="00704B93" w:rsidP="00912F9D">
            <w:pPr>
              <w:pStyle w:val="TableParagraph"/>
              <w:spacing w:before="12" w:line="270" w:lineRule="exact"/>
              <w:ind w:left="7" w:right="78"/>
              <w:jc w:val="center"/>
              <w:rPr>
                <w:sz w:val="24"/>
              </w:rPr>
            </w:pPr>
            <w:r>
              <w:rPr>
                <w:spacing w:val="-2"/>
                <w:sz w:val="24"/>
              </w:rPr>
              <w:t>2.84</w:t>
            </w:r>
            <w:r>
              <w:rPr>
                <w:b/>
                <w:spacing w:val="-2"/>
                <w:sz w:val="24"/>
              </w:rPr>
              <w:t>±</w:t>
            </w:r>
            <w:r>
              <w:rPr>
                <w:spacing w:val="-2"/>
                <w:sz w:val="24"/>
              </w:rPr>
              <w:t>0.07</w:t>
            </w:r>
          </w:p>
        </w:tc>
        <w:tc>
          <w:tcPr>
            <w:tcW w:w="734" w:type="pct"/>
          </w:tcPr>
          <w:p w14:paraId="540DAACB" w14:textId="77777777" w:rsidR="00704B93" w:rsidRDefault="00704B93" w:rsidP="00912F9D">
            <w:pPr>
              <w:pStyle w:val="TableParagraph"/>
              <w:spacing w:before="12" w:line="270" w:lineRule="exact"/>
              <w:ind w:left="117"/>
              <w:rPr>
                <w:sz w:val="24"/>
              </w:rPr>
            </w:pPr>
            <w:r>
              <w:rPr>
                <w:spacing w:val="-2"/>
                <w:sz w:val="24"/>
              </w:rPr>
              <w:t>55.75</w:t>
            </w:r>
            <w:r>
              <w:rPr>
                <w:b/>
                <w:spacing w:val="-2"/>
                <w:sz w:val="24"/>
              </w:rPr>
              <w:t>±</w:t>
            </w:r>
            <w:r>
              <w:rPr>
                <w:spacing w:val="-2"/>
                <w:sz w:val="24"/>
              </w:rPr>
              <w:t>1.55</w:t>
            </w:r>
            <w:r>
              <w:rPr>
                <w:spacing w:val="-2"/>
                <w:sz w:val="24"/>
                <w:vertAlign w:val="superscript"/>
              </w:rPr>
              <w:t>d</w:t>
            </w:r>
          </w:p>
        </w:tc>
      </w:tr>
      <w:tr w:rsidR="00704B93" w14:paraId="777B2BFB" w14:textId="77777777" w:rsidTr="00F61606">
        <w:trPr>
          <w:trHeight w:val="315"/>
        </w:trPr>
        <w:tc>
          <w:tcPr>
            <w:tcW w:w="417" w:type="pct"/>
          </w:tcPr>
          <w:p w14:paraId="52726A5C" w14:textId="77777777" w:rsidR="00704B93" w:rsidRDefault="00704B93" w:rsidP="00912F9D">
            <w:pPr>
              <w:pStyle w:val="TableParagraph"/>
            </w:pPr>
          </w:p>
        </w:tc>
        <w:tc>
          <w:tcPr>
            <w:tcW w:w="668" w:type="pct"/>
          </w:tcPr>
          <w:p w14:paraId="0A6732D4" w14:textId="77777777" w:rsidR="00704B93" w:rsidRDefault="00704B93" w:rsidP="00912F9D">
            <w:pPr>
              <w:pStyle w:val="TableParagraph"/>
              <w:spacing w:before="24" w:line="271" w:lineRule="exact"/>
              <w:ind w:left="109"/>
              <w:rPr>
                <w:sz w:val="24"/>
              </w:rPr>
            </w:pPr>
            <w:r>
              <w:rPr>
                <w:spacing w:val="-2"/>
                <w:sz w:val="24"/>
              </w:rPr>
              <w:t>Metformin</w:t>
            </w:r>
          </w:p>
        </w:tc>
        <w:tc>
          <w:tcPr>
            <w:tcW w:w="648" w:type="pct"/>
          </w:tcPr>
          <w:p w14:paraId="3415959B" w14:textId="77777777" w:rsidR="00704B93" w:rsidRDefault="00704B93" w:rsidP="00912F9D">
            <w:pPr>
              <w:pStyle w:val="TableParagraph"/>
              <w:spacing w:before="24" w:line="271" w:lineRule="exact"/>
              <w:ind w:left="108"/>
              <w:rPr>
                <w:sz w:val="24"/>
              </w:rPr>
            </w:pPr>
            <w:r>
              <w:rPr>
                <w:spacing w:val="-2"/>
                <w:sz w:val="24"/>
              </w:rPr>
              <w:t>13.04±0.41</w:t>
            </w:r>
            <w:r>
              <w:rPr>
                <w:spacing w:val="-2"/>
                <w:sz w:val="24"/>
                <w:vertAlign w:val="superscript"/>
              </w:rPr>
              <w:t>d</w:t>
            </w:r>
          </w:p>
        </w:tc>
        <w:tc>
          <w:tcPr>
            <w:tcW w:w="648" w:type="pct"/>
          </w:tcPr>
          <w:p w14:paraId="3B1923B1" w14:textId="77777777" w:rsidR="00704B93" w:rsidRDefault="00704B93" w:rsidP="00912F9D">
            <w:pPr>
              <w:pStyle w:val="TableParagraph"/>
              <w:spacing w:before="24" w:line="271" w:lineRule="exact"/>
              <w:ind w:left="107"/>
              <w:rPr>
                <w:sz w:val="24"/>
              </w:rPr>
            </w:pPr>
            <w:r>
              <w:rPr>
                <w:spacing w:val="-2"/>
                <w:sz w:val="24"/>
              </w:rPr>
              <w:t>13.23±0.20</w:t>
            </w:r>
            <w:r>
              <w:rPr>
                <w:spacing w:val="-2"/>
                <w:sz w:val="24"/>
                <w:vertAlign w:val="superscript"/>
              </w:rPr>
              <w:t>d</w:t>
            </w:r>
          </w:p>
        </w:tc>
        <w:tc>
          <w:tcPr>
            <w:tcW w:w="704" w:type="pct"/>
          </w:tcPr>
          <w:p w14:paraId="4E7B029C" w14:textId="77777777" w:rsidR="00704B93" w:rsidRDefault="00704B93" w:rsidP="00912F9D">
            <w:pPr>
              <w:pStyle w:val="TableParagraph"/>
              <w:spacing w:before="24" w:line="271" w:lineRule="exact"/>
              <w:ind w:left="1"/>
              <w:jc w:val="center"/>
              <w:rPr>
                <w:sz w:val="24"/>
              </w:rPr>
            </w:pPr>
            <w:r>
              <w:rPr>
                <w:spacing w:val="-2"/>
                <w:sz w:val="24"/>
              </w:rPr>
              <w:t>101.53±1.59</w:t>
            </w:r>
            <w:r>
              <w:rPr>
                <w:spacing w:val="-2"/>
                <w:sz w:val="24"/>
                <w:vertAlign w:val="superscript"/>
              </w:rPr>
              <w:t>d</w:t>
            </w:r>
          </w:p>
        </w:tc>
        <w:tc>
          <w:tcPr>
            <w:tcW w:w="592" w:type="pct"/>
          </w:tcPr>
          <w:p w14:paraId="601FF52F" w14:textId="77777777" w:rsidR="00704B93" w:rsidRDefault="00704B93" w:rsidP="00912F9D">
            <w:pPr>
              <w:pStyle w:val="TableParagraph"/>
              <w:spacing w:before="24" w:line="271" w:lineRule="exact"/>
              <w:ind w:left="1" w:right="79"/>
              <w:jc w:val="center"/>
              <w:rPr>
                <w:sz w:val="24"/>
              </w:rPr>
            </w:pPr>
            <w:r>
              <w:rPr>
                <w:spacing w:val="-2"/>
                <w:sz w:val="24"/>
              </w:rPr>
              <w:t>4.30</w:t>
            </w:r>
            <w:r>
              <w:rPr>
                <w:b/>
                <w:spacing w:val="-2"/>
                <w:sz w:val="24"/>
              </w:rPr>
              <w:t>±</w:t>
            </w:r>
            <w:r>
              <w:rPr>
                <w:spacing w:val="-2"/>
                <w:sz w:val="24"/>
              </w:rPr>
              <w:t>0.09</w:t>
            </w:r>
          </w:p>
        </w:tc>
        <w:tc>
          <w:tcPr>
            <w:tcW w:w="588" w:type="pct"/>
          </w:tcPr>
          <w:p w14:paraId="450DF619" w14:textId="77777777" w:rsidR="00704B93" w:rsidRDefault="00704B93" w:rsidP="00912F9D">
            <w:pPr>
              <w:pStyle w:val="TableParagraph"/>
              <w:spacing w:before="24" w:line="271" w:lineRule="exact"/>
              <w:ind w:left="7" w:right="78"/>
              <w:jc w:val="center"/>
              <w:rPr>
                <w:sz w:val="24"/>
              </w:rPr>
            </w:pPr>
            <w:r>
              <w:rPr>
                <w:spacing w:val="-2"/>
                <w:sz w:val="24"/>
              </w:rPr>
              <w:t>3.12</w:t>
            </w:r>
            <w:r>
              <w:rPr>
                <w:b/>
                <w:spacing w:val="-2"/>
                <w:sz w:val="24"/>
              </w:rPr>
              <w:t>±</w:t>
            </w:r>
            <w:r>
              <w:rPr>
                <w:spacing w:val="-2"/>
                <w:sz w:val="24"/>
              </w:rPr>
              <w:t>0.09</w:t>
            </w:r>
          </w:p>
        </w:tc>
        <w:tc>
          <w:tcPr>
            <w:tcW w:w="734" w:type="pct"/>
          </w:tcPr>
          <w:p w14:paraId="43A6F7BF" w14:textId="77777777" w:rsidR="00704B93" w:rsidRDefault="00704B93" w:rsidP="00912F9D">
            <w:pPr>
              <w:pStyle w:val="TableParagraph"/>
              <w:spacing w:before="24" w:line="271" w:lineRule="exact"/>
              <w:ind w:left="117"/>
              <w:rPr>
                <w:sz w:val="24"/>
              </w:rPr>
            </w:pPr>
            <w:r>
              <w:rPr>
                <w:spacing w:val="-2"/>
                <w:sz w:val="24"/>
              </w:rPr>
              <w:t>65.11</w:t>
            </w:r>
            <w:r>
              <w:rPr>
                <w:b/>
                <w:spacing w:val="-2"/>
                <w:sz w:val="24"/>
              </w:rPr>
              <w:t>±</w:t>
            </w:r>
            <w:r>
              <w:rPr>
                <w:spacing w:val="-2"/>
                <w:sz w:val="24"/>
              </w:rPr>
              <w:t>3.77</w:t>
            </w:r>
            <w:r>
              <w:rPr>
                <w:spacing w:val="-2"/>
                <w:sz w:val="24"/>
                <w:vertAlign w:val="superscript"/>
              </w:rPr>
              <w:t>d</w:t>
            </w:r>
          </w:p>
        </w:tc>
      </w:tr>
      <w:tr w:rsidR="00704B93" w14:paraId="17D568B4" w14:textId="77777777" w:rsidTr="00F61606">
        <w:trPr>
          <w:trHeight w:val="316"/>
        </w:trPr>
        <w:tc>
          <w:tcPr>
            <w:tcW w:w="417" w:type="pct"/>
            <w:tcBorders>
              <w:bottom w:val="single" w:sz="4" w:space="0" w:color="000000"/>
            </w:tcBorders>
          </w:tcPr>
          <w:p w14:paraId="4B5334F8" w14:textId="77777777" w:rsidR="00704B93" w:rsidRDefault="00704B93" w:rsidP="00912F9D">
            <w:pPr>
              <w:pStyle w:val="TableParagraph"/>
            </w:pPr>
          </w:p>
        </w:tc>
        <w:tc>
          <w:tcPr>
            <w:tcW w:w="668" w:type="pct"/>
            <w:tcBorders>
              <w:bottom w:val="single" w:sz="4" w:space="0" w:color="000000"/>
            </w:tcBorders>
          </w:tcPr>
          <w:p w14:paraId="5223E070" w14:textId="77777777" w:rsidR="00704B93" w:rsidRDefault="00704B93" w:rsidP="00912F9D">
            <w:pPr>
              <w:pStyle w:val="TableParagraph"/>
              <w:spacing w:before="25" w:line="271" w:lineRule="exact"/>
              <w:ind w:left="109"/>
              <w:rPr>
                <w:sz w:val="24"/>
              </w:rPr>
            </w:pPr>
            <w:r>
              <w:rPr>
                <w:spacing w:val="-2"/>
                <w:sz w:val="24"/>
              </w:rPr>
              <w:t>Clomid</w:t>
            </w:r>
          </w:p>
        </w:tc>
        <w:tc>
          <w:tcPr>
            <w:tcW w:w="648" w:type="pct"/>
            <w:tcBorders>
              <w:bottom w:val="single" w:sz="4" w:space="0" w:color="000000"/>
            </w:tcBorders>
          </w:tcPr>
          <w:p w14:paraId="45661A6E" w14:textId="77777777" w:rsidR="00704B93" w:rsidRDefault="00704B93" w:rsidP="00912F9D">
            <w:pPr>
              <w:pStyle w:val="TableParagraph"/>
              <w:spacing w:before="25" w:line="271" w:lineRule="exact"/>
              <w:ind w:left="108"/>
              <w:rPr>
                <w:sz w:val="24"/>
              </w:rPr>
            </w:pPr>
            <w:r>
              <w:rPr>
                <w:spacing w:val="-2"/>
                <w:sz w:val="24"/>
              </w:rPr>
              <w:t>14.70±0.21</w:t>
            </w:r>
            <w:r>
              <w:rPr>
                <w:spacing w:val="-2"/>
                <w:sz w:val="24"/>
                <w:vertAlign w:val="superscript"/>
              </w:rPr>
              <w:t>d</w:t>
            </w:r>
          </w:p>
        </w:tc>
        <w:tc>
          <w:tcPr>
            <w:tcW w:w="648" w:type="pct"/>
            <w:tcBorders>
              <w:bottom w:val="single" w:sz="4" w:space="0" w:color="000000"/>
            </w:tcBorders>
          </w:tcPr>
          <w:p w14:paraId="7910BD75" w14:textId="77777777" w:rsidR="00704B93" w:rsidRDefault="00704B93" w:rsidP="00912F9D">
            <w:pPr>
              <w:pStyle w:val="TableParagraph"/>
              <w:spacing w:before="25" w:line="271" w:lineRule="exact"/>
              <w:ind w:left="107"/>
              <w:rPr>
                <w:sz w:val="24"/>
              </w:rPr>
            </w:pPr>
            <w:r>
              <w:rPr>
                <w:spacing w:val="-2"/>
                <w:sz w:val="24"/>
              </w:rPr>
              <w:t>14.41±0.22</w:t>
            </w:r>
            <w:r>
              <w:rPr>
                <w:spacing w:val="-2"/>
                <w:sz w:val="24"/>
                <w:vertAlign w:val="superscript"/>
              </w:rPr>
              <w:t>d</w:t>
            </w:r>
          </w:p>
        </w:tc>
        <w:tc>
          <w:tcPr>
            <w:tcW w:w="704" w:type="pct"/>
            <w:tcBorders>
              <w:bottom w:val="single" w:sz="4" w:space="0" w:color="000000"/>
            </w:tcBorders>
          </w:tcPr>
          <w:p w14:paraId="124126FF" w14:textId="77777777" w:rsidR="00704B93" w:rsidRDefault="00704B93" w:rsidP="00912F9D">
            <w:pPr>
              <w:pStyle w:val="TableParagraph"/>
              <w:spacing w:before="25" w:line="271" w:lineRule="exact"/>
              <w:ind w:left="1"/>
              <w:jc w:val="center"/>
              <w:rPr>
                <w:sz w:val="24"/>
              </w:rPr>
            </w:pPr>
            <w:r>
              <w:rPr>
                <w:spacing w:val="-2"/>
                <w:sz w:val="24"/>
              </w:rPr>
              <w:t>121.00±1.35</w:t>
            </w:r>
            <w:r>
              <w:rPr>
                <w:spacing w:val="-2"/>
                <w:sz w:val="24"/>
                <w:vertAlign w:val="superscript"/>
              </w:rPr>
              <w:t>d</w:t>
            </w:r>
          </w:p>
        </w:tc>
        <w:tc>
          <w:tcPr>
            <w:tcW w:w="592" w:type="pct"/>
            <w:tcBorders>
              <w:bottom w:val="single" w:sz="4" w:space="0" w:color="000000"/>
            </w:tcBorders>
          </w:tcPr>
          <w:p w14:paraId="6881B0EB" w14:textId="77777777" w:rsidR="00704B93" w:rsidRDefault="00704B93" w:rsidP="00912F9D">
            <w:pPr>
              <w:pStyle w:val="TableParagraph"/>
              <w:spacing w:before="25" w:line="271" w:lineRule="exact"/>
              <w:ind w:left="1" w:right="79"/>
              <w:jc w:val="center"/>
              <w:rPr>
                <w:sz w:val="24"/>
              </w:rPr>
            </w:pPr>
            <w:r>
              <w:rPr>
                <w:spacing w:val="-2"/>
                <w:sz w:val="24"/>
              </w:rPr>
              <w:t>5.12</w:t>
            </w:r>
            <w:r>
              <w:rPr>
                <w:b/>
                <w:spacing w:val="-2"/>
                <w:sz w:val="24"/>
              </w:rPr>
              <w:t>±</w:t>
            </w:r>
            <w:r>
              <w:rPr>
                <w:spacing w:val="-2"/>
                <w:sz w:val="24"/>
              </w:rPr>
              <w:t>0.06</w:t>
            </w:r>
          </w:p>
        </w:tc>
        <w:tc>
          <w:tcPr>
            <w:tcW w:w="588" w:type="pct"/>
            <w:tcBorders>
              <w:bottom w:val="single" w:sz="4" w:space="0" w:color="000000"/>
            </w:tcBorders>
          </w:tcPr>
          <w:p w14:paraId="526D0E9F" w14:textId="77777777" w:rsidR="00704B93" w:rsidRDefault="00704B93" w:rsidP="00912F9D">
            <w:pPr>
              <w:pStyle w:val="TableParagraph"/>
              <w:spacing w:before="25" w:line="271" w:lineRule="exact"/>
              <w:ind w:left="7" w:right="78"/>
              <w:jc w:val="center"/>
              <w:rPr>
                <w:sz w:val="24"/>
              </w:rPr>
            </w:pPr>
            <w:r>
              <w:rPr>
                <w:spacing w:val="-2"/>
                <w:sz w:val="24"/>
              </w:rPr>
              <w:t>4.50</w:t>
            </w:r>
            <w:r>
              <w:rPr>
                <w:b/>
                <w:spacing w:val="-2"/>
                <w:sz w:val="24"/>
              </w:rPr>
              <w:t>±</w:t>
            </w:r>
            <w:r>
              <w:rPr>
                <w:spacing w:val="-2"/>
                <w:sz w:val="24"/>
              </w:rPr>
              <w:t>0.08</w:t>
            </w:r>
          </w:p>
        </w:tc>
        <w:tc>
          <w:tcPr>
            <w:tcW w:w="734" w:type="pct"/>
            <w:tcBorders>
              <w:bottom w:val="single" w:sz="4" w:space="0" w:color="000000"/>
            </w:tcBorders>
          </w:tcPr>
          <w:p w14:paraId="3CD6CF24" w14:textId="77777777" w:rsidR="00704B93" w:rsidRDefault="00704B93" w:rsidP="00912F9D">
            <w:pPr>
              <w:pStyle w:val="TableParagraph"/>
              <w:spacing w:before="25" w:line="271" w:lineRule="exact"/>
              <w:ind w:left="117"/>
              <w:rPr>
                <w:sz w:val="24"/>
              </w:rPr>
            </w:pPr>
            <w:r>
              <w:rPr>
                <w:spacing w:val="-2"/>
                <w:sz w:val="24"/>
              </w:rPr>
              <w:t>73.90</w:t>
            </w:r>
            <w:r>
              <w:rPr>
                <w:b/>
                <w:spacing w:val="-2"/>
                <w:sz w:val="24"/>
              </w:rPr>
              <w:t>±</w:t>
            </w:r>
            <w:r>
              <w:rPr>
                <w:spacing w:val="-2"/>
                <w:sz w:val="24"/>
              </w:rPr>
              <w:t>1.37</w:t>
            </w:r>
            <w:r>
              <w:rPr>
                <w:spacing w:val="-2"/>
                <w:sz w:val="24"/>
                <w:vertAlign w:val="superscript"/>
              </w:rPr>
              <w:t>d</w:t>
            </w:r>
          </w:p>
        </w:tc>
      </w:tr>
      <w:tr w:rsidR="00704B93" w14:paraId="2F52BAB1" w14:textId="77777777" w:rsidTr="00F61606">
        <w:trPr>
          <w:trHeight w:val="569"/>
        </w:trPr>
        <w:tc>
          <w:tcPr>
            <w:tcW w:w="417" w:type="pct"/>
            <w:tcBorders>
              <w:top w:val="single" w:sz="4" w:space="0" w:color="000000"/>
            </w:tcBorders>
          </w:tcPr>
          <w:p w14:paraId="711E85F3" w14:textId="77777777" w:rsidR="00704B93" w:rsidRDefault="00704B93" w:rsidP="00912F9D">
            <w:pPr>
              <w:pStyle w:val="TableParagraph"/>
            </w:pPr>
          </w:p>
        </w:tc>
        <w:tc>
          <w:tcPr>
            <w:tcW w:w="668" w:type="pct"/>
            <w:tcBorders>
              <w:top w:val="single" w:sz="4" w:space="0" w:color="000000"/>
            </w:tcBorders>
          </w:tcPr>
          <w:p w14:paraId="3B059CD6" w14:textId="77777777" w:rsidR="00704B93" w:rsidRDefault="00704B93" w:rsidP="00912F9D">
            <w:pPr>
              <w:pStyle w:val="TableParagraph"/>
              <w:spacing w:line="276" w:lineRule="exact"/>
              <w:ind w:left="109" w:right="580"/>
              <w:rPr>
                <w:sz w:val="24"/>
              </w:rPr>
            </w:pPr>
            <w:r>
              <w:rPr>
                <w:spacing w:val="-2"/>
                <w:sz w:val="24"/>
              </w:rPr>
              <w:t>Normal Control</w:t>
            </w:r>
          </w:p>
        </w:tc>
        <w:tc>
          <w:tcPr>
            <w:tcW w:w="648" w:type="pct"/>
            <w:tcBorders>
              <w:top w:val="single" w:sz="4" w:space="0" w:color="000000"/>
            </w:tcBorders>
          </w:tcPr>
          <w:p w14:paraId="615E8466" w14:textId="77777777" w:rsidR="00704B93" w:rsidRDefault="00704B93" w:rsidP="00912F9D">
            <w:pPr>
              <w:pStyle w:val="TableParagraph"/>
              <w:spacing w:line="275" w:lineRule="exact"/>
              <w:ind w:left="108"/>
              <w:rPr>
                <w:sz w:val="24"/>
              </w:rPr>
            </w:pPr>
            <w:r>
              <w:rPr>
                <w:spacing w:val="-2"/>
                <w:sz w:val="24"/>
              </w:rPr>
              <w:t>20.02±0.1</w:t>
            </w:r>
            <w:r>
              <w:rPr>
                <w:spacing w:val="-2"/>
                <w:sz w:val="24"/>
                <w:vertAlign w:val="superscript"/>
              </w:rPr>
              <w:t>d</w:t>
            </w:r>
          </w:p>
        </w:tc>
        <w:tc>
          <w:tcPr>
            <w:tcW w:w="648" w:type="pct"/>
            <w:tcBorders>
              <w:top w:val="single" w:sz="4" w:space="0" w:color="000000"/>
            </w:tcBorders>
          </w:tcPr>
          <w:p w14:paraId="020A21EA" w14:textId="77777777" w:rsidR="00704B93" w:rsidRDefault="00704B93" w:rsidP="00912F9D">
            <w:pPr>
              <w:pStyle w:val="TableParagraph"/>
              <w:spacing w:line="275" w:lineRule="exact"/>
              <w:ind w:left="107"/>
              <w:rPr>
                <w:sz w:val="24"/>
              </w:rPr>
            </w:pPr>
            <w:r>
              <w:rPr>
                <w:spacing w:val="-2"/>
                <w:sz w:val="24"/>
              </w:rPr>
              <w:t>18.37±0.10</w:t>
            </w:r>
            <w:r>
              <w:rPr>
                <w:spacing w:val="-2"/>
                <w:sz w:val="24"/>
                <w:vertAlign w:val="superscript"/>
              </w:rPr>
              <w:t>d</w:t>
            </w:r>
          </w:p>
        </w:tc>
        <w:tc>
          <w:tcPr>
            <w:tcW w:w="704" w:type="pct"/>
            <w:tcBorders>
              <w:top w:val="single" w:sz="4" w:space="0" w:color="000000"/>
            </w:tcBorders>
          </w:tcPr>
          <w:p w14:paraId="59C3ADDA" w14:textId="77777777" w:rsidR="00704B93" w:rsidRDefault="00704B93" w:rsidP="00912F9D">
            <w:pPr>
              <w:pStyle w:val="TableParagraph"/>
              <w:spacing w:line="275" w:lineRule="exact"/>
              <w:ind w:left="1"/>
              <w:jc w:val="center"/>
              <w:rPr>
                <w:sz w:val="24"/>
              </w:rPr>
            </w:pPr>
            <w:r>
              <w:rPr>
                <w:spacing w:val="-2"/>
                <w:sz w:val="24"/>
              </w:rPr>
              <w:t>112.57±2.74</w:t>
            </w:r>
            <w:r>
              <w:rPr>
                <w:spacing w:val="-2"/>
                <w:sz w:val="24"/>
                <w:vertAlign w:val="superscript"/>
              </w:rPr>
              <w:t>d</w:t>
            </w:r>
          </w:p>
        </w:tc>
        <w:tc>
          <w:tcPr>
            <w:tcW w:w="592" w:type="pct"/>
            <w:tcBorders>
              <w:top w:val="single" w:sz="4" w:space="0" w:color="000000"/>
            </w:tcBorders>
          </w:tcPr>
          <w:p w14:paraId="42F1659B" w14:textId="77777777" w:rsidR="00704B93" w:rsidRDefault="00704B93" w:rsidP="00912F9D">
            <w:pPr>
              <w:pStyle w:val="TableParagraph"/>
              <w:spacing w:line="275" w:lineRule="exact"/>
              <w:ind w:left="73" w:right="79"/>
              <w:jc w:val="center"/>
              <w:rPr>
                <w:sz w:val="24"/>
              </w:rPr>
            </w:pPr>
            <w:r>
              <w:rPr>
                <w:spacing w:val="-2"/>
                <w:sz w:val="24"/>
              </w:rPr>
              <w:t>9.11±0.39</w:t>
            </w:r>
            <w:r>
              <w:rPr>
                <w:spacing w:val="-2"/>
                <w:sz w:val="24"/>
                <w:vertAlign w:val="superscript"/>
              </w:rPr>
              <w:t>c</w:t>
            </w:r>
          </w:p>
        </w:tc>
        <w:tc>
          <w:tcPr>
            <w:tcW w:w="588" w:type="pct"/>
            <w:tcBorders>
              <w:top w:val="single" w:sz="4" w:space="0" w:color="000000"/>
            </w:tcBorders>
          </w:tcPr>
          <w:p w14:paraId="41D3BAE2" w14:textId="77777777" w:rsidR="00704B93" w:rsidRDefault="00704B93" w:rsidP="00912F9D">
            <w:pPr>
              <w:pStyle w:val="TableParagraph"/>
              <w:spacing w:line="275" w:lineRule="exact"/>
              <w:ind w:left="71" w:right="72"/>
              <w:jc w:val="center"/>
              <w:rPr>
                <w:sz w:val="24"/>
              </w:rPr>
            </w:pPr>
            <w:r>
              <w:rPr>
                <w:spacing w:val="-2"/>
                <w:sz w:val="24"/>
              </w:rPr>
              <w:t>9.20</w:t>
            </w:r>
            <w:r>
              <w:rPr>
                <w:b/>
                <w:spacing w:val="-2"/>
                <w:sz w:val="24"/>
              </w:rPr>
              <w:t>±</w:t>
            </w:r>
            <w:r>
              <w:rPr>
                <w:spacing w:val="-2"/>
                <w:sz w:val="24"/>
              </w:rPr>
              <w:t>0.48</w:t>
            </w:r>
            <w:r>
              <w:rPr>
                <w:spacing w:val="-2"/>
                <w:sz w:val="24"/>
                <w:vertAlign w:val="superscript"/>
              </w:rPr>
              <w:t>c</w:t>
            </w:r>
          </w:p>
        </w:tc>
        <w:tc>
          <w:tcPr>
            <w:tcW w:w="734" w:type="pct"/>
            <w:tcBorders>
              <w:top w:val="single" w:sz="4" w:space="0" w:color="000000"/>
            </w:tcBorders>
          </w:tcPr>
          <w:p w14:paraId="72B54631" w14:textId="77777777" w:rsidR="00704B93" w:rsidRDefault="00704B93" w:rsidP="00912F9D">
            <w:pPr>
              <w:pStyle w:val="TableParagraph"/>
              <w:spacing w:line="275" w:lineRule="exact"/>
              <w:ind w:left="117"/>
              <w:rPr>
                <w:sz w:val="24"/>
              </w:rPr>
            </w:pPr>
            <w:r>
              <w:rPr>
                <w:spacing w:val="-2"/>
                <w:sz w:val="24"/>
              </w:rPr>
              <w:t>84.40±1.47</w:t>
            </w:r>
            <w:r>
              <w:rPr>
                <w:spacing w:val="-2"/>
                <w:sz w:val="24"/>
                <w:vertAlign w:val="superscript"/>
              </w:rPr>
              <w:t>d</w:t>
            </w:r>
          </w:p>
        </w:tc>
      </w:tr>
      <w:tr w:rsidR="00704B93" w14:paraId="73D2A1AB" w14:textId="77777777" w:rsidTr="00F61606">
        <w:trPr>
          <w:trHeight w:val="608"/>
        </w:trPr>
        <w:tc>
          <w:tcPr>
            <w:tcW w:w="417" w:type="pct"/>
          </w:tcPr>
          <w:p w14:paraId="13D0D991" w14:textId="77777777" w:rsidR="00704B93" w:rsidRDefault="00704B93" w:rsidP="00912F9D">
            <w:pPr>
              <w:pStyle w:val="TableParagraph"/>
              <w:spacing w:before="75"/>
              <w:rPr>
                <w:sz w:val="24"/>
              </w:rPr>
            </w:pPr>
          </w:p>
          <w:p w14:paraId="4E374B2B" w14:textId="77777777" w:rsidR="00704B93" w:rsidRDefault="00704B93" w:rsidP="00912F9D">
            <w:pPr>
              <w:pStyle w:val="TableParagraph"/>
              <w:spacing w:line="238" w:lineRule="exact"/>
              <w:ind w:left="107"/>
              <w:rPr>
                <w:b/>
                <w:sz w:val="24"/>
              </w:rPr>
            </w:pPr>
            <w:r>
              <w:rPr>
                <w:b/>
                <w:spacing w:val="-5"/>
                <w:sz w:val="24"/>
              </w:rPr>
              <w:t>21</w:t>
            </w:r>
          </w:p>
        </w:tc>
        <w:tc>
          <w:tcPr>
            <w:tcW w:w="668" w:type="pct"/>
          </w:tcPr>
          <w:p w14:paraId="3A4B9301" w14:textId="77777777" w:rsidR="00704B93" w:rsidRDefault="00704B93" w:rsidP="00912F9D">
            <w:pPr>
              <w:pStyle w:val="TableParagraph"/>
              <w:spacing w:before="8"/>
              <w:ind w:left="109" w:right="451"/>
              <w:rPr>
                <w:sz w:val="24"/>
              </w:rPr>
            </w:pPr>
            <w:r>
              <w:rPr>
                <w:spacing w:val="-2"/>
                <w:sz w:val="24"/>
              </w:rPr>
              <w:t>Negative control</w:t>
            </w:r>
          </w:p>
        </w:tc>
        <w:tc>
          <w:tcPr>
            <w:tcW w:w="648" w:type="pct"/>
          </w:tcPr>
          <w:p w14:paraId="005353CD" w14:textId="77777777" w:rsidR="00704B93" w:rsidRDefault="00704B93" w:rsidP="00912F9D">
            <w:pPr>
              <w:pStyle w:val="TableParagraph"/>
              <w:spacing w:before="8"/>
              <w:ind w:left="108"/>
              <w:rPr>
                <w:b/>
                <w:sz w:val="24"/>
              </w:rPr>
            </w:pPr>
            <w:r>
              <w:rPr>
                <w:b/>
                <w:spacing w:val="-2"/>
                <w:sz w:val="24"/>
              </w:rPr>
              <w:t>3.88±0.13</w:t>
            </w:r>
          </w:p>
        </w:tc>
        <w:tc>
          <w:tcPr>
            <w:tcW w:w="648" w:type="pct"/>
          </w:tcPr>
          <w:p w14:paraId="17C28910" w14:textId="77777777" w:rsidR="00704B93" w:rsidRDefault="00704B93" w:rsidP="00912F9D">
            <w:pPr>
              <w:pStyle w:val="TableParagraph"/>
              <w:spacing w:before="8"/>
              <w:ind w:left="107"/>
              <w:rPr>
                <w:b/>
                <w:sz w:val="24"/>
              </w:rPr>
            </w:pPr>
            <w:r>
              <w:rPr>
                <w:b/>
                <w:spacing w:val="-2"/>
                <w:sz w:val="24"/>
              </w:rPr>
              <w:t>5.02±0.04</w:t>
            </w:r>
          </w:p>
        </w:tc>
        <w:tc>
          <w:tcPr>
            <w:tcW w:w="704" w:type="pct"/>
          </w:tcPr>
          <w:p w14:paraId="1D10D706" w14:textId="77777777" w:rsidR="00704B93" w:rsidRDefault="00704B93" w:rsidP="00912F9D">
            <w:pPr>
              <w:pStyle w:val="TableParagraph"/>
              <w:spacing w:before="8"/>
              <w:ind w:left="1" w:right="200"/>
              <w:jc w:val="center"/>
              <w:rPr>
                <w:b/>
                <w:sz w:val="24"/>
              </w:rPr>
            </w:pPr>
            <w:r>
              <w:rPr>
                <w:b/>
                <w:spacing w:val="-2"/>
                <w:sz w:val="24"/>
              </w:rPr>
              <w:t>56.33±0.06</w:t>
            </w:r>
          </w:p>
        </w:tc>
        <w:tc>
          <w:tcPr>
            <w:tcW w:w="592" w:type="pct"/>
          </w:tcPr>
          <w:p w14:paraId="2A15C978" w14:textId="77777777" w:rsidR="00704B93" w:rsidRDefault="00704B93" w:rsidP="00912F9D">
            <w:pPr>
              <w:pStyle w:val="TableParagraph"/>
              <w:spacing w:before="8"/>
              <w:ind w:right="79"/>
              <w:jc w:val="center"/>
              <w:rPr>
                <w:b/>
                <w:sz w:val="24"/>
              </w:rPr>
            </w:pPr>
            <w:r>
              <w:rPr>
                <w:b/>
                <w:spacing w:val="-2"/>
                <w:sz w:val="24"/>
              </w:rPr>
              <w:t>1.20±0.17</w:t>
            </w:r>
          </w:p>
        </w:tc>
        <w:tc>
          <w:tcPr>
            <w:tcW w:w="588" w:type="pct"/>
          </w:tcPr>
          <w:p w14:paraId="20DEC6CE" w14:textId="77777777" w:rsidR="00704B93" w:rsidRDefault="00704B93" w:rsidP="00912F9D">
            <w:pPr>
              <w:pStyle w:val="TableParagraph"/>
              <w:spacing w:before="8"/>
              <w:ind w:left="7" w:right="79"/>
              <w:jc w:val="center"/>
              <w:rPr>
                <w:b/>
                <w:sz w:val="24"/>
              </w:rPr>
            </w:pPr>
            <w:r>
              <w:rPr>
                <w:b/>
                <w:spacing w:val="-2"/>
                <w:sz w:val="24"/>
              </w:rPr>
              <w:t>1.02±0.33</w:t>
            </w:r>
          </w:p>
        </w:tc>
        <w:tc>
          <w:tcPr>
            <w:tcW w:w="734" w:type="pct"/>
          </w:tcPr>
          <w:p w14:paraId="1D7D87E2" w14:textId="77777777" w:rsidR="00704B93" w:rsidRDefault="00704B93" w:rsidP="00912F9D">
            <w:pPr>
              <w:pStyle w:val="TableParagraph"/>
              <w:spacing w:before="8"/>
              <w:ind w:left="117"/>
              <w:rPr>
                <w:b/>
                <w:sz w:val="24"/>
              </w:rPr>
            </w:pPr>
            <w:r>
              <w:rPr>
                <w:b/>
                <w:spacing w:val="-2"/>
                <w:sz w:val="24"/>
              </w:rPr>
              <w:t>19.57±0.46</w:t>
            </w:r>
          </w:p>
        </w:tc>
      </w:tr>
      <w:tr w:rsidR="00704B93" w14:paraId="60A9AB69" w14:textId="77777777" w:rsidTr="00F61606">
        <w:trPr>
          <w:trHeight w:val="294"/>
        </w:trPr>
        <w:tc>
          <w:tcPr>
            <w:tcW w:w="417" w:type="pct"/>
          </w:tcPr>
          <w:p w14:paraId="729122A4" w14:textId="77777777" w:rsidR="00704B93" w:rsidRDefault="00704B93" w:rsidP="00912F9D">
            <w:pPr>
              <w:pStyle w:val="TableParagraph"/>
              <w:spacing w:before="18" w:line="256" w:lineRule="exact"/>
              <w:ind w:left="107"/>
              <w:rPr>
                <w:b/>
                <w:sz w:val="24"/>
              </w:rPr>
            </w:pPr>
            <w:r>
              <w:rPr>
                <w:b/>
                <w:spacing w:val="-4"/>
                <w:sz w:val="24"/>
              </w:rPr>
              <w:t>days</w:t>
            </w:r>
          </w:p>
        </w:tc>
        <w:tc>
          <w:tcPr>
            <w:tcW w:w="668" w:type="pct"/>
          </w:tcPr>
          <w:p w14:paraId="44EAE1CB" w14:textId="77777777" w:rsidR="00704B93" w:rsidRDefault="00704B93" w:rsidP="00912F9D">
            <w:pPr>
              <w:pStyle w:val="TableParagraph"/>
              <w:spacing w:line="268" w:lineRule="exact"/>
              <w:ind w:left="109"/>
              <w:rPr>
                <w:sz w:val="24"/>
              </w:rPr>
            </w:pPr>
            <w:r>
              <w:rPr>
                <w:spacing w:val="-5"/>
                <w:sz w:val="24"/>
              </w:rPr>
              <w:t>PE1</w:t>
            </w:r>
          </w:p>
        </w:tc>
        <w:tc>
          <w:tcPr>
            <w:tcW w:w="648" w:type="pct"/>
          </w:tcPr>
          <w:p w14:paraId="01E4F819" w14:textId="77777777" w:rsidR="00704B93" w:rsidRDefault="00704B93" w:rsidP="00912F9D">
            <w:pPr>
              <w:pStyle w:val="TableParagraph"/>
              <w:spacing w:line="268" w:lineRule="exact"/>
              <w:ind w:left="108"/>
              <w:rPr>
                <w:sz w:val="24"/>
              </w:rPr>
            </w:pPr>
            <w:r>
              <w:rPr>
                <w:spacing w:val="-2"/>
                <w:sz w:val="24"/>
              </w:rPr>
              <w:t>10.22±0.37</w:t>
            </w:r>
            <w:r>
              <w:rPr>
                <w:spacing w:val="-2"/>
                <w:sz w:val="24"/>
                <w:vertAlign w:val="superscript"/>
              </w:rPr>
              <w:t>b</w:t>
            </w:r>
          </w:p>
        </w:tc>
        <w:tc>
          <w:tcPr>
            <w:tcW w:w="648" w:type="pct"/>
          </w:tcPr>
          <w:p w14:paraId="480E9845" w14:textId="77777777" w:rsidR="00704B93" w:rsidRDefault="00704B93" w:rsidP="00912F9D">
            <w:pPr>
              <w:pStyle w:val="TableParagraph"/>
              <w:spacing w:line="268" w:lineRule="exact"/>
              <w:ind w:left="107"/>
              <w:rPr>
                <w:sz w:val="24"/>
              </w:rPr>
            </w:pPr>
            <w:r>
              <w:rPr>
                <w:spacing w:val="-2"/>
                <w:sz w:val="24"/>
              </w:rPr>
              <w:t>9.31±0.36</w:t>
            </w:r>
          </w:p>
        </w:tc>
        <w:tc>
          <w:tcPr>
            <w:tcW w:w="704" w:type="pct"/>
          </w:tcPr>
          <w:p w14:paraId="72F469F4" w14:textId="77777777" w:rsidR="00704B93" w:rsidRDefault="00704B93" w:rsidP="00912F9D">
            <w:pPr>
              <w:pStyle w:val="TableParagraph"/>
              <w:spacing w:line="268" w:lineRule="exact"/>
              <w:ind w:left="83" w:right="199"/>
              <w:jc w:val="center"/>
              <w:rPr>
                <w:sz w:val="24"/>
              </w:rPr>
            </w:pPr>
            <w:r>
              <w:rPr>
                <w:spacing w:val="-2"/>
                <w:sz w:val="24"/>
              </w:rPr>
              <w:t>75.23±1.84</w:t>
            </w:r>
            <w:r>
              <w:rPr>
                <w:spacing w:val="-2"/>
                <w:sz w:val="24"/>
                <w:vertAlign w:val="superscript"/>
              </w:rPr>
              <w:t>d</w:t>
            </w:r>
          </w:p>
        </w:tc>
        <w:tc>
          <w:tcPr>
            <w:tcW w:w="592" w:type="pct"/>
          </w:tcPr>
          <w:p w14:paraId="2591B326" w14:textId="77777777" w:rsidR="00704B93" w:rsidRDefault="00704B93" w:rsidP="00912F9D">
            <w:pPr>
              <w:pStyle w:val="TableParagraph"/>
              <w:spacing w:line="268" w:lineRule="exact"/>
              <w:ind w:right="79"/>
              <w:jc w:val="center"/>
              <w:rPr>
                <w:sz w:val="24"/>
              </w:rPr>
            </w:pPr>
            <w:r>
              <w:rPr>
                <w:spacing w:val="-2"/>
                <w:sz w:val="24"/>
              </w:rPr>
              <w:t>3.37±0.27</w:t>
            </w:r>
          </w:p>
        </w:tc>
        <w:tc>
          <w:tcPr>
            <w:tcW w:w="588" w:type="pct"/>
          </w:tcPr>
          <w:p w14:paraId="619275DF" w14:textId="77777777" w:rsidR="00704B93" w:rsidRDefault="00704B93" w:rsidP="00912F9D">
            <w:pPr>
              <w:pStyle w:val="TableParagraph"/>
              <w:spacing w:line="268" w:lineRule="exact"/>
              <w:ind w:left="7" w:right="78"/>
              <w:jc w:val="center"/>
              <w:rPr>
                <w:sz w:val="24"/>
              </w:rPr>
            </w:pPr>
            <w:r>
              <w:rPr>
                <w:spacing w:val="-2"/>
                <w:sz w:val="24"/>
              </w:rPr>
              <w:t>3.31</w:t>
            </w:r>
            <w:r>
              <w:rPr>
                <w:b/>
                <w:spacing w:val="-2"/>
                <w:sz w:val="24"/>
              </w:rPr>
              <w:t>±</w:t>
            </w:r>
            <w:r>
              <w:rPr>
                <w:spacing w:val="-2"/>
                <w:sz w:val="24"/>
              </w:rPr>
              <w:t>0.07</w:t>
            </w:r>
          </w:p>
        </w:tc>
        <w:tc>
          <w:tcPr>
            <w:tcW w:w="734" w:type="pct"/>
          </w:tcPr>
          <w:p w14:paraId="4AC0C746" w14:textId="77777777" w:rsidR="00704B93" w:rsidRDefault="00704B93" w:rsidP="00912F9D">
            <w:pPr>
              <w:pStyle w:val="TableParagraph"/>
              <w:spacing w:line="268" w:lineRule="exact"/>
              <w:ind w:left="117"/>
              <w:rPr>
                <w:sz w:val="24"/>
              </w:rPr>
            </w:pPr>
            <w:r>
              <w:rPr>
                <w:spacing w:val="-2"/>
                <w:sz w:val="24"/>
              </w:rPr>
              <w:t>48.03±0.17</w:t>
            </w:r>
            <w:r>
              <w:rPr>
                <w:spacing w:val="-2"/>
                <w:sz w:val="24"/>
                <w:vertAlign w:val="superscript"/>
              </w:rPr>
              <w:t>d</w:t>
            </w:r>
          </w:p>
        </w:tc>
      </w:tr>
      <w:tr w:rsidR="00704B93" w14:paraId="4A8E802E" w14:textId="77777777" w:rsidTr="00F61606">
        <w:trPr>
          <w:trHeight w:val="303"/>
        </w:trPr>
        <w:tc>
          <w:tcPr>
            <w:tcW w:w="417" w:type="pct"/>
          </w:tcPr>
          <w:p w14:paraId="6821B2F5" w14:textId="77777777" w:rsidR="00704B93" w:rsidRDefault="00704B93" w:rsidP="00912F9D">
            <w:pPr>
              <w:pStyle w:val="TableParagraph"/>
            </w:pPr>
          </w:p>
        </w:tc>
        <w:tc>
          <w:tcPr>
            <w:tcW w:w="668" w:type="pct"/>
          </w:tcPr>
          <w:p w14:paraId="6FDB5CB5" w14:textId="77777777" w:rsidR="00704B93" w:rsidRDefault="00704B93" w:rsidP="00912F9D">
            <w:pPr>
              <w:pStyle w:val="TableParagraph"/>
              <w:spacing w:before="12" w:line="271" w:lineRule="exact"/>
              <w:ind w:left="109"/>
              <w:rPr>
                <w:sz w:val="24"/>
              </w:rPr>
            </w:pPr>
            <w:r>
              <w:rPr>
                <w:spacing w:val="-5"/>
                <w:sz w:val="24"/>
              </w:rPr>
              <w:t>PE2</w:t>
            </w:r>
          </w:p>
        </w:tc>
        <w:tc>
          <w:tcPr>
            <w:tcW w:w="648" w:type="pct"/>
          </w:tcPr>
          <w:p w14:paraId="4D8087AF" w14:textId="77777777" w:rsidR="00704B93" w:rsidRDefault="00704B93" w:rsidP="00912F9D">
            <w:pPr>
              <w:pStyle w:val="TableParagraph"/>
              <w:spacing w:before="12" w:line="271" w:lineRule="exact"/>
              <w:ind w:left="108"/>
              <w:rPr>
                <w:sz w:val="24"/>
              </w:rPr>
            </w:pPr>
            <w:r>
              <w:rPr>
                <w:spacing w:val="-2"/>
                <w:sz w:val="24"/>
              </w:rPr>
              <w:t>13.30±0.22</w:t>
            </w:r>
            <w:r>
              <w:rPr>
                <w:spacing w:val="-2"/>
                <w:sz w:val="24"/>
                <w:vertAlign w:val="superscript"/>
              </w:rPr>
              <w:t>d</w:t>
            </w:r>
          </w:p>
        </w:tc>
        <w:tc>
          <w:tcPr>
            <w:tcW w:w="648" w:type="pct"/>
          </w:tcPr>
          <w:p w14:paraId="56E22F32" w14:textId="77777777" w:rsidR="00704B93" w:rsidRDefault="00704B93" w:rsidP="00912F9D">
            <w:pPr>
              <w:pStyle w:val="TableParagraph"/>
              <w:spacing w:before="12" w:line="271" w:lineRule="exact"/>
              <w:ind w:left="107"/>
              <w:rPr>
                <w:sz w:val="24"/>
              </w:rPr>
            </w:pPr>
            <w:r>
              <w:rPr>
                <w:spacing w:val="-2"/>
                <w:sz w:val="24"/>
              </w:rPr>
              <w:t>12.74±0.24</w:t>
            </w:r>
            <w:r>
              <w:rPr>
                <w:spacing w:val="-2"/>
                <w:sz w:val="24"/>
                <w:vertAlign w:val="superscript"/>
              </w:rPr>
              <w:t>c</w:t>
            </w:r>
          </w:p>
        </w:tc>
        <w:tc>
          <w:tcPr>
            <w:tcW w:w="704" w:type="pct"/>
          </w:tcPr>
          <w:p w14:paraId="3E397D36" w14:textId="77777777" w:rsidR="00704B93" w:rsidRDefault="00704B93" w:rsidP="00912F9D">
            <w:pPr>
              <w:pStyle w:val="TableParagraph"/>
              <w:spacing w:before="12" w:line="271" w:lineRule="exact"/>
              <w:ind w:left="83" w:right="199"/>
              <w:jc w:val="center"/>
              <w:rPr>
                <w:sz w:val="24"/>
              </w:rPr>
            </w:pPr>
            <w:r>
              <w:rPr>
                <w:spacing w:val="-2"/>
                <w:sz w:val="24"/>
              </w:rPr>
              <w:t>82.67±0.48</w:t>
            </w:r>
            <w:r>
              <w:rPr>
                <w:spacing w:val="-2"/>
                <w:sz w:val="24"/>
                <w:vertAlign w:val="superscript"/>
              </w:rPr>
              <w:t>d</w:t>
            </w:r>
          </w:p>
        </w:tc>
        <w:tc>
          <w:tcPr>
            <w:tcW w:w="592" w:type="pct"/>
          </w:tcPr>
          <w:p w14:paraId="3E85579C" w14:textId="77777777" w:rsidR="00704B93" w:rsidRDefault="00704B93" w:rsidP="00912F9D">
            <w:pPr>
              <w:pStyle w:val="TableParagraph"/>
              <w:spacing w:before="12" w:line="271" w:lineRule="exact"/>
              <w:ind w:right="79"/>
              <w:jc w:val="center"/>
              <w:rPr>
                <w:sz w:val="24"/>
              </w:rPr>
            </w:pPr>
            <w:r>
              <w:rPr>
                <w:spacing w:val="-2"/>
                <w:sz w:val="24"/>
              </w:rPr>
              <w:t>5.23±0.09</w:t>
            </w:r>
          </w:p>
        </w:tc>
        <w:tc>
          <w:tcPr>
            <w:tcW w:w="588" w:type="pct"/>
          </w:tcPr>
          <w:p w14:paraId="1C7ED118" w14:textId="77777777" w:rsidR="00704B93" w:rsidRDefault="00704B93" w:rsidP="00912F9D">
            <w:pPr>
              <w:pStyle w:val="TableParagraph"/>
              <w:spacing w:before="12" w:line="271" w:lineRule="exact"/>
              <w:ind w:left="7" w:right="78"/>
              <w:jc w:val="center"/>
              <w:rPr>
                <w:sz w:val="24"/>
              </w:rPr>
            </w:pPr>
            <w:r>
              <w:rPr>
                <w:spacing w:val="-2"/>
                <w:sz w:val="24"/>
              </w:rPr>
              <w:t>4.85</w:t>
            </w:r>
            <w:r>
              <w:rPr>
                <w:b/>
                <w:spacing w:val="-2"/>
                <w:sz w:val="24"/>
              </w:rPr>
              <w:t>±</w:t>
            </w:r>
            <w:r>
              <w:rPr>
                <w:spacing w:val="-2"/>
                <w:sz w:val="24"/>
              </w:rPr>
              <w:t>0.40</w:t>
            </w:r>
          </w:p>
        </w:tc>
        <w:tc>
          <w:tcPr>
            <w:tcW w:w="734" w:type="pct"/>
          </w:tcPr>
          <w:p w14:paraId="48283BE4" w14:textId="77777777" w:rsidR="00704B93" w:rsidRDefault="00704B93" w:rsidP="00912F9D">
            <w:pPr>
              <w:pStyle w:val="TableParagraph"/>
              <w:spacing w:before="12" w:line="271" w:lineRule="exact"/>
              <w:ind w:left="117"/>
              <w:rPr>
                <w:sz w:val="24"/>
              </w:rPr>
            </w:pPr>
            <w:r>
              <w:rPr>
                <w:spacing w:val="-2"/>
                <w:sz w:val="24"/>
              </w:rPr>
              <w:t>68.30±0.65</w:t>
            </w:r>
            <w:r>
              <w:rPr>
                <w:spacing w:val="-2"/>
                <w:sz w:val="24"/>
                <w:vertAlign w:val="superscript"/>
              </w:rPr>
              <w:t>d</w:t>
            </w:r>
          </w:p>
        </w:tc>
      </w:tr>
      <w:tr w:rsidR="00704B93" w14:paraId="5DA20AC4" w14:textId="77777777" w:rsidTr="00F61606">
        <w:trPr>
          <w:trHeight w:val="315"/>
        </w:trPr>
        <w:tc>
          <w:tcPr>
            <w:tcW w:w="417" w:type="pct"/>
          </w:tcPr>
          <w:p w14:paraId="57D84332" w14:textId="77777777" w:rsidR="00704B93" w:rsidRDefault="00704B93" w:rsidP="00912F9D">
            <w:pPr>
              <w:pStyle w:val="TableParagraph"/>
            </w:pPr>
          </w:p>
        </w:tc>
        <w:tc>
          <w:tcPr>
            <w:tcW w:w="668" w:type="pct"/>
          </w:tcPr>
          <w:p w14:paraId="1E96B0E1" w14:textId="77777777" w:rsidR="00704B93" w:rsidRDefault="00704B93" w:rsidP="00912F9D">
            <w:pPr>
              <w:pStyle w:val="TableParagraph"/>
              <w:spacing w:before="25" w:line="270" w:lineRule="exact"/>
              <w:ind w:left="109"/>
              <w:rPr>
                <w:sz w:val="24"/>
              </w:rPr>
            </w:pPr>
            <w:r>
              <w:rPr>
                <w:spacing w:val="-2"/>
                <w:sz w:val="24"/>
              </w:rPr>
              <w:t>Metformin</w:t>
            </w:r>
          </w:p>
        </w:tc>
        <w:tc>
          <w:tcPr>
            <w:tcW w:w="648" w:type="pct"/>
          </w:tcPr>
          <w:p w14:paraId="160C67CE" w14:textId="77777777" w:rsidR="00704B93" w:rsidRDefault="00704B93" w:rsidP="00912F9D">
            <w:pPr>
              <w:pStyle w:val="TableParagraph"/>
              <w:spacing w:before="25" w:line="270" w:lineRule="exact"/>
              <w:ind w:left="108"/>
              <w:rPr>
                <w:sz w:val="24"/>
              </w:rPr>
            </w:pPr>
            <w:r>
              <w:rPr>
                <w:spacing w:val="-2"/>
                <w:sz w:val="24"/>
              </w:rPr>
              <w:t>15.87±0.09</w:t>
            </w:r>
            <w:r>
              <w:rPr>
                <w:spacing w:val="-2"/>
                <w:sz w:val="24"/>
                <w:vertAlign w:val="superscript"/>
              </w:rPr>
              <w:t>d</w:t>
            </w:r>
          </w:p>
        </w:tc>
        <w:tc>
          <w:tcPr>
            <w:tcW w:w="648" w:type="pct"/>
          </w:tcPr>
          <w:p w14:paraId="74F708EC" w14:textId="77777777" w:rsidR="00704B93" w:rsidRDefault="00704B93" w:rsidP="00912F9D">
            <w:pPr>
              <w:pStyle w:val="TableParagraph"/>
              <w:spacing w:before="25" w:line="270" w:lineRule="exact"/>
              <w:ind w:left="107"/>
              <w:rPr>
                <w:sz w:val="24"/>
              </w:rPr>
            </w:pPr>
            <w:r>
              <w:rPr>
                <w:spacing w:val="-2"/>
                <w:sz w:val="24"/>
              </w:rPr>
              <w:t>15.01±0.76</w:t>
            </w:r>
            <w:r>
              <w:rPr>
                <w:spacing w:val="-2"/>
                <w:sz w:val="24"/>
                <w:vertAlign w:val="superscript"/>
              </w:rPr>
              <w:t>d</w:t>
            </w:r>
          </w:p>
        </w:tc>
        <w:tc>
          <w:tcPr>
            <w:tcW w:w="704" w:type="pct"/>
          </w:tcPr>
          <w:p w14:paraId="441E43B0" w14:textId="77777777" w:rsidR="00704B93" w:rsidRDefault="00704B93" w:rsidP="00912F9D">
            <w:pPr>
              <w:pStyle w:val="TableParagraph"/>
              <w:spacing w:before="25" w:line="270" w:lineRule="exact"/>
              <w:ind w:left="83" w:right="199"/>
              <w:jc w:val="center"/>
              <w:rPr>
                <w:sz w:val="24"/>
              </w:rPr>
            </w:pPr>
            <w:r>
              <w:rPr>
                <w:spacing w:val="-2"/>
                <w:sz w:val="24"/>
              </w:rPr>
              <w:t>92.80±6.64</w:t>
            </w:r>
            <w:r>
              <w:rPr>
                <w:spacing w:val="-2"/>
                <w:sz w:val="24"/>
                <w:vertAlign w:val="superscript"/>
              </w:rPr>
              <w:t>d</w:t>
            </w:r>
          </w:p>
        </w:tc>
        <w:tc>
          <w:tcPr>
            <w:tcW w:w="592" w:type="pct"/>
          </w:tcPr>
          <w:p w14:paraId="58179DD0" w14:textId="77777777" w:rsidR="00704B93" w:rsidRDefault="00704B93" w:rsidP="00912F9D">
            <w:pPr>
              <w:pStyle w:val="TableParagraph"/>
              <w:spacing w:before="25" w:line="270" w:lineRule="exact"/>
              <w:ind w:left="73" w:right="79"/>
              <w:jc w:val="center"/>
              <w:rPr>
                <w:sz w:val="24"/>
              </w:rPr>
            </w:pPr>
            <w:r>
              <w:rPr>
                <w:spacing w:val="-2"/>
                <w:sz w:val="24"/>
              </w:rPr>
              <w:t>6.45±0.60</w:t>
            </w:r>
            <w:r>
              <w:rPr>
                <w:spacing w:val="-2"/>
                <w:sz w:val="24"/>
                <w:vertAlign w:val="superscript"/>
              </w:rPr>
              <w:t>a</w:t>
            </w:r>
          </w:p>
        </w:tc>
        <w:tc>
          <w:tcPr>
            <w:tcW w:w="588" w:type="pct"/>
          </w:tcPr>
          <w:p w14:paraId="1D0E1D77" w14:textId="77777777" w:rsidR="00704B93" w:rsidRDefault="00704B93" w:rsidP="00912F9D">
            <w:pPr>
              <w:pStyle w:val="TableParagraph"/>
              <w:spacing w:before="25" w:line="270" w:lineRule="exact"/>
              <w:ind w:left="71" w:right="72"/>
              <w:jc w:val="center"/>
              <w:rPr>
                <w:sz w:val="24"/>
              </w:rPr>
            </w:pPr>
            <w:r>
              <w:rPr>
                <w:spacing w:val="-2"/>
                <w:sz w:val="24"/>
              </w:rPr>
              <w:t>6.55</w:t>
            </w:r>
            <w:r>
              <w:rPr>
                <w:b/>
                <w:spacing w:val="-2"/>
                <w:sz w:val="24"/>
              </w:rPr>
              <w:t>±</w:t>
            </w:r>
            <w:r>
              <w:rPr>
                <w:spacing w:val="-2"/>
                <w:sz w:val="24"/>
              </w:rPr>
              <w:t>0.29</w:t>
            </w:r>
            <w:r>
              <w:rPr>
                <w:spacing w:val="-2"/>
                <w:sz w:val="24"/>
                <w:vertAlign w:val="superscript"/>
              </w:rPr>
              <w:t>a</w:t>
            </w:r>
          </w:p>
        </w:tc>
        <w:tc>
          <w:tcPr>
            <w:tcW w:w="734" w:type="pct"/>
          </w:tcPr>
          <w:p w14:paraId="418D1D18" w14:textId="77777777" w:rsidR="00704B93" w:rsidRDefault="00704B93" w:rsidP="00912F9D">
            <w:pPr>
              <w:pStyle w:val="TableParagraph"/>
              <w:spacing w:before="25" w:line="270" w:lineRule="exact"/>
              <w:ind w:left="117"/>
              <w:rPr>
                <w:sz w:val="24"/>
              </w:rPr>
            </w:pPr>
            <w:r>
              <w:rPr>
                <w:spacing w:val="-2"/>
                <w:sz w:val="24"/>
              </w:rPr>
              <w:t>75.98±1.52</w:t>
            </w:r>
            <w:r>
              <w:rPr>
                <w:spacing w:val="-2"/>
                <w:sz w:val="24"/>
                <w:vertAlign w:val="superscript"/>
              </w:rPr>
              <w:t>d</w:t>
            </w:r>
          </w:p>
        </w:tc>
      </w:tr>
      <w:tr w:rsidR="00704B93" w14:paraId="54433602" w14:textId="77777777" w:rsidTr="00F61606">
        <w:trPr>
          <w:trHeight w:val="317"/>
        </w:trPr>
        <w:tc>
          <w:tcPr>
            <w:tcW w:w="417" w:type="pct"/>
            <w:tcBorders>
              <w:bottom w:val="single" w:sz="4" w:space="0" w:color="000000"/>
            </w:tcBorders>
          </w:tcPr>
          <w:p w14:paraId="2C83F45F" w14:textId="77777777" w:rsidR="00704B93" w:rsidRDefault="00704B93" w:rsidP="00912F9D">
            <w:pPr>
              <w:pStyle w:val="TableParagraph"/>
            </w:pPr>
          </w:p>
        </w:tc>
        <w:tc>
          <w:tcPr>
            <w:tcW w:w="668" w:type="pct"/>
            <w:tcBorders>
              <w:bottom w:val="single" w:sz="4" w:space="0" w:color="000000"/>
            </w:tcBorders>
          </w:tcPr>
          <w:p w14:paraId="5D429AF4" w14:textId="77777777" w:rsidR="00704B93" w:rsidRDefault="00704B93" w:rsidP="00912F9D">
            <w:pPr>
              <w:pStyle w:val="TableParagraph"/>
              <w:spacing w:before="24" w:line="273" w:lineRule="exact"/>
              <w:ind w:left="109"/>
              <w:rPr>
                <w:sz w:val="24"/>
              </w:rPr>
            </w:pPr>
            <w:r>
              <w:rPr>
                <w:spacing w:val="-2"/>
                <w:sz w:val="24"/>
              </w:rPr>
              <w:t>Clomid</w:t>
            </w:r>
          </w:p>
        </w:tc>
        <w:tc>
          <w:tcPr>
            <w:tcW w:w="648" w:type="pct"/>
            <w:tcBorders>
              <w:bottom w:val="single" w:sz="4" w:space="0" w:color="000000"/>
            </w:tcBorders>
          </w:tcPr>
          <w:p w14:paraId="5F3F768E" w14:textId="77777777" w:rsidR="00704B93" w:rsidRDefault="00704B93" w:rsidP="00912F9D">
            <w:pPr>
              <w:pStyle w:val="TableParagraph"/>
              <w:spacing w:before="24" w:line="273" w:lineRule="exact"/>
              <w:ind w:left="108"/>
              <w:rPr>
                <w:sz w:val="24"/>
              </w:rPr>
            </w:pPr>
            <w:r>
              <w:rPr>
                <w:spacing w:val="-2"/>
                <w:sz w:val="24"/>
              </w:rPr>
              <w:t>19.12±0.36</w:t>
            </w:r>
            <w:r>
              <w:rPr>
                <w:spacing w:val="-2"/>
                <w:sz w:val="24"/>
                <w:vertAlign w:val="superscript"/>
              </w:rPr>
              <w:t>d</w:t>
            </w:r>
          </w:p>
        </w:tc>
        <w:tc>
          <w:tcPr>
            <w:tcW w:w="648" w:type="pct"/>
            <w:tcBorders>
              <w:bottom w:val="single" w:sz="4" w:space="0" w:color="000000"/>
            </w:tcBorders>
          </w:tcPr>
          <w:p w14:paraId="20B3FF5A" w14:textId="77777777" w:rsidR="00704B93" w:rsidRDefault="00704B93" w:rsidP="00912F9D">
            <w:pPr>
              <w:pStyle w:val="TableParagraph"/>
              <w:spacing w:before="24" w:line="273" w:lineRule="exact"/>
              <w:ind w:left="107"/>
              <w:rPr>
                <w:sz w:val="24"/>
              </w:rPr>
            </w:pPr>
            <w:r>
              <w:rPr>
                <w:spacing w:val="-2"/>
                <w:sz w:val="24"/>
              </w:rPr>
              <w:t>16.19±0.26</w:t>
            </w:r>
            <w:r>
              <w:rPr>
                <w:spacing w:val="-2"/>
                <w:sz w:val="24"/>
                <w:vertAlign w:val="superscript"/>
              </w:rPr>
              <w:t>d</w:t>
            </w:r>
          </w:p>
        </w:tc>
        <w:tc>
          <w:tcPr>
            <w:tcW w:w="704" w:type="pct"/>
            <w:tcBorders>
              <w:bottom w:val="single" w:sz="4" w:space="0" w:color="000000"/>
            </w:tcBorders>
          </w:tcPr>
          <w:p w14:paraId="3457EA66" w14:textId="77777777" w:rsidR="00704B93" w:rsidRDefault="00704B93" w:rsidP="00912F9D">
            <w:pPr>
              <w:pStyle w:val="TableParagraph"/>
              <w:spacing w:before="24" w:line="273" w:lineRule="exact"/>
              <w:ind w:left="1"/>
              <w:jc w:val="center"/>
              <w:rPr>
                <w:sz w:val="24"/>
              </w:rPr>
            </w:pPr>
            <w:r>
              <w:rPr>
                <w:spacing w:val="-2"/>
                <w:sz w:val="24"/>
              </w:rPr>
              <w:t>102.40±1.61</w:t>
            </w:r>
            <w:r>
              <w:rPr>
                <w:spacing w:val="-2"/>
                <w:sz w:val="24"/>
                <w:vertAlign w:val="superscript"/>
              </w:rPr>
              <w:t>d</w:t>
            </w:r>
          </w:p>
        </w:tc>
        <w:tc>
          <w:tcPr>
            <w:tcW w:w="592" w:type="pct"/>
            <w:tcBorders>
              <w:bottom w:val="single" w:sz="4" w:space="0" w:color="000000"/>
            </w:tcBorders>
          </w:tcPr>
          <w:p w14:paraId="2BC82891" w14:textId="77777777" w:rsidR="00704B93" w:rsidRDefault="00704B93" w:rsidP="00912F9D">
            <w:pPr>
              <w:pStyle w:val="TableParagraph"/>
              <w:spacing w:before="24" w:line="273" w:lineRule="exact"/>
              <w:ind w:left="79" w:right="79"/>
              <w:jc w:val="center"/>
              <w:rPr>
                <w:sz w:val="24"/>
              </w:rPr>
            </w:pPr>
            <w:r>
              <w:rPr>
                <w:spacing w:val="-2"/>
                <w:sz w:val="24"/>
              </w:rPr>
              <w:t>7.96±0.43</w:t>
            </w:r>
            <w:r>
              <w:rPr>
                <w:spacing w:val="-2"/>
                <w:sz w:val="24"/>
                <w:vertAlign w:val="superscript"/>
              </w:rPr>
              <w:t>b</w:t>
            </w:r>
          </w:p>
        </w:tc>
        <w:tc>
          <w:tcPr>
            <w:tcW w:w="588" w:type="pct"/>
            <w:tcBorders>
              <w:bottom w:val="single" w:sz="4" w:space="0" w:color="000000"/>
            </w:tcBorders>
          </w:tcPr>
          <w:p w14:paraId="38C91087" w14:textId="77777777" w:rsidR="00704B93" w:rsidRDefault="00704B93" w:rsidP="00912F9D">
            <w:pPr>
              <w:pStyle w:val="TableParagraph"/>
              <w:spacing w:before="24" w:line="273" w:lineRule="exact"/>
              <w:ind w:left="79" w:right="72"/>
              <w:jc w:val="center"/>
              <w:rPr>
                <w:sz w:val="24"/>
              </w:rPr>
            </w:pPr>
            <w:r>
              <w:rPr>
                <w:spacing w:val="-2"/>
                <w:sz w:val="24"/>
              </w:rPr>
              <w:t>7.44</w:t>
            </w:r>
            <w:r>
              <w:rPr>
                <w:b/>
                <w:spacing w:val="-2"/>
                <w:sz w:val="24"/>
              </w:rPr>
              <w:t>±</w:t>
            </w:r>
            <w:r>
              <w:rPr>
                <w:spacing w:val="-2"/>
                <w:sz w:val="24"/>
              </w:rPr>
              <w:t>0.07</w:t>
            </w:r>
            <w:r>
              <w:rPr>
                <w:spacing w:val="-2"/>
                <w:sz w:val="24"/>
                <w:vertAlign w:val="superscript"/>
              </w:rPr>
              <w:t>b</w:t>
            </w:r>
          </w:p>
        </w:tc>
        <w:tc>
          <w:tcPr>
            <w:tcW w:w="734" w:type="pct"/>
            <w:tcBorders>
              <w:bottom w:val="single" w:sz="4" w:space="0" w:color="000000"/>
            </w:tcBorders>
          </w:tcPr>
          <w:p w14:paraId="148BDA52" w14:textId="77777777" w:rsidR="00704B93" w:rsidRDefault="00704B93" w:rsidP="00912F9D">
            <w:pPr>
              <w:pStyle w:val="TableParagraph"/>
              <w:spacing w:before="24" w:line="273" w:lineRule="exact"/>
              <w:ind w:left="117"/>
              <w:rPr>
                <w:sz w:val="24"/>
              </w:rPr>
            </w:pPr>
            <w:r>
              <w:rPr>
                <w:spacing w:val="-2"/>
                <w:sz w:val="24"/>
              </w:rPr>
              <w:t>78.47±0.61</w:t>
            </w:r>
            <w:r>
              <w:rPr>
                <w:spacing w:val="-2"/>
                <w:sz w:val="24"/>
                <w:vertAlign w:val="superscript"/>
              </w:rPr>
              <w:t>d</w:t>
            </w:r>
          </w:p>
        </w:tc>
      </w:tr>
      <w:tr w:rsidR="00704B93" w14:paraId="01FB318F" w14:textId="77777777" w:rsidTr="00F61606">
        <w:trPr>
          <w:trHeight w:val="568"/>
        </w:trPr>
        <w:tc>
          <w:tcPr>
            <w:tcW w:w="417" w:type="pct"/>
            <w:tcBorders>
              <w:top w:val="single" w:sz="4" w:space="0" w:color="000000"/>
            </w:tcBorders>
          </w:tcPr>
          <w:p w14:paraId="317BC9BD" w14:textId="77777777" w:rsidR="00704B93" w:rsidRDefault="00704B93" w:rsidP="00912F9D">
            <w:pPr>
              <w:pStyle w:val="TableParagraph"/>
            </w:pPr>
          </w:p>
        </w:tc>
        <w:tc>
          <w:tcPr>
            <w:tcW w:w="668" w:type="pct"/>
            <w:tcBorders>
              <w:top w:val="single" w:sz="4" w:space="0" w:color="000000"/>
            </w:tcBorders>
          </w:tcPr>
          <w:p w14:paraId="74F7176C" w14:textId="77777777" w:rsidR="00704B93" w:rsidRDefault="00704B93" w:rsidP="00912F9D">
            <w:pPr>
              <w:pStyle w:val="TableParagraph"/>
              <w:spacing w:line="276" w:lineRule="exact"/>
              <w:ind w:left="109" w:right="580"/>
              <w:rPr>
                <w:sz w:val="24"/>
              </w:rPr>
            </w:pPr>
            <w:r>
              <w:rPr>
                <w:spacing w:val="-2"/>
                <w:sz w:val="24"/>
              </w:rPr>
              <w:t>Normal Control</w:t>
            </w:r>
          </w:p>
        </w:tc>
        <w:tc>
          <w:tcPr>
            <w:tcW w:w="648" w:type="pct"/>
            <w:tcBorders>
              <w:top w:val="single" w:sz="4" w:space="0" w:color="000000"/>
            </w:tcBorders>
          </w:tcPr>
          <w:p w14:paraId="464A7A2D" w14:textId="77777777" w:rsidR="00704B93" w:rsidRDefault="00704B93" w:rsidP="00912F9D">
            <w:pPr>
              <w:pStyle w:val="TableParagraph"/>
              <w:spacing w:line="275" w:lineRule="exact"/>
              <w:ind w:left="108"/>
              <w:rPr>
                <w:sz w:val="24"/>
              </w:rPr>
            </w:pPr>
            <w:r>
              <w:rPr>
                <w:spacing w:val="-2"/>
                <w:sz w:val="24"/>
              </w:rPr>
              <w:t>17.65±0.27</w:t>
            </w:r>
            <w:r>
              <w:rPr>
                <w:spacing w:val="-2"/>
                <w:sz w:val="24"/>
                <w:vertAlign w:val="superscript"/>
              </w:rPr>
              <w:t>d</w:t>
            </w:r>
          </w:p>
        </w:tc>
        <w:tc>
          <w:tcPr>
            <w:tcW w:w="648" w:type="pct"/>
            <w:tcBorders>
              <w:top w:val="single" w:sz="4" w:space="0" w:color="000000"/>
            </w:tcBorders>
          </w:tcPr>
          <w:p w14:paraId="323DF893" w14:textId="77777777" w:rsidR="00704B93" w:rsidRDefault="00704B93" w:rsidP="00912F9D">
            <w:pPr>
              <w:pStyle w:val="TableParagraph"/>
              <w:spacing w:line="275" w:lineRule="exact"/>
              <w:ind w:left="107"/>
              <w:rPr>
                <w:sz w:val="24"/>
              </w:rPr>
            </w:pPr>
            <w:r>
              <w:rPr>
                <w:spacing w:val="-2"/>
                <w:sz w:val="24"/>
              </w:rPr>
              <w:t>21.32±1.60</w:t>
            </w:r>
            <w:r>
              <w:rPr>
                <w:spacing w:val="-2"/>
                <w:sz w:val="24"/>
                <w:vertAlign w:val="superscript"/>
              </w:rPr>
              <w:t>d</w:t>
            </w:r>
          </w:p>
        </w:tc>
        <w:tc>
          <w:tcPr>
            <w:tcW w:w="704" w:type="pct"/>
            <w:tcBorders>
              <w:top w:val="single" w:sz="4" w:space="0" w:color="000000"/>
            </w:tcBorders>
          </w:tcPr>
          <w:p w14:paraId="0E75EC48" w14:textId="77777777" w:rsidR="00704B93" w:rsidRDefault="00704B93" w:rsidP="00912F9D">
            <w:pPr>
              <w:pStyle w:val="TableParagraph"/>
              <w:spacing w:line="275" w:lineRule="exact"/>
              <w:ind w:left="1"/>
              <w:jc w:val="center"/>
              <w:rPr>
                <w:sz w:val="24"/>
              </w:rPr>
            </w:pPr>
            <w:r>
              <w:rPr>
                <w:spacing w:val="-2"/>
                <w:sz w:val="24"/>
              </w:rPr>
              <w:t>155.13±0.48</w:t>
            </w:r>
            <w:r>
              <w:rPr>
                <w:spacing w:val="-2"/>
                <w:sz w:val="24"/>
                <w:vertAlign w:val="superscript"/>
              </w:rPr>
              <w:t>d</w:t>
            </w:r>
          </w:p>
        </w:tc>
        <w:tc>
          <w:tcPr>
            <w:tcW w:w="592" w:type="pct"/>
            <w:tcBorders>
              <w:top w:val="single" w:sz="4" w:space="0" w:color="000000"/>
            </w:tcBorders>
          </w:tcPr>
          <w:p w14:paraId="5CF64791" w14:textId="77777777" w:rsidR="00704B93" w:rsidRDefault="00704B93" w:rsidP="00912F9D">
            <w:pPr>
              <w:pStyle w:val="TableParagraph"/>
              <w:spacing w:line="275" w:lineRule="exact"/>
              <w:ind w:left="79" w:right="79"/>
              <w:jc w:val="center"/>
              <w:rPr>
                <w:sz w:val="24"/>
              </w:rPr>
            </w:pPr>
            <w:r>
              <w:rPr>
                <w:spacing w:val="-2"/>
                <w:sz w:val="24"/>
              </w:rPr>
              <w:t>8.20±0.09</w:t>
            </w:r>
            <w:r>
              <w:rPr>
                <w:spacing w:val="-2"/>
                <w:sz w:val="24"/>
                <w:vertAlign w:val="superscript"/>
              </w:rPr>
              <w:t>b</w:t>
            </w:r>
          </w:p>
        </w:tc>
        <w:tc>
          <w:tcPr>
            <w:tcW w:w="588" w:type="pct"/>
            <w:tcBorders>
              <w:top w:val="single" w:sz="4" w:space="0" w:color="000000"/>
            </w:tcBorders>
          </w:tcPr>
          <w:p w14:paraId="6F247577" w14:textId="77777777" w:rsidR="00704B93" w:rsidRDefault="00704B93" w:rsidP="00912F9D">
            <w:pPr>
              <w:pStyle w:val="TableParagraph"/>
              <w:spacing w:line="275" w:lineRule="exact"/>
              <w:ind w:left="79" w:right="72"/>
              <w:jc w:val="center"/>
              <w:rPr>
                <w:sz w:val="24"/>
              </w:rPr>
            </w:pPr>
            <w:r>
              <w:rPr>
                <w:spacing w:val="-2"/>
                <w:sz w:val="24"/>
              </w:rPr>
              <w:t>8.46</w:t>
            </w:r>
            <w:r>
              <w:rPr>
                <w:b/>
                <w:spacing w:val="-2"/>
                <w:sz w:val="24"/>
              </w:rPr>
              <w:t>±</w:t>
            </w:r>
            <w:r>
              <w:rPr>
                <w:spacing w:val="-2"/>
                <w:sz w:val="24"/>
              </w:rPr>
              <w:t>0.37</w:t>
            </w:r>
            <w:r>
              <w:rPr>
                <w:spacing w:val="-2"/>
                <w:sz w:val="24"/>
                <w:vertAlign w:val="superscript"/>
              </w:rPr>
              <w:t>b</w:t>
            </w:r>
          </w:p>
        </w:tc>
        <w:tc>
          <w:tcPr>
            <w:tcW w:w="734" w:type="pct"/>
            <w:tcBorders>
              <w:top w:val="single" w:sz="4" w:space="0" w:color="000000"/>
            </w:tcBorders>
          </w:tcPr>
          <w:p w14:paraId="64BB56BB" w14:textId="77777777" w:rsidR="00704B93" w:rsidRDefault="00704B93" w:rsidP="00912F9D">
            <w:pPr>
              <w:pStyle w:val="TableParagraph"/>
              <w:spacing w:line="275" w:lineRule="exact"/>
              <w:ind w:left="117"/>
              <w:rPr>
                <w:sz w:val="24"/>
              </w:rPr>
            </w:pPr>
            <w:r>
              <w:rPr>
                <w:spacing w:val="-2"/>
                <w:sz w:val="24"/>
              </w:rPr>
              <w:t>57.20±0.53</w:t>
            </w:r>
            <w:r>
              <w:rPr>
                <w:spacing w:val="-2"/>
                <w:sz w:val="24"/>
                <w:vertAlign w:val="superscript"/>
              </w:rPr>
              <w:t>d</w:t>
            </w:r>
          </w:p>
        </w:tc>
      </w:tr>
      <w:tr w:rsidR="00704B93" w14:paraId="323B5BCE" w14:textId="77777777" w:rsidTr="00F61606">
        <w:trPr>
          <w:trHeight w:val="607"/>
        </w:trPr>
        <w:tc>
          <w:tcPr>
            <w:tcW w:w="417" w:type="pct"/>
          </w:tcPr>
          <w:p w14:paraId="1CA8E476" w14:textId="77777777" w:rsidR="00704B93" w:rsidRDefault="00704B93" w:rsidP="00912F9D">
            <w:pPr>
              <w:pStyle w:val="TableParagraph"/>
              <w:spacing w:before="73"/>
              <w:rPr>
                <w:sz w:val="24"/>
              </w:rPr>
            </w:pPr>
          </w:p>
          <w:p w14:paraId="16514E7A" w14:textId="77777777" w:rsidR="00704B93" w:rsidRDefault="00704B93" w:rsidP="00912F9D">
            <w:pPr>
              <w:pStyle w:val="TableParagraph"/>
              <w:spacing w:before="1" w:line="238" w:lineRule="exact"/>
              <w:ind w:left="107"/>
              <w:rPr>
                <w:b/>
                <w:sz w:val="24"/>
              </w:rPr>
            </w:pPr>
            <w:r>
              <w:rPr>
                <w:b/>
                <w:spacing w:val="-5"/>
                <w:sz w:val="24"/>
              </w:rPr>
              <w:t>28</w:t>
            </w:r>
          </w:p>
        </w:tc>
        <w:tc>
          <w:tcPr>
            <w:tcW w:w="668" w:type="pct"/>
          </w:tcPr>
          <w:p w14:paraId="483C4D00" w14:textId="77777777" w:rsidR="00704B93" w:rsidRDefault="00704B93" w:rsidP="00912F9D">
            <w:pPr>
              <w:pStyle w:val="TableParagraph"/>
              <w:spacing w:before="6"/>
              <w:ind w:left="109" w:right="425"/>
              <w:rPr>
                <w:b/>
                <w:sz w:val="24"/>
              </w:rPr>
            </w:pPr>
            <w:r>
              <w:rPr>
                <w:b/>
                <w:spacing w:val="-2"/>
                <w:sz w:val="24"/>
              </w:rPr>
              <w:t>Negative control</w:t>
            </w:r>
          </w:p>
        </w:tc>
        <w:tc>
          <w:tcPr>
            <w:tcW w:w="648" w:type="pct"/>
          </w:tcPr>
          <w:p w14:paraId="4C62D90F" w14:textId="77777777" w:rsidR="00704B93" w:rsidRDefault="00704B93" w:rsidP="00912F9D">
            <w:pPr>
              <w:pStyle w:val="TableParagraph"/>
              <w:spacing w:before="6"/>
              <w:ind w:left="108"/>
              <w:rPr>
                <w:b/>
                <w:sz w:val="24"/>
              </w:rPr>
            </w:pPr>
            <w:r>
              <w:rPr>
                <w:b/>
                <w:spacing w:val="-2"/>
                <w:sz w:val="24"/>
              </w:rPr>
              <w:t>4.88±0.15</w:t>
            </w:r>
          </w:p>
        </w:tc>
        <w:tc>
          <w:tcPr>
            <w:tcW w:w="648" w:type="pct"/>
          </w:tcPr>
          <w:p w14:paraId="072DE90C" w14:textId="77777777" w:rsidR="00704B93" w:rsidRDefault="00704B93" w:rsidP="00912F9D">
            <w:pPr>
              <w:pStyle w:val="TableParagraph"/>
              <w:spacing w:before="6"/>
              <w:ind w:left="107"/>
              <w:rPr>
                <w:b/>
                <w:sz w:val="24"/>
              </w:rPr>
            </w:pPr>
            <w:r>
              <w:rPr>
                <w:b/>
                <w:spacing w:val="-2"/>
                <w:sz w:val="24"/>
              </w:rPr>
              <w:t>4.99±0.07</w:t>
            </w:r>
          </w:p>
        </w:tc>
        <w:tc>
          <w:tcPr>
            <w:tcW w:w="704" w:type="pct"/>
          </w:tcPr>
          <w:p w14:paraId="0752279C" w14:textId="77777777" w:rsidR="00704B93" w:rsidRDefault="00704B93" w:rsidP="00912F9D">
            <w:pPr>
              <w:pStyle w:val="TableParagraph"/>
              <w:spacing w:before="6"/>
              <w:ind w:left="1" w:right="200"/>
              <w:jc w:val="center"/>
              <w:rPr>
                <w:b/>
                <w:sz w:val="24"/>
              </w:rPr>
            </w:pPr>
            <w:r>
              <w:rPr>
                <w:b/>
                <w:spacing w:val="-2"/>
                <w:sz w:val="24"/>
              </w:rPr>
              <w:t>60.63±0.52</w:t>
            </w:r>
          </w:p>
        </w:tc>
        <w:tc>
          <w:tcPr>
            <w:tcW w:w="592" w:type="pct"/>
          </w:tcPr>
          <w:p w14:paraId="75C652A0" w14:textId="77777777" w:rsidR="00704B93" w:rsidRDefault="00704B93" w:rsidP="00912F9D">
            <w:pPr>
              <w:pStyle w:val="TableParagraph"/>
              <w:spacing w:before="6"/>
              <w:ind w:right="79"/>
              <w:jc w:val="center"/>
              <w:rPr>
                <w:b/>
                <w:sz w:val="24"/>
              </w:rPr>
            </w:pPr>
            <w:r>
              <w:rPr>
                <w:b/>
                <w:spacing w:val="-2"/>
                <w:sz w:val="24"/>
              </w:rPr>
              <w:t>1.99±0.06</w:t>
            </w:r>
          </w:p>
        </w:tc>
        <w:tc>
          <w:tcPr>
            <w:tcW w:w="588" w:type="pct"/>
          </w:tcPr>
          <w:p w14:paraId="545CC4DA" w14:textId="77777777" w:rsidR="00704B93" w:rsidRDefault="00704B93" w:rsidP="00912F9D">
            <w:pPr>
              <w:pStyle w:val="TableParagraph"/>
              <w:spacing w:before="6"/>
              <w:ind w:left="7" w:right="79"/>
              <w:jc w:val="center"/>
              <w:rPr>
                <w:b/>
                <w:sz w:val="24"/>
              </w:rPr>
            </w:pPr>
            <w:r>
              <w:rPr>
                <w:b/>
                <w:spacing w:val="-2"/>
                <w:sz w:val="24"/>
              </w:rPr>
              <w:t>2.16±0.13</w:t>
            </w:r>
          </w:p>
        </w:tc>
        <w:tc>
          <w:tcPr>
            <w:tcW w:w="734" w:type="pct"/>
          </w:tcPr>
          <w:p w14:paraId="05F8BB70" w14:textId="77777777" w:rsidR="00704B93" w:rsidRDefault="00704B93" w:rsidP="00912F9D">
            <w:pPr>
              <w:pStyle w:val="TableParagraph"/>
              <w:spacing w:before="6"/>
              <w:ind w:left="117"/>
              <w:rPr>
                <w:b/>
                <w:sz w:val="24"/>
              </w:rPr>
            </w:pPr>
            <w:r>
              <w:rPr>
                <w:b/>
                <w:spacing w:val="-2"/>
                <w:sz w:val="24"/>
              </w:rPr>
              <w:t>18.17±0.28</w:t>
            </w:r>
          </w:p>
        </w:tc>
      </w:tr>
      <w:tr w:rsidR="00704B93" w14:paraId="1A10BA9A" w14:textId="77777777" w:rsidTr="00F61606">
        <w:trPr>
          <w:trHeight w:val="294"/>
        </w:trPr>
        <w:tc>
          <w:tcPr>
            <w:tcW w:w="417" w:type="pct"/>
          </w:tcPr>
          <w:p w14:paraId="2A3DB671" w14:textId="77777777" w:rsidR="00704B93" w:rsidRDefault="00704B93" w:rsidP="00912F9D">
            <w:pPr>
              <w:pStyle w:val="TableParagraph"/>
              <w:spacing w:before="18" w:line="256" w:lineRule="exact"/>
              <w:ind w:left="107"/>
              <w:rPr>
                <w:b/>
                <w:sz w:val="24"/>
              </w:rPr>
            </w:pPr>
            <w:r>
              <w:rPr>
                <w:b/>
                <w:spacing w:val="-4"/>
                <w:sz w:val="24"/>
              </w:rPr>
              <w:t>days</w:t>
            </w:r>
          </w:p>
        </w:tc>
        <w:tc>
          <w:tcPr>
            <w:tcW w:w="668" w:type="pct"/>
          </w:tcPr>
          <w:p w14:paraId="1C8CE744" w14:textId="77777777" w:rsidR="00704B93" w:rsidRDefault="00704B93" w:rsidP="00912F9D">
            <w:pPr>
              <w:pStyle w:val="TableParagraph"/>
              <w:spacing w:line="268" w:lineRule="exact"/>
              <w:ind w:left="109"/>
              <w:rPr>
                <w:sz w:val="24"/>
              </w:rPr>
            </w:pPr>
            <w:r>
              <w:rPr>
                <w:spacing w:val="-5"/>
                <w:sz w:val="24"/>
              </w:rPr>
              <w:t>PE1</w:t>
            </w:r>
          </w:p>
        </w:tc>
        <w:tc>
          <w:tcPr>
            <w:tcW w:w="648" w:type="pct"/>
          </w:tcPr>
          <w:p w14:paraId="6490E9DA" w14:textId="77777777" w:rsidR="00704B93" w:rsidRDefault="00704B93" w:rsidP="00912F9D">
            <w:pPr>
              <w:pStyle w:val="TableParagraph"/>
              <w:spacing w:line="268" w:lineRule="exact"/>
              <w:ind w:left="108"/>
              <w:rPr>
                <w:sz w:val="24"/>
              </w:rPr>
            </w:pPr>
            <w:r>
              <w:rPr>
                <w:spacing w:val="-2"/>
                <w:sz w:val="24"/>
              </w:rPr>
              <w:t>9.41±0.27</w:t>
            </w:r>
          </w:p>
        </w:tc>
        <w:tc>
          <w:tcPr>
            <w:tcW w:w="648" w:type="pct"/>
          </w:tcPr>
          <w:p w14:paraId="26683B58" w14:textId="77777777" w:rsidR="00704B93" w:rsidRDefault="00704B93" w:rsidP="00912F9D">
            <w:pPr>
              <w:pStyle w:val="TableParagraph"/>
              <w:spacing w:line="268" w:lineRule="exact"/>
              <w:ind w:left="107"/>
              <w:rPr>
                <w:sz w:val="24"/>
              </w:rPr>
            </w:pPr>
            <w:r>
              <w:rPr>
                <w:spacing w:val="-2"/>
                <w:sz w:val="24"/>
              </w:rPr>
              <w:t>9.92±0.09</w:t>
            </w:r>
          </w:p>
        </w:tc>
        <w:tc>
          <w:tcPr>
            <w:tcW w:w="704" w:type="pct"/>
          </w:tcPr>
          <w:p w14:paraId="07B96F12" w14:textId="77777777" w:rsidR="00704B93" w:rsidRDefault="00704B93" w:rsidP="00912F9D">
            <w:pPr>
              <w:pStyle w:val="TableParagraph"/>
              <w:spacing w:line="268" w:lineRule="exact"/>
              <w:ind w:left="83" w:right="199"/>
              <w:jc w:val="center"/>
              <w:rPr>
                <w:sz w:val="24"/>
              </w:rPr>
            </w:pPr>
            <w:r>
              <w:rPr>
                <w:spacing w:val="-2"/>
                <w:sz w:val="24"/>
              </w:rPr>
              <w:t>98.13±0.93</w:t>
            </w:r>
            <w:r>
              <w:rPr>
                <w:spacing w:val="-2"/>
                <w:sz w:val="24"/>
                <w:vertAlign w:val="superscript"/>
              </w:rPr>
              <w:t>d</w:t>
            </w:r>
          </w:p>
        </w:tc>
        <w:tc>
          <w:tcPr>
            <w:tcW w:w="592" w:type="pct"/>
          </w:tcPr>
          <w:p w14:paraId="6FE6BFAE" w14:textId="77777777" w:rsidR="00704B93" w:rsidRDefault="00704B93" w:rsidP="00912F9D">
            <w:pPr>
              <w:pStyle w:val="TableParagraph"/>
              <w:spacing w:line="268" w:lineRule="exact"/>
              <w:ind w:right="79"/>
              <w:jc w:val="center"/>
              <w:rPr>
                <w:sz w:val="24"/>
              </w:rPr>
            </w:pPr>
            <w:r>
              <w:rPr>
                <w:spacing w:val="-2"/>
                <w:sz w:val="24"/>
              </w:rPr>
              <w:t>3.21±0.11</w:t>
            </w:r>
          </w:p>
        </w:tc>
        <w:tc>
          <w:tcPr>
            <w:tcW w:w="588" w:type="pct"/>
          </w:tcPr>
          <w:p w14:paraId="0254749E" w14:textId="77777777" w:rsidR="00704B93" w:rsidRDefault="00704B93" w:rsidP="00912F9D">
            <w:pPr>
              <w:pStyle w:val="TableParagraph"/>
              <w:spacing w:line="268" w:lineRule="exact"/>
              <w:ind w:left="7" w:right="78"/>
              <w:jc w:val="center"/>
              <w:rPr>
                <w:sz w:val="24"/>
              </w:rPr>
            </w:pPr>
            <w:r>
              <w:rPr>
                <w:spacing w:val="-2"/>
                <w:sz w:val="24"/>
              </w:rPr>
              <w:t>3.09</w:t>
            </w:r>
            <w:r>
              <w:rPr>
                <w:b/>
                <w:spacing w:val="-2"/>
                <w:sz w:val="24"/>
              </w:rPr>
              <w:t>±</w:t>
            </w:r>
            <w:r>
              <w:rPr>
                <w:spacing w:val="-2"/>
                <w:sz w:val="24"/>
              </w:rPr>
              <w:t>0.06</w:t>
            </w:r>
          </w:p>
        </w:tc>
        <w:tc>
          <w:tcPr>
            <w:tcW w:w="734" w:type="pct"/>
          </w:tcPr>
          <w:p w14:paraId="7D0A955B" w14:textId="77777777" w:rsidR="00704B93" w:rsidRDefault="00704B93" w:rsidP="00912F9D">
            <w:pPr>
              <w:pStyle w:val="TableParagraph"/>
              <w:spacing w:line="268" w:lineRule="exact"/>
              <w:ind w:left="117"/>
              <w:rPr>
                <w:sz w:val="24"/>
              </w:rPr>
            </w:pPr>
            <w:r>
              <w:rPr>
                <w:spacing w:val="-2"/>
                <w:sz w:val="24"/>
              </w:rPr>
              <w:t>35.90±1.64</w:t>
            </w:r>
            <w:r>
              <w:rPr>
                <w:spacing w:val="-2"/>
                <w:sz w:val="24"/>
                <w:vertAlign w:val="superscript"/>
              </w:rPr>
              <w:t>d</w:t>
            </w:r>
          </w:p>
        </w:tc>
      </w:tr>
      <w:tr w:rsidR="00704B93" w14:paraId="26F961CC" w14:textId="77777777" w:rsidTr="00F61606">
        <w:trPr>
          <w:trHeight w:val="304"/>
        </w:trPr>
        <w:tc>
          <w:tcPr>
            <w:tcW w:w="417" w:type="pct"/>
          </w:tcPr>
          <w:p w14:paraId="0ED357C7" w14:textId="77777777" w:rsidR="00704B93" w:rsidRDefault="00704B93" w:rsidP="00912F9D">
            <w:pPr>
              <w:pStyle w:val="TableParagraph"/>
            </w:pPr>
          </w:p>
        </w:tc>
        <w:tc>
          <w:tcPr>
            <w:tcW w:w="668" w:type="pct"/>
          </w:tcPr>
          <w:p w14:paraId="5CDB18C0" w14:textId="77777777" w:rsidR="00704B93" w:rsidRDefault="00704B93" w:rsidP="00912F9D">
            <w:pPr>
              <w:pStyle w:val="TableParagraph"/>
              <w:spacing w:before="14" w:line="270" w:lineRule="exact"/>
              <w:ind w:left="109"/>
              <w:rPr>
                <w:sz w:val="24"/>
              </w:rPr>
            </w:pPr>
            <w:r>
              <w:rPr>
                <w:spacing w:val="-5"/>
                <w:sz w:val="24"/>
              </w:rPr>
              <w:t>PE2</w:t>
            </w:r>
          </w:p>
        </w:tc>
        <w:tc>
          <w:tcPr>
            <w:tcW w:w="648" w:type="pct"/>
          </w:tcPr>
          <w:p w14:paraId="5C516513" w14:textId="77777777" w:rsidR="00704B93" w:rsidRDefault="00704B93" w:rsidP="00912F9D">
            <w:pPr>
              <w:pStyle w:val="TableParagraph"/>
              <w:spacing w:before="14" w:line="270" w:lineRule="exact"/>
              <w:ind w:left="108"/>
              <w:rPr>
                <w:sz w:val="24"/>
              </w:rPr>
            </w:pPr>
            <w:r>
              <w:rPr>
                <w:spacing w:val="-2"/>
                <w:sz w:val="24"/>
              </w:rPr>
              <w:t>10.76±1.0</w:t>
            </w:r>
            <w:r>
              <w:rPr>
                <w:spacing w:val="-2"/>
                <w:sz w:val="24"/>
              </w:rPr>
              <w:lastRenderedPageBreak/>
              <w:t>1</w:t>
            </w:r>
            <w:r>
              <w:rPr>
                <w:spacing w:val="-2"/>
                <w:sz w:val="24"/>
                <w:vertAlign w:val="superscript"/>
              </w:rPr>
              <w:t>a</w:t>
            </w:r>
          </w:p>
        </w:tc>
        <w:tc>
          <w:tcPr>
            <w:tcW w:w="648" w:type="pct"/>
          </w:tcPr>
          <w:p w14:paraId="399F7640" w14:textId="77777777" w:rsidR="00704B93" w:rsidRDefault="00704B93" w:rsidP="00912F9D">
            <w:pPr>
              <w:pStyle w:val="TableParagraph"/>
              <w:spacing w:before="14" w:line="270" w:lineRule="exact"/>
              <w:ind w:left="107"/>
              <w:rPr>
                <w:sz w:val="24"/>
              </w:rPr>
            </w:pPr>
            <w:r>
              <w:rPr>
                <w:spacing w:val="-2"/>
                <w:sz w:val="24"/>
              </w:rPr>
              <w:lastRenderedPageBreak/>
              <w:t>11.87±1.3</w:t>
            </w:r>
            <w:r>
              <w:rPr>
                <w:spacing w:val="-2"/>
                <w:sz w:val="24"/>
              </w:rPr>
              <w:lastRenderedPageBreak/>
              <w:t>8</w:t>
            </w:r>
            <w:r>
              <w:rPr>
                <w:spacing w:val="-2"/>
                <w:sz w:val="24"/>
                <w:vertAlign w:val="superscript"/>
              </w:rPr>
              <w:t>b</w:t>
            </w:r>
          </w:p>
        </w:tc>
        <w:tc>
          <w:tcPr>
            <w:tcW w:w="704" w:type="pct"/>
          </w:tcPr>
          <w:p w14:paraId="358841C1" w14:textId="77777777" w:rsidR="00704B93" w:rsidRDefault="00704B93" w:rsidP="00912F9D">
            <w:pPr>
              <w:pStyle w:val="TableParagraph"/>
              <w:spacing w:before="14" w:line="270" w:lineRule="exact"/>
              <w:ind w:left="1"/>
              <w:jc w:val="center"/>
              <w:rPr>
                <w:sz w:val="24"/>
              </w:rPr>
            </w:pPr>
            <w:r>
              <w:rPr>
                <w:spacing w:val="-2"/>
                <w:sz w:val="24"/>
              </w:rPr>
              <w:lastRenderedPageBreak/>
              <w:t>116.37±3.59</w:t>
            </w:r>
            <w:r>
              <w:rPr>
                <w:spacing w:val="-2"/>
                <w:sz w:val="24"/>
                <w:vertAlign w:val="superscript"/>
              </w:rPr>
              <w:t>d</w:t>
            </w:r>
          </w:p>
        </w:tc>
        <w:tc>
          <w:tcPr>
            <w:tcW w:w="592" w:type="pct"/>
          </w:tcPr>
          <w:p w14:paraId="474F4E0C" w14:textId="77777777" w:rsidR="00704B93" w:rsidRDefault="00704B93" w:rsidP="00912F9D">
            <w:pPr>
              <w:pStyle w:val="TableParagraph"/>
              <w:spacing w:before="14" w:line="270" w:lineRule="exact"/>
              <w:ind w:right="79"/>
              <w:jc w:val="center"/>
              <w:rPr>
                <w:sz w:val="24"/>
              </w:rPr>
            </w:pPr>
            <w:r>
              <w:rPr>
                <w:spacing w:val="-2"/>
                <w:sz w:val="24"/>
              </w:rPr>
              <w:t>4.48±0.24</w:t>
            </w:r>
          </w:p>
        </w:tc>
        <w:tc>
          <w:tcPr>
            <w:tcW w:w="588" w:type="pct"/>
          </w:tcPr>
          <w:p w14:paraId="48720065" w14:textId="77777777" w:rsidR="00704B93" w:rsidRDefault="00704B93" w:rsidP="00912F9D">
            <w:pPr>
              <w:pStyle w:val="TableParagraph"/>
              <w:spacing w:before="14" w:line="270" w:lineRule="exact"/>
              <w:ind w:left="7" w:right="78"/>
              <w:jc w:val="center"/>
              <w:rPr>
                <w:sz w:val="24"/>
              </w:rPr>
            </w:pPr>
            <w:r>
              <w:rPr>
                <w:spacing w:val="-2"/>
                <w:sz w:val="24"/>
              </w:rPr>
              <w:t>4.30</w:t>
            </w:r>
            <w:r>
              <w:rPr>
                <w:b/>
                <w:spacing w:val="-2"/>
                <w:sz w:val="24"/>
              </w:rPr>
              <w:t>±</w:t>
            </w:r>
            <w:r>
              <w:rPr>
                <w:spacing w:val="-2"/>
                <w:sz w:val="24"/>
              </w:rPr>
              <w:t>0.44</w:t>
            </w:r>
          </w:p>
        </w:tc>
        <w:tc>
          <w:tcPr>
            <w:tcW w:w="734" w:type="pct"/>
          </w:tcPr>
          <w:p w14:paraId="5885FAF5" w14:textId="77777777" w:rsidR="00704B93" w:rsidRDefault="00704B93" w:rsidP="00912F9D">
            <w:pPr>
              <w:pStyle w:val="TableParagraph"/>
              <w:spacing w:before="14" w:line="270" w:lineRule="exact"/>
              <w:ind w:left="117"/>
              <w:rPr>
                <w:sz w:val="24"/>
              </w:rPr>
            </w:pPr>
            <w:r>
              <w:rPr>
                <w:spacing w:val="-2"/>
                <w:sz w:val="24"/>
              </w:rPr>
              <w:t>41.73±0.98</w:t>
            </w:r>
            <w:r>
              <w:rPr>
                <w:spacing w:val="-2"/>
                <w:sz w:val="24"/>
                <w:vertAlign w:val="superscript"/>
              </w:rPr>
              <w:t>d</w:t>
            </w:r>
          </w:p>
        </w:tc>
      </w:tr>
      <w:tr w:rsidR="00704B93" w14:paraId="633BCFC8" w14:textId="77777777" w:rsidTr="00F61606">
        <w:trPr>
          <w:trHeight w:val="315"/>
        </w:trPr>
        <w:tc>
          <w:tcPr>
            <w:tcW w:w="417" w:type="pct"/>
          </w:tcPr>
          <w:p w14:paraId="48298BF3" w14:textId="77777777" w:rsidR="00704B93" w:rsidRDefault="00704B93" w:rsidP="00912F9D">
            <w:pPr>
              <w:pStyle w:val="TableParagraph"/>
            </w:pPr>
          </w:p>
        </w:tc>
        <w:tc>
          <w:tcPr>
            <w:tcW w:w="668" w:type="pct"/>
          </w:tcPr>
          <w:p w14:paraId="7CEAD5FF" w14:textId="77777777" w:rsidR="00704B93" w:rsidRDefault="00704B93" w:rsidP="00912F9D">
            <w:pPr>
              <w:pStyle w:val="TableParagraph"/>
              <w:spacing w:before="24" w:line="271" w:lineRule="exact"/>
              <w:ind w:left="109"/>
              <w:rPr>
                <w:sz w:val="24"/>
              </w:rPr>
            </w:pPr>
            <w:r>
              <w:rPr>
                <w:spacing w:val="-2"/>
                <w:sz w:val="24"/>
              </w:rPr>
              <w:t>Metformin</w:t>
            </w:r>
          </w:p>
        </w:tc>
        <w:tc>
          <w:tcPr>
            <w:tcW w:w="648" w:type="pct"/>
          </w:tcPr>
          <w:p w14:paraId="582086FB" w14:textId="77777777" w:rsidR="00704B93" w:rsidRDefault="00704B93" w:rsidP="00912F9D">
            <w:pPr>
              <w:pStyle w:val="TableParagraph"/>
              <w:spacing w:before="24" w:line="271" w:lineRule="exact"/>
              <w:ind w:left="108"/>
              <w:rPr>
                <w:sz w:val="24"/>
              </w:rPr>
            </w:pPr>
            <w:r>
              <w:rPr>
                <w:spacing w:val="-2"/>
                <w:sz w:val="24"/>
              </w:rPr>
              <w:t>12.63±0.94</w:t>
            </w:r>
            <w:r>
              <w:rPr>
                <w:spacing w:val="-2"/>
                <w:sz w:val="24"/>
                <w:vertAlign w:val="superscript"/>
              </w:rPr>
              <w:t>c</w:t>
            </w:r>
          </w:p>
        </w:tc>
        <w:tc>
          <w:tcPr>
            <w:tcW w:w="648" w:type="pct"/>
          </w:tcPr>
          <w:p w14:paraId="72E72206" w14:textId="77777777" w:rsidR="00704B93" w:rsidRDefault="00704B93" w:rsidP="00912F9D">
            <w:pPr>
              <w:pStyle w:val="TableParagraph"/>
              <w:spacing w:before="24" w:line="271" w:lineRule="exact"/>
              <w:ind w:left="107"/>
              <w:rPr>
                <w:sz w:val="24"/>
              </w:rPr>
            </w:pPr>
            <w:r>
              <w:rPr>
                <w:spacing w:val="-2"/>
                <w:sz w:val="24"/>
              </w:rPr>
              <w:t>15.26±0.34</w:t>
            </w:r>
            <w:r>
              <w:rPr>
                <w:spacing w:val="-2"/>
                <w:sz w:val="24"/>
                <w:vertAlign w:val="superscript"/>
              </w:rPr>
              <w:t>d</w:t>
            </w:r>
          </w:p>
        </w:tc>
        <w:tc>
          <w:tcPr>
            <w:tcW w:w="704" w:type="pct"/>
          </w:tcPr>
          <w:p w14:paraId="28112E07" w14:textId="77777777" w:rsidR="00704B93" w:rsidRDefault="00704B93" w:rsidP="00912F9D">
            <w:pPr>
              <w:pStyle w:val="TableParagraph"/>
              <w:spacing w:before="24" w:line="271" w:lineRule="exact"/>
              <w:ind w:left="1"/>
              <w:jc w:val="center"/>
              <w:rPr>
                <w:sz w:val="24"/>
              </w:rPr>
            </w:pPr>
            <w:r>
              <w:rPr>
                <w:spacing w:val="-2"/>
                <w:sz w:val="24"/>
              </w:rPr>
              <w:t>126.37±1.35</w:t>
            </w:r>
            <w:r>
              <w:rPr>
                <w:spacing w:val="-2"/>
                <w:sz w:val="24"/>
                <w:vertAlign w:val="superscript"/>
              </w:rPr>
              <w:t>d</w:t>
            </w:r>
          </w:p>
        </w:tc>
        <w:tc>
          <w:tcPr>
            <w:tcW w:w="592" w:type="pct"/>
          </w:tcPr>
          <w:p w14:paraId="361F811C" w14:textId="77777777" w:rsidR="00704B93" w:rsidRDefault="00704B93" w:rsidP="00912F9D">
            <w:pPr>
              <w:pStyle w:val="TableParagraph"/>
              <w:spacing w:before="24" w:line="271" w:lineRule="exact"/>
              <w:ind w:right="79"/>
              <w:jc w:val="center"/>
              <w:rPr>
                <w:sz w:val="24"/>
              </w:rPr>
            </w:pPr>
            <w:r>
              <w:rPr>
                <w:spacing w:val="-2"/>
                <w:sz w:val="24"/>
              </w:rPr>
              <w:t>5.70±0.15</w:t>
            </w:r>
          </w:p>
        </w:tc>
        <w:tc>
          <w:tcPr>
            <w:tcW w:w="588" w:type="pct"/>
          </w:tcPr>
          <w:p w14:paraId="71A8DC58" w14:textId="77777777" w:rsidR="00704B93" w:rsidRDefault="00704B93" w:rsidP="00912F9D">
            <w:pPr>
              <w:pStyle w:val="TableParagraph"/>
              <w:spacing w:before="24" w:line="271" w:lineRule="exact"/>
              <w:ind w:left="7" w:right="78"/>
              <w:jc w:val="center"/>
              <w:rPr>
                <w:sz w:val="24"/>
              </w:rPr>
            </w:pPr>
            <w:r>
              <w:rPr>
                <w:spacing w:val="-2"/>
                <w:sz w:val="24"/>
              </w:rPr>
              <w:t>5.56</w:t>
            </w:r>
            <w:r>
              <w:rPr>
                <w:b/>
                <w:spacing w:val="-2"/>
                <w:sz w:val="24"/>
              </w:rPr>
              <w:t>±</w:t>
            </w:r>
            <w:r>
              <w:rPr>
                <w:spacing w:val="-2"/>
                <w:sz w:val="24"/>
              </w:rPr>
              <w:t>0.14</w:t>
            </w:r>
          </w:p>
        </w:tc>
        <w:tc>
          <w:tcPr>
            <w:tcW w:w="734" w:type="pct"/>
          </w:tcPr>
          <w:p w14:paraId="761A1F9D" w14:textId="77777777" w:rsidR="00704B93" w:rsidRDefault="00704B93" w:rsidP="00912F9D">
            <w:pPr>
              <w:pStyle w:val="TableParagraph"/>
              <w:spacing w:before="24" w:line="271" w:lineRule="exact"/>
              <w:ind w:left="117"/>
              <w:rPr>
                <w:sz w:val="24"/>
              </w:rPr>
            </w:pPr>
            <w:r>
              <w:rPr>
                <w:spacing w:val="-2"/>
                <w:sz w:val="24"/>
              </w:rPr>
              <w:t>47.36±0.63</w:t>
            </w:r>
            <w:r>
              <w:rPr>
                <w:spacing w:val="-2"/>
                <w:sz w:val="24"/>
                <w:vertAlign w:val="superscript"/>
              </w:rPr>
              <w:t>d</w:t>
            </w:r>
          </w:p>
        </w:tc>
      </w:tr>
      <w:tr w:rsidR="00704B93" w14:paraId="18EDDC0D" w14:textId="77777777" w:rsidTr="00F61606">
        <w:trPr>
          <w:trHeight w:val="316"/>
        </w:trPr>
        <w:tc>
          <w:tcPr>
            <w:tcW w:w="417" w:type="pct"/>
            <w:tcBorders>
              <w:bottom w:val="single" w:sz="4" w:space="0" w:color="000000"/>
            </w:tcBorders>
          </w:tcPr>
          <w:p w14:paraId="089F0E57" w14:textId="77777777" w:rsidR="00704B93" w:rsidRDefault="00704B93" w:rsidP="00912F9D">
            <w:pPr>
              <w:pStyle w:val="TableParagraph"/>
            </w:pPr>
          </w:p>
        </w:tc>
        <w:tc>
          <w:tcPr>
            <w:tcW w:w="668" w:type="pct"/>
            <w:tcBorders>
              <w:bottom w:val="single" w:sz="4" w:space="0" w:color="000000"/>
            </w:tcBorders>
          </w:tcPr>
          <w:p w14:paraId="58F5DB8C" w14:textId="77777777" w:rsidR="00704B93" w:rsidRDefault="00704B93" w:rsidP="00912F9D">
            <w:pPr>
              <w:pStyle w:val="TableParagraph"/>
              <w:spacing w:before="25" w:line="271" w:lineRule="exact"/>
              <w:ind w:left="109"/>
              <w:rPr>
                <w:sz w:val="24"/>
              </w:rPr>
            </w:pPr>
            <w:r>
              <w:rPr>
                <w:spacing w:val="-2"/>
                <w:sz w:val="24"/>
              </w:rPr>
              <w:t>Clomid</w:t>
            </w:r>
          </w:p>
        </w:tc>
        <w:tc>
          <w:tcPr>
            <w:tcW w:w="648" w:type="pct"/>
            <w:tcBorders>
              <w:bottom w:val="single" w:sz="4" w:space="0" w:color="000000"/>
            </w:tcBorders>
          </w:tcPr>
          <w:p w14:paraId="6AF46FAF" w14:textId="77777777" w:rsidR="00704B93" w:rsidRDefault="00704B93" w:rsidP="00912F9D">
            <w:pPr>
              <w:pStyle w:val="TableParagraph"/>
              <w:spacing w:before="25" w:line="271" w:lineRule="exact"/>
              <w:ind w:left="108"/>
              <w:rPr>
                <w:sz w:val="24"/>
              </w:rPr>
            </w:pPr>
            <w:r>
              <w:rPr>
                <w:spacing w:val="-2"/>
                <w:sz w:val="24"/>
              </w:rPr>
              <w:t>15.41±0.27</w:t>
            </w:r>
            <w:r>
              <w:rPr>
                <w:spacing w:val="-2"/>
                <w:sz w:val="24"/>
                <w:vertAlign w:val="superscript"/>
              </w:rPr>
              <w:t>d</w:t>
            </w:r>
          </w:p>
        </w:tc>
        <w:tc>
          <w:tcPr>
            <w:tcW w:w="648" w:type="pct"/>
            <w:tcBorders>
              <w:bottom w:val="single" w:sz="4" w:space="0" w:color="000000"/>
            </w:tcBorders>
          </w:tcPr>
          <w:p w14:paraId="3E6D8702" w14:textId="77777777" w:rsidR="00704B93" w:rsidRDefault="00704B93" w:rsidP="00912F9D">
            <w:pPr>
              <w:pStyle w:val="TableParagraph"/>
              <w:spacing w:before="25" w:line="271" w:lineRule="exact"/>
              <w:ind w:left="107"/>
              <w:rPr>
                <w:sz w:val="24"/>
              </w:rPr>
            </w:pPr>
            <w:r>
              <w:rPr>
                <w:spacing w:val="-2"/>
                <w:sz w:val="24"/>
              </w:rPr>
              <w:t>18.33±0.12</w:t>
            </w:r>
            <w:r>
              <w:rPr>
                <w:spacing w:val="-2"/>
                <w:sz w:val="24"/>
                <w:vertAlign w:val="superscript"/>
              </w:rPr>
              <w:t>d</w:t>
            </w:r>
          </w:p>
        </w:tc>
        <w:tc>
          <w:tcPr>
            <w:tcW w:w="704" w:type="pct"/>
            <w:tcBorders>
              <w:bottom w:val="single" w:sz="4" w:space="0" w:color="000000"/>
            </w:tcBorders>
          </w:tcPr>
          <w:p w14:paraId="0AE12A14" w14:textId="77777777" w:rsidR="00704B93" w:rsidRDefault="00704B93" w:rsidP="00912F9D">
            <w:pPr>
              <w:pStyle w:val="TableParagraph"/>
              <w:spacing w:before="25" w:line="271" w:lineRule="exact"/>
              <w:ind w:left="1"/>
              <w:jc w:val="center"/>
              <w:rPr>
                <w:sz w:val="24"/>
              </w:rPr>
            </w:pPr>
            <w:r>
              <w:rPr>
                <w:spacing w:val="-2"/>
                <w:sz w:val="24"/>
              </w:rPr>
              <w:t>133.17±0.97</w:t>
            </w:r>
            <w:r>
              <w:rPr>
                <w:spacing w:val="-2"/>
                <w:sz w:val="24"/>
                <w:vertAlign w:val="superscript"/>
              </w:rPr>
              <w:t>d</w:t>
            </w:r>
          </w:p>
        </w:tc>
        <w:tc>
          <w:tcPr>
            <w:tcW w:w="592" w:type="pct"/>
            <w:tcBorders>
              <w:bottom w:val="single" w:sz="4" w:space="0" w:color="000000"/>
            </w:tcBorders>
          </w:tcPr>
          <w:p w14:paraId="7B17E647" w14:textId="77777777" w:rsidR="00704B93" w:rsidRDefault="00704B93" w:rsidP="00912F9D">
            <w:pPr>
              <w:pStyle w:val="TableParagraph"/>
              <w:spacing w:before="25" w:line="271" w:lineRule="exact"/>
              <w:ind w:left="73" w:right="79"/>
              <w:jc w:val="center"/>
              <w:rPr>
                <w:sz w:val="24"/>
              </w:rPr>
            </w:pPr>
            <w:r>
              <w:rPr>
                <w:spacing w:val="-2"/>
                <w:sz w:val="24"/>
              </w:rPr>
              <w:t>7.44±0.21</w:t>
            </w:r>
            <w:r>
              <w:rPr>
                <w:spacing w:val="-2"/>
                <w:sz w:val="24"/>
                <w:vertAlign w:val="superscript"/>
              </w:rPr>
              <w:t>a</w:t>
            </w:r>
          </w:p>
        </w:tc>
        <w:tc>
          <w:tcPr>
            <w:tcW w:w="588" w:type="pct"/>
            <w:tcBorders>
              <w:bottom w:val="single" w:sz="4" w:space="0" w:color="000000"/>
            </w:tcBorders>
          </w:tcPr>
          <w:p w14:paraId="5EEA27A7" w14:textId="77777777" w:rsidR="00704B93" w:rsidRDefault="00704B93" w:rsidP="00912F9D">
            <w:pPr>
              <w:pStyle w:val="TableParagraph"/>
              <w:spacing w:before="25" w:line="271" w:lineRule="exact"/>
              <w:ind w:left="7" w:right="78"/>
              <w:jc w:val="center"/>
              <w:rPr>
                <w:sz w:val="24"/>
              </w:rPr>
            </w:pPr>
            <w:r>
              <w:rPr>
                <w:spacing w:val="-2"/>
                <w:sz w:val="24"/>
              </w:rPr>
              <w:t>6.35</w:t>
            </w:r>
            <w:r>
              <w:rPr>
                <w:b/>
                <w:spacing w:val="-2"/>
                <w:sz w:val="24"/>
              </w:rPr>
              <w:t>±</w:t>
            </w:r>
            <w:r>
              <w:rPr>
                <w:spacing w:val="-2"/>
                <w:sz w:val="24"/>
              </w:rPr>
              <w:t>0.38</w:t>
            </w:r>
          </w:p>
        </w:tc>
        <w:tc>
          <w:tcPr>
            <w:tcW w:w="734" w:type="pct"/>
            <w:tcBorders>
              <w:bottom w:val="single" w:sz="4" w:space="0" w:color="000000"/>
            </w:tcBorders>
          </w:tcPr>
          <w:p w14:paraId="5800273B" w14:textId="77777777" w:rsidR="00704B93" w:rsidRDefault="00704B93" w:rsidP="00912F9D">
            <w:pPr>
              <w:pStyle w:val="TableParagraph"/>
              <w:spacing w:before="25" w:line="271" w:lineRule="exact"/>
              <w:ind w:left="117"/>
              <w:rPr>
                <w:sz w:val="24"/>
              </w:rPr>
            </w:pPr>
            <w:r>
              <w:rPr>
                <w:spacing w:val="-2"/>
                <w:sz w:val="24"/>
              </w:rPr>
              <w:t>51.47±0.80</w:t>
            </w:r>
            <w:r>
              <w:rPr>
                <w:spacing w:val="-2"/>
                <w:sz w:val="24"/>
                <w:vertAlign w:val="superscript"/>
              </w:rPr>
              <w:t>d</w:t>
            </w:r>
          </w:p>
        </w:tc>
      </w:tr>
      <w:tr w:rsidR="00704B93" w14:paraId="6F9CF029" w14:textId="77777777" w:rsidTr="00F61606">
        <w:trPr>
          <w:trHeight w:val="658"/>
        </w:trPr>
        <w:tc>
          <w:tcPr>
            <w:tcW w:w="5000" w:type="pct"/>
            <w:gridSpan w:val="8"/>
            <w:tcBorders>
              <w:top w:val="single" w:sz="4" w:space="0" w:color="000000"/>
            </w:tcBorders>
          </w:tcPr>
          <w:p w14:paraId="781F9B7D" w14:textId="77777777" w:rsidR="00704B93" w:rsidRDefault="00704B93" w:rsidP="00912F9D">
            <w:pPr>
              <w:pStyle w:val="TableParagraph"/>
              <w:spacing w:before="239"/>
              <w:ind w:left="674"/>
              <w:rPr>
                <w:sz w:val="24"/>
              </w:rPr>
            </w:pPr>
            <w:r>
              <w:rPr>
                <w:sz w:val="24"/>
              </w:rPr>
              <w:t>FSH:</w:t>
            </w:r>
            <w:r>
              <w:rPr>
                <w:spacing w:val="9"/>
                <w:sz w:val="24"/>
              </w:rPr>
              <w:t xml:space="preserve"> </w:t>
            </w:r>
            <w:r>
              <w:rPr>
                <w:sz w:val="24"/>
              </w:rPr>
              <w:t>Follicle</w:t>
            </w:r>
            <w:r>
              <w:rPr>
                <w:spacing w:val="10"/>
                <w:sz w:val="24"/>
              </w:rPr>
              <w:t xml:space="preserve"> </w:t>
            </w:r>
            <w:r>
              <w:rPr>
                <w:sz w:val="24"/>
              </w:rPr>
              <w:t>Stimulating</w:t>
            </w:r>
            <w:r>
              <w:rPr>
                <w:spacing w:val="9"/>
                <w:sz w:val="24"/>
              </w:rPr>
              <w:t xml:space="preserve"> </w:t>
            </w:r>
            <w:r>
              <w:rPr>
                <w:sz w:val="24"/>
              </w:rPr>
              <w:t>Hormone;</w:t>
            </w:r>
            <w:r>
              <w:rPr>
                <w:spacing w:val="9"/>
                <w:sz w:val="24"/>
              </w:rPr>
              <w:t xml:space="preserve"> </w:t>
            </w:r>
            <w:proofErr w:type="spellStart"/>
            <w:proofErr w:type="gramStart"/>
            <w:r>
              <w:rPr>
                <w:sz w:val="24"/>
              </w:rPr>
              <w:t>GnRH:Gonadotropin</w:t>
            </w:r>
            <w:proofErr w:type="spellEnd"/>
            <w:proofErr w:type="gramEnd"/>
            <w:r>
              <w:rPr>
                <w:spacing w:val="10"/>
                <w:sz w:val="24"/>
              </w:rPr>
              <w:t xml:space="preserve"> </w:t>
            </w:r>
            <w:proofErr w:type="spellStart"/>
            <w:r>
              <w:rPr>
                <w:sz w:val="24"/>
              </w:rPr>
              <w:t>Realising</w:t>
            </w:r>
            <w:proofErr w:type="spellEnd"/>
            <w:r>
              <w:rPr>
                <w:spacing w:val="9"/>
                <w:sz w:val="24"/>
              </w:rPr>
              <w:t xml:space="preserve"> </w:t>
            </w:r>
            <w:r>
              <w:rPr>
                <w:sz w:val="24"/>
              </w:rPr>
              <w:t>Hormone;</w:t>
            </w:r>
            <w:r>
              <w:rPr>
                <w:spacing w:val="9"/>
                <w:sz w:val="24"/>
              </w:rPr>
              <w:t xml:space="preserve"> </w:t>
            </w:r>
            <w:r>
              <w:rPr>
                <w:sz w:val="24"/>
              </w:rPr>
              <w:t>LH:</w:t>
            </w:r>
            <w:r>
              <w:rPr>
                <w:spacing w:val="9"/>
                <w:sz w:val="24"/>
              </w:rPr>
              <w:t xml:space="preserve"> </w:t>
            </w:r>
            <w:proofErr w:type="spellStart"/>
            <w:r>
              <w:rPr>
                <w:spacing w:val="-2"/>
                <w:sz w:val="24"/>
              </w:rPr>
              <w:t>Luteinising</w:t>
            </w:r>
            <w:proofErr w:type="spellEnd"/>
          </w:p>
        </w:tc>
      </w:tr>
      <w:tr w:rsidR="00704B93" w14:paraId="1A0814CA" w14:textId="77777777" w:rsidTr="00F61606">
        <w:trPr>
          <w:trHeight w:val="552"/>
        </w:trPr>
        <w:tc>
          <w:tcPr>
            <w:tcW w:w="3677" w:type="pct"/>
            <w:gridSpan w:val="6"/>
          </w:tcPr>
          <w:p w14:paraId="72B64882" w14:textId="77777777" w:rsidR="00704B93" w:rsidRDefault="00704B93" w:rsidP="00912F9D">
            <w:pPr>
              <w:pStyle w:val="TableParagraph"/>
              <w:spacing w:before="132"/>
              <w:ind w:left="674"/>
              <w:rPr>
                <w:sz w:val="24"/>
              </w:rPr>
            </w:pPr>
            <w:r>
              <w:rPr>
                <w:sz w:val="24"/>
              </w:rPr>
              <w:t>Hormone;</w:t>
            </w:r>
            <w:r>
              <w:rPr>
                <w:spacing w:val="-10"/>
                <w:sz w:val="24"/>
              </w:rPr>
              <w:t xml:space="preserve"> </w:t>
            </w:r>
            <w:r>
              <w:rPr>
                <w:sz w:val="24"/>
              </w:rPr>
              <w:t>PE:</w:t>
            </w:r>
            <w:r>
              <w:rPr>
                <w:spacing w:val="-8"/>
                <w:sz w:val="24"/>
              </w:rPr>
              <w:t xml:space="preserve"> </w:t>
            </w:r>
            <w:r>
              <w:rPr>
                <w:sz w:val="24"/>
              </w:rPr>
              <w:t>Plant</w:t>
            </w:r>
            <w:r>
              <w:rPr>
                <w:spacing w:val="-9"/>
                <w:sz w:val="24"/>
              </w:rPr>
              <w:t xml:space="preserve"> </w:t>
            </w:r>
            <w:r>
              <w:rPr>
                <w:sz w:val="24"/>
              </w:rPr>
              <w:t>Extract;</w:t>
            </w:r>
            <w:r>
              <w:rPr>
                <w:spacing w:val="-6"/>
                <w:sz w:val="24"/>
              </w:rPr>
              <w:t xml:space="preserve"> </w:t>
            </w:r>
            <w:r>
              <w:rPr>
                <w:sz w:val="24"/>
              </w:rPr>
              <w:t>TSH:</w:t>
            </w:r>
            <w:r>
              <w:rPr>
                <w:spacing w:val="-8"/>
                <w:sz w:val="24"/>
              </w:rPr>
              <w:t xml:space="preserve"> </w:t>
            </w:r>
            <w:r>
              <w:rPr>
                <w:sz w:val="24"/>
              </w:rPr>
              <w:t>Thyrotropin</w:t>
            </w:r>
            <w:r>
              <w:rPr>
                <w:spacing w:val="-9"/>
                <w:sz w:val="24"/>
              </w:rPr>
              <w:t xml:space="preserve"> </w:t>
            </w:r>
            <w:r>
              <w:rPr>
                <w:sz w:val="24"/>
              </w:rPr>
              <w:t>Stimulating</w:t>
            </w:r>
            <w:r>
              <w:rPr>
                <w:spacing w:val="-8"/>
                <w:sz w:val="24"/>
              </w:rPr>
              <w:t xml:space="preserve"> </w:t>
            </w:r>
            <w:r>
              <w:rPr>
                <w:spacing w:val="-2"/>
                <w:sz w:val="24"/>
              </w:rPr>
              <w:t>Hormone.</w:t>
            </w:r>
          </w:p>
        </w:tc>
        <w:tc>
          <w:tcPr>
            <w:tcW w:w="588" w:type="pct"/>
          </w:tcPr>
          <w:p w14:paraId="5608878E" w14:textId="77777777" w:rsidR="00704B93" w:rsidRDefault="00704B93" w:rsidP="00912F9D">
            <w:pPr>
              <w:pStyle w:val="TableParagraph"/>
            </w:pPr>
          </w:p>
        </w:tc>
        <w:tc>
          <w:tcPr>
            <w:tcW w:w="734" w:type="pct"/>
          </w:tcPr>
          <w:p w14:paraId="204534D2" w14:textId="77777777" w:rsidR="00704B93" w:rsidRDefault="00704B93" w:rsidP="00912F9D">
            <w:pPr>
              <w:pStyle w:val="TableParagraph"/>
            </w:pPr>
          </w:p>
        </w:tc>
      </w:tr>
      <w:tr w:rsidR="00704B93" w14:paraId="2D765871" w14:textId="77777777" w:rsidTr="00F61606">
        <w:trPr>
          <w:trHeight w:val="552"/>
        </w:trPr>
        <w:tc>
          <w:tcPr>
            <w:tcW w:w="5000" w:type="pct"/>
            <w:gridSpan w:val="8"/>
          </w:tcPr>
          <w:p w14:paraId="43123B36" w14:textId="77777777" w:rsidR="00704B93" w:rsidRDefault="00704B93" w:rsidP="00912F9D">
            <w:pPr>
              <w:pStyle w:val="TableParagraph"/>
              <w:spacing w:before="132"/>
              <w:ind w:left="674"/>
              <w:rPr>
                <w:sz w:val="24"/>
              </w:rPr>
            </w:pPr>
            <w:r>
              <w:rPr>
                <w:sz w:val="24"/>
              </w:rPr>
              <w:t>Data</w:t>
            </w:r>
            <w:r>
              <w:rPr>
                <w:spacing w:val="24"/>
                <w:sz w:val="24"/>
              </w:rPr>
              <w:t xml:space="preserve"> </w:t>
            </w:r>
            <w:r>
              <w:rPr>
                <w:sz w:val="24"/>
              </w:rPr>
              <w:t>are</w:t>
            </w:r>
            <w:r>
              <w:rPr>
                <w:spacing w:val="25"/>
                <w:sz w:val="24"/>
              </w:rPr>
              <w:t xml:space="preserve"> </w:t>
            </w:r>
            <w:r>
              <w:rPr>
                <w:sz w:val="24"/>
              </w:rPr>
              <w:t>expressed</w:t>
            </w:r>
            <w:r>
              <w:rPr>
                <w:spacing w:val="20"/>
                <w:sz w:val="24"/>
              </w:rPr>
              <w:t xml:space="preserve"> </w:t>
            </w:r>
            <w:r>
              <w:rPr>
                <w:sz w:val="24"/>
              </w:rPr>
              <w:t>as</w:t>
            </w:r>
            <w:r>
              <w:rPr>
                <w:spacing w:val="23"/>
                <w:sz w:val="24"/>
              </w:rPr>
              <w:t xml:space="preserve"> </w:t>
            </w:r>
            <w:proofErr w:type="spellStart"/>
            <w:r>
              <w:rPr>
                <w:sz w:val="24"/>
              </w:rPr>
              <w:t>mean±SEM</w:t>
            </w:r>
            <w:proofErr w:type="spellEnd"/>
            <w:r>
              <w:rPr>
                <w:sz w:val="24"/>
              </w:rPr>
              <w:t>.</w:t>
            </w:r>
            <w:r>
              <w:rPr>
                <w:spacing w:val="22"/>
                <w:sz w:val="24"/>
              </w:rPr>
              <w:t xml:space="preserve"> </w:t>
            </w:r>
            <w:r>
              <w:rPr>
                <w:sz w:val="24"/>
              </w:rPr>
              <w:t>n=3,</w:t>
            </w:r>
            <w:r>
              <w:rPr>
                <w:spacing w:val="28"/>
                <w:sz w:val="24"/>
              </w:rPr>
              <w:t xml:space="preserve"> </w:t>
            </w:r>
            <w:proofErr w:type="spellStart"/>
            <w:r>
              <w:rPr>
                <w:sz w:val="24"/>
                <w:vertAlign w:val="superscript"/>
              </w:rPr>
              <w:t>a</w:t>
            </w:r>
            <w:r>
              <w:rPr>
                <w:sz w:val="24"/>
              </w:rPr>
              <w:t>P</w:t>
            </w:r>
            <w:proofErr w:type="spellEnd"/>
            <w:r>
              <w:rPr>
                <w:spacing w:val="23"/>
                <w:sz w:val="24"/>
              </w:rPr>
              <w:t xml:space="preserve"> </w:t>
            </w:r>
            <w:r>
              <w:rPr>
                <w:sz w:val="24"/>
              </w:rPr>
              <w:t>&lt;0.05,</w:t>
            </w:r>
            <w:r>
              <w:rPr>
                <w:spacing w:val="24"/>
                <w:sz w:val="24"/>
              </w:rPr>
              <w:t xml:space="preserve"> </w:t>
            </w:r>
            <w:proofErr w:type="spellStart"/>
            <w:r>
              <w:rPr>
                <w:sz w:val="24"/>
                <w:vertAlign w:val="superscript"/>
              </w:rPr>
              <w:t>b</w:t>
            </w:r>
            <w:r>
              <w:rPr>
                <w:sz w:val="24"/>
              </w:rPr>
              <w:t>P</w:t>
            </w:r>
            <w:proofErr w:type="spellEnd"/>
            <w:r>
              <w:rPr>
                <w:spacing w:val="21"/>
                <w:sz w:val="24"/>
              </w:rPr>
              <w:t xml:space="preserve"> </w:t>
            </w:r>
            <w:r>
              <w:rPr>
                <w:sz w:val="24"/>
              </w:rPr>
              <w:t>&lt;0.01,</w:t>
            </w:r>
            <w:r>
              <w:rPr>
                <w:spacing w:val="25"/>
                <w:sz w:val="24"/>
              </w:rPr>
              <w:t xml:space="preserve"> </w:t>
            </w:r>
            <w:proofErr w:type="spellStart"/>
            <w:r>
              <w:rPr>
                <w:sz w:val="24"/>
                <w:vertAlign w:val="superscript"/>
              </w:rPr>
              <w:t>c</w:t>
            </w:r>
            <w:r>
              <w:rPr>
                <w:sz w:val="24"/>
              </w:rPr>
              <w:t>P</w:t>
            </w:r>
            <w:proofErr w:type="spellEnd"/>
            <w:r>
              <w:rPr>
                <w:spacing w:val="22"/>
                <w:sz w:val="24"/>
              </w:rPr>
              <w:t xml:space="preserve"> </w:t>
            </w:r>
            <w:r>
              <w:rPr>
                <w:sz w:val="24"/>
              </w:rPr>
              <w:t>&lt;0.001,</w:t>
            </w:r>
            <w:r>
              <w:rPr>
                <w:spacing w:val="22"/>
                <w:sz w:val="24"/>
              </w:rPr>
              <w:t xml:space="preserve"> </w:t>
            </w:r>
            <w:proofErr w:type="spellStart"/>
            <w:r>
              <w:rPr>
                <w:sz w:val="24"/>
                <w:vertAlign w:val="superscript"/>
              </w:rPr>
              <w:t>d</w:t>
            </w:r>
            <w:r>
              <w:rPr>
                <w:sz w:val="24"/>
              </w:rPr>
              <w:t>P</w:t>
            </w:r>
            <w:proofErr w:type="spellEnd"/>
            <w:r>
              <w:rPr>
                <w:spacing w:val="23"/>
                <w:sz w:val="24"/>
              </w:rPr>
              <w:t xml:space="preserve"> </w:t>
            </w:r>
            <w:r>
              <w:rPr>
                <w:sz w:val="24"/>
              </w:rPr>
              <w:t>&lt;0.0001</w:t>
            </w:r>
            <w:r>
              <w:rPr>
                <w:spacing w:val="20"/>
                <w:sz w:val="24"/>
              </w:rPr>
              <w:t xml:space="preserve"> </w:t>
            </w:r>
            <w:r>
              <w:rPr>
                <w:spacing w:val="-2"/>
                <w:sz w:val="24"/>
              </w:rPr>
              <w:t>Compared</w:t>
            </w:r>
          </w:p>
        </w:tc>
      </w:tr>
      <w:tr w:rsidR="00704B93" w14:paraId="31DE3325" w14:textId="77777777" w:rsidTr="00F61606">
        <w:trPr>
          <w:trHeight w:val="408"/>
        </w:trPr>
        <w:tc>
          <w:tcPr>
            <w:tcW w:w="1085" w:type="pct"/>
            <w:gridSpan w:val="2"/>
          </w:tcPr>
          <w:p w14:paraId="302BA804" w14:textId="527D0407" w:rsidR="00704B93" w:rsidRDefault="00D223FC" w:rsidP="00912F9D">
            <w:pPr>
              <w:pStyle w:val="TableParagraph"/>
              <w:spacing w:before="132" w:line="256" w:lineRule="exact"/>
              <w:ind w:left="674"/>
              <w:rPr>
                <w:sz w:val="24"/>
              </w:rPr>
            </w:pPr>
            <w:r>
              <w:rPr>
                <w:spacing w:val="-4"/>
                <w:sz w:val="24"/>
              </w:rPr>
              <w:t>W</w:t>
            </w:r>
            <w:r w:rsidR="00704B93">
              <w:rPr>
                <w:spacing w:val="-4"/>
                <w:sz w:val="24"/>
              </w:rPr>
              <w:t>ith</w:t>
            </w:r>
          </w:p>
        </w:tc>
        <w:tc>
          <w:tcPr>
            <w:tcW w:w="1296" w:type="pct"/>
            <w:gridSpan w:val="2"/>
          </w:tcPr>
          <w:p w14:paraId="15D96770" w14:textId="77777777" w:rsidR="00704B93" w:rsidRDefault="00704B93" w:rsidP="00912F9D">
            <w:pPr>
              <w:pStyle w:val="TableParagraph"/>
              <w:spacing w:before="132" w:line="256" w:lineRule="exact"/>
              <w:ind w:left="741"/>
              <w:rPr>
                <w:sz w:val="24"/>
              </w:rPr>
            </w:pPr>
            <w:r>
              <w:rPr>
                <w:spacing w:val="-2"/>
                <w:sz w:val="24"/>
              </w:rPr>
              <w:t>corresponding</w:t>
            </w:r>
          </w:p>
        </w:tc>
        <w:tc>
          <w:tcPr>
            <w:tcW w:w="1296" w:type="pct"/>
            <w:gridSpan w:val="2"/>
          </w:tcPr>
          <w:p w14:paraId="50620030" w14:textId="77777777" w:rsidR="00704B93" w:rsidRDefault="00704B93" w:rsidP="00912F9D">
            <w:pPr>
              <w:pStyle w:val="TableParagraph"/>
              <w:spacing w:before="132" w:line="256" w:lineRule="exact"/>
              <w:ind w:left="1302"/>
              <w:rPr>
                <w:sz w:val="24"/>
              </w:rPr>
            </w:pPr>
            <w:r>
              <w:rPr>
                <w:spacing w:val="-2"/>
                <w:sz w:val="24"/>
              </w:rPr>
              <w:t>Negative</w:t>
            </w:r>
          </w:p>
        </w:tc>
        <w:tc>
          <w:tcPr>
            <w:tcW w:w="588" w:type="pct"/>
          </w:tcPr>
          <w:p w14:paraId="5AAE1CBC" w14:textId="77777777" w:rsidR="00704B93" w:rsidRDefault="00704B93" w:rsidP="00912F9D">
            <w:pPr>
              <w:pStyle w:val="TableParagraph"/>
            </w:pPr>
          </w:p>
        </w:tc>
        <w:tc>
          <w:tcPr>
            <w:tcW w:w="734" w:type="pct"/>
          </w:tcPr>
          <w:p w14:paraId="64913654" w14:textId="77777777" w:rsidR="00704B93" w:rsidRDefault="00704B93" w:rsidP="00912F9D">
            <w:pPr>
              <w:pStyle w:val="TableParagraph"/>
              <w:spacing w:before="132" w:line="256" w:lineRule="exact"/>
              <w:ind w:left="98"/>
              <w:rPr>
                <w:sz w:val="24"/>
              </w:rPr>
            </w:pPr>
            <w:r>
              <w:rPr>
                <w:spacing w:val="-2"/>
                <w:sz w:val="24"/>
              </w:rPr>
              <w:t>Control.</w:t>
            </w:r>
          </w:p>
        </w:tc>
      </w:tr>
    </w:tbl>
    <w:p w14:paraId="224E70D2" w14:textId="77777777" w:rsidR="00704B93" w:rsidRPr="00704B93" w:rsidRDefault="00704B93">
      <w:pPr>
        <w:spacing w:line="480" w:lineRule="auto"/>
        <w:jc w:val="both"/>
        <w:rPr>
          <w:rFonts w:ascii="Times New Roman" w:hAnsi="Times New Roman" w:cs="Times New Roman"/>
          <w:sz w:val="24"/>
          <w:szCs w:val="24"/>
        </w:rPr>
      </w:pPr>
    </w:p>
    <w:p w14:paraId="5355BD33" w14:textId="77777777" w:rsidR="00704B93" w:rsidRDefault="00704B93">
      <w:pPr>
        <w:spacing w:line="480" w:lineRule="auto"/>
        <w:jc w:val="both"/>
        <w:rPr>
          <w:rFonts w:ascii="Times New Roman" w:eastAsia="CIDFont" w:hAnsi="Times New Roman" w:cs="Times New Roman"/>
          <w:b/>
          <w:bCs/>
          <w:color w:val="000000"/>
          <w:kern w:val="0"/>
          <w:sz w:val="24"/>
          <w:szCs w:val="24"/>
          <w:lang w:eastAsia="zh-CN" w:bidi="ar"/>
        </w:rPr>
      </w:pPr>
    </w:p>
    <w:p w14:paraId="3D59CD72" w14:textId="77777777" w:rsidR="00704B93" w:rsidRDefault="00704B93">
      <w:pPr>
        <w:spacing w:line="480" w:lineRule="auto"/>
        <w:jc w:val="both"/>
        <w:rPr>
          <w:rFonts w:ascii="Times New Roman" w:eastAsia="CIDFont" w:hAnsi="Times New Roman" w:cs="Times New Roman"/>
          <w:b/>
          <w:bCs/>
          <w:color w:val="000000"/>
          <w:kern w:val="0"/>
          <w:sz w:val="24"/>
          <w:szCs w:val="24"/>
          <w:lang w:eastAsia="zh-CN" w:bidi="ar"/>
        </w:rPr>
      </w:pPr>
    </w:p>
    <w:p w14:paraId="08879E7A" w14:textId="1B483D06" w:rsidR="0035258B" w:rsidRDefault="00704B93">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4.0 DISCUSSION </w:t>
      </w:r>
    </w:p>
    <w:p w14:paraId="55D771C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This research work sought to evaluate the effect of the aqueous extract of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on fertility hormones in Alloxan induced diabetic Albino Wistar rats. The phytochemical analysis of the </w:t>
      </w:r>
      <w:r>
        <w:rPr>
          <w:rFonts w:ascii="Times New Roman" w:eastAsia="CIDFont" w:hAnsi="Times New Roman" w:cs="Times New Roman"/>
          <w:i/>
          <w:iCs/>
          <w:color w:val="000000"/>
          <w:kern w:val="0"/>
          <w:sz w:val="24"/>
          <w:szCs w:val="24"/>
          <w:lang w:eastAsia="zh-CN" w:bidi="ar"/>
        </w:rPr>
        <w:t xml:space="preserve">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extract revealed the presence of saponins, tannins, carbohydrates, flavonoids and alkaloids. Similar result to this was reported by Ahmad et al. (2022) but cardiac glycosides, phenolic compounds, steroids, and terpenoids were not found in this study as in contrast with the stated research. This also confirms the findings of several studies that reported the presence of these chemicals in various parts of the plant (</w:t>
      </w:r>
      <w:proofErr w:type="spellStart"/>
      <w:r>
        <w:rPr>
          <w:rFonts w:ascii="Times New Roman" w:eastAsia="CIDFont" w:hAnsi="Times New Roman" w:cs="Times New Roman"/>
          <w:color w:val="000000"/>
          <w:kern w:val="0"/>
          <w:sz w:val="24"/>
          <w:szCs w:val="24"/>
          <w:lang w:eastAsia="zh-CN" w:bidi="ar"/>
        </w:rPr>
        <w:t>Nkafamiya</w:t>
      </w:r>
      <w:proofErr w:type="spellEnd"/>
      <w:r>
        <w:rPr>
          <w:rFonts w:ascii="Times New Roman" w:eastAsia="CIDFont" w:hAnsi="Times New Roman" w:cs="Times New Roman"/>
          <w:color w:val="000000"/>
          <w:kern w:val="0"/>
          <w:sz w:val="24"/>
          <w:szCs w:val="24"/>
          <w:lang w:eastAsia="zh-CN" w:bidi="ar"/>
        </w:rPr>
        <w:t xml:space="preserve"> et al., 2015; Michael et al., 2015a; Jacob et al., 2017; </w:t>
      </w:r>
      <w:proofErr w:type="spellStart"/>
      <w:r>
        <w:rPr>
          <w:rFonts w:ascii="Times New Roman" w:eastAsia="CIDFont" w:hAnsi="Times New Roman" w:cs="Times New Roman"/>
          <w:color w:val="000000"/>
          <w:kern w:val="0"/>
          <w:sz w:val="24"/>
          <w:szCs w:val="24"/>
          <w:lang w:eastAsia="zh-CN" w:bidi="ar"/>
        </w:rPr>
        <w:t>Ochokwu</w:t>
      </w:r>
      <w:proofErr w:type="spellEnd"/>
      <w:r>
        <w:rPr>
          <w:rFonts w:ascii="Times New Roman" w:eastAsia="CIDFont" w:hAnsi="Times New Roman" w:cs="Times New Roman"/>
          <w:color w:val="000000"/>
          <w:kern w:val="0"/>
          <w:sz w:val="24"/>
          <w:szCs w:val="24"/>
          <w:lang w:eastAsia="zh-CN" w:bidi="ar"/>
        </w:rPr>
        <w:t xml:space="preserve"> et al., 2019; </w:t>
      </w:r>
      <w:proofErr w:type="spellStart"/>
      <w:r>
        <w:rPr>
          <w:rFonts w:ascii="Times New Roman" w:eastAsia="CIDFont" w:hAnsi="Times New Roman" w:cs="Times New Roman"/>
          <w:color w:val="000000"/>
          <w:kern w:val="0"/>
          <w:sz w:val="24"/>
          <w:szCs w:val="24"/>
          <w:lang w:eastAsia="zh-CN" w:bidi="ar"/>
        </w:rPr>
        <w:t>Bioltif</w:t>
      </w:r>
      <w:proofErr w:type="spellEnd"/>
      <w:r>
        <w:rPr>
          <w:rFonts w:ascii="Times New Roman" w:eastAsia="CIDFont" w:hAnsi="Times New Roman" w:cs="Times New Roman"/>
          <w:color w:val="000000"/>
          <w:kern w:val="0"/>
          <w:sz w:val="24"/>
          <w:szCs w:val="24"/>
          <w:lang w:eastAsia="zh-CN" w:bidi="ar"/>
        </w:rPr>
        <w:t xml:space="preserve"> et al., 2020), most of which were widely reported to be medicinally active (Adamu et al., 2013; </w:t>
      </w:r>
      <w:proofErr w:type="spellStart"/>
      <w:r>
        <w:rPr>
          <w:rFonts w:ascii="Times New Roman" w:eastAsia="CIDFont" w:hAnsi="Times New Roman" w:cs="Times New Roman"/>
          <w:color w:val="000000"/>
          <w:kern w:val="0"/>
          <w:sz w:val="24"/>
          <w:szCs w:val="24"/>
          <w:lang w:eastAsia="zh-CN" w:bidi="ar"/>
        </w:rPr>
        <w:t>Nkafamiya</w:t>
      </w:r>
      <w:proofErr w:type="spellEnd"/>
      <w:r>
        <w:rPr>
          <w:rFonts w:ascii="Times New Roman" w:eastAsia="CIDFont" w:hAnsi="Times New Roman" w:cs="Times New Roman"/>
          <w:color w:val="000000"/>
          <w:kern w:val="0"/>
          <w:sz w:val="24"/>
          <w:szCs w:val="24"/>
          <w:lang w:eastAsia="zh-CN" w:bidi="ar"/>
        </w:rPr>
        <w:t xml:space="preserve"> et al., 2015; Koche et al., 2016). The disparity among the secondary metabolites found by each researcher, confirms that the presence of phytochemicals depends on the geographic location and the nature of the soil. </w:t>
      </w:r>
    </w:p>
    <w:p w14:paraId="4533E53C" w14:textId="77777777" w:rsidR="0035258B" w:rsidRDefault="00000000">
      <w:pPr>
        <w:spacing w:line="480" w:lineRule="auto"/>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lastRenderedPageBreak/>
        <w:t>The use of herbal products for the treatment of diseases has over time gained a greater deal of acceptance than conventional therapy. However, screening of plant products has been considered an initial step to evaluate their toxicities before wider usage (Olson et al., 2000; Parasuraman, 2011; Ifeoma &amp; Oluwakanyinsola, 2013). The toxicity of herbal extracts expressed as LD50 values is commonly valorized either by comparison to Meyer’s or to Clarkson’s toxicity index. An initial assessment of toxic manifestations in laboratory animals is one of the screening experiments performed during the evaluation of the toxic characteristics of medicinal plants (</w:t>
      </w:r>
      <w:proofErr w:type="spellStart"/>
      <w:r>
        <w:rPr>
          <w:rFonts w:ascii="Times New Roman" w:eastAsia="CIDFont" w:hAnsi="Times New Roman" w:cs="Times New Roman"/>
          <w:color w:val="000000"/>
          <w:kern w:val="0"/>
          <w:sz w:val="24"/>
          <w:szCs w:val="24"/>
          <w:lang w:eastAsia="zh-CN" w:bidi="ar"/>
        </w:rPr>
        <w:t>Ukwuani</w:t>
      </w:r>
      <w:proofErr w:type="spellEnd"/>
      <w:r>
        <w:rPr>
          <w:rFonts w:ascii="Times New Roman" w:eastAsia="CIDFont" w:hAnsi="Times New Roman" w:cs="Times New Roman"/>
          <w:color w:val="000000"/>
          <w:kern w:val="0"/>
          <w:sz w:val="24"/>
          <w:szCs w:val="24"/>
          <w:lang w:eastAsia="zh-CN" w:bidi="ar"/>
        </w:rPr>
        <w:t xml:space="preserve"> et al., 2012). </w:t>
      </w:r>
    </w:p>
    <w:p w14:paraId="72EE0CC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Hence, these assessments were carried out in this study. All 108 administrations of the extract were done orally, as it is the most useful and normally used route for toxicity studies – the absorption is usually slow, but it is less expensive and less invasive to the animals. The rats were fasted before administration to avoid any reaction of the extract with food substances, as food and other chemicals within the digestive system have been known to be able to react with drugs administered through the oral route (Kumar &amp; Lalitha, 2013). The demonstration of no treatment-related deaths or toxic signs after the acute study reveals that the extract could be well tolerated up to the dose of 5,000 mg/kg body weight (Jothy, 2011). </w:t>
      </w:r>
    </w:p>
    <w:p w14:paraId="316C3FC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According to the Globally Harmonized Classification System, the O.E.C.D. test guideline 423 </w:t>
      </w:r>
    </w:p>
    <w:p w14:paraId="20D76BE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for oral toxicity tests, AFEAG can be classified as Category 5, which is the lowest toxicity class </w:t>
      </w:r>
    </w:p>
    <w:p w14:paraId="0353D9D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of drugs/chemicals that are found to be safe at doses ranging between 2,000-5,000 mg/kg. This </w:t>
      </w:r>
    </w:p>
    <w:p w14:paraId="42D79FF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means that AFEAG can be used at doses of up to 5,000 mg/kg on rats when scientific investigations having direct relevance to protecting animal and human health or the environment </w:t>
      </w:r>
    </w:p>
    <w:p w14:paraId="652057F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using the extract are desired (O.E.C.D., 2021). </w:t>
      </w:r>
    </w:p>
    <w:p w14:paraId="24DB870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Acute toxicity testing has limited clinical applications because cumulative toxic effects can occur even at a very low dose of a chemical (Chitra et al., 2015). Hence, the subacute test with multiple administrations was also carried out to get information on possible health threats and cumulative effects on various body systems that could arise on exposure over a long period. </w:t>
      </w:r>
    </w:p>
    <w:p w14:paraId="14D811C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There were no deaths or any adverse toxicity recorded throughout the subacute study, further </w:t>
      </w:r>
    </w:p>
    <w:p w14:paraId="402DD66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indicating the tolerability of AFEAG. After both the acute and subacute toxicity studies, no significant body weight changes were observed in the rats treated with all doses of the extract when compared to the control at p-value &gt; .05. Significant body weight changes are indicative of </w:t>
      </w:r>
    </w:p>
    <w:p w14:paraId="39871D9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adverse side effects, and more than 20% of the animal loss of body weight is regarded as critical </w:t>
      </w:r>
    </w:p>
    <w:p w14:paraId="0F86DA1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has been defined as one of the human end points in several international guidelines (O.E.C.D, 2001). This implies that AFEAG may not have any potential to cause changes in body weight or cause obesity and therefore safe in that regard. Tannins (commonly referred to as tannic acids) are water-soluble polyphenols that are present in many plant foods and reported to cause a decrease in net metabolizable energy, and protein digestibility in experimental animals. </w:t>
      </w:r>
    </w:p>
    <w:p w14:paraId="436A3D1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 large amounts, tannic acid can cause side effects such as stomach irritation, nausea, vomiting, </w:t>
      </w:r>
    </w:p>
    <w:p w14:paraId="5DB74C5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liver damage (Chung et al., 1998). It may be expected that the tannins present in AFEAG </w:t>
      </w:r>
    </w:p>
    <w:p w14:paraId="5BF77D8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exhibit a similar effect in this study; but to the contrary. It is possible that the level of tannins in </w:t>
      </w:r>
    </w:p>
    <w:p w14:paraId="4098073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AFEAG is not high enough to elicit that effect. Hence, even with the presence of tannins in </w:t>
      </w:r>
    </w:p>
    <w:p w14:paraId="235A0BB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AFEAG, its intake may neither cause malnourishment nor lead to obesity, as evidenced from the </w:t>
      </w:r>
    </w:p>
    <w:p w14:paraId="50806EE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finding of this study. </w:t>
      </w:r>
    </w:p>
    <w:p w14:paraId="6A2B84AF"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The liver is a target organ and primary site of detoxification and is generally the major </w:t>
      </w:r>
    </w:p>
    <w:p w14:paraId="228E159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site of intense metabolism and therefore prone to various disorders as a consequence of exposure </w:t>
      </w:r>
    </w:p>
    <w:p w14:paraId="3FDE86B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 toxins of extrinsic and intrinsic origins (Hodgson, 2004). Plasma proteins are produced in the </w:t>
      </w:r>
    </w:p>
    <w:p w14:paraId="56E3CE6F"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liver. In case of liver damage, production of these proteins is reduced or completely ceased </w:t>
      </w:r>
    </w:p>
    <w:p w14:paraId="7C7366F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t>
      </w:r>
      <w:proofErr w:type="spellStart"/>
      <w:r>
        <w:rPr>
          <w:rFonts w:ascii="Times New Roman" w:eastAsia="CIDFont" w:hAnsi="Times New Roman" w:cs="Times New Roman"/>
          <w:color w:val="000000"/>
          <w:kern w:val="0"/>
          <w:sz w:val="24"/>
          <w:szCs w:val="24"/>
          <w:lang w:eastAsia="zh-CN" w:bidi="ar"/>
        </w:rPr>
        <w:t>Chukwudoruo</w:t>
      </w:r>
      <w:proofErr w:type="spellEnd"/>
      <w:r>
        <w:rPr>
          <w:rFonts w:ascii="Times New Roman" w:eastAsia="CIDFont" w:hAnsi="Times New Roman" w:cs="Times New Roman"/>
          <w:color w:val="000000"/>
          <w:kern w:val="0"/>
          <w:sz w:val="24"/>
          <w:szCs w:val="24"/>
          <w:lang w:eastAsia="zh-CN" w:bidi="ar"/>
        </w:rPr>
        <w:t xml:space="preserve"> et al., 2020). Plasma proteins interact with virtually all body tissues or cells and </w:t>
      </w:r>
    </w:p>
    <w:p w14:paraId="724302F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are ultimately related to protein metabolism in the liver. Albumin constitutes approximately 60% </w:t>
      </w:r>
    </w:p>
    <w:p w14:paraId="0FD60F7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of normal plasma proteins (</w:t>
      </w:r>
      <w:proofErr w:type="spellStart"/>
      <w:r>
        <w:rPr>
          <w:rFonts w:ascii="Times New Roman" w:eastAsia="CIDFont" w:hAnsi="Times New Roman" w:cs="Times New Roman"/>
          <w:color w:val="000000"/>
          <w:kern w:val="0"/>
          <w:sz w:val="24"/>
          <w:szCs w:val="24"/>
          <w:lang w:eastAsia="zh-CN" w:bidi="ar"/>
        </w:rPr>
        <w:t>Alshafi</w:t>
      </w:r>
      <w:proofErr w:type="spellEnd"/>
      <w:r>
        <w:rPr>
          <w:rFonts w:ascii="Times New Roman" w:eastAsia="CIDFont" w:hAnsi="Times New Roman" w:cs="Times New Roman"/>
          <w:color w:val="000000"/>
          <w:kern w:val="0"/>
          <w:sz w:val="24"/>
          <w:szCs w:val="24"/>
          <w:lang w:eastAsia="zh-CN" w:bidi="ar"/>
        </w:rPr>
        <w:t xml:space="preserve">, 2002). From the results of this study, AFEAG did not affect </w:t>
      </w:r>
    </w:p>
    <w:p w14:paraId="221BBED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significantly both the total protein and the albumin levels. However, in a previous study, AFEAG </w:t>
      </w:r>
    </w:p>
    <w:p w14:paraId="1D76097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caused an increase in the albumin and alanine aminotransferase levels at the dose of 600 mg/kg </w:t>
      </w:r>
    </w:p>
    <w:p w14:paraId="5454EFC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after the subacute study (Dawud et al., 2022). Albumins can bind with tannic acid-related </w:t>
      </w:r>
    </w:p>
    <w:p w14:paraId="597F297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compounds, which have been reported to markedly increase their normal levels. Hence, the </w:t>
      </w:r>
    </w:p>
    <w:p w14:paraId="7E6780D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increase in the normal level of albumin after the subacute study could be due to the presence of </w:t>
      </w:r>
    </w:p>
    <w:p w14:paraId="63C6AF8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tannins in the extract. Although the liver histology indicates no gross treatment related toxicity </w:t>
      </w:r>
    </w:p>
    <w:p w14:paraId="58492FA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signs, the increase in serum albumin level after subacute treatment by AFEAG indicates that the </w:t>
      </w:r>
    </w:p>
    <w:p w14:paraId="0AB5F07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extract may have some level of toxicity to the liver. This is in concordance with the adverse</w:t>
      </w:r>
    </w:p>
    <w:p w14:paraId="00D5B93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related effects of the extract seen on the hearts and lungs of treated rats in previous study </w:t>
      </w:r>
    </w:p>
    <w:p w14:paraId="222EC26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(Dawud et al., 2022). </w:t>
      </w:r>
    </w:p>
    <w:p w14:paraId="76E5B4D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Alanine transaminase (ALT) is an enzyme that helps metabolize proteins. When the liver </w:t>
      </w:r>
    </w:p>
    <w:p w14:paraId="6556F73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is damaged, the production of ALT is increased in the liver and released into the bloodstream. </w:t>
      </w:r>
    </w:p>
    <w:p w14:paraId="5456616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Both AST and ALT are increased in liver damage. However, increase in ALT is more specific to </w:t>
      </w:r>
    </w:p>
    <w:p w14:paraId="10E297C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liver damage, because AST can also be released due to damage of other organs such as the </w:t>
      </w:r>
    </w:p>
    <w:p w14:paraId="5FE4DF4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heart and kidneys, and in the liver only 20% of AST is cytosolic (the remaining 80% is </w:t>
      </w:r>
    </w:p>
    <w:p w14:paraId="6A5716B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mitochondrial) while ALT is solely in the liver cytosol. Hence, a rise in ALT level is more </w:t>
      </w:r>
    </w:p>
    <w:p w14:paraId="2A0F357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specific to hepatocellular damage (Giannini et al., 2005; W. R. Kim et al., 2008; Lala et al., </w:t>
      </w:r>
    </w:p>
    <w:p w14:paraId="2483A91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2022). From the results of this study, ALP (alkaline phosphatase), ALT (alanine transaminase), </w:t>
      </w:r>
    </w:p>
    <w:p w14:paraId="69F9D4E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AST (aspartate aminotransferase) have increased significantly for each of the concentrations </w:t>
      </w:r>
    </w:p>
    <w:p w14:paraId="3069990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used at p-value less than the following values respectively 0.05, 0.01, 0.001, 0.0001 when </w:t>
      </w:r>
    </w:p>
    <w:p w14:paraId="5E21809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compared to the normal control after the subacute treatment. If the liver is damaged, AST and </w:t>
      </w:r>
    </w:p>
    <w:p w14:paraId="464EAD7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ALT pass into the bloodstream. This further indicates that AFEAG may be toxic to the liver, </w:t>
      </w:r>
    </w:p>
    <w:p w14:paraId="5360B5A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especially after treatment for a long period. The elevated levels of these enzymes of the liver </w:t>
      </w:r>
    </w:p>
    <w:p w14:paraId="4026575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caused by the different doses of AFEAG after a subacute treatment seen in this study can </w:t>
      </w:r>
    </w:p>
    <w:p w14:paraId="19F2300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indicate that the liver damage or inflammation, could be the result of the synergetic effects of </w:t>
      </w:r>
    </w:p>
    <w:p w14:paraId="7B293A9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alkaloids and saponins found present in the extract. These secondary metabolites have been </w:t>
      </w:r>
    </w:p>
    <w:p w14:paraId="77B94F4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linked by previous studies to liver toxicity, saponins (Sung et al. 2017) and alkaloids (Ebmeyer </w:t>
      </w:r>
    </w:p>
    <w:p w14:paraId="1B22447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et al. 2020). </w:t>
      </w:r>
    </w:p>
    <w:p w14:paraId="0CA9203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Assessments of histological alterations of two vital organs in charge of the body </w:t>
      </w:r>
    </w:p>
    <w:p w14:paraId="4F466E92"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detoxification </w:t>
      </w:r>
      <w:proofErr w:type="gramStart"/>
      <w:r>
        <w:rPr>
          <w:rFonts w:ascii="Times New Roman" w:eastAsia="CIDFont" w:hAnsi="Times New Roman" w:cs="Times New Roman"/>
          <w:color w:val="000000"/>
          <w:kern w:val="0"/>
          <w:sz w:val="24"/>
          <w:szCs w:val="24"/>
          <w:lang w:eastAsia="zh-CN" w:bidi="ar"/>
        </w:rPr>
        <w:t>are</w:t>
      </w:r>
      <w:proofErr w:type="gramEnd"/>
      <w:r>
        <w:rPr>
          <w:rFonts w:ascii="Times New Roman" w:eastAsia="CIDFont" w:hAnsi="Times New Roman" w:cs="Times New Roman"/>
          <w:color w:val="000000"/>
          <w:kern w:val="0"/>
          <w:sz w:val="24"/>
          <w:szCs w:val="24"/>
          <w:lang w:eastAsia="zh-CN" w:bidi="ar"/>
        </w:rPr>
        <w:t xml:space="preserve"> considered essential in evaluating the toxicity of chemicals (Greaves, 2012). </w:t>
      </w:r>
    </w:p>
    <w:p w14:paraId="5C0CA98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Hence, the histological examinations of the liver and kidney of the rats were also carried out. The </w:t>
      </w:r>
    </w:p>
    <w:p w14:paraId="6CD0C61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observation of nephritis and congestions respectively at 10mg/Kg and 5000mg/Kg in the renal </w:t>
      </w:r>
    </w:p>
    <w:p w14:paraId="204C0140"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tissue of the rats used for the subacute toxicity test showed that the histological damages may not </w:t>
      </w:r>
    </w:p>
    <w:p w14:paraId="1ED8C43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be treatment-related, as supported by the normal features seen in the renal tissues of the majority </w:t>
      </w:r>
    </w:p>
    <w:p w14:paraId="7CEBAB18"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of the dosed rats compared to that of the control after the subacute study. Similar observations </w:t>
      </w:r>
    </w:p>
    <w:p w14:paraId="780FBE5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were also made on the liver tissues of the rats, as all the changes seen were moderate in nature. </w:t>
      </w:r>
    </w:p>
    <w:p w14:paraId="0F06DF5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According to previous findings, </w:t>
      </w:r>
      <w:r>
        <w:rPr>
          <w:rFonts w:ascii="Times New Roman" w:eastAsia="CIDFont" w:hAnsi="Times New Roman" w:cs="Times New Roman"/>
          <w:i/>
          <w:iCs/>
          <w:color w:val="000000"/>
          <w:kern w:val="0"/>
          <w:sz w:val="24"/>
          <w:szCs w:val="24"/>
          <w:lang w:eastAsia="zh-CN" w:bidi="ar"/>
        </w:rPr>
        <w:t xml:space="preserve">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extract must be used with caution due to its </w:t>
      </w:r>
    </w:p>
    <w:p w14:paraId="15B3A3B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possible systemic adverse effects on cardiopulmonary and hepatic systems when used at high </w:t>
      </w:r>
    </w:p>
    <w:p w14:paraId="279C6E6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doses and for long durations (Dawud et al., 2022); however, </w:t>
      </w:r>
      <w:r>
        <w:rPr>
          <w:rFonts w:ascii="Times New Roman" w:eastAsia="CIDFont" w:hAnsi="Times New Roman" w:cs="Times New Roman"/>
          <w:i/>
          <w:iCs/>
          <w:color w:val="000000"/>
          <w:kern w:val="0"/>
          <w:sz w:val="24"/>
          <w:szCs w:val="24"/>
          <w:lang w:eastAsia="zh-CN" w:bidi="ar"/>
        </w:rPr>
        <w:t xml:space="preserve">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extract is </w:t>
      </w:r>
    </w:p>
    <w:p w14:paraId="37447E3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effective in treating diabetic nephropathy with ethyl acetate fraction (Yusuf et al. 2023). </w:t>
      </w:r>
    </w:p>
    <w:p w14:paraId="59AA2C0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Therefore, the observation of no treatment-related gross abnormalities in the tissue histology of </w:t>
      </w:r>
    </w:p>
    <w:p w14:paraId="706765D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these vital organs suggest the safety of AFEAG in that regard. Nevertheless, it is pertinent to </w:t>
      </w:r>
    </w:p>
    <w:p w14:paraId="49BB3236"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say that sub-chronic toxicity and genotoxicity studies on AFEAG are required based on the oral </w:t>
      </w:r>
    </w:p>
    <w:p w14:paraId="2D822F8A"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doses used in the acute and subacute studies to ascertain the safety of the extract. </w:t>
      </w:r>
    </w:p>
    <w:p w14:paraId="7666868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results obtained from this study revealed that there is a significant increase in the level of each hormone (LH, FSH, estradiol, TSH, GnRH, and Progesterone) of the treated groups (Plant extract 1(PE1), Plant extract 2 (PE2), Metformin and Clomid) when compared to the negative control which can be explained by the fact that the extracts have corrected partially the hormone imbalance </w:t>
      </w:r>
      <w:r>
        <w:rPr>
          <w:rFonts w:ascii="Times New Roman" w:eastAsia="CIDFont" w:hAnsi="Times New Roman" w:cs="Times New Roman"/>
          <w:color w:val="000000"/>
          <w:kern w:val="0"/>
          <w:sz w:val="24"/>
          <w:szCs w:val="24"/>
          <w:lang w:eastAsia="zh-CN" w:bidi="ar"/>
        </w:rPr>
        <w:lastRenderedPageBreak/>
        <w:t xml:space="preserve">induced by the diabetes. The results also showed that the increase in the level of the hormones is not significant when compared to the normal control; however, the group treated with the 2000 mg/kg (PE2) was significantly higher than that of the group treated with 1000 mg/kg (PE1) which means the effect is dose dependent. </w:t>
      </w:r>
    </w:p>
    <w:p w14:paraId="5643576F"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Several studies have linked the benefit of </w:t>
      </w:r>
      <w:r>
        <w:rPr>
          <w:rFonts w:ascii="Times New Roman" w:eastAsia="CIDFont" w:hAnsi="Times New Roman" w:cs="Times New Roman"/>
          <w:i/>
          <w:iCs/>
          <w:color w:val="000000"/>
          <w:kern w:val="0"/>
          <w:sz w:val="24"/>
          <w:szCs w:val="24"/>
          <w:lang w:eastAsia="zh-CN" w:bidi="ar"/>
        </w:rPr>
        <w:t xml:space="preserve">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on reproductive hormones to its different </w:t>
      </w:r>
    </w:p>
    <w:p w14:paraId="707E234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metabolites (Amhad et al., 2022), A. </w:t>
      </w:r>
      <w:proofErr w:type="spellStart"/>
      <w:r>
        <w:rPr>
          <w:rFonts w:ascii="Times New Roman" w:eastAsia="CIDFont" w:hAnsi="Times New Roman" w:cs="Times New Roman"/>
          <w:color w:val="000000"/>
          <w:kern w:val="0"/>
          <w:sz w:val="24"/>
          <w:szCs w:val="24"/>
          <w:lang w:eastAsia="zh-CN" w:bidi="ar"/>
        </w:rPr>
        <w:t>garkeana</w:t>
      </w:r>
      <w:proofErr w:type="spellEnd"/>
      <w:r>
        <w:rPr>
          <w:rFonts w:ascii="Times New Roman" w:eastAsia="CIDFont" w:hAnsi="Times New Roman" w:cs="Times New Roman"/>
          <w:color w:val="000000"/>
          <w:kern w:val="0"/>
          <w:sz w:val="24"/>
          <w:szCs w:val="24"/>
          <w:lang w:eastAsia="zh-CN" w:bidi="ar"/>
        </w:rPr>
        <w:t xml:space="preserve"> extract at 125 and 500 mg/kg induced significant </w:t>
      </w:r>
    </w:p>
    <w:p w14:paraId="321D22F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increase in LH, FSH and testosterone compared to control (p&lt;0.05) and has at 250 mg/kg demonstrated highest fecundity potential of 8.49 (Bukar, 2020). </w:t>
      </w:r>
    </w:p>
    <w:p w14:paraId="22D3C124"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results on the effect of </w:t>
      </w:r>
      <w:r>
        <w:rPr>
          <w:rFonts w:ascii="Times New Roman" w:eastAsia="CIDFont" w:hAnsi="Times New Roman" w:cs="Times New Roman"/>
          <w:i/>
          <w:iCs/>
          <w:color w:val="000000"/>
          <w:kern w:val="0"/>
          <w:sz w:val="24"/>
          <w:szCs w:val="24"/>
          <w:lang w:eastAsia="zh-CN" w:bidi="ar"/>
        </w:rPr>
        <w:t xml:space="preserve">A. </w:t>
      </w:r>
      <w:proofErr w:type="spellStart"/>
      <w:r>
        <w:rPr>
          <w:rFonts w:ascii="Times New Roman" w:eastAsia="CIDFont" w:hAnsi="Times New Roman" w:cs="Times New Roman"/>
          <w:i/>
          <w:iCs/>
          <w:color w:val="000000"/>
          <w:kern w:val="0"/>
          <w:sz w:val="24"/>
          <w:szCs w:val="24"/>
          <w:lang w:eastAsia="zh-CN" w:bidi="ar"/>
        </w:rPr>
        <w:t>garckeana</w:t>
      </w:r>
      <w:proofErr w:type="spellEnd"/>
      <w:r>
        <w:rPr>
          <w:rFonts w:ascii="Times New Roman" w:eastAsia="CIDFont" w:hAnsi="Times New Roman" w:cs="Times New Roman"/>
          <w:i/>
          <w:iCs/>
          <w:color w:val="000000"/>
          <w:kern w:val="0"/>
          <w:sz w:val="24"/>
          <w:szCs w:val="24"/>
          <w:lang w:eastAsia="zh-CN" w:bidi="ar"/>
        </w:rPr>
        <w:t xml:space="preserve"> </w:t>
      </w:r>
      <w:r>
        <w:rPr>
          <w:rFonts w:ascii="Times New Roman" w:eastAsia="CIDFont" w:hAnsi="Times New Roman" w:cs="Times New Roman"/>
          <w:color w:val="000000"/>
          <w:kern w:val="0"/>
          <w:sz w:val="24"/>
          <w:szCs w:val="24"/>
          <w:lang w:eastAsia="zh-CN" w:bidi="ar"/>
        </w:rPr>
        <w:t>fruit extract on the level of male rats’ hormones are shown in table 6. The serum concentrations of testosterone, LH and FSH fluctuated over the weeks in male rats. However, rats administered with 1000 mg/kg and 2000 mg/kg extracts had increased serum hormonal concentration when compared to the negative control and that increase is dose dependent. The hormones have been reported to play a significant role in the improvement of male reproductive functions (Abo-</w:t>
      </w:r>
      <w:proofErr w:type="spellStart"/>
      <w:r>
        <w:rPr>
          <w:rFonts w:ascii="Times New Roman" w:eastAsia="CIDFont" w:hAnsi="Times New Roman" w:cs="Times New Roman"/>
          <w:color w:val="000000"/>
          <w:kern w:val="0"/>
          <w:sz w:val="24"/>
          <w:szCs w:val="24"/>
          <w:lang w:eastAsia="zh-CN" w:bidi="ar"/>
        </w:rPr>
        <w:t>elsouda</w:t>
      </w:r>
      <w:proofErr w:type="spellEnd"/>
      <w:r>
        <w:rPr>
          <w:rFonts w:ascii="Times New Roman" w:eastAsia="CIDFont" w:hAnsi="Times New Roman" w:cs="Times New Roman"/>
          <w:color w:val="000000"/>
          <w:kern w:val="0"/>
          <w:sz w:val="24"/>
          <w:szCs w:val="24"/>
          <w:lang w:eastAsia="zh-CN" w:bidi="ar"/>
        </w:rPr>
        <w:t xml:space="preserve"> et al., 2019). </w:t>
      </w:r>
    </w:p>
    <w:p w14:paraId="30A5404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The result shows that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garkeana</w:t>
      </w:r>
      <w:proofErr w:type="spellEnd"/>
      <w:r>
        <w:rPr>
          <w:rFonts w:ascii="Times New Roman" w:eastAsia="CIDFont" w:hAnsi="Times New Roman" w:cs="Times New Roman"/>
          <w:i/>
          <w:iCs/>
          <w:color w:val="000000"/>
          <w:kern w:val="0"/>
          <w:sz w:val="24"/>
          <w:szCs w:val="24"/>
          <w:lang w:eastAsia="zh-CN" w:bidi="ar"/>
        </w:rPr>
        <w:t xml:space="preserve"> </w:t>
      </w:r>
      <w:r>
        <w:rPr>
          <w:rFonts w:ascii="Times New Roman" w:eastAsia="CIDFont" w:hAnsi="Times New Roman" w:cs="Times New Roman"/>
          <w:color w:val="000000"/>
          <w:kern w:val="0"/>
          <w:sz w:val="24"/>
          <w:szCs w:val="24"/>
          <w:lang w:eastAsia="zh-CN" w:bidi="ar"/>
        </w:rPr>
        <w:t xml:space="preserve">contained an appreciable quantity of bioactive components, including polyphenols such as flavonoids, which may reduce oxidative stress and </w:t>
      </w:r>
    </w:p>
    <w:p w14:paraId="4E9F67C3"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harmful biological activities (</w:t>
      </w:r>
      <w:proofErr w:type="spellStart"/>
      <w:r>
        <w:rPr>
          <w:rFonts w:ascii="Times New Roman" w:eastAsia="CIDFont" w:hAnsi="Times New Roman" w:cs="Times New Roman"/>
          <w:color w:val="000000"/>
          <w:kern w:val="0"/>
          <w:sz w:val="24"/>
          <w:szCs w:val="24"/>
          <w:lang w:eastAsia="zh-CN" w:bidi="ar"/>
        </w:rPr>
        <w:t>Maroyi</w:t>
      </w:r>
      <w:proofErr w:type="spellEnd"/>
      <w:r>
        <w:rPr>
          <w:rFonts w:ascii="Times New Roman" w:eastAsia="CIDFont" w:hAnsi="Times New Roman" w:cs="Times New Roman"/>
          <w:color w:val="000000"/>
          <w:kern w:val="0"/>
          <w:sz w:val="24"/>
          <w:szCs w:val="24"/>
          <w:lang w:eastAsia="zh-CN" w:bidi="ar"/>
        </w:rPr>
        <w:t xml:space="preserve"> and Cheikh-Youssef, 2017; Edward et al., 2021). </w:t>
      </w:r>
    </w:p>
    <w:p w14:paraId="545C95BB"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b/>
          <w:bCs/>
          <w:color w:val="000000"/>
          <w:kern w:val="0"/>
          <w:sz w:val="24"/>
          <w:szCs w:val="24"/>
          <w:lang w:eastAsia="zh-CN" w:bidi="ar"/>
        </w:rPr>
        <w:t xml:space="preserve">4.0 CONCLUSION </w:t>
      </w:r>
    </w:p>
    <w:p w14:paraId="7EE9045E"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This study highlighted four (4) major points. It confirms the findings of previous research </w:t>
      </w:r>
    </w:p>
    <w:p w14:paraId="4C597765"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claiming the ameliorative and fecundity potential of the aqueous extract of </w:t>
      </w:r>
      <w:r>
        <w:rPr>
          <w:rFonts w:ascii="Times New Roman" w:eastAsia="CIDFont" w:hAnsi="Times New Roman" w:cs="Times New Roman"/>
          <w:i/>
          <w:iCs/>
          <w:color w:val="000000"/>
          <w:kern w:val="0"/>
          <w:sz w:val="24"/>
          <w:szCs w:val="24"/>
          <w:lang w:eastAsia="zh-CN" w:bidi="ar"/>
        </w:rPr>
        <w:t xml:space="preserve">Azanza </w:t>
      </w:r>
      <w:proofErr w:type="spellStart"/>
      <w:r>
        <w:rPr>
          <w:rFonts w:ascii="Times New Roman" w:eastAsia="CIDFont" w:hAnsi="Times New Roman" w:cs="Times New Roman"/>
          <w:i/>
          <w:iCs/>
          <w:color w:val="000000"/>
          <w:kern w:val="0"/>
          <w:sz w:val="24"/>
          <w:szCs w:val="24"/>
          <w:lang w:eastAsia="zh-CN" w:bidi="ar"/>
        </w:rPr>
        <w:t>garkeana</w:t>
      </w:r>
      <w:proofErr w:type="spellEnd"/>
      <w:r>
        <w:rPr>
          <w:rFonts w:ascii="Times New Roman" w:eastAsia="CIDFont" w:hAnsi="Times New Roman" w:cs="Times New Roman"/>
          <w:color w:val="000000"/>
          <w:kern w:val="0"/>
          <w:sz w:val="24"/>
          <w:szCs w:val="24"/>
          <w:lang w:eastAsia="zh-CN" w:bidi="ar"/>
        </w:rPr>
        <w:t xml:space="preserve">. It </w:t>
      </w:r>
    </w:p>
    <w:p w14:paraId="1F46313D"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also confirms the properties of the phytochemicals present in the aqueous extract such as </w:t>
      </w:r>
    </w:p>
    <w:p w14:paraId="62DBB8F1"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saponins, tannins, carbohydrate, flavonoids and alkaloids. The acute and subacute toxicity assays </w:t>
      </w:r>
    </w:p>
    <w:p w14:paraId="2252CFD7"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revealed that the extract could be well tolerated up to the dose of 5000mg/kg body weight </w:t>
      </w:r>
    </w:p>
    <w:p w14:paraId="5DFC4039"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without recording any death. The hormonal assays also revealed that the aqueous fruit extract </w:t>
      </w:r>
    </w:p>
    <w:p w14:paraId="3138B1BC" w14:textId="77777777" w:rsidR="0035258B" w:rsidRDefault="00000000">
      <w:pPr>
        <w:spacing w:line="480" w:lineRule="auto"/>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can be used to correct diabetes related fertility hormonal imbalance.</w:t>
      </w:r>
    </w:p>
    <w:p w14:paraId="00B0F607" w14:textId="77777777" w:rsidR="0035258B" w:rsidRDefault="00000000">
      <w:pPr>
        <w:spacing w:before="100" w:beforeAutospacing="1" w:after="100" w:afterAutospacing="1" w:line="360" w:lineRule="auto"/>
        <w:rPr>
          <w:rFonts w:ascii="Times New Roman" w:eastAsia="Times New Roman" w:hAnsi="Times New Roman" w:cs="Times New Roman"/>
          <w:b/>
          <w:bCs/>
          <w:color w:val="0D0D0D"/>
          <w:sz w:val="24"/>
          <w:szCs w:val="24"/>
        </w:rPr>
      </w:pPr>
      <w:r>
        <w:rPr>
          <w:rFonts w:ascii="Times New Roman" w:eastAsia="Times New Roman" w:hAnsi="Times New Roman" w:cs="Times New Roman"/>
          <w:b/>
          <w:bCs/>
          <w:color w:val="0D0D0D"/>
          <w:sz w:val="24"/>
          <w:szCs w:val="24"/>
        </w:rPr>
        <w:t xml:space="preserve">CONFLICT OF INTEREST </w:t>
      </w:r>
    </w:p>
    <w:p w14:paraId="1FDB09F1" w14:textId="77777777" w:rsidR="0035258B" w:rsidRDefault="00000000">
      <w:pPr>
        <w:spacing w:before="100" w:beforeAutospacing="1" w:after="100" w:afterAutospacing="1" w:line="36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There is no conflict of interest between and among authors in any aspect of this work either financially or otherwise.</w:t>
      </w:r>
    </w:p>
    <w:p w14:paraId="29B0DF83" w14:textId="77777777" w:rsidR="00F61606" w:rsidRDefault="00F61606" w:rsidP="00F6160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017B78F7" w14:textId="77777777" w:rsidR="00F61606" w:rsidRDefault="00F61606" w:rsidP="00F61606">
      <w:pPr>
        <w:spacing w:after="0" w:line="240" w:lineRule="auto"/>
        <w:rPr>
          <w:rFonts w:ascii="Times New Roman" w:hAnsi="Times New Roman" w:cs="Times New Roman"/>
          <w:b/>
        </w:rPr>
      </w:pPr>
    </w:p>
    <w:p w14:paraId="78DC3D12" w14:textId="77777777" w:rsidR="00F61606" w:rsidRDefault="00F61606" w:rsidP="00F61606">
      <w:pPr>
        <w:spacing w:after="0" w:line="240" w:lineRule="auto"/>
        <w:rPr>
          <w:rFonts w:ascii="Times New Roman" w:hAnsi="Times New Roman" w:cs="Times New Roman"/>
          <w:b/>
        </w:rPr>
      </w:pPr>
    </w:p>
    <w:p w14:paraId="341FD53A" w14:textId="77777777" w:rsidR="00F61606" w:rsidRDefault="00F61606" w:rsidP="00F61606">
      <w:pPr>
        <w:spacing w:after="0" w:line="240" w:lineRule="auto"/>
        <w:rPr>
          <w:rFonts w:ascii="Times New Roman" w:hAnsi="Times New Roman" w:cs="Times New Roman"/>
          <w:b/>
        </w:rPr>
      </w:pPr>
    </w:p>
    <w:p w14:paraId="4443D07C" w14:textId="77777777" w:rsidR="00F61606" w:rsidRPr="002D08AC" w:rsidRDefault="00F61606" w:rsidP="00F6160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DF0CB37" w14:textId="77777777" w:rsidR="00F61606" w:rsidRDefault="00F61606">
      <w:pPr>
        <w:spacing w:before="100" w:beforeAutospacing="1" w:after="100" w:afterAutospacing="1" w:line="360" w:lineRule="auto"/>
        <w:rPr>
          <w:rFonts w:ascii="Times New Roman" w:eastAsia="Times New Roman" w:hAnsi="Times New Roman" w:cs="Times New Roman"/>
          <w:color w:val="0D0D0D"/>
          <w:sz w:val="24"/>
          <w:szCs w:val="24"/>
        </w:rPr>
      </w:pPr>
    </w:p>
    <w:p w14:paraId="37ED632B" w14:textId="77777777" w:rsidR="004E701E" w:rsidRPr="003A29C6" w:rsidRDefault="004E701E" w:rsidP="004E701E">
      <w:pPr>
        <w:jc w:val="both"/>
        <w:outlineLvl w:val="0"/>
        <w:rPr>
          <w:rFonts w:ascii="Arial" w:hAnsi="Arial" w:cs="Arial"/>
        </w:rPr>
      </w:pPr>
      <w:r w:rsidRPr="003A29C6">
        <w:rPr>
          <w:rFonts w:ascii="Arial" w:hAnsi="Arial" w:cs="Arial"/>
          <w:b/>
          <w:bCs/>
        </w:rPr>
        <w:t>COMPETING INTERESTS DISCLAIMER:</w:t>
      </w:r>
    </w:p>
    <w:p w14:paraId="290242FD" w14:textId="77777777" w:rsidR="004E701E" w:rsidRDefault="004E701E" w:rsidP="004E701E">
      <w:r w:rsidRPr="00A10EDE">
        <w:t>Authors have declared that they have no known competing financial interests OR non-financial interests OR personal relationships that could have appeared to influence the work reported in this paper.</w:t>
      </w:r>
    </w:p>
    <w:p w14:paraId="57461DAD" w14:textId="77777777" w:rsidR="004E701E" w:rsidRDefault="004E701E">
      <w:pPr>
        <w:spacing w:before="100" w:beforeAutospacing="1" w:after="100" w:afterAutospacing="1" w:line="360" w:lineRule="auto"/>
        <w:rPr>
          <w:rFonts w:ascii="Times New Roman" w:eastAsia="Times New Roman" w:hAnsi="Times New Roman" w:cs="Times New Roman"/>
          <w:color w:val="0D0D0D"/>
          <w:sz w:val="24"/>
          <w:szCs w:val="24"/>
        </w:rPr>
      </w:pPr>
    </w:p>
    <w:p w14:paraId="31191A26" w14:textId="77777777" w:rsidR="0035258B" w:rsidRDefault="00000000">
      <w:pPr>
        <w:spacing w:line="240" w:lineRule="auto"/>
        <w:jc w:val="both"/>
        <w:rPr>
          <w:rFonts w:ascii="Times New Roman" w:eastAsia="CIDFont" w:hAnsi="Times New Roman" w:cs="Times New Roman"/>
          <w:b/>
          <w:bCs/>
          <w:color w:val="000000"/>
          <w:kern w:val="0"/>
          <w:sz w:val="24"/>
          <w:szCs w:val="24"/>
          <w:lang w:eastAsia="zh-CN" w:bidi="ar"/>
        </w:rPr>
      </w:pPr>
      <w:r>
        <w:rPr>
          <w:rFonts w:ascii="Times New Roman" w:eastAsia="CIDFont" w:hAnsi="Times New Roman" w:cs="Times New Roman"/>
          <w:b/>
          <w:bCs/>
          <w:color w:val="000000"/>
          <w:kern w:val="0"/>
          <w:sz w:val="24"/>
          <w:szCs w:val="24"/>
          <w:lang w:eastAsia="zh-CN" w:bidi="ar"/>
        </w:rPr>
        <w:t>REFERENCES</w:t>
      </w:r>
    </w:p>
    <w:p w14:paraId="2B0D009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Abo-</w:t>
      </w:r>
      <w:proofErr w:type="spellStart"/>
      <w:r>
        <w:rPr>
          <w:rFonts w:ascii="Times New Roman" w:eastAsia="CIDFont" w:hAnsi="Times New Roman" w:cs="Times New Roman"/>
          <w:color w:val="000000"/>
          <w:kern w:val="0"/>
          <w:sz w:val="24"/>
          <w:szCs w:val="24"/>
          <w:lang w:eastAsia="zh-CN" w:bidi="ar"/>
        </w:rPr>
        <w:t>elsouda</w:t>
      </w:r>
      <w:proofErr w:type="spellEnd"/>
      <w:r>
        <w:rPr>
          <w:rFonts w:ascii="Times New Roman" w:eastAsia="CIDFont" w:hAnsi="Times New Roman" w:cs="Times New Roman"/>
          <w:color w:val="000000"/>
          <w:kern w:val="0"/>
          <w:sz w:val="24"/>
          <w:szCs w:val="24"/>
          <w:lang w:eastAsia="zh-CN" w:bidi="ar"/>
        </w:rPr>
        <w:t xml:space="preserve"> M.A., </w:t>
      </w:r>
      <w:proofErr w:type="spellStart"/>
      <w:r>
        <w:rPr>
          <w:rFonts w:ascii="Times New Roman" w:eastAsia="CIDFont" w:hAnsi="Times New Roman" w:cs="Times New Roman"/>
          <w:color w:val="000000"/>
          <w:kern w:val="0"/>
          <w:sz w:val="24"/>
          <w:szCs w:val="24"/>
          <w:lang w:eastAsia="zh-CN" w:bidi="ar"/>
        </w:rPr>
        <w:t>Hashema</w:t>
      </w:r>
      <w:proofErr w:type="spellEnd"/>
      <w:r>
        <w:rPr>
          <w:rFonts w:ascii="Times New Roman" w:eastAsia="CIDFont" w:hAnsi="Times New Roman" w:cs="Times New Roman"/>
          <w:color w:val="000000"/>
          <w:kern w:val="0"/>
          <w:sz w:val="24"/>
          <w:szCs w:val="24"/>
          <w:lang w:eastAsia="zh-CN" w:bidi="ar"/>
        </w:rPr>
        <w:t xml:space="preserve"> N.A., Nour El-Dina A.N.M., Kamel K.I., Hassana G.A. (2019).</w:t>
      </w:r>
    </w:p>
    <w:p w14:paraId="2CDCFF8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Soybean isoflavone affects in rabbits: Effects on metabolism, antioxidant capacity, hormonal</w:t>
      </w:r>
    </w:p>
    <w:p w14:paraId="3542DB1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balance and reproductive performance. </w:t>
      </w:r>
      <w:r>
        <w:rPr>
          <w:rFonts w:ascii="Times New Roman" w:eastAsia="CIDFont" w:hAnsi="Times New Roman" w:cs="Times New Roman"/>
          <w:i/>
          <w:iCs/>
          <w:color w:val="000000"/>
          <w:kern w:val="0"/>
          <w:sz w:val="24"/>
          <w:szCs w:val="24"/>
          <w:lang w:eastAsia="zh-CN" w:bidi="ar"/>
        </w:rPr>
        <w:t xml:space="preserve">Anim. </w:t>
      </w:r>
      <w:proofErr w:type="spellStart"/>
      <w:r>
        <w:rPr>
          <w:rFonts w:ascii="Times New Roman" w:eastAsia="CIDFont" w:hAnsi="Times New Roman" w:cs="Times New Roman"/>
          <w:i/>
          <w:iCs/>
          <w:color w:val="000000"/>
          <w:kern w:val="0"/>
          <w:sz w:val="24"/>
          <w:szCs w:val="24"/>
          <w:lang w:eastAsia="zh-CN" w:bidi="ar"/>
        </w:rPr>
        <w:t>Reprod</w:t>
      </w:r>
      <w:proofErr w:type="spellEnd"/>
      <w:r>
        <w:rPr>
          <w:rFonts w:ascii="Times New Roman" w:eastAsia="CIDFont" w:hAnsi="Times New Roman" w:cs="Times New Roman"/>
          <w:i/>
          <w:iCs/>
          <w:color w:val="000000"/>
          <w:kern w:val="0"/>
          <w:sz w:val="24"/>
          <w:szCs w:val="24"/>
          <w:lang w:eastAsia="zh-CN" w:bidi="ar"/>
        </w:rPr>
        <w:t>. Sci</w:t>
      </w:r>
      <w:r>
        <w:rPr>
          <w:rFonts w:ascii="Times New Roman" w:eastAsia="CIDFont" w:hAnsi="Times New Roman" w:cs="Times New Roman"/>
          <w:color w:val="000000"/>
          <w:kern w:val="0"/>
          <w:sz w:val="24"/>
          <w:szCs w:val="24"/>
          <w:lang w:eastAsia="zh-CN" w:bidi="ar"/>
        </w:rPr>
        <w:t>., 203, 52-60.</w:t>
      </w:r>
    </w:p>
    <w:p w14:paraId="60DC77D5" w14:textId="77777777" w:rsidR="0035258B" w:rsidRDefault="0035258B">
      <w:pPr>
        <w:spacing w:after="0" w:line="276" w:lineRule="auto"/>
        <w:jc w:val="both"/>
        <w:rPr>
          <w:rFonts w:ascii="Times New Roman" w:eastAsia="CIDFont" w:hAnsi="Times New Roman" w:cs="Times New Roman"/>
          <w:color w:val="0563C1"/>
          <w:kern w:val="0"/>
          <w:sz w:val="24"/>
          <w:szCs w:val="24"/>
          <w:lang w:eastAsia="zh-CN" w:bidi="ar"/>
        </w:rPr>
      </w:pPr>
    </w:p>
    <w:p w14:paraId="04EE007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Adamu, H; Luter, L; Lawan, M </w:t>
      </w:r>
      <w:proofErr w:type="spellStart"/>
      <w:r>
        <w:rPr>
          <w:rFonts w:ascii="Times New Roman" w:eastAsia="CIDFont" w:hAnsi="Times New Roman" w:cs="Times New Roman"/>
          <w:color w:val="000000"/>
          <w:kern w:val="0"/>
          <w:sz w:val="24"/>
          <w:szCs w:val="24"/>
          <w:lang w:eastAsia="zh-CN" w:bidi="ar"/>
        </w:rPr>
        <w:t>M</w:t>
      </w:r>
      <w:proofErr w:type="spellEnd"/>
      <w:r>
        <w:rPr>
          <w:rFonts w:ascii="Times New Roman" w:eastAsia="CIDFont" w:hAnsi="Times New Roman" w:cs="Times New Roman"/>
          <w:color w:val="000000"/>
          <w:kern w:val="0"/>
          <w:sz w:val="24"/>
          <w:szCs w:val="24"/>
          <w:lang w:eastAsia="zh-CN" w:bidi="ar"/>
        </w:rPr>
        <w:t>; Umar, B A (2013). Chemical speciation: A strategic</w:t>
      </w:r>
    </w:p>
    <w:p w14:paraId="3995459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pathway for insightful risk assessment and decision making for remediation of toxic metal</w:t>
      </w:r>
    </w:p>
    <w:p w14:paraId="2E9BF36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contamination. </w:t>
      </w:r>
      <w:r>
        <w:rPr>
          <w:rFonts w:ascii="Times New Roman" w:eastAsia="CIDFont" w:hAnsi="Times New Roman" w:cs="Times New Roman"/>
          <w:i/>
          <w:iCs/>
          <w:color w:val="000000"/>
          <w:kern w:val="0"/>
          <w:sz w:val="24"/>
          <w:szCs w:val="24"/>
          <w:lang w:eastAsia="zh-CN" w:bidi="ar"/>
        </w:rPr>
        <w:t>Environment and Pollution,</w:t>
      </w:r>
      <w:r>
        <w:rPr>
          <w:rFonts w:ascii="Times New Roman" w:eastAsia="CIDFont" w:hAnsi="Times New Roman" w:cs="Times New Roman"/>
          <w:color w:val="000000"/>
          <w:kern w:val="0"/>
          <w:sz w:val="24"/>
          <w:szCs w:val="24"/>
          <w:lang w:eastAsia="zh-CN" w:bidi="ar"/>
        </w:rPr>
        <w:t xml:space="preserve"> 2(3), 92-99.</w:t>
      </w:r>
    </w:p>
    <w:p w14:paraId="2FD54A5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4921E5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Agbaje, I.M., Rogers, D.A., McVicar, C.M., McClure, N., Atkinson, A.B., Mallidis, C., et al.</w:t>
      </w:r>
    </w:p>
    <w:p w14:paraId="14A19EB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(2007). Insulin </w:t>
      </w:r>
      <w:proofErr w:type="spellStart"/>
      <w:r>
        <w:rPr>
          <w:rFonts w:ascii="Times New Roman" w:eastAsia="CIDFont" w:hAnsi="Times New Roman" w:cs="Times New Roman"/>
          <w:color w:val="000000"/>
          <w:kern w:val="0"/>
          <w:sz w:val="24"/>
          <w:szCs w:val="24"/>
          <w:lang w:eastAsia="zh-CN" w:bidi="ar"/>
        </w:rPr>
        <w:t>dependant</w:t>
      </w:r>
      <w:proofErr w:type="spellEnd"/>
      <w:r>
        <w:rPr>
          <w:rFonts w:ascii="Times New Roman" w:eastAsia="CIDFont" w:hAnsi="Times New Roman" w:cs="Times New Roman"/>
          <w:color w:val="000000"/>
          <w:kern w:val="0"/>
          <w:sz w:val="24"/>
          <w:szCs w:val="24"/>
          <w:lang w:eastAsia="zh-CN" w:bidi="ar"/>
        </w:rPr>
        <w:t xml:space="preserve"> diabetes mellitus: implications for male reproductive function. </w:t>
      </w:r>
      <w:r>
        <w:rPr>
          <w:rFonts w:ascii="Times New Roman" w:eastAsia="CIDFont" w:hAnsi="Times New Roman" w:cs="Times New Roman"/>
          <w:i/>
          <w:iCs/>
          <w:color w:val="000000"/>
          <w:kern w:val="0"/>
          <w:sz w:val="24"/>
          <w:szCs w:val="24"/>
          <w:lang w:eastAsia="zh-CN" w:bidi="ar"/>
        </w:rPr>
        <w:t>Human</w:t>
      </w:r>
    </w:p>
    <w:p w14:paraId="17524FB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Reproduction</w:t>
      </w:r>
      <w:r>
        <w:rPr>
          <w:rFonts w:ascii="Times New Roman" w:eastAsia="CIDFont" w:hAnsi="Times New Roman" w:cs="Times New Roman"/>
          <w:color w:val="000000"/>
          <w:kern w:val="0"/>
          <w:sz w:val="24"/>
          <w:szCs w:val="24"/>
          <w:lang w:eastAsia="zh-CN" w:bidi="ar"/>
        </w:rPr>
        <w:t>, 22, 1871–1877.</w:t>
      </w:r>
    </w:p>
    <w:p w14:paraId="4BC8B74F"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6E2D226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Ahmad, N., Khan, S., Ehsan, M., Rehman, F.U., &amp; Al-</w:t>
      </w:r>
      <w:proofErr w:type="spellStart"/>
      <w:r>
        <w:rPr>
          <w:rFonts w:ascii="Times New Roman" w:eastAsia="CIDFont" w:hAnsi="Times New Roman" w:cs="Times New Roman"/>
          <w:color w:val="000000"/>
          <w:kern w:val="0"/>
          <w:sz w:val="24"/>
          <w:szCs w:val="24"/>
          <w:lang w:eastAsia="zh-CN" w:bidi="ar"/>
        </w:rPr>
        <w:t>Shuhail</w:t>
      </w:r>
      <w:proofErr w:type="spellEnd"/>
      <w:r>
        <w:rPr>
          <w:rFonts w:ascii="Times New Roman" w:eastAsia="CIDFont" w:hAnsi="Times New Roman" w:cs="Times New Roman"/>
          <w:color w:val="000000"/>
          <w:kern w:val="0"/>
          <w:sz w:val="24"/>
          <w:szCs w:val="24"/>
          <w:lang w:eastAsia="zh-CN" w:bidi="ar"/>
        </w:rPr>
        <w:t>, A. (2022). Correction: Ahmad</w:t>
      </w:r>
    </w:p>
    <w:p w14:paraId="548D6E9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et al. Estimating the Total Volume of Running Water Bodies Using Geographic Information</w:t>
      </w:r>
    </w:p>
    <w:p w14:paraId="50D8279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System (GIS): A Case Study of Peshawar Basin (Pakistan). Sustainability, 14(14), 8750.</w:t>
      </w:r>
    </w:p>
    <w:p w14:paraId="0F72AC90"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3D52BD5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Alshafi, S. M. (2002). Toxic effects of tannic acid and related compound on human plasma</w:t>
      </w:r>
    </w:p>
    <w:p w14:paraId="2A36B92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proteins. </w:t>
      </w:r>
      <w:r>
        <w:rPr>
          <w:rFonts w:ascii="Times New Roman" w:eastAsia="CIDFont" w:hAnsi="Times New Roman" w:cs="Times New Roman"/>
          <w:i/>
          <w:iCs/>
          <w:color w:val="000000"/>
          <w:kern w:val="0"/>
          <w:sz w:val="24"/>
          <w:szCs w:val="24"/>
          <w:lang w:eastAsia="zh-CN" w:bidi="ar"/>
        </w:rPr>
        <w:t>Saudi Medicinal Journal</w:t>
      </w:r>
      <w:r>
        <w:rPr>
          <w:rFonts w:ascii="Times New Roman" w:eastAsia="CIDFont" w:hAnsi="Times New Roman" w:cs="Times New Roman"/>
          <w:color w:val="000000"/>
          <w:kern w:val="0"/>
          <w:sz w:val="24"/>
          <w:szCs w:val="24"/>
          <w:lang w:eastAsia="zh-CN" w:bidi="ar"/>
        </w:rPr>
        <w:t>, 23(2), 221–225.</w:t>
      </w:r>
    </w:p>
    <w:p w14:paraId="106AD5E2"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6D9BED1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Amaral, A., Lourenço, B., Marques, M., &amp; Ramalho-Santos, J. (2013). Mitochondria</w:t>
      </w:r>
    </w:p>
    <w:p w14:paraId="11E412E2"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functionality and sperm quality. </w:t>
      </w:r>
      <w:r>
        <w:rPr>
          <w:rFonts w:ascii="Times New Roman" w:eastAsia="CIDFont" w:hAnsi="Times New Roman" w:cs="Times New Roman"/>
          <w:i/>
          <w:iCs/>
          <w:color w:val="000000"/>
          <w:kern w:val="0"/>
          <w:sz w:val="24"/>
          <w:szCs w:val="24"/>
          <w:lang w:eastAsia="zh-CN" w:bidi="ar"/>
        </w:rPr>
        <w:t>Reproduction</w:t>
      </w:r>
      <w:r>
        <w:rPr>
          <w:rFonts w:ascii="Times New Roman" w:eastAsia="CIDFont" w:hAnsi="Times New Roman" w:cs="Times New Roman"/>
          <w:color w:val="000000"/>
          <w:kern w:val="0"/>
          <w:sz w:val="24"/>
          <w:szCs w:val="24"/>
          <w:lang w:eastAsia="zh-CN" w:bidi="ar"/>
        </w:rPr>
        <w:t xml:space="preserve">, 146, 163–174. </w:t>
      </w:r>
    </w:p>
    <w:p w14:paraId="75B51521"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3EF8998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Amuri, B.M., </w:t>
      </w:r>
      <w:proofErr w:type="spellStart"/>
      <w:r>
        <w:rPr>
          <w:rFonts w:ascii="Times New Roman" w:eastAsia="CIDFont" w:hAnsi="Times New Roman" w:cs="Times New Roman"/>
          <w:color w:val="000000"/>
          <w:kern w:val="0"/>
          <w:sz w:val="24"/>
          <w:szCs w:val="24"/>
          <w:lang w:eastAsia="zh-CN" w:bidi="ar"/>
        </w:rPr>
        <w:t>Maseho</w:t>
      </w:r>
      <w:proofErr w:type="spellEnd"/>
      <w:r>
        <w:rPr>
          <w:rFonts w:ascii="Times New Roman" w:eastAsia="CIDFont" w:hAnsi="Times New Roman" w:cs="Times New Roman"/>
          <w:color w:val="000000"/>
          <w:kern w:val="0"/>
          <w:sz w:val="24"/>
          <w:szCs w:val="24"/>
          <w:lang w:eastAsia="zh-CN" w:bidi="ar"/>
        </w:rPr>
        <w:t xml:space="preserve">, L., Simbi, P., Okusa, P., Duez, &amp; </w:t>
      </w:r>
      <w:proofErr w:type="spellStart"/>
      <w:r>
        <w:rPr>
          <w:rFonts w:ascii="Times New Roman" w:eastAsia="CIDFont" w:hAnsi="Times New Roman" w:cs="Times New Roman"/>
          <w:color w:val="000000"/>
          <w:kern w:val="0"/>
          <w:sz w:val="24"/>
          <w:szCs w:val="24"/>
          <w:lang w:eastAsia="zh-CN" w:bidi="ar"/>
        </w:rPr>
        <w:t>Byanga</w:t>
      </w:r>
      <w:proofErr w:type="spellEnd"/>
      <w:r>
        <w:rPr>
          <w:rFonts w:ascii="Times New Roman" w:eastAsia="CIDFont" w:hAnsi="Times New Roman" w:cs="Times New Roman"/>
          <w:color w:val="000000"/>
          <w:kern w:val="0"/>
          <w:sz w:val="24"/>
          <w:szCs w:val="24"/>
          <w:lang w:eastAsia="zh-CN" w:bidi="ar"/>
        </w:rPr>
        <w:t>, K. (2017). Hypoglycemic</w:t>
      </w:r>
    </w:p>
    <w:p w14:paraId="6227E57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and antihyperglycemic activities of nine medicinal herbs used as antidiabetic in the region of</w:t>
      </w:r>
    </w:p>
    <w:p w14:paraId="2F9B740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Lubumbashi (DR Congo). </w:t>
      </w:r>
      <w:r>
        <w:rPr>
          <w:rFonts w:ascii="Times New Roman" w:eastAsia="CIDFont" w:hAnsi="Times New Roman" w:cs="Times New Roman"/>
          <w:i/>
          <w:iCs/>
          <w:color w:val="000000"/>
          <w:kern w:val="0"/>
          <w:sz w:val="24"/>
          <w:szCs w:val="24"/>
          <w:lang w:eastAsia="zh-CN" w:bidi="ar"/>
        </w:rPr>
        <w:t>Phytotherapy Research</w:t>
      </w:r>
      <w:r>
        <w:rPr>
          <w:rFonts w:ascii="Times New Roman" w:eastAsia="CIDFont" w:hAnsi="Times New Roman" w:cs="Times New Roman"/>
          <w:color w:val="000000"/>
          <w:kern w:val="0"/>
          <w:sz w:val="24"/>
          <w:szCs w:val="24"/>
          <w:lang w:eastAsia="zh-CN" w:bidi="ar"/>
        </w:rPr>
        <w:t>, 31, 1029-1033.</w:t>
      </w:r>
    </w:p>
    <w:p w14:paraId="79C004C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5684B31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Avidor-Reiss, T., Khire, A., &amp; Fishman, E.L. (2015). Atypical centrioles during sexual</w:t>
      </w:r>
    </w:p>
    <w:p w14:paraId="3BD66C6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reproduction. </w:t>
      </w:r>
      <w:r>
        <w:rPr>
          <w:rFonts w:ascii="Times New Roman" w:eastAsia="CIDFont" w:hAnsi="Times New Roman" w:cs="Times New Roman"/>
          <w:i/>
          <w:iCs/>
          <w:color w:val="000000"/>
          <w:kern w:val="0"/>
          <w:sz w:val="24"/>
          <w:szCs w:val="24"/>
          <w:lang w:eastAsia="zh-CN" w:bidi="ar"/>
        </w:rPr>
        <w:t>Frontiers in Cell and Developmental Biology</w:t>
      </w:r>
      <w:r>
        <w:rPr>
          <w:rFonts w:ascii="Times New Roman" w:eastAsia="CIDFont" w:hAnsi="Times New Roman" w:cs="Times New Roman"/>
          <w:color w:val="000000"/>
          <w:kern w:val="0"/>
          <w:sz w:val="24"/>
          <w:szCs w:val="24"/>
          <w:lang w:eastAsia="zh-CN" w:bidi="ar"/>
        </w:rPr>
        <w:t>, 3, 21.</w:t>
      </w:r>
    </w:p>
    <w:p w14:paraId="2C0A0529"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774C9E4"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Bioltif</w:t>
      </w:r>
      <w:proofErr w:type="spellEnd"/>
      <w:r>
        <w:rPr>
          <w:rFonts w:ascii="Times New Roman" w:eastAsia="CIDFont" w:hAnsi="Times New Roman" w:cs="Times New Roman"/>
          <w:color w:val="000000"/>
          <w:kern w:val="0"/>
          <w:sz w:val="24"/>
          <w:szCs w:val="24"/>
          <w:lang w:eastAsia="zh-CN" w:bidi="ar"/>
        </w:rPr>
        <w:t xml:space="preserve">, Y. E., Edward, N. B., &amp; </w:t>
      </w:r>
      <w:proofErr w:type="spellStart"/>
      <w:r>
        <w:rPr>
          <w:rFonts w:ascii="Times New Roman" w:eastAsia="CIDFont" w:hAnsi="Times New Roman" w:cs="Times New Roman"/>
          <w:color w:val="000000"/>
          <w:kern w:val="0"/>
          <w:sz w:val="24"/>
          <w:szCs w:val="24"/>
          <w:lang w:eastAsia="zh-CN" w:bidi="ar"/>
        </w:rPr>
        <w:t>Tyeng</w:t>
      </w:r>
      <w:proofErr w:type="spellEnd"/>
      <w:r>
        <w:rPr>
          <w:rFonts w:ascii="Times New Roman" w:eastAsia="CIDFont" w:hAnsi="Times New Roman" w:cs="Times New Roman"/>
          <w:color w:val="000000"/>
          <w:kern w:val="0"/>
          <w:sz w:val="24"/>
          <w:szCs w:val="24"/>
          <w:lang w:eastAsia="zh-CN" w:bidi="ar"/>
        </w:rPr>
        <w:t xml:space="preserve">, T. D. (2020). A chemical overview of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w:t>
      </w:r>
    </w:p>
    <w:p w14:paraId="7671FB0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Biology, Medicine, &amp; Natural Product Chemistry</w:t>
      </w:r>
      <w:r>
        <w:rPr>
          <w:rFonts w:ascii="Times New Roman" w:eastAsia="CIDFont" w:hAnsi="Times New Roman" w:cs="Times New Roman"/>
          <w:color w:val="000000"/>
          <w:kern w:val="0"/>
          <w:sz w:val="24"/>
          <w:szCs w:val="24"/>
          <w:lang w:eastAsia="zh-CN" w:bidi="ar"/>
        </w:rPr>
        <w:t>, 9(2), 91–95.</w:t>
      </w:r>
    </w:p>
    <w:p w14:paraId="0DB93004"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473BA8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Bukar, B.B., Naomi, E.T.S., &amp; Omolola, D.G.O. (2020). Ameliorative and fecundity</w:t>
      </w:r>
    </w:p>
    <w:p w14:paraId="36C7CC4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potentials of aqueous extract of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(T. </w:t>
      </w:r>
      <w:proofErr w:type="spellStart"/>
      <w:r>
        <w:rPr>
          <w:rFonts w:ascii="Times New Roman" w:eastAsia="CIDFont" w:hAnsi="Times New Roman" w:cs="Times New Roman"/>
          <w:color w:val="000000"/>
          <w:kern w:val="0"/>
          <w:sz w:val="24"/>
          <w:szCs w:val="24"/>
          <w:lang w:eastAsia="zh-CN" w:bidi="ar"/>
        </w:rPr>
        <w:t>Hoffm</w:t>
      </w:r>
      <w:proofErr w:type="spellEnd"/>
      <w:r>
        <w:rPr>
          <w:rFonts w:ascii="Times New Roman" w:eastAsia="CIDFont" w:hAnsi="Times New Roman" w:cs="Times New Roman"/>
          <w:color w:val="000000"/>
          <w:kern w:val="0"/>
          <w:sz w:val="24"/>
          <w:szCs w:val="24"/>
          <w:lang w:eastAsia="zh-CN" w:bidi="ar"/>
        </w:rPr>
        <w:t>) fruit pulp in formalin-induced</w:t>
      </w:r>
    </w:p>
    <w:p w14:paraId="29F45D3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toxicity on male albino mice. </w:t>
      </w:r>
      <w:r>
        <w:rPr>
          <w:rFonts w:ascii="Times New Roman" w:eastAsia="CIDFont" w:hAnsi="Times New Roman" w:cs="Times New Roman"/>
          <w:i/>
          <w:iCs/>
          <w:color w:val="000000"/>
          <w:kern w:val="0"/>
          <w:sz w:val="24"/>
          <w:szCs w:val="24"/>
          <w:lang w:eastAsia="zh-CN" w:bidi="ar"/>
        </w:rPr>
        <w:t>Journal of Pharmacy and Bioresource</w:t>
      </w:r>
      <w:r>
        <w:rPr>
          <w:rFonts w:ascii="Times New Roman" w:eastAsia="CIDFont" w:hAnsi="Times New Roman" w:cs="Times New Roman"/>
          <w:color w:val="000000"/>
          <w:kern w:val="0"/>
          <w:sz w:val="24"/>
          <w:szCs w:val="24"/>
          <w:lang w:eastAsia="zh-CN" w:bidi="ar"/>
        </w:rPr>
        <w:t>, 17(2), 164-173.</w:t>
      </w:r>
    </w:p>
    <w:p w14:paraId="1EA9D5C3"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747A633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Chitra, B., Ramaswamy, R. S., &amp; Suba, V. (2015). Toxicity evaluation of </w:t>
      </w:r>
      <w:proofErr w:type="spellStart"/>
      <w:r>
        <w:rPr>
          <w:rFonts w:ascii="Times New Roman" w:eastAsia="CIDFont" w:hAnsi="Times New Roman" w:cs="Times New Roman"/>
          <w:color w:val="000000"/>
          <w:kern w:val="0"/>
          <w:sz w:val="24"/>
          <w:szCs w:val="24"/>
          <w:lang w:eastAsia="zh-CN" w:bidi="ar"/>
        </w:rPr>
        <w:t>Pũrṇa</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Cantirotaya</w:t>
      </w:r>
      <w:proofErr w:type="spellEnd"/>
    </w:p>
    <w:p w14:paraId="163C4856"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Centũram</w:t>
      </w:r>
      <w:proofErr w:type="spellEnd"/>
      <w:r>
        <w:rPr>
          <w:rFonts w:ascii="Times New Roman" w:eastAsia="CIDFont" w:hAnsi="Times New Roman" w:cs="Times New Roman"/>
          <w:color w:val="000000"/>
          <w:kern w:val="0"/>
          <w:sz w:val="24"/>
          <w:szCs w:val="24"/>
          <w:lang w:eastAsia="zh-CN" w:bidi="ar"/>
        </w:rPr>
        <w:t xml:space="preserve">, a Siddha medicine in Wistar rats. </w:t>
      </w:r>
      <w:r>
        <w:rPr>
          <w:rFonts w:ascii="Times New Roman" w:eastAsia="CIDFont" w:hAnsi="Times New Roman" w:cs="Times New Roman"/>
          <w:i/>
          <w:iCs/>
          <w:color w:val="000000"/>
          <w:kern w:val="0"/>
          <w:sz w:val="24"/>
          <w:szCs w:val="24"/>
          <w:lang w:eastAsia="zh-CN" w:bidi="ar"/>
        </w:rPr>
        <w:t>International Scholarly Research Notices</w:t>
      </w:r>
      <w:r>
        <w:rPr>
          <w:rFonts w:ascii="Times New Roman" w:eastAsia="CIDFont" w:hAnsi="Times New Roman" w:cs="Times New Roman"/>
          <w:color w:val="000000"/>
          <w:kern w:val="0"/>
          <w:sz w:val="24"/>
          <w:szCs w:val="24"/>
          <w:lang w:eastAsia="zh-CN" w:bidi="ar"/>
        </w:rPr>
        <w:t>, 2015, 1–</w:t>
      </w:r>
    </w:p>
    <w:p w14:paraId="21AFD6B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10. </w:t>
      </w:r>
    </w:p>
    <w:p w14:paraId="71CC4121"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43EB805B"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Chukwudoruo</w:t>
      </w:r>
      <w:proofErr w:type="spellEnd"/>
      <w:r>
        <w:rPr>
          <w:rFonts w:ascii="Times New Roman" w:eastAsia="CIDFont" w:hAnsi="Times New Roman" w:cs="Times New Roman"/>
          <w:color w:val="000000"/>
          <w:kern w:val="0"/>
          <w:sz w:val="24"/>
          <w:szCs w:val="24"/>
          <w:lang w:eastAsia="zh-CN" w:bidi="ar"/>
        </w:rPr>
        <w:t>, C. S., Osuji, K. I., Nnenna, C., Igwe, K. O., Callistus, I. I., Favour, N. U., &amp;</w:t>
      </w:r>
    </w:p>
    <w:p w14:paraId="3CA7F62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Blessing, A. (2020). Serum total protein concentration and liver enzyme activities in albino rats</w:t>
      </w:r>
    </w:p>
    <w:p w14:paraId="129B20D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model administered with ethanolic leaf extract of Ficus capensis. </w:t>
      </w:r>
      <w:r>
        <w:rPr>
          <w:rFonts w:ascii="Times New Roman" w:eastAsia="CIDFont" w:hAnsi="Times New Roman" w:cs="Times New Roman"/>
          <w:i/>
          <w:iCs/>
          <w:color w:val="000000"/>
          <w:kern w:val="0"/>
          <w:sz w:val="24"/>
          <w:szCs w:val="24"/>
          <w:lang w:eastAsia="zh-CN" w:bidi="ar"/>
        </w:rPr>
        <w:t>African Journal of</w:t>
      </w:r>
    </w:p>
    <w:p w14:paraId="6448B14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Biotechnology</w:t>
      </w:r>
      <w:r>
        <w:rPr>
          <w:rFonts w:ascii="Times New Roman" w:eastAsia="CIDFont" w:hAnsi="Times New Roman" w:cs="Times New Roman"/>
          <w:color w:val="000000"/>
          <w:kern w:val="0"/>
          <w:sz w:val="24"/>
          <w:szCs w:val="24"/>
          <w:lang w:eastAsia="zh-CN" w:bidi="ar"/>
        </w:rPr>
        <w:t>, 20(4), 164–168.</w:t>
      </w:r>
    </w:p>
    <w:p w14:paraId="53C6A9D8"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76E994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Chung, K. T., Wong, T. Y., Wei, C. I., Huang, Y. W., &amp; Lin, Y. (1998). Tannins and human</w:t>
      </w:r>
    </w:p>
    <w:p w14:paraId="38FA785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health: a review. </w:t>
      </w:r>
      <w:r>
        <w:rPr>
          <w:rFonts w:ascii="Times New Roman" w:eastAsia="CIDFont" w:hAnsi="Times New Roman" w:cs="Times New Roman"/>
          <w:i/>
          <w:iCs/>
          <w:color w:val="000000"/>
          <w:kern w:val="0"/>
          <w:sz w:val="24"/>
          <w:szCs w:val="24"/>
          <w:lang w:eastAsia="zh-CN" w:bidi="ar"/>
        </w:rPr>
        <w:t>Critical Reviews in Food Science and Nutrition</w:t>
      </w:r>
      <w:r>
        <w:rPr>
          <w:rFonts w:ascii="Times New Roman" w:eastAsia="CIDFont" w:hAnsi="Times New Roman" w:cs="Times New Roman"/>
          <w:color w:val="000000"/>
          <w:kern w:val="0"/>
          <w:sz w:val="24"/>
          <w:szCs w:val="24"/>
          <w:lang w:eastAsia="zh-CN" w:bidi="ar"/>
        </w:rPr>
        <w:t>, 38(6), 421–464</w:t>
      </w:r>
    </w:p>
    <w:p w14:paraId="7BE80CCD"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10401B3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Codner, E., &amp; Escobar-Morreale, H. F. (2007). Clinical review: Hyperandrogenism and</w:t>
      </w:r>
    </w:p>
    <w:p w14:paraId="0660176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polycystic ovary syndrome in women with type 1 diabetes mellitus. </w:t>
      </w:r>
      <w:r>
        <w:rPr>
          <w:rFonts w:ascii="Times New Roman" w:eastAsia="CIDFont" w:hAnsi="Times New Roman" w:cs="Times New Roman"/>
          <w:i/>
          <w:iCs/>
          <w:color w:val="000000"/>
          <w:kern w:val="0"/>
          <w:sz w:val="24"/>
          <w:szCs w:val="24"/>
          <w:lang w:eastAsia="zh-CN" w:bidi="ar"/>
        </w:rPr>
        <w:t>The Journal of clinical</w:t>
      </w:r>
    </w:p>
    <w:p w14:paraId="2F6F3DF0"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i/>
          <w:iCs/>
          <w:color w:val="000000"/>
          <w:kern w:val="0"/>
          <w:sz w:val="24"/>
          <w:szCs w:val="24"/>
          <w:lang w:eastAsia="zh-CN" w:bidi="ar"/>
        </w:rPr>
        <w:t>endocrinology and metabolism</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92</w:t>
      </w:r>
      <w:r>
        <w:rPr>
          <w:rFonts w:ascii="Times New Roman" w:eastAsia="CIDFont" w:hAnsi="Times New Roman" w:cs="Times New Roman"/>
          <w:color w:val="000000"/>
          <w:kern w:val="0"/>
          <w:sz w:val="24"/>
          <w:szCs w:val="24"/>
          <w:lang w:eastAsia="zh-CN" w:bidi="ar"/>
        </w:rPr>
        <w:t xml:space="preserve">(4), 1209–1216. </w:t>
      </w:r>
    </w:p>
    <w:p w14:paraId="59A7E066"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18589C7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Codner, E., Merino, P. M., &amp; Tena-Sempere, M. (2012). Female reproduction and type 1</w:t>
      </w:r>
    </w:p>
    <w:p w14:paraId="1A7690C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from mechanisms to clinical findings. </w:t>
      </w:r>
      <w:r>
        <w:rPr>
          <w:rFonts w:ascii="Times New Roman" w:eastAsia="CIDFont" w:hAnsi="Times New Roman" w:cs="Times New Roman"/>
          <w:i/>
          <w:iCs/>
          <w:color w:val="000000"/>
          <w:kern w:val="0"/>
          <w:sz w:val="24"/>
          <w:szCs w:val="24"/>
          <w:lang w:eastAsia="zh-CN" w:bidi="ar"/>
        </w:rPr>
        <w:t>Human reproduction update</w:t>
      </w:r>
      <w:r>
        <w:rPr>
          <w:rFonts w:ascii="Times New Roman" w:eastAsia="CIDFont" w:hAnsi="Times New Roman" w:cs="Times New Roman"/>
          <w:color w:val="000000"/>
          <w:kern w:val="0"/>
          <w:sz w:val="24"/>
          <w:szCs w:val="24"/>
          <w:lang w:eastAsia="zh-CN" w:bidi="ar"/>
        </w:rPr>
        <w:t>, 18(5), 568-585.</w:t>
      </w:r>
    </w:p>
    <w:p w14:paraId="519C7064"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79908737"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Connelly, M.P.E., Fabiano, I.H., Patel, S.M., Kinyanjui, E.K., </w:t>
      </w:r>
      <w:proofErr w:type="spellStart"/>
      <w:r>
        <w:rPr>
          <w:rFonts w:ascii="Times New Roman" w:eastAsia="CIDFont" w:hAnsi="Times New Roman" w:cs="Times New Roman"/>
          <w:color w:val="000000"/>
          <w:kern w:val="0"/>
          <w:sz w:val="24"/>
          <w:szCs w:val="24"/>
          <w:lang w:eastAsia="zh-CN" w:bidi="ar"/>
        </w:rPr>
        <w:t>Mberu</w:t>
      </w:r>
      <w:proofErr w:type="spellEnd"/>
      <w:r>
        <w:rPr>
          <w:rFonts w:ascii="Times New Roman" w:eastAsia="CIDFont" w:hAnsi="Times New Roman" w:cs="Times New Roman"/>
          <w:color w:val="000000"/>
          <w:kern w:val="0"/>
          <w:sz w:val="24"/>
          <w:szCs w:val="24"/>
          <w:lang w:eastAsia="zh-CN" w:bidi="ar"/>
        </w:rPr>
        <w:t>, &amp; Watkins, W.M.</w:t>
      </w:r>
    </w:p>
    <w:p w14:paraId="38A02F7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(1996). Antimalarial activity in crude extracts of Malawian medicinal plants. </w:t>
      </w:r>
      <w:r>
        <w:rPr>
          <w:rFonts w:ascii="Times New Roman" w:eastAsia="CIDFont" w:hAnsi="Times New Roman" w:cs="Times New Roman"/>
          <w:i/>
          <w:iCs/>
          <w:color w:val="000000"/>
          <w:kern w:val="0"/>
          <w:sz w:val="24"/>
          <w:szCs w:val="24"/>
          <w:lang w:eastAsia="zh-CN" w:bidi="ar"/>
        </w:rPr>
        <w:t>Annals of Tropical</w:t>
      </w:r>
    </w:p>
    <w:p w14:paraId="744A6E1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Medicine and Parasitology</w:t>
      </w:r>
      <w:r>
        <w:rPr>
          <w:rFonts w:ascii="Times New Roman" w:eastAsia="CIDFont" w:hAnsi="Times New Roman" w:cs="Times New Roman"/>
          <w:color w:val="000000"/>
          <w:kern w:val="0"/>
          <w:sz w:val="24"/>
          <w:szCs w:val="24"/>
          <w:lang w:eastAsia="zh-CN" w:bidi="ar"/>
        </w:rPr>
        <w:t>, 90, 597-602.</w:t>
      </w:r>
    </w:p>
    <w:p w14:paraId="666ED547"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4F8EC1E"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Dandona</w:t>
      </w:r>
      <w:proofErr w:type="spellEnd"/>
      <w:r>
        <w:rPr>
          <w:rFonts w:ascii="Times New Roman" w:eastAsia="CIDFont" w:hAnsi="Times New Roman" w:cs="Times New Roman"/>
          <w:color w:val="000000"/>
          <w:kern w:val="0"/>
          <w:sz w:val="24"/>
          <w:szCs w:val="24"/>
          <w:lang w:eastAsia="zh-CN" w:bidi="ar"/>
        </w:rPr>
        <w:t>, P., &amp; Dhindsa, S. (2011). Update: Hypogonadotropic hypogonadism in type 2</w:t>
      </w:r>
    </w:p>
    <w:p w14:paraId="1C87273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and obesity. </w:t>
      </w:r>
      <w:r>
        <w:rPr>
          <w:rFonts w:ascii="Times New Roman" w:eastAsia="CIDFont" w:hAnsi="Times New Roman" w:cs="Times New Roman"/>
          <w:i/>
          <w:iCs/>
          <w:color w:val="000000"/>
          <w:kern w:val="0"/>
          <w:sz w:val="24"/>
          <w:szCs w:val="24"/>
          <w:lang w:eastAsia="zh-CN" w:bidi="ar"/>
        </w:rPr>
        <w:t>Journal of Clinical Endocrinology and Metabolism</w:t>
      </w:r>
      <w:r>
        <w:rPr>
          <w:rFonts w:ascii="Times New Roman" w:eastAsia="CIDFont" w:hAnsi="Times New Roman" w:cs="Times New Roman"/>
          <w:color w:val="000000"/>
          <w:kern w:val="0"/>
          <w:sz w:val="24"/>
          <w:szCs w:val="24"/>
          <w:lang w:eastAsia="zh-CN" w:bidi="ar"/>
        </w:rPr>
        <w:t>, 96, 2643–2651.</w:t>
      </w:r>
    </w:p>
    <w:p w14:paraId="07F96864"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626894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Dawud, F.A., </w:t>
      </w:r>
      <w:proofErr w:type="spellStart"/>
      <w:r>
        <w:rPr>
          <w:rFonts w:ascii="Times New Roman" w:eastAsia="CIDFont" w:hAnsi="Times New Roman" w:cs="Times New Roman"/>
          <w:color w:val="000000"/>
          <w:kern w:val="0"/>
          <w:sz w:val="24"/>
          <w:szCs w:val="24"/>
          <w:lang w:eastAsia="zh-CN" w:bidi="ar"/>
        </w:rPr>
        <w:t>Farrau</w:t>
      </w:r>
      <w:proofErr w:type="spellEnd"/>
      <w:r>
        <w:rPr>
          <w:rFonts w:ascii="Times New Roman" w:eastAsia="CIDFont" w:hAnsi="Times New Roman" w:cs="Times New Roman"/>
          <w:color w:val="000000"/>
          <w:kern w:val="0"/>
          <w:sz w:val="24"/>
          <w:szCs w:val="24"/>
          <w:lang w:eastAsia="zh-CN" w:bidi="ar"/>
        </w:rPr>
        <w:t xml:space="preserve">, U., </w:t>
      </w:r>
      <w:proofErr w:type="spellStart"/>
      <w:r>
        <w:rPr>
          <w:rFonts w:ascii="Times New Roman" w:eastAsia="CIDFont" w:hAnsi="Times New Roman" w:cs="Times New Roman"/>
          <w:color w:val="000000"/>
          <w:kern w:val="0"/>
          <w:sz w:val="24"/>
          <w:szCs w:val="24"/>
          <w:lang w:eastAsia="zh-CN" w:bidi="ar"/>
        </w:rPr>
        <w:t>Abdulakdir</w:t>
      </w:r>
      <w:proofErr w:type="spellEnd"/>
      <w:r>
        <w:rPr>
          <w:rFonts w:ascii="Times New Roman" w:eastAsia="CIDFont" w:hAnsi="Times New Roman" w:cs="Times New Roman"/>
          <w:color w:val="000000"/>
          <w:kern w:val="0"/>
          <w:sz w:val="24"/>
          <w:szCs w:val="24"/>
          <w:lang w:eastAsia="zh-CN" w:bidi="ar"/>
        </w:rPr>
        <w:t xml:space="preserve">, T.S., Augustine, B.D., Jaafar, A., </w:t>
      </w:r>
      <w:proofErr w:type="spellStart"/>
      <w:r>
        <w:rPr>
          <w:rFonts w:ascii="Times New Roman" w:eastAsia="CIDFont" w:hAnsi="Times New Roman" w:cs="Times New Roman"/>
          <w:color w:val="000000"/>
          <w:kern w:val="0"/>
          <w:sz w:val="24"/>
          <w:szCs w:val="24"/>
          <w:lang w:eastAsia="zh-CN" w:bidi="ar"/>
        </w:rPr>
        <w:t>Itodo</w:t>
      </w:r>
      <w:proofErr w:type="spellEnd"/>
      <w:r>
        <w:rPr>
          <w:rFonts w:ascii="Times New Roman" w:eastAsia="CIDFont" w:hAnsi="Times New Roman" w:cs="Times New Roman"/>
          <w:color w:val="000000"/>
          <w:kern w:val="0"/>
          <w:sz w:val="24"/>
          <w:szCs w:val="24"/>
          <w:lang w:eastAsia="zh-CN" w:bidi="ar"/>
        </w:rPr>
        <w:t>, O.D., Sani,</w:t>
      </w:r>
    </w:p>
    <w:p w14:paraId="0F6CAD6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R.M., Haliru, A., &amp; Mudassir, M.S. (2022). Acute and Subacute Oral Toxicity of Methanol Fruit</w:t>
      </w:r>
    </w:p>
    <w:p w14:paraId="5744142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Pulp Extract of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(Tula Kola nut) in Adult Male Wistar Rats. </w:t>
      </w:r>
      <w:r>
        <w:rPr>
          <w:rFonts w:ascii="Times New Roman" w:eastAsia="CIDFont" w:hAnsi="Times New Roman" w:cs="Times New Roman"/>
          <w:i/>
          <w:iCs/>
          <w:color w:val="000000"/>
          <w:kern w:val="0"/>
          <w:sz w:val="24"/>
          <w:szCs w:val="24"/>
          <w:lang w:eastAsia="zh-CN" w:bidi="ar"/>
        </w:rPr>
        <w:t>Nigerian Journal</w:t>
      </w:r>
    </w:p>
    <w:p w14:paraId="69C581D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of Biochemistry and Molecular Biology</w:t>
      </w:r>
      <w:r>
        <w:rPr>
          <w:rFonts w:ascii="Times New Roman" w:eastAsia="CIDFont" w:hAnsi="Times New Roman" w:cs="Times New Roman"/>
          <w:color w:val="000000"/>
          <w:kern w:val="0"/>
          <w:sz w:val="24"/>
          <w:szCs w:val="24"/>
          <w:lang w:eastAsia="zh-CN" w:bidi="ar"/>
        </w:rPr>
        <w:t>, 38(1), 20-32. 119.</w:t>
      </w:r>
    </w:p>
    <w:p w14:paraId="591404D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700B0BE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Ebmeyer, J., </w:t>
      </w:r>
      <w:proofErr w:type="spellStart"/>
      <w:r>
        <w:rPr>
          <w:rFonts w:ascii="Times New Roman" w:eastAsia="CIDFont" w:hAnsi="Times New Roman" w:cs="Times New Roman"/>
          <w:color w:val="000000"/>
          <w:kern w:val="0"/>
          <w:sz w:val="24"/>
          <w:szCs w:val="24"/>
          <w:lang w:eastAsia="zh-CN" w:bidi="ar"/>
        </w:rPr>
        <w:t>Rasinger</w:t>
      </w:r>
      <w:proofErr w:type="spellEnd"/>
      <w:r>
        <w:rPr>
          <w:rFonts w:ascii="Times New Roman" w:eastAsia="CIDFont" w:hAnsi="Times New Roman" w:cs="Times New Roman"/>
          <w:color w:val="000000"/>
          <w:kern w:val="0"/>
          <w:sz w:val="24"/>
          <w:szCs w:val="24"/>
          <w:lang w:eastAsia="zh-CN" w:bidi="ar"/>
        </w:rPr>
        <w:t xml:space="preserve">, J.D., Hengstler, J.G., </w:t>
      </w:r>
      <w:proofErr w:type="spellStart"/>
      <w:r>
        <w:rPr>
          <w:rFonts w:ascii="Times New Roman" w:eastAsia="CIDFont" w:hAnsi="Times New Roman" w:cs="Times New Roman"/>
          <w:color w:val="000000"/>
          <w:kern w:val="0"/>
          <w:sz w:val="24"/>
          <w:szCs w:val="24"/>
          <w:lang w:eastAsia="zh-CN" w:bidi="ar"/>
        </w:rPr>
        <w:t>Schaudien</w:t>
      </w:r>
      <w:proofErr w:type="spellEnd"/>
      <w:r>
        <w:rPr>
          <w:rFonts w:ascii="Times New Roman" w:eastAsia="CIDFont" w:hAnsi="Times New Roman" w:cs="Times New Roman"/>
          <w:color w:val="000000"/>
          <w:kern w:val="0"/>
          <w:sz w:val="24"/>
          <w:szCs w:val="24"/>
          <w:lang w:eastAsia="zh-CN" w:bidi="ar"/>
        </w:rPr>
        <w:t xml:space="preserve">, D., </w:t>
      </w:r>
      <w:proofErr w:type="spellStart"/>
      <w:r>
        <w:rPr>
          <w:rFonts w:ascii="Times New Roman" w:eastAsia="CIDFont" w:hAnsi="Times New Roman" w:cs="Times New Roman"/>
          <w:color w:val="000000"/>
          <w:kern w:val="0"/>
          <w:sz w:val="24"/>
          <w:szCs w:val="24"/>
          <w:lang w:eastAsia="zh-CN" w:bidi="ar"/>
        </w:rPr>
        <w:t>Creutzenberg</w:t>
      </w:r>
      <w:proofErr w:type="spellEnd"/>
      <w:r>
        <w:rPr>
          <w:rFonts w:ascii="Times New Roman" w:eastAsia="CIDFont" w:hAnsi="Times New Roman" w:cs="Times New Roman"/>
          <w:color w:val="000000"/>
          <w:kern w:val="0"/>
          <w:sz w:val="24"/>
          <w:szCs w:val="24"/>
          <w:lang w:eastAsia="zh-CN" w:bidi="ar"/>
        </w:rPr>
        <w:t>, O., Lampen, A.,</w:t>
      </w:r>
    </w:p>
    <w:p w14:paraId="72D4FF59"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Braeuning</w:t>
      </w:r>
      <w:proofErr w:type="spellEnd"/>
      <w:r>
        <w:rPr>
          <w:rFonts w:ascii="Times New Roman" w:eastAsia="CIDFont" w:hAnsi="Times New Roman" w:cs="Times New Roman"/>
          <w:color w:val="000000"/>
          <w:kern w:val="0"/>
          <w:sz w:val="24"/>
          <w:szCs w:val="24"/>
          <w:lang w:eastAsia="zh-CN" w:bidi="ar"/>
        </w:rPr>
        <w:t>, A., &amp; Hessel-Pras, S. (2020). Hepatotoxic pyrrolizidine alkaloids induce DNA</w:t>
      </w:r>
    </w:p>
    <w:p w14:paraId="7054F68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damage response in rat liver in a 28-day feeding study. </w:t>
      </w:r>
      <w:r>
        <w:rPr>
          <w:rFonts w:ascii="Times New Roman" w:eastAsia="CIDFont" w:hAnsi="Times New Roman" w:cs="Times New Roman"/>
          <w:i/>
          <w:iCs/>
          <w:color w:val="000000"/>
          <w:kern w:val="0"/>
          <w:sz w:val="24"/>
          <w:szCs w:val="24"/>
          <w:lang w:eastAsia="zh-CN" w:bidi="ar"/>
        </w:rPr>
        <w:t>Archives of Toxicology</w:t>
      </w:r>
      <w:r>
        <w:rPr>
          <w:rFonts w:ascii="Times New Roman" w:eastAsia="CIDFont" w:hAnsi="Times New Roman" w:cs="Times New Roman"/>
          <w:color w:val="000000"/>
          <w:kern w:val="0"/>
          <w:sz w:val="24"/>
          <w:szCs w:val="24"/>
          <w:lang w:eastAsia="zh-CN" w:bidi="ar"/>
        </w:rPr>
        <w:t>, 94(5), 1739-</w:t>
      </w:r>
    </w:p>
    <w:p w14:paraId="0682D3B1"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1751. </w:t>
      </w:r>
    </w:p>
    <w:p w14:paraId="63FFF2C2"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6D10E4E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Edward, Y.B., Edward, N.B., &amp; </w:t>
      </w:r>
      <w:proofErr w:type="spellStart"/>
      <w:r>
        <w:rPr>
          <w:rFonts w:ascii="Times New Roman" w:eastAsia="CIDFont" w:hAnsi="Times New Roman" w:cs="Times New Roman"/>
          <w:color w:val="000000"/>
          <w:kern w:val="0"/>
          <w:sz w:val="24"/>
          <w:szCs w:val="24"/>
          <w:lang w:eastAsia="zh-CN" w:bidi="ar"/>
        </w:rPr>
        <w:t>Tyeng</w:t>
      </w:r>
      <w:proofErr w:type="spellEnd"/>
      <w:r>
        <w:rPr>
          <w:rFonts w:ascii="Times New Roman" w:eastAsia="CIDFont" w:hAnsi="Times New Roman" w:cs="Times New Roman"/>
          <w:color w:val="000000"/>
          <w:kern w:val="0"/>
          <w:sz w:val="24"/>
          <w:szCs w:val="24"/>
          <w:lang w:eastAsia="zh-CN" w:bidi="ar"/>
        </w:rPr>
        <w:t>, T.D. (2021). A chemical overview of Azanza</w:t>
      </w:r>
    </w:p>
    <w:p w14:paraId="3C2B39E1"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Biology and Medicine in Natural Product Chemistry</w:t>
      </w:r>
      <w:r>
        <w:rPr>
          <w:rFonts w:ascii="Times New Roman" w:eastAsia="CIDFont" w:hAnsi="Times New Roman" w:cs="Times New Roman"/>
          <w:color w:val="000000"/>
          <w:kern w:val="0"/>
          <w:sz w:val="24"/>
          <w:szCs w:val="24"/>
          <w:lang w:eastAsia="zh-CN" w:bidi="ar"/>
        </w:rPr>
        <w:t>, 9, 91-95.</w:t>
      </w:r>
    </w:p>
    <w:p w14:paraId="61584839"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2D7AA9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Eisenberg, M.L., Sundaram, R., </w:t>
      </w:r>
      <w:proofErr w:type="spellStart"/>
      <w:r>
        <w:rPr>
          <w:rFonts w:ascii="Times New Roman" w:eastAsia="CIDFont" w:hAnsi="Times New Roman" w:cs="Times New Roman"/>
          <w:color w:val="000000"/>
          <w:kern w:val="0"/>
          <w:sz w:val="24"/>
          <w:szCs w:val="24"/>
          <w:lang w:eastAsia="zh-CN" w:bidi="ar"/>
        </w:rPr>
        <w:t>Maisog</w:t>
      </w:r>
      <w:proofErr w:type="spellEnd"/>
      <w:r>
        <w:rPr>
          <w:rFonts w:ascii="Times New Roman" w:eastAsia="CIDFont" w:hAnsi="Times New Roman" w:cs="Times New Roman"/>
          <w:color w:val="000000"/>
          <w:kern w:val="0"/>
          <w:sz w:val="24"/>
          <w:szCs w:val="24"/>
          <w:lang w:eastAsia="zh-CN" w:bidi="ar"/>
        </w:rPr>
        <w:t>, J., &amp; Buck Louis, G.M. (2016). Diabetes, medical</w:t>
      </w:r>
    </w:p>
    <w:p w14:paraId="76B854A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comorbidities and couple fecundity. </w:t>
      </w:r>
      <w:r>
        <w:rPr>
          <w:rFonts w:ascii="Times New Roman" w:eastAsia="CIDFont" w:hAnsi="Times New Roman" w:cs="Times New Roman"/>
          <w:i/>
          <w:iCs/>
          <w:color w:val="000000"/>
          <w:kern w:val="0"/>
          <w:sz w:val="24"/>
          <w:szCs w:val="24"/>
          <w:lang w:eastAsia="zh-CN" w:bidi="ar"/>
        </w:rPr>
        <w:t>Human Reproduction</w:t>
      </w:r>
      <w:r>
        <w:rPr>
          <w:rFonts w:ascii="Times New Roman" w:eastAsia="CIDFont" w:hAnsi="Times New Roman" w:cs="Times New Roman"/>
          <w:color w:val="000000"/>
          <w:kern w:val="0"/>
          <w:sz w:val="24"/>
          <w:szCs w:val="24"/>
          <w:lang w:eastAsia="zh-CN" w:bidi="ar"/>
        </w:rPr>
        <w:t>, 31(10), 2369–2376.</w:t>
      </w:r>
    </w:p>
    <w:p w14:paraId="189520F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https://doi.org/10.1093/humrep/dew200.</w:t>
      </w:r>
    </w:p>
    <w:p w14:paraId="2C1DFBCC"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15517BB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Giannini, E. G., Testa, R., &amp; Savarino, V. (2005). Liver enzyme alteration: a guide for</w:t>
      </w:r>
    </w:p>
    <w:p w14:paraId="720383E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clinicians. </w:t>
      </w:r>
      <w:r>
        <w:rPr>
          <w:rFonts w:ascii="Times New Roman" w:eastAsia="CIDFont" w:hAnsi="Times New Roman" w:cs="Times New Roman"/>
          <w:i/>
          <w:iCs/>
          <w:color w:val="000000"/>
          <w:kern w:val="0"/>
          <w:sz w:val="24"/>
          <w:szCs w:val="24"/>
          <w:lang w:eastAsia="zh-CN" w:bidi="ar"/>
        </w:rPr>
        <w:t>Canadian Medical Association Journal</w:t>
      </w:r>
      <w:r>
        <w:rPr>
          <w:rFonts w:ascii="Times New Roman" w:eastAsia="CIDFont" w:hAnsi="Times New Roman" w:cs="Times New Roman"/>
          <w:color w:val="000000"/>
          <w:kern w:val="0"/>
          <w:sz w:val="24"/>
          <w:szCs w:val="24"/>
          <w:lang w:eastAsia="zh-CN" w:bidi="ar"/>
        </w:rPr>
        <w:t>, 172(3), 367–379.</w:t>
      </w:r>
    </w:p>
    <w:p w14:paraId="0BE72044"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3CCD75C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Hodgson, E. (2004). A textbook of modern toxicology (3rd ed.). John Wiley and Sons, Inc.</w:t>
      </w:r>
    </w:p>
    <w:p w14:paraId="312CC337"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D49DFF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Ifeoma, O., &amp; Oluwakanyinsola, S. (2013). Screening of herbal medicines for potential</w:t>
      </w:r>
    </w:p>
    <w:p w14:paraId="3622999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toxicities. In M.C. </w:t>
      </w:r>
      <w:proofErr w:type="spellStart"/>
      <w:r>
        <w:rPr>
          <w:rFonts w:ascii="Times New Roman" w:eastAsia="CIDFont" w:hAnsi="Times New Roman" w:cs="Times New Roman"/>
          <w:color w:val="000000"/>
          <w:kern w:val="0"/>
          <w:sz w:val="24"/>
          <w:szCs w:val="24"/>
          <w:lang w:eastAsia="zh-CN" w:bidi="ar"/>
        </w:rPr>
        <w:t>Inhorn</w:t>
      </w:r>
      <w:proofErr w:type="spellEnd"/>
      <w:r>
        <w:rPr>
          <w:rFonts w:ascii="Times New Roman" w:eastAsia="CIDFont" w:hAnsi="Times New Roman" w:cs="Times New Roman"/>
          <w:color w:val="000000"/>
          <w:kern w:val="0"/>
          <w:sz w:val="24"/>
          <w:szCs w:val="24"/>
          <w:lang w:eastAsia="zh-CN" w:bidi="ar"/>
        </w:rPr>
        <w:t xml:space="preserve"> &amp; P. Patrizio (Eds.), New Insights into Toxicity and Drug Testing (pp.</w:t>
      </w:r>
    </w:p>
    <w:p w14:paraId="686A3367"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63–88). </w:t>
      </w:r>
      <w:proofErr w:type="spellStart"/>
      <w:r>
        <w:rPr>
          <w:rFonts w:ascii="Times New Roman" w:eastAsia="CIDFont" w:hAnsi="Times New Roman" w:cs="Times New Roman"/>
          <w:color w:val="000000"/>
          <w:kern w:val="0"/>
          <w:sz w:val="24"/>
          <w:szCs w:val="24"/>
          <w:lang w:eastAsia="zh-CN" w:bidi="ar"/>
        </w:rPr>
        <w:t>InTech</w:t>
      </w:r>
      <w:proofErr w:type="spellEnd"/>
      <w:r>
        <w:rPr>
          <w:rFonts w:ascii="Times New Roman" w:eastAsia="CIDFont" w:hAnsi="Times New Roman" w:cs="Times New Roman"/>
          <w:color w:val="000000"/>
          <w:kern w:val="0"/>
          <w:sz w:val="24"/>
          <w:szCs w:val="24"/>
          <w:lang w:eastAsia="zh-CN" w:bidi="ar"/>
        </w:rPr>
        <w:t xml:space="preserve"> Open Science. https://doi.org/http://dx.doi.org/10.5772/54493.</w:t>
      </w:r>
    </w:p>
    <w:p w14:paraId="4D42ED8E"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BA0331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Jacob, C., Shehu, Z., </w:t>
      </w:r>
      <w:proofErr w:type="spellStart"/>
      <w:r>
        <w:rPr>
          <w:rFonts w:ascii="Times New Roman" w:eastAsia="CIDFont" w:hAnsi="Times New Roman" w:cs="Times New Roman"/>
          <w:color w:val="000000"/>
          <w:kern w:val="0"/>
          <w:sz w:val="24"/>
          <w:szCs w:val="24"/>
          <w:lang w:eastAsia="zh-CN" w:bidi="ar"/>
        </w:rPr>
        <w:t>Danbature</w:t>
      </w:r>
      <w:proofErr w:type="spellEnd"/>
      <w:r>
        <w:rPr>
          <w:rFonts w:ascii="Times New Roman" w:eastAsia="CIDFont" w:hAnsi="Times New Roman" w:cs="Times New Roman"/>
          <w:color w:val="000000"/>
          <w:kern w:val="0"/>
          <w:sz w:val="24"/>
          <w:szCs w:val="24"/>
          <w:lang w:eastAsia="zh-CN" w:bidi="ar"/>
        </w:rPr>
        <w:t>, W. L., &amp; Karu, E. (2017). Proximate analysis of the fruit</w:t>
      </w:r>
    </w:p>
    <w:p w14:paraId="6BD485F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(“Goron Tula”). </w:t>
      </w:r>
      <w:r>
        <w:rPr>
          <w:rFonts w:ascii="Times New Roman" w:eastAsia="CIDFont" w:hAnsi="Times New Roman" w:cs="Times New Roman"/>
          <w:i/>
          <w:iCs/>
          <w:color w:val="000000"/>
          <w:kern w:val="0"/>
          <w:sz w:val="24"/>
          <w:szCs w:val="24"/>
          <w:lang w:eastAsia="zh-CN" w:bidi="ar"/>
        </w:rPr>
        <w:t>Bayero Journal of Pure and Applied Sciences</w:t>
      </w:r>
      <w:r>
        <w:rPr>
          <w:rFonts w:ascii="Times New Roman" w:eastAsia="CIDFont" w:hAnsi="Times New Roman" w:cs="Times New Roman"/>
          <w:color w:val="000000"/>
          <w:kern w:val="0"/>
          <w:sz w:val="24"/>
          <w:szCs w:val="24"/>
          <w:lang w:eastAsia="zh-CN" w:bidi="ar"/>
        </w:rPr>
        <w:t>, 9(2), 221–224.</w:t>
      </w:r>
    </w:p>
    <w:p w14:paraId="53235C2C"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E93D3F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Joel JM, </w:t>
      </w:r>
      <w:proofErr w:type="spellStart"/>
      <w:r>
        <w:rPr>
          <w:rFonts w:ascii="Times New Roman" w:eastAsia="CIDFont" w:hAnsi="Times New Roman" w:cs="Times New Roman"/>
          <w:color w:val="000000"/>
          <w:kern w:val="0"/>
          <w:sz w:val="24"/>
          <w:szCs w:val="24"/>
          <w:lang w:eastAsia="zh-CN" w:bidi="ar"/>
        </w:rPr>
        <w:t>Barminas</w:t>
      </w:r>
      <w:proofErr w:type="spellEnd"/>
      <w:r>
        <w:rPr>
          <w:rFonts w:ascii="Times New Roman" w:eastAsia="CIDFont" w:hAnsi="Times New Roman" w:cs="Times New Roman"/>
          <w:color w:val="000000"/>
          <w:kern w:val="0"/>
          <w:sz w:val="24"/>
          <w:szCs w:val="24"/>
          <w:lang w:eastAsia="zh-CN" w:bidi="ar"/>
        </w:rPr>
        <w:t xml:space="preserve"> JT, Riki EY, Yelwa JM, Edeh F (2018). Extraction and characterization of</w:t>
      </w:r>
    </w:p>
    <w:p w14:paraId="58364A6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hydrocolloid pectin from Goron Tula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fruits. </w:t>
      </w:r>
      <w:r>
        <w:rPr>
          <w:rFonts w:ascii="Times New Roman" w:eastAsia="CIDFont" w:hAnsi="Times New Roman" w:cs="Times New Roman"/>
          <w:i/>
          <w:iCs/>
          <w:color w:val="000000"/>
          <w:kern w:val="0"/>
          <w:sz w:val="24"/>
          <w:szCs w:val="24"/>
          <w:lang w:eastAsia="zh-CN" w:bidi="ar"/>
        </w:rPr>
        <w:t>World Scientific News 101</w:t>
      </w:r>
      <w:r>
        <w:rPr>
          <w:rFonts w:ascii="Times New Roman" w:eastAsia="CIDFont" w:hAnsi="Times New Roman" w:cs="Times New Roman"/>
          <w:color w:val="000000"/>
          <w:kern w:val="0"/>
          <w:sz w:val="24"/>
          <w:szCs w:val="24"/>
          <w:lang w:eastAsia="zh-CN" w:bidi="ar"/>
        </w:rPr>
        <w:t>, pp</w:t>
      </w:r>
    </w:p>
    <w:p w14:paraId="35D0E4F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157-171.</w:t>
      </w:r>
    </w:p>
    <w:p w14:paraId="29ED0DF5"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63D404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Jothy, S. K. (2011). Acute oral toxicity of methanolic seeds extract of Cassia fistula in mice.</w:t>
      </w:r>
    </w:p>
    <w:p w14:paraId="76D6C5B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Molecules, 16</w:t>
      </w:r>
      <w:r>
        <w:rPr>
          <w:rFonts w:ascii="Times New Roman" w:eastAsia="CIDFont" w:hAnsi="Times New Roman" w:cs="Times New Roman"/>
          <w:color w:val="000000"/>
          <w:kern w:val="0"/>
          <w:sz w:val="24"/>
          <w:szCs w:val="24"/>
          <w:lang w:eastAsia="zh-CN" w:bidi="ar"/>
        </w:rPr>
        <w:t>(6), 5268–5282.</w:t>
      </w:r>
    </w:p>
    <w:p w14:paraId="286B0D77"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2DF052F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Kelsey, M.M., Braffett, B.H., Geffner, M.E., Levitsky, L.L., Caprio, S., McKay, S.V., et al.</w:t>
      </w:r>
    </w:p>
    <w:p w14:paraId="77AAB0A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(2018). Menstrual dysfunction in girls from the treatment options for Type 2 Diabetes in</w:t>
      </w:r>
    </w:p>
    <w:p w14:paraId="6A48E7D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Adolescents and Youth (TODAY) Study. </w:t>
      </w:r>
      <w:r>
        <w:rPr>
          <w:rFonts w:ascii="Times New Roman" w:eastAsia="CIDFont" w:hAnsi="Times New Roman" w:cs="Times New Roman"/>
          <w:i/>
          <w:iCs/>
          <w:color w:val="000000"/>
          <w:kern w:val="0"/>
          <w:sz w:val="24"/>
          <w:szCs w:val="24"/>
          <w:lang w:eastAsia="zh-CN" w:bidi="ar"/>
        </w:rPr>
        <w:t>Journal of Clinical Endocrinology &amp; Metabolism</w:t>
      </w:r>
      <w:r>
        <w:rPr>
          <w:rFonts w:ascii="Times New Roman" w:eastAsia="CIDFont" w:hAnsi="Times New Roman" w:cs="Times New Roman"/>
          <w:color w:val="000000"/>
          <w:kern w:val="0"/>
          <w:sz w:val="24"/>
          <w:szCs w:val="24"/>
          <w:lang w:eastAsia="zh-CN" w:bidi="ar"/>
        </w:rPr>
        <w:t>,</w:t>
      </w:r>
    </w:p>
    <w:p w14:paraId="09F2FADA"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103(6), 2309–2318.</w:t>
      </w:r>
    </w:p>
    <w:p w14:paraId="498E2535" w14:textId="77777777" w:rsidR="0035258B" w:rsidRDefault="0035258B">
      <w:pPr>
        <w:spacing w:after="0" w:line="276" w:lineRule="auto"/>
        <w:ind w:hanging="720"/>
        <w:jc w:val="both"/>
        <w:rPr>
          <w:rFonts w:ascii="Times New Roman" w:hAnsi="Times New Roman" w:cs="Times New Roman"/>
          <w:sz w:val="24"/>
          <w:szCs w:val="24"/>
        </w:rPr>
      </w:pPr>
    </w:p>
    <w:p w14:paraId="6D363BF1"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Kesonga</w:t>
      </w:r>
      <w:proofErr w:type="spellEnd"/>
      <w:r>
        <w:rPr>
          <w:rFonts w:ascii="Times New Roman" w:eastAsia="CIDFont" w:hAnsi="Times New Roman" w:cs="Times New Roman"/>
          <w:color w:val="000000"/>
          <w:kern w:val="0"/>
          <w:sz w:val="24"/>
          <w:szCs w:val="24"/>
          <w:lang w:eastAsia="zh-CN" w:bidi="ar"/>
        </w:rPr>
        <w:t xml:space="preserve">, M., Onyia, L., &amp; S.B. (2015). Evaluation of Phytochemicals in Azanza </w:t>
      </w:r>
      <w:proofErr w:type="spellStart"/>
      <w:r>
        <w:rPr>
          <w:rFonts w:ascii="Times New Roman" w:eastAsia="CIDFont" w:hAnsi="Times New Roman" w:cs="Times New Roman"/>
          <w:color w:val="000000"/>
          <w:kern w:val="0"/>
          <w:sz w:val="24"/>
          <w:szCs w:val="24"/>
          <w:lang w:eastAsia="zh-CN" w:bidi="ar"/>
        </w:rPr>
        <w:t>garckeana</w:t>
      </w:r>
      <w:proofErr w:type="spellEnd"/>
    </w:p>
    <w:p w14:paraId="54A676A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(Goron </w:t>
      </w:r>
      <w:proofErr w:type="spellStart"/>
      <w:r>
        <w:rPr>
          <w:rFonts w:ascii="Times New Roman" w:eastAsia="CIDFont" w:hAnsi="Times New Roman" w:cs="Times New Roman"/>
          <w:color w:val="000000"/>
          <w:kern w:val="0"/>
          <w:sz w:val="24"/>
          <w:szCs w:val="24"/>
          <w:lang w:eastAsia="zh-CN" w:bidi="ar"/>
        </w:rPr>
        <w:t>tula</w:t>
      </w:r>
      <w:proofErr w:type="spellEnd"/>
      <w:r>
        <w:rPr>
          <w:rFonts w:ascii="Times New Roman" w:eastAsia="CIDFont" w:hAnsi="Times New Roman" w:cs="Times New Roman"/>
          <w:color w:val="000000"/>
          <w:kern w:val="0"/>
          <w:sz w:val="24"/>
          <w:szCs w:val="24"/>
          <w:lang w:eastAsia="zh-CN" w:bidi="ar"/>
        </w:rPr>
        <w:t xml:space="preserve">) Seed. </w:t>
      </w:r>
      <w:r>
        <w:rPr>
          <w:rFonts w:ascii="Times New Roman" w:eastAsia="CIDFont" w:hAnsi="Times New Roman" w:cs="Times New Roman"/>
          <w:i/>
          <w:iCs/>
          <w:color w:val="000000"/>
          <w:kern w:val="0"/>
          <w:sz w:val="24"/>
          <w:szCs w:val="24"/>
          <w:lang w:eastAsia="zh-CN" w:bidi="ar"/>
        </w:rPr>
        <w:t>IOSR Journal of Agriculture and Veterinary Science</w:t>
      </w:r>
      <w:r>
        <w:rPr>
          <w:rFonts w:ascii="Times New Roman" w:eastAsia="CIDFont" w:hAnsi="Times New Roman" w:cs="Times New Roman"/>
          <w:color w:val="000000"/>
          <w:kern w:val="0"/>
          <w:sz w:val="24"/>
          <w:szCs w:val="24"/>
          <w:lang w:eastAsia="zh-CN" w:bidi="ar"/>
        </w:rPr>
        <w:t xml:space="preserve"> (IOSR-JAVS), 8, 2319-</w:t>
      </w:r>
    </w:p>
    <w:p w14:paraId="11229FF0"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2372. </w:t>
      </w:r>
    </w:p>
    <w:p w14:paraId="785E87A9"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5D87578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Kim, C., &amp; Halter, J.B. (2014). Endogenous sex hormones, metabolic syndrome, and</w:t>
      </w:r>
    </w:p>
    <w:p w14:paraId="2C36B17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in men and women. </w:t>
      </w:r>
      <w:r>
        <w:rPr>
          <w:rFonts w:ascii="Times New Roman" w:eastAsia="CIDFont" w:hAnsi="Times New Roman" w:cs="Times New Roman"/>
          <w:i/>
          <w:iCs/>
          <w:color w:val="000000"/>
          <w:kern w:val="0"/>
          <w:sz w:val="24"/>
          <w:szCs w:val="24"/>
          <w:lang w:eastAsia="zh-CN" w:bidi="ar"/>
        </w:rPr>
        <w:t>Current Cardiology Reports</w:t>
      </w:r>
      <w:r>
        <w:rPr>
          <w:rFonts w:ascii="Times New Roman" w:eastAsia="CIDFont" w:hAnsi="Times New Roman" w:cs="Times New Roman"/>
          <w:color w:val="000000"/>
          <w:kern w:val="0"/>
          <w:sz w:val="24"/>
          <w:szCs w:val="24"/>
          <w:lang w:eastAsia="zh-CN" w:bidi="ar"/>
        </w:rPr>
        <w:t>, 16, 467.</w:t>
      </w:r>
    </w:p>
    <w:p w14:paraId="4943C627"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4815936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Kjaer, K., Hagen, C., Sandø, S. H., &amp; Eshøj, O. (1992). Epidemiology of menarche and</w:t>
      </w:r>
    </w:p>
    <w:p w14:paraId="7EC5541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menstrual disturbances in an unselected group of women with insulin-dependent diabetes</w:t>
      </w:r>
    </w:p>
    <w:p w14:paraId="73392AC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mellitus compared to controls. </w:t>
      </w:r>
      <w:r>
        <w:rPr>
          <w:rFonts w:ascii="Times New Roman" w:eastAsia="CIDFont" w:hAnsi="Times New Roman" w:cs="Times New Roman"/>
          <w:i/>
          <w:iCs/>
          <w:color w:val="000000"/>
          <w:kern w:val="0"/>
          <w:sz w:val="24"/>
          <w:szCs w:val="24"/>
          <w:lang w:eastAsia="zh-CN" w:bidi="ar"/>
        </w:rPr>
        <w:t>The Journal of clinical endocrinology and metabolism</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75</w:t>
      </w:r>
      <w:r>
        <w:rPr>
          <w:rFonts w:ascii="Times New Roman" w:eastAsia="CIDFont" w:hAnsi="Times New Roman" w:cs="Times New Roman"/>
          <w:color w:val="000000"/>
          <w:kern w:val="0"/>
          <w:sz w:val="24"/>
          <w:szCs w:val="24"/>
          <w:lang w:eastAsia="zh-CN" w:bidi="ar"/>
        </w:rPr>
        <w:t>(2),</w:t>
      </w:r>
    </w:p>
    <w:p w14:paraId="732C49A6"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524–529. </w:t>
      </w:r>
    </w:p>
    <w:p w14:paraId="0512484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96BF06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Koche, D., </w:t>
      </w:r>
      <w:proofErr w:type="spellStart"/>
      <w:r>
        <w:rPr>
          <w:rFonts w:ascii="Times New Roman" w:eastAsia="CIDFont" w:hAnsi="Times New Roman" w:cs="Times New Roman"/>
          <w:color w:val="000000"/>
          <w:kern w:val="0"/>
          <w:sz w:val="24"/>
          <w:szCs w:val="24"/>
          <w:lang w:eastAsia="zh-CN" w:bidi="ar"/>
        </w:rPr>
        <w:t>Shirsat</w:t>
      </w:r>
      <w:proofErr w:type="spellEnd"/>
      <w:r>
        <w:rPr>
          <w:rFonts w:ascii="Times New Roman" w:eastAsia="CIDFont" w:hAnsi="Times New Roman" w:cs="Times New Roman"/>
          <w:color w:val="000000"/>
          <w:kern w:val="0"/>
          <w:sz w:val="24"/>
          <w:szCs w:val="24"/>
          <w:lang w:eastAsia="zh-CN" w:bidi="ar"/>
        </w:rPr>
        <w:t>, R., &amp; Kawale, M. (2016). An overview of major classes of</w:t>
      </w:r>
    </w:p>
    <w:p w14:paraId="2CF2C87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phytochemicals: their types and </w:t>
      </w:r>
      <w:proofErr w:type="spellStart"/>
      <w:r>
        <w:rPr>
          <w:rFonts w:ascii="Times New Roman" w:eastAsia="CIDFont" w:hAnsi="Times New Roman" w:cs="Times New Roman"/>
          <w:color w:val="000000"/>
          <w:kern w:val="0"/>
          <w:sz w:val="24"/>
          <w:szCs w:val="24"/>
          <w:lang w:eastAsia="zh-CN" w:bidi="ar"/>
        </w:rPr>
        <w:t>prolein</w:t>
      </w:r>
      <w:proofErr w:type="spellEnd"/>
      <w:r>
        <w:rPr>
          <w:rFonts w:ascii="Times New Roman" w:eastAsia="CIDFont" w:hAnsi="Times New Roman" w:cs="Times New Roman"/>
          <w:color w:val="000000"/>
          <w:kern w:val="0"/>
          <w:sz w:val="24"/>
          <w:szCs w:val="24"/>
          <w:lang w:eastAsia="zh-CN" w:bidi="ar"/>
        </w:rPr>
        <w:t xml:space="preserve"> disease prevention. </w:t>
      </w:r>
      <w:proofErr w:type="spellStart"/>
      <w:r>
        <w:rPr>
          <w:rFonts w:ascii="Times New Roman" w:eastAsia="CIDFont" w:hAnsi="Times New Roman" w:cs="Times New Roman"/>
          <w:i/>
          <w:iCs/>
          <w:color w:val="000000"/>
          <w:kern w:val="0"/>
          <w:sz w:val="24"/>
          <w:szCs w:val="24"/>
          <w:lang w:eastAsia="zh-CN" w:bidi="ar"/>
        </w:rPr>
        <w:t>Hislopia</w:t>
      </w:r>
      <w:proofErr w:type="spellEnd"/>
      <w:r>
        <w:rPr>
          <w:rFonts w:ascii="Times New Roman" w:eastAsia="CIDFont" w:hAnsi="Times New Roman" w:cs="Times New Roman"/>
          <w:i/>
          <w:iCs/>
          <w:color w:val="000000"/>
          <w:kern w:val="0"/>
          <w:sz w:val="24"/>
          <w:szCs w:val="24"/>
          <w:lang w:eastAsia="zh-CN" w:bidi="ar"/>
        </w:rPr>
        <w:t xml:space="preserve"> Journal</w:t>
      </w:r>
      <w:r>
        <w:rPr>
          <w:rFonts w:ascii="Times New Roman" w:eastAsia="CIDFont" w:hAnsi="Times New Roman" w:cs="Times New Roman"/>
          <w:color w:val="000000"/>
          <w:kern w:val="0"/>
          <w:sz w:val="24"/>
          <w:szCs w:val="24"/>
          <w:lang w:eastAsia="zh-CN" w:bidi="ar"/>
        </w:rPr>
        <w:t>, 9(1), 1–11.</w:t>
      </w:r>
    </w:p>
    <w:p w14:paraId="790101F3" w14:textId="77777777" w:rsidR="0035258B" w:rsidRDefault="0035258B">
      <w:pPr>
        <w:spacing w:after="0" w:line="276" w:lineRule="auto"/>
        <w:ind w:hanging="720"/>
        <w:jc w:val="both"/>
        <w:rPr>
          <w:rFonts w:ascii="Times New Roman" w:hAnsi="Times New Roman" w:cs="Times New Roman"/>
          <w:sz w:val="24"/>
          <w:szCs w:val="24"/>
        </w:rPr>
      </w:pPr>
    </w:p>
    <w:p w14:paraId="36B4B22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Kumar, V., &amp; Lalitha, K. (2013). Acute oral toxicity studies of </w:t>
      </w:r>
      <w:proofErr w:type="spellStart"/>
      <w:r>
        <w:rPr>
          <w:rFonts w:ascii="Times New Roman" w:eastAsia="CIDFont" w:hAnsi="Times New Roman" w:cs="Times New Roman"/>
          <w:color w:val="000000"/>
          <w:kern w:val="0"/>
          <w:sz w:val="24"/>
          <w:szCs w:val="24"/>
          <w:lang w:eastAsia="zh-CN" w:bidi="ar"/>
        </w:rPr>
        <w:t>Anacyclus</w:t>
      </w:r>
      <w:proofErr w:type="spellEnd"/>
      <w:r>
        <w:rPr>
          <w:rFonts w:ascii="Times New Roman" w:eastAsia="CIDFont" w:hAnsi="Times New Roman" w:cs="Times New Roman"/>
          <w:color w:val="000000"/>
          <w:kern w:val="0"/>
          <w:sz w:val="24"/>
          <w:szCs w:val="24"/>
          <w:lang w:eastAsia="zh-CN" w:bidi="ar"/>
        </w:rPr>
        <w:t xml:space="preserve"> pyrethrum DC</w:t>
      </w:r>
    </w:p>
    <w:p w14:paraId="4D22505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root in albino rats. </w:t>
      </w:r>
      <w:r>
        <w:rPr>
          <w:rFonts w:ascii="Times New Roman" w:eastAsia="CIDFont" w:hAnsi="Times New Roman" w:cs="Times New Roman"/>
          <w:i/>
          <w:iCs/>
          <w:color w:val="000000"/>
          <w:kern w:val="0"/>
          <w:sz w:val="24"/>
          <w:szCs w:val="24"/>
          <w:lang w:eastAsia="zh-CN" w:bidi="ar"/>
        </w:rPr>
        <w:t>International Journal of Pharmaceutical Sciences</w:t>
      </w:r>
      <w:r>
        <w:rPr>
          <w:rFonts w:ascii="Times New Roman" w:eastAsia="CIDFont" w:hAnsi="Times New Roman" w:cs="Times New Roman"/>
          <w:color w:val="000000"/>
          <w:kern w:val="0"/>
          <w:sz w:val="24"/>
          <w:szCs w:val="24"/>
          <w:lang w:eastAsia="zh-CN" w:bidi="ar"/>
        </w:rPr>
        <w:t>, 5(4), 675–678.</w:t>
      </w:r>
    </w:p>
    <w:p w14:paraId="3871D85A"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0285C30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Lala, V., Goyal, A., &amp; Minter, D.A. (2022). Liver Function Tests. </w:t>
      </w:r>
      <w:proofErr w:type="spellStart"/>
      <w:r>
        <w:rPr>
          <w:rFonts w:ascii="Times New Roman" w:eastAsia="CIDFont" w:hAnsi="Times New Roman" w:cs="Times New Roman"/>
          <w:color w:val="000000"/>
          <w:kern w:val="0"/>
          <w:sz w:val="24"/>
          <w:szCs w:val="24"/>
          <w:lang w:eastAsia="zh-CN" w:bidi="ar"/>
        </w:rPr>
        <w:t>StatPearls</w:t>
      </w:r>
      <w:proofErr w:type="spellEnd"/>
      <w:r>
        <w:rPr>
          <w:rFonts w:ascii="Times New Roman" w:eastAsia="CIDFont" w:hAnsi="Times New Roman" w:cs="Times New Roman"/>
          <w:color w:val="000000"/>
          <w:kern w:val="0"/>
          <w:sz w:val="24"/>
          <w:szCs w:val="24"/>
          <w:lang w:eastAsia="zh-CN" w:bidi="ar"/>
        </w:rPr>
        <w:t>. Retrieved from</w:t>
      </w:r>
    </w:p>
    <w:p w14:paraId="6096835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https://www.ncbi.nlm.nih.gov/books/NBK482489.</w:t>
      </w:r>
    </w:p>
    <w:p w14:paraId="093A2849"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1728240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Lascar, N., Brown, J., Pattison, H., Barnett, A.H., Bailey, C.J., &amp; Bellary, S. (2018). Type 2</w:t>
      </w:r>
    </w:p>
    <w:p w14:paraId="79FBF50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in adolescents and young adults. </w:t>
      </w:r>
      <w:r>
        <w:rPr>
          <w:rFonts w:ascii="Times New Roman" w:eastAsia="CIDFont" w:hAnsi="Times New Roman" w:cs="Times New Roman"/>
          <w:i/>
          <w:iCs/>
          <w:color w:val="000000"/>
          <w:kern w:val="0"/>
          <w:sz w:val="24"/>
          <w:szCs w:val="24"/>
          <w:lang w:eastAsia="zh-CN" w:bidi="ar"/>
        </w:rPr>
        <w:t>Lancet Diabetes &amp; Endocrinology</w:t>
      </w:r>
      <w:r>
        <w:rPr>
          <w:rFonts w:ascii="Times New Roman" w:eastAsia="CIDFont" w:hAnsi="Times New Roman" w:cs="Times New Roman"/>
          <w:color w:val="000000"/>
          <w:kern w:val="0"/>
          <w:sz w:val="24"/>
          <w:szCs w:val="24"/>
          <w:lang w:eastAsia="zh-CN" w:bidi="ar"/>
        </w:rPr>
        <w:t>, 6, 69–80.</w:t>
      </w:r>
    </w:p>
    <w:p w14:paraId="51F382AD"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5E91A2B"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Lorke</w:t>
      </w:r>
      <w:proofErr w:type="spellEnd"/>
      <w:r>
        <w:rPr>
          <w:rFonts w:ascii="Times New Roman" w:eastAsia="CIDFont" w:hAnsi="Times New Roman" w:cs="Times New Roman"/>
          <w:color w:val="000000"/>
          <w:kern w:val="0"/>
          <w:sz w:val="24"/>
          <w:szCs w:val="24"/>
          <w:lang w:eastAsia="zh-CN" w:bidi="ar"/>
        </w:rPr>
        <w:t>, D. (1983). A new approach to practical acute toxicity testing. Archives of Toxicology,</w:t>
      </w:r>
    </w:p>
    <w:p w14:paraId="5A9D85A3"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54, 275-287.</w:t>
      </w:r>
    </w:p>
    <w:p w14:paraId="681CA9E2"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2EAE43F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Mallidis, C., Agbaje, I.M., Rogers, D.A., Glenn, J.V., Pringle, R., Atkinson, A.B., et al.</w:t>
      </w:r>
    </w:p>
    <w:p w14:paraId="6E72B7D7"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(2009). Advanced glycation end products accumulate in the reproductive tract of men with</w:t>
      </w:r>
    </w:p>
    <w:p w14:paraId="4203B42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diabetes. </w:t>
      </w:r>
      <w:r>
        <w:rPr>
          <w:rFonts w:ascii="Times New Roman" w:eastAsia="CIDFont" w:hAnsi="Times New Roman" w:cs="Times New Roman"/>
          <w:i/>
          <w:iCs/>
          <w:color w:val="000000"/>
          <w:kern w:val="0"/>
          <w:sz w:val="24"/>
          <w:szCs w:val="24"/>
          <w:lang w:eastAsia="zh-CN" w:bidi="ar"/>
        </w:rPr>
        <w:t>International Journal of Andrology</w:t>
      </w:r>
      <w:r>
        <w:rPr>
          <w:rFonts w:ascii="Times New Roman" w:eastAsia="CIDFont" w:hAnsi="Times New Roman" w:cs="Times New Roman"/>
          <w:color w:val="000000"/>
          <w:kern w:val="0"/>
          <w:sz w:val="24"/>
          <w:szCs w:val="24"/>
          <w:lang w:eastAsia="zh-CN" w:bidi="ar"/>
        </w:rPr>
        <w:t>, 32(4), 295–305. 126</w:t>
      </w:r>
    </w:p>
    <w:p w14:paraId="23224E1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761AF570"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Maroyi</w:t>
      </w:r>
      <w:proofErr w:type="spellEnd"/>
      <w:r>
        <w:rPr>
          <w:rFonts w:ascii="Times New Roman" w:eastAsia="CIDFont" w:hAnsi="Times New Roman" w:cs="Times New Roman"/>
          <w:color w:val="000000"/>
          <w:kern w:val="0"/>
          <w:sz w:val="24"/>
          <w:szCs w:val="24"/>
          <w:lang w:eastAsia="zh-CN" w:bidi="ar"/>
        </w:rPr>
        <w:t xml:space="preserve">, A. (2017).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fruit tree: Phytochemistry, pharmacology, nutritional</w:t>
      </w:r>
    </w:p>
    <w:p w14:paraId="0346BA2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primary healthcare applications as herbal medicine: A review. </w:t>
      </w:r>
      <w:r>
        <w:rPr>
          <w:rFonts w:ascii="Times New Roman" w:eastAsia="CIDFont" w:hAnsi="Times New Roman" w:cs="Times New Roman"/>
          <w:i/>
          <w:iCs/>
          <w:color w:val="000000"/>
          <w:kern w:val="0"/>
          <w:sz w:val="24"/>
          <w:szCs w:val="24"/>
          <w:lang w:eastAsia="zh-CN" w:bidi="ar"/>
        </w:rPr>
        <w:t>Research Journal of Medicinal Plants</w:t>
      </w:r>
      <w:r>
        <w:rPr>
          <w:rFonts w:ascii="Times New Roman" w:eastAsia="CIDFont" w:hAnsi="Times New Roman" w:cs="Times New Roman"/>
          <w:color w:val="000000"/>
          <w:kern w:val="0"/>
          <w:sz w:val="24"/>
          <w:szCs w:val="24"/>
          <w:lang w:eastAsia="zh-CN" w:bidi="ar"/>
        </w:rPr>
        <w:t xml:space="preserve">, 11, 115-123. </w:t>
      </w:r>
      <w:proofErr w:type="spellStart"/>
      <w:r>
        <w:rPr>
          <w:rFonts w:ascii="Times New Roman" w:eastAsia="CIDFont" w:hAnsi="Times New Roman" w:cs="Times New Roman"/>
          <w:color w:val="000000"/>
          <w:kern w:val="0"/>
          <w:sz w:val="24"/>
          <w:szCs w:val="24"/>
          <w:lang w:eastAsia="zh-CN" w:bidi="ar"/>
        </w:rPr>
        <w:t>doi</w:t>
      </w:r>
      <w:proofErr w:type="spellEnd"/>
      <w:r>
        <w:rPr>
          <w:rFonts w:ascii="Times New Roman" w:eastAsia="CIDFont" w:hAnsi="Times New Roman" w:cs="Times New Roman"/>
          <w:color w:val="000000"/>
          <w:kern w:val="0"/>
          <w:sz w:val="24"/>
          <w:szCs w:val="24"/>
          <w:lang w:eastAsia="zh-CN" w:bidi="ar"/>
        </w:rPr>
        <w:t>: 10.3923/rjmp.2017.115.123.</w:t>
      </w:r>
    </w:p>
    <w:p w14:paraId="4B605CBC"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AD267B9"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Maroyi</w:t>
      </w:r>
      <w:proofErr w:type="spellEnd"/>
      <w:r>
        <w:rPr>
          <w:rFonts w:ascii="Times New Roman" w:eastAsia="CIDFont" w:hAnsi="Times New Roman" w:cs="Times New Roman"/>
          <w:color w:val="000000"/>
          <w:kern w:val="0"/>
          <w:sz w:val="24"/>
          <w:szCs w:val="24"/>
          <w:lang w:eastAsia="zh-CN" w:bidi="ar"/>
        </w:rPr>
        <w:t>, A., &amp; Cheikh-Youssef, A. (2017). Traditional knowledge of wild edible fruits in</w:t>
      </w:r>
    </w:p>
    <w:p w14:paraId="04E2035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southern Africa: A comparative use patterns in Namibia and Zimbabwe. </w:t>
      </w:r>
      <w:r>
        <w:rPr>
          <w:rFonts w:ascii="Times New Roman" w:eastAsia="CIDFont" w:hAnsi="Times New Roman" w:cs="Times New Roman"/>
          <w:i/>
          <w:iCs/>
          <w:color w:val="000000"/>
          <w:kern w:val="0"/>
          <w:sz w:val="24"/>
          <w:szCs w:val="24"/>
          <w:lang w:eastAsia="zh-CN" w:bidi="ar"/>
        </w:rPr>
        <w:t>Indian Journal of</w:t>
      </w:r>
    </w:p>
    <w:p w14:paraId="6DA7FAD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Traditional Knowledge</w:t>
      </w:r>
      <w:r>
        <w:rPr>
          <w:rFonts w:ascii="Times New Roman" w:eastAsia="CIDFont" w:hAnsi="Times New Roman" w:cs="Times New Roman"/>
          <w:color w:val="000000"/>
          <w:kern w:val="0"/>
          <w:sz w:val="24"/>
          <w:szCs w:val="24"/>
          <w:lang w:eastAsia="zh-CN" w:bidi="ar"/>
        </w:rPr>
        <w:t>, 16, 385-392.</w:t>
      </w:r>
    </w:p>
    <w:p w14:paraId="604F3E88"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5B1ED03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Mayer-Davis, E. J., Lawrence, J. M., </w:t>
      </w:r>
      <w:proofErr w:type="spellStart"/>
      <w:r>
        <w:rPr>
          <w:rFonts w:ascii="Times New Roman" w:eastAsia="CIDFont" w:hAnsi="Times New Roman" w:cs="Times New Roman"/>
          <w:color w:val="000000"/>
          <w:kern w:val="0"/>
          <w:sz w:val="24"/>
          <w:szCs w:val="24"/>
          <w:lang w:eastAsia="zh-CN" w:bidi="ar"/>
        </w:rPr>
        <w:t>Dabelea</w:t>
      </w:r>
      <w:proofErr w:type="spellEnd"/>
      <w:r>
        <w:rPr>
          <w:rFonts w:ascii="Times New Roman" w:eastAsia="CIDFont" w:hAnsi="Times New Roman" w:cs="Times New Roman"/>
          <w:color w:val="000000"/>
          <w:kern w:val="0"/>
          <w:sz w:val="24"/>
          <w:szCs w:val="24"/>
          <w:lang w:eastAsia="zh-CN" w:bidi="ar"/>
        </w:rPr>
        <w:t>, D., Divers, J., Isom, S., Dolan, L., Imperatore,</w:t>
      </w:r>
    </w:p>
    <w:p w14:paraId="482745B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 Linder, B., </w:t>
      </w:r>
      <w:proofErr w:type="spellStart"/>
      <w:r>
        <w:rPr>
          <w:rFonts w:ascii="Times New Roman" w:eastAsia="CIDFont" w:hAnsi="Times New Roman" w:cs="Times New Roman"/>
          <w:color w:val="000000"/>
          <w:kern w:val="0"/>
          <w:sz w:val="24"/>
          <w:szCs w:val="24"/>
          <w:lang w:eastAsia="zh-CN" w:bidi="ar"/>
        </w:rPr>
        <w:t>Marcovina</w:t>
      </w:r>
      <w:proofErr w:type="spellEnd"/>
      <w:r>
        <w:rPr>
          <w:rFonts w:ascii="Times New Roman" w:eastAsia="CIDFont" w:hAnsi="Times New Roman" w:cs="Times New Roman"/>
          <w:color w:val="000000"/>
          <w:kern w:val="0"/>
          <w:sz w:val="24"/>
          <w:szCs w:val="24"/>
          <w:lang w:eastAsia="zh-CN" w:bidi="ar"/>
        </w:rPr>
        <w:t xml:space="preserve">, S., Pettitt, D. J., </w:t>
      </w:r>
      <w:proofErr w:type="spellStart"/>
      <w:r>
        <w:rPr>
          <w:rFonts w:ascii="Times New Roman" w:eastAsia="CIDFont" w:hAnsi="Times New Roman" w:cs="Times New Roman"/>
          <w:color w:val="000000"/>
          <w:kern w:val="0"/>
          <w:sz w:val="24"/>
          <w:szCs w:val="24"/>
          <w:lang w:eastAsia="zh-CN" w:bidi="ar"/>
        </w:rPr>
        <w:t>Pihoker</w:t>
      </w:r>
      <w:proofErr w:type="spellEnd"/>
      <w:r>
        <w:rPr>
          <w:rFonts w:ascii="Times New Roman" w:eastAsia="CIDFont" w:hAnsi="Times New Roman" w:cs="Times New Roman"/>
          <w:color w:val="000000"/>
          <w:kern w:val="0"/>
          <w:sz w:val="24"/>
          <w:szCs w:val="24"/>
          <w:lang w:eastAsia="zh-CN" w:bidi="ar"/>
        </w:rPr>
        <w:t>, C., Saydah, S., Wagenknecht, L., &amp;</w:t>
      </w:r>
    </w:p>
    <w:p w14:paraId="25A9847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SEARCH for Diabetes in Youth Study (2017). Incidence Trends of Type 1 and Type 2 Diabetes</w:t>
      </w:r>
    </w:p>
    <w:p w14:paraId="734BE26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among Youths, 2002-2012. </w:t>
      </w:r>
      <w:r>
        <w:rPr>
          <w:rFonts w:ascii="Times New Roman" w:eastAsia="CIDFont" w:hAnsi="Times New Roman" w:cs="Times New Roman"/>
          <w:i/>
          <w:iCs/>
          <w:color w:val="000000"/>
          <w:kern w:val="0"/>
          <w:sz w:val="24"/>
          <w:szCs w:val="24"/>
          <w:lang w:eastAsia="zh-CN" w:bidi="ar"/>
        </w:rPr>
        <w:t>The New England journal of medicine</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376</w:t>
      </w:r>
      <w:r>
        <w:rPr>
          <w:rFonts w:ascii="Times New Roman" w:eastAsia="CIDFont" w:hAnsi="Times New Roman" w:cs="Times New Roman"/>
          <w:color w:val="000000"/>
          <w:kern w:val="0"/>
          <w:sz w:val="24"/>
          <w:szCs w:val="24"/>
          <w:lang w:eastAsia="zh-CN" w:bidi="ar"/>
        </w:rPr>
        <w:t>(15), 1419–1429.</w:t>
      </w:r>
    </w:p>
    <w:p w14:paraId="4138ADEE"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367565B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McGrogan, A., Snowball, J., &amp; de Vries, C. S. (2014). Pregnancy losses in women with Type</w:t>
      </w:r>
    </w:p>
    <w:p w14:paraId="50CB162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1 or Type 2 diabetes in the UK: an investigation using primary care records. </w:t>
      </w:r>
      <w:r>
        <w:rPr>
          <w:rFonts w:ascii="Times New Roman" w:eastAsia="CIDFont" w:hAnsi="Times New Roman" w:cs="Times New Roman"/>
          <w:i/>
          <w:iCs/>
          <w:color w:val="000000"/>
          <w:kern w:val="0"/>
          <w:sz w:val="24"/>
          <w:szCs w:val="24"/>
          <w:lang w:eastAsia="zh-CN" w:bidi="ar"/>
        </w:rPr>
        <w:t xml:space="preserve">Diabetic </w:t>
      </w:r>
      <w:proofErr w:type="gramStart"/>
      <w:r>
        <w:rPr>
          <w:rFonts w:ascii="Times New Roman" w:eastAsia="CIDFont" w:hAnsi="Times New Roman" w:cs="Times New Roman"/>
          <w:i/>
          <w:iCs/>
          <w:color w:val="000000"/>
          <w:kern w:val="0"/>
          <w:sz w:val="24"/>
          <w:szCs w:val="24"/>
          <w:lang w:eastAsia="zh-CN" w:bidi="ar"/>
        </w:rPr>
        <w:t>medicine :</w:t>
      </w:r>
      <w:proofErr w:type="gramEnd"/>
    </w:p>
    <w:p w14:paraId="1A1DFB1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a journal of the British Diabetic Association</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31</w:t>
      </w:r>
      <w:r>
        <w:rPr>
          <w:rFonts w:ascii="Times New Roman" w:eastAsia="CIDFont" w:hAnsi="Times New Roman" w:cs="Times New Roman"/>
          <w:color w:val="000000"/>
          <w:kern w:val="0"/>
          <w:sz w:val="24"/>
          <w:szCs w:val="24"/>
          <w:lang w:eastAsia="zh-CN" w:bidi="ar"/>
        </w:rPr>
        <w:t xml:space="preserve">(3), 357–365. </w:t>
      </w:r>
    </w:p>
    <w:p w14:paraId="0B364CD1"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3D2DAEE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Michael, K. G., Onyia, L. U., &amp; </w:t>
      </w:r>
      <w:proofErr w:type="spellStart"/>
      <w:r>
        <w:rPr>
          <w:rFonts w:ascii="Times New Roman" w:eastAsia="CIDFont" w:hAnsi="Times New Roman" w:cs="Times New Roman"/>
          <w:color w:val="000000"/>
          <w:kern w:val="0"/>
          <w:sz w:val="24"/>
          <w:szCs w:val="24"/>
          <w:lang w:eastAsia="zh-CN" w:bidi="ar"/>
        </w:rPr>
        <w:t>Jidauna</w:t>
      </w:r>
      <w:proofErr w:type="spellEnd"/>
      <w:r>
        <w:rPr>
          <w:rFonts w:ascii="Times New Roman" w:eastAsia="CIDFont" w:hAnsi="Times New Roman" w:cs="Times New Roman"/>
          <w:color w:val="000000"/>
          <w:kern w:val="0"/>
          <w:sz w:val="24"/>
          <w:szCs w:val="24"/>
          <w:lang w:eastAsia="zh-CN" w:bidi="ar"/>
        </w:rPr>
        <w:t>, S. B. (2015a). evaluation of phytochemicals in</w:t>
      </w:r>
    </w:p>
    <w:p w14:paraId="1C9B26D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Gorontula</w:t>
      </w:r>
      <w:proofErr w:type="spellEnd"/>
      <w:r>
        <w:rPr>
          <w:rFonts w:ascii="Times New Roman" w:eastAsia="CIDFont" w:hAnsi="Times New Roman" w:cs="Times New Roman"/>
          <w:color w:val="000000"/>
          <w:kern w:val="0"/>
          <w:sz w:val="24"/>
          <w:szCs w:val="24"/>
          <w:lang w:eastAsia="zh-CN" w:bidi="ar"/>
        </w:rPr>
        <w:t xml:space="preserve">) seed. </w:t>
      </w:r>
      <w:r>
        <w:rPr>
          <w:rFonts w:ascii="Times New Roman" w:eastAsia="CIDFont" w:hAnsi="Times New Roman" w:cs="Times New Roman"/>
          <w:i/>
          <w:iCs/>
          <w:color w:val="000000"/>
          <w:kern w:val="0"/>
          <w:sz w:val="24"/>
          <w:szCs w:val="24"/>
          <w:lang w:eastAsia="zh-CN" w:bidi="ar"/>
        </w:rPr>
        <w:t>Journal of Agriculture and Veterinary Science Volume</w:t>
      </w:r>
      <w:r>
        <w:rPr>
          <w:rFonts w:ascii="Times New Roman" w:eastAsia="CIDFont" w:hAnsi="Times New Roman" w:cs="Times New Roman"/>
          <w:color w:val="000000"/>
          <w:kern w:val="0"/>
          <w:sz w:val="24"/>
          <w:szCs w:val="24"/>
          <w:lang w:eastAsia="zh-CN" w:bidi="ar"/>
        </w:rPr>
        <w:t>,</w:t>
      </w:r>
    </w:p>
    <w:p w14:paraId="072CC61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8(5), 71–</w:t>
      </w:r>
      <w:proofErr w:type="gramStart"/>
      <w:r>
        <w:rPr>
          <w:rFonts w:ascii="Times New Roman" w:eastAsia="CIDFont" w:hAnsi="Times New Roman" w:cs="Times New Roman"/>
          <w:color w:val="000000"/>
          <w:kern w:val="0"/>
          <w:sz w:val="24"/>
          <w:szCs w:val="24"/>
          <w:lang w:eastAsia="zh-CN" w:bidi="ar"/>
        </w:rPr>
        <w:t>74.https://doi.org/10.9790/2380-08517174</w:t>
      </w:r>
      <w:proofErr w:type="gramEnd"/>
      <w:r>
        <w:rPr>
          <w:rFonts w:ascii="Times New Roman" w:eastAsia="CIDFont" w:hAnsi="Times New Roman" w:cs="Times New Roman"/>
          <w:color w:val="000000"/>
          <w:kern w:val="0"/>
          <w:sz w:val="24"/>
          <w:szCs w:val="24"/>
          <w:lang w:eastAsia="zh-CN" w:bidi="ar"/>
        </w:rPr>
        <w:t>.</w:t>
      </w:r>
    </w:p>
    <w:p w14:paraId="5BB73F1C"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1FFCF33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Momodu, Idris &amp; </w:t>
      </w:r>
      <w:proofErr w:type="spellStart"/>
      <w:r>
        <w:rPr>
          <w:rFonts w:ascii="Times New Roman" w:eastAsia="CIDFont" w:hAnsi="Times New Roman" w:cs="Times New Roman"/>
          <w:color w:val="000000"/>
          <w:kern w:val="0"/>
          <w:sz w:val="24"/>
          <w:szCs w:val="24"/>
          <w:lang w:eastAsia="zh-CN" w:bidi="ar"/>
        </w:rPr>
        <w:t>Agoreyo</w:t>
      </w:r>
      <w:proofErr w:type="spellEnd"/>
      <w:r>
        <w:rPr>
          <w:rFonts w:ascii="Times New Roman" w:eastAsia="CIDFont" w:hAnsi="Times New Roman" w:cs="Times New Roman"/>
          <w:color w:val="000000"/>
          <w:kern w:val="0"/>
          <w:sz w:val="24"/>
          <w:szCs w:val="24"/>
          <w:lang w:eastAsia="zh-CN" w:bidi="ar"/>
        </w:rPr>
        <w:t xml:space="preserve">, B. &amp; </w:t>
      </w:r>
      <w:proofErr w:type="spellStart"/>
      <w:r>
        <w:rPr>
          <w:rFonts w:ascii="Times New Roman" w:eastAsia="CIDFont" w:hAnsi="Times New Roman" w:cs="Times New Roman"/>
          <w:color w:val="000000"/>
          <w:kern w:val="0"/>
          <w:sz w:val="24"/>
          <w:szCs w:val="24"/>
          <w:lang w:eastAsia="zh-CN" w:bidi="ar"/>
        </w:rPr>
        <w:t>Okungbowa</w:t>
      </w:r>
      <w:proofErr w:type="spellEnd"/>
      <w:r>
        <w:rPr>
          <w:rFonts w:ascii="Times New Roman" w:eastAsia="CIDFont" w:hAnsi="Times New Roman" w:cs="Times New Roman"/>
          <w:color w:val="000000"/>
          <w:kern w:val="0"/>
          <w:sz w:val="24"/>
          <w:szCs w:val="24"/>
          <w:lang w:eastAsia="zh-CN" w:bidi="ar"/>
        </w:rPr>
        <w:t xml:space="preserve">, Sylvia &amp; </w:t>
      </w:r>
      <w:proofErr w:type="spellStart"/>
      <w:r>
        <w:rPr>
          <w:rFonts w:ascii="Times New Roman" w:eastAsia="CIDFont" w:hAnsi="Times New Roman" w:cs="Times New Roman"/>
          <w:color w:val="000000"/>
          <w:kern w:val="0"/>
          <w:sz w:val="24"/>
          <w:szCs w:val="24"/>
          <w:lang w:eastAsia="zh-CN" w:bidi="ar"/>
        </w:rPr>
        <w:t>sheila</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Igiebor</w:t>
      </w:r>
      <w:proofErr w:type="spellEnd"/>
      <w:r>
        <w:rPr>
          <w:rFonts w:ascii="Times New Roman" w:eastAsia="CIDFont" w:hAnsi="Times New Roman" w:cs="Times New Roman"/>
          <w:color w:val="000000"/>
          <w:kern w:val="0"/>
          <w:sz w:val="24"/>
          <w:szCs w:val="24"/>
          <w:lang w:eastAsia="zh-CN" w:bidi="ar"/>
        </w:rPr>
        <w:t>. (2021).</w:t>
      </w:r>
    </w:p>
    <w:p w14:paraId="460B108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Phytochemical Screening and Proximate Composition of Aqueous-Methanol Pulp Extract of</w:t>
      </w:r>
    </w:p>
    <w:p w14:paraId="3185971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(Goron Tula). </w:t>
      </w:r>
      <w:proofErr w:type="spellStart"/>
      <w:r>
        <w:rPr>
          <w:rFonts w:ascii="Times New Roman" w:eastAsia="CIDFont" w:hAnsi="Times New Roman" w:cs="Times New Roman"/>
          <w:i/>
          <w:iCs/>
          <w:color w:val="000000"/>
          <w:kern w:val="0"/>
          <w:sz w:val="24"/>
          <w:szCs w:val="24"/>
          <w:lang w:eastAsia="zh-CN" w:bidi="ar"/>
        </w:rPr>
        <w:t>Dutse</w:t>
      </w:r>
      <w:proofErr w:type="spellEnd"/>
      <w:r>
        <w:rPr>
          <w:rFonts w:ascii="Times New Roman" w:eastAsia="CIDFont" w:hAnsi="Times New Roman" w:cs="Times New Roman"/>
          <w:i/>
          <w:iCs/>
          <w:color w:val="000000"/>
          <w:kern w:val="0"/>
          <w:sz w:val="24"/>
          <w:szCs w:val="24"/>
          <w:lang w:eastAsia="zh-CN" w:bidi="ar"/>
        </w:rPr>
        <w:t xml:space="preserve"> Journal of Pure and Applied Sciences</w:t>
      </w:r>
      <w:r>
        <w:rPr>
          <w:rFonts w:ascii="Times New Roman" w:eastAsia="CIDFont" w:hAnsi="Times New Roman" w:cs="Times New Roman"/>
          <w:color w:val="000000"/>
          <w:kern w:val="0"/>
          <w:sz w:val="24"/>
          <w:szCs w:val="24"/>
          <w:lang w:eastAsia="zh-CN" w:bidi="ar"/>
        </w:rPr>
        <w:t>. Vol 7. 194.</w:t>
      </w:r>
    </w:p>
    <w:p w14:paraId="6D02CA03"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10.4314/dujopas.v7i4a.20.</w:t>
      </w:r>
    </w:p>
    <w:p w14:paraId="1F0CC1D0"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774119E"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Nkafamiya</w:t>
      </w:r>
      <w:proofErr w:type="spellEnd"/>
      <w:r>
        <w:rPr>
          <w:rFonts w:ascii="Times New Roman" w:eastAsia="CIDFont" w:hAnsi="Times New Roman" w:cs="Times New Roman"/>
          <w:color w:val="000000"/>
          <w:kern w:val="0"/>
          <w:sz w:val="24"/>
          <w:szCs w:val="24"/>
          <w:lang w:eastAsia="zh-CN" w:bidi="ar"/>
        </w:rPr>
        <w:t>, I. I., Ardo, B. P., Osemeahon, S. A., &amp;</w:t>
      </w:r>
      <w:proofErr w:type="spellStart"/>
      <w:r>
        <w:rPr>
          <w:rFonts w:ascii="Times New Roman" w:eastAsia="CIDFont" w:hAnsi="Times New Roman" w:cs="Times New Roman"/>
          <w:color w:val="000000"/>
          <w:kern w:val="0"/>
          <w:sz w:val="24"/>
          <w:szCs w:val="24"/>
          <w:lang w:eastAsia="zh-CN" w:bidi="ar"/>
        </w:rPr>
        <w:t>Akinterinwa</w:t>
      </w:r>
      <w:proofErr w:type="spellEnd"/>
      <w:r>
        <w:rPr>
          <w:rFonts w:ascii="Times New Roman" w:eastAsia="CIDFont" w:hAnsi="Times New Roman" w:cs="Times New Roman"/>
          <w:color w:val="000000"/>
          <w:kern w:val="0"/>
          <w:sz w:val="24"/>
          <w:szCs w:val="24"/>
          <w:lang w:eastAsia="zh-CN" w:bidi="ar"/>
        </w:rPr>
        <w:t>, A. (2015). Evaluation of</w:t>
      </w:r>
    </w:p>
    <w:p w14:paraId="4AD4B80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nutritional, non-nutritional, elemental content and amino acid profile of Azanza </w:t>
      </w:r>
      <w:proofErr w:type="spellStart"/>
      <w:r>
        <w:rPr>
          <w:rFonts w:ascii="Times New Roman" w:eastAsia="CIDFont" w:hAnsi="Times New Roman" w:cs="Times New Roman"/>
          <w:color w:val="000000"/>
          <w:kern w:val="0"/>
          <w:sz w:val="24"/>
          <w:szCs w:val="24"/>
          <w:lang w:eastAsia="zh-CN" w:bidi="ar"/>
        </w:rPr>
        <w:t>garckeana</w:t>
      </w:r>
      <w:proofErr w:type="spellEnd"/>
    </w:p>
    <w:p w14:paraId="5DA5F33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(Goron Tula). </w:t>
      </w:r>
      <w:r>
        <w:rPr>
          <w:rFonts w:ascii="Times New Roman" w:eastAsia="CIDFont" w:hAnsi="Times New Roman" w:cs="Times New Roman"/>
          <w:i/>
          <w:iCs/>
          <w:color w:val="000000"/>
          <w:kern w:val="0"/>
          <w:sz w:val="24"/>
          <w:szCs w:val="24"/>
          <w:lang w:eastAsia="zh-CN" w:bidi="ar"/>
        </w:rPr>
        <w:t>British Journal of Applied Science and Technology</w:t>
      </w:r>
      <w:r>
        <w:rPr>
          <w:rFonts w:ascii="Times New Roman" w:eastAsia="CIDFont" w:hAnsi="Times New Roman" w:cs="Times New Roman"/>
          <w:color w:val="000000"/>
          <w:kern w:val="0"/>
          <w:sz w:val="24"/>
          <w:szCs w:val="24"/>
          <w:lang w:eastAsia="zh-CN" w:bidi="ar"/>
        </w:rPr>
        <w:t>, 12(6), 1–10.</w:t>
      </w:r>
    </w:p>
    <w:p w14:paraId="42713231"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0B9F6323"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Ochokwu</w:t>
      </w:r>
      <w:proofErr w:type="spellEnd"/>
      <w:r>
        <w:rPr>
          <w:rFonts w:ascii="Times New Roman" w:eastAsia="CIDFont" w:hAnsi="Times New Roman" w:cs="Times New Roman"/>
          <w:color w:val="000000"/>
          <w:kern w:val="0"/>
          <w:sz w:val="24"/>
          <w:szCs w:val="24"/>
          <w:lang w:eastAsia="zh-CN" w:bidi="ar"/>
        </w:rPr>
        <w:t xml:space="preserve">, I. J., </w:t>
      </w:r>
      <w:proofErr w:type="spellStart"/>
      <w:r>
        <w:rPr>
          <w:rFonts w:ascii="Times New Roman" w:eastAsia="CIDFont" w:hAnsi="Times New Roman" w:cs="Times New Roman"/>
          <w:color w:val="000000"/>
          <w:kern w:val="0"/>
          <w:sz w:val="24"/>
          <w:szCs w:val="24"/>
          <w:lang w:eastAsia="zh-CN" w:bidi="ar"/>
        </w:rPr>
        <w:t>Ajijola</w:t>
      </w:r>
      <w:proofErr w:type="spellEnd"/>
      <w:r>
        <w:rPr>
          <w:rFonts w:ascii="Times New Roman" w:eastAsia="CIDFont" w:hAnsi="Times New Roman" w:cs="Times New Roman"/>
          <w:color w:val="000000"/>
          <w:kern w:val="0"/>
          <w:sz w:val="24"/>
          <w:szCs w:val="24"/>
          <w:lang w:eastAsia="zh-CN" w:bidi="ar"/>
        </w:rPr>
        <w:t xml:space="preserve">, K. O., &amp; Onyia, L. U. (2014). Effect of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(Goron</w:t>
      </w:r>
    </w:p>
    <w:p w14:paraId="7CAAE75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Tula) pulp meal inclusion on growth performance of Clarias </w:t>
      </w:r>
      <w:proofErr w:type="spellStart"/>
      <w:r>
        <w:rPr>
          <w:rFonts w:ascii="Times New Roman" w:eastAsia="CIDFont" w:hAnsi="Times New Roman" w:cs="Times New Roman"/>
          <w:color w:val="000000"/>
          <w:kern w:val="0"/>
          <w:sz w:val="24"/>
          <w:szCs w:val="24"/>
          <w:lang w:eastAsia="zh-CN" w:bidi="ar"/>
        </w:rPr>
        <w:t>gariepinus</w:t>
      </w:r>
      <w:proofErr w:type="spellEnd"/>
      <w:r>
        <w:rPr>
          <w:rFonts w:ascii="Times New Roman" w:eastAsia="CIDFont" w:hAnsi="Times New Roman" w:cs="Times New Roman"/>
          <w:color w:val="000000"/>
          <w:kern w:val="0"/>
          <w:sz w:val="24"/>
          <w:szCs w:val="24"/>
          <w:lang w:eastAsia="zh-CN" w:bidi="ar"/>
        </w:rPr>
        <w:t xml:space="preserve"> Broodstock (Burchell,</w:t>
      </w:r>
    </w:p>
    <w:p w14:paraId="4378F1B5"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1822). </w:t>
      </w:r>
      <w:r>
        <w:rPr>
          <w:rFonts w:ascii="Times New Roman" w:eastAsia="CIDFont" w:hAnsi="Times New Roman" w:cs="Times New Roman"/>
          <w:i/>
          <w:iCs/>
          <w:color w:val="000000"/>
          <w:kern w:val="0"/>
          <w:sz w:val="24"/>
          <w:szCs w:val="24"/>
          <w:lang w:eastAsia="zh-CN" w:bidi="ar"/>
        </w:rPr>
        <w:t>Journal of Tropical Agriculture</w:t>
      </w:r>
      <w:r>
        <w:rPr>
          <w:rFonts w:ascii="Times New Roman" w:eastAsia="CIDFont" w:hAnsi="Times New Roman" w:cs="Times New Roman"/>
          <w:color w:val="000000"/>
          <w:kern w:val="0"/>
          <w:sz w:val="24"/>
          <w:szCs w:val="24"/>
          <w:lang w:eastAsia="zh-CN" w:bidi="ar"/>
        </w:rPr>
        <w:t>, 14, 134-146.</w:t>
      </w:r>
    </w:p>
    <w:p w14:paraId="11DD7A28"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78A41C5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O.E.C.D. (2021). Test No. 455: Performance-Based Test Guideline for Stably Transfected</w:t>
      </w:r>
    </w:p>
    <w:p w14:paraId="4AE0C85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Transactivation In Vitro Assays to Detect Estrogen Receptor Agonists and Antagonists (OECD</w:t>
      </w:r>
    </w:p>
    <w:p w14:paraId="2C739AF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Guidelines for the Testing of Chemicals, Section 4). </w:t>
      </w:r>
      <w:r>
        <w:rPr>
          <w:rFonts w:ascii="Times New Roman" w:eastAsia="CIDFont" w:hAnsi="Times New Roman" w:cs="Times New Roman"/>
          <w:i/>
          <w:iCs/>
          <w:color w:val="000000"/>
          <w:kern w:val="0"/>
          <w:sz w:val="24"/>
          <w:szCs w:val="24"/>
          <w:lang w:eastAsia="zh-CN" w:bidi="ar"/>
        </w:rPr>
        <w:t xml:space="preserve">Organization for Economic </w:t>
      </w:r>
      <w:proofErr w:type="spellStart"/>
      <w:r>
        <w:rPr>
          <w:rFonts w:ascii="Times New Roman" w:eastAsia="CIDFont" w:hAnsi="Times New Roman" w:cs="Times New Roman"/>
          <w:i/>
          <w:iCs/>
          <w:color w:val="000000"/>
          <w:kern w:val="0"/>
          <w:sz w:val="24"/>
          <w:szCs w:val="24"/>
          <w:lang w:eastAsia="zh-CN" w:bidi="ar"/>
        </w:rPr>
        <w:t>Coorperation</w:t>
      </w:r>
      <w:proofErr w:type="spellEnd"/>
    </w:p>
    <w:p w14:paraId="6A0D916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and Development</w:t>
      </w:r>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color w:val="0563C1"/>
          <w:kern w:val="0"/>
          <w:sz w:val="24"/>
          <w:szCs w:val="24"/>
          <w:lang w:eastAsia="zh-CN" w:bidi="ar"/>
        </w:rPr>
        <w:t>https://doi.org/10.1787/20745788</w:t>
      </w:r>
      <w:r>
        <w:rPr>
          <w:rFonts w:ascii="Times New Roman" w:eastAsia="CIDFont" w:hAnsi="Times New Roman" w:cs="Times New Roman"/>
          <w:color w:val="000000"/>
          <w:kern w:val="0"/>
          <w:sz w:val="24"/>
          <w:szCs w:val="24"/>
          <w:lang w:eastAsia="zh-CN" w:bidi="ar"/>
        </w:rPr>
        <w:t>.</w:t>
      </w:r>
    </w:p>
    <w:p w14:paraId="25903726"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8A063A7"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OECD. (2001). OECD Guideline for testing of chemicals. Acute oral toxicity-acute toxic</w:t>
      </w:r>
    </w:p>
    <w:p w14:paraId="2C1BD603"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class method, guideline no. 423. </w:t>
      </w:r>
      <w:proofErr w:type="spellStart"/>
      <w:r>
        <w:rPr>
          <w:rFonts w:ascii="Times New Roman" w:eastAsia="CIDFont" w:hAnsi="Times New Roman" w:cs="Times New Roman"/>
          <w:color w:val="000000"/>
          <w:kern w:val="0"/>
          <w:sz w:val="24"/>
          <w:szCs w:val="24"/>
          <w:lang w:eastAsia="zh-CN" w:bidi="ar"/>
        </w:rPr>
        <w:t>Organisation</w:t>
      </w:r>
      <w:proofErr w:type="spellEnd"/>
      <w:r>
        <w:rPr>
          <w:rFonts w:ascii="Times New Roman" w:eastAsia="CIDFont" w:hAnsi="Times New Roman" w:cs="Times New Roman"/>
          <w:color w:val="000000"/>
          <w:kern w:val="0"/>
          <w:sz w:val="24"/>
          <w:szCs w:val="24"/>
          <w:lang w:eastAsia="zh-CN" w:bidi="ar"/>
        </w:rPr>
        <w:t xml:space="preserve"> for Economic </w:t>
      </w:r>
      <w:proofErr w:type="spellStart"/>
      <w:r>
        <w:rPr>
          <w:rFonts w:ascii="Times New Roman" w:eastAsia="CIDFont" w:hAnsi="Times New Roman" w:cs="Times New Roman"/>
          <w:color w:val="000000"/>
          <w:kern w:val="0"/>
          <w:sz w:val="24"/>
          <w:szCs w:val="24"/>
          <w:lang w:eastAsia="zh-CN" w:bidi="ar"/>
        </w:rPr>
        <w:t>Coorperation</w:t>
      </w:r>
      <w:proofErr w:type="spellEnd"/>
      <w:r>
        <w:rPr>
          <w:rFonts w:ascii="Times New Roman" w:eastAsia="CIDFont" w:hAnsi="Times New Roman" w:cs="Times New Roman"/>
          <w:color w:val="000000"/>
          <w:kern w:val="0"/>
          <w:sz w:val="24"/>
          <w:szCs w:val="24"/>
          <w:lang w:eastAsia="zh-CN" w:bidi="ar"/>
        </w:rPr>
        <w:t xml:space="preserve"> and Development,</w:t>
      </w:r>
    </w:p>
    <w:p w14:paraId="42EDEA7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Rome.</w:t>
      </w:r>
    </w:p>
    <w:p w14:paraId="3C497622"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6945BD1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Olson, H., Betton, G., Robinson, D., Thomas, K., Monro, A., Kolaja, G., Lilly, P., &amp; Sanders</w:t>
      </w:r>
    </w:p>
    <w:p w14:paraId="3373BA7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J, Sipes G, B. W. (2000). Concordance of the toxicity of pharmaceuticals in humans and in</w:t>
      </w:r>
    </w:p>
    <w:p w14:paraId="79C4B63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animals. </w:t>
      </w:r>
      <w:r>
        <w:rPr>
          <w:rFonts w:ascii="Times New Roman" w:eastAsia="CIDFont" w:hAnsi="Times New Roman" w:cs="Times New Roman"/>
          <w:i/>
          <w:iCs/>
          <w:color w:val="000000"/>
          <w:kern w:val="0"/>
          <w:sz w:val="24"/>
          <w:szCs w:val="24"/>
          <w:lang w:eastAsia="zh-CN" w:bidi="ar"/>
        </w:rPr>
        <w:t>Regulatory Toxicology and Pharmacology</w:t>
      </w:r>
      <w:r>
        <w:rPr>
          <w:rFonts w:ascii="Times New Roman" w:eastAsia="CIDFont" w:hAnsi="Times New Roman" w:cs="Times New Roman"/>
          <w:color w:val="000000"/>
          <w:kern w:val="0"/>
          <w:sz w:val="24"/>
          <w:szCs w:val="24"/>
          <w:lang w:eastAsia="zh-CN" w:bidi="ar"/>
        </w:rPr>
        <w:t>, 32(1), 56–67.</w:t>
      </w:r>
    </w:p>
    <w:p w14:paraId="0A8FB0DB"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58076AF"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Ombelet</w:t>
      </w:r>
      <w:proofErr w:type="spellEnd"/>
      <w:r>
        <w:rPr>
          <w:rFonts w:ascii="Times New Roman" w:eastAsia="CIDFont" w:hAnsi="Times New Roman" w:cs="Times New Roman"/>
          <w:color w:val="000000"/>
          <w:kern w:val="0"/>
          <w:sz w:val="24"/>
          <w:szCs w:val="24"/>
          <w:lang w:eastAsia="zh-CN" w:bidi="ar"/>
        </w:rPr>
        <w:t xml:space="preserve">, W., Cooke, I., Dyer, S., </w:t>
      </w:r>
      <w:proofErr w:type="spellStart"/>
      <w:r>
        <w:rPr>
          <w:rFonts w:ascii="Times New Roman" w:eastAsia="CIDFont" w:hAnsi="Times New Roman" w:cs="Times New Roman"/>
          <w:color w:val="000000"/>
          <w:kern w:val="0"/>
          <w:sz w:val="24"/>
          <w:szCs w:val="24"/>
          <w:lang w:eastAsia="zh-CN" w:bidi="ar"/>
        </w:rPr>
        <w:t>Serour</w:t>
      </w:r>
      <w:proofErr w:type="spellEnd"/>
      <w:r>
        <w:rPr>
          <w:rFonts w:ascii="Times New Roman" w:eastAsia="CIDFont" w:hAnsi="Times New Roman" w:cs="Times New Roman"/>
          <w:color w:val="000000"/>
          <w:kern w:val="0"/>
          <w:sz w:val="24"/>
          <w:szCs w:val="24"/>
          <w:lang w:eastAsia="zh-CN" w:bidi="ar"/>
        </w:rPr>
        <w:t>, G., &amp; Devroey, P. (2008). Infertility and the</w:t>
      </w:r>
    </w:p>
    <w:p w14:paraId="6C55E91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provision of infertility medical services in developing countries. </w:t>
      </w:r>
      <w:r>
        <w:rPr>
          <w:rFonts w:ascii="Times New Roman" w:eastAsia="CIDFont" w:hAnsi="Times New Roman" w:cs="Times New Roman"/>
          <w:i/>
          <w:iCs/>
          <w:color w:val="000000"/>
          <w:kern w:val="0"/>
          <w:sz w:val="24"/>
          <w:szCs w:val="24"/>
          <w:lang w:eastAsia="zh-CN" w:bidi="ar"/>
        </w:rPr>
        <w:t>Human reproduction update</w:t>
      </w:r>
      <w:r>
        <w:rPr>
          <w:rFonts w:ascii="Times New Roman" w:eastAsia="CIDFont" w:hAnsi="Times New Roman" w:cs="Times New Roman"/>
          <w:color w:val="000000"/>
          <w:kern w:val="0"/>
          <w:sz w:val="24"/>
          <w:szCs w:val="24"/>
          <w:lang w:eastAsia="zh-CN" w:bidi="ar"/>
        </w:rPr>
        <w:t>,</w:t>
      </w:r>
    </w:p>
    <w:p w14:paraId="36DC2F89"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i/>
          <w:iCs/>
          <w:color w:val="000000"/>
          <w:kern w:val="0"/>
          <w:sz w:val="24"/>
          <w:szCs w:val="24"/>
          <w:lang w:eastAsia="zh-CN" w:bidi="ar"/>
        </w:rPr>
        <w:t>14</w:t>
      </w:r>
      <w:r>
        <w:rPr>
          <w:rFonts w:ascii="Times New Roman" w:eastAsia="CIDFont" w:hAnsi="Times New Roman" w:cs="Times New Roman"/>
          <w:color w:val="000000"/>
          <w:kern w:val="0"/>
          <w:sz w:val="24"/>
          <w:szCs w:val="24"/>
          <w:lang w:eastAsia="zh-CN" w:bidi="ar"/>
        </w:rPr>
        <w:t xml:space="preserve">(6), 605–621. </w:t>
      </w:r>
    </w:p>
    <w:p w14:paraId="38187150"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1CBFDC0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Onyia, L. U., </w:t>
      </w:r>
      <w:proofErr w:type="spellStart"/>
      <w:r>
        <w:rPr>
          <w:rFonts w:ascii="Times New Roman" w:eastAsia="CIDFont" w:hAnsi="Times New Roman" w:cs="Times New Roman"/>
          <w:color w:val="000000"/>
          <w:kern w:val="0"/>
          <w:sz w:val="24"/>
          <w:szCs w:val="24"/>
          <w:lang w:eastAsia="zh-CN" w:bidi="ar"/>
        </w:rPr>
        <w:t>Ochokwu</w:t>
      </w:r>
      <w:proofErr w:type="spellEnd"/>
      <w:r>
        <w:rPr>
          <w:rFonts w:ascii="Times New Roman" w:eastAsia="CIDFont" w:hAnsi="Times New Roman" w:cs="Times New Roman"/>
          <w:color w:val="000000"/>
          <w:kern w:val="0"/>
          <w:sz w:val="24"/>
          <w:szCs w:val="24"/>
          <w:lang w:eastAsia="zh-CN" w:bidi="ar"/>
        </w:rPr>
        <w:t xml:space="preserve">, I. J., </w:t>
      </w:r>
      <w:proofErr w:type="spellStart"/>
      <w:r>
        <w:rPr>
          <w:rFonts w:ascii="Times New Roman" w:eastAsia="CIDFont" w:hAnsi="Times New Roman" w:cs="Times New Roman"/>
          <w:color w:val="000000"/>
          <w:kern w:val="0"/>
          <w:sz w:val="24"/>
          <w:szCs w:val="24"/>
          <w:lang w:eastAsia="zh-CN" w:bidi="ar"/>
        </w:rPr>
        <w:t>Diyaware</w:t>
      </w:r>
      <w:proofErr w:type="spellEnd"/>
      <w:r>
        <w:rPr>
          <w:rFonts w:ascii="Times New Roman" w:eastAsia="CIDFont" w:hAnsi="Times New Roman" w:cs="Times New Roman"/>
          <w:color w:val="000000"/>
          <w:kern w:val="0"/>
          <w:sz w:val="24"/>
          <w:szCs w:val="24"/>
          <w:lang w:eastAsia="zh-CN" w:bidi="ar"/>
        </w:rPr>
        <w:t>, M. Y., &amp; Michael, K. G. (2015). Effect of Azanza</w:t>
      </w:r>
    </w:p>
    <w:p w14:paraId="0769142C"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on egg quality of African catfish (Clarias </w:t>
      </w:r>
      <w:proofErr w:type="spellStart"/>
      <w:r>
        <w:rPr>
          <w:rFonts w:ascii="Times New Roman" w:eastAsia="CIDFont" w:hAnsi="Times New Roman" w:cs="Times New Roman"/>
          <w:color w:val="000000"/>
          <w:kern w:val="0"/>
          <w:sz w:val="24"/>
          <w:szCs w:val="24"/>
          <w:lang w:eastAsia="zh-CN" w:bidi="ar"/>
        </w:rPr>
        <w:t>gariepinus</w:t>
      </w:r>
      <w:proofErr w:type="spellEnd"/>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International Journal of</w:t>
      </w:r>
    </w:p>
    <w:p w14:paraId="653799B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Fisheries and Aquatic Sciences</w:t>
      </w:r>
      <w:r>
        <w:rPr>
          <w:rFonts w:ascii="Times New Roman" w:eastAsia="CIDFont" w:hAnsi="Times New Roman" w:cs="Times New Roman"/>
          <w:color w:val="000000"/>
          <w:kern w:val="0"/>
          <w:sz w:val="24"/>
          <w:szCs w:val="24"/>
          <w:lang w:eastAsia="zh-CN" w:bidi="ar"/>
        </w:rPr>
        <w:t>, 4(2), 35–39.</w:t>
      </w:r>
    </w:p>
    <w:p w14:paraId="211141D3"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E16F98B"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Orwa, C., Mutua, A., Kindt, R., </w:t>
      </w:r>
      <w:proofErr w:type="spellStart"/>
      <w:r>
        <w:rPr>
          <w:rFonts w:ascii="Times New Roman" w:eastAsia="CIDFont" w:hAnsi="Times New Roman" w:cs="Times New Roman"/>
          <w:color w:val="000000"/>
          <w:kern w:val="0"/>
          <w:sz w:val="24"/>
          <w:szCs w:val="24"/>
          <w:lang w:eastAsia="zh-CN" w:bidi="ar"/>
        </w:rPr>
        <w:t>Jamnadass</w:t>
      </w:r>
      <w:proofErr w:type="spellEnd"/>
      <w:r>
        <w:rPr>
          <w:rFonts w:ascii="Times New Roman" w:eastAsia="CIDFont" w:hAnsi="Times New Roman" w:cs="Times New Roman"/>
          <w:color w:val="000000"/>
          <w:kern w:val="0"/>
          <w:sz w:val="24"/>
          <w:szCs w:val="24"/>
          <w:lang w:eastAsia="zh-CN" w:bidi="ar"/>
        </w:rPr>
        <w:t xml:space="preserve">, R., &amp; Anthony, S. (2009). </w:t>
      </w:r>
      <w:proofErr w:type="spellStart"/>
      <w:r>
        <w:rPr>
          <w:rFonts w:ascii="Times New Roman" w:eastAsia="CIDFont" w:hAnsi="Times New Roman" w:cs="Times New Roman"/>
          <w:color w:val="000000"/>
          <w:kern w:val="0"/>
          <w:sz w:val="24"/>
          <w:szCs w:val="24"/>
          <w:lang w:eastAsia="zh-CN" w:bidi="ar"/>
        </w:rPr>
        <w:t>Agro</w:t>
      </w:r>
      <w:proofErr w:type="spellEnd"/>
      <w:r>
        <w:rPr>
          <w:rFonts w:ascii="Times New Roman" w:eastAsia="CIDFont" w:hAnsi="Times New Roman" w:cs="Times New Roman"/>
          <w:color w:val="000000"/>
          <w:kern w:val="0"/>
          <w:sz w:val="24"/>
          <w:szCs w:val="24"/>
          <w:lang w:eastAsia="zh-CN" w:bidi="ar"/>
        </w:rPr>
        <w:t xml:space="preserve"> forest tree</w:t>
      </w:r>
    </w:p>
    <w:p w14:paraId="427024A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Database: A tree reference and selection guide version 4.0.</w:t>
      </w:r>
    </w:p>
    <w:p w14:paraId="633C299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FF"/>
          <w:kern w:val="0"/>
          <w:sz w:val="24"/>
          <w:szCs w:val="24"/>
          <w:lang w:eastAsia="zh-CN" w:bidi="ar"/>
        </w:rPr>
        <w:t>http://www.worldagroforestry.org/sites/treedbs/treedatabases.asp.</w:t>
      </w:r>
    </w:p>
    <w:p w14:paraId="16143B6F"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138BFE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Palatnik, A., &amp; Seidman, D. (2009). Fertility issues in women with diabetes. Women's Health</w:t>
      </w:r>
    </w:p>
    <w:p w14:paraId="1927E68E"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(London, England), 5, 701–707. </w:t>
      </w:r>
    </w:p>
    <w:p w14:paraId="2AC487F0"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509FDE6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Parasuraman, S. (2011). </w:t>
      </w:r>
      <w:proofErr w:type="spellStart"/>
      <w:r>
        <w:rPr>
          <w:rFonts w:ascii="Times New Roman" w:hAnsi="Times New Roman" w:cs="Times New Roman"/>
          <w:sz w:val="24"/>
          <w:szCs w:val="24"/>
        </w:rPr>
        <w:t>Toxicologyal</w:t>
      </w:r>
      <w:proofErr w:type="spellEnd"/>
      <w:r>
        <w:rPr>
          <w:rFonts w:ascii="Times New Roman" w:hAnsi="Times New Roman" w:cs="Times New Roman"/>
          <w:sz w:val="24"/>
          <w:szCs w:val="24"/>
        </w:rPr>
        <w:t xml:space="preserve"> screening: J </w:t>
      </w:r>
      <w:proofErr w:type="spellStart"/>
      <w:r>
        <w:rPr>
          <w:rFonts w:ascii="Times New Roman" w:hAnsi="Times New Roman" w:cs="Times New Roman"/>
          <w:sz w:val="24"/>
          <w:szCs w:val="24"/>
        </w:rPr>
        <w:t>pharmacol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pharmacother</w:t>
      </w:r>
      <w:proofErr w:type="spellEnd"/>
      <w:r>
        <w:rPr>
          <w:rFonts w:ascii="Times New Roman" w:hAnsi="Times New Roman" w:cs="Times New Roman"/>
          <w:sz w:val="24"/>
          <w:szCs w:val="24"/>
        </w:rPr>
        <w:t xml:space="preserve"> 2(2):74-9.</w:t>
      </w:r>
    </w:p>
    <w:p w14:paraId="2024C614"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3DCFB5D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Pelliccione, F., Micillo, A., </w:t>
      </w:r>
      <w:proofErr w:type="spellStart"/>
      <w:r>
        <w:rPr>
          <w:rFonts w:ascii="Times New Roman" w:eastAsia="CIDFont" w:hAnsi="Times New Roman" w:cs="Times New Roman"/>
          <w:color w:val="000000"/>
          <w:kern w:val="0"/>
          <w:sz w:val="24"/>
          <w:szCs w:val="24"/>
          <w:lang w:eastAsia="zh-CN" w:bidi="ar"/>
        </w:rPr>
        <w:t>Cordeschi</w:t>
      </w:r>
      <w:proofErr w:type="spellEnd"/>
      <w:r>
        <w:rPr>
          <w:rFonts w:ascii="Times New Roman" w:eastAsia="CIDFont" w:hAnsi="Times New Roman" w:cs="Times New Roman"/>
          <w:color w:val="000000"/>
          <w:kern w:val="0"/>
          <w:sz w:val="24"/>
          <w:szCs w:val="24"/>
          <w:lang w:eastAsia="zh-CN" w:bidi="ar"/>
        </w:rPr>
        <w:t xml:space="preserve">, G., D’Angeli, A., </w:t>
      </w:r>
      <w:proofErr w:type="spellStart"/>
      <w:r>
        <w:rPr>
          <w:rFonts w:ascii="Times New Roman" w:eastAsia="CIDFont" w:hAnsi="Times New Roman" w:cs="Times New Roman"/>
          <w:color w:val="000000"/>
          <w:kern w:val="0"/>
          <w:sz w:val="24"/>
          <w:szCs w:val="24"/>
          <w:lang w:eastAsia="zh-CN" w:bidi="ar"/>
        </w:rPr>
        <w:t>Necozione</w:t>
      </w:r>
      <w:proofErr w:type="spellEnd"/>
      <w:r>
        <w:rPr>
          <w:rFonts w:ascii="Times New Roman" w:eastAsia="CIDFont" w:hAnsi="Times New Roman" w:cs="Times New Roman"/>
          <w:color w:val="000000"/>
          <w:kern w:val="0"/>
          <w:sz w:val="24"/>
          <w:szCs w:val="24"/>
          <w:lang w:eastAsia="zh-CN" w:bidi="ar"/>
        </w:rPr>
        <w:t>, S., Gandini, L., et al.</w:t>
      </w:r>
    </w:p>
    <w:p w14:paraId="6481063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(2011). Altered ultrastructure of mitochondrial membranes is strongly associated with</w:t>
      </w:r>
    </w:p>
    <w:p w14:paraId="44D8AD3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unexplained </w:t>
      </w:r>
      <w:proofErr w:type="spellStart"/>
      <w:r>
        <w:rPr>
          <w:rFonts w:ascii="Times New Roman" w:eastAsia="CIDFont" w:hAnsi="Times New Roman" w:cs="Times New Roman"/>
          <w:color w:val="000000"/>
          <w:kern w:val="0"/>
          <w:sz w:val="24"/>
          <w:szCs w:val="24"/>
          <w:lang w:eastAsia="zh-CN" w:bidi="ar"/>
        </w:rPr>
        <w:t>asthenozoospermia</w:t>
      </w:r>
      <w:proofErr w:type="spellEnd"/>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Fertility and Sterility</w:t>
      </w:r>
      <w:r>
        <w:rPr>
          <w:rFonts w:ascii="Times New Roman" w:eastAsia="CIDFont" w:hAnsi="Times New Roman" w:cs="Times New Roman"/>
          <w:color w:val="000000"/>
          <w:kern w:val="0"/>
          <w:sz w:val="24"/>
          <w:szCs w:val="24"/>
          <w:lang w:eastAsia="zh-CN" w:bidi="ar"/>
        </w:rPr>
        <w:t>, 95(2), 641–646.</w:t>
      </w:r>
    </w:p>
    <w:p w14:paraId="477A287E"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347039D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Sarah, B. B., &amp; Deekshita, R. (2022). The Global Care Economy. Global Health &amp; Gender</w:t>
      </w:r>
    </w:p>
    <w:p w14:paraId="5069008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Policy Brief.</w:t>
      </w:r>
    </w:p>
    <w:p w14:paraId="6745C65B"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7AD77B4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Schweiger, B., Klingensmith, G. J., &amp; Snell-Bergeon, J. K. (2010). </w:t>
      </w:r>
      <w:proofErr w:type="spellStart"/>
      <w:r>
        <w:rPr>
          <w:rFonts w:ascii="Times New Roman" w:eastAsia="CIDFont" w:hAnsi="Times New Roman" w:cs="Times New Roman"/>
          <w:color w:val="000000"/>
          <w:kern w:val="0"/>
          <w:sz w:val="24"/>
          <w:szCs w:val="24"/>
          <w:lang w:eastAsia="zh-CN" w:bidi="ar"/>
        </w:rPr>
        <w:t>Menarchal</w:t>
      </w:r>
      <w:proofErr w:type="spellEnd"/>
      <w:r>
        <w:rPr>
          <w:rFonts w:ascii="Times New Roman" w:eastAsia="CIDFont" w:hAnsi="Times New Roman" w:cs="Times New Roman"/>
          <w:color w:val="000000"/>
          <w:kern w:val="0"/>
          <w:sz w:val="24"/>
          <w:szCs w:val="24"/>
          <w:lang w:eastAsia="zh-CN" w:bidi="ar"/>
        </w:rPr>
        <w:t xml:space="preserve"> timing in type</w:t>
      </w:r>
    </w:p>
    <w:p w14:paraId="37A24EE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1 diabetes through the last 4 decades. </w:t>
      </w:r>
      <w:r>
        <w:rPr>
          <w:rFonts w:ascii="Times New Roman" w:eastAsia="CIDFont" w:hAnsi="Times New Roman" w:cs="Times New Roman"/>
          <w:i/>
          <w:iCs/>
          <w:color w:val="000000"/>
          <w:kern w:val="0"/>
          <w:sz w:val="24"/>
          <w:szCs w:val="24"/>
          <w:lang w:eastAsia="zh-CN" w:bidi="ar"/>
        </w:rPr>
        <w:t>Diabetes Care</w:t>
      </w:r>
      <w:r>
        <w:rPr>
          <w:rFonts w:ascii="Times New Roman" w:eastAsia="CIDFont" w:hAnsi="Times New Roman" w:cs="Times New Roman"/>
          <w:color w:val="000000"/>
          <w:kern w:val="0"/>
          <w:sz w:val="24"/>
          <w:szCs w:val="24"/>
          <w:lang w:eastAsia="zh-CN" w:bidi="ar"/>
        </w:rPr>
        <w:t>, 33(12), 2521–2523.</w:t>
      </w:r>
    </w:p>
    <w:p w14:paraId="68B9DF96"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3DC37E5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Sung, J. E., Choi, J. Y., Kim, J. E., Lee, H. A., Yun, W. B., Park, J. J., Kim, H. R., Song, B.</w:t>
      </w:r>
    </w:p>
    <w:p w14:paraId="0FD3C62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R., Kim, D. S., Lee, C. Y., Lee, H. S., Lim, Y., &amp; Hwang, D. Y. (2017). Hepatotoxicity and</w:t>
      </w:r>
    </w:p>
    <w:p w14:paraId="4A6660A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nephrotoxicity of saponin-enriched extract of Asparagus </w:t>
      </w:r>
      <w:proofErr w:type="spellStart"/>
      <w:r>
        <w:rPr>
          <w:rFonts w:ascii="Times New Roman" w:eastAsia="CIDFont" w:hAnsi="Times New Roman" w:cs="Times New Roman"/>
          <w:color w:val="000000"/>
          <w:kern w:val="0"/>
          <w:sz w:val="24"/>
          <w:szCs w:val="24"/>
          <w:lang w:eastAsia="zh-CN" w:bidi="ar"/>
        </w:rPr>
        <w:t>cochinchinensis</w:t>
      </w:r>
      <w:proofErr w:type="spellEnd"/>
      <w:r>
        <w:rPr>
          <w:rFonts w:ascii="Times New Roman" w:eastAsia="CIDFont" w:hAnsi="Times New Roman" w:cs="Times New Roman"/>
          <w:color w:val="000000"/>
          <w:kern w:val="0"/>
          <w:sz w:val="24"/>
          <w:szCs w:val="24"/>
          <w:lang w:eastAsia="zh-CN" w:bidi="ar"/>
        </w:rPr>
        <w:t xml:space="preserve"> in ICR mice.</w:t>
      </w:r>
    </w:p>
    <w:p w14:paraId="549691E7"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i/>
          <w:iCs/>
          <w:color w:val="000000"/>
          <w:kern w:val="0"/>
          <w:sz w:val="24"/>
          <w:szCs w:val="24"/>
          <w:lang w:eastAsia="zh-CN" w:bidi="ar"/>
        </w:rPr>
        <w:t>Laboratory Animal Research</w:t>
      </w:r>
      <w:r>
        <w:rPr>
          <w:rFonts w:ascii="Times New Roman" w:eastAsia="CIDFont" w:hAnsi="Times New Roman" w:cs="Times New Roman"/>
          <w:color w:val="000000"/>
          <w:kern w:val="0"/>
          <w:sz w:val="24"/>
          <w:szCs w:val="24"/>
          <w:lang w:eastAsia="zh-CN" w:bidi="ar"/>
        </w:rPr>
        <w:t xml:space="preserve">, 33(2), 57–67. </w:t>
      </w:r>
    </w:p>
    <w:p w14:paraId="2F681D57"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83A64F4"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Thoma</w:t>
      </w:r>
      <w:proofErr w:type="spellEnd"/>
      <w:r>
        <w:rPr>
          <w:rFonts w:ascii="Times New Roman" w:eastAsia="CIDFont" w:hAnsi="Times New Roman" w:cs="Times New Roman"/>
          <w:color w:val="000000"/>
          <w:kern w:val="0"/>
          <w:sz w:val="24"/>
          <w:szCs w:val="24"/>
          <w:lang w:eastAsia="zh-CN" w:bidi="ar"/>
        </w:rPr>
        <w:t xml:space="preserve">, M., Fledderjohann, J., Cox, C., &amp; </w:t>
      </w:r>
      <w:proofErr w:type="spellStart"/>
      <w:r>
        <w:rPr>
          <w:rFonts w:ascii="Times New Roman" w:eastAsia="CIDFont" w:hAnsi="Times New Roman" w:cs="Times New Roman"/>
          <w:color w:val="000000"/>
          <w:kern w:val="0"/>
          <w:sz w:val="24"/>
          <w:szCs w:val="24"/>
          <w:lang w:eastAsia="zh-CN" w:bidi="ar"/>
        </w:rPr>
        <w:t>Kantum</w:t>
      </w:r>
      <w:proofErr w:type="spellEnd"/>
      <w:r>
        <w:rPr>
          <w:rFonts w:ascii="Times New Roman" w:eastAsia="CIDFont" w:hAnsi="Times New Roman" w:cs="Times New Roman"/>
          <w:color w:val="000000"/>
          <w:kern w:val="0"/>
          <w:sz w:val="24"/>
          <w:szCs w:val="24"/>
          <w:lang w:eastAsia="zh-CN" w:bidi="ar"/>
        </w:rPr>
        <w:t xml:space="preserve"> </w:t>
      </w:r>
      <w:proofErr w:type="spellStart"/>
      <w:r>
        <w:rPr>
          <w:rFonts w:ascii="Times New Roman" w:eastAsia="CIDFont" w:hAnsi="Times New Roman" w:cs="Times New Roman"/>
          <w:color w:val="000000"/>
          <w:kern w:val="0"/>
          <w:sz w:val="24"/>
          <w:szCs w:val="24"/>
          <w:lang w:eastAsia="zh-CN" w:bidi="ar"/>
        </w:rPr>
        <w:t>Adageba</w:t>
      </w:r>
      <w:proofErr w:type="spellEnd"/>
      <w:r>
        <w:rPr>
          <w:rFonts w:ascii="Times New Roman" w:eastAsia="CIDFont" w:hAnsi="Times New Roman" w:cs="Times New Roman"/>
          <w:color w:val="000000"/>
          <w:kern w:val="0"/>
          <w:sz w:val="24"/>
          <w:szCs w:val="24"/>
          <w:lang w:eastAsia="zh-CN" w:bidi="ar"/>
        </w:rPr>
        <w:t>, R. (2021). Biological and social</w:t>
      </w:r>
    </w:p>
    <w:p w14:paraId="033FB00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aspects of human infertility: A global perspective. </w:t>
      </w:r>
      <w:r>
        <w:rPr>
          <w:rFonts w:ascii="Times New Roman" w:eastAsia="CIDFont" w:hAnsi="Times New Roman" w:cs="Times New Roman"/>
          <w:i/>
          <w:iCs/>
          <w:color w:val="000000"/>
          <w:kern w:val="0"/>
          <w:sz w:val="24"/>
          <w:szCs w:val="24"/>
          <w:lang w:eastAsia="zh-CN" w:bidi="ar"/>
        </w:rPr>
        <w:t>Oxford Research Encyclopedia of Global</w:t>
      </w:r>
    </w:p>
    <w:p w14:paraId="3D507F5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Public Health</w:t>
      </w:r>
      <w:r>
        <w:rPr>
          <w:rFonts w:ascii="Times New Roman" w:eastAsia="CIDFont" w:hAnsi="Times New Roman" w:cs="Times New Roman"/>
          <w:color w:val="000000"/>
          <w:kern w:val="0"/>
          <w:sz w:val="24"/>
          <w:szCs w:val="24"/>
          <w:lang w:eastAsia="zh-CN" w:bidi="ar"/>
        </w:rPr>
        <w:t>. Oxford University Press. Retrieved from https://oxfordre.com/publichealth/view/10.1093/acrefore/9780190632366.001.0001/acrefore-</w:t>
      </w:r>
    </w:p>
    <w:p w14:paraId="5431158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9780190632366-e-184 (Accessed June 1, 2021).</w:t>
      </w:r>
    </w:p>
    <w:p w14:paraId="7A14ABDE"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6126833"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Thong, E.P., Codner, E., Laven, J.S.E., &amp; </w:t>
      </w:r>
      <w:proofErr w:type="spellStart"/>
      <w:r>
        <w:rPr>
          <w:rFonts w:ascii="Times New Roman" w:eastAsia="CIDFont" w:hAnsi="Times New Roman" w:cs="Times New Roman"/>
          <w:color w:val="000000"/>
          <w:kern w:val="0"/>
          <w:sz w:val="24"/>
          <w:szCs w:val="24"/>
          <w:lang w:eastAsia="zh-CN" w:bidi="ar"/>
        </w:rPr>
        <w:t>Teede</w:t>
      </w:r>
      <w:proofErr w:type="spellEnd"/>
      <w:r>
        <w:rPr>
          <w:rFonts w:ascii="Times New Roman" w:eastAsia="CIDFont" w:hAnsi="Times New Roman" w:cs="Times New Roman"/>
          <w:color w:val="000000"/>
          <w:kern w:val="0"/>
          <w:sz w:val="24"/>
          <w:szCs w:val="24"/>
          <w:lang w:eastAsia="zh-CN" w:bidi="ar"/>
        </w:rPr>
        <w:t>, H. (2020). Diabetes: a metabolic and reproductive</w:t>
      </w:r>
    </w:p>
    <w:p w14:paraId="0B342C72"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disorder in women. Lancet, </w:t>
      </w:r>
      <w:r>
        <w:rPr>
          <w:rFonts w:ascii="Times New Roman" w:eastAsia="CIDFont" w:hAnsi="Times New Roman" w:cs="Times New Roman"/>
          <w:i/>
          <w:iCs/>
          <w:color w:val="000000"/>
          <w:kern w:val="0"/>
          <w:sz w:val="24"/>
          <w:szCs w:val="24"/>
          <w:lang w:eastAsia="zh-CN" w:bidi="ar"/>
        </w:rPr>
        <w:t>Diabetes &amp; Endocrinol</w:t>
      </w:r>
      <w:r>
        <w:rPr>
          <w:rFonts w:ascii="Times New Roman" w:eastAsia="CIDFont" w:hAnsi="Times New Roman" w:cs="Times New Roman"/>
          <w:color w:val="000000"/>
          <w:kern w:val="0"/>
          <w:sz w:val="24"/>
          <w:szCs w:val="24"/>
          <w:lang w:eastAsia="zh-CN" w:bidi="ar"/>
        </w:rPr>
        <w:t>, 8(2), 134-149.</w:t>
      </w:r>
    </w:p>
    <w:p w14:paraId="6B99C291"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04CA1483"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Ukwuani</w:t>
      </w:r>
      <w:proofErr w:type="spellEnd"/>
      <w:r>
        <w:rPr>
          <w:rFonts w:ascii="Times New Roman" w:eastAsia="CIDFont" w:hAnsi="Times New Roman" w:cs="Times New Roman"/>
          <w:color w:val="000000"/>
          <w:kern w:val="0"/>
          <w:sz w:val="24"/>
          <w:szCs w:val="24"/>
          <w:lang w:eastAsia="zh-CN" w:bidi="ar"/>
        </w:rPr>
        <w:t xml:space="preserve">, A., Abubakar, M., Hassan, S., &amp; </w:t>
      </w:r>
      <w:proofErr w:type="spellStart"/>
      <w:r>
        <w:rPr>
          <w:rFonts w:ascii="Times New Roman" w:eastAsia="CIDFont" w:hAnsi="Times New Roman" w:cs="Times New Roman"/>
          <w:color w:val="000000"/>
          <w:kern w:val="0"/>
          <w:sz w:val="24"/>
          <w:szCs w:val="24"/>
          <w:lang w:eastAsia="zh-CN" w:bidi="ar"/>
        </w:rPr>
        <w:t>Agaie</w:t>
      </w:r>
      <w:proofErr w:type="spellEnd"/>
      <w:r>
        <w:rPr>
          <w:rFonts w:ascii="Times New Roman" w:eastAsia="CIDFont" w:hAnsi="Times New Roman" w:cs="Times New Roman"/>
          <w:color w:val="000000"/>
          <w:kern w:val="0"/>
          <w:sz w:val="24"/>
          <w:szCs w:val="24"/>
          <w:lang w:eastAsia="zh-CN" w:bidi="ar"/>
        </w:rPr>
        <w:t>, B. (2012). Toxicological studies of</w:t>
      </w:r>
    </w:p>
    <w:p w14:paraId="5781A55A" w14:textId="77777777" w:rsidR="0035258B" w:rsidRDefault="00000000">
      <w:pPr>
        <w:spacing w:after="0" w:line="276" w:lineRule="auto"/>
        <w:ind w:hanging="720"/>
        <w:jc w:val="both"/>
        <w:rPr>
          <w:rFonts w:ascii="Times New Roman" w:hAnsi="Times New Roman" w:cs="Times New Roman"/>
          <w:sz w:val="24"/>
          <w:szCs w:val="24"/>
        </w:rPr>
      </w:pPr>
      <w:proofErr w:type="spellStart"/>
      <w:r>
        <w:rPr>
          <w:rFonts w:ascii="Times New Roman" w:eastAsia="CIDFont" w:hAnsi="Times New Roman" w:cs="Times New Roman"/>
          <w:color w:val="000000"/>
          <w:kern w:val="0"/>
          <w:sz w:val="24"/>
          <w:szCs w:val="24"/>
          <w:lang w:eastAsia="zh-CN" w:bidi="ar"/>
        </w:rPr>
        <w:t>hydromethanol</w:t>
      </w:r>
      <w:proofErr w:type="spellEnd"/>
      <w:r>
        <w:rPr>
          <w:rFonts w:ascii="Times New Roman" w:eastAsia="CIDFont" w:hAnsi="Times New Roman" w:cs="Times New Roman"/>
          <w:color w:val="000000"/>
          <w:kern w:val="0"/>
          <w:sz w:val="24"/>
          <w:szCs w:val="24"/>
          <w:lang w:eastAsia="zh-CN" w:bidi="ar"/>
        </w:rPr>
        <w:t xml:space="preserve"> leaves extract of Grewia crenata. </w:t>
      </w:r>
      <w:r>
        <w:rPr>
          <w:rFonts w:ascii="Times New Roman" w:eastAsia="CIDFont" w:hAnsi="Times New Roman" w:cs="Times New Roman"/>
          <w:i/>
          <w:iCs/>
          <w:color w:val="000000"/>
          <w:kern w:val="0"/>
          <w:sz w:val="24"/>
          <w:szCs w:val="24"/>
          <w:lang w:eastAsia="zh-CN" w:bidi="ar"/>
        </w:rPr>
        <w:t>International Journal of Pharmaceutical</w:t>
      </w:r>
    </w:p>
    <w:p w14:paraId="23B15DA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Sciences and Drug Research</w:t>
      </w:r>
      <w:r>
        <w:rPr>
          <w:rFonts w:ascii="Times New Roman" w:eastAsia="CIDFont" w:hAnsi="Times New Roman" w:cs="Times New Roman"/>
          <w:color w:val="000000"/>
          <w:kern w:val="0"/>
          <w:sz w:val="24"/>
          <w:szCs w:val="24"/>
          <w:lang w:eastAsia="zh-CN" w:bidi="ar"/>
        </w:rPr>
        <w:t>, 4(4), 245–249.</w:t>
      </w:r>
    </w:p>
    <w:p w14:paraId="66621E4A"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5D30E22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Wasilewski, T., Łukaszewicz-Zając, M., Wasilewska, J., &amp; Mroczko, B. (2020). Biochemistry</w:t>
      </w:r>
    </w:p>
    <w:p w14:paraId="3762151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of infertility. </w:t>
      </w:r>
      <w:r>
        <w:rPr>
          <w:rFonts w:ascii="Times New Roman" w:eastAsia="CIDFont" w:hAnsi="Times New Roman" w:cs="Times New Roman"/>
          <w:i/>
          <w:iCs/>
          <w:color w:val="000000"/>
          <w:kern w:val="0"/>
          <w:sz w:val="24"/>
          <w:szCs w:val="24"/>
          <w:lang w:eastAsia="zh-CN" w:bidi="ar"/>
        </w:rPr>
        <w:t>Clinica Chimica Acta</w:t>
      </w:r>
      <w:r>
        <w:rPr>
          <w:rFonts w:ascii="Times New Roman" w:eastAsia="CIDFont" w:hAnsi="Times New Roman" w:cs="Times New Roman"/>
          <w:color w:val="000000"/>
          <w:kern w:val="0"/>
          <w:sz w:val="24"/>
          <w:szCs w:val="24"/>
          <w:lang w:eastAsia="zh-CN" w:bidi="ar"/>
        </w:rPr>
        <w:t>, 508, 185–190.</w:t>
      </w:r>
    </w:p>
    <w:p w14:paraId="48D00266"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6EF8E43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Wei, Y., Xu, Q., Yang, H., Yang, Y., Wang, L., Chen, H., et al. (2019). Preconception diabetes</w:t>
      </w:r>
    </w:p>
    <w:p w14:paraId="5D58C23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mellitus and adverse pregnancy outcomes in over 6.4 million women: A population-based cohort</w:t>
      </w:r>
    </w:p>
    <w:p w14:paraId="311E96F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study in China. </w:t>
      </w:r>
      <w:proofErr w:type="spellStart"/>
      <w:r>
        <w:rPr>
          <w:rFonts w:ascii="Times New Roman" w:eastAsia="CIDFont" w:hAnsi="Times New Roman" w:cs="Times New Roman"/>
          <w:i/>
          <w:iCs/>
          <w:color w:val="000000"/>
          <w:kern w:val="0"/>
          <w:sz w:val="24"/>
          <w:szCs w:val="24"/>
          <w:lang w:eastAsia="zh-CN" w:bidi="ar"/>
        </w:rPr>
        <w:t>PLoS</w:t>
      </w:r>
      <w:proofErr w:type="spellEnd"/>
      <w:r>
        <w:rPr>
          <w:rFonts w:ascii="Times New Roman" w:eastAsia="CIDFont" w:hAnsi="Times New Roman" w:cs="Times New Roman"/>
          <w:i/>
          <w:iCs/>
          <w:color w:val="000000"/>
          <w:kern w:val="0"/>
          <w:sz w:val="24"/>
          <w:szCs w:val="24"/>
          <w:lang w:eastAsia="zh-CN" w:bidi="ar"/>
        </w:rPr>
        <w:t xml:space="preserve"> Medicine, 16</w:t>
      </w:r>
      <w:r>
        <w:rPr>
          <w:rFonts w:ascii="Times New Roman" w:eastAsia="CIDFont" w:hAnsi="Times New Roman" w:cs="Times New Roman"/>
          <w:color w:val="000000"/>
          <w:kern w:val="0"/>
          <w:sz w:val="24"/>
          <w:szCs w:val="24"/>
          <w:lang w:eastAsia="zh-CN" w:bidi="ar"/>
        </w:rPr>
        <w:t>(10), e1002926.</w:t>
      </w:r>
    </w:p>
    <w:p w14:paraId="7D9227F1"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Whitworth, K. W., Baird, D. D., Stene, L. C., </w:t>
      </w:r>
      <w:proofErr w:type="spellStart"/>
      <w:r>
        <w:rPr>
          <w:rFonts w:ascii="Times New Roman" w:eastAsia="CIDFont" w:hAnsi="Times New Roman" w:cs="Times New Roman"/>
          <w:color w:val="000000"/>
          <w:kern w:val="0"/>
          <w:sz w:val="24"/>
          <w:szCs w:val="24"/>
          <w:lang w:eastAsia="zh-CN" w:bidi="ar"/>
        </w:rPr>
        <w:t>Skjaerven</w:t>
      </w:r>
      <w:proofErr w:type="spellEnd"/>
      <w:r>
        <w:rPr>
          <w:rFonts w:ascii="Times New Roman" w:eastAsia="CIDFont" w:hAnsi="Times New Roman" w:cs="Times New Roman"/>
          <w:color w:val="000000"/>
          <w:kern w:val="0"/>
          <w:sz w:val="24"/>
          <w:szCs w:val="24"/>
          <w:lang w:eastAsia="zh-CN" w:bidi="ar"/>
        </w:rPr>
        <w:t>, R., &amp; Longnecker, M. P. (2011).</w:t>
      </w:r>
    </w:p>
    <w:p w14:paraId="6B133AD0"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Fecundability among women with type 1 and type 2 diabetes in the Norwegian Mother and Child</w:t>
      </w:r>
    </w:p>
    <w:p w14:paraId="5BC43DEA"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Cohort Study. </w:t>
      </w:r>
      <w:proofErr w:type="spellStart"/>
      <w:r>
        <w:rPr>
          <w:rFonts w:ascii="Times New Roman" w:eastAsia="CIDFont" w:hAnsi="Times New Roman" w:cs="Times New Roman"/>
          <w:i/>
          <w:iCs/>
          <w:color w:val="000000"/>
          <w:kern w:val="0"/>
          <w:sz w:val="24"/>
          <w:szCs w:val="24"/>
          <w:lang w:eastAsia="zh-CN" w:bidi="ar"/>
        </w:rPr>
        <w:t>Diabetologia</w:t>
      </w:r>
      <w:proofErr w:type="spellEnd"/>
      <w:r>
        <w:rPr>
          <w:rFonts w:ascii="Times New Roman" w:eastAsia="CIDFont" w:hAnsi="Times New Roman" w:cs="Times New Roman"/>
          <w:color w:val="000000"/>
          <w:kern w:val="0"/>
          <w:sz w:val="24"/>
          <w:szCs w:val="24"/>
          <w:lang w:eastAsia="zh-CN" w:bidi="ar"/>
        </w:rPr>
        <w:t xml:space="preserve">, </w:t>
      </w:r>
      <w:r>
        <w:rPr>
          <w:rFonts w:ascii="Times New Roman" w:eastAsia="CIDFont" w:hAnsi="Times New Roman" w:cs="Times New Roman"/>
          <w:i/>
          <w:iCs/>
          <w:color w:val="000000"/>
          <w:kern w:val="0"/>
          <w:sz w:val="24"/>
          <w:szCs w:val="24"/>
          <w:lang w:eastAsia="zh-CN" w:bidi="ar"/>
        </w:rPr>
        <w:t>54</w:t>
      </w:r>
      <w:r>
        <w:rPr>
          <w:rFonts w:ascii="Times New Roman" w:eastAsia="CIDFont" w:hAnsi="Times New Roman" w:cs="Times New Roman"/>
          <w:color w:val="000000"/>
          <w:kern w:val="0"/>
          <w:sz w:val="24"/>
          <w:szCs w:val="24"/>
          <w:lang w:eastAsia="zh-CN" w:bidi="ar"/>
        </w:rPr>
        <w:t xml:space="preserve">(3), 516–522. </w:t>
      </w:r>
    </w:p>
    <w:p w14:paraId="128819B2"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A4E736C"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World Bank. (2022). Annual population growth report 2022. Retrieved from </w:t>
      </w:r>
      <w:proofErr w:type="gramStart"/>
      <w:r>
        <w:rPr>
          <w:rFonts w:ascii="Times New Roman" w:eastAsia="CIDFont" w:hAnsi="Times New Roman" w:cs="Times New Roman"/>
          <w:color w:val="0000FF"/>
          <w:kern w:val="0"/>
          <w:sz w:val="24"/>
          <w:szCs w:val="24"/>
          <w:lang w:eastAsia="zh-CN" w:bidi="ar"/>
        </w:rPr>
        <w:t>https://www.worldbank.org/[</w:t>
      </w:r>
      <w:proofErr w:type="gramEnd"/>
      <w:r>
        <w:rPr>
          <w:rFonts w:ascii="Times New Roman" w:eastAsia="CIDFont" w:hAnsi="Times New Roman" w:cs="Times New Roman"/>
          <w:color w:val="0000FF"/>
          <w:kern w:val="0"/>
          <w:sz w:val="24"/>
          <w:szCs w:val="24"/>
          <w:lang w:eastAsia="zh-CN" w:bidi="ar"/>
        </w:rPr>
        <w:t>actual</w:t>
      </w:r>
      <w:r>
        <w:rPr>
          <w:rFonts w:ascii="Times New Roman" w:eastAsia="CIDFont" w:hAnsi="Times New Roman" w:cs="Times New Roman"/>
          <w:color w:val="000000"/>
          <w:kern w:val="0"/>
          <w:sz w:val="24"/>
          <w:szCs w:val="24"/>
          <w:lang w:eastAsia="zh-CN" w:bidi="ar"/>
        </w:rPr>
        <w:t xml:space="preserve"> URL].</w:t>
      </w:r>
    </w:p>
    <w:p w14:paraId="7EAE9AB9"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0B7296A8"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World Health Organization. (2021). WHO fact sheet on infertility. Global Reproductive</w:t>
      </w:r>
    </w:p>
    <w:p w14:paraId="460A70CA" w14:textId="77777777" w:rsidR="0035258B" w:rsidRDefault="00000000">
      <w:pPr>
        <w:spacing w:after="0" w:line="276" w:lineRule="auto"/>
        <w:ind w:hanging="720"/>
        <w:jc w:val="both"/>
        <w:rPr>
          <w:rFonts w:ascii="Times New Roman" w:eastAsia="CIDFont" w:hAnsi="Times New Roman" w:cs="Times New Roman"/>
          <w:color w:val="000000"/>
          <w:kern w:val="0"/>
          <w:sz w:val="24"/>
          <w:szCs w:val="24"/>
          <w:lang w:eastAsia="zh-CN" w:bidi="ar"/>
        </w:rPr>
      </w:pPr>
      <w:r>
        <w:rPr>
          <w:rFonts w:ascii="Times New Roman" w:eastAsia="CIDFont" w:hAnsi="Times New Roman" w:cs="Times New Roman"/>
          <w:color w:val="000000"/>
          <w:kern w:val="0"/>
          <w:sz w:val="24"/>
          <w:szCs w:val="24"/>
          <w:lang w:eastAsia="zh-CN" w:bidi="ar"/>
        </w:rPr>
        <w:t xml:space="preserve">Health, 6(1), e52. </w:t>
      </w:r>
    </w:p>
    <w:p w14:paraId="1995D358"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23D9A84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Yeshaya, A., Orvieto, R., Dicker, D., Karp, M., &amp; Ben-Rafael, Z. (1995). Menstrual</w:t>
      </w:r>
    </w:p>
    <w:p w14:paraId="7019159D"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characteristics of women suffering from insulin-dependent diabetes mellitus. </w:t>
      </w:r>
      <w:r>
        <w:rPr>
          <w:rFonts w:ascii="Times New Roman" w:eastAsia="CIDFont" w:hAnsi="Times New Roman" w:cs="Times New Roman"/>
          <w:i/>
          <w:iCs/>
          <w:color w:val="000000"/>
          <w:kern w:val="0"/>
          <w:sz w:val="24"/>
          <w:szCs w:val="24"/>
          <w:lang w:eastAsia="zh-CN" w:bidi="ar"/>
        </w:rPr>
        <w:t>International</w:t>
      </w:r>
    </w:p>
    <w:p w14:paraId="0D5F0AD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Journal of Fertility and Menopausal Studies</w:t>
      </w:r>
      <w:r>
        <w:rPr>
          <w:rFonts w:ascii="Times New Roman" w:eastAsia="CIDFont" w:hAnsi="Times New Roman" w:cs="Times New Roman"/>
          <w:color w:val="000000"/>
          <w:kern w:val="0"/>
          <w:sz w:val="24"/>
          <w:szCs w:val="24"/>
          <w:lang w:eastAsia="zh-CN" w:bidi="ar"/>
        </w:rPr>
        <w:t>, 40(5), 269–273.</w:t>
      </w:r>
    </w:p>
    <w:p w14:paraId="1230B09B"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70F3E87F"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Yusuf, A. A., Lawal, B., </w:t>
      </w:r>
      <w:proofErr w:type="spellStart"/>
      <w:r>
        <w:rPr>
          <w:rFonts w:ascii="Times New Roman" w:eastAsia="CIDFont" w:hAnsi="Times New Roman" w:cs="Times New Roman"/>
          <w:color w:val="000000"/>
          <w:kern w:val="0"/>
          <w:sz w:val="24"/>
          <w:szCs w:val="24"/>
          <w:lang w:eastAsia="zh-CN" w:bidi="ar"/>
        </w:rPr>
        <w:t>Alozieuwa</w:t>
      </w:r>
      <w:proofErr w:type="spellEnd"/>
      <w:r>
        <w:rPr>
          <w:rFonts w:ascii="Times New Roman" w:eastAsia="CIDFont" w:hAnsi="Times New Roman" w:cs="Times New Roman"/>
          <w:color w:val="000000"/>
          <w:kern w:val="0"/>
          <w:sz w:val="24"/>
          <w:szCs w:val="24"/>
          <w:lang w:eastAsia="zh-CN" w:bidi="ar"/>
        </w:rPr>
        <w:t xml:space="preserve">, U. B., </w:t>
      </w:r>
      <w:proofErr w:type="spellStart"/>
      <w:r>
        <w:rPr>
          <w:rFonts w:ascii="Times New Roman" w:eastAsia="CIDFont" w:hAnsi="Times New Roman" w:cs="Times New Roman"/>
          <w:color w:val="000000"/>
          <w:kern w:val="0"/>
          <w:sz w:val="24"/>
          <w:szCs w:val="24"/>
          <w:lang w:eastAsia="zh-CN" w:bidi="ar"/>
        </w:rPr>
        <w:t>Onikanni</w:t>
      </w:r>
      <w:proofErr w:type="spellEnd"/>
      <w:r>
        <w:rPr>
          <w:rFonts w:ascii="Times New Roman" w:eastAsia="CIDFont" w:hAnsi="Times New Roman" w:cs="Times New Roman"/>
          <w:color w:val="000000"/>
          <w:kern w:val="0"/>
          <w:sz w:val="24"/>
          <w:szCs w:val="24"/>
          <w:lang w:eastAsia="zh-CN" w:bidi="ar"/>
        </w:rPr>
        <w:t xml:space="preserve">, A. S., Lukman, H. Y., </w:t>
      </w:r>
      <w:proofErr w:type="spellStart"/>
      <w:r>
        <w:rPr>
          <w:rFonts w:ascii="Times New Roman" w:eastAsia="CIDFont" w:hAnsi="Times New Roman" w:cs="Times New Roman"/>
          <w:color w:val="000000"/>
          <w:kern w:val="0"/>
          <w:sz w:val="24"/>
          <w:szCs w:val="24"/>
          <w:lang w:eastAsia="zh-CN" w:bidi="ar"/>
        </w:rPr>
        <w:t>Fadaka</w:t>
      </w:r>
      <w:proofErr w:type="spellEnd"/>
      <w:r>
        <w:rPr>
          <w:rFonts w:ascii="Times New Roman" w:eastAsia="CIDFont" w:hAnsi="Times New Roman" w:cs="Times New Roman"/>
          <w:color w:val="000000"/>
          <w:kern w:val="0"/>
          <w:sz w:val="24"/>
          <w:szCs w:val="24"/>
          <w:lang w:eastAsia="zh-CN" w:bidi="ar"/>
        </w:rPr>
        <w:t>, A. O.,</w:t>
      </w:r>
    </w:p>
    <w:p w14:paraId="582B473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Olawale, F., Osuji, O., Sani, S., Owolabi, M. S., Adewuyi, A. H., Yusuf, D. H., </w:t>
      </w:r>
      <w:proofErr w:type="spellStart"/>
      <w:r>
        <w:rPr>
          <w:rFonts w:ascii="Times New Roman" w:eastAsia="CIDFont" w:hAnsi="Times New Roman" w:cs="Times New Roman"/>
          <w:color w:val="000000"/>
          <w:kern w:val="0"/>
          <w:sz w:val="24"/>
          <w:szCs w:val="24"/>
          <w:lang w:eastAsia="zh-CN" w:bidi="ar"/>
        </w:rPr>
        <w:t>Batiha</w:t>
      </w:r>
      <w:proofErr w:type="spellEnd"/>
      <w:r>
        <w:rPr>
          <w:rFonts w:ascii="Times New Roman" w:eastAsia="CIDFont" w:hAnsi="Times New Roman" w:cs="Times New Roman"/>
          <w:color w:val="000000"/>
          <w:kern w:val="0"/>
          <w:sz w:val="24"/>
          <w:szCs w:val="24"/>
          <w:lang w:eastAsia="zh-CN" w:bidi="ar"/>
        </w:rPr>
        <w:t>, G. E.,</w:t>
      </w:r>
    </w:p>
    <w:p w14:paraId="0F573B22"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lastRenderedPageBreak/>
        <w:t xml:space="preserve">Ataya, F. S., &amp; Fouad, D. (2023). Attenuating effects of Azanza </w:t>
      </w:r>
      <w:proofErr w:type="spellStart"/>
      <w:r>
        <w:rPr>
          <w:rFonts w:ascii="Times New Roman" w:eastAsia="CIDFont" w:hAnsi="Times New Roman" w:cs="Times New Roman"/>
          <w:color w:val="000000"/>
          <w:kern w:val="0"/>
          <w:sz w:val="24"/>
          <w:szCs w:val="24"/>
          <w:lang w:eastAsia="zh-CN" w:bidi="ar"/>
        </w:rPr>
        <w:t>garckeana</w:t>
      </w:r>
      <w:proofErr w:type="spellEnd"/>
      <w:r>
        <w:rPr>
          <w:rFonts w:ascii="Times New Roman" w:eastAsia="CIDFont" w:hAnsi="Times New Roman" w:cs="Times New Roman"/>
          <w:color w:val="000000"/>
          <w:kern w:val="0"/>
          <w:sz w:val="24"/>
          <w:szCs w:val="24"/>
          <w:lang w:eastAsia="zh-CN" w:bidi="ar"/>
        </w:rPr>
        <w:t xml:space="preserve"> fractions on </w:t>
      </w:r>
      <w:proofErr w:type="spellStart"/>
      <w:r>
        <w:rPr>
          <w:rFonts w:ascii="Times New Roman" w:eastAsia="CIDFont" w:hAnsi="Times New Roman" w:cs="Times New Roman"/>
          <w:color w:val="000000"/>
          <w:kern w:val="0"/>
          <w:sz w:val="24"/>
          <w:szCs w:val="24"/>
          <w:lang w:eastAsia="zh-CN" w:bidi="ar"/>
        </w:rPr>
        <w:t>glycemoimpaired</w:t>
      </w:r>
      <w:proofErr w:type="spellEnd"/>
      <w:r>
        <w:rPr>
          <w:rFonts w:ascii="Times New Roman" w:eastAsia="CIDFont" w:hAnsi="Times New Roman" w:cs="Times New Roman"/>
          <w:color w:val="000000"/>
          <w:kern w:val="0"/>
          <w:sz w:val="24"/>
          <w:szCs w:val="24"/>
          <w:lang w:eastAsia="zh-CN" w:bidi="ar"/>
        </w:rPr>
        <w:t xml:space="preserve">-associated dyslipidemia, hepatopathy, and nephropathy. </w:t>
      </w:r>
      <w:r>
        <w:rPr>
          <w:rFonts w:ascii="Times New Roman" w:eastAsia="CIDFont" w:hAnsi="Times New Roman" w:cs="Times New Roman"/>
          <w:i/>
          <w:iCs/>
          <w:color w:val="000000"/>
          <w:kern w:val="0"/>
          <w:sz w:val="24"/>
          <w:szCs w:val="24"/>
          <w:lang w:eastAsia="zh-CN" w:bidi="ar"/>
        </w:rPr>
        <w:t>American Journal of</w:t>
      </w:r>
    </w:p>
    <w:p w14:paraId="2084456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Translational Research</w:t>
      </w:r>
      <w:r>
        <w:rPr>
          <w:rFonts w:ascii="Times New Roman" w:eastAsia="CIDFont" w:hAnsi="Times New Roman" w:cs="Times New Roman"/>
          <w:color w:val="000000"/>
          <w:kern w:val="0"/>
          <w:sz w:val="24"/>
          <w:szCs w:val="24"/>
          <w:lang w:eastAsia="zh-CN" w:bidi="ar"/>
        </w:rPr>
        <w:t>, 15(10), 5997–6014.</w:t>
      </w:r>
    </w:p>
    <w:p w14:paraId="0D66F675"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20993E9"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Zegers-Hochschild, F., Adamson, G. D., De Mouzon, J., Ishihara, O., Mansour, R., et al.</w:t>
      </w:r>
    </w:p>
    <w:p w14:paraId="047C2E56"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(2009). International Committee for Monitoring Assisted Reproductive Technology (ICMART)</w:t>
      </w:r>
    </w:p>
    <w:p w14:paraId="2B0A40C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and the World Health Organization (WHO) revised glossary of ART terminology. </w:t>
      </w:r>
      <w:r>
        <w:rPr>
          <w:rFonts w:ascii="Times New Roman" w:eastAsia="CIDFont" w:hAnsi="Times New Roman" w:cs="Times New Roman"/>
          <w:i/>
          <w:iCs/>
          <w:color w:val="000000"/>
          <w:kern w:val="0"/>
          <w:sz w:val="24"/>
          <w:szCs w:val="24"/>
          <w:lang w:eastAsia="zh-CN" w:bidi="ar"/>
        </w:rPr>
        <w:t>Fertility and</w:t>
      </w:r>
    </w:p>
    <w:p w14:paraId="4364F514"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i/>
          <w:iCs/>
          <w:color w:val="000000"/>
          <w:kern w:val="0"/>
          <w:sz w:val="24"/>
          <w:szCs w:val="24"/>
          <w:lang w:eastAsia="zh-CN" w:bidi="ar"/>
        </w:rPr>
        <w:t>Sterility</w:t>
      </w:r>
      <w:r>
        <w:rPr>
          <w:rFonts w:ascii="Times New Roman" w:eastAsia="CIDFont" w:hAnsi="Times New Roman" w:cs="Times New Roman"/>
          <w:color w:val="000000"/>
          <w:kern w:val="0"/>
          <w:sz w:val="24"/>
          <w:szCs w:val="24"/>
          <w:lang w:eastAsia="zh-CN" w:bidi="ar"/>
        </w:rPr>
        <w:t>, 92, 1520–1524.</w:t>
      </w:r>
    </w:p>
    <w:p w14:paraId="131ADCBB" w14:textId="77777777" w:rsidR="0035258B" w:rsidRDefault="0035258B">
      <w:pPr>
        <w:spacing w:after="0" w:line="276" w:lineRule="auto"/>
        <w:jc w:val="both"/>
        <w:rPr>
          <w:rFonts w:ascii="Times New Roman" w:eastAsia="CIDFont" w:hAnsi="Times New Roman" w:cs="Times New Roman"/>
          <w:color w:val="000000"/>
          <w:kern w:val="0"/>
          <w:sz w:val="24"/>
          <w:szCs w:val="24"/>
          <w:lang w:eastAsia="zh-CN" w:bidi="ar"/>
        </w:rPr>
      </w:pPr>
    </w:p>
    <w:p w14:paraId="0892AAF5"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Zhang, Y. J., Gan, R. Y., Li, S., Zhou, Y., Li, A. N., Xu, D. P., Li, H. B. (2015). Antioxidant</w:t>
      </w:r>
    </w:p>
    <w:p w14:paraId="7DB5353E"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 xml:space="preserve">phytochemicals for the prevention and treatment of chronic diseases. </w:t>
      </w:r>
      <w:r>
        <w:rPr>
          <w:rFonts w:ascii="Times New Roman" w:eastAsia="CIDFont" w:hAnsi="Times New Roman" w:cs="Times New Roman"/>
          <w:i/>
          <w:iCs/>
          <w:color w:val="000000"/>
          <w:kern w:val="0"/>
          <w:sz w:val="24"/>
          <w:szCs w:val="24"/>
          <w:lang w:eastAsia="zh-CN" w:bidi="ar"/>
        </w:rPr>
        <w:t>Molecules</w:t>
      </w:r>
      <w:r>
        <w:rPr>
          <w:rFonts w:ascii="Times New Roman" w:eastAsia="CIDFont" w:hAnsi="Times New Roman" w:cs="Times New Roman"/>
          <w:color w:val="000000"/>
          <w:kern w:val="0"/>
          <w:sz w:val="24"/>
          <w:szCs w:val="24"/>
          <w:lang w:eastAsia="zh-CN" w:bidi="ar"/>
        </w:rPr>
        <w:t>, 20, 21138-</w:t>
      </w:r>
    </w:p>
    <w:p w14:paraId="2BC88D3A" w14:textId="77777777" w:rsidR="0035258B" w:rsidRDefault="00000000">
      <w:pPr>
        <w:spacing w:after="0" w:line="276" w:lineRule="auto"/>
        <w:ind w:hanging="720"/>
        <w:jc w:val="both"/>
        <w:rPr>
          <w:rFonts w:ascii="Times New Roman" w:hAnsi="Times New Roman" w:cs="Times New Roman"/>
          <w:sz w:val="24"/>
          <w:szCs w:val="24"/>
        </w:rPr>
      </w:pPr>
      <w:r>
        <w:rPr>
          <w:rFonts w:ascii="Times New Roman" w:eastAsia="CIDFont" w:hAnsi="Times New Roman" w:cs="Times New Roman"/>
          <w:color w:val="000000"/>
          <w:kern w:val="0"/>
          <w:sz w:val="24"/>
          <w:szCs w:val="24"/>
          <w:lang w:eastAsia="zh-CN" w:bidi="ar"/>
        </w:rPr>
        <w:t>21156.</w:t>
      </w:r>
    </w:p>
    <w:p w14:paraId="47DEADBB" w14:textId="77777777" w:rsidR="0035258B" w:rsidRDefault="0035258B">
      <w:pPr>
        <w:spacing w:after="0" w:line="276" w:lineRule="auto"/>
        <w:ind w:hanging="720"/>
        <w:jc w:val="both"/>
        <w:rPr>
          <w:rFonts w:ascii="Times New Roman" w:eastAsia="CIDFont" w:hAnsi="Times New Roman" w:cs="Times New Roman"/>
          <w:color w:val="000000"/>
          <w:kern w:val="0"/>
          <w:sz w:val="24"/>
          <w:szCs w:val="24"/>
          <w:lang w:eastAsia="zh-CN" w:bidi="ar"/>
        </w:rPr>
      </w:pPr>
    </w:p>
    <w:p w14:paraId="44BBB999" w14:textId="77777777" w:rsidR="0035258B" w:rsidRDefault="0035258B">
      <w:pPr>
        <w:spacing w:line="276" w:lineRule="auto"/>
        <w:ind w:hanging="720"/>
        <w:jc w:val="both"/>
        <w:rPr>
          <w:rFonts w:ascii="Times New Roman" w:eastAsia="CIDFont" w:hAnsi="Times New Roman" w:cs="Times New Roman"/>
          <w:b/>
          <w:bCs/>
          <w:color w:val="000000"/>
          <w:kern w:val="0"/>
          <w:sz w:val="24"/>
          <w:szCs w:val="24"/>
          <w:lang w:eastAsia="zh-CN" w:bidi="ar"/>
        </w:rPr>
      </w:pPr>
    </w:p>
    <w:sectPr w:rsidR="0035258B">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B91FF" w14:textId="77777777" w:rsidR="00A565CB" w:rsidRDefault="00A565CB">
      <w:pPr>
        <w:spacing w:line="240" w:lineRule="auto"/>
      </w:pPr>
      <w:r>
        <w:separator/>
      </w:r>
    </w:p>
  </w:endnote>
  <w:endnote w:type="continuationSeparator" w:id="0">
    <w:p w14:paraId="13702069" w14:textId="77777777" w:rsidR="00A565CB" w:rsidRDefault="00A565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IDFont">
    <w:altName w:val="Segoe Print"/>
    <w:charset w:val="00"/>
    <w:family w:val="auto"/>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4FBBF" w14:textId="77777777" w:rsidR="009510D2" w:rsidRDefault="00951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B547" w14:textId="77777777" w:rsidR="009510D2" w:rsidRDefault="009510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753F" w14:textId="77777777" w:rsidR="009510D2" w:rsidRDefault="009510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9D40" w14:textId="77777777" w:rsidR="0035258B" w:rsidRDefault="003525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1039" w14:textId="77777777" w:rsidR="0035258B" w:rsidRDefault="003525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34466" w14:textId="77777777" w:rsidR="0035258B" w:rsidRDefault="00352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EA3B" w14:textId="77777777" w:rsidR="00A565CB" w:rsidRDefault="00A565CB">
      <w:pPr>
        <w:spacing w:after="0"/>
      </w:pPr>
      <w:r>
        <w:separator/>
      </w:r>
    </w:p>
  </w:footnote>
  <w:footnote w:type="continuationSeparator" w:id="0">
    <w:p w14:paraId="5FD7A318" w14:textId="77777777" w:rsidR="00A565CB" w:rsidRDefault="00A565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3F71" w14:textId="6E2CC2F9" w:rsidR="009510D2" w:rsidRDefault="009510D2">
    <w:pPr>
      <w:pStyle w:val="Header"/>
    </w:pPr>
    <w:r>
      <w:rPr>
        <w:noProof/>
      </w:rPr>
      <w:pict w14:anchorId="60711B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4" o:spid="_x0000_s1026" type="#_x0000_t136" style="position:absolute;margin-left:0;margin-top:0;width:555.6pt;height:104.15pt;rotation:315;z-index:-251649024;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B613" w14:textId="7EACE89A" w:rsidR="009510D2" w:rsidRDefault="009510D2">
    <w:pPr>
      <w:pStyle w:val="Header"/>
    </w:pPr>
    <w:r>
      <w:rPr>
        <w:noProof/>
      </w:rPr>
      <w:pict w14:anchorId="513F26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5" o:spid="_x0000_s1027" type="#_x0000_t136" style="position:absolute;margin-left:0;margin-top:0;width:555.6pt;height:104.15pt;rotation:315;z-index:-25164697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D665" w14:textId="5EF2642C" w:rsidR="009510D2" w:rsidRDefault="009510D2">
    <w:pPr>
      <w:pStyle w:val="Header"/>
    </w:pPr>
    <w:r>
      <w:rPr>
        <w:noProof/>
      </w:rPr>
      <w:pict w14:anchorId="3CC4A4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3" o:spid="_x0000_s1025" type="#_x0000_t136" style="position:absolute;margin-left:0;margin-top:0;width:555.6pt;height:104.15pt;rotation:315;z-index:-25165107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671A" w14:textId="3B1373CF" w:rsidR="009510D2" w:rsidRDefault="009510D2">
    <w:pPr>
      <w:pStyle w:val="Header"/>
    </w:pPr>
    <w:r>
      <w:rPr>
        <w:noProof/>
      </w:rPr>
      <w:pict w14:anchorId="03645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7" o:spid="_x0000_s1031" type="#_x0000_t136" style="position:absolute;margin-left:0;margin-top:0;width:555.6pt;height:104.15pt;rotation:315;z-index:-25163878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3EA679A">
        <v:shape id="_x0000_s1030" type="#_x0000_t136" style="position:absolute;margin-left:0;margin-top:0;width:555.6pt;height:104.15pt;rotation:315;z-index:-25164083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C5CC" w14:textId="00D2688C" w:rsidR="00704B93" w:rsidRDefault="009510D2">
    <w:pPr>
      <w:pStyle w:val="BodyText"/>
      <w:spacing w:line="14" w:lineRule="auto"/>
      <w:rPr>
        <w:sz w:val="20"/>
      </w:rPr>
    </w:pPr>
    <w:r>
      <w:rPr>
        <w:noProof/>
      </w:rPr>
      <w:pict w14:anchorId="2509B7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8" o:spid="_x0000_s1032" type="#_x0000_t136" style="position:absolute;margin-left:0;margin-top:0;width:555.6pt;height:104.15pt;rotation:315;z-index:-251636736;mso-position-horizontal:center;mso-position-horizontal-relative:margin;mso-position-vertical:center;mso-position-vertical-relative:margin" o:allowincell="f" fillcolor="silver" stroked="f">
          <v:fill opacity=".5"/>
          <v:textpath style="font-family:&quot;Calibri&quot;;font-size:1pt" string="UNDER PEER REVIEW"/>
        </v:shape>
      </w:pict>
    </w:r>
    <w:r w:rsidR="00704B93">
      <w:rPr>
        <w:noProof/>
        <w:sz w:val="20"/>
      </w:rPr>
      <mc:AlternateContent>
        <mc:Choice Requires="wps">
          <w:drawing>
            <wp:anchor distT="0" distB="0" distL="0" distR="0" simplePos="0" relativeHeight="251659264" behindDoc="1" locked="0" layoutInCell="1" allowOverlap="1" wp14:anchorId="373FF42F" wp14:editId="2B877D27">
              <wp:simplePos x="0" y="0"/>
              <wp:positionH relativeFrom="page">
                <wp:posOffset>3801745</wp:posOffset>
              </wp:positionH>
              <wp:positionV relativeFrom="page">
                <wp:posOffset>464185</wp:posOffset>
              </wp:positionV>
              <wp:extent cx="167640" cy="165735"/>
              <wp:effectExtent l="0" t="0" r="0" b="0"/>
              <wp:wrapNone/>
              <wp:docPr id="19" name="Textbox 19"/>
              <wp:cNvGraphicFramePr/>
              <a:graphic xmlns:a="http://schemas.openxmlformats.org/drawingml/2006/main">
                <a:graphicData uri="http://schemas.microsoft.com/office/word/2010/wordprocessingShape">
                  <wps:wsp>
                    <wps:cNvSpPr txBox="1"/>
                    <wps:spPr>
                      <a:xfrm>
                        <a:off x="0" y="0"/>
                        <a:ext cx="167640" cy="165735"/>
                      </a:xfrm>
                      <a:prstGeom prst="rect">
                        <a:avLst/>
                      </a:prstGeom>
                    </wps:spPr>
                    <wps:txbx>
                      <w:txbxContent>
                        <w:p w14:paraId="1431CF72" w14:textId="77777777" w:rsidR="00704B93" w:rsidRDefault="00704B93">
                          <w:pPr>
                            <w:spacing w:line="244"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type w14:anchorId="373FF42F" id="_x0000_t202" coordsize="21600,21600" o:spt="202" path="m,l,21600r21600,l21600,xe">
              <v:stroke joinstyle="miter"/>
              <v:path gradientshapeok="t" o:connecttype="rect"/>
            </v:shapetype>
            <v:shape id="Textbox 19" o:spid="_x0000_s1026" type="#_x0000_t202" style="position:absolute;margin-left:299.35pt;margin-top:36.55pt;width:13.2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" filled="f" stroked="f">
              <v:textbox inset="0,0,0,0">
                <w:txbxContent>
                  <w:p w14:paraId="1431CF72" w14:textId="77777777" w:rsidR="00704B93" w:rsidRDefault="00704B93">
                    <w:pPr>
                      <w:spacing w:line="244" w:lineRule="exact"/>
                      <w:ind w:left="20"/>
                      <w:rPr>
                        <w:rFonts w:ascii="Calibri"/>
                      </w:rPr>
                    </w:pPr>
                    <w:r>
                      <w:rPr>
                        <w:rFonts w:ascii="Calibri"/>
                        <w:spacing w:val="-5"/>
                      </w:rPr>
                      <w:t>70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2BB2" w14:textId="0E2129F5" w:rsidR="009510D2" w:rsidRDefault="009510D2">
    <w:pPr>
      <w:pStyle w:val="Header"/>
    </w:pPr>
    <w:r>
      <w:rPr>
        <w:noProof/>
      </w:rPr>
      <w:pict w14:anchorId="0E131B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6" o:spid="_x0000_s1029" type="#_x0000_t136" style="position:absolute;margin-left:0;margin-top:0;width:555.6pt;height:104.15pt;rotation:315;z-index:-25164288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A1D843F">
        <v:shape id="_x0000_s1028" type="#_x0000_t136" style="position:absolute;margin-left:0;margin-top:0;width:555.6pt;height:104.15pt;rotation:315;z-index:-25164492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00A5" w14:textId="4FE76C06" w:rsidR="009510D2" w:rsidRDefault="009510D2">
    <w:pPr>
      <w:pStyle w:val="Header"/>
    </w:pPr>
    <w:r>
      <w:rPr>
        <w:noProof/>
      </w:rPr>
      <w:pict w14:anchorId="1C99B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0" o:spid="_x0000_s1038" type="#_x0000_t136" style="position:absolute;margin-left:0;margin-top:0;width:555.6pt;height:104.15pt;rotation:315;z-index:-25162649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0F106399">
        <v:shape id="_x0000_s1037" type="#_x0000_t136" style="position:absolute;margin-left:0;margin-top:0;width:555.6pt;height:104.15pt;rotation:315;z-index:-25162854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02C9AF84">
        <v:shape id="_x0000_s1036" type="#_x0000_t136" style="position:absolute;margin-left:0;margin-top:0;width:555.6pt;height:104.15pt;rotation:315;z-index:-2516295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CB341" w14:textId="023C0781" w:rsidR="00704B93" w:rsidRDefault="009510D2">
    <w:pPr>
      <w:pStyle w:val="BodyText"/>
      <w:spacing w:line="14" w:lineRule="auto"/>
      <w:rPr>
        <w:sz w:val="20"/>
      </w:rPr>
    </w:pPr>
    <w:r>
      <w:rPr>
        <w:noProof/>
      </w:rPr>
      <w:pict w14:anchorId="69A1E0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1" o:spid="_x0000_s1039" type="#_x0000_t136" style="position:absolute;margin-left:0;margin-top:0;width:555.6pt;height:104.15pt;rotation:315;z-index:-251624448;mso-position-horizontal:center;mso-position-horizontal-relative:margin;mso-position-vertical:center;mso-position-vertical-relative:margin" o:allowincell="f" fillcolor="silver" stroked="f">
          <v:fill opacity=".5"/>
          <v:textpath style="font-family:&quot;Calibri&quot;;font-size:1pt" string="UNDER PEER REVIEW"/>
        </v:shape>
      </w:pict>
    </w:r>
    <w:r w:rsidR="00704B93">
      <w:rPr>
        <w:noProof/>
        <w:sz w:val="20"/>
      </w:rPr>
      <mc:AlternateContent>
        <mc:Choice Requires="wps">
          <w:drawing>
            <wp:anchor distT="0" distB="0" distL="0" distR="0" simplePos="0" relativeHeight="251660288" behindDoc="1" locked="0" layoutInCell="1" allowOverlap="1" wp14:anchorId="07D8FEFD" wp14:editId="2ABADDC5">
              <wp:simplePos x="0" y="0"/>
              <wp:positionH relativeFrom="page">
                <wp:posOffset>3801745</wp:posOffset>
              </wp:positionH>
              <wp:positionV relativeFrom="page">
                <wp:posOffset>464185</wp:posOffset>
              </wp:positionV>
              <wp:extent cx="205740" cy="165735"/>
              <wp:effectExtent l="0" t="0" r="0" b="0"/>
              <wp:wrapNone/>
              <wp:docPr id="21" name="Textbox 21"/>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74095B34"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07D8FEFD" id="_x0000_t202" coordsize="21600,21600" o:spt="202" path="m,l,21600r21600,l21600,xe">
              <v:stroke joinstyle="miter"/>
              <v:path gradientshapeok="t" o:connecttype="rect"/>
            </v:shapetype>
            <v:shape id="Textbox 21" o:spid="_x0000_s1027" type="#_x0000_t202" style="position:absolute;margin-left:299.35pt;margin-top:36.55pt;width:16.2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" filled="f" stroked="f">
              <v:textbox inset="0,0,0,0">
                <w:txbxContent>
                  <w:p w14:paraId="74095B34"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0683" w14:textId="272E8230" w:rsidR="009510D2" w:rsidRDefault="009510D2">
    <w:pPr>
      <w:pStyle w:val="Header"/>
    </w:pPr>
    <w:r>
      <w:rPr>
        <w:noProof/>
      </w:rPr>
      <w:pict w14:anchorId="0003A7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09" o:spid="_x0000_s1035" type="#_x0000_t136" style="position:absolute;margin-left:0;margin-top:0;width:555.6pt;height:104.15pt;rotation:315;z-index:-25163161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5126988">
        <v:shape id="_x0000_s1034" type="#_x0000_t136" style="position:absolute;margin-left:0;margin-top:0;width:555.6pt;height:104.15pt;rotation:315;z-index:-25163366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E674B69">
        <v:shape id="_x0000_s1033" type="#_x0000_t136" style="position:absolute;margin-left:0;margin-top:0;width:555.6pt;height:104.15pt;rotation:315;z-index:-25163468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7B86" w14:textId="01CD0822" w:rsidR="009510D2" w:rsidRDefault="009510D2">
    <w:pPr>
      <w:pStyle w:val="Header"/>
    </w:pPr>
    <w:r>
      <w:rPr>
        <w:noProof/>
      </w:rPr>
      <w:pict w14:anchorId="4A60E2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3" o:spid="_x0000_s1047" type="#_x0000_t136" style="position:absolute;margin-left:0;margin-top:0;width:555.6pt;height:104.15pt;rotation:315;z-index:-25161216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3E645EC">
        <v:shape id="_x0000_s1046" type="#_x0000_t136" style="position:absolute;margin-left:0;margin-top:0;width:555.6pt;height:104.15pt;rotation:315;z-index:-25161420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415444E">
        <v:shape id="_x0000_s1045" type="#_x0000_t136" style="position:absolute;margin-left:0;margin-top:0;width:555.6pt;height:104.15pt;rotation:315;z-index:-25161523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EEA2872">
        <v:shape id="_x0000_s1044" type="#_x0000_t136" style="position:absolute;margin-left:0;margin-top:0;width:555.6pt;height:104.15pt;rotation:315;z-index:-25161625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24DC" w14:textId="1821743A" w:rsidR="00704B93" w:rsidRDefault="009510D2">
    <w:pPr>
      <w:pStyle w:val="BodyText"/>
      <w:spacing w:line="14" w:lineRule="auto"/>
      <w:rPr>
        <w:sz w:val="2"/>
      </w:rPr>
    </w:pPr>
    <w:r>
      <w:rPr>
        <w:noProof/>
      </w:rPr>
      <w:pict w14:anchorId="603CD0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4" o:spid="_x0000_s1048" type="#_x0000_t136" style="position:absolute;margin-left:0;margin-top:0;width:555.6pt;height:104.15pt;rotation:315;z-index:-25161011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AC62" w14:textId="008CE6D6" w:rsidR="009510D2" w:rsidRDefault="009510D2">
    <w:pPr>
      <w:pStyle w:val="Header"/>
    </w:pPr>
    <w:r>
      <w:rPr>
        <w:noProof/>
      </w:rPr>
      <w:pict w14:anchorId="19CA4A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2" o:spid="_x0000_s1043" type="#_x0000_t136" style="position:absolute;margin-left:0;margin-top:0;width:555.6pt;height:104.15pt;rotation:315;z-index:-25161830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53E2B7F">
        <v:shape id="_x0000_s1042" type="#_x0000_t136" style="position:absolute;margin-left:0;margin-top:0;width:555.6pt;height:104.15pt;rotation:315;z-index:-25162035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4D179CEC">
        <v:shape id="_x0000_s1041" type="#_x0000_t136" style="position:absolute;margin-left:0;margin-top:0;width:555.6pt;height:104.15pt;rotation:315;z-index:-25162137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DEBF842">
        <v:shape id="_x0000_s1040" type="#_x0000_t136" style="position:absolute;margin-left:0;margin-top:0;width:555.6pt;height:104.15pt;rotation:315;z-index:-25162240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F9063" w14:textId="04E69AAA" w:rsidR="009510D2" w:rsidRDefault="009510D2">
    <w:pPr>
      <w:pStyle w:val="Header"/>
    </w:pPr>
    <w:r>
      <w:rPr>
        <w:noProof/>
      </w:rPr>
      <w:pict w14:anchorId="0FD54C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6" o:spid="_x0000_s1058" type="#_x0000_t136" style="position:absolute;margin-left:0;margin-top:0;width:555.6pt;height:104.15pt;rotation:315;z-index:-25159577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04ED3F81">
        <v:shape id="_x0000_s1057" type="#_x0000_t136" style="position:absolute;margin-left:0;margin-top:0;width:555.6pt;height:104.15pt;rotation:315;z-index:-25159782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CA9F8AE">
        <v:shape id="_x0000_s1056" type="#_x0000_t136" style="position:absolute;margin-left:0;margin-top:0;width:555.6pt;height:104.15pt;rotation:315;z-index:-25159884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FB5E342">
        <v:shape id="_x0000_s1055" type="#_x0000_t136" style="position:absolute;margin-left:0;margin-top:0;width:555.6pt;height:104.15pt;rotation:315;z-index:-25159987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FDC2FB9">
        <v:shape id="_x0000_s1054" type="#_x0000_t136" style="position:absolute;margin-left:0;margin-top:0;width:555.6pt;height:104.15pt;rotation:315;z-index:-25160089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D0E3" w14:textId="54A26069" w:rsidR="00704B93" w:rsidRDefault="009510D2">
    <w:pPr>
      <w:pStyle w:val="BodyText"/>
      <w:spacing w:line="14" w:lineRule="auto"/>
      <w:rPr>
        <w:sz w:val="20"/>
      </w:rPr>
    </w:pPr>
    <w:r>
      <w:rPr>
        <w:noProof/>
      </w:rPr>
      <w:pict w14:anchorId="7D522D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7" o:spid="_x0000_s1059" type="#_x0000_t136" style="position:absolute;margin-left:0;margin-top:0;width:555.6pt;height:104.15pt;rotation:315;z-index:-251593728;mso-position-horizontal:center;mso-position-horizontal-relative:margin;mso-position-vertical:center;mso-position-vertical-relative:margin" o:allowincell="f" fillcolor="silver" stroked="f">
          <v:fill opacity=".5"/>
          <v:textpath style="font-family:&quot;Calibri&quot;;font-size:1pt" string="UNDER PEER REVIEW"/>
        </v:shape>
      </w:pict>
    </w:r>
    <w:r w:rsidR="00704B93">
      <w:rPr>
        <w:noProof/>
        <w:sz w:val="20"/>
      </w:rPr>
      <mc:AlternateContent>
        <mc:Choice Requires="wps">
          <w:drawing>
            <wp:anchor distT="0" distB="0" distL="0" distR="0" simplePos="0" relativeHeight="251661312" behindDoc="1" locked="0" layoutInCell="1" allowOverlap="1" wp14:anchorId="5DDA8856" wp14:editId="23AD26CE">
              <wp:simplePos x="0" y="0"/>
              <wp:positionH relativeFrom="page">
                <wp:posOffset>3801745</wp:posOffset>
              </wp:positionH>
              <wp:positionV relativeFrom="page">
                <wp:posOffset>464185</wp:posOffset>
              </wp:positionV>
              <wp:extent cx="205740" cy="165735"/>
              <wp:effectExtent l="0" t="0" r="0" b="0"/>
              <wp:wrapNone/>
              <wp:docPr id="24" name="Textbox 24"/>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6D22C0AD"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w:t>
                          </w:r>
                          <w:r>
                            <w:rPr>
                              <w:rFonts w:ascii="Calibri"/>
                              <w:spacing w:val="-5"/>
                            </w:rPr>
                            <w:fldChar w:fldCharType="end"/>
                          </w:r>
                        </w:p>
                      </w:txbxContent>
                    </wps:txbx>
                    <wps:bodyPr wrap="square" lIns="0" tIns="0" rIns="0" bIns="0" rtlCol="0">
                      <a:noAutofit/>
                    </wps:bodyPr>
                  </wps:wsp>
                </a:graphicData>
              </a:graphic>
            </wp:anchor>
          </w:drawing>
        </mc:Choice>
        <mc:Fallback>
          <w:pict>
            <v:shapetype w14:anchorId="5DDA8856" id="_x0000_t202" coordsize="21600,21600" o:spt="202" path="m,l,21600r21600,l21600,xe">
              <v:stroke joinstyle="miter"/>
              <v:path gradientshapeok="t" o:connecttype="rect"/>
            </v:shapetype>
            <v:shape id="Textbox 24" o:spid="_x0000_s1028" type="#_x0000_t202" style="position:absolute;margin-left:299.35pt;margin-top:36.55pt;width:16.2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" filled="f" stroked="f">
              <v:textbox inset="0,0,0,0">
                <w:txbxContent>
                  <w:p w14:paraId="6D22C0AD" w14:textId="77777777" w:rsidR="00704B93" w:rsidRDefault="00704B93">
                    <w:pPr>
                      <w:spacing w:line="244"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5</w:t>
                    </w:r>
                    <w:r>
                      <w:rPr>
                        <w:rFonts w:ascii="Calibri"/>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6FCA" w14:textId="4B5D4D7B" w:rsidR="009510D2" w:rsidRDefault="009510D2">
    <w:pPr>
      <w:pStyle w:val="Header"/>
    </w:pPr>
    <w:r>
      <w:rPr>
        <w:noProof/>
      </w:rPr>
      <w:pict w14:anchorId="5B2C3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5" o:spid="_x0000_s1053" type="#_x0000_t136" style="position:absolute;margin-left:0;margin-top:0;width:555.6pt;height:104.15pt;rotation:315;z-index:-25160294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0EF6B5C">
        <v:shape id="_x0000_s1052" type="#_x0000_t136" style="position:absolute;margin-left:0;margin-top:0;width:555.6pt;height:104.15pt;rotation:315;z-index:-25160499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BF65934">
        <v:shape id="_x0000_s1051" type="#_x0000_t136" style="position:absolute;margin-left:0;margin-top:0;width:555.6pt;height:104.15pt;rotation:315;z-index:-25160601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4C8DCE2">
        <v:shape id="_x0000_s1050" type="#_x0000_t136" style="position:absolute;margin-left:0;margin-top:0;width:555.6pt;height:104.15pt;rotation:315;z-index:-25160704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8CE9E66">
        <v:shape id="_x0000_s1049" type="#_x0000_t136" style="position:absolute;margin-left:0;margin-top:0;width:555.6pt;height:104.15pt;rotation:315;z-index:-251608064;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49BD" w14:textId="65D2BF94" w:rsidR="009510D2" w:rsidRDefault="009510D2">
    <w:pPr>
      <w:pStyle w:val="Header"/>
    </w:pPr>
    <w:r>
      <w:rPr>
        <w:noProof/>
      </w:rPr>
      <w:pict w14:anchorId="226A5F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9" o:spid="_x0000_s1071" type="#_x0000_t136" style="position:absolute;margin-left:0;margin-top:0;width:555.6pt;height:104.15pt;rotation:315;z-index:-25157734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FF83E4E">
        <v:shape id="_x0000_s1070" type="#_x0000_t136" style="position:absolute;margin-left:0;margin-top:0;width:555.6pt;height:104.15pt;rotation:315;z-index:-25157939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17B0DDA">
        <v:shape id="_x0000_s1069" type="#_x0000_t136" style="position:absolute;margin-left:0;margin-top:0;width:555.6pt;height:104.15pt;rotation:315;z-index:-25158041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8CF4407">
        <v:shape id="_x0000_s1068" type="#_x0000_t136" style="position:absolute;margin-left:0;margin-top:0;width:555.6pt;height:104.15pt;rotation:315;z-index:-25158144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4271A698">
        <v:shape id="_x0000_s1067" type="#_x0000_t136" style="position:absolute;margin-left:0;margin-top:0;width:555.6pt;height:104.15pt;rotation:315;z-index:-25158246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D10FE58">
        <v:shape id="_x0000_s1066" type="#_x0000_t136" style="position:absolute;margin-left:0;margin-top:0;width:555.6pt;height:104.15pt;rotation:315;z-index:-25158348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D568" w14:textId="26B46C51" w:rsidR="00704B93" w:rsidRDefault="009510D2">
    <w:pPr>
      <w:pStyle w:val="BodyText"/>
      <w:spacing w:line="14" w:lineRule="auto"/>
      <w:rPr>
        <w:sz w:val="20"/>
      </w:rPr>
    </w:pPr>
    <w:r>
      <w:rPr>
        <w:noProof/>
      </w:rPr>
      <w:pict w14:anchorId="0A1019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0" o:spid="_x0000_s1072" type="#_x0000_t136" style="position:absolute;margin-left:0;margin-top:0;width:555.6pt;height:104.15pt;rotation:315;z-index:-251575296;mso-position-horizontal:center;mso-position-horizontal-relative:margin;mso-position-vertical:center;mso-position-vertical-relative:margin" o:allowincell="f" fillcolor="silver" stroked="f">
          <v:fill opacity=".5"/>
          <v:textpath style="font-family:&quot;Calibri&quot;;font-size:1pt" string="UNDER PEER REVIEW"/>
        </v:shape>
      </w:pict>
    </w:r>
    <w:r w:rsidR="00704B93">
      <w:rPr>
        <w:noProof/>
        <w:sz w:val="20"/>
      </w:rPr>
      <mc:AlternateContent>
        <mc:Choice Requires="wps">
          <w:drawing>
            <wp:anchor distT="0" distB="0" distL="0" distR="0" simplePos="0" relativeHeight="251662336" behindDoc="1" locked="0" layoutInCell="1" allowOverlap="1" wp14:anchorId="44B68554" wp14:editId="2925AED9">
              <wp:simplePos x="0" y="0"/>
              <wp:positionH relativeFrom="page">
                <wp:posOffset>3801745</wp:posOffset>
              </wp:positionH>
              <wp:positionV relativeFrom="page">
                <wp:posOffset>464185</wp:posOffset>
              </wp:positionV>
              <wp:extent cx="167640" cy="165735"/>
              <wp:effectExtent l="0" t="0" r="0" b="0"/>
              <wp:wrapNone/>
              <wp:docPr id="27" name="Textbox 27"/>
              <wp:cNvGraphicFramePr/>
              <a:graphic xmlns:a="http://schemas.openxmlformats.org/drawingml/2006/main">
                <a:graphicData uri="http://schemas.microsoft.com/office/word/2010/wordprocessingShape">
                  <wps:wsp>
                    <wps:cNvSpPr txBox="1"/>
                    <wps:spPr>
                      <a:xfrm>
                        <a:off x="0" y="0"/>
                        <a:ext cx="167640" cy="165735"/>
                      </a:xfrm>
                      <a:prstGeom prst="rect">
                        <a:avLst/>
                      </a:prstGeom>
                    </wps:spPr>
                    <wps:txbx>
                      <w:txbxContent>
                        <w:p w14:paraId="5316EF55" w14:textId="77777777" w:rsidR="00704B93" w:rsidRDefault="00704B93">
                          <w:pPr>
                            <w:spacing w:line="244" w:lineRule="exact"/>
                            <w:ind w:left="20"/>
                            <w:rPr>
                              <w:rFonts w:ascii="Calibri"/>
                            </w:rPr>
                          </w:pPr>
                          <w:r>
                            <w:rPr>
                              <w:rFonts w:ascii="Calibri"/>
                              <w:spacing w:val="-5"/>
                            </w:rPr>
                            <w:t>80</w:t>
                          </w:r>
                        </w:p>
                      </w:txbxContent>
                    </wps:txbx>
                    <wps:bodyPr wrap="square" lIns="0" tIns="0" rIns="0" bIns="0" rtlCol="0">
                      <a:noAutofit/>
                    </wps:bodyPr>
                  </wps:wsp>
                </a:graphicData>
              </a:graphic>
            </wp:anchor>
          </w:drawing>
        </mc:Choice>
        <mc:Fallback>
          <w:pict>
            <v:shapetype w14:anchorId="44B68554" id="_x0000_t202" coordsize="21600,21600" o:spt="202" path="m,l,21600r21600,l21600,xe">
              <v:stroke joinstyle="miter"/>
              <v:path gradientshapeok="t" o:connecttype="rect"/>
            </v:shapetype>
            <v:shape id="Textbox 27" o:spid="_x0000_s1029" type="#_x0000_t202" style="position:absolute;margin-left:299.35pt;margin-top:36.55pt;width:13.2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" filled="f" stroked="f">
              <v:textbox inset="0,0,0,0">
                <w:txbxContent>
                  <w:p w14:paraId="5316EF55" w14:textId="77777777" w:rsidR="00704B93" w:rsidRDefault="00704B93">
                    <w:pPr>
                      <w:spacing w:line="244" w:lineRule="exact"/>
                      <w:ind w:left="20"/>
                      <w:rPr>
                        <w:rFonts w:ascii="Calibri"/>
                      </w:rPr>
                    </w:pPr>
                    <w:r>
                      <w:rPr>
                        <w:rFonts w:ascii="Calibri"/>
                        <w:spacing w:val="-5"/>
                      </w:rPr>
                      <w:t>80</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0861" w14:textId="6B447E02" w:rsidR="009510D2" w:rsidRDefault="009510D2">
    <w:pPr>
      <w:pStyle w:val="Header"/>
    </w:pPr>
    <w:r>
      <w:rPr>
        <w:noProof/>
      </w:rPr>
      <w:pict w14:anchorId="23400D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18" o:spid="_x0000_s1065" type="#_x0000_t136" style="position:absolute;margin-left:0;margin-top:0;width:555.6pt;height:104.15pt;rotation:315;z-index:-25158553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66C009D0">
        <v:shape id="_x0000_s1064" type="#_x0000_t136" style="position:absolute;margin-left:0;margin-top:0;width:555.6pt;height:104.15pt;rotation:315;z-index:-25158758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04552A4">
        <v:shape id="_x0000_s1063" type="#_x0000_t136" style="position:absolute;margin-left:0;margin-top:0;width:555.6pt;height:104.15pt;rotation:315;z-index:-25158860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E8054DE">
        <v:shape id="_x0000_s1062" type="#_x0000_t136" style="position:absolute;margin-left:0;margin-top:0;width:555.6pt;height:104.15pt;rotation:315;z-index:-25158963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0C4482B9">
        <v:shape id="_x0000_s1061" type="#_x0000_t136" style="position:absolute;margin-left:0;margin-top:0;width:555.6pt;height:104.15pt;rotation:315;z-index:-25159065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B579DEB">
        <v:shape id="_x0000_s1060" type="#_x0000_t136" style="position:absolute;margin-left:0;margin-top:0;width:555.6pt;height:104.15pt;rotation:315;z-index:-25159168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764" w14:textId="42CB7B4C" w:rsidR="009510D2" w:rsidRDefault="009510D2">
    <w:pPr>
      <w:pStyle w:val="Header"/>
    </w:pPr>
    <w:r>
      <w:rPr>
        <w:noProof/>
      </w:rPr>
      <w:pict w14:anchorId="0DAD0C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2" o:spid="_x0000_s1086" type="#_x0000_t136" style="position:absolute;margin-left:0;margin-top:0;width:555.6pt;height:104.15pt;rotation:315;z-index:-25155686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16FBF85C">
        <v:shape id="_x0000_s1085" type="#_x0000_t136" style="position:absolute;margin-left:0;margin-top:0;width:555.6pt;height:104.15pt;rotation:315;z-index:-25155891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B73913A">
        <v:shape id="_x0000_s1084" type="#_x0000_t136" style="position:absolute;margin-left:0;margin-top:0;width:555.6pt;height:104.15pt;rotation:315;z-index:-25155993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B97338F">
        <v:shape id="_x0000_s1083" type="#_x0000_t136" style="position:absolute;margin-left:0;margin-top:0;width:555.6pt;height:104.15pt;rotation:315;z-index:-25156096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72A1FED1">
        <v:shape id="_x0000_s1082" type="#_x0000_t136" style="position:absolute;margin-left:0;margin-top:0;width:555.6pt;height:104.15pt;rotation:315;z-index:-25156198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4BB97A28">
        <v:shape id="_x0000_s1081" type="#_x0000_t136" style="position:absolute;margin-left:0;margin-top:0;width:555.6pt;height:104.15pt;rotation:315;z-index:-25156300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5902F78">
        <v:shape id="_x0000_s1080" type="#_x0000_t136" style="position:absolute;margin-left:0;margin-top:0;width:555.6pt;height:104.15pt;rotation:315;z-index:-25156403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AB8B" w14:textId="1D5412E8" w:rsidR="00704B93" w:rsidRDefault="009510D2">
    <w:pPr>
      <w:pStyle w:val="BodyText"/>
      <w:spacing w:line="14" w:lineRule="auto"/>
      <w:rPr>
        <w:sz w:val="20"/>
      </w:rPr>
    </w:pPr>
    <w:r>
      <w:rPr>
        <w:noProof/>
      </w:rPr>
      <w:pict w14:anchorId="681589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3" o:spid="_x0000_s1087" type="#_x0000_t136" style="position:absolute;margin-left:0;margin-top:0;width:555.6pt;height:104.15pt;rotation:315;z-index:-251554816;mso-position-horizontal:center;mso-position-horizontal-relative:margin;mso-position-vertical:center;mso-position-vertical-relative:margin" o:allowincell="f" fillcolor="silver" stroked="f">
          <v:fill opacity=".5"/>
          <v:textpath style="font-family:&quot;Calibri&quot;;font-size:1pt" string="UNDER PEER REVIEW"/>
        </v:shape>
      </w:pict>
    </w:r>
    <w:r w:rsidR="00704B93">
      <w:rPr>
        <w:noProof/>
        <w:sz w:val="20"/>
      </w:rPr>
      <mc:AlternateContent>
        <mc:Choice Requires="wps">
          <w:drawing>
            <wp:anchor distT="0" distB="0" distL="0" distR="0" simplePos="0" relativeHeight="251663360" behindDoc="1" locked="0" layoutInCell="1" allowOverlap="1" wp14:anchorId="25B191AD" wp14:editId="282E6155">
              <wp:simplePos x="0" y="0"/>
              <wp:positionH relativeFrom="page">
                <wp:posOffset>3801745</wp:posOffset>
              </wp:positionH>
              <wp:positionV relativeFrom="page">
                <wp:posOffset>464185</wp:posOffset>
              </wp:positionV>
              <wp:extent cx="205740" cy="165735"/>
              <wp:effectExtent l="0" t="0" r="0" b="0"/>
              <wp:wrapNone/>
              <wp:docPr id="28" name="Textbox 28"/>
              <wp:cNvGraphicFramePr/>
              <a:graphic xmlns:a="http://schemas.openxmlformats.org/drawingml/2006/main">
                <a:graphicData uri="http://schemas.microsoft.com/office/word/2010/wordprocessingShape">
                  <wps:wsp>
                    <wps:cNvSpPr txBox="1"/>
                    <wps:spPr>
                      <a:xfrm>
                        <a:off x="0" y="0"/>
                        <a:ext cx="205740" cy="165735"/>
                      </a:xfrm>
                      <a:prstGeom prst="rect">
                        <a:avLst/>
                      </a:prstGeom>
                    </wps:spPr>
                    <wps:txbx>
                      <w:txbxContent>
                        <w:p w14:paraId="403FFA92" w14:textId="77777777" w:rsidR="00704B93" w:rsidRDefault="00704B93">
                          <w:pPr>
                            <w:spacing w:line="244"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25B191AD" id="_x0000_t202" coordsize="21600,21600" o:spt="202" path="m,l,21600r21600,l21600,xe">
              <v:stroke joinstyle="miter"/>
              <v:path gradientshapeok="t" o:connecttype="rect"/>
            </v:shapetype>
            <v:shape id="Textbox 28" o:spid="_x0000_s1030" type="#_x0000_t202" style="position:absolute;margin-left:299.35pt;margin-top:36.55pt;width:16.2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" filled="f" stroked="f">
              <v:textbox inset="0,0,0,0">
                <w:txbxContent>
                  <w:p w14:paraId="403FFA92" w14:textId="77777777" w:rsidR="00704B93" w:rsidRDefault="00704B93">
                    <w:pPr>
                      <w:spacing w:line="244"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w:t>
                    </w:r>
                    <w:r>
                      <w:rPr>
                        <w:rFonts w:ascii="Calibri"/>
                        <w:spacing w:val="-5"/>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D3AF" w14:textId="33E21035" w:rsidR="009510D2" w:rsidRDefault="009510D2">
    <w:pPr>
      <w:pStyle w:val="Header"/>
    </w:pPr>
    <w:r>
      <w:rPr>
        <w:noProof/>
      </w:rPr>
      <w:pict w14:anchorId="5359B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1" o:spid="_x0000_s1079" type="#_x0000_t136" style="position:absolute;margin-left:0;margin-top:0;width:555.6pt;height:104.15pt;rotation:315;z-index:-25156608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5233733">
        <v:shape id="_x0000_s1078" type="#_x0000_t136" style="position:absolute;margin-left:0;margin-top:0;width:555.6pt;height:104.15pt;rotation:315;z-index:-25156812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3096C07">
        <v:shape id="_x0000_s1077" type="#_x0000_t136" style="position:absolute;margin-left:0;margin-top:0;width:555.6pt;height:104.15pt;rotation:315;z-index:-25156915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2B8233D8">
        <v:shape id="_x0000_s1076" type="#_x0000_t136" style="position:absolute;margin-left:0;margin-top:0;width:555.6pt;height:104.15pt;rotation:315;z-index:-251570176;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3D0B9D24">
        <v:shape id="_x0000_s1075" type="#_x0000_t136" style="position:absolute;margin-left:0;margin-top:0;width:555.6pt;height:104.15pt;rotation:315;z-index:-251571200;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01984659">
        <v:shape id="_x0000_s1074" type="#_x0000_t136" style="position:absolute;margin-left:0;margin-top:0;width:555.6pt;height:104.15pt;rotation:315;z-index:-25157222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49CF76C2">
        <v:shape id="_x0000_s1073" type="#_x0000_t136" style="position:absolute;margin-left:0;margin-top:0;width:555.6pt;height:104.15pt;rotation:315;z-index:-25157324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4302" w14:textId="685B4CDE" w:rsidR="0035258B" w:rsidRDefault="009510D2">
    <w:pPr>
      <w:pStyle w:val="Header"/>
    </w:pPr>
    <w:r>
      <w:rPr>
        <w:noProof/>
      </w:rPr>
      <w:pict w14:anchorId="72FCD3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5" o:spid="_x0000_s1089" type="#_x0000_t136" style="position:absolute;margin-left:0;margin-top:0;width:555.6pt;height:104.15pt;rotation:315;z-index:-2515507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F96E" w14:textId="19C6DCEC" w:rsidR="0035258B" w:rsidRDefault="009510D2">
    <w:pPr>
      <w:pStyle w:val="Header"/>
    </w:pPr>
    <w:r>
      <w:rPr>
        <w:noProof/>
      </w:rPr>
      <w:pict w14:anchorId="590116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6" o:spid="_x0000_s1090" type="#_x0000_t136" style="position:absolute;margin-left:0;margin-top:0;width:555.6pt;height:104.15pt;rotation:315;z-index:-25154867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9ACE" w14:textId="400722D9" w:rsidR="0035258B" w:rsidRDefault="009510D2">
    <w:pPr>
      <w:pStyle w:val="Header"/>
    </w:pPr>
    <w:r>
      <w:rPr>
        <w:noProof/>
      </w:rPr>
      <w:pict w14:anchorId="49A7A8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745224" o:spid="_x0000_s1088" type="#_x0000_t136" style="position:absolute;margin-left:0;margin-top:0;width:555.6pt;height:104.15pt;rotation:315;z-index:-2515527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4"/>
      <w:numFmt w:val="decimal"/>
      <w:lvlText w:val="%1"/>
      <w:lvlJc w:val="left"/>
      <w:pPr>
        <w:ind w:left="719" w:hanging="360"/>
        <w:jc w:val="left"/>
      </w:pPr>
      <w:rPr>
        <w:rFonts w:hint="default"/>
        <w:lang w:val="en-US" w:eastAsia="en-US" w:bidi="ar-SA"/>
      </w:rPr>
    </w:lvl>
    <w:lvl w:ilvl="1">
      <w:start w:val="3"/>
      <w:numFmt w:val="decimal"/>
      <w:lvlText w:val="%1.%2"/>
      <w:lvlJc w:val="left"/>
      <w:pPr>
        <w:ind w:left="719" w:hanging="360"/>
        <w:jc w:val="right"/>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1618" w:hanging="539"/>
        <w:jc w:val="left"/>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3500" w:hanging="539"/>
      </w:pPr>
      <w:rPr>
        <w:rFonts w:hint="default"/>
        <w:lang w:val="en-US" w:eastAsia="en-US" w:bidi="ar-SA"/>
      </w:rPr>
    </w:lvl>
    <w:lvl w:ilvl="4">
      <w:numFmt w:val="bullet"/>
      <w:lvlText w:val="•"/>
      <w:lvlJc w:val="left"/>
      <w:pPr>
        <w:ind w:left="4440" w:hanging="539"/>
      </w:pPr>
      <w:rPr>
        <w:rFonts w:hint="default"/>
        <w:lang w:val="en-US" w:eastAsia="en-US" w:bidi="ar-SA"/>
      </w:rPr>
    </w:lvl>
    <w:lvl w:ilvl="5">
      <w:numFmt w:val="bullet"/>
      <w:lvlText w:val="•"/>
      <w:lvlJc w:val="left"/>
      <w:pPr>
        <w:ind w:left="5380" w:hanging="539"/>
      </w:pPr>
      <w:rPr>
        <w:rFonts w:hint="default"/>
        <w:lang w:val="en-US" w:eastAsia="en-US" w:bidi="ar-SA"/>
      </w:rPr>
    </w:lvl>
    <w:lvl w:ilvl="6">
      <w:numFmt w:val="bullet"/>
      <w:lvlText w:val="•"/>
      <w:lvlJc w:val="left"/>
      <w:pPr>
        <w:ind w:left="6320" w:hanging="539"/>
      </w:pPr>
      <w:rPr>
        <w:rFonts w:hint="default"/>
        <w:lang w:val="en-US" w:eastAsia="en-US" w:bidi="ar-SA"/>
      </w:rPr>
    </w:lvl>
    <w:lvl w:ilvl="7">
      <w:numFmt w:val="bullet"/>
      <w:lvlText w:val="•"/>
      <w:lvlJc w:val="left"/>
      <w:pPr>
        <w:ind w:left="7260" w:hanging="539"/>
      </w:pPr>
      <w:rPr>
        <w:rFonts w:hint="default"/>
        <w:lang w:val="en-US" w:eastAsia="en-US" w:bidi="ar-SA"/>
      </w:rPr>
    </w:lvl>
    <w:lvl w:ilvl="8">
      <w:numFmt w:val="bullet"/>
      <w:lvlText w:val="•"/>
      <w:lvlJc w:val="left"/>
      <w:pPr>
        <w:ind w:left="8200" w:hanging="539"/>
      </w:pPr>
      <w:rPr>
        <w:rFonts w:hint="default"/>
        <w:lang w:val="en-US" w:eastAsia="en-US" w:bidi="ar-SA"/>
      </w:rPr>
    </w:lvl>
  </w:abstractNum>
  <w:abstractNum w:abstractNumId="1" w15:restartNumberingAfterBreak="0">
    <w:nsid w:val="B5E306ED"/>
    <w:multiLevelType w:val="multilevel"/>
    <w:tmpl w:val="B5E306ED"/>
    <w:lvl w:ilvl="0">
      <w:start w:val="3"/>
      <w:numFmt w:val="decimal"/>
      <w:lvlText w:val="%1"/>
      <w:lvlJc w:val="left"/>
      <w:pPr>
        <w:ind w:left="779" w:hanging="420"/>
        <w:jc w:val="left"/>
      </w:pPr>
      <w:rPr>
        <w:rFonts w:hint="default"/>
        <w:lang w:val="en-US" w:eastAsia="en-US" w:bidi="ar-SA"/>
      </w:rPr>
    </w:lvl>
    <w:lvl w:ilvl="1">
      <w:start w:val="2"/>
      <w:numFmt w:val="decimal"/>
      <w:lvlText w:val="%1.%2."/>
      <w:lvlJc w:val="left"/>
      <w:pPr>
        <w:ind w:left="779" w:hanging="420"/>
        <w:jc w:val="left"/>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898" w:hanging="539"/>
        <w:jc w:val="left"/>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2940" w:hanging="539"/>
      </w:pPr>
      <w:rPr>
        <w:rFonts w:hint="default"/>
        <w:lang w:val="en-US" w:eastAsia="en-US" w:bidi="ar-SA"/>
      </w:rPr>
    </w:lvl>
    <w:lvl w:ilvl="4">
      <w:numFmt w:val="bullet"/>
      <w:lvlText w:val="•"/>
      <w:lvlJc w:val="left"/>
      <w:pPr>
        <w:ind w:left="3960" w:hanging="539"/>
      </w:pPr>
      <w:rPr>
        <w:rFonts w:hint="default"/>
        <w:lang w:val="en-US" w:eastAsia="en-US" w:bidi="ar-SA"/>
      </w:rPr>
    </w:lvl>
    <w:lvl w:ilvl="5">
      <w:numFmt w:val="bullet"/>
      <w:lvlText w:val="•"/>
      <w:lvlJc w:val="left"/>
      <w:pPr>
        <w:ind w:left="4980" w:hanging="539"/>
      </w:pPr>
      <w:rPr>
        <w:rFonts w:hint="default"/>
        <w:lang w:val="en-US" w:eastAsia="en-US" w:bidi="ar-SA"/>
      </w:rPr>
    </w:lvl>
    <w:lvl w:ilvl="6">
      <w:numFmt w:val="bullet"/>
      <w:lvlText w:val="•"/>
      <w:lvlJc w:val="left"/>
      <w:pPr>
        <w:ind w:left="6000" w:hanging="539"/>
      </w:pPr>
      <w:rPr>
        <w:rFonts w:hint="default"/>
        <w:lang w:val="en-US" w:eastAsia="en-US" w:bidi="ar-SA"/>
      </w:rPr>
    </w:lvl>
    <w:lvl w:ilvl="7">
      <w:numFmt w:val="bullet"/>
      <w:lvlText w:val="•"/>
      <w:lvlJc w:val="left"/>
      <w:pPr>
        <w:ind w:left="7020" w:hanging="539"/>
      </w:pPr>
      <w:rPr>
        <w:rFonts w:hint="default"/>
        <w:lang w:val="en-US" w:eastAsia="en-US" w:bidi="ar-SA"/>
      </w:rPr>
    </w:lvl>
    <w:lvl w:ilvl="8">
      <w:numFmt w:val="bullet"/>
      <w:lvlText w:val="•"/>
      <w:lvlJc w:val="left"/>
      <w:pPr>
        <w:ind w:left="8040" w:hanging="539"/>
      </w:pPr>
      <w:rPr>
        <w:rFonts w:hint="default"/>
        <w:lang w:val="en-US" w:eastAsia="en-US" w:bidi="ar-SA"/>
      </w:rPr>
    </w:lvl>
  </w:abstractNum>
  <w:abstractNum w:abstractNumId="2" w15:restartNumberingAfterBreak="0">
    <w:nsid w:val="BF205925"/>
    <w:multiLevelType w:val="multilevel"/>
    <w:tmpl w:val="BF205925"/>
    <w:lvl w:ilvl="0">
      <w:start w:val="3"/>
      <w:numFmt w:val="decimal"/>
      <w:lvlText w:val="%1"/>
      <w:lvlJc w:val="left"/>
      <w:pPr>
        <w:ind w:left="719" w:hanging="360"/>
        <w:jc w:val="left"/>
      </w:pPr>
      <w:rPr>
        <w:rFonts w:hint="default"/>
        <w:lang w:val="en-US" w:eastAsia="en-US" w:bidi="ar-SA"/>
      </w:rPr>
    </w:lvl>
    <w:lvl w:ilvl="1">
      <w:start w:val="1"/>
      <w:numFmt w:val="decimal"/>
      <w:lvlText w:val="%1.%2"/>
      <w:lvlJc w:val="left"/>
      <w:pPr>
        <w:ind w:left="719" w:hanging="360"/>
        <w:jc w:val="left"/>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898" w:hanging="539"/>
        <w:jc w:val="left"/>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1240" w:hanging="539"/>
      </w:pPr>
      <w:rPr>
        <w:rFonts w:hint="default"/>
        <w:lang w:val="en-US" w:eastAsia="en-US" w:bidi="ar-SA"/>
      </w:rPr>
    </w:lvl>
    <w:lvl w:ilvl="4">
      <w:numFmt w:val="bullet"/>
      <w:lvlText w:val="•"/>
      <w:lvlJc w:val="left"/>
      <w:pPr>
        <w:ind w:left="1411" w:hanging="539"/>
      </w:pPr>
      <w:rPr>
        <w:rFonts w:hint="default"/>
        <w:lang w:val="en-US" w:eastAsia="en-US" w:bidi="ar-SA"/>
      </w:rPr>
    </w:lvl>
    <w:lvl w:ilvl="5">
      <w:numFmt w:val="bullet"/>
      <w:lvlText w:val="•"/>
      <w:lvlJc w:val="left"/>
      <w:pPr>
        <w:ind w:left="1581" w:hanging="539"/>
      </w:pPr>
      <w:rPr>
        <w:rFonts w:hint="default"/>
        <w:lang w:val="en-US" w:eastAsia="en-US" w:bidi="ar-SA"/>
      </w:rPr>
    </w:lvl>
    <w:lvl w:ilvl="6">
      <w:numFmt w:val="bullet"/>
      <w:lvlText w:val="•"/>
      <w:lvlJc w:val="left"/>
      <w:pPr>
        <w:ind w:left="1751" w:hanging="539"/>
      </w:pPr>
      <w:rPr>
        <w:rFonts w:hint="default"/>
        <w:lang w:val="en-US" w:eastAsia="en-US" w:bidi="ar-SA"/>
      </w:rPr>
    </w:lvl>
    <w:lvl w:ilvl="7">
      <w:numFmt w:val="bullet"/>
      <w:lvlText w:val="•"/>
      <w:lvlJc w:val="left"/>
      <w:pPr>
        <w:ind w:left="1922" w:hanging="539"/>
      </w:pPr>
      <w:rPr>
        <w:rFonts w:hint="default"/>
        <w:lang w:val="en-US" w:eastAsia="en-US" w:bidi="ar-SA"/>
      </w:rPr>
    </w:lvl>
    <w:lvl w:ilvl="8">
      <w:numFmt w:val="bullet"/>
      <w:lvlText w:val="•"/>
      <w:lvlJc w:val="left"/>
      <w:pPr>
        <w:ind w:left="2092" w:hanging="539"/>
      </w:pPr>
      <w:rPr>
        <w:rFonts w:hint="default"/>
        <w:lang w:val="en-US" w:eastAsia="en-US" w:bidi="ar-SA"/>
      </w:rPr>
    </w:lvl>
  </w:abstractNum>
  <w:abstractNum w:abstractNumId="3" w15:restartNumberingAfterBreak="0">
    <w:nsid w:val="CF092B84"/>
    <w:multiLevelType w:val="multilevel"/>
    <w:tmpl w:val="CF092B84"/>
    <w:lvl w:ilvl="0">
      <w:start w:val="1"/>
      <w:numFmt w:val="decimal"/>
      <w:lvlText w:val="%1."/>
      <w:lvlJc w:val="left"/>
      <w:pPr>
        <w:ind w:left="599" w:hanging="240"/>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1">
      <w:numFmt w:val="bullet"/>
      <w:lvlText w:val="•"/>
      <w:lvlJc w:val="left"/>
      <w:pPr>
        <w:ind w:left="1548" w:hanging="240"/>
      </w:pPr>
      <w:rPr>
        <w:rFonts w:hint="default"/>
        <w:lang w:val="en-US" w:eastAsia="en-US" w:bidi="ar-SA"/>
      </w:rPr>
    </w:lvl>
    <w:lvl w:ilvl="2">
      <w:numFmt w:val="bullet"/>
      <w:lvlText w:val="•"/>
      <w:lvlJc w:val="left"/>
      <w:pPr>
        <w:ind w:left="2496" w:hanging="240"/>
      </w:pPr>
      <w:rPr>
        <w:rFonts w:hint="default"/>
        <w:lang w:val="en-US" w:eastAsia="en-US" w:bidi="ar-SA"/>
      </w:rPr>
    </w:lvl>
    <w:lvl w:ilvl="3">
      <w:numFmt w:val="bullet"/>
      <w:lvlText w:val="•"/>
      <w:lvlJc w:val="left"/>
      <w:pPr>
        <w:ind w:left="3444" w:hanging="240"/>
      </w:pPr>
      <w:rPr>
        <w:rFonts w:hint="default"/>
        <w:lang w:val="en-US" w:eastAsia="en-US" w:bidi="ar-SA"/>
      </w:rPr>
    </w:lvl>
    <w:lvl w:ilvl="4">
      <w:numFmt w:val="bullet"/>
      <w:lvlText w:val="•"/>
      <w:lvlJc w:val="left"/>
      <w:pPr>
        <w:ind w:left="4392" w:hanging="240"/>
      </w:pPr>
      <w:rPr>
        <w:rFonts w:hint="default"/>
        <w:lang w:val="en-US" w:eastAsia="en-US" w:bidi="ar-SA"/>
      </w:rPr>
    </w:lvl>
    <w:lvl w:ilvl="5">
      <w:numFmt w:val="bullet"/>
      <w:lvlText w:val="•"/>
      <w:lvlJc w:val="left"/>
      <w:pPr>
        <w:ind w:left="5340" w:hanging="240"/>
      </w:pPr>
      <w:rPr>
        <w:rFonts w:hint="default"/>
        <w:lang w:val="en-US" w:eastAsia="en-US" w:bidi="ar-SA"/>
      </w:rPr>
    </w:lvl>
    <w:lvl w:ilvl="6">
      <w:numFmt w:val="bullet"/>
      <w:lvlText w:val="•"/>
      <w:lvlJc w:val="left"/>
      <w:pPr>
        <w:ind w:left="6288" w:hanging="240"/>
      </w:pPr>
      <w:rPr>
        <w:rFonts w:hint="default"/>
        <w:lang w:val="en-US" w:eastAsia="en-US" w:bidi="ar-SA"/>
      </w:rPr>
    </w:lvl>
    <w:lvl w:ilvl="7">
      <w:numFmt w:val="bullet"/>
      <w:lvlText w:val="•"/>
      <w:lvlJc w:val="left"/>
      <w:pPr>
        <w:ind w:left="7236" w:hanging="240"/>
      </w:pPr>
      <w:rPr>
        <w:rFonts w:hint="default"/>
        <w:lang w:val="en-US" w:eastAsia="en-US" w:bidi="ar-SA"/>
      </w:rPr>
    </w:lvl>
    <w:lvl w:ilvl="8">
      <w:numFmt w:val="bullet"/>
      <w:lvlText w:val="•"/>
      <w:lvlJc w:val="left"/>
      <w:pPr>
        <w:ind w:left="8184" w:hanging="240"/>
      </w:pPr>
      <w:rPr>
        <w:rFonts w:hint="default"/>
        <w:lang w:val="en-US" w:eastAsia="en-US" w:bidi="ar-SA"/>
      </w:rPr>
    </w:lvl>
  </w:abstractNum>
  <w:abstractNum w:abstractNumId="4" w15:restartNumberingAfterBreak="0">
    <w:nsid w:val="0053208E"/>
    <w:multiLevelType w:val="multilevel"/>
    <w:tmpl w:val="0053208E"/>
    <w:lvl w:ilvl="0">
      <w:start w:val="1"/>
      <w:numFmt w:val="decimal"/>
      <w:lvlText w:val="%1"/>
      <w:lvlJc w:val="left"/>
      <w:pPr>
        <w:ind w:left="720" w:hanging="360"/>
        <w:jc w:val="left"/>
      </w:pPr>
      <w:rPr>
        <w:rFonts w:hint="default"/>
        <w:lang w:val="en-U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080" w:hanging="360"/>
      </w:pPr>
      <w:rPr>
        <w:rFonts w:ascii="Century" w:eastAsia="Century" w:hAnsi="Century" w:cs="Century" w:hint="default"/>
        <w:b w:val="0"/>
        <w:bCs w:val="0"/>
        <w:i w:val="0"/>
        <w:iCs w:val="0"/>
        <w:spacing w:val="0"/>
        <w:w w:val="75"/>
        <w:sz w:val="20"/>
        <w:szCs w:val="20"/>
        <w:lang w:val="en-US" w:eastAsia="en-US" w:bidi="ar-SA"/>
      </w:rPr>
    </w:lvl>
    <w:lvl w:ilvl="3">
      <w:numFmt w:val="bullet"/>
      <w:lvlText w:val="•"/>
      <w:lvlJc w:val="left"/>
      <w:pPr>
        <w:ind w:left="3080" w:hanging="360"/>
      </w:pPr>
      <w:rPr>
        <w:rFonts w:hint="default"/>
        <w:lang w:val="en-US" w:eastAsia="en-US" w:bidi="ar-SA"/>
      </w:rPr>
    </w:lvl>
    <w:lvl w:ilvl="4">
      <w:numFmt w:val="bullet"/>
      <w:lvlText w:val="•"/>
      <w:lvlJc w:val="left"/>
      <w:pPr>
        <w:ind w:left="4080" w:hanging="360"/>
      </w:pPr>
      <w:rPr>
        <w:rFonts w:hint="default"/>
        <w:lang w:val="en-US" w:eastAsia="en-US" w:bidi="ar-SA"/>
      </w:rPr>
    </w:lvl>
    <w:lvl w:ilvl="5">
      <w:numFmt w:val="bullet"/>
      <w:lvlText w:val="•"/>
      <w:lvlJc w:val="left"/>
      <w:pPr>
        <w:ind w:left="5080" w:hanging="360"/>
      </w:pPr>
      <w:rPr>
        <w:rFonts w:hint="default"/>
        <w:lang w:val="en-US" w:eastAsia="en-US" w:bidi="ar-SA"/>
      </w:rPr>
    </w:lvl>
    <w:lvl w:ilvl="6">
      <w:numFmt w:val="bullet"/>
      <w:lvlText w:val="•"/>
      <w:lvlJc w:val="left"/>
      <w:pPr>
        <w:ind w:left="6080" w:hanging="360"/>
      </w:pPr>
      <w:rPr>
        <w:rFonts w:hint="default"/>
        <w:lang w:val="en-US" w:eastAsia="en-US" w:bidi="ar-SA"/>
      </w:rPr>
    </w:lvl>
    <w:lvl w:ilvl="7">
      <w:numFmt w:val="bullet"/>
      <w:lvlText w:val="•"/>
      <w:lvlJc w:val="left"/>
      <w:pPr>
        <w:ind w:left="7080" w:hanging="360"/>
      </w:pPr>
      <w:rPr>
        <w:rFonts w:hint="default"/>
        <w:lang w:val="en-US" w:eastAsia="en-US" w:bidi="ar-SA"/>
      </w:rPr>
    </w:lvl>
    <w:lvl w:ilvl="8">
      <w:numFmt w:val="bullet"/>
      <w:lvlText w:val="•"/>
      <w:lvlJc w:val="left"/>
      <w:pPr>
        <w:ind w:left="8080" w:hanging="360"/>
      </w:pPr>
      <w:rPr>
        <w:rFonts w:hint="default"/>
        <w:lang w:val="en-US" w:eastAsia="en-US" w:bidi="ar-SA"/>
      </w:rPr>
    </w:lvl>
  </w:abstractNum>
  <w:abstractNum w:abstractNumId="5" w15:restartNumberingAfterBreak="0">
    <w:nsid w:val="01CE7905"/>
    <w:multiLevelType w:val="multilevel"/>
    <w:tmpl w:val="FB800A9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248C179"/>
    <w:multiLevelType w:val="multilevel"/>
    <w:tmpl w:val="0248C179"/>
    <w:lvl w:ilvl="0">
      <w:start w:val="1"/>
      <w:numFmt w:val="decimal"/>
      <w:lvlText w:val="%1."/>
      <w:lvlJc w:val="left"/>
      <w:pPr>
        <w:ind w:left="659" w:hanging="300"/>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1">
      <w:start w:val="1"/>
      <w:numFmt w:val="decimal"/>
      <w:lvlText w:val="%1.%2"/>
      <w:lvlJc w:val="left"/>
      <w:pPr>
        <w:ind w:left="733" w:hanging="374"/>
        <w:jc w:val="left"/>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777" w:hanging="374"/>
      </w:pPr>
      <w:rPr>
        <w:rFonts w:hint="default"/>
        <w:lang w:val="en-US" w:eastAsia="en-US" w:bidi="ar-SA"/>
      </w:rPr>
    </w:lvl>
    <w:lvl w:ilvl="3">
      <w:numFmt w:val="bullet"/>
      <w:lvlText w:val="•"/>
      <w:lvlJc w:val="left"/>
      <w:pPr>
        <w:ind w:left="2815" w:hanging="374"/>
      </w:pPr>
      <w:rPr>
        <w:rFonts w:hint="default"/>
        <w:lang w:val="en-US" w:eastAsia="en-US" w:bidi="ar-SA"/>
      </w:rPr>
    </w:lvl>
    <w:lvl w:ilvl="4">
      <w:numFmt w:val="bullet"/>
      <w:lvlText w:val="•"/>
      <w:lvlJc w:val="left"/>
      <w:pPr>
        <w:ind w:left="3853" w:hanging="374"/>
      </w:pPr>
      <w:rPr>
        <w:rFonts w:hint="default"/>
        <w:lang w:val="en-US" w:eastAsia="en-US" w:bidi="ar-SA"/>
      </w:rPr>
    </w:lvl>
    <w:lvl w:ilvl="5">
      <w:numFmt w:val="bullet"/>
      <w:lvlText w:val="•"/>
      <w:lvlJc w:val="left"/>
      <w:pPr>
        <w:ind w:left="4891" w:hanging="374"/>
      </w:pPr>
      <w:rPr>
        <w:rFonts w:hint="default"/>
        <w:lang w:val="en-US" w:eastAsia="en-US" w:bidi="ar-SA"/>
      </w:rPr>
    </w:lvl>
    <w:lvl w:ilvl="6">
      <w:numFmt w:val="bullet"/>
      <w:lvlText w:val="•"/>
      <w:lvlJc w:val="left"/>
      <w:pPr>
        <w:ind w:left="5928" w:hanging="374"/>
      </w:pPr>
      <w:rPr>
        <w:rFonts w:hint="default"/>
        <w:lang w:val="en-US" w:eastAsia="en-US" w:bidi="ar-SA"/>
      </w:rPr>
    </w:lvl>
    <w:lvl w:ilvl="7">
      <w:numFmt w:val="bullet"/>
      <w:lvlText w:val="•"/>
      <w:lvlJc w:val="left"/>
      <w:pPr>
        <w:ind w:left="6966" w:hanging="374"/>
      </w:pPr>
      <w:rPr>
        <w:rFonts w:hint="default"/>
        <w:lang w:val="en-US" w:eastAsia="en-US" w:bidi="ar-SA"/>
      </w:rPr>
    </w:lvl>
    <w:lvl w:ilvl="8">
      <w:numFmt w:val="bullet"/>
      <w:lvlText w:val="•"/>
      <w:lvlJc w:val="left"/>
      <w:pPr>
        <w:ind w:left="8004" w:hanging="374"/>
      </w:pPr>
      <w:rPr>
        <w:rFonts w:hint="default"/>
        <w:lang w:val="en-US" w:eastAsia="en-US" w:bidi="ar-SA"/>
      </w:rPr>
    </w:lvl>
  </w:abstractNum>
  <w:abstractNum w:abstractNumId="7" w15:restartNumberingAfterBreak="0">
    <w:nsid w:val="03D62ECE"/>
    <w:multiLevelType w:val="multilevel"/>
    <w:tmpl w:val="03D62ECE"/>
    <w:lvl w:ilvl="0">
      <w:start w:val="1"/>
      <w:numFmt w:val="upperLetter"/>
      <w:lvlText w:val="%1"/>
      <w:lvlJc w:val="left"/>
      <w:pPr>
        <w:ind w:left="2162" w:hanging="1803"/>
        <w:jc w:val="left"/>
      </w:pPr>
      <w:rPr>
        <w:rFonts w:ascii="Times New Roman" w:eastAsia="Times New Roman" w:hAnsi="Times New Roman" w:cs="Times New Roman" w:hint="default"/>
        <w:b/>
        <w:bCs/>
        <w:i w:val="0"/>
        <w:iCs w:val="0"/>
        <w:spacing w:val="0"/>
        <w:w w:val="99"/>
        <w:sz w:val="24"/>
        <w:szCs w:val="24"/>
        <w:lang w:val="en-US" w:eastAsia="en-US" w:bidi="ar-SA"/>
      </w:rPr>
    </w:lvl>
    <w:lvl w:ilvl="1">
      <w:numFmt w:val="bullet"/>
      <w:lvlText w:val="•"/>
      <w:lvlJc w:val="left"/>
      <w:pPr>
        <w:ind w:left="2952" w:hanging="1803"/>
      </w:pPr>
      <w:rPr>
        <w:rFonts w:hint="default"/>
        <w:lang w:val="en-US" w:eastAsia="en-US" w:bidi="ar-SA"/>
      </w:rPr>
    </w:lvl>
    <w:lvl w:ilvl="2">
      <w:numFmt w:val="bullet"/>
      <w:lvlText w:val="•"/>
      <w:lvlJc w:val="left"/>
      <w:pPr>
        <w:ind w:left="3744" w:hanging="1803"/>
      </w:pPr>
      <w:rPr>
        <w:rFonts w:hint="default"/>
        <w:lang w:val="en-US" w:eastAsia="en-US" w:bidi="ar-SA"/>
      </w:rPr>
    </w:lvl>
    <w:lvl w:ilvl="3">
      <w:numFmt w:val="bullet"/>
      <w:lvlText w:val="•"/>
      <w:lvlJc w:val="left"/>
      <w:pPr>
        <w:ind w:left="4536" w:hanging="1803"/>
      </w:pPr>
      <w:rPr>
        <w:rFonts w:hint="default"/>
        <w:lang w:val="en-US" w:eastAsia="en-US" w:bidi="ar-SA"/>
      </w:rPr>
    </w:lvl>
    <w:lvl w:ilvl="4">
      <w:numFmt w:val="bullet"/>
      <w:lvlText w:val="•"/>
      <w:lvlJc w:val="left"/>
      <w:pPr>
        <w:ind w:left="5328" w:hanging="1803"/>
      </w:pPr>
      <w:rPr>
        <w:rFonts w:hint="default"/>
        <w:lang w:val="en-US" w:eastAsia="en-US" w:bidi="ar-SA"/>
      </w:rPr>
    </w:lvl>
    <w:lvl w:ilvl="5">
      <w:numFmt w:val="bullet"/>
      <w:lvlText w:val="•"/>
      <w:lvlJc w:val="left"/>
      <w:pPr>
        <w:ind w:left="6120" w:hanging="1803"/>
      </w:pPr>
      <w:rPr>
        <w:rFonts w:hint="default"/>
        <w:lang w:val="en-US" w:eastAsia="en-US" w:bidi="ar-SA"/>
      </w:rPr>
    </w:lvl>
    <w:lvl w:ilvl="6">
      <w:numFmt w:val="bullet"/>
      <w:lvlText w:val="•"/>
      <w:lvlJc w:val="left"/>
      <w:pPr>
        <w:ind w:left="6912" w:hanging="1803"/>
      </w:pPr>
      <w:rPr>
        <w:rFonts w:hint="default"/>
        <w:lang w:val="en-US" w:eastAsia="en-US" w:bidi="ar-SA"/>
      </w:rPr>
    </w:lvl>
    <w:lvl w:ilvl="7">
      <w:numFmt w:val="bullet"/>
      <w:lvlText w:val="•"/>
      <w:lvlJc w:val="left"/>
      <w:pPr>
        <w:ind w:left="7704" w:hanging="1803"/>
      </w:pPr>
      <w:rPr>
        <w:rFonts w:hint="default"/>
        <w:lang w:val="en-US" w:eastAsia="en-US" w:bidi="ar-SA"/>
      </w:rPr>
    </w:lvl>
    <w:lvl w:ilvl="8">
      <w:numFmt w:val="bullet"/>
      <w:lvlText w:val="•"/>
      <w:lvlJc w:val="left"/>
      <w:pPr>
        <w:ind w:left="8496" w:hanging="1803"/>
      </w:pPr>
      <w:rPr>
        <w:rFonts w:hint="default"/>
        <w:lang w:val="en-US" w:eastAsia="en-US" w:bidi="ar-SA"/>
      </w:rPr>
    </w:lvl>
  </w:abstractNum>
  <w:abstractNum w:abstractNumId="8" w15:restartNumberingAfterBreak="0">
    <w:nsid w:val="1F2D3829"/>
    <w:multiLevelType w:val="multilevel"/>
    <w:tmpl w:val="7A66FA6C"/>
    <w:lvl w:ilvl="0">
      <w:start w:val="3"/>
      <w:numFmt w:val="decimal"/>
      <w:lvlText w:val="%1"/>
      <w:lvlJc w:val="left"/>
      <w:pPr>
        <w:ind w:left="360" w:hanging="360"/>
      </w:pPr>
      <w:rPr>
        <w:rFonts w:hint="default"/>
      </w:rPr>
    </w:lvl>
    <w:lvl w:ilvl="1">
      <w:start w:val="3"/>
      <w:numFmt w:val="decimal"/>
      <w:lvlText w:val="%1.%2"/>
      <w:lvlJc w:val="left"/>
      <w:pPr>
        <w:ind w:left="719" w:hanging="360"/>
      </w:pPr>
      <w:rPr>
        <w:rFonts w:hint="default"/>
      </w:rPr>
    </w:lvl>
    <w:lvl w:ilvl="2">
      <w:start w:val="1"/>
      <w:numFmt w:val="decimal"/>
      <w:lvlText w:val="%1.%2.%3"/>
      <w:lvlJc w:val="left"/>
      <w:pPr>
        <w:ind w:left="1438" w:hanging="720"/>
      </w:pPr>
      <w:rPr>
        <w:rFonts w:hint="default"/>
      </w:rPr>
    </w:lvl>
    <w:lvl w:ilvl="3">
      <w:start w:val="1"/>
      <w:numFmt w:val="decimal"/>
      <w:lvlText w:val="%1.%2.%3.%4"/>
      <w:lvlJc w:val="left"/>
      <w:pPr>
        <w:ind w:left="1797" w:hanging="720"/>
      </w:pPr>
      <w:rPr>
        <w:rFonts w:hint="default"/>
      </w:rPr>
    </w:lvl>
    <w:lvl w:ilvl="4">
      <w:start w:val="1"/>
      <w:numFmt w:val="decimal"/>
      <w:lvlText w:val="%1.%2.%3.%4.%5"/>
      <w:lvlJc w:val="left"/>
      <w:pPr>
        <w:ind w:left="2516" w:hanging="108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594" w:hanging="144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672" w:hanging="1800"/>
      </w:pPr>
      <w:rPr>
        <w:rFonts w:hint="default"/>
      </w:rPr>
    </w:lvl>
  </w:abstractNum>
  <w:abstractNum w:abstractNumId="9" w15:restartNumberingAfterBreak="0">
    <w:nsid w:val="25B654F3"/>
    <w:multiLevelType w:val="multilevel"/>
    <w:tmpl w:val="25B654F3"/>
    <w:lvl w:ilvl="0">
      <w:start w:val="1"/>
      <w:numFmt w:val="decimal"/>
      <w:lvlText w:val="%1."/>
      <w:lvlJc w:val="left"/>
      <w:pPr>
        <w:ind w:left="360" w:hanging="181"/>
        <w:jc w:val="left"/>
      </w:pPr>
      <w:rPr>
        <w:rFonts w:ascii="Times New Roman" w:eastAsia="Times New Roman" w:hAnsi="Times New Roman" w:cs="Times New Roman" w:hint="default"/>
        <w:b w:val="0"/>
        <w:bCs w:val="0"/>
        <w:i w:val="0"/>
        <w:iCs w:val="0"/>
        <w:spacing w:val="0"/>
        <w:w w:val="95"/>
        <w:sz w:val="22"/>
        <w:szCs w:val="22"/>
        <w:lang w:val="en-US" w:eastAsia="en-US" w:bidi="ar-SA"/>
      </w:rPr>
    </w:lvl>
    <w:lvl w:ilvl="1">
      <w:numFmt w:val="bullet"/>
      <w:lvlText w:val="•"/>
      <w:lvlJc w:val="left"/>
      <w:pPr>
        <w:ind w:left="1332" w:hanging="181"/>
      </w:pPr>
      <w:rPr>
        <w:rFonts w:hint="default"/>
        <w:lang w:val="en-US" w:eastAsia="en-US" w:bidi="ar-SA"/>
      </w:rPr>
    </w:lvl>
    <w:lvl w:ilvl="2">
      <w:numFmt w:val="bullet"/>
      <w:lvlText w:val="•"/>
      <w:lvlJc w:val="left"/>
      <w:pPr>
        <w:ind w:left="2304" w:hanging="181"/>
      </w:pPr>
      <w:rPr>
        <w:rFonts w:hint="default"/>
        <w:lang w:val="en-US" w:eastAsia="en-US" w:bidi="ar-SA"/>
      </w:rPr>
    </w:lvl>
    <w:lvl w:ilvl="3">
      <w:numFmt w:val="bullet"/>
      <w:lvlText w:val="•"/>
      <w:lvlJc w:val="left"/>
      <w:pPr>
        <w:ind w:left="3276" w:hanging="181"/>
      </w:pPr>
      <w:rPr>
        <w:rFonts w:hint="default"/>
        <w:lang w:val="en-US" w:eastAsia="en-US" w:bidi="ar-SA"/>
      </w:rPr>
    </w:lvl>
    <w:lvl w:ilvl="4">
      <w:numFmt w:val="bullet"/>
      <w:lvlText w:val="•"/>
      <w:lvlJc w:val="left"/>
      <w:pPr>
        <w:ind w:left="4248" w:hanging="181"/>
      </w:pPr>
      <w:rPr>
        <w:rFonts w:hint="default"/>
        <w:lang w:val="en-US" w:eastAsia="en-US" w:bidi="ar-SA"/>
      </w:rPr>
    </w:lvl>
    <w:lvl w:ilvl="5">
      <w:numFmt w:val="bullet"/>
      <w:lvlText w:val="•"/>
      <w:lvlJc w:val="left"/>
      <w:pPr>
        <w:ind w:left="5220" w:hanging="181"/>
      </w:pPr>
      <w:rPr>
        <w:rFonts w:hint="default"/>
        <w:lang w:val="en-US" w:eastAsia="en-US" w:bidi="ar-SA"/>
      </w:rPr>
    </w:lvl>
    <w:lvl w:ilvl="6">
      <w:numFmt w:val="bullet"/>
      <w:lvlText w:val="•"/>
      <w:lvlJc w:val="left"/>
      <w:pPr>
        <w:ind w:left="6192" w:hanging="181"/>
      </w:pPr>
      <w:rPr>
        <w:rFonts w:hint="default"/>
        <w:lang w:val="en-US" w:eastAsia="en-US" w:bidi="ar-SA"/>
      </w:rPr>
    </w:lvl>
    <w:lvl w:ilvl="7">
      <w:numFmt w:val="bullet"/>
      <w:lvlText w:val="•"/>
      <w:lvlJc w:val="left"/>
      <w:pPr>
        <w:ind w:left="7164" w:hanging="181"/>
      </w:pPr>
      <w:rPr>
        <w:rFonts w:hint="default"/>
        <w:lang w:val="en-US" w:eastAsia="en-US" w:bidi="ar-SA"/>
      </w:rPr>
    </w:lvl>
    <w:lvl w:ilvl="8">
      <w:numFmt w:val="bullet"/>
      <w:lvlText w:val="•"/>
      <w:lvlJc w:val="left"/>
      <w:pPr>
        <w:ind w:left="8136" w:hanging="181"/>
      </w:pPr>
      <w:rPr>
        <w:rFonts w:hint="default"/>
        <w:lang w:val="en-US" w:eastAsia="en-US" w:bidi="ar-SA"/>
      </w:rPr>
    </w:lvl>
  </w:abstractNum>
  <w:abstractNum w:abstractNumId="10" w15:restartNumberingAfterBreak="0">
    <w:nsid w:val="2A8F537B"/>
    <w:multiLevelType w:val="multilevel"/>
    <w:tmpl w:val="2A8F537B"/>
    <w:lvl w:ilvl="0">
      <w:start w:val="5"/>
      <w:numFmt w:val="decimal"/>
      <w:lvlText w:val="%1"/>
      <w:lvlJc w:val="left"/>
      <w:pPr>
        <w:ind w:left="1798" w:hanging="719"/>
        <w:jc w:val="left"/>
      </w:pPr>
      <w:rPr>
        <w:rFonts w:hint="default"/>
        <w:lang w:val="en-US" w:eastAsia="en-US" w:bidi="ar-SA"/>
      </w:rPr>
    </w:lvl>
    <w:lvl w:ilvl="1">
      <w:start w:val="2"/>
      <w:numFmt w:val="decimal"/>
      <w:lvlText w:val="%1.%2"/>
      <w:lvlJc w:val="left"/>
      <w:pPr>
        <w:ind w:left="1798" w:hanging="719"/>
        <w:jc w:val="left"/>
      </w:pPr>
      <w:rPr>
        <w:rFonts w:ascii="Times New Roman" w:eastAsia="Times New Roman" w:hAnsi="Times New Roman" w:cs="Times New Roman" w:hint="default"/>
        <w:b/>
        <w:bCs/>
        <w:i w:val="0"/>
        <w:iCs w:val="0"/>
        <w:spacing w:val="0"/>
        <w:w w:val="99"/>
        <w:sz w:val="24"/>
        <w:szCs w:val="24"/>
        <w:lang w:val="en-US" w:eastAsia="en-US" w:bidi="ar-SA"/>
      </w:rPr>
    </w:lvl>
    <w:lvl w:ilvl="2">
      <w:numFmt w:val="bullet"/>
      <w:lvlText w:val="•"/>
      <w:lvlJc w:val="left"/>
      <w:pPr>
        <w:ind w:left="1800" w:hanging="360"/>
      </w:pPr>
      <w:rPr>
        <w:rFonts w:ascii="Century" w:eastAsia="Century" w:hAnsi="Century" w:cs="Century" w:hint="default"/>
        <w:b w:val="0"/>
        <w:bCs w:val="0"/>
        <w:i w:val="0"/>
        <w:iCs w:val="0"/>
        <w:spacing w:val="0"/>
        <w:w w:val="75"/>
        <w:sz w:val="20"/>
        <w:szCs w:val="20"/>
        <w:lang w:val="en-US" w:eastAsia="en-US" w:bidi="ar-SA"/>
      </w:rPr>
    </w:lvl>
    <w:lvl w:ilvl="3">
      <w:numFmt w:val="bullet"/>
      <w:lvlText w:val="•"/>
      <w:lvlJc w:val="left"/>
      <w:pPr>
        <w:ind w:left="4716" w:hanging="360"/>
      </w:pPr>
      <w:rPr>
        <w:rFonts w:hint="default"/>
        <w:lang w:val="en-US" w:eastAsia="en-US" w:bidi="ar-SA"/>
      </w:rPr>
    </w:lvl>
    <w:lvl w:ilvl="4">
      <w:numFmt w:val="bullet"/>
      <w:lvlText w:val="•"/>
      <w:lvlJc w:val="left"/>
      <w:pPr>
        <w:ind w:left="5688" w:hanging="360"/>
      </w:pPr>
      <w:rPr>
        <w:rFonts w:hint="default"/>
        <w:lang w:val="en-US" w:eastAsia="en-US" w:bidi="ar-SA"/>
      </w:rPr>
    </w:lvl>
    <w:lvl w:ilvl="5">
      <w:numFmt w:val="bullet"/>
      <w:lvlText w:val="•"/>
      <w:lvlJc w:val="left"/>
      <w:pPr>
        <w:ind w:left="6660" w:hanging="360"/>
      </w:pPr>
      <w:rPr>
        <w:rFonts w:hint="default"/>
        <w:lang w:val="en-US" w:eastAsia="en-US" w:bidi="ar-SA"/>
      </w:rPr>
    </w:lvl>
    <w:lvl w:ilvl="6">
      <w:numFmt w:val="bullet"/>
      <w:lvlText w:val="•"/>
      <w:lvlJc w:val="left"/>
      <w:pPr>
        <w:ind w:left="7632" w:hanging="360"/>
      </w:pPr>
      <w:rPr>
        <w:rFonts w:hint="default"/>
        <w:lang w:val="en-US" w:eastAsia="en-US" w:bidi="ar-SA"/>
      </w:rPr>
    </w:lvl>
    <w:lvl w:ilvl="7">
      <w:numFmt w:val="bullet"/>
      <w:lvlText w:val="•"/>
      <w:lvlJc w:val="left"/>
      <w:pPr>
        <w:ind w:left="8604" w:hanging="360"/>
      </w:pPr>
      <w:rPr>
        <w:rFonts w:hint="default"/>
        <w:lang w:val="en-US" w:eastAsia="en-US" w:bidi="ar-SA"/>
      </w:rPr>
    </w:lvl>
    <w:lvl w:ilvl="8">
      <w:numFmt w:val="bullet"/>
      <w:lvlText w:val="•"/>
      <w:lvlJc w:val="left"/>
      <w:pPr>
        <w:ind w:left="9576" w:hanging="360"/>
      </w:pPr>
      <w:rPr>
        <w:rFonts w:hint="default"/>
        <w:lang w:val="en-US" w:eastAsia="en-US" w:bidi="ar-SA"/>
      </w:rPr>
    </w:lvl>
  </w:abstractNum>
  <w:abstractNum w:abstractNumId="11" w15:restartNumberingAfterBreak="0">
    <w:nsid w:val="59ADCABA"/>
    <w:multiLevelType w:val="multilevel"/>
    <w:tmpl w:val="59ADCABA"/>
    <w:lvl w:ilvl="0">
      <w:start w:val="2"/>
      <w:numFmt w:val="decimal"/>
      <w:lvlText w:val="%1"/>
      <w:lvlJc w:val="left"/>
      <w:pPr>
        <w:ind w:left="720" w:hanging="360"/>
        <w:jc w:val="left"/>
      </w:pPr>
      <w:rPr>
        <w:rFonts w:hint="default"/>
        <w:lang w:val="en-US" w:eastAsia="en-US" w:bidi="ar-SA"/>
      </w:rPr>
    </w:lvl>
    <w:lvl w:ilvl="1">
      <w:start w:val="1"/>
      <w:numFmt w:val="decimal"/>
      <w:lvlText w:val="%1.%2"/>
      <w:lvlJc w:val="left"/>
      <w:pPr>
        <w:ind w:left="720" w:hanging="360"/>
        <w:jc w:val="left"/>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1078" w:hanging="719"/>
        <w:jc w:val="left"/>
      </w:pPr>
      <w:rPr>
        <w:rFonts w:ascii="Times New Roman" w:eastAsia="Times New Roman" w:hAnsi="Times New Roman" w:cs="Times New Roman" w:hint="default"/>
        <w:b/>
        <w:bCs/>
        <w:i w:val="0"/>
        <w:iCs w:val="0"/>
        <w:spacing w:val="0"/>
        <w:w w:val="99"/>
        <w:sz w:val="24"/>
        <w:szCs w:val="24"/>
        <w:lang w:val="en-US" w:eastAsia="en-US" w:bidi="ar-SA"/>
      </w:rPr>
    </w:lvl>
    <w:lvl w:ilvl="3">
      <w:numFmt w:val="bullet"/>
      <w:lvlText w:val="•"/>
      <w:lvlJc w:val="left"/>
      <w:pPr>
        <w:ind w:left="1361" w:hanging="719"/>
      </w:pPr>
      <w:rPr>
        <w:rFonts w:hint="default"/>
        <w:lang w:val="en-US" w:eastAsia="en-US" w:bidi="ar-SA"/>
      </w:rPr>
    </w:lvl>
    <w:lvl w:ilvl="4">
      <w:numFmt w:val="bullet"/>
      <w:lvlText w:val="•"/>
      <w:lvlJc w:val="left"/>
      <w:pPr>
        <w:ind w:left="1502" w:hanging="719"/>
      </w:pPr>
      <w:rPr>
        <w:rFonts w:hint="default"/>
        <w:lang w:val="en-US" w:eastAsia="en-US" w:bidi="ar-SA"/>
      </w:rPr>
    </w:lvl>
    <w:lvl w:ilvl="5">
      <w:numFmt w:val="bullet"/>
      <w:lvlText w:val="•"/>
      <w:lvlJc w:val="left"/>
      <w:pPr>
        <w:ind w:left="1642" w:hanging="719"/>
      </w:pPr>
      <w:rPr>
        <w:rFonts w:hint="default"/>
        <w:lang w:val="en-US" w:eastAsia="en-US" w:bidi="ar-SA"/>
      </w:rPr>
    </w:lvl>
    <w:lvl w:ilvl="6">
      <w:numFmt w:val="bullet"/>
      <w:lvlText w:val="•"/>
      <w:lvlJc w:val="left"/>
      <w:pPr>
        <w:ind w:left="1783" w:hanging="719"/>
      </w:pPr>
      <w:rPr>
        <w:rFonts w:hint="default"/>
        <w:lang w:val="en-US" w:eastAsia="en-US" w:bidi="ar-SA"/>
      </w:rPr>
    </w:lvl>
    <w:lvl w:ilvl="7">
      <w:numFmt w:val="bullet"/>
      <w:lvlText w:val="•"/>
      <w:lvlJc w:val="left"/>
      <w:pPr>
        <w:ind w:left="1924" w:hanging="719"/>
      </w:pPr>
      <w:rPr>
        <w:rFonts w:hint="default"/>
        <w:lang w:val="en-US" w:eastAsia="en-US" w:bidi="ar-SA"/>
      </w:rPr>
    </w:lvl>
    <w:lvl w:ilvl="8">
      <w:numFmt w:val="bullet"/>
      <w:lvlText w:val="•"/>
      <w:lvlJc w:val="left"/>
      <w:pPr>
        <w:ind w:left="2065" w:hanging="719"/>
      </w:pPr>
      <w:rPr>
        <w:rFonts w:hint="default"/>
        <w:lang w:val="en-US" w:eastAsia="en-US" w:bidi="ar-SA"/>
      </w:rPr>
    </w:lvl>
  </w:abstractNum>
  <w:abstractNum w:abstractNumId="12" w15:restartNumberingAfterBreak="0">
    <w:nsid w:val="72183CF9"/>
    <w:multiLevelType w:val="multilevel"/>
    <w:tmpl w:val="72183CF9"/>
    <w:lvl w:ilvl="0">
      <w:start w:val="7"/>
      <w:numFmt w:val="decimal"/>
      <w:lvlText w:val="%1."/>
      <w:lvlJc w:val="left"/>
      <w:pPr>
        <w:ind w:left="695" w:hanging="276"/>
        <w:jc w:val="left"/>
      </w:pPr>
      <w:rPr>
        <w:rFonts w:ascii="Times New Roman" w:eastAsia="Times New Roman" w:hAnsi="Times New Roman" w:cs="Times New Roman" w:hint="default"/>
        <w:b w:val="0"/>
        <w:bCs w:val="0"/>
        <w:i w:val="0"/>
        <w:iCs w:val="0"/>
        <w:spacing w:val="0"/>
        <w:w w:val="99"/>
        <w:sz w:val="24"/>
        <w:szCs w:val="24"/>
        <w:lang w:val="en-US" w:eastAsia="en-US" w:bidi="ar-SA"/>
      </w:rPr>
    </w:lvl>
    <w:lvl w:ilvl="1">
      <w:numFmt w:val="bullet"/>
      <w:lvlText w:val="•"/>
      <w:lvlJc w:val="left"/>
      <w:pPr>
        <w:ind w:left="1638" w:hanging="276"/>
      </w:pPr>
      <w:rPr>
        <w:rFonts w:hint="default"/>
        <w:lang w:val="en-US" w:eastAsia="en-US" w:bidi="ar-SA"/>
      </w:rPr>
    </w:lvl>
    <w:lvl w:ilvl="2">
      <w:numFmt w:val="bullet"/>
      <w:lvlText w:val="•"/>
      <w:lvlJc w:val="left"/>
      <w:pPr>
        <w:ind w:left="2576" w:hanging="276"/>
      </w:pPr>
      <w:rPr>
        <w:rFonts w:hint="default"/>
        <w:lang w:val="en-US" w:eastAsia="en-US" w:bidi="ar-SA"/>
      </w:rPr>
    </w:lvl>
    <w:lvl w:ilvl="3">
      <w:numFmt w:val="bullet"/>
      <w:lvlText w:val="•"/>
      <w:lvlJc w:val="left"/>
      <w:pPr>
        <w:ind w:left="3514" w:hanging="276"/>
      </w:pPr>
      <w:rPr>
        <w:rFonts w:hint="default"/>
        <w:lang w:val="en-US" w:eastAsia="en-US" w:bidi="ar-SA"/>
      </w:rPr>
    </w:lvl>
    <w:lvl w:ilvl="4">
      <w:numFmt w:val="bullet"/>
      <w:lvlText w:val="•"/>
      <w:lvlJc w:val="left"/>
      <w:pPr>
        <w:ind w:left="4452" w:hanging="276"/>
      </w:pPr>
      <w:rPr>
        <w:rFonts w:hint="default"/>
        <w:lang w:val="en-US" w:eastAsia="en-US" w:bidi="ar-SA"/>
      </w:rPr>
    </w:lvl>
    <w:lvl w:ilvl="5">
      <w:numFmt w:val="bullet"/>
      <w:lvlText w:val="•"/>
      <w:lvlJc w:val="left"/>
      <w:pPr>
        <w:ind w:left="5390" w:hanging="276"/>
      </w:pPr>
      <w:rPr>
        <w:rFonts w:hint="default"/>
        <w:lang w:val="en-US" w:eastAsia="en-US" w:bidi="ar-SA"/>
      </w:rPr>
    </w:lvl>
    <w:lvl w:ilvl="6">
      <w:numFmt w:val="bullet"/>
      <w:lvlText w:val="•"/>
      <w:lvlJc w:val="left"/>
      <w:pPr>
        <w:ind w:left="6328" w:hanging="276"/>
      </w:pPr>
      <w:rPr>
        <w:rFonts w:hint="default"/>
        <w:lang w:val="en-US" w:eastAsia="en-US" w:bidi="ar-SA"/>
      </w:rPr>
    </w:lvl>
    <w:lvl w:ilvl="7">
      <w:numFmt w:val="bullet"/>
      <w:lvlText w:val="•"/>
      <w:lvlJc w:val="left"/>
      <w:pPr>
        <w:ind w:left="7266" w:hanging="276"/>
      </w:pPr>
      <w:rPr>
        <w:rFonts w:hint="default"/>
        <w:lang w:val="en-US" w:eastAsia="en-US" w:bidi="ar-SA"/>
      </w:rPr>
    </w:lvl>
    <w:lvl w:ilvl="8">
      <w:numFmt w:val="bullet"/>
      <w:lvlText w:val="•"/>
      <w:lvlJc w:val="left"/>
      <w:pPr>
        <w:ind w:left="8204" w:hanging="276"/>
      </w:pPr>
      <w:rPr>
        <w:rFonts w:hint="default"/>
        <w:lang w:val="en-US" w:eastAsia="en-US" w:bidi="ar-SA"/>
      </w:rPr>
    </w:lvl>
  </w:abstractNum>
  <w:num w:numId="1" w16cid:durableId="260724749">
    <w:abstractNumId w:val="4"/>
  </w:num>
  <w:num w:numId="2" w16cid:durableId="745110270">
    <w:abstractNumId w:val="3"/>
  </w:num>
  <w:num w:numId="3" w16cid:durableId="327053161">
    <w:abstractNumId w:val="11"/>
  </w:num>
  <w:num w:numId="4" w16cid:durableId="1916626932">
    <w:abstractNumId w:val="2"/>
  </w:num>
  <w:num w:numId="5" w16cid:durableId="1998000673">
    <w:abstractNumId w:val="1"/>
  </w:num>
  <w:num w:numId="6" w16cid:durableId="194125472">
    <w:abstractNumId w:val="7"/>
  </w:num>
  <w:num w:numId="7" w16cid:durableId="783574976">
    <w:abstractNumId w:val="9"/>
  </w:num>
  <w:num w:numId="8" w16cid:durableId="1938635163">
    <w:abstractNumId w:val="12"/>
  </w:num>
  <w:num w:numId="9" w16cid:durableId="1998218043">
    <w:abstractNumId w:val="6"/>
  </w:num>
  <w:num w:numId="10" w16cid:durableId="2080251613">
    <w:abstractNumId w:val="0"/>
  </w:num>
  <w:num w:numId="11" w16cid:durableId="357203028">
    <w:abstractNumId w:val="10"/>
  </w:num>
  <w:num w:numId="12" w16cid:durableId="1673100741">
    <w:abstractNumId w:val="5"/>
  </w:num>
  <w:num w:numId="13" w16cid:durableId="1585333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A1F"/>
    <w:rsid w:val="0004011C"/>
    <w:rsid w:val="00046E5F"/>
    <w:rsid w:val="000D0E11"/>
    <w:rsid w:val="000F3887"/>
    <w:rsid w:val="00101883"/>
    <w:rsid w:val="00136FDC"/>
    <w:rsid w:val="0016005E"/>
    <w:rsid w:val="00215AD5"/>
    <w:rsid w:val="0032034D"/>
    <w:rsid w:val="0034669D"/>
    <w:rsid w:val="0035258B"/>
    <w:rsid w:val="00375C20"/>
    <w:rsid w:val="0038555E"/>
    <w:rsid w:val="003A701B"/>
    <w:rsid w:val="00426CBD"/>
    <w:rsid w:val="004B73C7"/>
    <w:rsid w:val="004C706A"/>
    <w:rsid w:val="004E701E"/>
    <w:rsid w:val="00517554"/>
    <w:rsid w:val="00524209"/>
    <w:rsid w:val="00547A1F"/>
    <w:rsid w:val="005B4C21"/>
    <w:rsid w:val="00603A45"/>
    <w:rsid w:val="00627FAD"/>
    <w:rsid w:val="00640DF7"/>
    <w:rsid w:val="0064199A"/>
    <w:rsid w:val="0065746F"/>
    <w:rsid w:val="00704B93"/>
    <w:rsid w:val="007200AE"/>
    <w:rsid w:val="007357B6"/>
    <w:rsid w:val="0073742B"/>
    <w:rsid w:val="00745B4A"/>
    <w:rsid w:val="007F3763"/>
    <w:rsid w:val="0083477F"/>
    <w:rsid w:val="008713D1"/>
    <w:rsid w:val="00882F84"/>
    <w:rsid w:val="008915E6"/>
    <w:rsid w:val="008D19DF"/>
    <w:rsid w:val="008E69D5"/>
    <w:rsid w:val="00916053"/>
    <w:rsid w:val="009510D2"/>
    <w:rsid w:val="00952DC2"/>
    <w:rsid w:val="00984F77"/>
    <w:rsid w:val="009D2FD0"/>
    <w:rsid w:val="009E07AE"/>
    <w:rsid w:val="00A2012D"/>
    <w:rsid w:val="00A565CB"/>
    <w:rsid w:val="00A83E66"/>
    <w:rsid w:val="00AA7110"/>
    <w:rsid w:val="00AB3FE8"/>
    <w:rsid w:val="00AC743A"/>
    <w:rsid w:val="00B22219"/>
    <w:rsid w:val="00B4209F"/>
    <w:rsid w:val="00B95945"/>
    <w:rsid w:val="00BB49F6"/>
    <w:rsid w:val="00BF0DAA"/>
    <w:rsid w:val="00BF792E"/>
    <w:rsid w:val="00C15185"/>
    <w:rsid w:val="00C2555C"/>
    <w:rsid w:val="00C5363C"/>
    <w:rsid w:val="00C91677"/>
    <w:rsid w:val="00D02B8D"/>
    <w:rsid w:val="00D223FC"/>
    <w:rsid w:val="00D524A4"/>
    <w:rsid w:val="00D618D3"/>
    <w:rsid w:val="00D661EB"/>
    <w:rsid w:val="00D71880"/>
    <w:rsid w:val="00D77AD5"/>
    <w:rsid w:val="00DA2511"/>
    <w:rsid w:val="00DB3861"/>
    <w:rsid w:val="00DC46BB"/>
    <w:rsid w:val="00E81B5D"/>
    <w:rsid w:val="00E910C5"/>
    <w:rsid w:val="00F32EDA"/>
    <w:rsid w:val="00F427A3"/>
    <w:rsid w:val="00F435B7"/>
    <w:rsid w:val="00F52FE1"/>
    <w:rsid w:val="00F61606"/>
    <w:rsid w:val="00F83725"/>
    <w:rsid w:val="00FE3A12"/>
    <w:rsid w:val="1FCD75CB"/>
    <w:rsid w:val="33CD6A27"/>
    <w:rsid w:val="43F72FD7"/>
    <w:rsid w:val="595B5B0A"/>
    <w:rsid w:val="5D924DFB"/>
    <w:rsid w:val="63B63E59"/>
    <w:rsid w:val="7E552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E44CE8"/>
  <w15:docId w15:val="{8EE224E2-15C8-4FA5-A430-B44F84E08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paragraph" w:styleId="Heading1">
    <w:name w:val="heading 1"/>
    <w:basedOn w:val="Normal"/>
    <w:link w:val="Heading1Char"/>
    <w:uiPriority w:val="1"/>
    <w:qFormat/>
    <w:rsid w:val="00704B93"/>
    <w:pPr>
      <w:widowControl w:val="0"/>
      <w:autoSpaceDE w:val="0"/>
      <w:autoSpaceDN w:val="0"/>
      <w:spacing w:after="0" w:line="240" w:lineRule="auto"/>
      <w:ind w:left="719" w:hanging="718"/>
      <w:outlineLvl w:val="0"/>
    </w:pPr>
    <w:rPr>
      <w:rFonts w:ascii="Times New Roman" w:eastAsia="Times New Roman" w:hAnsi="Times New Roman" w:cs="Times New Roman"/>
      <w:b/>
      <w:bCs/>
      <w:kern w:val="0"/>
      <w:sz w:val="24"/>
      <w:szCs w:val="24"/>
      <w14:ligatures w14:val="none"/>
    </w:rPr>
  </w:style>
  <w:style w:type="paragraph" w:styleId="Heading2">
    <w:name w:val="heading 2"/>
    <w:basedOn w:val="Normal"/>
    <w:link w:val="Heading2Char"/>
    <w:uiPriority w:val="1"/>
    <w:qFormat/>
    <w:rsid w:val="00704B93"/>
    <w:pPr>
      <w:widowControl w:val="0"/>
      <w:autoSpaceDE w:val="0"/>
      <w:autoSpaceDN w:val="0"/>
      <w:spacing w:after="0" w:line="240" w:lineRule="auto"/>
      <w:ind w:left="360"/>
      <w:outlineLvl w:val="1"/>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1"/>
    <w:rsid w:val="00704B93"/>
    <w:rPr>
      <w:rFonts w:eastAsia="Times New Roman"/>
      <w:b/>
      <w:bCs/>
      <w:sz w:val="24"/>
      <w:szCs w:val="24"/>
    </w:rPr>
  </w:style>
  <w:style w:type="character" w:customStyle="1" w:styleId="Heading2Char">
    <w:name w:val="Heading 2 Char"/>
    <w:basedOn w:val="DefaultParagraphFont"/>
    <w:link w:val="Heading2"/>
    <w:uiPriority w:val="1"/>
    <w:rsid w:val="00704B93"/>
    <w:rPr>
      <w:rFonts w:eastAsia="Times New Roman"/>
      <w:b/>
      <w:bCs/>
      <w:sz w:val="24"/>
      <w:szCs w:val="24"/>
    </w:rPr>
  </w:style>
  <w:style w:type="paragraph" w:styleId="BodyText">
    <w:name w:val="Body Text"/>
    <w:basedOn w:val="Normal"/>
    <w:link w:val="BodyTextChar"/>
    <w:uiPriority w:val="1"/>
    <w:qFormat/>
    <w:rsid w:val="00704B9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704B93"/>
    <w:rPr>
      <w:rFonts w:eastAsia="Times New Roman"/>
      <w:sz w:val="24"/>
      <w:szCs w:val="24"/>
    </w:rPr>
  </w:style>
  <w:style w:type="table" w:customStyle="1" w:styleId="TableNormal1">
    <w:name w:val="Table Normal1"/>
    <w:uiPriority w:val="2"/>
    <w:semiHidden/>
    <w:unhideWhenUsed/>
    <w:qFormat/>
    <w:rsid w:val="00704B93"/>
    <w:rPr>
      <w:rFonts w:asciiTheme="minorHAnsi" w:eastAsiaTheme="minorHAnsi" w:hAnsiTheme="minorHAnsi" w:cstheme="minorBidi"/>
    </w:rPr>
    <w:tblPr>
      <w:tblCellMar>
        <w:top w:w="0" w:type="dxa"/>
        <w:left w:w="0" w:type="dxa"/>
        <w:bottom w:w="0" w:type="dxa"/>
        <w:right w:w="0" w:type="dxa"/>
      </w:tblCellMar>
    </w:tblPr>
  </w:style>
  <w:style w:type="paragraph" w:styleId="ListParagraph">
    <w:name w:val="List Paragraph"/>
    <w:basedOn w:val="Normal"/>
    <w:uiPriority w:val="1"/>
    <w:qFormat/>
    <w:rsid w:val="00704B93"/>
    <w:pPr>
      <w:widowControl w:val="0"/>
      <w:autoSpaceDE w:val="0"/>
      <w:autoSpaceDN w:val="0"/>
      <w:spacing w:after="0" w:line="240" w:lineRule="auto"/>
      <w:ind w:left="898" w:hanging="538"/>
    </w:pPr>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704B93"/>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7F3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12.xml"/><Relationship Id="rId34" Type="http://schemas.openxmlformats.org/officeDocument/2006/relationships/header" Target="header23.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8.xml"/><Relationship Id="rId25" Type="http://schemas.openxmlformats.org/officeDocument/2006/relationships/image" Target="media/image1.jpeg"/><Relationship Id="rId33" Type="http://schemas.openxmlformats.org/officeDocument/2006/relationships/header" Target="header22.xml"/><Relationship Id="rId38"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5.xml"/><Relationship Id="rId32" Type="http://schemas.openxmlformats.org/officeDocument/2006/relationships/header" Target="header21.xml"/><Relationship Id="rId37" Type="http://schemas.openxmlformats.org/officeDocument/2006/relationships/header" Target="header2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7.xml"/><Relationship Id="rId36"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footer" Target="footer4.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39</Pages>
  <Words>9001</Words>
  <Characters>51312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Josephat Ejike Ozor</dc:creator>
  <cp:lastModifiedBy>SDI 1084</cp:lastModifiedBy>
  <cp:revision>12</cp:revision>
  <dcterms:created xsi:type="dcterms:W3CDTF">2026-09-05T13:26:00Z</dcterms:created>
  <dcterms:modified xsi:type="dcterms:W3CDTF">2026-09-07T13:46:00Z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eyJoZGlkIjoiZDM1ZTIzMjg4YzEwNTA3NzJmN2M3MjMwMGQwYmM5MjYifQ==</vt:lpwstr>
  </property>
  <property fmtid="{D5CDD505-2E9C-101B-9397-08002B2CF9AE}" pid="3" name="KSOProductBuildVer">
    <vt:lpwstr>1033-12.1.0.27458</vt:lpwstr>
  </property>
  <property fmtid="{D5CDD505-2E9C-101B-9397-08002B2CF9AE}" pid="4" name="ICV">
    <vt:lpwstr>2C976766CB1B457DAB5529B64F0BF3D5_12</vt:lpwstr>
  </property>
</Properties>
</file>