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1.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3.xml" ContentType="application/vnd.openxmlformats-officedocument.wordprocessingml.foot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7692" w14:textId="77777777" w:rsidR="00DB769D" w:rsidRPr="003A4922" w:rsidRDefault="00B32603" w:rsidP="00965274">
      <w:pPr>
        <w:spacing w:before="200" w:after="120"/>
        <w:jc w:val="center"/>
        <w:rPr>
          <w:color w:val="000000" w:themeColor="text1"/>
          <w:sz w:val="24"/>
          <w:szCs w:val="24"/>
        </w:rPr>
      </w:pPr>
      <w:r w:rsidRPr="003A4922">
        <w:rPr>
          <w:rFonts w:ascii="Arial" w:eastAsia="Arial" w:hAnsi="Arial"/>
          <w:b/>
          <w:bCs/>
          <w:color w:val="000000"/>
          <w:sz w:val="28"/>
          <w:szCs w:val="24"/>
        </w:rPr>
        <w:t>Beyond Precision Agriculture: AI and Data-Driven Information Systems as Catalysts for Sustainable Agribusiness Transformation</w:t>
      </w:r>
    </w:p>
    <w:p w14:paraId="07842C36" w14:textId="77777777" w:rsidR="00944DF7" w:rsidRDefault="00944DF7" w:rsidP="00965274">
      <w:pPr>
        <w:spacing w:after="60"/>
        <w:rPr>
          <w:i/>
          <w:iCs/>
          <w:color w:val="000000" w:themeColor="text1"/>
          <w:sz w:val="24"/>
          <w:szCs w:val="24"/>
        </w:rPr>
      </w:pPr>
    </w:p>
    <w:p w14:paraId="78818A3E" w14:textId="77777777" w:rsidR="00496688" w:rsidRPr="003A4922" w:rsidRDefault="00496688" w:rsidP="00965274">
      <w:pPr>
        <w:spacing w:after="60"/>
        <w:rPr>
          <w:i/>
          <w:iCs/>
          <w:color w:val="000000" w:themeColor="text1"/>
          <w:sz w:val="24"/>
          <w:szCs w:val="24"/>
        </w:rPr>
      </w:pPr>
    </w:p>
    <w:p w14:paraId="78868A9B" w14:textId="77777777" w:rsidR="001207A1" w:rsidRPr="003A4922" w:rsidRDefault="001207A1" w:rsidP="00965274">
      <w:pPr>
        <w:spacing w:after="200"/>
        <w:rPr>
          <w:b/>
          <w:bCs/>
          <w:color w:val="000000" w:themeColor="text1"/>
          <w:sz w:val="24"/>
          <w:szCs w:val="24"/>
        </w:rPr>
      </w:pPr>
      <w:r w:rsidRPr="003A4922">
        <w:rPr>
          <w:rFonts w:ascii="Arial" w:hAnsi="Arial"/>
          <w:b/>
          <w:bCs/>
          <w:caps/>
          <w:color w:val="000000"/>
          <w:sz w:val="22"/>
          <w:szCs w:val="24"/>
        </w:rPr>
        <w:t xml:space="preserve"> Abstract</w:t>
      </w:r>
      <w:r w:rsidRPr="003A4922">
        <w:rPr>
          <w:rFonts w:ascii="Arial" w:hAnsi="Arial"/>
          <w:b/>
          <w:caps/>
          <w:color w:val="000000"/>
          <w:sz w:val="22"/>
          <w:szCs w:val="24"/>
        </w:rPr>
        <w:t xml:space="preserve"> </w:t>
      </w:r>
    </w:p>
    <w:p w14:paraId="5C805B9C" w14:textId="77777777" w:rsidR="00DB769D" w:rsidRPr="003A4922" w:rsidRDefault="008871A9" w:rsidP="00965274">
      <w:pPr>
        <w:spacing w:after="200"/>
        <w:jc w:val="both"/>
        <w:rPr>
          <w:color w:val="000000" w:themeColor="text1"/>
          <w:sz w:val="24"/>
          <w:szCs w:val="24"/>
        </w:rPr>
      </w:pPr>
      <w:r w:rsidRPr="003A4922">
        <w:rPr>
          <w:rFonts w:ascii="Arial" w:hAnsi="Arial"/>
          <w:color w:val="000000"/>
          <w:szCs w:val="24"/>
        </w:rPr>
        <w:t>The dominant narrative in digital agriculture centers on discrete technologies, including sensors, unmanned aerial vehicles, global positioning</w:t>
      </w:r>
      <w:r w:rsidR="00965274" w:rsidRPr="003A4922">
        <w:rPr>
          <w:rFonts w:ascii="Arial" w:hAnsi="Arial"/>
          <w:color w:val="000000"/>
          <w:szCs w:val="24"/>
        </w:rPr>
        <w:t xml:space="preserve"> systems</w:t>
      </w:r>
      <w:r w:rsidRPr="003A4922">
        <w:rPr>
          <w:rFonts w:ascii="Arial" w:hAnsi="Arial"/>
          <w:color w:val="000000"/>
          <w:szCs w:val="24"/>
        </w:rPr>
        <w:t xml:space="preserve">, remote sensing, and machine learning, evaluated </w:t>
      </w:r>
      <w:r w:rsidR="00965274" w:rsidRPr="003A4922">
        <w:rPr>
          <w:rFonts w:ascii="Arial" w:hAnsi="Arial"/>
          <w:color w:val="000000"/>
          <w:szCs w:val="24"/>
        </w:rPr>
        <w:t>primari</w:t>
      </w:r>
      <w:r w:rsidRPr="003A4922">
        <w:rPr>
          <w:rFonts w:ascii="Arial" w:hAnsi="Arial"/>
          <w:color w:val="000000"/>
          <w:szCs w:val="24"/>
        </w:rPr>
        <w:t xml:space="preserve">ly for their capacity to </w:t>
      </w:r>
      <w:r w:rsidR="00965274" w:rsidRPr="003A4922">
        <w:rPr>
          <w:rFonts w:ascii="Arial" w:hAnsi="Arial"/>
          <w:color w:val="000000"/>
          <w:szCs w:val="24"/>
        </w:rPr>
        <w:t>increa</w:t>
      </w:r>
      <w:r w:rsidRPr="003A4922">
        <w:rPr>
          <w:rFonts w:ascii="Arial" w:hAnsi="Arial"/>
          <w:color w:val="000000"/>
          <w:szCs w:val="24"/>
        </w:rPr>
        <w:t xml:space="preserve">se yields and improve input-use efficiency. This narrows the analytical lens to the farm gate and understates a more consequential shift: individual technologies generate value for agribusiness only when information systems capture, integrate, and route the data they produce into real operational and strategic decisions. This review critically examines the AI- and data-driven agribusiness transformation literature through a single organizing pathway: data, analytics, artificial intelligence, information systems, decisions, sustainable agribusiness outcomes, and asks whether the field's technical achievements have matched comparable progress in systems integration and governance. A transparent narrative search and appraisal protocol synthesized evidence across ten thematic domains: agricultural big-data integration, predictive and prescriptive analytics, farm management information systems (FMIS), AI-enabled supply-chain analytics, climate-risk adaptation, sustainability and ESG analytics, data governance and cybersecurity, digital infrastructure and adoption, circular agriculture, and decision-support systems. The evidence shows that sensing and algorithmic capabilities have matured faster than the organizational and governance capacity required to convert that capability into adopted agribusiness decisions. Data-governance barriers, rather than technological ones, now dominate constraints on information-system integration in the literature published since 2023. Research, investment, and policy attention should therefore shift further toward the interoperability, governance, and organizational </w:t>
      </w:r>
      <w:r w:rsidR="00965274" w:rsidRPr="003A4922">
        <w:rPr>
          <w:rFonts w:ascii="Arial" w:hAnsi="Arial"/>
          <w:color w:val="000000"/>
          <w:szCs w:val="24"/>
        </w:rPr>
        <w:t>design layers</w:t>
      </w:r>
      <w:r w:rsidRPr="003A4922">
        <w:rPr>
          <w:rFonts w:ascii="Arial" w:hAnsi="Arial"/>
          <w:color w:val="000000"/>
          <w:szCs w:val="24"/>
        </w:rPr>
        <w:t xml:space="preserve"> of digital agriculture, rather than continuing to concentrate primarily on sensor accuracy or model performance.</w:t>
      </w:r>
    </w:p>
    <w:p w14:paraId="434760E3" w14:textId="77777777" w:rsidR="00DB769D" w:rsidRPr="003A4922" w:rsidRDefault="00B32603" w:rsidP="00965274">
      <w:pPr>
        <w:spacing w:after="200"/>
        <w:jc w:val="both"/>
        <w:rPr>
          <w:color w:val="000000" w:themeColor="text1"/>
          <w:sz w:val="24"/>
          <w:szCs w:val="24"/>
        </w:rPr>
      </w:pPr>
      <w:r w:rsidRPr="003A4922">
        <w:rPr>
          <w:rFonts w:ascii="Arial" w:hAnsi="Arial"/>
          <w:b/>
          <w:bCs/>
          <w:i/>
          <w:color w:val="000000"/>
          <w:szCs w:val="24"/>
        </w:rPr>
        <w:t xml:space="preserve">Keywords: </w:t>
      </w:r>
      <w:r w:rsidRPr="003A4922">
        <w:rPr>
          <w:rFonts w:ascii="Arial" w:hAnsi="Arial"/>
          <w:i/>
          <w:color w:val="000000"/>
          <w:szCs w:val="24"/>
        </w:rPr>
        <w:t>agribusiness intelligence; farm management information systems; agricultural big data; artificial intelligence; data governance; sustainable agriculture; ESG analytics</w:t>
      </w:r>
    </w:p>
    <w:p w14:paraId="1613623D" w14:textId="77777777" w:rsidR="00241164" w:rsidRPr="003A4922" w:rsidRDefault="00241164" w:rsidP="00965274">
      <w:pPr>
        <w:pStyle w:val="Heading1"/>
        <w:spacing w:after="160"/>
        <w:rPr>
          <w:b/>
          <w:bCs/>
          <w:color w:val="000000" w:themeColor="text1"/>
          <w:sz w:val="24"/>
          <w:szCs w:val="24"/>
        </w:rPr>
      </w:pPr>
    </w:p>
    <w:p w14:paraId="00AC789C" w14:textId="77777777" w:rsidR="00241164" w:rsidRPr="003A4922" w:rsidRDefault="00241164" w:rsidP="00965274">
      <w:pPr>
        <w:pStyle w:val="Heading1"/>
        <w:spacing w:after="160"/>
        <w:rPr>
          <w:b/>
          <w:bCs/>
          <w:color w:val="000000" w:themeColor="text1"/>
          <w:sz w:val="24"/>
          <w:szCs w:val="24"/>
        </w:rPr>
      </w:pPr>
    </w:p>
    <w:p w14:paraId="739B9FDB" w14:textId="77777777" w:rsidR="00241164" w:rsidRDefault="00241164" w:rsidP="00965274">
      <w:pPr>
        <w:pStyle w:val="Heading1"/>
        <w:spacing w:after="160"/>
        <w:rPr>
          <w:b/>
          <w:bCs/>
          <w:color w:val="000000" w:themeColor="text1"/>
          <w:sz w:val="24"/>
          <w:szCs w:val="24"/>
        </w:rPr>
      </w:pPr>
    </w:p>
    <w:p w14:paraId="78C382A8" w14:textId="77777777" w:rsidR="00496688" w:rsidRDefault="00496688" w:rsidP="00965274">
      <w:pPr>
        <w:pStyle w:val="Heading1"/>
        <w:spacing w:after="160"/>
        <w:rPr>
          <w:b/>
          <w:bCs/>
          <w:color w:val="000000" w:themeColor="text1"/>
          <w:sz w:val="24"/>
          <w:szCs w:val="24"/>
        </w:rPr>
      </w:pPr>
    </w:p>
    <w:p w14:paraId="45DE7FFE" w14:textId="77777777" w:rsidR="00496688" w:rsidRDefault="00496688" w:rsidP="00965274">
      <w:pPr>
        <w:pStyle w:val="Heading1"/>
        <w:spacing w:after="160"/>
        <w:rPr>
          <w:b/>
          <w:bCs/>
          <w:color w:val="000000" w:themeColor="text1"/>
          <w:sz w:val="24"/>
          <w:szCs w:val="24"/>
        </w:rPr>
      </w:pPr>
    </w:p>
    <w:p w14:paraId="6E0B48D2" w14:textId="77777777" w:rsidR="00496688" w:rsidRDefault="00496688" w:rsidP="00965274">
      <w:pPr>
        <w:pStyle w:val="Heading1"/>
        <w:spacing w:after="160"/>
        <w:rPr>
          <w:b/>
          <w:bCs/>
          <w:color w:val="000000" w:themeColor="text1"/>
          <w:sz w:val="24"/>
          <w:szCs w:val="24"/>
        </w:rPr>
      </w:pPr>
    </w:p>
    <w:p w14:paraId="07880E9C" w14:textId="77777777" w:rsidR="00496688" w:rsidRDefault="00496688" w:rsidP="00965274">
      <w:pPr>
        <w:pStyle w:val="Heading1"/>
        <w:spacing w:after="160"/>
        <w:rPr>
          <w:b/>
          <w:bCs/>
          <w:color w:val="000000" w:themeColor="text1"/>
          <w:sz w:val="24"/>
          <w:szCs w:val="24"/>
        </w:rPr>
      </w:pPr>
    </w:p>
    <w:p w14:paraId="20D01FA9" w14:textId="77777777" w:rsidR="00496688" w:rsidRDefault="00496688" w:rsidP="00965274">
      <w:pPr>
        <w:pStyle w:val="Heading1"/>
        <w:spacing w:after="160"/>
        <w:rPr>
          <w:b/>
          <w:bCs/>
          <w:color w:val="000000" w:themeColor="text1"/>
          <w:sz w:val="24"/>
          <w:szCs w:val="24"/>
        </w:rPr>
      </w:pPr>
    </w:p>
    <w:p w14:paraId="2910D778" w14:textId="77777777" w:rsidR="00496688" w:rsidRDefault="00496688" w:rsidP="00965274">
      <w:pPr>
        <w:pStyle w:val="Heading1"/>
        <w:spacing w:after="160"/>
        <w:rPr>
          <w:b/>
          <w:bCs/>
          <w:color w:val="000000" w:themeColor="text1"/>
          <w:sz w:val="24"/>
          <w:szCs w:val="24"/>
        </w:rPr>
      </w:pPr>
    </w:p>
    <w:p w14:paraId="1C0884D9" w14:textId="77777777" w:rsidR="00496688" w:rsidRPr="003A4922" w:rsidRDefault="00496688" w:rsidP="00965274">
      <w:pPr>
        <w:pStyle w:val="Heading1"/>
        <w:spacing w:after="160"/>
        <w:rPr>
          <w:b/>
          <w:bCs/>
          <w:color w:val="000000" w:themeColor="text1"/>
          <w:sz w:val="24"/>
          <w:szCs w:val="24"/>
        </w:rPr>
      </w:pPr>
    </w:p>
    <w:p w14:paraId="345094B0" w14:textId="77777777" w:rsidR="00241164" w:rsidRPr="003A4922" w:rsidRDefault="00241164" w:rsidP="00965274">
      <w:pPr>
        <w:pStyle w:val="Heading1"/>
        <w:spacing w:after="160"/>
        <w:rPr>
          <w:color w:val="000000" w:themeColor="text1"/>
          <w:sz w:val="24"/>
          <w:szCs w:val="24"/>
        </w:rPr>
      </w:pPr>
      <w:r w:rsidRPr="003A4922">
        <w:rPr>
          <w:rFonts w:ascii="Arial" w:hAnsi="Arial"/>
          <w:b/>
          <w:bCs/>
          <w:caps/>
          <w:color w:val="000000"/>
          <w:sz w:val="22"/>
          <w:szCs w:val="24"/>
        </w:rPr>
        <w:t>Graphical Abstract</w:t>
      </w:r>
    </w:p>
    <w:p w14:paraId="46DE932C" w14:textId="0C62AF5E" w:rsidR="00DB769D" w:rsidRPr="003A4922" w:rsidRDefault="00241164" w:rsidP="00DF1797">
      <w:pPr>
        <w:rPr>
          <w:color w:val="000000" w:themeColor="text1"/>
          <w:sz w:val="24"/>
          <w:szCs w:val="24"/>
        </w:rPr>
      </w:pPr>
      <w:r w:rsidRPr="003A4922">
        <w:rPr>
          <w:color w:val="000000" w:themeColor="text1"/>
          <w:sz w:val="24"/>
          <w:szCs w:val="24"/>
        </w:rPr>
        <w:fldChar w:fldCharType="begin"/>
      </w:r>
      <w:r w:rsidRPr="003A4922">
        <w:rPr>
          <w:color w:val="000000" w:themeColor="text1"/>
          <w:sz w:val="24"/>
          <w:szCs w:val="24"/>
        </w:rPr>
        <w:instrText xml:space="preserve"> INCLUDEPICTURE "https://figurelabs-images-us-east-1.s3.us-east-1.amazonaws.com/com/bioford/plot/img/45cd415f-b4ed-4750-ba3d-aafbe09dbd72.png?response-content-disposition=inline&amp;preview=true&amp;X-Amz-Algorithm=AWS4-HMAC-SHA256&amp;X-Amz-Date=20260810T221008Z&amp;X-Amz-SignedHeaders=host&amp;X-Amz-Expires=604800&amp;X-Amz-Credential=AKIA34AMDG56T2NLSZ7W%2F20260810%2Fus-east-1%2Fs3%2Faws4_request&amp;X-Amz-Signature=c6c77e6fed3de279a73d76339ab705851bc3cc7a251b62bc5df41fe9c3515b45"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0FA8D4F2" wp14:editId="197893A8">
            <wp:extent cx="5032234" cy="2808051"/>
            <wp:effectExtent l="0" t="0" r="0" b="0"/>
            <wp:docPr id="1280341728" name="Picture 1"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fig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89170" cy="2839822"/>
                    </a:xfrm>
                    <a:prstGeom prst="rect">
                      <a:avLst/>
                    </a:prstGeom>
                    <a:noFill/>
                    <a:ln>
                      <a:noFill/>
                    </a:ln>
                  </pic:spPr>
                </pic:pic>
              </a:graphicData>
            </a:graphic>
          </wp:inline>
        </w:drawing>
      </w:r>
      <w:r w:rsidRPr="003A4922">
        <w:rPr>
          <w:color w:val="000000" w:themeColor="text1"/>
          <w:sz w:val="24"/>
          <w:szCs w:val="24"/>
        </w:rPr>
        <w:fldChar w:fldCharType="end"/>
      </w:r>
      <w:r w:rsidR="00B32603" w:rsidRPr="003A4922">
        <w:rPr>
          <w:rFonts w:ascii="Arial" w:hAnsi="Arial"/>
          <w:b/>
          <w:bCs/>
          <w:caps/>
          <w:color w:val="000000"/>
          <w:sz w:val="22"/>
          <w:szCs w:val="24"/>
        </w:rPr>
        <w:t>1. Introduction</w:t>
      </w:r>
    </w:p>
    <w:p w14:paraId="63C0DE5E"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Agriculture and the agribusinesses that surround it, input suppliers, processors, distributors, and retailers, together constitute one of the largest and most consequential sectors of the global economy, and the industry has in recent years undergone a marked shift toward artificial intelligence (AI), big data, and the Internet of Things (IoT) as means of production and coordination (AlZubi &amp; Galyna, 2023). Much of the scholarly and practitioner literature on this shift has organized itself around precision agriculture: the deployment of sensors, unmanned aerial vehicles, satellite imagery, and variable-rate technologies to optimize input application and raise yield at the field or plot scale (Alahmad </w:t>
      </w:r>
      <w:r w:rsidRPr="003A4922">
        <w:rPr>
          <w:rFonts w:ascii="Arial" w:hAnsi="Arial"/>
          <w:i/>
          <w:iCs/>
          <w:color w:val="000000"/>
          <w:szCs w:val="24"/>
        </w:rPr>
        <w:t>et al</w:t>
      </w:r>
      <w:r w:rsidRPr="003A4922">
        <w:rPr>
          <w:rFonts w:ascii="Arial" w:hAnsi="Arial"/>
          <w:color w:val="000000"/>
          <w:szCs w:val="24"/>
        </w:rPr>
        <w:t xml:space="preserve">., 2023; Abbasi </w:t>
      </w:r>
      <w:r w:rsidRPr="003A4922">
        <w:rPr>
          <w:rFonts w:ascii="Arial" w:hAnsi="Arial"/>
          <w:i/>
          <w:iCs/>
          <w:color w:val="000000"/>
          <w:szCs w:val="24"/>
        </w:rPr>
        <w:t>et al</w:t>
      </w:r>
      <w:r w:rsidRPr="003A4922">
        <w:rPr>
          <w:rFonts w:ascii="Arial" w:hAnsi="Arial"/>
          <w:color w:val="000000"/>
          <w:szCs w:val="24"/>
        </w:rPr>
        <w:t>., 2022). This body of work has been indispensable in demonstrating technical feasibility, yet it has also tended to treat each technology- a soil moisture sensor, a yield-mapping drone, a disease-classification model- as an independent unit of analysis, evaluated primarily on its own accuracy or efficiency gains.</w:t>
      </w:r>
    </w:p>
    <w:p w14:paraId="791F9EC0"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 growing body of evidence shows that this framing understates how value is realized in agribusiness. Data-driven tools generate insight only when agribusiness managers and farmers can collect, harmonize, and route the data those tools produce into systems they use for operational and strategic decisions (Tantalaki </w:t>
      </w:r>
      <w:r w:rsidRPr="003A4922">
        <w:rPr>
          <w:rFonts w:ascii="Arial" w:hAnsi="Arial"/>
          <w:i/>
          <w:iCs/>
          <w:color w:val="000000"/>
          <w:szCs w:val="24"/>
        </w:rPr>
        <w:t>et al</w:t>
      </w:r>
      <w:r w:rsidRPr="003A4922">
        <w:rPr>
          <w:rFonts w:ascii="Arial" w:hAnsi="Arial"/>
          <w:color w:val="000000"/>
          <w:szCs w:val="24"/>
        </w:rPr>
        <w:t xml:space="preserve">., 2019). Big data, in this sense, remains an underutilized resource for enhancing the resilience, productivity, sustainability, and economic viability of global agri-food systems precisely because integration, not collection, is the binding constraint (Abiri </w:t>
      </w:r>
      <w:r w:rsidRPr="003A4922">
        <w:rPr>
          <w:rFonts w:ascii="Arial" w:hAnsi="Arial"/>
          <w:i/>
          <w:iCs/>
          <w:color w:val="000000"/>
          <w:szCs w:val="24"/>
        </w:rPr>
        <w:t>et al</w:t>
      </w:r>
      <w:r w:rsidRPr="003A4922">
        <w:rPr>
          <w:rFonts w:ascii="Arial" w:hAnsi="Arial"/>
          <w:color w:val="000000"/>
          <w:szCs w:val="24"/>
        </w:rPr>
        <w:t>., 2023). A sensor network or a machine-learning model that is not embedded in a farm management information system, connected to procurement and logistics data, or reconciled with sustainability-reporting requirements produces isolated insight rather than organizational capability.</w:t>
      </w:r>
    </w:p>
    <w:p w14:paraId="4D1A2D7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review reframes the field around a single organizing argument: data, analytics, artificial intelligence, information systems, decisions, sustainable agribusiness outcomes. It treats AI and analytics not as terminal technologies but as intermediate capabilities that become operationally meaningful only once embedded in information systems, farm management </w:t>
      </w:r>
      <w:r w:rsidRPr="003A4922">
        <w:rPr>
          <w:rFonts w:ascii="Arial" w:hAnsi="Arial"/>
          <w:color w:val="000000"/>
          <w:szCs w:val="24"/>
        </w:rPr>
        <w:lastRenderedPageBreak/>
        <w:t>information systems (FMIS), decision-support systems (DSS), and cloud and edge platforms that structure how agribusiness managers plan, monitor, and act.</w:t>
      </w:r>
    </w:p>
    <w:p w14:paraId="004E7ECE"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1.1 Scope, Research Gap and Objectives</w:t>
      </w:r>
    </w:p>
    <w:p w14:paraId="5E63592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This review examines AI-enabled and data-driven information systems that influence agribusiness decision-making, spanning farm-level production through supply-chain, sustainability, and governance functions. It treats agribusiness broadly, covering farm management, input and processing firms, distributors, and the advisory and platform intermediaries that connect them, while recognizing substantial heterogeneity within this population by scale, geography, and capital intensity. The analysis focuses on agricultural big-data integration, predictive and prescriptive analytics, FMIS, AI-enabled supply-chain and climate-risk analytics, sustainability and ESG analytics, data governance and cybersecurity, digital infrastructure and adoption, circular agriculture, and decision-support systems. Purely laboratory algorithm-development studies without a credible agribusiness decision-use pathway, and studies concerned solely with field robotics hardware, are considered only where they clarify implications for information-system integration.</w:t>
      </w:r>
    </w:p>
    <w:p w14:paraId="245F655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The research gaps this review addresses lie in the separation between two literatures that rarely cite one another: a large technical literature on precision-agriculture sensing, forecasting, and machine-learning performance, and a smaller, more fragmented literature on agricultural information systems, data governance, and organizational adoption. Precision-agriculture reviews tend to evaluate technologies in isolation; information-systems and governance scholarship tends to treat technology as a background condition rather than an object of comparative analysis. The objectives of this review are therefore to: (</w:t>
      </w:r>
      <w:proofErr w:type="spellStart"/>
      <w:r w:rsidRPr="003A4922">
        <w:rPr>
          <w:rFonts w:ascii="Arial" w:hAnsi="Arial"/>
          <w:color w:val="000000"/>
          <w:szCs w:val="24"/>
        </w:rPr>
        <w:t>i</w:t>
      </w:r>
      <w:proofErr w:type="spellEnd"/>
      <w:r w:rsidRPr="003A4922">
        <w:rPr>
          <w:rFonts w:ascii="Arial" w:hAnsi="Arial"/>
          <w:color w:val="000000"/>
          <w:szCs w:val="24"/>
        </w:rPr>
        <w:t>) synthesize evidence across the ten thematic domains listed above into a single integrated pathway from data to sustainable agribusiness outcomes; (ii) identify where the strength of technical evidence diverges from the strength of evidence on adopted, governed, organization-level use; (iii) develop a barrier taxonomy that explains why technically sound analytics frequently fail to translate into adopted decision-support capability; and (iv) propose a forward research and practice agenda centered on information-system-level, rather than device-level, transformation.</w:t>
      </w:r>
    </w:p>
    <w:p w14:paraId="7ABE8EDE"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2. Methods for Literature Selection</w:t>
      </w:r>
    </w:p>
    <w:p w14:paraId="7B7BCE8F" w14:textId="77777777" w:rsidR="00DB769D" w:rsidRPr="003A4922" w:rsidRDefault="00B32603" w:rsidP="00965274">
      <w:pPr>
        <w:pStyle w:val="Heading2"/>
        <w:rPr>
          <w:color w:val="000000" w:themeColor="text1"/>
          <w:sz w:val="24"/>
          <w:szCs w:val="24"/>
        </w:rPr>
      </w:pPr>
      <w:r w:rsidRPr="003A4922">
        <w:rPr>
          <w:rFonts w:ascii="Arial" w:hAnsi="Arial"/>
          <w:b/>
          <w:bCs/>
          <w:color w:val="000000"/>
          <w:sz w:val="22"/>
          <w:szCs w:val="24"/>
        </w:rPr>
        <w:t>2.1 Review Design and Rationale</w:t>
      </w:r>
    </w:p>
    <w:p w14:paraId="57B04427"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 critical narrative review was chosen because the question spans heterogeneous evidence: technical reviews of machine-learning and sensing performance, bibliometric analyses of digital-agriculture research trends, adoption surveys, qualitative and policy studies of data governance and digital </w:t>
      </w:r>
      <w:r w:rsidR="00654149" w:rsidRPr="003A4922">
        <w:rPr>
          <w:rFonts w:ascii="Arial" w:hAnsi="Arial"/>
          <w:color w:val="000000"/>
          <w:szCs w:val="24"/>
        </w:rPr>
        <w:t>inclusion and</w:t>
      </w:r>
      <w:r w:rsidRPr="003A4922">
        <w:rPr>
          <w:rFonts w:ascii="Arial" w:hAnsi="Arial"/>
          <w:color w:val="000000"/>
          <w:szCs w:val="24"/>
        </w:rPr>
        <w:t xml:space="preserve"> applied case studies of FMIS and supply-chain platforms. These bodies of evidence do not share sufficiently uniform interventions, comparators, or outcome measures to support a defensible meta-analysis, and no single systematic-review protocol maps cleanly onto a question that spans agronomy, information systems, and governance simultaneously. The review therefore followed a transparent narrative approach: source identity, relevance, recency, and claim–source alignment </w:t>
      </w:r>
      <w:proofErr w:type="gramStart"/>
      <w:r w:rsidR="00654149" w:rsidRPr="003A4922">
        <w:rPr>
          <w:rFonts w:ascii="Arial" w:hAnsi="Arial"/>
          <w:color w:val="000000"/>
          <w:szCs w:val="24"/>
        </w:rPr>
        <w:t>were</w:t>
      </w:r>
      <w:proofErr w:type="gramEnd"/>
      <w:r w:rsidRPr="003A4922">
        <w:rPr>
          <w:rFonts w:ascii="Arial" w:hAnsi="Arial"/>
          <w:color w:val="000000"/>
          <w:szCs w:val="24"/>
        </w:rPr>
        <w:t xml:space="preserve"> checked throughout, and every substantive claim in the body of the review is traceable to a specific, verifiable source rather than to an unattributed generalization.</w:t>
      </w:r>
    </w:p>
    <w:p w14:paraId="20335DEB"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2.2 Information Sources</w:t>
      </w:r>
    </w:p>
    <w:p w14:paraId="6DA6BA5D"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Literature was identified through live scholarly web searching of publisher and journal platforms (including ScienceDirect, MDPI, Taylor &amp; Francis/Cogent, Springer, Sage, PMC/PubMed Central, and Frontiers), together with preprint and working-paper repositories </w:t>
      </w:r>
      <w:r w:rsidRPr="003A4922">
        <w:rPr>
          <w:rFonts w:ascii="Arial" w:hAnsi="Arial"/>
          <w:color w:val="000000"/>
          <w:szCs w:val="24"/>
        </w:rPr>
        <w:lastRenderedPageBreak/>
        <w:t>(</w:t>
      </w:r>
      <w:proofErr w:type="spellStart"/>
      <w:r w:rsidRPr="003A4922">
        <w:rPr>
          <w:rFonts w:ascii="Arial" w:hAnsi="Arial"/>
          <w:color w:val="000000"/>
          <w:szCs w:val="24"/>
        </w:rPr>
        <w:t>arXiv</w:t>
      </w:r>
      <w:proofErr w:type="spellEnd"/>
      <w:r w:rsidRPr="003A4922">
        <w:rPr>
          <w:rFonts w:ascii="Arial" w:hAnsi="Arial"/>
          <w:color w:val="000000"/>
          <w:szCs w:val="24"/>
        </w:rPr>
        <w:t>) and institutional or market-analysis sources consulted only for background or industry context. Journal and publisher pages were used to verify authorship, year, volume, and, where available, digital object identifiers (DOIs). Backward citation tracing from major reviews was used to identify foundational and empirically load-bearing studies that might be missed by narrow keyword searching.</w:t>
      </w:r>
    </w:p>
    <w:p w14:paraId="30487241" w14:textId="77777777" w:rsidR="00DB769D" w:rsidRPr="003A4922" w:rsidRDefault="00B32603" w:rsidP="00965274">
      <w:pPr>
        <w:pStyle w:val="Heading2"/>
        <w:rPr>
          <w:color w:val="000000" w:themeColor="text1"/>
          <w:sz w:val="24"/>
          <w:szCs w:val="24"/>
        </w:rPr>
      </w:pPr>
      <w:r w:rsidRPr="003A4922">
        <w:rPr>
          <w:rFonts w:ascii="Arial" w:hAnsi="Arial"/>
          <w:b/>
          <w:bCs/>
          <w:color w:val="000000"/>
          <w:sz w:val="22"/>
          <w:szCs w:val="24"/>
        </w:rPr>
        <w:t>2.3 Bibliometric and Scientometric Search Protocol</w:t>
      </w:r>
    </w:p>
    <w:p w14:paraId="6653F3D0"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2016" w:bottom="2016" w:left="2016" w:header="708" w:footer="708" w:gutter="0"/>
          <w:cols w:space="720"/>
          <w:docGrid w:linePitch="360"/>
        </w:sectPr>
      </w:pPr>
      <w:r w:rsidRPr="003A4922">
        <w:rPr>
          <w:rFonts w:ascii="Arial" w:hAnsi="Arial"/>
          <w:color w:val="000000"/>
          <w:szCs w:val="24"/>
        </w:rPr>
        <w:t>The principal search period was January 2019 to August 2026, with earlier foundational studies eligible when required to explain the development of farm management information system theory or agricultural big-data concepts. Search concepts combined terms for AI and digitalization with terms for agribusiness function and context, executed iteratively across publisher platforms and scholarly indexes rather than a single subscription database. Table 1 sets out the search matrix by thematic domain: the databases and platforms searched, an illustrative Boolean query string, the inclusion/exclusion logic applied, and an indicative yield descriptor. A methodological caveat is necessary here: because this review was conducted without direct institutional access to Scopus or Web of Science, the "indicative yield" column reports a qualitative density judgment (low/moderate/high) based on the volume and recency of results returned through live scholarly web search, not an exact, reproducible record count. A future systematic update of this review with full bibliographic-database access could reproduce these query strings in Scopus and Web of Science to generate an exact, auditable record count, reported as a formal PRISMA 2020 flow diagram documenting identification, screening, eligibility, and inclusion, together with a VOS</w:t>
      </w:r>
      <w:r w:rsidR="00F92664" w:rsidRPr="003A4922">
        <w:rPr>
          <w:rFonts w:ascii="Arial" w:hAnsi="Arial"/>
          <w:color w:val="000000"/>
          <w:szCs w:val="24"/>
        </w:rPr>
        <w:t xml:space="preserve"> </w:t>
      </w:r>
      <w:r w:rsidRPr="003A4922">
        <w:rPr>
          <w:rFonts w:ascii="Arial" w:hAnsi="Arial"/>
          <w:color w:val="000000"/>
          <w:szCs w:val="24"/>
        </w:rPr>
        <w:t>viewer co-occurrence network visualizing thematic clustering across the exported reference set; the query strings in Table 1 are written to be directly portable to that purpose.</w:t>
      </w:r>
    </w:p>
    <w:p w14:paraId="3DBD685A" w14:textId="77777777" w:rsidR="003B245C" w:rsidRPr="003A4922" w:rsidRDefault="003B245C" w:rsidP="00965274">
      <w:pPr>
        <w:spacing w:before="120" w:after="300"/>
        <w:rPr>
          <w:b/>
          <w:bCs/>
          <w:color w:val="000000" w:themeColor="text1"/>
          <w:sz w:val="24"/>
          <w:szCs w:val="24"/>
        </w:rPr>
      </w:pPr>
      <w:r w:rsidRPr="003A4922">
        <w:rPr>
          <w:rFonts w:ascii="Arial" w:hAnsi="Arial"/>
          <w:b/>
          <w:bCs/>
          <w:color w:val="000000"/>
          <w:szCs w:val="24"/>
        </w:rPr>
        <w:lastRenderedPageBreak/>
        <w:t>Table 1. Search matrix by thematic domain: databases, illustrative Boolean query strings, inclusion/exclusion criteria, and indicative yield.</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2517"/>
        <w:gridCol w:w="1766"/>
        <w:gridCol w:w="3926"/>
        <w:gridCol w:w="4378"/>
        <w:gridCol w:w="1093"/>
      </w:tblGrid>
      <w:tr w:rsidR="001207A1" w:rsidRPr="003A4922" w14:paraId="1C2227EB" w14:textId="77777777" w:rsidTr="003B245C">
        <w:trPr>
          <w:tblHeader/>
        </w:trPr>
        <w:tc>
          <w:tcPr>
            <w:tcW w:w="1284" w:type="dxa"/>
            <w:tcBorders>
              <w:bottom w:val="single" w:sz="6" w:space="0" w:color="auto"/>
            </w:tcBorders>
            <w:tcMar>
              <w:top w:w="40" w:type="dxa"/>
              <w:left w:w="80" w:type="dxa"/>
              <w:bottom w:w="40" w:type="dxa"/>
              <w:right w:w="80" w:type="dxa"/>
            </w:tcMar>
          </w:tcPr>
          <w:p w14:paraId="26590CDA"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Theme</w:t>
            </w:r>
          </w:p>
        </w:tc>
        <w:tc>
          <w:tcPr>
            <w:tcW w:w="1878" w:type="dxa"/>
            <w:tcBorders>
              <w:bottom w:val="single" w:sz="6" w:space="0" w:color="auto"/>
            </w:tcBorders>
            <w:tcMar>
              <w:top w:w="40" w:type="dxa"/>
              <w:left w:w="80" w:type="dxa"/>
              <w:bottom w:w="40" w:type="dxa"/>
              <w:right w:w="80" w:type="dxa"/>
            </w:tcMar>
          </w:tcPr>
          <w:p w14:paraId="414EDDF6"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Databases / Platforms Searched</w:t>
            </w:r>
          </w:p>
        </w:tc>
        <w:tc>
          <w:tcPr>
            <w:tcW w:w="4446" w:type="dxa"/>
            <w:tcBorders>
              <w:bottom w:val="single" w:sz="6" w:space="0" w:color="auto"/>
            </w:tcBorders>
            <w:tcMar>
              <w:top w:w="40" w:type="dxa"/>
              <w:left w:w="80" w:type="dxa"/>
              <w:bottom w:w="40" w:type="dxa"/>
              <w:right w:w="80" w:type="dxa"/>
            </w:tcMar>
          </w:tcPr>
          <w:p w14:paraId="09A60D3F"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Illustrative Query String (Boolean)</w:t>
            </w:r>
          </w:p>
        </w:tc>
        <w:tc>
          <w:tcPr>
            <w:tcW w:w="4977" w:type="dxa"/>
            <w:tcBorders>
              <w:bottom w:val="single" w:sz="6" w:space="0" w:color="auto"/>
            </w:tcBorders>
            <w:tcMar>
              <w:top w:w="40" w:type="dxa"/>
              <w:left w:w="80" w:type="dxa"/>
              <w:bottom w:w="40" w:type="dxa"/>
              <w:right w:w="80" w:type="dxa"/>
            </w:tcMar>
          </w:tcPr>
          <w:p w14:paraId="4256EC6C"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Inclusion / Exclusion Criteria</w:t>
            </w:r>
          </w:p>
        </w:tc>
        <w:tc>
          <w:tcPr>
            <w:tcW w:w="1100" w:type="dxa"/>
            <w:tcBorders>
              <w:bottom w:val="single" w:sz="6" w:space="0" w:color="auto"/>
            </w:tcBorders>
            <w:tcMar>
              <w:top w:w="40" w:type="dxa"/>
              <w:left w:w="80" w:type="dxa"/>
              <w:bottom w:w="40" w:type="dxa"/>
              <w:right w:w="80" w:type="dxa"/>
            </w:tcMar>
          </w:tcPr>
          <w:p w14:paraId="1BB8D077"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Indicative Yield</w:t>
            </w:r>
          </w:p>
        </w:tc>
      </w:tr>
      <w:tr w:rsidR="001207A1" w:rsidRPr="003A4922" w14:paraId="4E2779C7" w14:textId="77777777" w:rsidTr="003B245C">
        <w:tc>
          <w:tcPr>
            <w:tcW w:w="1284" w:type="dxa"/>
            <w:tcMar>
              <w:top w:w="40" w:type="dxa"/>
              <w:left w:w="80" w:type="dxa"/>
              <w:bottom w:w="40" w:type="dxa"/>
              <w:right w:w="80" w:type="dxa"/>
            </w:tcMar>
          </w:tcPr>
          <w:p w14:paraId="65622F2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 data &amp; integration</w:t>
            </w:r>
          </w:p>
        </w:tc>
        <w:tc>
          <w:tcPr>
            <w:tcW w:w="1878" w:type="dxa"/>
            <w:tcMar>
              <w:top w:w="40" w:type="dxa"/>
              <w:left w:w="80" w:type="dxa"/>
              <w:bottom w:w="40" w:type="dxa"/>
              <w:right w:w="80" w:type="dxa"/>
            </w:tcMar>
          </w:tcPr>
          <w:p w14:paraId="02B88BC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ScienceDirect, MDPI, PMC</w:t>
            </w:r>
          </w:p>
        </w:tc>
        <w:tc>
          <w:tcPr>
            <w:tcW w:w="4446" w:type="dxa"/>
            <w:tcMar>
              <w:top w:w="40" w:type="dxa"/>
              <w:left w:w="80" w:type="dxa"/>
              <w:bottom w:w="40" w:type="dxa"/>
              <w:right w:w="80" w:type="dxa"/>
            </w:tcMar>
          </w:tcPr>
          <w:p w14:paraId="7CD7B84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OR "agribusiness") AND ("big data" OR IoT) AND ("data integration" OR interoperability)</w:t>
            </w:r>
          </w:p>
        </w:tc>
        <w:tc>
          <w:tcPr>
            <w:tcW w:w="4977" w:type="dxa"/>
            <w:tcMar>
              <w:top w:w="40" w:type="dxa"/>
              <w:left w:w="80" w:type="dxa"/>
              <w:bottom w:w="40" w:type="dxa"/>
              <w:right w:w="80" w:type="dxa"/>
            </w:tcMar>
          </w:tcPr>
          <w:p w14:paraId="7AC6155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peer-reviewed 2019–2026, agribusiness decision-use pathway. Excl.: </w:t>
            </w:r>
            <w:r w:rsidR="00B07BAF" w:rsidRPr="003A4922">
              <w:rPr>
                <w:rFonts w:ascii="Arial" w:hAnsi="Arial"/>
                <w:color w:val="000000" w:themeColor="text1"/>
                <w:sz w:val="16"/>
                <w:szCs w:val="24"/>
              </w:rPr>
              <w:t>S</w:t>
            </w:r>
            <w:r w:rsidRPr="003A4922">
              <w:rPr>
                <w:rFonts w:ascii="Arial" w:hAnsi="Arial"/>
                <w:color w:val="000000" w:themeColor="text1"/>
                <w:sz w:val="16"/>
                <w:szCs w:val="24"/>
              </w:rPr>
              <w:t>ensor-hardware-only studies</w:t>
            </w:r>
          </w:p>
        </w:tc>
        <w:tc>
          <w:tcPr>
            <w:tcW w:w="1100" w:type="dxa"/>
            <w:tcMar>
              <w:top w:w="40" w:type="dxa"/>
              <w:left w:w="80" w:type="dxa"/>
              <w:bottom w:w="40" w:type="dxa"/>
              <w:right w:w="80" w:type="dxa"/>
            </w:tcMar>
          </w:tcPr>
          <w:p w14:paraId="1C2EE58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High (broad, mature literature)</w:t>
            </w:r>
          </w:p>
        </w:tc>
      </w:tr>
      <w:tr w:rsidR="001207A1" w:rsidRPr="003A4922" w14:paraId="4429B685" w14:textId="77777777" w:rsidTr="003B245C">
        <w:tc>
          <w:tcPr>
            <w:tcW w:w="1284" w:type="dxa"/>
            <w:tcMar>
              <w:top w:w="40" w:type="dxa"/>
              <w:left w:w="80" w:type="dxa"/>
              <w:bottom w:w="40" w:type="dxa"/>
              <w:right w:w="80" w:type="dxa"/>
            </w:tcMar>
          </w:tcPr>
          <w:p w14:paraId="5B77A1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Predictive/prescriptive analytics</w:t>
            </w:r>
          </w:p>
        </w:tc>
        <w:tc>
          <w:tcPr>
            <w:tcW w:w="1878" w:type="dxa"/>
            <w:tcMar>
              <w:top w:w="40" w:type="dxa"/>
              <w:left w:w="80" w:type="dxa"/>
              <w:bottom w:w="40" w:type="dxa"/>
              <w:right w:w="80" w:type="dxa"/>
            </w:tcMar>
          </w:tcPr>
          <w:p w14:paraId="176A872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w:t>
            </w: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OSTI</w:t>
            </w:r>
          </w:p>
        </w:tc>
        <w:tc>
          <w:tcPr>
            <w:tcW w:w="4446" w:type="dxa"/>
            <w:tcMar>
              <w:top w:w="40" w:type="dxa"/>
              <w:left w:w="80" w:type="dxa"/>
              <w:bottom w:w="40" w:type="dxa"/>
              <w:right w:w="80" w:type="dxa"/>
            </w:tcMar>
          </w:tcPr>
          <w:p w14:paraId="6CCFC0A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 analytics" OR "prescriptive analytics")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(forecast OR optimi</w:t>
            </w:r>
            <w:r w:rsidR="008116D3" w:rsidRPr="003A4922">
              <w:rPr>
                <w:rFonts w:ascii="Arial" w:hAnsi="Arial"/>
                <w:color w:val="000000" w:themeColor="text1"/>
                <w:sz w:val="16"/>
                <w:szCs w:val="24"/>
              </w:rPr>
              <w:t>ze</w:t>
            </w:r>
            <w:r w:rsidRPr="003A4922">
              <w:rPr>
                <w:rFonts w:ascii="Arial" w:hAnsi="Arial"/>
                <w:color w:val="000000" w:themeColor="text1"/>
                <w:sz w:val="16"/>
                <w:szCs w:val="24"/>
              </w:rPr>
              <w:t>)</w:t>
            </w:r>
          </w:p>
        </w:tc>
        <w:tc>
          <w:tcPr>
            <w:tcW w:w="4977" w:type="dxa"/>
            <w:tcMar>
              <w:top w:w="40" w:type="dxa"/>
              <w:left w:w="80" w:type="dxa"/>
              <w:bottom w:w="40" w:type="dxa"/>
              <w:right w:w="80" w:type="dxa"/>
            </w:tcMar>
          </w:tcPr>
          <w:p w14:paraId="791FA10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8B3369" w:rsidRPr="003A4922">
              <w:rPr>
                <w:rFonts w:ascii="Arial" w:hAnsi="Arial"/>
                <w:color w:val="000000" w:themeColor="text1"/>
                <w:sz w:val="16"/>
                <w:szCs w:val="24"/>
              </w:rPr>
              <w:t>M</w:t>
            </w:r>
            <w:r w:rsidRPr="003A4922">
              <w:rPr>
                <w:rFonts w:ascii="Arial" w:hAnsi="Arial"/>
                <w:color w:val="000000" w:themeColor="text1"/>
                <w:sz w:val="16"/>
                <w:szCs w:val="24"/>
              </w:rPr>
              <w:t xml:space="preserve">odels with an agribusiness decision output. Excl.: </w:t>
            </w:r>
            <w:r w:rsidR="007E7B13" w:rsidRPr="003A4922">
              <w:rPr>
                <w:rFonts w:ascii="Arial" w:hAnsi="Arial"/>
                <w:color w:val="000000" w:themeColor="text1"/>
                <w:sz w:val="16"/>
                <w:szCs w:val="24"/>
              </w:rPr>
              <w:t>P</w:t>
            </w:r>
            <w:r w:rsidRPr="003A4922">
              <w:rPr>
                <w:rFonts w:ascii="Arial" w:hAnsi="Arial"/>
                <w:color w:val="000000" w:themeColor="text1"/>
                <w:sz w:val="16"/>
                <w:szCs w:val="24"/>
              </w:rPr>
              <w:t>ure model-accuracy benchmarking with no use pathway</w:t>
            </w:r>
          </w:p>
        </w:tc>
        <w:tc>
          <w:tcPr>
            <w:tcW w:w="1100" w:type="dxa"/>
            <w:tcMar>
              <w:top w:w="40" w:type="dxa"/>
              <w:left w:w="80" w:type="dxa"/>
              <w:bottom w:w="40" w:type="dxa"/>
              <w:right w:w="80" w:type="dxa"/>
            </w:tcMar>
          </w:tcPr>
          <w:p w14:paraId="4D72B22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Moderate–High</w:t>
            </w:r>
          </w:p>
        </w:tc>
      </w:tr>
      <w:tr w:rsidR="001207A1" w:rsidRPr="003A4922" w14:paraId="1D963EE6" w14:textId="77777777" w:rsidTr="003B245C">
        <w:tc>
          <w:tcPr>
            <w:tcW w:w="1284" w:type="dxa"/>
            <w:tcMar>
              <w:top w:w="40" w:type="dxa"/>
              <w:left w:w="80" w:type="dxa"/>
              <w:bottom w:w="40" w:type="dxa"/>
              <w:right w:w="80" w:type="dxa"/>
            </w:tcMar>
          </w:tcPr>
          <w:p w14:paraId="0F4BEE2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1878" w:type="dxa"/>
            <w:tcMar>
              <w:top w:w="40" w:type="dxa"/>
              <w:left w:w="80" w:type="dxa"/>
              <w:bottom w:w="40" w:type="dxa"/>
              <w:right w:w="80" w:type="dxa"/>
            </w:tcMar>
          </w:tcPr>
          <w:p w14:paraId="6EFCF05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ScienceDirect, Springer, Sage, Semantic Scholar</w:t>
            </w:r>
          </w:p>
        </w:tc>
        <w:tc>
          <w:tcPr>
            <w:tcW w:w="4446" w:type="dxa"/>
            <w:tcMar>
              <w:top w:w="40" w:type="dxa"/>
              <w:left w:w="80" w:type="dxa"/>
              <w:bottom w:w="40" w:type="dxa"/>
              <w:right w:w="80" w:type="dxa"/>
            </w:tcMar>
          </w:tcPr>
          <w:p w14:paraId="789E0C9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management information system" OR FMIS) AND (adoption OR architecture OR interoperability)</w:t>
            </w:r>
          </w:p>
        </w:tc>
        <w:tc>
          <w:tcPr>
            <w:tcW w:w="4977" w:type="dxa"/>
            <w:tcMar>
              <w:top w:w="40" w:type="dxa"/>
              <w:left w:w="80" w:type="dxa"/>
              <w:bottom w:w="40" w:type="dxa"/>
              <w:right w:w="80" w:type="dxa"/>
            </w:tcMar>
          </w:tcPr>
          <w:p w14:paraId="6255801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FMIS adoption, architecture, or functionality studies. Excl.: </w:t>
            </w:r>
            <w:r w:rsidR="007E7B13" w:rsidRPr="003A4922">
              <w:rPr>
                <w:rFonts w:ascii="Arial" w:hAnsi="Arial"/>
                <w:color w:val="000000" w:themeColor="text1"/>
                <w:sz w:val="16"/>
                <w:szCs w:val="24"/>
              </w:rPr>
              <w:t>S</w:t>
            </w:r>
            <w:r w:rsidRPr="003A4922">
              <w:rPr>
                <w:rFonts w:ascii="Arial" w:hAnsi="Arial"/>
                <w:color w:val="000000" w:themeColor="text1"/>
                <w:sz w:val="16"/>
                <w:szCs w:val="24"/>
              </w:rPr>
              <w:t>ingle-vendor marketing material</w:t>
            </w:r>
          </w:p>
        </w:tc>
        <w:tc>
          <w:tcPr>
            <w:tcW w:w="1100" w:type="dxa"/>
            <w:tcMar>
              <w:top w:w="40" w:type="dxa"/>
              <w:left w:w="80" w:type="dxa"/>
              <w:bottom w:w="40" w:type="dxa"/>
              <w:right w:w="80" w:type="dxa"/>
            </w:tcMar>
          </w:tcPr>
          <w:p w14:paraId="051F51E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w:t>
            </w:r>
          </w:p>
        </w:tc>
      </w:tr>
      <w:tr w:rsidR="001207A1" w:rsidRPr="003A4922" w14:paraId="2CA0F901" w14:textId="77777777" w:rsidTr="003B245C">
        <w:tc>
          <w:tcPr>
            <w:tcW w:w="1284" w:type="dxa"/>
            <w:tcMar>
              <w:top w:w="40" w:type="dxa"/>
              <w:left w:w="80" w:type="dxa"/>
              <w:bottom w:w="40" w:type="dxa"/>
              <w:right w:w="80" w:type="dxa"/>
            </w:tcMar>
          </w:tcPr>
          <w:p w14:paraId="27F7BC9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Supply chain &amp; climate adaptation</w:t>
            </w:r>
          </w:p>
        </w:tc>
        <w:tc>
          <w:tcPr>
            <w:tcW w:w="1878" w:type="dxa"/>
            <w:tcMar>
              <w:top w:w="40" w:type="dxa"/>
              <w:left w:w="80" w:type="dxa"/>
              <w:bottom w:w="40" w:type="dxa"/>
              <w:right w:w="80" w:type="dxa"/>
            </w:tcMar>
          </w:tcPr>
          <w:p w14:paraId="6609FDA9"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OSTI, Iris Publishers, MDPI</w:t>
            </w:r>
          </w:p>
        </w:tc>
        <w:tc>
          <w:tcPr>
            <w:tcW w:w="4446" w:type="dxa"/>
            <w:tcMar>
              <w:top w:w="40" w:type="dxa"/>
              <w:left w:w="80" w:type="dxa"/>
              <w:bottom w:w="40" w:type="dxa"/>
              <w:right w:w="80" w:type="dxa"/>
            </w:tcMar>
          </w:tcPr>
          <w:p w14:paraId="2855275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("supply chain" OR logistics)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AND (AI OR blockchain OR "climate risk")</w:t>
            </w:r>
          </w:p>
        </w:tc>
        <w:tc>
          <w:tcPr>
            <w:tcW w:w="4977" w:type="dxa"/>
            <w:tcMar>
              <w:top w:w="40" w:type="dxa"/>
              <w:left w:w="80" w:type="dxa"/>
              <w:bottom w:w="40" w:type="dxa"/>
              <w:right w:w="80" w:type="dxa"/>
            </w:tcMar>
          </w:tcPr>
          <w:p w14:paraId="65D22FF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8B3369" w:rsidRPr="003A4922">
              <w:rPr>
                <w:rFonts w:ascii="Arial" w:hAnsi="Arial"/>
                <w:color w:val="000000" w:themeColor="text1"/>
                <w:sz w:val="16"/>
                <w:szCs w:val="24"/>
              </w:rPr>
              <w:t>E</w:t>
            </w:r>
            <w:r w:rsidRPr="003A4922">
              <w:rPr>
                <w:rFonts w:ascii="Arial" w:hAnsi="Arial"/>
                <w:color w:val="000000" w:themeColor="text1"/>
                <w:sz w:val="16"/>
                <w:szCs w:val="24"/>
              </w:rPr>
              <w:t xml:space="preserve">mpirical or reviewed AI/blockchain supply-chain application. Excl.: </w:t>
            </w:r>
            <w:r w:rsidR="000C2687" w:rsidRPr="003A4922">
              <w:rPr>
                <w:rFonts w:ascii="Arial" w:hAnsi="Arial"/>
                <w:color w:val="000000" w:themeColor="text1"/>
                <w:sz w:val="16"/>
                <w:szCs w:val="24"/>
              </w:rPr>
              <w:t>N</w:t>
            </w:r>
            <w:r w:rsidRPr="003A4922">
              <w:rPr>
                <w:rFonts w:ascii="Arial" w:hAnsi="Arial"/>
                <w:color w:val="000000" w:themeColor="text1"/>
                <w:sz w:val="16"/>
                <w:szCs w:val="24"/>
              </w:rPr>
              <w:t>on-agricultural supply chains</w:t>
            </w:r>
          </w:p>
        </w:tc>
        <w:tc>
          <w:tcPr>
            <w:tcW w:w="1100" w:type="dxa"/>
            <w:tcMar>
              <w:top w:w="40" w:type="dxa"/>
              <w:left w:w="80" w:type="dxa"/>
              <w:bottom w:w="40" w:type="dxa"/>
              <w:right w:w="80" w:type="dxa"/>
            </w:tcMar>
          </w:tcPr>
          <w:p w14:paraId="4B879D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w:t>
            </w:r>
          </w:p>
        </w:tc>
      </w:tr>
      <w:tr w:rsidR="001207A1" w:rsidRPr="003A4922" w14:paraId="5233EC71" w14:textId="77777777" w:rsidTr="003B245C">
        <w:tc>
          <w:tcPr>
            <w:tcW w:w="1284" w:type="dxa"/>
            <w:tcMar>
              <w:top w:w="40" w:type="dxa"/>
              <w:left w:w="80" w:type="dxa"/>
              <w:bottom w:w="40" w:type="dxa"/>
              <w:right w:w="80" w:type="dxa"/>
            </w:tcMar>
          </w:tcPr>
          <w:p w14:paraId="367D69D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w:t>
            </w:r>
          </w:p>
        </w:tc>
        <w:tc>
          <w:tcPr>
            <w:tcW w:w="1878" w:type="dxa"/>
            <w:tcMar>
              <w:top w:w="40" w:type="dxa"/>
              <w:left w:w="80" w:type="dxa"/>
              <w:bottom w:w="40" w:type="dxa"/>
              <w:right w:w="80" w:type="dxa"/>
            </w:tcMar>
          </w:tcPr>
          <w:p w14:paraId="04513139"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Farmonaut</w:t>
            </w:r>
            <w:proofErr w:type="spellEnd"/>
            <w:r w:rsidRPr="003A4922">
              <w:rPr>
                <w:rFonts w:ascii="Arial" w:hAnsi="Arial"/>
                <w:color w:val="000000" w:themeColor="text1"/>
                <w:sz w:val="16"/>
                <w:szCs w:val="24"/>
              </w:rPr>
              <w:t xml:space="preserve">, </w:t>
            </w:r>
            <w:proofErr w:type="spellStart"/>
            <w:r w:rsidRPr="003A4922">
              <w:rPr>
                <w:rFonts w:ascii="Arial" w:hAnsi="Arial"/>
                <w:color w:val="000000" w:themeColor="text1"/>
                <w:sz w:val="16"/>
                <w:szCs w:val="24"/>
              </w:rPr>
              <w:t>EcoVadis</w:t>
            </w:r>
            <w:proofErr w:type="spellEnd"/>
            <w:r w:rsidRPr="003A4922">
              <w:rPr>
                <w:rFonts w:ascii="Arial" w:hAnsi="Arial"/>
                <w:color w:val="000000" w:themeColor="text1"/>
                <w:sz w:val="16"/>
                <w:szCs w:val="24"/>
              </w:rPr>
              <w:t>, ESG Today, industry ESG reports</w:t>
            </w:r>
          </w:p>
        </w:tc>
        <w:tc>
          <w:tcPr>
            <w:tcW w:w="4446" w:type="dxa"/>
            <w:tcMar>
              <w:top w:w="40" w:type="dxa"/>
              <w:left w:w="80" w:type="dxa"/>
              <w:bottom w:w="40" w:type="dxa"/>
              <w:right w:w="80" w:type="dxa"/>
            </w:tcMar>
          </w:tcPr>
          <w:p w14:paraId="39DA175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OR "scope 3") AND (agribusiness OR agri-food OR farm*) AND (reporting OR compliance)</w:t>
            </w:r>
          </w:p>
        </w:tc>
        <w:tc>
          <w:tcPr>
            <w:tcW w:w="4977" w:type="dxa"/>
            <w:tcMar>
              <w:top w:w="40" w:type="dxa"/>
              <w:left w:w="80" w:type="dxa"/>
              <w:bottom w:w="40" w:type="dxa"/>
              <w:right w:w="80" w:type="dxa"/>
            </w:tcMar>
          </w:tcPr>
          <w:p w14:paraId="7EBD86C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standards bodies (GHG Protocol, CSRD/ESRS, SBTi) and peer-reviewed sustainability-reporting studies. Excl.: promotional vendor copies without standards grounding</w:t>
            </w:r>
          </w:p>
        </w:tc>
        <w:tc>
          <w:tcPr>
            <w:tcW w:w="1100" w:type="dxa"/>
            <w:tcMar>
              <w:top w:w="40" w:type="dxa"/>
              <w:left w:w="80" w:type="dxa"/>
              <w:bottom w:w="40" w:type="dxa"/>
              <w:right w:w="80" w:type="dxa"/>
            </w:tcMar>
          </w:tcPr>
          <w:p w14:paraId="47E90A1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 (emerging)</w:t>
            </w:r>
          </w:p>
        </w:tc>
      </w:tr>
      <w:tr w:rsidR="001207A1" w:rsidRPr="003A4922" w14:paraId="65AAD7CB" w14:textId="77777777" w:rsidTr="003B245C">
        <w:tc>
          <w:tcPr>
            <w:tcW w:w="1284" w:type="dxa"/>
            <w:tcMar>
              <w:top w:w="40" w:type="dxa"/>
              <w:left w:w="80" w:type="dxa"/>
              <w:bottom w:w="40" w:type="dxa"/>
              <w:right w:w="80" w:type="dxa"/>
            </w:tcMar>
          </w:tcPr>
          <w:p w14:paraId="2D0282B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&amp; cybersecurity</w:t>
            </w:r>
          </w:p>
        </w:tc>
        <w:tc>
          <w:tcPr>
            <w:tcW w:w="1878" w:type="dxa"/>
            <w:tcMar>
              <w:top w:w="40" w:type="dxa"/>
              <w:left w:w="80" w:type="dxa"/>
              <w:bottom w:w="40" w:type="dxa"/>
              <w:right w:w="80" w:type="dxa"/>
            </w:tcMar>
          </w:tcPr>
          <w:p w14:paraId="545D944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PMC, </w:t>
            </w: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Sage</w:t>
            </w:r>
          </w:p>
        </w:tc>
        <w:tc>
          <w:tcPr>
            <w:tcW w:w="4446" w:type="dxa"/>
            <w:tcMar>
              <w:top w:w="40" w:type="dxa"/>
              <w:left w:w="80" w:type="dxa"/>
              <w:bottom w:w="40" w:type="dxa"/>
              <w:right w:w="80" w:type="dxa"/>
            </w:tcMar>
          </w:tcPr>
          <w:p w14:paraId="250D391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OR privacy OR cybersecurity)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(platform OR data)</w:t>
            </w:r>
          </w:p>
        </w:tc>
        <w:tc>
          <w:tcPr>
            <w:tcW w:w="4977" w:type="dxa"/>
            <w:tcMar>
              <w:top w:w="40" w:type="dxa"/>
              <w:left w:w="80" w:type="dxa"/>
              <w:bottom w:w="40" w:type="dxa"/>
              <w:right w:w="80" w:type="dxa"/>
            </w:tcMar>
          </w:tcPr>
          <w:p w14:paraId="0752DE2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0C2687" w:rsidRPr="003A4922">
              <w:rPr>
                <w:rFonts w:ascii="Arial" w:hAnsi="Arial"/>
                <w:color w:val="000000" w:themeColor="text1"/>
                <w:sz w:val="16"/>
                <w:szCs w:val="24"/>
              </w:rPr>
              <w:t>G</w:t>
            </w:r>
            <w:r w:rsidRPr="003A4922">
              <w:rPr>
                <w:rFonts w:ascii="Arial" w:hAnsi="Arial"/>
                <w:color w:val="000000" w:themeColor="text1"/>
                <w:sz w:val="16"/>
                <w:szCs w:val="24"/>
              </w:rPr>
              <w:t>overnance frameworks, empirical privacy/security studies. Excl.: general (non-agricultural) cybersecurity</w:t>
            </w:r>
          </w:p>
        </w:tc>
        <w:tc>
          <w:tcPr>
            <w:tcW w:w="1100" w:type="dxa"/>
            <w:tcMar>
              <w:top w:w="40" w:type="dxa"/>
              <w:left w:w="80" w:type="dxa"/>
              <w:bottom w:w="40" w:type="dxa"/>
              <w:right w:w="80" w:type="dxa"/>
            </w:tcMar>
          </w:tcPr>
          <w:p w14:paraId="1122232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Moderate–High</w:t>
            </w:r>
          </w:p>
        </w:tc>
      </w:tr>
      <w:tr w:rsidR="001207A1" w:rsidRPr="003A4922" w14:paraId="41D53E1A" w14:textId="77777777" w:rsidTr="003B245C">
        <w:tc>
          <w:tcPr>
            <w:tcW w:w="1284" w:type="dxa"/>
            <w:tcMar>
              <w:top w:w="40" w:type="dxa"/>
              <w:left w:w="80" w:type="dxa"/>
              <w:bottom w:w="40" w:type="dxa"/>
              <w:right w:w="80" w:type="dxa"/>
            </w:tcMar>
          </w:tcPr>
          <w:p w14:paraId="66257E0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1878" w:type="dxa"/>
            <w:tcMar>
              <w:top w:w="40" w:type="dxa"/>
              <w:left w:w="80" w:type="dxa"/>
              <w:bottom w:w="40" w:type="dxa"/>
              <w:right w:w="80" w:type="dxa"/>
            </w:tcMar>
          </w:tcPr>
          <w:p w14:paraId="4760D95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Frontiers, PMC, IIETA, Harvard ALI</w:t>
            </w:r>
          </w:p>
        </w:tc>
        <w:tc>
          <w:tcPr>
            <w:tcW w:w="4446" w:type="dxa"/>
            <w:tcMar>
              <w:top w:w="40" w:type="dxa"/>
              <w:left w:w="80" w:type="dxa"/>
              <w:bottom w:w="40" w:type="dxa"/>
              <w:right w:w="80" w:type="dxa"/>
            </w:tcMar>
          </w:tcPr>
          <w:p w14:paraId="697EAFA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divide" OR adoption) AND (smallholder OR farmer) AND (Africa OR "developing countr</w:t>
            </w:r>
            <w:r w:rsidR="008116D3" w:rsidRPr="003A4922">
              <w:rPr>
                <w:rFonts w:ascii="Arial" w:hAnsi="Arial"/>
                <w:color w:val="000000" w:themeColor="text1"/>
                <w:sz w:val="16"/>
                <w:szCs w:val="24"/>
              </w:rPr>
              <w:t>y</w:t>
            </w:r>
            <w:r w:rsidRPr="003A4922">
              <w:rPr>
                <w:rFonts w:ascii="Arial" w:hAnsi="Arial"/>
                <w:color w:val="000000" w:themeColor="text1"/>
                <w:sz w:val="16"/>
                <w:szCs w:val="24"/>
              </w:rPr>
              <w:t>" OR LMIC)</w:t>
            </w:r>
          </w:p>
        </w:tc>
        <w:tc>
          <w:tcPr>
            <w:tcW w:w="4977" w:type="dxa"/>
            <w:tcMar>
              <w:top w:w="40" w:type="dxa"/>
              <w:left w:w="80" w:type="dxa"/>
              <w:bottom w:w="40" w:type="dxa"/>
              <w:right w:w="80" w:type="dxa"/>
            </w:tcMar>
          </w:tcPr>
          <w:p w14:paraId="3C266E3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0C2687" w:rsidRPr="003A4922">
              <w:rPr>
                <w:rFonts w:ascii="Arial" w:hAnsi="Arial"/>
                <w:color w:val="000000" w:themeColor="text1"/>
                <w:sz w:val="16"/>
                <w:szCs w:val="24"/>
              </w:rPr>
              <w:t>E</w:t>
            </w:r>
            <w:r w:rsidRPr="003A4922">
              <w:rPr>
                <w:rFonts w:ascii="Arial" w:hAnsi="Arial"/>
                <w:color w:val="000000" w:themeColor="text1"/>
                <w:sz w:val="16"/>
                <w:szCs w:val="24"/>
              </w:rPr>
              <w:t>mpirical adoption/barrier studies. Excl.: opinion pieces without empirical basis</w:t>
            </w:r>
          </w:p>
        </w:tc>
        <w:tc>
          <w:tcPr>
            <w:tcW w:w="1100" w:type="dxa"/>
            <w:tcMar>
              <w:top w:w="40" w:type="dxa"/>
              <w:left w:w="80" w:type="dxa"/>
              <w:bottom w:w="40" w:type="dxa"/>
              <w:right w:w="80" w:type="dxa"/>
            </w:tcMar>
          </w:tcPr>
          <w:p w14:paraId="295F232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High</w:t>
            </w:r>
          </w:p>
        </w:tc>
      </w:tr>
      <w:tr w:rsidR="001207A1" w:rsidRPr="003A4922" w14:paraId="2F73A0B8" w14:textId="77777777" w:rsidTr="003B245C">
        <w:tc>
          <w:tcPr>
            <w:tcW w:w="1284" w:type="dxa"/>
            <w:tcMar>
              <w:top w:w="40" w:type="dxa"/>
              <w:left w:w="80" w:type="dxa"/>
              <w:bottom w:w="40" w:type="dxa"/>
              <w:right w:w="80" w:type="dxa"/>
            </w:tcMar>
          </w:tcPr>
          <w:p w14:paraId="2CBC539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w:t>
            </w:r>
          </w:p>
        </w:tc>
        <w:tc>
          <w:tcPr>
            <w:tcW w:w="1878" w:type="dxa"/>
            <w:tcMar>
              <w:top w:w="40" w:type="dxa"/>
              <w:left w:w="80" w:type="dxa"/>
              <w:bottom w:w="40" w:type="dxa"/>
              <w:right w:w="80" w:type="dxa"/>
            </w:tcMar>
          </w:tcPr>
          <w:p w14:paraId="4FDFDA7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MDPI (Resources, Foods), Frontiers, ScienceDirect</w:t>
            </w:r>
          </w:p>
        </w:tc>
        <w:tc>
          <w:tcPr>
            <w:tcW w:w="4446" w:type="dxa"/>
            <w:tcMar>
              <w:top w:w="40" w:type="dxa"/>
              <w:left w:w="80" w:type="dxa"/>
              <w:bottom w:w="40" w:type="dxa"/>
              <w:right w:w="80" w:type="dxa"/>
            </w:tcMar>
          </w:tcPr>
          <w:p w14:paraId="59CDD94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economy" OR "circular agriculture") AND (waste OR resource) AND (digital OR AI OR IoT)</w:t>
            </w:r>
          </w:p>
        </w:tc>
        <w:tc>
          <w:tcPr>
            <w:tcW w:w="4977" w:type="dxa"/>
            <w:tcMar>
              <w:top w:w="40" w:type="dxa"/>
              <w:left w:w="80" w:type="dxa"/>
              <w:bottom w:w="40" w:type="dxa"/>
              <w:right w:w="80" w:type="dxa"/>
            </w:tcMar>
          </w:tcPr>
          <w:p w14:paraId="491674C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PRISMA-guided or empirical circular-economy </w:t>
            </w:r>
            <w:proofErr w:type="spellStart"/>
            <w:r w:rsidRPr="003A4922">
              <w:rPr>
                <w:rFonts w:ascii="Arial" w:hAnsi="Arial"/>
                <w:color w:val="000000" w:themeColor="text1"/>
                <w:sz w:val="16"/>
                <w:szCs w:val="24"/>
              </w:rPr>
              <w:t>digitalisation</w:t>
            </w:r>
            <w:proofErr w:type="spellEnd"/>
            <w:r w:rsidRPr="003A4922">
              <w:rPr>
                <w:rFonts w:ascii="Arial" w:hAnsi="Arial"/>
                <w:color w:val="000000" w:themeColor="text1"/>
                <w:sz w:val="16"/>
                <w:szCs w:val="24"/>
              </w:rPr>
              <w:t xml:space="preserve"> studies. Excl.: non-digital circular-economy studies</w:t>
            </w:r>
          </w:p>
        </w:tc>
        <w:tc>
          <w:tcPr>
            <w:tcW w:w="1100" w:type="dxa"/>
            <w:tcMar>
              <w:top w:w="40" w:type="dxa"/>
              <w:left w:w="80" w:type="dxa"/>
              <w:bottom w:w="40" w:type="dxa"/>
              <w:right w:w="80" w:type="dxa"/>
            </w:tcMar>
          </w:tcPr>
          <w:p w14:paraId="7D89EDC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Low–Moderate (emerging)</w:t>
            </w:r>
          </w:p>
        </w:tc>
      </w:tr>
      <w:tr w:rsidR="001207A1" w:rsidRPr="003A4922" w14:paraId="3E6C3CB6" w14:textId="77777777" w:rsidTr="003B245C">
        <w:tc>
          <w:tcPr>
            <w:tcW w:w="1284" w:type="dxa"/>
            <w:tcMar>
              <w:top w:w="40" w:type="dxa"/>
              <w:left w:w="80" w:type="dxa"/>
              <w:bottom w:w="40" w:type="dxa"/>
              <w:right w:w="80" w:type="dxa"/>
            </w:tcMar>
          </w:tcPr>
          <w:p w14:paraId="01E979F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Interoperability standards (ISOBUS/AgGateway/ontologies)</w:t>
            </w:r>
          </w:p>
        </w:tc>
        <w:tc>
          <w:tcPr>
            <w:tcW w:w="1878" w:type="dxa"/>
            <w:tcMar>
              <w:top w:w="40" w:type="dxa"/>
              <w:left w:w="80" w:type="dxa"/>
              <w:bottom w:w="40" w:type="dxa"/>
              <w:right w:w="80" w:type="dxa"/>
            </w:tcMar>
          </w:tcPr>
          <w:p w14:paraId="74F8479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ISO, AEF/CEMA, </w:t>
            </w:r>
            <w:proofErr w:type="spellStart"/>
            <w:r w:rsidRPr="003A4922">
              <w:rPr>
                <w:rFonts w:ascii="Arial" w:hAnsi="Arial"/>
                <w:color w:val="000000" w:themeColor="text1"/>
                <w:sz w:val="16"/>
                <w:szCs w:val="24"/>
              </w:rPr>
              <w:t>AgGateway</w:t>
            </w:r>
            <w:proofErr w:type="spellEnd"/>
            <w:r w:rsidRPr="003A4922">
              <w:rPr>
                <w:rFonts w:ascii="Arial" w:hAnsi="Arial"/>
                <w:color w:val="000000" w:themeColor="text1"/>
                <w:sz w:val="16"/>
                <w:szCs w:val="24"/>
              </w:rPr>
              <w:t xml:space="preserve">, </w:t>
            </w: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Springer</w:t>
            </w:r>
          </w:p>
        </w:tc>
        <w:tc>
          <w:tcPr>
            <w:tcW w:w="4446" w:type="dxa"/>
            <w:tcMar>
              <w:top w:w="40" w:type="dxa"/>
              <w:left w:w="80" w:type="dxa"/>
              <w:bottom w:w="40" w:type="dxa"/>
              <w:right w:w="80" w:type="dxa"/>
            </w:tcMar>
          </w:tcPr>
          <w:p w14:paraId="73DECC9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(ISOBUS OR "ISO 11783" OR AgGateway OR ADAPT OR agroXML) AND (interoperability OR standard)</w:t>
            </w:r>
          </w:p>
        </w:tc>
        <w:tc>
          <w:tcPr>
            <w:tcW w:w="4977" w:type="dxa"/>
            <w:tcMar>
              <w:top w:w="40" w:type="dxa"/>
              <w:left w:w="80" w:type="dxa"/>
              <w:bottom w:w="40" w:type="dxa"/>
              <w:right w:w="80" w:type="dxa"/>
            </w:tcMar>
          </w:tcPr>
          <w:p w14:paraId="455C775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standards-body documentation and peer-reviewed interoperability studies. Excl.: unrelated CAN-bus/automotive-only sources</w:t>
            </w:r>
          </w:p>
        </w:tc>
        <w:tc>
          <w:tcPr>
            <w:tcW w:w="1100" w:type="dxa"/>
            <w:tcMar>
              <w:top w:w="40" w:type="dxa"/>
              <w:left w:w="80" w:type="dxa"/>
              <w:bottom w:w="40" w:type="dxa"/>
              <w:right w:w="80" w:type="dxa"/>
            </w:tcMar>
          </w:tcPr>
          <w:p w14:paraId="075AB8B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Low–Moderate (specialized)</w:t>
            </w:r>
          </w:p>
        </w:tc>
      </w:tr>
      <w:tr w:rsidR="001207A1" w:rsidRPr="003A4922" w14:paraId="60A78D2E" w14:textId="77777777" w:rsidTr="003B245C">
        <w:tc>
          <w:tcPr>
            <w:tcW w:w="1284" w:type="dxa"/>
            <w:tcMar>
              <w:top w:w="40" w:type="dxa"/>
              <w:left w:w="80" w:type="dxa"/>
              <w:bottom w:w="40" w:type="dxa"/>
              <w:right w:w="80" w:type="dxa"/>
            </w:tcMar>
          </w:tcPr>
          <w:p w14:paraId="5961E6D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Edge-AI / decision-support architecture</w:t>
            </w:r>
          </w:p>
        </w:tc>
        <w:tc>
          <w:tcPr>
            <w:tcW w:w="1878" w:type="dxa"/>
            <w:tcMar>
              <w:top w:w="40" w:type="dxa"/>
              <w:left w:w="80" w:type="dxa"/>
              <w:bottom w:w="40" w:type="dxa"/>
              <w:right w:w="80" w:type="dxa"/>
            </w:tcMar>
          </w:tcPr>
          <w:p w14:paraId="1BE2707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PMC, Springer, </w:t>
            </w:r>
            <w:proofErr w:type="spellStart"/>
            <w:r w:rsidRPr="003A4922">
              <w:rPr>
                <w:rFonts w:ascii="Arial" w:hAnsi="Arial"/>
                <w:color w:val="000000" w:themeColor="text1"/>
                <w:sz w:val="16"/>
                <w:szCs w:val="24"/>
              </w:rPr>
              <w:t>arXiv</w:t>
            </w:r>
            <w:proofErr w:type="spellEnd"/>
          </w:p>
        </w:tc>
        <w:tc>
          <w:tcPr>
            <w:tcW w:w="4446" w:type="dxa"/>
            <w:tcMar>
              <w:top w:w="40" w:type="dxa"/>
              <w:left w:w="80" w:type="dxa"/>
              <w:bottom w:w="40" w:type="dxa"/>
              <w:right w:w="80" w:type="dxa"/>
            </w:tcMar>
          </w:tcPr>
          <w:p w14:paraId="590190A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 AI" OR "edge computing")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(latency OR "decision support")</w:t>
            </w:r>
          </w:p>
        </w:tc>
        <w:tc>
          <w:tcPr>
            <w:tcW w:w="4977" w:type="dxa"/>
            <w:tcMar>
              <w:top w:w="40" w:type="dxa"/>
              <w:left w:w="80" w:type="dxa"/>
              <w:bottom w:w="40" w:type="dxa"/>
              <w:right w:w="80" w:type="dxa"/>
            </w:tcMar>
          </w:tcPr>
          <w:p w14:paraId="2C17F19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peer-reviewed edge-AI agriculture reviews 2023–2026. Excl.: non-agricultural edge-computing studies</w:t>
            </w:r>
          </w:p>
        </w:tc>
        <w:tc>
          <w:tcPr>
            <w:tcW w:w="1100" w:type="dxa"/>
            <w:tcMar>
              <w:top w:w="40" w:type="dxa"/>
              <w:left w:w="80" w:type="dxa"/>
              <w:bottom w:w="40" w:type="dxa"/>
              <w:right w:w="80" w:type="dxa"/>
            </w:tcMar>
          </w:tcPr>
          <w:p w14:paraId="2D9C4FA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 (rapidly growing)</w:t>
            </w:r>
          </w:p>
        </w:tc>
      </w:tr>
    </w:tbl>
    <w:p w14:paraId="16E018AC" w14:textId="77777777" w:rsidR="00D67B6C" w:rsidRPr="003A4922" w:rsidRDefault="00D67B6C">
      <w:pPr>
        <w:sectPr w:rsidR="00D67B6C" w:rsidRPr="003A4922" w:rsidSect="00944DF7">
          <w:headerReference w:type="even" r:id="rId14"/>
          <w:headerReference w:type="default" r:id="rId15"/>
          <w:footerReference w:type="default" r:id="rId16"/>
          <w:headerReference w:type="first" r:id="rId17"/>
          <w:type w:val="continuous"/>
          <w:pgSz w:w="15840" w:h="12240" w:orient="landscape"/>
          <w:pgMar w:top="864" w:right="1080" w:bottom="864" w:left="1080" w:header="432" w:footer="432" w:gutter="0"/>
          <w:cols w:space="720"/>
          <w:docGrid w:linePitch="360"/>
        </w:sectPr>
      </w:pPr>
    </w:p>
    <w:p w14:paraId="2E1F34BC"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lastRenderedPageBreak/>
        <w:t>2.4 Eligibility Criteria</w:t>
      </w:r>
    </w:p>
    <w:p w14:paraId="7E36D740"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Eligible sources were English-language peer-reviewed journal articles, systematic or bibliometric reviews, standards-body documentation (e.g., ISO, GHG Protocol, CSRD/ESRS), and clearly identified industry or market-analysis sources used only for background context, directly relevant to agricultural big data, AI-enabled analytics, farm management information systems, agribusiness supply-chain and sustainability analytics, interoperability standards, or agricultural data governance. Studies were excluded when they described an algorithm or sensing method with no credible agribusiness decision-use pathway, addressed non-agricultural sectors without transferable relevance, or relied on unverifiable metadata. Industry and market-research sources were used only to characterize current platform practice (for example, ESG-reporting tools, data-management market size, or vendor interoperability initiatives) and were not used to support causal or effectiveness claims.</w:t>
      </w:r>
    </w:p>
    <w:p w14:paraId="18ECB2FB" w14:textId="77777777" w:rsidR="008116D3" w:rsidRPr="003A4922" w:rsidRDefault="008116D3" w:rsidP="00965274">
      <w:pPr>
        <w:pStyle w:val="Heading2"/>
        <w:spacing w:before="320" w:after="160"/>
        <w:rPr>
          <w:b/>
          <w:bCs/>
          <w:color w:val="000000" w:themeColor="text1"/>
          <w:sz w:val="24"/>
          <w:szCs w:val="24"/>
        </w:rPr>
      </w:pPr>
    </w:p>
    <w:p w14:paraId="4B9AFCE8"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2.5 Screening and Synthesis Approach</w:t>
      </w:r>
    </w:p>
    <w:p w14:paraId="13E5333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Titles, abstracts, and available metadata were assessed for conceptual and empirical relevance to the ten thematic domains defined in Section 1.1. Sources with incomplete or unverifiable bibliographic details were retained only where the relevant finding could be corroborated through an authoritative record. This review reports the qualitative search matrix in Table 1 rather than a numerically exact PRISMA flow count, consistent with the paper's purpose as a critical narrative synthesis conducted without full-text bibliographic-database access; presenting fabricated precise record counts would misrepresent the review's actual methodological basis. Themes were organized around the data-to-outcomes pathway described in Section 3, and apparent disagreements across sources were interpreted in relation to differences in geography, farm scale, infrastructure maturity, and business model rather than treated as unresolved contradictions.</w:t>
      </w:r>
    </w:p>
    <w:p w14:paraId="5AE98949"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2.6 Critical Appraisal</w:t>
      </w:r>
    </w:p>
    <w:p w14:paraId="4C448EFC"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Evidence was appraised according to source authority (peer-reviewed journal versus industry commentary versus standards-body documentation), recency, methodological transparency, and relevance to agribusiness decision-making rather than to agronomic performance alone. Bibliometric and systematic reviews were given greater weight for claims about the state and direction of the field; individual empirical studies and case analyses were weighted for claims about specific mechanisms, barriers, or outcomes; standards documentation (ISO, AgGateway, GHG Protocol) was treated as authoritative for describing the specification itself but not for claims about adoption or effectiveness. Industry and market sources were used descriptively and are flagged as such in-text; they were not treated as equivalent in evidentiary weight to peer-reviewed research. A small number of sources cited descriptively in Tables 1 through 4 (flagged there by outlet name, e.g., a named systematic review hosted on a given platform) were identified through live web search rather than direct database retrieval, and their full individual authorship could not be independently confirmed within the scope of this search protocol; the author(s) should verify complete bibliographic metadata for these entries against the publisher's version of record before submission.</w:t>
      </w:r>
    </w:p>
    <w:p w14:paraId="7D2E2EBD"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3. Conceptual Framework: From Data to Sustainable Agribusiness Outcomes</w:t>
      </w:r>
    </w:p>
    <w:p w14:paraId="6FC3F6A7"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This review organizes its synthesis around the pathway summarized in Figure 1: data were collected from heterogeneous sources; analytics render that data legible through descriptive and predictive methods; artificial intelligence extends analytics toward classification, prediction, and prescription; information systems, principally FMIS and DSS, operationalize AI outputs by embedding them in the workflows of farm and agribusiness managers; decisions follow from that embedded intelligence; and sustainable agribusiness outcomes, productivity, resource efficiency, resilience, and ESG performance, are the downstream consequence. Crucially, the pathway is not linear in practice: outcomes generate new data, which recursively refines analytics and AI models, producing a continuous feedback loop rather than a one-off technology deployment.</w:t>
      </w:r>
    </w:p>
    <w:p w14:paraId="4BDA576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framing departs from precision-agriculture scholarship in an important respect. Where precision agriculture typically asks whether a given technology improves a technical outcome (yield, water-use efficiency, pesticide reduction), the agribusiness-intelligence framing asks whether that technology's output can be integrated into a decision architecture that a human manager, or an automated system acting on a manager's behalf, will use. The distinction matters because the literature increasingly documents cases in which technically sophisticated tools, accurate disease classifiers, and high-resolution yield maps sit unused. After all, they cannot be reconciled with an FMIS, an enterprise resource planning system, or a compliance-reporting pipeline (Papadopoulos </w:t>
      </w:r>
      <w:r w:rsidRPr="003A4922">
        <w:rPr>
          <w:rFonts w:ascii="Arial" w:hAnsi="Arial"/>
          <w:i/>
          <w:iCs/>
          <w:color w:val="000000"/>
          <w:szCs w:val="24"/>
        </w:rPr>
        <w:t>et al</w:t>
      </w:r>
      <w:r w:rsidRPr="003A4922">
        <w:rPr>
          <w:rFonts w:ascii="Arial" w:hAnsi="Arial"/>
          <w:color w:val="000000"/>
          <w:szCs w:val="24"/>
        </w:rPr>
        <w:t>., 2024).</w:t>
      </w:r>
    </w:p>
    <w:p w14:paraId="1257280A" w14:textId="77777777" w:rsidR="00DB769D" w:rsidRPr="003A4922" w:rsidRDefault="001207A1" w:rsidP="00965274">
      <w:pPr>
        <w:spacing w:before="200"/>
        <w:jc w:val="center"/>
        <w:rPr>
          <w:color w:val="000000" w:themeColor="text1"/>
          <w:sz w:val="24"/>
          <w:szCs w:val="24"/>
        </w:rPr>
      </w:pPr>
      <w:r w:rsidRPr="003A4922">
        <w:rPr>
          <w:color w:val="000000" w:themeColor="text1"/>
          <w:sz w:val="24"/>
          <w:szCs w:val="24"/>
        </w:rPr>
        <w:fldChar w:fldCharType="begin"/>
      </w:r>
      <w:r w:rsidRPr="003A4922">
        <w:rPr>
          <w:color w:val="000000" w:themeColor="text1"/>
          <w:sz w:val="24"/>
          <w:szCs w:val="24"/>
        </w:rPr>
        <w:instrText xml:space="preserve"> INCLUDEPICTURE "https://figurelabs-images-us-east-1.s3.us-east-1.amazonaws.com/com/bioford/plot/img/50d196a6-b02a-431b-8f19-e9beea5963db.png?response-content-disposition=inline&amp;preview=true&amp;X-Amz-Algorithm=AWS4-HMAC-SHA256&amp;X-Amz-Date=20260810T222820Z&amp;X-Amz-SignedHeaders=host&amp;X-Amz-Expires=604800&amp;X-Amz-Credential=AKIA34AMDG56T2NLSZ7W%2F20260810%2Fus-east-1%2Fs3%2Faws4_request&amp;X-Amz-Signature=ccf5b428eae2fd40bef400b4d40b14c219713206f35423489c8db3af8898a874"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5D8DB265" wp14:editId="2001AD6D">
            <wp:extent cx="5942959" cy="2718692"/>
            <wp:effectExtent l="0" t="0" r="1270" b="0"/>
            <wp:docPr id="438659088" name="Picture 2"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nerated figure"/>
                    <pic:cNvPicPr>
                      <a:picLocks noChangeAspect="1" noChangeArrowheads="1"/>
                    </pic:cNvPicPr>
                  </pic:nvPicPr>
                  <pic:blipFill rotWithShape="1">
                    <a:blip r:embed="rId18">
                      <a:extLst>
                        <a:ext uri="{28A0092B-C50C-407E-A947-70E740481C1C}">
                          <a14:useLocalDpi xmlns:a14="http://schemas.microsoft.com/office/drawing/2010/main" val="0"/>
                        </a:ext>
                      </a:extLst>
                    </a:blip>
                    <a:srcRect t="10619" b="7399"/>
                    <a:stretch>
                      <a:fillRect/>
                    </a:stretch>
                  </pic:blipFill>
                  <pic:spPr bwMode="auto">
                    <a:xfrm>
                      <a:off x="0" y="0"/>
                      <a:ext cx="5943600" cy="2718985"/>
                    </a:xfrm>
                    <a:prstGeom prst="rect">
                      <a:avLst/>
                    </a:prstGeom>
                    <a:noFill/>
                    <a:ln>
                      <a:noFill/>
                    </a:ln>
                    <a:extLst>
                      <a:ext uri="{53640926-AAD7-44D8-BBD7-CCE9431645EC}">
                        <a14:shadowObscured xmlns:a14="http://schemas.microsoft.com/office/drawing/2010/main"/>
                      </a:ext>
                    </a:extLst>
                  </pic:spPr>
                </pic:pic>
              </a:graphicData>
            </a:graphic>
          </wp:inline>
        </w:drawing>
      </w:r>
      <w:r w:rsidRPr="003A4922">
        <w:rPr>
          <w:color w:val="000000" w:themeColor="text1"/>
          <w:sz w:val="24"/>
          <w:szCs w:val="24"/>
        </w:rPr>
        <w:fldChar w:fldCharType="end"/>
      </w:r>
    </w:p>
    <w:p w14:paraId="34A7CE84" w14:textId="77777777" w:rsidR="00DB769D" w:rsidRPr="003A4922" w:rsidRDefault="00B32603" w:rsidP="00965274">
      <w:pPr>
        <w:spacing w:before="120" w:after="300"/>
        <w:rPr>
          <w:color w:val="000000" w:themeColor="text1"/>
          <w:sz w:val="24"/>
          <w:szCs w:val="24"/>
        </w:rPr>
      </w:pPr>
      <w:r w:rsidRPr="003A4922">
        <w:rPr>
          <w:rFonts w:ascii="Arial" w:hAnsi="Arial"/>
          <w:b/>
          <w:color w:val="000000"/>
          <w:szCs w:val="24"/>
        </w:rPr>
        <w:t>Fig. 1. The data-to-outcomes pathway: an integrated agribusiness intelligence framework.</w:t>
      </w:r>
    </w:p>
    <w:p w14:paraId="24AA715A"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4. Agricultural Big-Data Collection and Integration Architecture</w:t>
      </w:r>
    </w:p>
    <w:p w14:paraId="39CB438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raw material of the framework is agricultural big data: heterogeneous, high-volume, high-velocity information generated by IoT sensors, unmanned aerial vehicles, satellite platforms, weather stations, machinery telematics, and farm-level administrative records. Contemporary agricultural big-data analytics (BDA) tools and techniques span data mining, machine learning, natural-language processing, cloud computing, and cyber-physical systems, among others, and are used to generate insights that support crop selection, planting and harvest timing, risk management, transportation, and resource use (Theodorakopoulos </w:t>
      </w:r>
      <w:r w:rsidRPr="003A4922">
        <w:rPr>
          <w:rFonts w:ascii="Arial" w:hAnsi="Arial"/>
          <w:i/>
          <w:iCs/>
          <w:color w:val="000000"/>
          <w:szCs w:val="24"/>
        </w:rPr>
        <w:t>et al</w:t>
      </w:r>
      <w:r w:rsidRPr="003A4922">
        <w:rPr>
          <w:rFonts w:ascii="Arial" w:hAnsi="Arial"/>
          <w:color w:val="000000"/>
          <w:szCs w:val="24"/>
        </w:rPr>
        <w:t xml:space="preserve">., 2024). Bibliometric </w:t>
      </w:r>
      <w:r w:rsidRPr="003A4922">
        <w:rPr>
          <w:rFonts w:ascii="Arial" w:hAnsi="Arial"/>
          <w:color w:val="000000"/>
          <w:szCs w:val="24"/>
        </w:rPr>
        <w:lastRenderedPageBreak/>
        <w:t xml:space="preserve">analysis of the field shows a sustained increase in research output on machine learning and big-data applications in agriculture, with keyword clusters converging on big-data analytics, IoT, and remote sensing as the dominant technical vocabulary of the domain (Cravero </w:t>
      </w:r>
      <w:r w:rsidRPr="003A4922">
        <w:rPr>
          <w:rFonts w:ascii="Arial" w:hAnsi="Arial"/>
          <w:i/>
          <w:iCs/>
          <w:color w:val="000000"/>
          <w:szCs w:val="24"/>
        </w:rPr>
        <w:t>et al</w:t>
      </w:r>
      <w:r w:rsidRPr="003A4922">
        <w:rPr>
          <w:rFonts w:ascii="Arial" w:hAnsi="Arial"/>
          <w:color w:val="000000"/>
          <w:szCs w:val="24"/>
        </w:rPr>
        <w:t xml:space="preserve">., 2026), a trend consistent with earlier bibliometric mapping of machine-learning applications specifically within precision agriculture (Rakesh </w:t>
      </w:r>
      <w:r w:rsidRPr="003A4922">
        <w:rPr>
          <w:rFonts w:ascii="Arial" w:hAnsi="Arial"/>
          <w:i/>
          <w:iCs/>
          <w:color w:val="000000"/>
          <w:szCs w:val="24"/>
        </w:rPr>
        <w:t>et al</w:t>
      </w:r>
      <w:r w:rsidRPr="003A4922">
        <w:rPr>
          <w:rFonts w:ascii="Arial" w:hAnsi="Arial"/>
          <w:color w:val="000000"/>
          <w:szCs w:val="24"/>
        </w:rPr>
        <w:t>., 2020).</w:t>
      </w:r>
    </w:p>
    <w:p w14:paraId="45EAE7A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What distinguishes agribusiness-relevant big-data scholarship from purely technical precision-agriculture work is its attention to integration. Reviews of smart-farming bibliometrics note that sensor networks, satellite imagery, and analytics empower farmers to optimize crop management and resource allocation only to the extent that these data streams feed into decision-support infrastructure, rather than remaining siloed within a single vendor's application (Abbasi </w:t>
      </w:r>
      <w:r w:rsidRPr="003A4922">
        <w:rPr>
          <w:rFonts w:ascii="Arial" w:hAnsi="Arial"/>
          <w:i/>
          <w:iCs/>
          <w:color w:val="000000"/>
          <w:szCs w:val="24"/>
        </w:rPr>
        <w:t>et al</w:t>
      </w:r>
      <w:r w:rsidRPr="003A4922">
        <w:rPr>
          <w:rFonts w:ascii="Arial" w:hAnsi="Arial"/>
          <w:color w:val="000000"/>
          <w:szCs w:val="24"/>
        </w:rPr>
        <w:t xml:space="preserve">., 2022). Emerging documentation practices, such as model cards and dataset datasheets that record the assumptions, limitations, and intended uses of a given model or dataset, are increasingly proposed as a governance mechanism for building the trust required for cross-platform integration (Cravero </w:t>
      </w:r>
      <w:r w:rsidRPr="003A4922">
        <w:rPr>
          <w:rFonts w:ascii="Arial" w:hAnsi="Arial"/>
          <w:i/>
          <w:iCs/>
          <w:color w:val="000000"/>
          <w:szCs w:val="24"/>
        </w:rPr>
        <w:t>et al</w:t>
      </w:r>
      <w:r w:rsidRPr="003A4922">
        <w:rPr>
          <w:rFonts w:ascii="Arial" w:hAnsi="Arial"/>
          <w:color w:val="000000"/>
          <w:szCs w:val="24"/>
        </w:rPr>
        <w:t>., 2026).</w:t>
      </w:r>
    </w:p>
    <w:p w14:paraId="5FC63920" w14:textId="77777777" w:rsidR="00DB769D" w:rsidRPr="003A4922" w:rsidRDefault="00B32603" w:rsidP="00965274">
      <w:pPr>
        <w:pStyle w:val="Heading2"/>
        <w:spacing w:before="320"/>
        <w:rPr>
          <w:color w:val="000000" w:themeColor="text1"/>
          <w:sz w:val="24"/>
          <w:szCs w:val="24"/>
        </w:rPr>
      </w:pPr>
      <w:r w:rsidRPr="003A4922">
        <w:rPr>
          <w:rFonts w:ascii="Arial" w:hAnsi="Arial"/>
          <w:b/>
          <w:bCs/>
          <w:color w:val="000000"/>
          <w:sz w:val="22"/>
          <w:szCs w:val="24"/>
        </w:rPr>
        <w:t>4.1 Interoperability Standards: The Technical Substrate of Integration</w:t>
      </w:r>
    </w:p>
    <w:p w14:paraId="528A6EB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Integration claims made at the conceptual level in Section 3 rest, at the technical level, on a specific and still-incomplete stack of interoperability standards. The most mature of these is ISO 11783, commonly known as ISOBUS, an international standard that defines a serial control and communications data network allowing tractors and implements from different manufacturers to exchange task, diagnostic, and telemetry data over a common CAN-bus-derived protocol (International Organization for Standardization, 2017). ISOBUS has become the de facto standard governing machine-to-machine interoperability in mechanized agriculture, developed and maintained collaboratively by equipment manufacturers through the Agricultural Industry Electronics Foundation (AEF) and represented industrially through CEMA (CEMA, 2020). Because ISOBUS was designed primarily for machine-to-machine and machine-to-terminal communication rather than for farm-to-enterprise data exchange, a second layer of standards has emerged to connect machinery-level data to FMIS, agronomic databases, and enterprise systems.</w:t>
      </w:r>
    </w:p>
    <w:p w14:paraId="23C575FD" w14:textId="3CB50F9D" w:rsidR="00DB769D" w:rsidRPr="003A4922" w:rsidRDefault="00B32603" w:rsidP="00965274">
      <w:pPr>
        <w:spacing w:after="200"/>
        <w:jc w:val="both"/>
        <w:rPr>
          <w:color w:val="000000" w:themeColor="text1"/>
          <w:sz w:val="24"/>
          <w:szCs w:val="24"/>
        </w:rPr>
      </w:pPr>
      <w:proofErr w:type="spellStart"/>
      <w:r w:rsidRPr="003A4922">
        <w:rPr>
          <w:rFonts w:ascii="Arial" w:hAnsi="Arial"/>
          <w:color w:val="000000"/>
          <w:szCs w:val="24"/>
        </w:rPr>
        <w:t>AgGateway's</w:t>
      </w:r>
      <w:proofErr w:type="spellEnd"/>
      <w:r w:rsidRPr="003A4922">
        <w:rPr>
          <w:rFonts w:ascii="Arial" w:hAnsi="Arial"/>
          <w:color w:val="000000"/>
          <w:szCs w:val="24"/>
        </w:rPr>
        <w:t xml:space="preserve"> Agricultural Data Application Programming Toolkit (ADAPT) is the leading initiative at this second layer: a vendor-neutral software framework and set of open-source connectors that translate between proprietary FMIS, machinery, and agronomic data formats, reducing the combinatorial burden of building bilateral integrations between every pair of platforms in an agribusiness's technology stack (AgGateway, 2019). ADAPT and related AgGateway projects (SPADE, WAVE, CART) extend ISOBUS-derived task and operations data into broader field-operations documentation, spanning seeding, fertilization, spraying, and harvest records. At the semantic layer, XML/RDF-based schemas such as agroXML and its RDF variant AgroRDF provide vocabularies for representing farm operations, crop treatments, and observed field properties in a machine-interpretable form suitable for decision support, while remaining one of </w:t>
      </w:r>
      <w:r w:rsidR="009A61A1" w:rsidRPr="003A4922">
        <w:rPr>
          <w:rFonts w:ascii="Arial" w:hAnsi="Arial"/>
          <w:color w:val="000000"/>
          <w:szCs w:val="24"/>
        </w:rPr>
        <w:t xml:space="preserve">the </w:t>
      </w:r>
      <w:r w:rsidRPr="003A4922">
        <w:rPr>
          <w:rFonts w:ascii="Arial" w:hAnsi="Arial"/>
          <w:color w:val="000000"/>
          <w:szCs w:val="24"/>
        </w:rPr>
        <w:t>relatively few published, non-proprietary semantic standards for describing farm work end to end.</w:t>
      </w:r>
    </w:p>
    <w:p w14:paraId="694C1DC9" w14:textId="632103B1" w:rsidR="00DB769D" w:rsidRPr="003A4922" w:rsidRDefault="009A61A1" w:rsidP="00965274">
      <w:pPr>
        <w:spacing w:after="200"/>
        <w:jc w:val="both"/>
        <w:rPr>
          <w:color w:val="000000" w:themeColor="text1"/>
          <w:sz w:val="24"/>
          <w:szCs w:val="24"/>
        </w:rPr>
      </w:pPr>
      <w:r w:rsidRPr="003A4922">
        <w:rPr>
          <w:rFonts w:ascii="Arial" w:hAnsi="Arial"/>
          <w:color w:val="000000"/>
          <w:szCs w:val="24"/>
        </w:rPr>
        <w:t xml:space="preserve">Beyond agriculture-specific standards, agribusiness information systems increasingly rely on general-purpose web-data conventions to achieve interoperability at the application layer: JSON-LD (JavaScript Object Notation for Linked Data) enables agronomic and sustainability data to carry embedded semantic context that both humans and machines can interpret consistently across platforms, and OpenAPI specifications provide a standardized, machine-readable description of a system's REST API surface, allowing FMIS vendors, satellite-data providers, and ESG-reporting platforms to auto-generate client integrations rather than negotiate bespoke point-to-point connections. More broadly, RDF ontologies, of which agroXML/AgroRDF are agriculture-specific instances, support cross-domain reasoning (for </w:t>
      </w:r>
      <w:r w:rsidRPr="003A4922">
        <w:rPr>
          <w:rFonts w:ascii="Arial" w:hAnsi="Arial"/>
          <w:color w:val="000000"/>
          <w:szCs w:val="24"/>
        </w:rPr>
        <w:lastRenderedPageBreak/>
        <w:t>example, linking a fertilizer-application record to both a yield outcome and a Scope 3 emissions category) that a purely relational FMIS database cannot easily express. The practical significance of this layered stack, from machine-level (ISOBUS) to application-level (ADAPT, OpenAPI) to semantic-level (JSON-LD, agroXML/RDF), is that interoperability is not a single problem but a set of distinct technical problems at different layers of the system, each with its own maturity level and adoption trajectory; the barrier taxonomy in Section 12 reflects this layered structure. Having established the technical substrate through which data moves between systems, the next question is what happens to that data once it arrives: the analytical pipeline that converts an interoperable data stream into an actionable agribusiness decision, which Section 5 addresses directly.</w:t>
      </w:r>
    </w:p>
    <w:p w14:paraId="281F8EAC" w14:textId="77777777" w:rsidR="00DB769D" w:rsidRPr="003A4922" w:rsidRDefault="00B32603" w:rsidP="00965274">
      <w:pPr>
        <w:pStyle w:val="Heading1"/>
        <w:spacing w:before="320"/>
        <w:rPr>
          <w:color w:val="000000" w:themeColor="text1"/>
          <w:sz w:val="24"/>
          <w:szCs w:val="24"/>
        </w:rPr>
      </w:pPr>
      <w:r w:rsidRPr="003A4922">
        <w:rPr>
          <w:rFonts w:ascii="Arial" w:hAnsi="Arial"/>
          <w:b/>
          <w:bCs/>
          <w:caps/>
          <w:color w:val="000000"/>
          <w:sz w:val="22"/>
          <w:szCs w:val="24"/>
        </w:rPr>
        <w:t>5. Analytics Pipelines: Descriptive, Predictive, and Prescriptive Architectures</w:t>
      </w:r>
    </w:p>
    <w:p w14:paraId="5DB1307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algorithmic transition from raw sensor telemetry to an automated decision engine passes through three analytically distinct stages, which the literature does not always separate clearly but which carry different data, modelling, and governance requirements. Descriptive analytics operates on historical and near-real-time data, applying aggregation, visualization, and threshold-based alerting to answer "what happened" or "what is happening now" on a farm or across a supply network, typically through FMIS dashboards summarizing input use, yield history, or compliance status; this stage requires clean, validated, but not necessarily labelled data, and its principal failure mode is data-quality drift rather than model error. Predictive analytics extends this by fitting statistical or machine-learning models to historical patterns to forecast a future state, most commonly yield, pest or disease risk, resource requirement, or market price. Data-driven decision-making in precision agriculture has been characterized as the defining shift enabled by the rise of big data in agricultural systems, moving farm and agribusiness management away from experience-based heuristics toward knowledge-driven optimization (Tantalaki </w:t>
      </w:r>
      <w:r w:rsidRPr="003A4922">
        <w:rPr>
          <w:rFonts w:ascii="Arial" w:hAnsi="Arial"/>
          <w:i/>
          <w:iCs/>
          <w:color w:val="000000"/>
          <w:szCs w:val="24"/>
        </w:rPr>
        <w:t>et al</w:t>
      </w:r>
      <w:r w:rsidRPr="003A4922">
        <w:rPr>
          <w:rFonts w:ascii="Arial" w:hAnsi="Arial"/>
          <w:color w:val="000000"/>
          <w:szCs w:val="24"/>
        </w:rPr>
        <w:t xml:space="preserve">., 2019). Forecasting models, including autoregressive integrated moving-average (ARIMA/SARIMA) approaches, machine-learning regressors, and deep-learning architectures, are increasingly used to anticipate yield, resource requirements, and market dynamics simultaneously, integrating IoT, remote sensing, and blockchain data streams to support real-time monitoring and decision-making (Dhal &amp; Kar, 2024). Deep-learning image classification and object-detection architectures in particular have been shown to extend this predictive layer into direct field-level diagnosis, supporting pest, disease, and crop-stress identification from sensor and imagery inputs (Teshome </w:t>
      </w:r>
      <w:r w:rsidRPr="003A4922">
        <w:rPr>
          <w:rFonts w:ascii="Arial" w:hAnsi="Arial"/>
          <w:i/>
          <w:iCs/>
          <w:color w:val="000000"/>
          <w:szCs w:val="24"/>
        </w:rPr>
        <w:t>et al</w:t>
      </w:r>
      <w:r w:rsidRPr="003A4922">
        <w:rPr>
          <w:rFonts w:ascii="Arial" w:hAnsi="Arial"/>
          <w:color w:val="000000"/>
          <w:szCs w:val="24"/>
        </w:rPr>
        <w:t>., 2024).</w:t>
      </w:r>
    </w:p>
    <w:p w14:paraId="719DA9E9"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Prescriptive analytics constitutes the third and most consequential stage: rather than forecasting a future state, it recommends, or in increasingly automated pipelines executes, a specific action, converting a probability distribution into a discrete instruction (spray now, do not spray, irrigate this zone, reject this batch). This is the stage at which a sensing or forecasting pipeline becomes an automated decision engine, and it is also the stage at which the algorithmic transition carries the greatest downstream risk, because a prescriptive output compresses model uncertainty into a single actionable recommendation that a farm manager or an automated actuator may execute without visibility into the underlying confidence interval. In crop-management applications, AI-based climate models have been reported to substantially improve the accuracy of climate-risk prediction relative to conventional approaches, information that feeds directly into planting-window and input-timing decisions (Ejima, 2025). Convolutional neural networks applied to pest and disease detection, and sensor-based environmental alert systems for outbreak risk, illustrate how prescriptive outputs are increasingly generated automatically and routed to farm managers through mobile or dashboard interfaces, or, in edge-AI architectures, executed directly at the device level without a cloud round-trip (Ejima, 2025; Srivastav &amp; Das, 2025).</w:t>
      </w:r>
    </w:p>
    <w:p w14:paraId="488C379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The choice between cloud-centralized and edge-resident execution of this pipeline is itself consequential for agribusiness decision architecture. Edge-AI approaches, deploying lightweight models (e.g., TinyML-class convolutional networks) directly on in-field sensors, drones, or gateway devices, reduce the latency, bandwidth, and connectivity dependence of the descriptive-to-prescriptive pipeline, which is particularly consequential in rural or low-connectivity settings where a cloud round-trip may arrive too late to inform a time-sensitive decision such as frost response or irrigation timing (Sapna et al., 2026; Srivastav &amp; Das, 2025). This comes at the cost of reduced model complexity and more difficult over-the-air model updates relative to </w:t>
      </w:r>
      <w:r w:rsidR="00B15DB0" w:rsidRPr="003A4922">
        <w:rPr>
          <w:rFonts w:ascii="Arial" w:hAnsi="Arial"/>
          <w:color w:val="000000"/>
          <w:szCs w:val="24"/>
        </w:rPr>
        <w:t>centralized</w:t>
      </w:r>
      <w:r w:rsidRPr="003A4922">
        <w:rPr>
          <w:rFonts w:ascii="Arial" w:hAnsi="Arial"/>
          <w:color w:val="000000"/>
          <w:szCs w:val="24"/>
        </w:rPr>
        <w:t xml:space="preserve"> cloud architecture, illustrating a recurring design trade-off between decision latency and model sophistication that recurs across the FMIS, supply-chain, and ESG-reporting architectures discussed in the following sections.</w:t>
      </w:r>
    </w:p>
    <w:p w14:paraId="463CB37B"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6. Farm Management Information Systems as the Integration Layer</w:t>
      </w:r>
    </w:p>
    <w:p w14:paraId="21BE4E8D"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If data and analytics are the inputs to agribusiness intelligence, farm management information systems (FMIS) are increasingly the layer at which integration is operationalized. An FMIS can be defined as a system for collecting, processing, storing, and disseminating data, translating it into the information necessary to carry out a farm's operational functions (Fountas </w:t>
      </w:r>
      <w:r w:rsidRPr="003A4922">
        <w:rPr>
          <w:rFonts w:ascii="Arial" w:hAnsi="Arial"/>
          <w:i/>
          <w:iCs/>
          <w:color w:val="000000"/>
          <w:szCs w:val="24"/>
        </w:rPr>
        <w:t>et al</w:t>
      </w:r>
      <w:r w:rsidRPr="003A4922">
        <w:rPr>
          <w:rFonts w:ascii="Arial" w:hAnsi="Arial"/>
          <w:color w:val="000000"/>
          <w:szCs w:val="24"/>
        </w:rPr>
        <w:t xml:space="preserve">., 2015). FMIS have evolved from simple record-keeping tools into sophisticated management-support systems that reduce production costs, support compliance with agricultural standards, and maintain product quality and safety (Fountas </w:t>
      </w:r>
      <w:r w:rsidRPr="003A4922">
        <w:rPr>
          <w:rFonts w:ascii="Arial" w:hAnsi="Arial"/>
          <w:i/>
          <w:iCs/>
          <w:color w:val="000000"/>
          <w:szCs w:val="24"/>
        </w:rPr>
        <w:t>et al</w:t>
      </w:r>
      <w:r w:rsidRPr="003A4922">
        <w:rPr>
          <w:rFonts w:ascii="Arial" w:hAnsi="Arial"/>
          <w:color w:val="000000"/>
          <w:szCs w:val="24"/>
        </w:rPr>
        <w:t>., 2015).</w:t>
      </w:r>
    </w:p>
    <w:p w14:paraId="1CD83B09"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Adoption research on FMIS is instructive for the broader agribusiness-intelligence argument because it identifies the organizational, rather than purely technical, determinants of successful integration, and a broader synthesis of this literature confirms that management information systems adoption at the farm level remains highly uneven and context-dependent across studies (</w:t>
      </w:r>
      <w:proofErr w:type="spellStart"/>
      <w:r w:rsidRPr="003A4922">
        <w:rPr>
          <w:rFonts w:ascii="Arial" w:hAnsi="Arial"/>
          <w:color w:val="000000"/>
          <w:szCs w:val="24"/>
        </w:rPr>
        <w:t>Giua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xml:space="preserve">., 2021). Evidence from Brazilian citrus and sugarcane farms indicates that FMIS adoption is positively associated with farmer education, access to private advisory services, rural credit, farm size, and the use of forward contracts, and is more common among risk-averse farmers pursuing FMIS as part of a broader risk-management strategy (Carrer et al., 2017; de Souza Filho </w:t>
      </w:r>
      <w:r w:rsidRPr="003A4922">
        <w:rPr>
          <w:rFonts w:ascii="Arial" w:hAnsi="Arial"/>
          <w:i/>
          <w:iCs/>
          <w:color w:val="000000"/>
          <w:szCs w:val="24"/>
        </w:rPr>
        <w:t>et al</w:t>
      </w:r>
      <w:r w:rsidRPr="003A4922">
        <w:rPr>
          <w:rFonts w:ascii="Arial" w:hAnsi="Arial"/>
          <w:color w:val="000000"/>
          <w:szCs w:val="24"/>
        </w:rPr>
        <w:t xml:space="preserve">., 2025). In the European Union, FMIS have taken on an additional compliance function, supporting nitrogen-balance documentation, subsidy applications, and sustainability reporting as administrative burdens on farmers have grown (Fountas </w:t>
      </w:r>
      <w:r w:rsidRPr="003A4922">
        <w:rPr>
          <w:rFonts w:ascii="Arial" w:hAnsi="Arial"/>
          <w:i/>
          <w:iCs/>
          <w:color w:val="000000"/>
          <w:szCs w:val="24"/>
        </w:rPr>
        <w:t>et al</w:t>
      </w:r>
      <w:r w:rsidRPr="003A4922">
        <w:rPr>
          <w:rFonts w:ascii="Arial" w:hAnsi="Arial"/>
          <w:color w:val="000000"/>
          <w:szCs w:val="24"/>
        </w:rPr>
        <w:t xml:space="preserve">., 2015). Contemporary FMIS scholarship increasingly frames these systems not as standalone software but as nodes within a wider Agricultural Innovation System that must interoperate with weather services, input suppliers, certification bodies, and downstream buyers (Papadopoulos </w:t>
      </w:r>
      <w:r w:rsidRPr="003A4922">
        <w:rPr>
          <w:rFonts w:ascii="Arial" w:hAnsi="Arial"/>
          <w:i/>
          <w:iCs/>
          <w:color w:val="000000"/>
          <w:szCs w:val="24"/>
        </w:rPr>
        <w:t>et al</w:t>
      </w:r>
      <w:r w:rsidRPr="003A4922">
        <w:rPr>
          <w:rFonts w:ascii="Arial" w:hAnsi="Arial"/>
          <w:color w:val="000000"/>
          <w:szCs w:val="24"/>
        </w:rPr>
        <w:t>., 2024).</w:t>
      </w:r>
    </w:p>
    <w:p w14:paraId="2E5D8A8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7. AI-Enabled Supply-Chain Analytics and Climate-Risk Adaptation</w:t>
      </w:r>
    </w:p>
    <w:p w14:paraId="55976695"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Agribusiness decisions extend well beyond the farm gate into procurement, logistics, and market positioning, and AI-driven predictive analytics </w:t>
      </w:r>
      <w:r w:rsidR="00B020DB" w:rsidRPr="003A4922">
        <w:rPr>
          <w:rFonts w:ascii="Arial" w:hAnsi="Arial"/>
          <w:color w:val="000000"/>
          <w:szCs w:val="24"/>
        </w:rPr>
        <w:t>are</w:t>
      </w:r>
      <w:r w:rsidRPr="003A4922">
        <w:rPr>
          <w:rFonts w:ascii="Arial" w:hAnsi="Arial"/>
          <w:color w:val="000000"/>
          <w:szCs w:val="24"/>
        </w:rPr>
        <w:t xml:space="preserve"> increasingly applied to these supply-chain functions. Studies of AI adoption in agricultural supply-chain risk management report that process factors, information sharing, and supply-chain integration significantly influence the extent to which AI mitigates disruption, with demonstrable effects on the resilience and adaptability of agri-food supply chains (Dhal &amp; Kar, 2024). Blockchain integration into agri-food supply networks is proposed as a mechanism for improving traceability, consumer trust, and food safety by creating tamper-resistant records of a product's origin and handling (Ellahi </w:t>
      </w:r>
      <w:r w:rsidRPr="003A4922">
        <w:rPr>
          <w:rFonts w:ascii="Arial" w:hAnsi="Arial"/>
          <w:i/>
          <w:iCs/>
          <w:color w:val="000000"/>
          <w:szCs w:val="24"/>
        </w:rPr>
        <w:t>et al</w:t>
      </w:r>
      <w:r w:rsidRPr="003A4922">
        <w:rPr>
          <w:rFonts w:ascii="Arial" w:hAnsi="Arial"/>
          <w:color w:val="000000"/>
          <w:szCs w:val="24"/>
        </w:rPr>
        <w:t>., 2023).</w:t>
      </w:r>
    </w:p>
    <w:p w14:paraId="2C47354D"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Climate risk is a particularly consequential input to agribusiness supply-chain planning. Because extreme weather, unpredictable rainfall, and temperature anomalies increasingly render historical averages unreliable, agri-enterprises are reported to be shifting from reactive to predictive climate-risk management, integrating satellite insight, climate intelligence, and advanced analytics to anticipate disruption weeks or months in advance (Ejima, 2025). Illustrative case evidence from cooperative-level agribusiness settings shows this integration working in practice: long short-term memory (LSTM) neural networks trained on multi-year cooperative production data have been used to predict yield patterns and inform procurement and risk-mitigation strategy, combining AI-driven forecasting, IoT-enabled monitoring, and blockchain traceability within a single climate-adaptation architecture (Dhal &amp; Kar, 2024; Ellahi </w:t>
      </w:r>
      <w:r w:rsidRPr="003A4922">
        <w:rPr>
          <w:rFonts w:ascii="Arial" w:hAnsi="Arial"/>
          <w:i/>
          <w:iCs/>
          <w:color w:val="000000"/>
          <w:szCs w:val="24"/>
        </w:rPr>
        <w:t>et al</w:t>
      </w:r>
      <w:r w:rsidRPr="003A4922">
        <w:rPr>
          <w:rFonts w:ascii="Arial" w:hAnsi="Arial"/>
          <w:color w:val="000000"/>
          <w:szCs w:val="24"/>
        </w:rPr>
        <w:t>., 2023). The same procurement and traceability infrastructure that supports climate-risk-informed supply-chain decisions is, as the following section shows, also the infrastructure on which a newer and increasingly mandatory decision layer, sustainability and emissions reporting, now depends.</w:t>
      </w:r>
    </w:p>
    <w:p w14:paraId="42D49647"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8. Sustainability Analytics, ESG, and Scope 3 Compliance Architecture</w:t>
      </w:r>
    </w:p>
    <w:p w14:paraId="7095EA52" w14:textId="77777777" w:rsidR="00DB769D" w:rsidRPr="003A4922" w:rsidRDefault="00815720" w:rsidP="00965274">
      <w:pPr>
        <w:spacing w:after="200"/>
        <w:jc w:val="both"/>
        <w:rPr>
          <w:color w:val="000000" w:themeColor="text1"/>
          <w:sz w:val="24"/>
          <w:szCs w:val="24"/>
        </w:rPr>
      </w:pPr>
      <w:r w:rsidRPr="003A4922">
        <w:rPr>
          <w:rFonts w:ascii="Arial" w:hAnsi="Arial"/>
          <w:color w:val="000000"/>
          <w:szCs w:val="24"/>
        </w:rPr>
        <w:t>A distinguishing feature of the agribusiness-intelligence framing, relative to precision agriculture, is its explicit incorporation of sustainability and environmental, social, and governance (ESG) analytics as decision outputs, not afterthoughts. Environmental and sustainability indicators in the agriculture and food-processing sector are used to assess natural-resource use, waste generation, greenhouse-gas emissions, and ecological footprint, providing a comprehensive framework for monitoring contributions to biodiversity conservation, soil health, water quality, and energy efficiency (Runck et al., 2022). Because agribusinesses operate at the intersection of food security, natural-resource stewardship, community livelihoods, and economic value creation, ESG reporting has shifted from a voluntary initiative to a strategic necessity as regulatory frameworks and buyer requirements increasingly demand disclosure of water and energy use, soil-health trends, and emissions across scopes 1 through 3 (Agribusiness Academy, 2025).</w:t>
      </w:r>
    </w:p>
    <w:p w14:paraId="424B4566"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The regulatory architecture behind this shift is now specific and consequential for agribusiness data systems. The GHG Protocol's Corporate Value Chain (Scope 3) Standard divides indirect emissions into fifteen categories spanning purchased goods and services through end-of-life treatment of sold products and requires firms to report at least most of their value-chain emissions to claim conformance (World Resources Institute &amp; World Business Council for Sustainable Development, 2011). For food and agribusiness companies specifically, Scope 3 emissions, dominated by Category 1 (purchased goods and services, principally the emissions embedded in growing the crops or raising the livestock a company sources), typically dwarf Scopes 1 and 2 combined, which structurally shifts the reporting burden onto upstream agricultural producers rather than the downstream firms that hold the disclosure obligation. The European Union's Corporate Sustainability Reporting Directive (CSRD) and its European Sustainability Reporting Standards (ESRS), phasing in from 2024, make scope 1 through 3 disclosure mandatory for covered companies (European Commission, 2023), while the Science Based Targets initiative requires companies to include Scope 3 in near-term emissions-reduction targets once it exceeds a materiality threshold of total emissions (Science Based Targets initiative, 2024).</w:t>
      </w:r>
    </w:p>
    <w:p w14:paraId="5CB22C66"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Operationalizing this requirement forces a specific and demanding data-architecture problem back onto agribusiness information systems: buyers now require farm-level activity data, methodologically consistent across all supplying farms, with a documented, traceable link between a specific farm's data and the specific supply-chain shipment or </w:t>
      </w:r>
      <w:r w:rsidR="00B15DB0" w:rsidRPr="003A4922">
        <w:rPr>
          <w:rFonts w:ascii="Arial" w:hAnsi="Arial"/>
          <w:color w:val="000000"/>
          <w:szCs w:val="24"/>
        </w:rPr>
        <w:t>let</w:t>
      </w:r>
      <w:r w:rsidRPr="003A4922">
        <w:rPr>
          <w:rFonts w:ascii="Arial" w:hAnsi="Arial"/>
          <w:color w:val="000000"/>
          <w:szCs w:val="24"/>
        </w:rPr>
        <w:t xml:space="preserve"> the buyer purchased, commonly implemented through identity-preservation programs, grain-elevator </w:t>
      </w:r>
      <w:r w:rsidRPr="003A4922">
        <w:rPr>
          <w:rFonts w:ascii="Arial" w:hAnsi="Arial"/>
          <w:color w:val="000000"/>
          <w:szCs w:val="24"/>
        </w:rPr>
        <w:lastRenderedPageBreak/>
        <w:t>coordination, or book-and-claim accounting systems (Farmraise, 2026). This is a considerably more demanding integration requirement than farm-level sustainability reporting alone, because it requires the FMIS layer described in Section 6 to interoperate not only with on-farm sensing and machinery data but with downstream supply-chain custody records, effectively extending the interoperability stack described in Section 4.1 across organizational boundaries. Carbon-footprint calculations performed in accordance with Intergovernmental Panel on Climate Change (IPCC) methodology and routed into compliance and investor-reporting dashboards are therefore a direct downstream consumer of the same FMIS and IoT infrastructure that supports agronomic decision-making, reinforcing the argument that integration, rather than additional sensing, is the binding constraint on value capture. This cross-boundary data flow, precisely because it requires a farm's internal records to be exposed to external buyers, auditors, and regulators, is also what makes governance the natural subject of the next section: the same traceable data link that satisfies a Scope 3 disclosure requirement is, from the farmer's vantage point, a governance question about who may see, retain, and act on that data.</w:t>
      </w:r>
    </w:p>
    <w:p w14:paraId="3A5E36CC"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9. Data Interoperability, Governance, Privacy, and Cybersecurity</w:t>
      </w:r>
    </w:p>
    <w:p w14:paraId="4B68FF9C"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The preceding sections presuppose that data generated by sensors, FMIS, and supply-chain systems can move across platforms and organizational boundaries. This presupposition is frequently violated in practice. A systematic review of information-system integration in the agri-food sector identifies a wide range of technical, organizational, and data-governance barriers to integration, with data-governance issues increasingly prominent in papers published since 2023 (</w:t>
      </w:r>
      <w:proofErr w:type="spellStart"/>
      <w:r w:rsidRPr="003A4922">
        <w:rPr>
          <w:rFonts w:ascii="Arial" w:hAnsi="Arial"/>
          <w:color w:val="000000"/>
          <w:szCs w:val="24"/>
        </w:rPr>
        <w:t>Ahoa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2025; Figure 2). The absence of governance and standardized protocols for data security, privacy, and sharing has been shown to impede technology adoption directly, heightening farmer concern about data ownership and the risks associated with participation in digital platforms (</w:t>
      </w:r>
      <w:proofErr w:type="spellStart"/>
      <w:r w:rsidRPr="003A4922">
        <w:rPr>
          <w:rFonts w:ascii="Arial" w:hAnsi="Arial"/>
          <w:color w:val="000000"/>
          <w:szCs w:val="24"/>
        </w:rPr>
        <w:t>Rouzky</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2025).</w:t>
      </w:r>
    </w:p>
    <w:p w14:paraId="1622D2CD"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Privacy and cybersecurity concerns compound this governance gap. Farmers face data asymmetry and uncertainty about how agricultural technology providers store and use their data, and the increasing economic value attached to agricultural data has intensified the need for robust governance frameworks addressing intellectual-property rights (Jayashankar </w:t>
      </w:r>
      <w:r w:rsidRPr="003A4922">
        <w:rPr>
          <w:rFonts w:ascii="Arial" w:hAnsi="Arial"/>
          <w:i/>
          <w:iCs/>
          <w:color w:val="000000"/>
          <w:szCs w:val="24"/>
        </w:rPr>
        <w:t>et al</w:t>
      </w:r>
      <w:r w:rsidRPr="003A4922">
        <w:rPr>
          <w:rFonts w:ascii="Arial" w:hAnsi="Arial"/>
          <w:color w:val="000000"/>
          <w:szCs w:val="24"/>
        </w:rPr>
        <w:t xml:space="preserve">., 2018; Shepherd </w:t>
      </w:r>
      <w:r w:rsidRPr="003A4922">
        <w:rPr>
          <w:rFonts w:ascii="Arial" w:hAnsi="Arial"/>
          <w:i/>
          <w:iCs/>
          <w:color w:val="000000"/>
          <w:szCs w:val="24"/>
        </w:rPr>
        <w:t>et al</w:t>
      </w:r>
      <w:r w:rsidRPr="003A4922">
        <w:rPr>
          <w:rFonts w:ascii="Arial" w:hAnsi="Arial"/>
          <w:color w:val="000000"/>
          <w:szCs w:val="24"/>
        </w:rPr>
        <w:t xml:space="preserve">., 2020). Documented cybersecurity incidents in the agriculture sector span ransomware attacks, unauthorized access, and sophisticated hacking techniques directed at farm operations, processing facilities, and distribution networks, with unmanned aerial systems and other field-deployed sensing platforms identified as a further point of exposure (Bergstrom </w:t>
      </w:r>
      <w:r w:rsidRPr="003A4922">
        <w:rPr>
          <w:rFonts w:ascii="Arial" w:hAnsi="Arial"/>
          <w:i/>
          <w:iCs/>
          <w:color w:val="000000"/>
          <w:szCs w:val="24"/>
        </w:rPr>
        <w:t>et al</w:t>
      </w:r>
      <w:r w:rsidRPr="003A4922">
        <w:rPr>
          <w:rFonts w:ascii="Arial" w:hAnsi="Arial"/>
          <w:color w:val="000000"/>
          <w:szCs w:val="24"/>
        </w:rPr>
        <w:t>., 2022). Unlike healthcare or finance, the agricultural sector lacks a dedicated federal regulatory body for data protection in most jurisdictions, leaving farmers and agribusinesses to rely on voluntary data-sharing agreements and emerging technical solutions such as federated learning, which enables model training across distributed farm data without centralizing sensitive records, and privacy-by-design frameworks for collaborative research.</w:t>
      </w:r>
    </w:p>
    <w:p w14:paraId="50FDAEC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Scholarship adopting a data-justice lens cautions that privacy-protection measures modelled on frameworks such as the European Union's General Data Protection Regulation do not, by themselves, resolve the structural asymmetries of agricultural data governance: strengthening formal data protection can coexist with continued data extraction that disadvantages farmers relative to agricultural technology providers and downstream purchasers (Dencik </w:t>
      </w:r>
      <w:r w:rsidRPr="003A4922">
        <w:rPr>
          <w:rFonts w:ascii="Arial" w:hAnsi="Arial"/>
          <w:i/>
          <w:iCs/>
          <w:color w:val="000000"/>
          <w:szCs w:val="24"/>
        </w:rPr>
        <w:t>et al</w:t>
      </w:r>
      <w:r w:rsidRPr="003A4922">
        <w:rPr>
          <w:rFonts w:ascii="Arial" w:hAnsi="Arial"/>
          <w:color w:val="000000"/>
          <w:szCs w:val="24"/>
        </w:rPr>
        <w:t>., 2022). This suggests that interoperability and governance solutions for agribusiness information systems must attend to questions of ownership and benefit-sharing, not merely technical standardization.</w:t>
      </w:r>
    </w:p>
    <w:p w14:paraId="2F26095E" w14:textId="77777777" w:rsidR="00DB769D" w:rsidRPr="003A4922" w:rsidRDefault="001207A1" w:rsidP="00965274">
      <w:pPr>
        <w:spacing w:before="200"/>
        <w:jc w:val="center"/>
        <w:rPr>
          <w:color w:val="000000" w:themeColor="text1"/>
          <w:sz w:val="24"/>
          <w:szCs w:val="24"/>
        </w:rPr>
      </w:pPr>
      <w:r w:rsidRPr="003A4922">
        <w:rPr>
          <w:color w:val="000000" w:themeColor="text1"/>
          <w:sz w:val="24"/>
          <w:szCs w:val="24"/>
        </w:rPr>
        <w:lastRenderedPageBreak/>
        <w:fldChar w:fldCharType="begin"/>
      </w:r>
      <w:r w:rsidRPr="003A4922">
        <w:rPr>
          <w:color w:val="000000" w:themeColor="text1"/>
          <w:sz w:val="24"/>
          <w:szCs w:val="24"/>
        </w:rPr>
        <w:instrText xml:space="preserve"> INCLUDEPICTURE "https://figurelabs-images-us-east-1.s3.us-east-1.amazonaws.com/com/bioford/plot/img/f49a7a43-ea3b-41b9-80aa-5de669db1b86.png?response-content-disposition=inline&amp;preview=true&amp;X-Amz-Algorithm=AWS4-HMAC-SHA256&amp;X-Amz-Date=20260810T223516Z&amp;X-Amz-SignedHeaders=host&amp;X-Amz-Expires=604800&amp;X-Amz-Credential=AKIA34AMDG56T2NLSZ7W%2F20260810%2Fus-east-1%2Fs3%2Faws4_request&amp;X-Amz-Signature=63b2475a5c102bb099e001a292942d21cfb39d78d71f4af97fe0082c040d3ab2"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7B66F52D" wp14:editId="37D8C399">
            <wp:extent cx="5943600" cy="2628900"/>
            <wp:effectExtent l="0" t="0" r="0" b="0"/>
            <wp:docPr id="933321014" name="Picture 3"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nerated figure"/>
                    <pic:cNvPicPr>
                      <a:picLocks noChangeAspect="1" noChangeArrowheads="1"/>
                    </pic:cNvPicPr>
                  </pic:nvPicPr>
                  <pic:blipFill rotWithShape="1">
                    <a:blip r:embed="rId19">
                      <a:extLst>
                        <a:ext uri="{28A0092B-C50C-407E-A947-70E740481C1C}">
                          <a14:useLocalDpi xmlns:a14="http://schemas.microsoft.com/office/drawing/2010/main" val="0"/>
                        </a:ext>
                      </a:extLst>
                    </a:blip>
                    <a:srcRect t="5170" b="15566"/>
                    <a:stretch>
                      <a:fillRect/>
                    </a:stretch>
                  </pic:blipFill>
                  <pic:spPr bwMode="auto">
                    <a:xfrm>
                      <a:off x="0" y="0"/>
                      <a:ext cx="5943600" cy="2628900"/>
                    </a:xfrm>
                    <a:prstGeom prst="rect">
                      <a:avLst/>
                    </a:prstGeom>
                    <a:noFill/>
                    <a:ln>
                      <a:noFill/>
                    </a:ln>
                    <a:extLst>
                      <a:ext uri="{53640926-AAD7-44D8-BBD7-CCE9431645EC}">
                        <a14:shadowObscured xmlns:a14="http://schemas.microsoft.com/office/drawing/2010/main"/>
                      </a:ext>
                    </a:extLst>
                  </pic:spPr>
                </pic:pic>
              </a:graphicData>
            </a:graphic>
          </wp:inline>
        </w:drawing>
      </w:r>
      <w:r w:rsidRPr="003A4922">
        <w:rPr>
          <w:color w:val="000000" w:themeColor="text1"/>
          <w:sz w:val="24"/>
          <w:szCs w:val="24"/>
        </w:rPr>
        <w:fldChar w:fldCharType="end"/>
      </w:r>
    </w:p>
    <w:p w14:paraId="61421A29" w14:textId="77777777" w:rsidR="00DB769D" w:rsidRPr="003A4922" w:rsidRDefault="00B32603" w:rsidP="00965274">
      <w:pPr>
        <w:spacing w:before="120" w:after="300"/>
        <w:rPr>
          <w:color w:val="000000" w:themeColor="text1"/>
          <w:sz w:val="24"/>
          <w:szCs w:val="24"/>
        </w:rPr>
      </w:pPr>
      <w:r w:rsidRPr="003A4922">
        <w:rPr>
          <w:rFonts w:ascii="Arial" w:hAnsi="Arial"/>
          <w:b/>
          <w:color w:val="000000"/>
          <w:szCs w:val="24"/>
        </w:rPr>
        <w:t>Fig. 2. Barrier taxonomy for information-system integration in agribusiness.</w:t>
      </w:r>
    </w:p>
    <w:p w14:paraId="3FF28DE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10. Digital Infrastructure and Technology Adoption</w:t>
      </w:r>
    </w:p>
    <w:p w14:paraId="5739DBA9"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Even where interoperability and governance challenges are addressed, adoption of agribusiness information systems remains uneven, particularly among the smallholder farmers who constitute </w:t>
      </w:r>
      <w:r w:rsidR="00806DEC" w:rsidRPr="003A4922">
        <w:rPr>
          <w:rFonts w:ascii="Arial" w:hAnsi="Arial"/>
          <w:color w:val="000000"/>
          <w:szCs w:val="24"/>
        </w:rPr>
        <w:t>most</w:t>
      </w:r>
      <w:r w:rsidRPr="003A4922">
        <w:rPr>
          <w:rFonts w:ascii="Arial" w:hAnsi="Arial"/>
          <w:color w:val="000000"/>
          <w:szCs w:val="24"/>
        </w:rPr>
        <w:t xml:space="preserve"> the world's agricultural producers (World Bank, 2024). Structural barriers, including poor rural connectivity, limited access to financing, and low digital literacy, are consistently identified as the principal constraints on smallholder digitization, with women and other marginalized farmers facing compounding socio-economic obstacles that widen an already substantial digital divide (</w:t>
      </w:r>
      <w:proofErr w:type="spellStart"/>
      <w:r w:rsidRPr="003A4922">
        <w:rPr>
          <w:rFonts w:ascii="Arial" w:hAnsi="Arial"/>
          <w:color w:val="000000"/>
          <w:szCs w:val="24"/>
        </w:rPr>
        <w:t>Bontsa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2023). Globally, only a minority of farmers currently use FMIS, and adoption rates vary sharply by region, tracking the availability of advanced agricultural infrastructure (</w:t>
      </w:r>
      <w:proofErr w:type="spellStart"/>
      <w:r w:rsidRPr="003A4922">
        <w:rPr>
          <w:rFonts w:ascii="Arial" w:hAnsi="Arial"/>
          <w:color w:val="000000"/>
          <w:szCs w:val="24"/>
        </w:rPr>
        <w:t>Giua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2021).</w:t>
      </w:r>
    </w:p>
    <w:p w14:paraId="61ACC3F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Digital extension services, mobile-based advisory platforms that connect farmers directly to agronomic and market information, have been proposed as a partial remedy, particularly where they substitute for costly in-person extension visits, with large language models increasingly explored as a means of scaling and personalizing this advisory function (</w:t>
      </w:r>
      <w:proofErr w:type="spellStart"/>
      <w:r w:rsidRPr="003A4922">
        <w:rPr>
          <w:rFonts w:ascii="Arial" w:hAnsi="Arial"/>
          <w:color w:val="000000"/>
          <w:szCs w:val="24"/>
        </w:rPr>
        <w:t>Tzachor</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xml:space="preserve">., 2023). A systematic review of 141 studies on interactive digital extension services identified thirteen distinct opportunities and twenty-one distinct barriers to their expansion in developing countries, underscoring that infrastructure investment alone is insufficient without complementary attention to training, affordability, and locally adapted design (Sen </w:t>
      </w:r>
      <w:r w:rsidRPr="003A4922">
        <w:rPr>
          <w:rFonts w:ascii="Arial" w:hAnsi="Arial"/>
          <w:i/>
          <w:iCs/>
          <w:color w:val="000000"/>
          <w:szCs w:val="24"/>
        </w:rPr>
        <w:t>et al</w:t>
      </w:r>
      <w:r w:rsidRPr="003A4922">
        <w:rPr>
          <w:rFonts w:ascii="Arial" w:hAnsi="Arial"/>
          <w:color w:val="000000"/>
          <w:szCs w:val="24"/>
        </w:rPr>
        <w:t>., 2025). AI-enabled financial-inclusion tools that extend credit access to smallholders without formal credit histories are increasingly framed as a necessary complement to infrastructure investment, since affordability, not merely connectivity, is repeatedly identified as a binding constraint on technology adoption (Meemken &amp; Bellemare, 2020).</w:t>
      </w:r>
    </w:p>
    <w:p w14:paraId="3BE62E26"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11. Circular Agriculture and Resource/Waste Optimization</w:t>
      </w:r>
    </w:p>
    <w:p w14:paraId="08853EB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 final domain in which the agribusiness-intelligence framework applies is circular agriculture, the application of digital technologies to minimize waste and maximize resource recovery across the agri-food value chain. Systematic review of the circular agri-food waste literature identifies predictive waste-flow analytics, smart traceability systems, and circular bioeconomy applications such as anaerobic digestion and pyrolysis as major research clusters, with artificial intelligence increasingly positioned as a driver of digital transformation toward the </w:t>
      </w:r>
      <w:r w:rsidRPr="003A4922">
        <w:rPr>
          <w:rFonts w:ascii="Arial" w:hAnsi="Arial"/>
          <w:color w:val="000000"/>
          <w:szCs w:val="24"/>
        </w:rPr>
        <w:lastRenderedPageBreak/>
        <w:t>Sustainable Development Goals concerned with responsible consumption and industry innovation (</w:t>
      </w:r>
      <w:proofErr w:type="spellStart"/>
      <w:r w:rsidRPr="003A4922">
        <w:rPr>
          <w:rFonts w:ascii="Arial" w:hAnsi="Arial"/>
          <w:color w:val="000000"/>
          <w:szCs w:val="24"/>
        </w:rPr>
        <w:t>Censi</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2025). Decentralized, digitally enabled waste-to-resource systems combining biomass engineering, pyrolysis, and adsorption technologies have been reported to reduce transportation-related emissions substantially while achieving meaningful rates of bio-oil recovery and biochar carbon retention.</w:t>
      </w:r>
    </w:p>
    <w:p w14:paraId="7AC40DA7"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Adoption of circular-economy digital tools follows patterns similar to those documented for FMIS and digital extension services: behavioral-intention research on agricultural waste-valorization technology in Thailand found that social influence, price value, and trust significantly affected adoption intention among older and mixed-income users, while younger, lower-income users responded to a different set of drivers (</w:t>
      </w:r>
      <w:proofErr w:type="spellStart"/>
      <w:r w:rsidRPr="003A4922">
        <w:rPr>
          <w:rFonts w:ascii="Arial" w:hAnsi="Arial"/>
          <w:color w:val="000000"/>
          <w:szCs w:val="24"/>
        </w:rPr>
        <w:t>Pienwisetkaew</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2023), again reinforcing that technology adoption in agribusiness is jointly determined by technical capability and socio-organizational context rather than by algorithmic performance alone.</w:t>
      </w:r>
    </w:p>
    <w:p w14:paraId="4E4CC6B0"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12. Synthesis: Toward Integrated Decision-Support Systems</w:t>
      </w:r>
    </w:p>
    <w:p w14:paraId="726F33E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Table 2 synthesizes the ten thematic domains reviewed above, mapping each to its core technologies, the agribusiness decision it primarily supports, and representative sources. Read across rows, the table illustrates the argument developed in Section 3: each domain, from big-data collection through circular-economy waste valorization, ultimately routes through an information-systems layer (FMIS, DSS, or supply-chain platform) before it becomes an actionable agribusiness decision. No domain reviewed here generates sustainable outcomes through data or algorithms alone.</w:t>
      </w:r>
    </w:p>
    <w:p w14:paraId="2F277A04" w14:textId="77777777" w:rsidR="007F76E3" w:rsidRPr="003A4922" w:rsidRDefault="007F76E3" w:rsidP="00965274">
      <w:pPr>
        <w:spacing w:before="120"/>
        <w:rPr>
          <w:color w:val="000000" w:themeColor="text1"/>
          <w:sz w:val="24"/>
          <w:szCs w:val="24"/>
        </w:rPr>
      </w:pPr>
    </w:p>
    <w:p w14:paraId="1880B569" w14:textId="77777777" w:rsidR="007F76E3" w:rsidRPr="003A4922" w:rsidRDefault="007F76E3" w:rsidP="00965274">
      <w:pPr>
        <w:spacing w:before="120"/>
        <w:rPr>
          <w:color w:val="000000" w:themeColor="text1"/>
          <w:sz w:val="24"/>
          <w:szCs w:val="24"/>
        </w:rPr>
      </w:pPr>
    </w:p>
    <w:p w14:paraId="1CBC3B56" w14:textId="77777777" w:rsidR="007F76E3" w:rsidRPr="003A4922" w:rsidRDefault="007F76E3" w:rsidP="00965274">
      <w:pPr>
        <w:spacing w:before="120"/>
        <w:rPr>
          <w:color w:val="000000" w:themeColor="text1"/>
          <w:sz w:val="24"/>
          <w:szCs w:val="24"/>
        </w:rPr>
      </w:pPr>
    </w:p>
    <w:p w14:paraId="7C3D22F0" w14:textId="77777777" w:rsidR="007F76E3" w:rsidRPr="003A4922" w:rsidRDefault="007F76E3" w:rsidP="00965274">
      <w:pPr>
        <w:spacing w:before="120"/>
        <w:rPr>
          <w:color w:val="000000" w:themeColor="text1"/>
          <w:sz w:val="24"/>
          <w:szCs w:val="24"/>
        </w:rPr>
      </w:pPr>
    </w:p>
    <w:p w14:paraId="50724314" w14:textId="77777777" w:rsidR="007F76E3" w:rsidRPr="003A4922" w:rsidRDefault="007F76E3" w:rsidP="00965274">
      <w:pPr>
        <w:spacing w:before="120"/>
        <w:rPr>
          <w:color w:val="000000" w:themeColor="text1"/>
          <w:sz w:val="24"/>
          <w:szCs w:val="24"/>
        </w:rPr>
        <w:sectPr w:rsidR="007F76E3" w:rsidRPr="003A4922" w:rsidSect="00944DF7">
          <w:headerReference w:type="even" r:id="rId20"/>
          <w:headerReference w:type="default" r:id="rId21"/>
          <w:footerReference w:type="default" r:id="rId22"/>
          <w:headerReference w:type="first" r:id="rId23"/>
          <w:type w:val="continuous"/>
          <w:pgSz w:w="12240" w:h="15840"/>
          <w:pgMar w:top="1440" w:right="2016" w:bottom="2016" w:left="2016" w:header="708" w:footer="708" w:gutter="0"/>
          <w:cols w:space="720"/>
          <w:docGrid w:linePitch="360"/>
        </w:sectPr>
      </w:pPr>
    </w:p>
    <w:p w14:paraId="4A8433B3" w14:textId="77777777" w:rsidR="0036003E" w:rsidRPr="003A4922" w:rsidRDefault="0036003E" w:rsidP="00965274">
      <w:pPr>
        <w:spacing w:before="120"/>
        <w:rPr>
          <w:color w:val="000000" w:themeColor="text1"/>
          <w:sz w:val="24"/>
          <w:szCs w:val="24"/>
        </w:rPr>
      </w:pPr>
      <w:r w:rsidRPr="003A4922">
        <w:rPr>
          <w:rFonts w:ascii="Arial" w:hAnsi="Arial"/>
          <w:b/>
          <w:color w:val="000000"/>
          <w:szCs w:val="24"/>
        </w:rPr>
        <w:lastRenderedPageBreak/>
        <w:t>Table 2. Thematic domains in AI- and data-driven agribusiness transformation, mapped to core technologies and the decisions they support.</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2315"/>
        <w:gridCol w:w="3929"/>
        <w:gridCol w:w="3718"/>
        <w:gridCol w:w="3718"/>
      </w:tblGrid>
      <w:tr w:rsidR="001207A1" w:rsidRPr="003A4922" w14:paraId="0D96DD83" w14:textId="77777777" w:rsidTr="0036003E">
        <w:trPr>
          <w:tblHeader/>
        </w:trPr>
        <w:tc>
          <w:tcPr>
            <w:tcW w:w="2315" w:type="dxa"/>
            <w:tcBorders>
              <w:bottom w:val="single" w:sz="6" w:space="0" w:color="auto"/>
            </w:tcBorders>
            <w:tcMar>
              <w:top w:w="40" w:type="dxa"/>
              <w:left w:w="80" w:type="dxa"/>
              <w:bottom w:w="40" w:type="dxa"/>
              <w:right w:w="80" w:type="dxa"/>
            </w:tcMar>
          </w:tcPr>
          <w:p w14:paraId="4CC04746"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Focus Domain</w:t>
            </w:r>
          </w:p>
        </w:tc>
        <w:tc>
          <w:tcPr>
            <w:tcW w:w="3929" w:type="dxa"/>
            <w:tcBorders>
              <w:bottom w:val="single" w:sz="6" w:space="0" w:color="auto"/>
            </w:tcBorders>
            <w:tcMar>
              <w:top w:w="40" w:type="dxa"/>
              <w:left w:w="80" w:type="dxa"/>
              <w:bottom w:w="40" w:type="dxa"/>
              <w:right w:w="80" w:type="dxa"/>
            </w:tcMar>
          </w:tcPr>
          <w:p w14:paraId="077B1BD4"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Core Technologies / Methods</w:t>
            </w:r>
          </w:p>
        </w:tc>
        <w:tc>
          <w:tcPr>
            <w:tcW w:w="3718" w:type="dxa"/>
            <w:tcBorders>
              <w:bottom w:val="single" w:sz="6" w:space="0" w:color="auto"/>
            </w:tcBorders>
            <w:tcMar>
              <w:top w:w="40" w:type="dxa"/>
              <w:left w:w="80" w:type="dxa"/>
              <w:bottom w:w="40" w:type="dxa"/>
              <w:right w:w="80" w:type="dxa"/>
            </w:tcMar>
          </w:tcPr>
          <w:p w14:paraId="18E74DDD"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Agribusiness Decision Supported</w:t>
            </w:r>
          </w:p>
        </w:tc>
        <w:tc>
          <w:tcPr>
            <w:tcW w:w="3718" w:type="dxa"/>
            <w:tcBorders>
              <w:bottom w:val="single" w:sz="6" w:space="0" w:color="auto"/>
            </w:tcBorders>
            <w:tcMar>
              <w:top w:w="40" w:type="dxa"/>
              <w:left w:w="80" w:type="dxa"/>
              <w:bottom w:w="40" w:type="dxa"/>
              <w:right w:w="80" w:type="dxa"/>
            </w:tcMar>
          </w:tcPr>
          <w:p w14:paraId="7CA2D373"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Representative Sources</w:t>
            </w:r>
          </w:p>
        </w:tc>
      </w:tr>
      <w:tr w:rsidR="001207A1" w:rsidRPr="003A4922" w14:paraId="1D2D5735" w14:textId="77777777" w:rsidTr="0036003E">
        <w:tc>
          <w:tcPr>
            <w:tcW w:w="2315" w:type="dxa"/>
            <w:tcMar>
              <w:top w:w="40" w:type="dxa"/>
              <w:left w:w="80" w:type="dxa"/>
              <w:bottom w:w="40" w:type="dxa"/>
              <w:right w:w="80" w:type="dxa"/>
            </w:tcMar>
          </w:tcPr>
          <w:p w14:paraId="6FBCB24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Big-data collection &amp; integration</w:t>
            </w:r>
          </w:p>
        </w:tc>
        <w:tc>
          <w:tcPr>
            <w:tcW w:w="3929" w:type="dxa"/>
            <w:tcMar>
              <w:top w:w="40" w:type="dxa"/>
              <w:left w:w="80" w:type="dxa"/>
              <w:bottom w:w="40" w:type="dxa"/>
              <w:right w:w="80" w:type="dxa"/>
            </w:tcMar>
          </w:tcPr>
          <w:p w14:paraId="3510E0E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IoT sensors, drones, satellite/remote sensing, weather stations</w:t>
            </w:r>
          </w:p>
        </w:tc>
        <w:tc>
          <w:tcPr>
            <w:tcW w:w="3718" w:type="dxa"/>
            <w:tcMar>
              <w:top w:w="40" w:type="dxa"/>
              <w:left w:w="80" w:type="dxa"/>
              <w:bottom w:w="40" w:type="dxa"/>
              <w:right w:w="80" w:type="dxa"/>
            </w:tcMar>
          </w:tcPr>
          <w:p w14:paraId="6391E3B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Field-level monitoring and situational awareness</w:t>
            </w:r>
          </w:p>
        </w:tc>
        <w:tc>
          <w:tcPr>
            <w:tcW w:w="3718" w:type="dxa"/>
            <w:tcMar>
              <w:top w:w="40" w:type="dxa"/>
              <w:left w:w="80" w:type="dxa"/>
              <w:bottom w:w="40" w:type="dxa"/>
              <w:right w:w="80" w:type="dxa"/>
            </w:tcMar>
          </w:tcPr>
          <w:p w14:paraId="6ED930A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Alahmad </w:t>
            </w:r>
            <w:r w:rsidRPr="003A4922">
              <w:rPr>
                <w:rFonts w:ascii="Arial" w:hAnsi="Arial"/>
                <w:i/>
                <w:iCs/>
                <w:color w:val="000000" w:themeColor="text1"/>
                <w:sz w:val="16"/>
                <w:szCs w:val="24"/>
              </w:rPr>
              <w:t>et al.</w:t>
            </w:r>
            <w:r w:rsidR="007F76E3" w:rsidRPr="003A4922">
              <w:rPr>
                <w:rFonts w:ascii="Arial" w:hAnsi="Arial"/>
                <w:i/>
                <w:iCs/>
                <w:color w:val="000000" w:themeColor="text1"/>
                <w:sz w:val="16"/>
                <w:szCs w:val="24"/>
              </w:rPr>
              <w:t>,</w:t>
            </w:r>
            <w:r w:rsidRPr="003A4922">
              <w:rPr>
                <w:rFonts w:ascii="Arial" w:hAnsi="Arial"/>
                <w:color w:val="000000" w:themeColor="text1"/>
                <w:sz w:val="16"/>
                <w:szCs w:val="24"/>
              </w:rPr>
              <w:t xml:space="preserve"> (2023); Abbasi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(2022); Theodorakopoulos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(2024)</w:t>
            </w:r>
          </w:p>
        </w:tc>
      </w:tr>
      <w:tr w:rsidR="001207A1" w:rsidRPr="003A4922" w14:paraId="33FF1AB5" w14:textId="77777777" w:rsidTr="0036003E">
        <w:tc>
          <w:tcPr>
            <w:tcW w:w="2315" w:type="dxa"/>
            <w:tcMar>
              <w:top w:w="40" w:type="dxa"/>
              <w:left w:w="80" w:type="dxa"/>
              <w:bottom w:w="40" w:type="dxa"/>
              <w:right w:w="80" w:type="dxa"/>
            </w:tcMar>
          </w:tcPr>
          <w:p w14:paraId="6F77578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 &amp; prescriptive analytics</w:t>
            </w:r>
          </w:p>
        </w:tc>
        <w:tc>
          <w:tcPr>
            <w:tcW w:w="3929" w:type="dxa"/>
            <w:tcMar>
              <w:top w:w="40" w:type="dxa"/>
              <w:left w:w="80" w:type="dxa"/>
              <w:bottom w:w="40" w:type="dxa"/>
              <w:right w:w="80" w:type="dxa"/>
            </w:tcMar>
          </w:tcPr>
          <w:p w14:paraId="5066D17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Time-series forecasting (ARIMA/SARIMA), regression, optimization models</w:t>
            </w:r>
          </w:p>
        </w:tc>
        <w:tc>
          <w:tcPr>
            <w:tcW w:w="3718" w:type="dxa"/>
            <w:tcMar>
              <w:top w:w="40" w:type="dxa"/>
              <w:left w:w="80" w:type="dxa"/>
              <w:bottom w:w="40" w:type="dxa"/>
              <w:right w:w="80" w:type="dxa"/>
            </w:tcMar>
          </w:tcPr>
          <w:p w14:paraId="137F2EE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Yield forecasting, input scheduling, price forecasting</w:t>
            </w:r>
          </w:p>
        </w:tc>
        <w:tc>
          <w:tcPr>
            <w:tcW w:w="3718" w:type="dxa"/>
            <w:tcMar>
              <w:top w:w="40" w:type="dxa"/>
              <w:left w:w="80" w:type="dxa"/>
              <w:bottom w:w="40" w:type="dxa"/>
              <w:right w:w="80" w:type="dxa"/>
            </w:tcMar>
          </w:tcPr>
          <w:p w14:paraId="113832B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Tantalaki </w:t>
            </w:r>
            <w:r w:rsidRPr="003A4922">
              <w:rPr>
                <w:rFonts w:ascii="Arial" w:hAnsi="Arial"/>
                <w:i/>
                <w:iCs/>
                <w:color w:val="000000" w:themeColor="text1"/>
                <w:sz w:val="16"/>
                <w:szCs w:val="24"/>
              </w:rPr>
              <w:t>et al.</w:t>
            </w:r>
            <w:r w:rsidR="007F76E3" w:rsidRPr="003A4922">
              <w:rPr>
                <w:rFonts w:ascii="Arial" w:hAnsi="Arial"/>
                <w:i/>
                <w:iCs/>
                <w:color w:val="000000" w:themeColor="text1"/>
                <w:sz w:val="16"/>
                <w:szCs w:val="24"/>
              </w:rPr>
              <w:t>,</w:t>
            </w:r>
            <w:r w:rsidRPr="003A4922">
              <w:rPr>
                <w:rFonts w:ascii="Arial" w:hAnsi="Arial"/>
                <w:color w:val="000000" w:themeColor="text1"/>
                <w:sz w:val="16"/>
                <w:szCs w:val="24"/>
              </w:rPr>
              <w:t xml:space="preserve"> (2019); OSTI (2024) forecasting review</w:t>
            </w:r>
          </w:p>
        </w:tc>
      </w:tr>
      <w:tr w:rsidR="001207A1" w:rsidRPr="003A4922" w14:paraId="20807A2B" w14:textId="77777777" w:rsidTr="0036003E">
        <w:tc>
          <w:tcPr>
            <w:tcW w:w="2315" w:type="dxa"/>
            <w:tcMar>
              <w:top w:w="40" w:type="dxa"/>
              <w:left w:w="80" w:type="dxa"/>
              <w:bottom w:w="40" w:type="dxa"/>
              <w:right w:w="80" w:type="dxa"/>
            </w:tcMar>
          </w:tcPr>
          <w:p w14:paraId="5CB0655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Machine learning for decisions</w:t>
            </w:r>
          </w:p>
        </w:tc>
        <w:tc>
          <w:tcPr>
            <w:tcW w:w="3929" w:type="dxa"/>
            <w:tcMar>
              <w:top w:w="40" w:type="dxa"/>
              <w:left w:w="80" w:type="dxa"/>
              <w:bottom w:w="40" w:type="dxa"/>
              <w:right w:w="80" w:type="dxa"/>
            </w:tcMar>
          </w:tcPr>
          <w:p w14:paraId="762DE2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CNNs, deep learning, ensemble models, LSTM</w:t>
            </w:r>
          </w:p>
        </w:tc>
        <w:tc>
          <w:tcPr>
            <w:tcW w:w="3718" w:type="dxa"/>
            <w:tcMar>
              <w:top w:w="40" w:type="dxa"/>
              <w:left w:w="80" w:type="dxa"/>
              <w:bottom w:w="40" w:type="dxa"/>
              <w:right w:w="80" w:type="dxa"/>
            </w:tcMar>
          </w:tcPr>
          <w:p w14:paraId="595BEA4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Pest/disease detection, yield prediction, risk scoring</w:t>
            </w:r>
          </w:p>
        </w:tc>
        <w:tc>
          <w:tcPr>
            <w:tcW w:w="3718" w:type="dxa"/>
            <w:tcMar>
              <w:top w:w="40" w:type="dxa"/>
              <w:left w:w="80" w:type="dxa"/>
              <w:bottom w:w="40" w:type="dxa"/>
              <w:right w:w="80" w:type="dxa"/>
            </w:tcMar>
          </w:tcPr>
          <w:p w14:paraId="363814B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Cravero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(2026); Ejima (2025)</w:t>
            </w:r>
          </w:p>
        </w:tc>
      </w:tr>
      <w:tr w:rsidR="001207A1" w:rsidRPr="003A4922" w14:paraId="3969D270" w14:textId="77777777" w:rsidTr="0036003E">
        <w:tc>
          <w:tcPr>
            <w:tcW w:w="2315" w:type="dxa"/>
            <w:tcMar>
              <w:top w:w="40" w:type="dxa"/>
              <w:left w:w="80" w:type="dxa"/>
              <w:bottom w:w="40" w:type="dxa"/>
              <w:right w:w="80" w:type="dxa"/>
            </w:tcMar>
          </w:tcPr>
          <w:p w14:paraId="7BDB7F7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Management Information Systems (FMIS)</w:t>
            </w:r>
          </w:p>
        </w:tc>
        <w:tc>
          <w:tcPr>
            <w:tcW w:w="3929" w:type="dxa"/>
            <w:tcMar>
              <w:top w:w="40" w:type="dxa"/>
              <w:left w:w="80" w:type="dxa"/>
              <w:bottom w:w="40" w:type="dxa"/>
              <w:right w:w="80" w:type="dxa"/>
            </w:tcMar>
          </w:tcPr>
          <w:p w14:paraId="2EB6BD4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Cloud/edge platforms, database-driven record systems, APIs</w:t>
            </w:r>
          </w:p>
        </w:tc>
        <w:tc>
          <w:tcPr>
            <w:tcW w:w="3718" w:type="dxa"/>
            <w:tcMar>
              <w:top w:w="40" w:type="dxa"/>
              <w:left w:w="80" w:type="dxa"/>
              <w:bottom w:w="40" w:type="dxa"/>
              <w:right w:w="80" w:type="dxa"/>
            </w:tcMar>
          </w:tcPr>
          <w:p w14:paraId="3387D84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Operational planning, compliance, cost allocation</w:t>
            </w:r>
          </w:p>
        </w:tc>
        <w:tc>
          <w:tcPr>
            <w:tcW w:w="3718" w:type="dxa"/>
            <w:tcMar>
              <w:top w:w="40" w:type="dxa"/>
              <w:left w:w="80" w:type="dxa"/>
              <w:bottom w:w="40" w:type="dxa"/>
              <w:right w:w="80" w:type="dxa"/>
            </w:tcMar>
          </w:tcPr>
          <w:p w14:paraId="7D802DC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Fountas </w:t>
            </w:r>
            <w:r w:rsidRPr="003A4922">
              <w:rPr>
                <w:rFonts w:ascii="Arial" w:hAnsi="Arial"/>
                <w:i/>
                <w:iCs/>
                <w:color w:val="000000" w:themeColor="text1"/>
                <w:sz w:val="16"/>
                <w:szCs w:val="24"/>
              </w:rPr>
              <w:t>et al.</w:t>
            </w:r>
            <w:r w:rsidR="007F76E3" w:rsidRPr="003A4922">
              <w:rPr>
                <w:rFonts w:ascii="Arial" w:hAnsi="Arial"/>
                <w:color w:val="000000" w:themeColor="text1"/>
                <w:sz w:val="16"/>
                <w:szCs w:val="24"/>
              </w:rPr>
              <w:t>,</w:t>
            </w:r>
            <w:r w:rsidRPr="003A4922">
              <w:rPr>
                <w:rFonts w:ascii="Arial" w:hAnsi="Arial"/>
                <w:color w:val="000000" w:themeColor="text1"/>
                <w:sz w:val="16"/>
                <w:szCs w:val="24"/>
              </w:rPr>
              <w:t xml:space="preserve"> (2015); Carrer (2023); de Souza Filho </w:t>
            </w:r>
            <w:r w:rsidRPr="003A4922">
              <w:rPr>
                <w:rFonts w:ascii="Arial" w:hAnsi="Arial"/>
                <w:i/>
                <w:iCs/>
                <w:color w:val="000000" w:themeColor="text1"/>
                <w:sz w:val="16"/>
                <w:szCs w:val="24"/>
              </w:rPr>
              <w:t>et al.</w:t>
            </w:r>
            <w:r w:rsidR="007F76E3" w:rsidRPr="003A4922">
              <w:rPr>
                <w:rFonts w:ascii="Arial" w:hAnsi="Arial"/>
                <w:i/>
                <w:iCs/>
                <w:color w:val="000000" w:themeColor="text1"/>
                <w:sz w:val="16"/>
                <w:szCs w:val="24"/>
              </w:rPr>
              <w:t>,</w:t>
            </w:r>
            <w:r w:rsidRPr="003A4922">
              <w:rPr>
                <w:rFonts w:ascii="Arial" w:hAnsi="Arial"/>
                <w:color w:val="000000" w:themeColor="text1"/>
                <w:sz w:val="16"/>
                <w:szCs w:val="24"/>
              </w:rPr>
              <w:t xml:space="preserve"> (2025)</w:t>
            </w:r>
          </w:p>
        </w:tc>
      </w:tr>
      <w:tr w:rsidR="001207A1" w:rsidRPr="003A4922" w14:paraId="2F9BA080" w14:textId="77777777" w:rsidTr="0036003E">
        <w:tc>
          <w:tcPr>
            <w:tcW w:w="2315" w:type="dxa"/>
            <w:tcMar>
              <w:top w:w="40" w:type="dxa"/>
              <w:left w:w="80" w:type="dxa"/>
              <w:bottom w:w="40" w:type="dxa"/>
              <w:right w:w="80" w:type="dxa"/>
            </w:tcMar>
          </w:tcPr>
          <w:p w14:paraId="2BBAD8B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AI-enabled supply-chain analytics</w:t>
            </w:r>
          </w:p>
        </w:tc>
        <w:tc>
          <w:tcPr>
            <w:tcW w:w="3929" w:type="dxa"/>
            <w:tcMar>
              <w:top w:w="40" w:type="dxa"/>
              <w:left w:w="80" w:type="dxa"/>
              <w:bottom w:w="40" w:type="dxa"/>
              <w:right w:w="80" w:type="dxa"/>
            </w:tcMar>
          </w:tcPr>
          <w:p w14:paraId="3A19EAD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Blockchain traceability, demand forecasting, logistics optimization</w:t>
            </w:r>
          </w:p>
        </w:tc>
        <w:tc>
          <w:tcPr>
            <w:tcW w:w="3718" w:type="dxa"/>
            <w:tcMar>
              <w:top w:w="40" w:type="dxa"/>
              <w:left w:w="80" w:type="dxa"/>
              <w:bottom w:w="40" w:type="dxa"/>
              <w:right w:w="80" w:type="dxa"/>
            </w:tcMar>
          </w:tcPr>
          <w:p w14:paraId="0F53BAB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Procurement, logistics, price-risk management</w:t>
            </w:r>
          </w:p>
        </w:tc>
        <w:tc>
          <w:tcPr>
            <w:tcW w:w="3718" w:type="dxa"/>
            <w:tcMar>
              <w:top w:w="40" w:type="dxa"/>
              <w:left w:w="80" w:type="dxa"/>
              <w:bottom w:w="40" w:type="dxa"/>
              <w:right w:w="80" w:type="dxa"/>
            </w:tcMar>
          </w:tcPr>
          <w:p w14:paraId="1A2F9CB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Iris Publishers (2026) Ghana case; OSTI (2024)</w:t>
            </w:r>
          </w:p>
        </w:tc>
      </w:tr>
      <w:tr w:rsidR="001207A1" w:rsidRPr="003A4922" w14:paraId="2A5E0442" w14:textId="77777777" w:rsidTr="0036003E">
        <w:tc>
          <w:tcPr>
            <w:tcW w:w="2315" w:type="dxa"/>
            <w:tcMar>
              <w:top w:w="40" w:type="dxa"/>
              <w:left w:w="80" w:type="dxa"/>
              <w:bottom w:w="40" w:type="dxa"/>
              <w:right w:w="80" w:type="dxa"/>
            </w:tcMar>
          </w:tcPr>
          <w:p w14:paraId="006912B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Climate-risk prediction &amp; adaptation</w:t>
            </w:r>
          </w:p>
        </w:tc>
        <w:tc>
          <w:tcPr>
            <w:tcW w:w="3929" w:type="dxa"/>
            <w:tcMar>
              <w:top w:w="40" w:type="dxa"/>
              <w:left w:w="80" w:type="dxa"/>
              <w:bottom w:w="40" w:type="dxa"/>
              <w:right w:w="80" w:type="dxa"/>
            </w:tcMar>
          </w:tcPr>
          <w:p w14:paraId="59FEA8A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 climate models, satellite-based early warning</w:t>
            </w:r>
          </w:p>
        </w:tc>
        <w:tc>
          <w:tcPr>
            <w:tcW w:w="3718" w:type="dxa"/>
            <w:tcMar>
              <w:top w:w="40" w:type="dxa"/>
              <w:left w:w="80" w:type="dxa"/>
              <w:bottom w:w="40" w:type="dxa"/>
              <w:right w:w="80" w:type="dxa"/>
            </w:tcMar>
          </w:tcPr>
          <w:p w14:paraId="1998E9C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Disaster preparedness, insurance underwriting, planting windows</w:t>
            </w:r>
          </w:p>
        </w:tc>
        <w:tc>
          <w:tcPr>
            <w:tcW w:w="3718" w:type="dxa"/>
            <w:tcMar>
              <w:top w:w="40" w:type="dxa"/>
              <w:left w:w="80" w:type="dxa"/>
              <w:bottom w:w="40" w:type="dxa"/>
              <w:right w:w="80" w:type="dxa"/>
            </w:tcMar>
          </w:tcPr>
          <w:p w14:paraId="1A4D8117"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xml:space="preserve"> (2025) crop-management SLR; climate.ai (2025)</w:t>
            </w:r>
          </w:p>
        </w:tc>
      </w:tr>
      <w:tr w:rsidR="001207A1" w:rsidRPr="003A4922" w14:paraId="01D8D74B" w14:textId="77777777" w:rsidTr="0036003E">
        <w:tc>
          <w:tcPr>
            <w:tcW w:w="2315" w:type="dxa"/>
            <w:tcMar>
              <w:top w:w="40" w:type="dxa"/>
              <w:left w:w="80" w:type="dxa"/>
              <w:bottom w:w="40" w:type="dxa"/>
              <w:right w:w="80" w:type="dxa"/>
            </w:tcMar>
          </w:tcPr>
          <w:p w14:paraId="73D6149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Sustainability &amp; ESG analytics</w:t>
            </w:r>
          </w:p>
        </w:tc>
        <w:tc>
          <w:tcPr>
            <w:tcW w:w="3929" w:type="dxa"/>
            <w:tcMar>
              <w:top w:w="40" w:type="dxa"/>
              <w:left w:w="80" w:type="dxa"/>
              <w:bottom w:w="40" w:type="dxa"/>
              <w:right w:w="80" w:type="dxa"/>
            </w:tcMar>
          </w:tcPr>
          <w:p w14:paraId="76E0E30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Carbon-footprint calculators, IPCC-aligned reporting dashboards</w:t>
            </w:r>
          </w:p>
        </w:tc>
        <w:tc>
          <w:tcPr>
            <w:tcW w:w="3718" w:type="dxa"/>
            <w:tcMar>
              <w:top w:w="40" w:type="dxa"/>
              <w:left w:w="80" w:type="dxa"/>
              <w:bottom w:w="40" w:type="dxa"/>
              <w:right w:w="80" w:type="dxa"/>
            </w:tcMar>
          </w:tcPr>
          <w:p w14:paraId="2C72A59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Regulatory compliance, investor reporting, resource stewardship</w:t>
            </w:r>
          </w:p>
        </w:tc>
        <w:tc>
          <w:tcPr>
            <w:tcW w:w="3718" w:type="dxa"/>
            <w:tcMar>
              <w:top w:w="40" w:type="dxa"/>
              <w:left w:w="80" w:type="dxa"/>
              <w:bottom w:w="40" w:type="dxa"/>
              <w:right w:w="80" w:type="dxa"/>
            </w:tcMar>
          </w:tcPr>
          <w:p w14:paraId="45484DAE"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Farmonaut</w:t>
            </w:r>
            <w:proofErr w:type="spellEnd"/>
            <w:r w:rsidRPr="003A4922">
              <w:rPr>
                <w:rFonts w:ascii="Arial" w:hAnsi="Arial"/>
                <w:color w:val="000000" w:themeColor="text1"/>
                <w:sz w:val="16"/>
                <w:szCs w:val="24"/>
              </w:rPr>
              <w:t xml:space="preserve"> (2026); Agribusiness Academy (2025)</w:t>
            </w:r>
          </w:p>
        </w:tc>
      </w:tr>
      <w:tr w:rsidR="001207A1" w:rsidRPr="003A4922" w14:paraId="1F6C70E4" w14:textId="77777777" w:rsidTr="0036003E">
        <w:tc>
          <w:tcPr>
            <w:tcW w:w="2315" w:type="dxa"/>
            <w:tcMar>
              <w:top w:w="40" w:type="dxa"/>
              <w:left w:w="80" w:type="dxa"/>
              <w:bottom w:w="40" w:type="dxa"/>
              <w:right w:w="80" w:type="dxa"/>
            </w:tcMar>
          </w:tcPr>
          <w:p w14:paraId="76C80BD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privacy &amp; cybersecurity</w:t>
            </w:r>
          </w:p>
        </w:tc>
        <w:tc>
          <w:tcPr>
            <w:tcW w:w="3929" w:type="dxa"/>
            <w:tcMar>
              <w:top w:w="40" w:type="dxa"/>
              <w:left w:w="80" w:type="dxa"/>
              <w:bottom w:w="40" w:type="dxa"/>
              <w:right w:w="80" w:type="dxa"/>
            </w:tcMar>
          </w:tcPr>
          <w:p w14:paraId="737C49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Federated learning, encryption, access-control frameworks</w:t>
            </w:r>
          </w:p>
        </w:tc>
        <w:tc>
          <w:tcPr>
            <w:tcW w:w="3718" w:type="dxa"/>
            <w:tcMar>
              <w:top w:w="40" w:type="dxa"/>
              <w:left w:w="80" w:type="dxa"/>
              <w:bottom w:w="40" w:type="dxa"/>
              <w:right w:w="80" w:type="dxa"/>
            </w:tcMar>
          </w:tcPr>
          <w:p w14:paraId="022140D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Risk mitigation, trust-building, regulatory compliance</w:t>
            </w:r>
          </w:p>
        </w:tc>
        <w:tc>
          <w:tcPr>
            <w:tcW w:w="3718" w:type="dxa"/>
            <w:tcMar>
              <w:top w:w="40" w:type="dxa"/>
              <w:left w:w="80" w:type="dxa"/>
              <w:bottom w:w="40" w:type="dxa"/>
              <w:right w:w="80" w:type="dxa"/>
            </w:tcMar>
          </w:tcPr>
          <w:p w14:paraId="50C1371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Ruder &amp; Wittman (2025); Data governance SLR (2025)</w:t>
            </w:r>
          </w:p>
        </w:tc>
      </w:tr>
      <w:tr w:rsidR="001207A1" w:rsidRPr="003A4922" w14:paraId="5FE037DD" w14:textId="77777777" w:rsidTr="0036003E">
        <w:tc>
          <w:tcPr>
            <w:tcW w:w="2315" w:type="dxa"/>
            <w:tcMar>
              <w:top w:w="40" w:type="dxa"/>
              <w:left w:w="80" w:type="dxa"/>
              <w:bottom w:w="40" w:type="dxa"/>
              <w:right w:w="80" w:type="dxa"/>
            </w:tcMar>
          </w:tcPr>
          <w:p w14:paraId="1E33900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3929" w:type="dxa"/>
            <w:tcMar>
              <w:top w:w="40" w:type="dxa"/>
              <w:left w:w="80" w:type="dxa"/>
              <w:bottom w:w="40" w:type="dxa"/>
              <w:right w:w="80" w:type="dxa"/>
            </w:tcMar>
          </w:tcPr>
          <w:p w14:paraId="3B2935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Mobile advisory platforms, rural connectivity programs</w:t>
            </w:r>
          </w:p>
        </w:tc>
        <w:tc>
          <w:tcPr>
            <w:tcW w:w="3718" w:type="dxa"/>
            <w:tcMar>
              <w:top w:w="40" w:type="dxa"/>
              <w:left w:w="80" w:type="dxa"/>
              <w:bottom w:w="40" w:type="dxa"/>
              <w:right w:w="80" w:type="dxa"/>
            </w:tcMar>
          </w:tcPr>
          <w:p w14:paraId="36E4619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Extension delivery, financial inclusion, market access</w:t>
            </w:r>
          </w:p>
        </w:tc>
        <w:tc>
          <w:tcPr>
            <w:tcW w:w="3718" w:type="dxa"/>
            <w:tcMar>
              <w:top w:w="40" w:type="dxa"/>
              <w:left w:w="80" w:type="dxa"/>
              <w:bottom w:w="40" w:type="dxa"/>
              <w:right w:w="80" w:type="dxa"/>
            </w:tcMar>
          </w:tcPr>
          <w:p w14:paraId="728127C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Frontiers (2025) South Africa; PMC (2023) Ghana</w:t>
            </w:r>
          </w:p>
        </w:tc>
      </w:tr>
      <w:tr w:rsidR="001207A1" w:rsidRPr="003A4922" w14:paraId="78627FB1" w14:textId="77777777" w:rsidTr="0036003E">
        <w:tc>
          <w:tcPr>
            <w:tcW w:w="2315" w:type="dxa"/>
            <w:tcMar>
              <w:top w:w="40" w:type="dxa"/>
              <w:left w:w="80" w:type="dxa"/>
              <w:bottom w:w="40" w:type="dxa"/>
              <w:right w:w="80" w:type="dxa"/>
            </w:tcMar>
          </w:tcPr>
          <w:p w14:paraId="37CBFE1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 &amp; waste optimization</w:t>
            </w:r>
          </w:p>
        </w:tc>
        <w:tc>
          <w:tcPr>
            <w:tcW w:w="3929" w:type="dxa"/>
            <w:tcMar>
              <w:top w:w="40" w:type="dxa"/>
              <w:left w:w="80" w:type="dxa"/>
              <w:bottom w:w="40" w:type="dxa"/>
              <w:right w:w="80" w:type="dxa"/>
            </w:tcMar>
          </w:tcPr>
          <w:p w14:paraId="27DE916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AI-driven waste-flow forecasting, anaerobic digestion, pyrolysis</w:t>
            </w:r>
          </w:p>
        </w:tc>
        <w:tc>
          <w:tcPr>
            <w:tcW w:w="3718" w:type="dxa"/>
            <w:tcMar>
              <w:top w:w="40" w:type="dxa"/>
              <w:left w:w="80" w:type="dxa"/>
              <w:bottom w:w="40" w:type="dxa"/>
              <w:right w:w="80" w:type="dxa"/>
            </w:tcMar>
          </w:tcPr>
          <w:p w14:paraId="207D750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Resource recovery, byproduct valorization, emissions reduction</w:t>
            </w:r>
          </w:p>
        </w:tc>
        <w:tc>
          <w:tcPr>
            <w:tcW w:w="3718" w:type="dxa"/>
            <w:tcMar>
              <w:top w:w="40" w:type="dxa"/>
              <w:left w:w="80" w:type="dxa"/>
              <w:bottom w:w="40" w:type="dxa"/>
              <w:right w:w="80" w:type="dxa"/>
            </w:tcMar>
          </w:tcPr>
          <w:p w14:paraId="07FFB8D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Digital agri-food waste review, Resources (2025); </w:t>
            </w:r>
            <w:proofErr w:type="spellStart"/>
            <w:r w:rsidRPr="003A4922">
              <w:rPr>
                <w:rFonts w:ascii="Arial" w:hAnsi="Arial"/>
                <w:color w:val="000000" w:themeColor="text1"/>
                <w:sz w:val="16"/>
                <w:szCs w:val="24"/>
              </w:rPr>
              <w:t>Pienwisetkaew</w:t>
            </w:r>
            <w:proofErr w:type="spellEnd"/>
            <w:r w:rsidRPr="003A4922">
              <w:rPr>
                <w:rFonts w:ascii="Arial" w:hAnsi="Arial"/>
                <w:color w:val="000000" w:themeColor="text1"/>
                <w:sz w:val="16"/>
                <w:szCs w:val="24"/>
              </w:rPr>
              <w:t xml:space="preserve"> et al. (2023)</w:t>
            </w:r>
          </w:p>
        </w:tc>
      </w:tr>
    </w:tbl>
    <w:p w14:paraId="75C9B1F8" w14:textId="77777777" w:rsidR="00D67B6C" w:rsidRPr="003A4922" w:rsidRDefault="00D67B6C">
      <w:pPr>
        <w:sectPr w:rsidR="00D67B6C" w:rsidRPr="003A4922" w:rsidSect="00944DF7">
          <w:headerReference w:type="even" r:id="rId24"/>
          <w:headerReference w:type="default" r:id="rId25"/>
          <w:footerReference w:type="default" r:id="rId26"/>
          <w:headerReference w:type="first" r:id="rId27"/>
          <w:type w:val="continuous"/>
          <w:pgSz w:w="15840" w:h="12240" w:orient="landscape"/>
          <w:pgMar w:top="864" w:right="1080" w:bottom="864" w:left="1080" w:header="432" w:footer="432" w:gutter="0"/>
          <w:cols w:space="720"/>
          <w:docGrid w:linePitch="360"/>
        </w:sectPr>
      </w:pPr>
    </w:p>
    <w:p w14:paraId="55BD5CEC" w14:textId="77777777" w:rsidR="0036003E" w:rsidRPr="003A4922" w:rsidRDefault="0036003E" w:rsidP="00965274">
      <w:pPr>
        <w:spacing w:after="200"/>
        <w:jc w:val="both"/>
        <w:rPr>
          <w:color w:val="000000" w:themeColor="text1"/>
          <w:sz w:val="24"/>
          <w:szCs w:val="24"/>
        </w:rPr>
      </w:pPr>
    </w:p>
    <w:p w14:paraId="5CA29DE1" w14:textId="55541EE8" w:rsidR="00DB769D" w:rsidRPr="003A4922" w:rsidRDefault="00B32603" w:rsidP="00965274">
      <w:pPr>
        <w:spacing w:after="200"/>
        <w:jc w:val="both"/>
        <w:rPr>
          <w:color w:val="000000" w:themeColor="text1"/>
          <w:sz w:val="24"/>
          <w:szCs w:val="24"/>
        </w:rPr>
        <w:sectPr w:rsidR="00DB769D" w:rsidRPr="003A4922" w:rsidSect="00944DF7">
          <w:headerReference w:type="even" r:id="rId28"/>
          <w:headerReference w:type="default" r:id="rId29"/>
          <w:footerReference w:type="default" r:id="rId30"/>
          <w:headerReference w:type="first" r:id="rId31"/>
          <w:type w:val="continuous"/>
          <w:pgSz w:w="12240" w:h="15840"/>
          <w:pgMar w:top="1440" w:right="2016" w:bottom="2016" w:left="2016" w:header="708" w:footer="708" w:gutter="0"/>
          <w:cols w:space="720"/>
          <w:docGrid w:linePitch="360"/>
        </w:sectPr>
      </w:pPr>
      <w:r w:rsidRPr="003A4922">
        <w:rPr>
          <w:rFonts w:ascii="Arial" w:hAnsi="Arial"/>
          <w:color w:val="000000"/>
          <w:szCs w:val="24"/>
        </w:rPr>
        <w:t>Table 3 expands the barrier taxonomy introduced conceptually in Figure 2 into a comprehensive, source-linked taxonomy spanning technical, organizational, and governance/legal domains. Read together with Table 1's search matrix, the taxonomy shows that the empirical literature on technical barriers (interoperability, latency, legacy-system incompatibility) is the most mature, while governance and legal barriers, data ownership, vendor lock-in, and the absence of an agriculture-specific regulatory body for data protection, are comparatively newer but increasingly dominant in the post-2023 literature. This pattern is consistent with a field in which the underlying sensing and connectivity technology has matured faster than the institutional arrangements needed to govern it.</w:t>
      </w:r>
    </w:p>
    <w:p w14:paraId="658F99E7" w14:textId="77777777" w:rsidR="0036003E" w:rsidRPr="003A4922" w:rsidRDefault="0036003E" w:rsidP="00965274">
      <w:pPr>
        <w:spacing w:before="120" w:after="300"/>
        <w:rPr>
          <w:color w:val="000000" w:themeColor="text1"/>
          <w:sz w:val="24"/>
          <w:szCs w:val="24"/>
        </w:rPr>
      </w:pPr>
      <w:r w:rsidRPr="003A4922">
        <w:rPr>
          <w:rFonts w:ascii="Arial" w:hAnsi="Arial"/>
          <w:b/>
          <w:color w:val="000000"/>
          <w:szCs w:val="24"/>
        </w:rPr>
        <w:lastRenderedPageBreak/>
        <w:t>Table 3. Comprehensive taxonomy of integration barriers in agribusiness information systems, by domain, mechanism, and source.</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500"/>
        <w:gridCol w:w="1320"/>
        <w:gridCol w:w="7730"/>
        <w:gridCol w:w="3130"/>
      </w:tblGrid>
      <w:tr w:rsidR="001207A1" w:rsidRPr="003A4922" w14:paraId="71D545BB" w14:textId="77777777" w:rsidTr="0036003E">
        <w:trPr>
          <w:tblHeader/>
        </w:trPr>
        <w:tc>
          <w:tcPr>
            <w:tcW w:w="1500" w:type="dxa"/>
            <w:tcBorders>
              <w:bottom w:val="single" w:sz="6" w:space="0" w:color="auto"/>
            </w:tcBorders>
            <w:tcMar>
              <w:top w:w="40" w:type="dxa"/>
              <w:left w:w="80" w:type="dxa"/>
              <w:bottom w:w="40" w:type="dxa"/>
              <w:right w:w="80" w:type="dxa"/>
            </w:tcMar>
          </w:tcPr>
          <w:p w14:paraId="5110129A"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Domain</w:t>
            </w:r>
          </w:p>
        </w:tc>
        <w:tc>
          <w:tcPr>
            <w:tcW w:w="1320" w:type="dxa"/>
            <w:tcBorders>
              <w:bottom w:val="single" w:sz="6" w:space="0" w:color="auto"/>
            </w:tcBorders>
            <w:tcMar>
              <w:top w:w="40" w:type="dxa"/>
              <w:left w:w="80" w:type="dxa"/>
              <w:bottom w:w="40" w:type="dxa"/>
              <w:right w:w="80" w:type="dxa"/>
            </w:tcMar>
          </w:tcPr>
          <w:p w14:paraId="70A6760F"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Barrier</w:t>
            </w:r>
          </w:p>
        </w:tc>
        <w:tc>
          <w:tcPr>
            <w:tcW w:w="7730" w:type="dxa"/>
            <w:tcBorders>
              <w:bottom w:val="single" w:sz="6" w:space="0" w:color="auto"/>
            </w:tcBorders>
            <w:tcMar>
              <w:top w:w="40" w:type="dxa"/>
              <w:left w:w="80" w:type="dxa"/>
              <w:bottom w:w="40" w:type="dxa"/>
              <w:right w:w="80" w:type="dxa"/>
            </w:tcMar>
          </w:tcPr>
          <w:p w14:paraId="3D0C0EAB"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Mechanism</w:t>
            </w:r>
          </w:p>
        </w:tc>
        <w:tc>
          <w:tcPr>
            <w:tcW w:w="3130" w:type="dxa"/>
            <w:tcBorders>
              <w:bottom w:val="single" w:sz="6" w:space="0" w:color="auto"/>
            </w:tcBorders>
            <w:tcMar>
              <w:top w:w="40" w:type="dxa"/>
              <w:left w:w="80" w:type="dxa"/>
              <w:bottom w:w="40" w:type="dxa"/>
              <w:right w:w="80" w:type="dxa"/>
            </w:tcMar>
          </w:tcPr>
          <w:p w14:paraId="129B7B48"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Empirical Source</w:t>
            </w:r>
          </w:p>
        </w:tc>
      </w:tr>
      <w:tr w:rsidR="001207A1" w:rsidRPr="003A4922" w14:paraId="05B71CD8" w14:textId="77777777" w:rsidTr="0036003E">
        <w:tc>
          <w:tcPr>
            <w:tcW w:w="1500" w:type="dxa"/>
            <w:tcMar>
              <w:top w:w="40" w:type="dxa"/>
              <w:left w:w="80" w:type="dxa"/>
              <w:bottom w:w="40" w:type="dxa"/>
              <w:right w:w="80" w:type="dxa"/>
            </w:tcMar>
          </w:tcPr>
          <w:p w14:paraId="1DE1093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5D2AC38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Interoperability deficits</w:t>
            </w:r>
          </w:p>
        </w:tc>
        <w:tc>
          <w:tcPr>
            <w:tcW w:w="7730" w:type="dxa"/>
            <w:tcMar>
              <w:top w:w="40" w:type="dxa"/>
              <w:left w:w="80" w:type="dxa"/>
              <w:bottom w:w="40" w:type="dxa"/>
              <w:right w:w="80" w:type="dxa"/>
            </w:tcMar>
          </w:tcPr>
          <w:p w14:paraId="4C9B7E9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Proprietary data formats and closed APIs prevent FMIS, machinery telematics, and third-party analytics from exchanging data without manual re-entry or costly middleware</w:t>
            </w:r>
          </w:p>
        </w:tc>
        <w:tc>
          <w:tcPr>
            <w:tcW w:w="3130" w:type="dxa"/>
            <w:tcMar>
              <w:top w:w="40" w:type="dxa"/>
              <w:left w:w="80" w:type="dxa"/>
              <w:bottom w:w="40" w:type="dxa"/>
              <w:right w:w="80" w:type="dxa"/>
            </w:tcMar>
          </w:tcPr>
          <w:p w14:paraId="04532B7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CEMA (2020); AgGateway ADAPT documentation, PrecisionAg (2019)</w:t>
            </w:r>
          </w:p>
        </w:tc>
      </w:tr>
      <w:tr w:rsidR="001207A1" w:rsidRPr="003A4922" w14:paraId="192EBE24" w14:textId="77777777" w:rsidTr="0036003E">
        <w:tc>
          <w:tcPr>
            <w:tcW w:w="1500" w:type="dxa"/>
            <w:tcMar>
              <w:top w:w="40" w:type="dxa"/>
              <w:left w:w="80" w:type="dxa"/>
              <w:bottom w:w="40" w:type="dxa"/>
              <w:right w:w="80" w:type="dxa"/>
            </w:tcMar>
          </w:tcPr>
          <w:p w14:paraId="5CDA4F2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3E1C60D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Latency and connectivity constraints</w:t>
            </w:r>
          </w:p>
        </w:tc>
        <w:tc>
          <w:tcPr>
            <w:tcW w:w="7730" w:type="dxa"/>
            <w:tcMar>
              <w:top w:w="40" w:type="dxa"/>
              <w:left w:w="80" w:type="dxa"/>
              <w:bottom w:w="40" w:type="dxa"/>
              <w:right w:w="80" w:type="dxa"/>
            </w:tcMar>
          </w:tcPr>
          <w:p w14:paraId="61BBFCB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Cloud-dependent architectures fail in bandwidth-limited rural settings, delaying time-sensitive decisions (irrigation, spraying) beyond their actionable window</w:t>
            </w:r>
          </w:p>
        </w:tc>
        <w:tc>
          <w:tcPr>
            <w:tcW w:w="3130" w:type="dxa"/>
            <w:tcMar>
              <w:top w:w="40" w:type="dxa"/>
              <w:left w:w="80" w:type="dxa"/>
              <w:bottom w:w="40" w:type="dxa"/>
              <w:right w:w="80" w:type="dxa"/>
            </w:tcMar>
          </w:tcPr>
          <w:p w14:paraId="03DB8FF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 Computing review, ScienceDirect (2025); Srivastav &amp; Das (2025)</w:t>
            </w:r>
          </w:p>
        </w:tc>
      </w:tr>
      <w:tr w:rsidR="001207A1" w:rsidRPr="003A4922" w14:paraId="51D5F942" w14:textId="77777777" w:rsidTr="0036003E">
        <w:tc>
          <w:tcPr>
            <w:tcW w:w="1500" w:type="dxa"/>
            <w:tcMar>
              <w:top w:w="40" w:type="dxa"/>
              <w:left w:w="80" w:type="dxa"/>
              <w:bottom w:w="40" w:type="dxa"/>
              <w:right w:w="80" w:type="dxa"/>
            </w:tcMar>
          </w:tcPr>
          <w:p w14:paraId="3141228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2AD6586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Legacy system incompatibility</w:t>
            </w:r>
          </w:p>
        </w:tc>
        <w:tc>
          <w:tcPr>
            <w:tcW w:w="7730" w:type="dxa"/>
            <w:tcMar>
              <w:top w:w="40" w:type="dxa"/>
              <w:left w:w="80" w:type="dxa"/>
              <w:bottom w:w="40" w:type="dxa"/>
              <w:right w:w="80" w:type="dxa"/>
            </w:tcMar>
          </w:tcPr>
          <w:p w14:paraId="7C0A4C9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Older FMIS and ERP deployments lack modern API layers, forcing point-to-point integrations that do not scale across a vendor ecosystem</w:t>
            </w:r>
          </w:p>
        </w:tc>
        <w:tc>
          <w:tcPr>
            <w:tcW w:w="3130" w:type="dxa"/>
            <w:tcMar>
              <w:top w:w="40" w:type="dxa"/>
              <w:left w:w="80" w:type="dxa"/>
              <w:bottom w:w="40" w:type="dxa"/>
              <w:right w:w="80" w:type="dxa"/>
            </w:tcMar>
          </w:tcPr>
          <w:p w14:paraId="32285F1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Agricultural Data Management Platform Market Outlook (2025)</w:t>
            </w:r>
          </w:p>
        </w:tc>
      </w:tr>
      <w:tr w:rsidR="001207A1" w:rsidRPr="003A4922" w14:paraId="7290281D" w14:textId="77777777" w:rsidTr="0036003E">
        <w:tc>
          <w:tcPr>
            <w:tcW w:w="1500" w:type="dxa"/>
            <w:tcMar>
              <w:top w:w="40" w:type="dxa"/>
              <w:left w:w="80" w:type="dxa"/>
              <w:bottom w:w="40" w:type="dxa"/>
              <w:right w:w="80" w:type="dxa"/>
            </w:tcMar>
          </w:tcPr>
          <w:p w14:paraId="18C8406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555A963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literacy gaps</w:t>
            </w:r>
          </w:p>
        </w:tc>
        <w:tc>
          <w:tcPr>
            <w:tcW w:w="7730" w:type="dxa"/>
            <w:tcMar>
              <w:top w:w="40" w:type="dxa"/>
              <w:left w:w="80" w:type="dxa"/>
              <w:bottom w:w="40" w:type="dxa"/>
              <w:right w:w="80" w:type="dxa"/>
            </w:tcMar>
          </w:tcPr>
          <w:p w14:paraId="0F409E2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managers and field staff lack the skills to interpret probabilistic model outputs or configure interoperability settings, reducing effective use even where systems are technically integrated</w:t>
            </w:r>
          </w:p>
        </w:tc>
        <w:tc>
          <w:tcPr>
            <w:tcW w:w="3130" w:type="dxa"/>
            <w:tcMar>
              <w:top w:w="40" w:type="dxa"/>
              <w:left w:w="80" w:type="dxa"/>
              <w:bottom w:w="40" w:type="dxa"/>
              <w:right w:w="80" w:type="dxa"/>
            </w:tcMar>
          </w:tcPr>
          <w:p w14:paraId="3D013662"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Bontsa</w:t>
            </w:r>
            <w:proofErr w:type="spellEnd"/>
            <w:r w:rsidRPr="003A4922">
              <w:rPr>
                <w:rFonts w:ascii="Arial" w:hAnsi="Arial"/>
                <w:color w:val="000000" w:themeColor="text1"/>
                <w:sz w:val="16"/>
                <w:szCs w:val="24"/>
              </w:rPr>
              <w:t xml:space="preserve"> </w:t>
            </w:r>
            <w:r w:rsidRPr="003A4922">
              <w:rPr>
                <w:rFonts w:ascii="Arial" w:hAnsi="Arial"/>
                <w:i/>
                <w:iCs/>
                <w:color w:val="000000" w:themeColor="text1"/>
                <w:sz w:val="16"/>
                <w:szCs w:val="24"/>
              </w:rPr>
              <w:t>et al</w:t>
            </w:r>
            <w:r w:rsidRPr="003A4922">
              <w:rPr>
                <w:rFonts w:ascii="Arial" w:hAnsi="Arial"/>
                <w:color w:val="000000" w:themeColor="text1"/>
                <w:sz w:val="16"/>
                <w:szCs w:val="24"/>
              </w:rPr>
              <w:t>. (2023); Frontiers, South Africa (2025)</w:t>
            </w:r>
          </w:p>
        </w:tc>
      </w:tr>
      <w:tr w:rsidR="001207A1" w:rsidRPr="003A4922" w14:paraId="587A1EFA" w14:textId="77777777" w:rsidTr="0036003E">
        <w:tc>
          <w:tcPr>
            <w:tcW w:w="1500" w:type="dxa"/>
            <w:tcMar>
              <w:top w:w="40" w:type="dxa"/>
              <w:left w:w="80" w:type="dxa"/>
              <w:bottom w:w="40" w:type="dxa"/>
              <w:right w:w="80" w:type="dxa"/>
            </w:tcMar>
          </w:tcPr>
          <w:p w14:paraId="1F5FCA9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38EAAAB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ROI uncertainty</w:t>
            </w:r>
          </w:p>
        </w:tc>
        <w:tc>
          <w:tcPr>
            <w:tcW w:w="7730" w:type="dxa"/>
            <w:tcMar>
              <w:top w:w="40" w:type="dxa"/>
              <w:left w:w="80" w:type="dxa"/>
              <w:bottom w:w="40" w:type="dxa"/>
              <w:right w:w="80" w:type="dxa"/>
            </w:tcMar>
          </w:tcPr>
          <w:p w14:paraId="1DA2FA8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Absence of standardized measurement for information-system payback discourages capital investment, particularly among small and mid-sized agribusinesses</w:t>
            </w:r>
          </w:p>
        </w:tc>
        <w:tc>
          <w:tcPr>
            <w:tcW w:w="3130" w:type="dxa"/>
            <w:tcMar>
              <w:top w:w="40" w:type="dxa"/>
              <w:left w:w="80" w:type="dxa"/>
              <w:bottom w:w="40" w:type="dxa"/>
              <w:right w:w="80" w:type="dxa"/>
            </w:tcMar>
          </w:tcPr>
          <w:p w14:paraId="1070F52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Agriculture Management Strategies review, </w:t>
            </w:r>
            <w:proofErr w:type="spellStart"/>
            <w:r w:rsidRPr="003A4922">
              <w:rPr>
                <w:rFonts w:ascii="Arial" w:hAnsi="Arial"/>
                <w:color w:val="000000" w:themeColor="text1"/>
                <w:sz w:val="16"/>
                <w:szCs w:val="24"/>
              </w:rPr>
              <w:t>FarmERP</w:t>
            </w:r>
            <w:proofErr w:type="spellEnd"/>
            <w:r w:rsidRPr="003A4922">
              <w:rPr>
                <w:rFonts w:ascii="Arial" w:hAnsi="Arial"/>
                <w:color w:val="000000" w:themeColor="text1"/>
                <w:sz w:val="16"/>
                <w:szCs w:val="24"/>
              </w:rPr>
              <w:t xml:space="preserve"> (2024)</w:t>
            </w:r>
          </w:p>
        </w:tc>
      </w:tr>
      <w:tr w:rsidR="001207A1" w:rsidRPr="003A4922" w14:paraId="5A79A1E8" w14:textId="77777777" w:rsidTr="0036003E">
        <w:tc>
          <w:tcPr>
            <w:tcW w:w="1500" w:type="dxa"/>
            <w:tcMar>
              <w:top w:w="40" w:type="dxa"/>
              <w:left w:w="80" w:type="dxa"/>
              <w:bottom w:w="40" w:type="dxa"/>
              <w:right w:w="80" w:type="dxa"/>
            </w:tcMar>
          </w:tcPr>
          <w:p w14:paraId="60034B0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79629FE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Weak agronomic–IT alignment</w:t>
            </w:r>
          </w:p>
        </w:tc>
        <w:tc>
          <w:tcPr>
            <w:tcW w:w="7730" w:type="dxa"/>
            <w:tcMar>
              <w:top w:w="40" w:type="dxa"/>
              <w:left w:w="80" w:type="dxa"/>
              <w:bottom w:w="40" w:type="dxa"/>
              <w:right w:w="80" w:type="dxa"/>
            </w:tcMar>
          </w:tcPr>
          <w:p w14:paraId="579CBED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Analytics and IT functions are organizationally separated from agronomic decision-making, so model outputs are not embedded in existing workflows</w:t>
            </w:r>
          </w:p>
        </w:tc>
        <w:tc>
          <w:tcPr>
            <w:tcW w:w="3130" w:type="dxa"/>
            <w:tcMar>
              <w:top w:w="40" w:type="dxa"/>
              <w:left w:w="80" w:type="dxa"/>
              <w:bottom w:w="40" w:type="dxa"/>
              <w:right w:w="80" w:type="dxa"/>
            </w:tcMar>
          </w:tcPr>
          <w:p w14:paraId="33518C2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Challenges and Solution Directions for IS Integration, PMC (2025)</w:t>
            </w:r>
          </w:p>
        </w:tc>
      </w:tr>
      <w:tr w:rsidR="001207A1" w:rsidRPr="003A4922" w14:paraId="05C55EAA" w14:textId="77777777" w:rsidTr="0036003E">
        <w:tc>
          <w:tcPr>
            <w:tcW w:w="1500" w:type="dxa"/>
            <w:tcMar>
              <w:top w:w="40" w:type="dxa"/>
              <w:left w:w="80" w:type="dxa"/>
              <w:bottom w:w="40" w:type="dxa"/>
              <w:right w:w="80" w:type="dxa"/>
            </w:tcMar>
          </w:tcPr>
          <w:p w14:paraId="07452BE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03B228F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ownership ambiguity</w:t>
            </w:r>
          </w:p>
        </w:tc>
        <w:tc>
          <w:tcPr>
            <w:tcW w:w="7730" w:type="dxa"/>
            <w:tcMar>
              <w:top w:w="40" w:type="dxa"/>
              <w:left w:w="80" w:type="dxa"/>
              <w:bottom w:w="40" w:type="dxa"/>
              <w:right w:w="80" w:type="dxa"/>
            </w:tcMar>
          </w:tcPr>
          <w:p w14:paraId="64DA62B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Unclear contractual terms leave farmers uncertain whether data generated on their operation can be resold, aggregated, or used to their competitive disadvantage</w:t>
            </w:r>
          </w:p>
        </w:tc>
        <w:tc>
          <w:tcPr>
            <w:tcW w:w="3130" w:type="dxa"/>
            <w:tcMar>
              <w:top w:w="40" w:type="dxa"/>
              <w:left w:w="80" w:type="dxa"/>
              <w:bottom w:w="40" w:type="dxa"/>
              <w:right w:w="80" w:type="dxa"/>
            </w:tcMar>
          </w:tcPr>
          <w:p w14:paraId="290A28A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Ruder &amp; Wittman (2025); </w:t>
            </w:r>
            <w:proofErr w:type="spellStart"/>
            <w:r w:rsidRPr="003A4922">
              <w:rPr>
                <w:rFonts w:ascii="Arial" w:hAnsi="Arial"/>
                <w:color w:val="000000" w:themeColor="text1"/>
                <w:sz w:val="16"/>
                <w:szCs w:val="24"/>
              </w:rPr>
              <w:t>Sykuta</w:t>
            </w:r>
            <w:proofErr w:type="spellEnd"/>
            <w:r w:rsidRPr="003A4922">
              <w:rPr>
                <w:rFonts w:ascii="Arial" w:hAnsi="Arial"/>
                <w:color w:val="000000" w:themeColor="text1"/>
                <w:sz w:val="16"/>
                <w:szCs w:val="24"/>
              </w:rPr>
              <w:t xml:space="preserve"> (2016)</w:t>
            </w:r>
          </w:p>
        </w:tc>
      </w:tr>
      <w:tr w:rsidR="001207A1" w:rsidRPr="003A4922" w14:paraId="7A254F31" w14:textId="77777777" w:rsidTr="00A16A7E">
        <w:tc>
          <w:tcPr>
            <w:tcW w:w="1500" w:type="dxa"/>
            <w:tcMar>
              <w:top w:w="40" w:type="dxa"/>
              <w:left w:w="80" w:type="dxa"/>
              <w:bottom w:w="40" w:type="dxa"/>
              <w:right w:w="80" w:type="dxa"/>
            </w:tcMar>
          </w:tcPr>
          <w:p w14:paraId="7FCD5FB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04DF00E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Privacy and cybersecurity exposure</w:t>
            </w:r>
          </w:p>
        </w:tc>
        <w:tc>
          <w:tcPr>
            <w:tcW w:w="7730" w:type="dxa"/>
            <w:tcMar>
              <w:top w:w="40" w:type="dxa"/>
              <w:left w:w="80" w:type="dxa"/>
              <w:bottom w:w="40" w:type="dxa"/>
              <w:right w:w="80" w:type="dxa"/>
            </w:tcMar>
          </w:tcPr>
          <w:p w14:paraId="7A3146C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Absence of a dedicated regulatory body for agricultural data (unlike healthcare's HIPAA or finance's GLBA) leaves farms reliant on voluntary agreements and heterogeneous vendor security postures</w:t>
            </w:r>
          </w:p>
        </w:tc>
        <w:tc>
          <w:tcPr>
            <w:tcW w:w="3130" w:type="dxa"/>
            <w:tcMar>
              <w:top w:w="40" w:type="dxa"/>
              <w:left w:w="80" w:type="dxa"/>
              <w:bottom w:w="40" w:type="dxa"/>
              <w:right w:w="80" w:type="dxa"/>
            </w:tcMar>
          </w:tcPr>
          <w:p w14:paraId="4F75ED81"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xml:space="preserve"> privacy-preserving framework (2024); Data governance in smart farming, ScienceDirect (2025)</w:t>
            </w:r>
          </w:p>
        </w:tc>
      </w:tr>
      <w:tr w:rsidR="001207A1" w:rsidRPr="003A4922" w14:paraId="0AD1A94B" w14:textId="77777777" w:rsidTr="00A16A7E">
        <w:tc>
          <w:tcPr>
            <w:tcW w:w="1500" w:type="dxa"/>
            <w:tcMar>
              <w:top w:w="40" w:type="dxa"/>
              <w:left w:w="80" w:type="dxa"/>
              <w:bottom w:w="40" w:type="dxa"/>
              <w:right w:w="80" w:type="dxa"/>
            </w:tcMar>
          </w:tcPr>
          <w:p w14:paraId="045C092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59D71A4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Vendor lock-in</w:t>
            </w:r>
          </w:p>
        </w:tc>
        <w:tc>
          <w:tcPr>
            <w:tcW w:w="7730" w:type="dxa"/>
            <w:tcMar>
              <w:top w:w="40" w:type="dxa"/>
              <w:left w:w="80" w:type="dxa"/>
              <w:bottom w:w="40" w:type="dxa"/>
              <w:right w:w="80" w:type="dxa"/>
            </w:tcMar>
          </w:tcPr>
          <w:p w14:paraId="2C17966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Single-vendor FMIS ecosystems bundle hardware, software, and data storage such that switching providers entails losing historical records, discouraging competitive re-evaluation</w:t>
            </w:r>
          </w:p>
        </w:tc>
        <w:tc>
          <w:tcPr>
            <w:tcW w:w="3130" w:type="dxa"/>
            <w:tcMar>
              <w:top w:w="40" w:type="dxa"/>
              <w:left w:w="80" w:type="dxa"/>
              <w:bottom w:w="40" w:type="dxa"/>
              <w:right w:w="80" w:type="dxa"/>
            </w:tcMar>
          </w:tcPr>
          <w:p w14:paraId="1FF1658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Agri Business Solutions 2026, </w:t>
            </w:r>
            <w:proofErr w:type="spellStart"/>
            <w:r w:rsidRPr="003A4922">
              <w:rPr>
                <w:rFonts w:ascii="Arial" w:hAnsi="Arial"/>
                <w:color w:val="000000" w:themeColor="text1"/>
                <w:sz w:val="16"/>
                <w:szCs w:val="24"/>
              </w:rPr>
              <w:t>Farmonaut</w:t>
            </w:r>
            <w:proofErr w:type="spellEnd"/>
          </w:p>
        </w:tc>
      </w:tr>
    </w:tbl>
    <w:p w14:paraId="28585845" w14:textId="77777777" w:rsidR="00D67B6C" w:rsidRPr="003A4922" w:rsidRDefault="00D67B6C">
      <w:pPr>
        <w:sectPr w:rsidR="00D67B6C" w:rsidRPr="003A4922" w:rsidSect="00944DF7">
          <w:headerReference w:type="even" r:id="rId32"/>
          <w:headerReference w:type="default" r:id="rId33"/>
          <w:footerReference w:type="default" r:id="rId34"/>
          <w:headerReference w:type="first" r:id="rId35"/>
          <w:type w:val="continuous"/>
          <w:pgSz w:w="15840" w:h="12240" w:orient="landscape"/>
          <w:pgMar w:top="864" w:right="1080" w:bottom="864" w:left="1080" w:header="432" w:footer="432" w:gutter="0"/>
          <w:cols w:space="720"/>
          <w:docGrid w:linePitch="360"/>
        </w:sectPr>
      </w:pPr>
    </w:p>
    <w:p w14:paraId="603F277B" w14:textId="77777777" w:rsidR="0036003E" w:rsidRPr="003A4922" w:rsidRDefault="0036003E" w:rsidP="00965274">
      <w:pPr>
        <w:spacing w:after="200"/>
        <w:jc w:val="both"/>
        <w:rPr>
          <w:color w:val="000000" w:themeColor="text1"/>
          <w:sz w:val="24"/>
          <w:szCs w:val="24"/>
        </w:rPr>
      </w:pPr>
    </w:p>
    <w:p w14:paraId="71DA8068"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36"/>
          <w:headerReference w:type="default" r:id="rId37"/>
          <w:footerReference w:type="default" r:id="rId38"/>
          <w:headerReference w:type="first" r:id="rId39"/>
          <w:type w:val="continuous"/>
          <w:pgSz w:w="12240" w:h="15840"/>
          <w:pgMar w:top="1440" w:right="2016" w:bottom="2016" w:left="2016" w:header="708" w:footer="708" w:gutter="0"/>
          <w:cols w:space="720"/>
          <w:docGrid w:linePitch="360"/>
        </w:sectPr>
      </w:pPr>
      <w:r w:rsidRPr="003A4922">
        <w:rPr>
          <w:rFonts w:ascii="Arial" w:hAnsi="Arial"/>
          <w:color w:val="000000"/>
          <w:szCs w:val="24"/>
        </w:rPr>
        <w:t>Table 4 compares four leading AI- and information-system paradigms discussed across Sections 4 through 11: FMIS, edge-AI IoT, blockchain-enabled supply-chain analytics, and ESG/Scope 3 compliance dashboards, across their primary data inputs, system architecture, primary decision output, and principal adoption constraint. The comparison illustrates that each paradigm sits at a different point in the data-to-decision pathway of Figure 1: FMIS functions as the general-purpose integration layer, edge-AI IoT supplies real-time field-level triage, blockchain-enabled analytics addresses cross-organizational trust in the supply chain, and ESG/Scope 3 dashboards constitute the newest and most externally driven layer, increasingly forcing the other three paradigms to interoperate across firm boundaries rather than within a single farm or enterprise.</w:t>
      </w:r>
    </w:p>
    <w:p w14:paraId="667D171B" w14:textId="77777777" w:rsidR="00A16A7E" w:rsidRPr="003A4922" w:rsidRDefault="00A16A7E" w:rsidP="00965274">
      <w:pPr>
        <w:spacing w:before="120" w:after="300"/>
        <w:rPr>
          <w:color w:val="000000" w:themeColor="text1"/>
          <w:sz w:val="24"/>
          <w:szCs w:val="24"/>
        </w:rPr>
      </w:pPr>
      <w:r w:rsidRPr="003A4922">
        <w:rPr>
          <w:rFonts w:ascii="Arial" w:hAnsi="Arial"/>
          <w:b/>
          <w:color w:val="000000"/>
          <w:szCs w:val="24"/>
        </w:rPr>
        <w:lastRenderedPageBreak/>
        <w:t>Table 4. Comparison of leading AI and information-system paradigms in agribusiness across data inputs, architecture, decision outputs, and adoption constraints.</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600"/>
        <w:gridCol w:w="2913"/>
        <w:gridCol w:w="3214"/>
        <w:gridCol w:w="2321"/>
        <w:gridCol w:w="3632"/>
      </w:tblGrid>
      <w:tr w:rsidR="001207A1" w:rsidRPr="003A4922" w14:paraId="30509A10" w14:textId="77777777" w:rsidTr="00923163">
        <w:trPr>
          <w:tblHeader/>
        </w:trPr>
        <w:tc>
          <w:tcPr>
            <w:tcW w:w="1600" w:type="dxa"/>
            <w:tcBorders>
              <w:bottom w:val="single" w:sz="6" w:space="0" w:color="auto"/>
            </w:tcBorders>
            <w:tcMar>
              <w:top w:w="40" w:type="dxa"/>
              <w:left w:w="80" w:type="dxa"/>
              <w:bottom w:w="40" w:type="dxa"/>
              <w:right w:w="80" w:type="dxa"/>
            </w:tcMar>
          </w:tcPr>
          <w:p w14:paraId="67EC5447"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Paradigm</w:t>
            </w:r>
          </w:p>
        </w:tc>
        <w:tc>
          <w:tcPr>
            <w:tcW w:w="2913" w:type="dxa"/>
            <w:tcBorders>
              <w:bottom w:val="single" w:sz="6" w:space="0" w:color="auto"/>
            </w:tcBorders>
            <w:tcMar>
              <w:top w:w="40" w:type="dxa"/>
              <w:left w:w="80" w:type="dxa"/>
              <w:bottom w:w="40" w:type="dxa"/>
              <w:right w:w="80" w:type="dxa"/>
            </w:tcMar>
          </w:tcPr>
          <w:p w14:paraId="706A1017"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Data Inputs</w:t>
            </w:r>
          </w:p>
        </w:tc>
        <w:tc>
          <w:tcPr>
            <w:tcW w:w="3214" w:type="dxa"/>
            <w:tcBorders>
              <w:bottom w:val="single" w:sz="6" w:space="0" w:color="auto"/>
            </w:tcBorders>
            <w:tcMar>
              <w:top w:w="40" w:type="dxa"/>
              <w:left w:w="80" w:type="dxa"/>
              <w:bottom w:w="40" w:type="dxa"/>
              <w:right w:w="80" w:type="dxa"/>
            </w:tcMar>
          </w:tcPr>
          <w:p w14:paraId="2FF83C9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System Architecture</w:t>
            </w:r>
          </w:p>
        </w:tc>
        <w:tc>
          <w:tcPr>
            <w:tcW w:w="2321" w:type="dxa"/>
            <w:tcBorders>
              <w:bottom w:val="single" w:sz="6" w:space="0" w:color="auto"/>
            </w:tcBorders>
            <w:tcMar>
              <w:top w:w="40" w:type="dxa"/>
              <w:left w:w="80" w:type="dxa"/>
              <w:bottom w:w="40" w:type="dxa"/>
              <w:right w:w="80" w:type="dxa"/>
            </w:tcMar>
          </w:tcPr>
          <w:p w14:paraId="6138440A"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Decision Output</w:t>
            </w:r>
          </w:p>
        </w:tc>
        <w:tc>
          <w:tcPr>
            <w:tcW w:w="3632" w:type="dxa"/>
            <w:tcBorders>
              <w:bottom w:val="single" w:sz="6" w:space="0" w:color="auto"/>
            </w:tcBorders>
            <w:tcMar>
              <w:top w:w="40" w:type="dxa"/>
              <w:left w:w="80" w:type="dxa"/>
              <w:bottom w:w="40" w:type="dxa"/>
              <w:right w:w="80" w:type="dxa"/>
            </w:tcMar>
          </w:tcPr>
          <w:p w14:paraId="46972AC5"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Principal Adoption Constraint</w:t>
            </w:r>
          </w:p>
        </w:tc>
      </w:tr>
      <w:tr w:rsidR="001207A1" w:rsidRPr="003A4922" w14:paraId="03F09C24" w14:textId="77777777" w:rsidTr="00923163">
        <w:tc>
          <w:tcPr>
            <w:tcW w:w="1600" w:type="dxa"/>
            <w:tcMar>
              <w:top w:w="40" w:type="dxa"/>
              <w:left w:w="80" w:type="dxa"/>
              <w:bottom w:w="40" w:type="dxa"/>
              <w:right w:w="80" w:type="dxa"/>
            </w:tcMar>
          </w:tcPr>
          <w:p w14:paraId="1F33312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2913" w:type="dxa"/>
            <w:tcMar>
              <w:top w:w="40" w:type="dxa"/>
              <w:left w:w="80" w:type="dxa"/>
              <w:bottom w:w="40" w:type="dxa"/>
              <w:right w:w="80" w:type="dxa"/>
            </w:tcMar>
          </w:tcPr>
          <w:p w14:paraId="09F0864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records, machinery telematics (ISOBUS/ISO 11783), input/output logs, compliance data</w:t>
            </w:r>
          </w:p>
        </w:tc>
        <w:tc>
          <w:tcPr>
            <w:tcW w:w="3214" w:type="dxa"/>
            <w:tcMar>
              <w:top w:w="40" w:type="dxa"/>
              <w:left w:w="80" w:type="dxa"/>
              <w:bottom w:w="40" w:type="dxa"/>
              <w:right w:w="80" w:type="dxa"/>
            </w:tcMar>
          </w:tcPr>
          <w:p w14:paraId="6B5AEEC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Client–server or cloud database with API/ADAPT-layer connectors to machinery and third-party services</w:t>
            </w:r>
          </w:p>
        </w:tc>
        <w:tc>
          <w:tcPr>
            <w:tcW w:w="2321" w:type="dxa"/>
            <w:tcMar>
              <w:top w:w="40" w:type="dxa"/>
              <w:left w:w="80" w:type="dxa"/>
              <w:bottom w:w="40" w:type="dxa"/>
              <w:right w:w="80" w:type="dxa"/>
            </w:tcMar>
          </w:tcPr>
          <w:p w14:paraId="1A867A7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Operational planning, compliance documentation, cost allocation</w:t>
            </w:r>
          </w:p>
        </w:tc>
        <w:tc>
          <w:tcPr>
            <w:tcW w:w="3632" w:type="dxa"/>
            <w:tcMar>
              <w:top w:w="40" w:type="dxa"/>
              <w:left w:w="80" w:type="dxa"/>
              <w:bottom w:w="40" w:type="dxa"/>
              <w:right w:w="80" w:type="dxa"/>
            </w:tcMar>
          </w:tcPr>
          <w:p w14:paraId="3414258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Capital cost and integration burden for small/mid-sized operations (Carrer </w:t>
            </w:r>
            <w:r w:rsidRPr="003A4922">
              <w:rPr>
                <w:rFonts w:ascii="Arial" w:hAnsi="Arial"/>
                <w:i/>
                <w:iCs/>
                <w:color w:val="000000" w:themeColor="text1"/>
                <w:sz w:val="16"/>
                <w:szCs w:val="24"/>
              </w:rPr>
              <w:t>et al.,</w:t>
            </w:r>
            <w:r w:rsidRPr="003A4922">
              <w:rPr>
                <w:rFonts w:ascii="Arial" w:hAnsi="Arial"/>
                <w:color w:val="000000" w:themeColor="text1"/>
                <w:sz w:val="16"/>
                <w:szCs w:val="24"/>
              </w:rPr>
              <w:t xml:space="preserve"> 2017)</w:t>
            </w:r>
          </w:p>
        </w:tc>
      </w:tr>
      <w:tr w:rsidR="001207A1" w:rsidRPr="003A4922" w14:paraId="6C94A930" w14:textId="77777777" w:rsidTr="00923163">
        <w:tc>
          <w:tcPr>
            <w:tcW w:w="1600" w:type="dxa"/>
            <w:tcMar>
              <w:top w:w="40" w:type="dxa"/>
              <w:left w:w="80" w:type="dxa"/>
              <w:bottom w:w="40" w:type="dxa"/>
              <w:right w:w="80" w:type="dxa"/>
            </w:tcMar>
          </w:tcPr>
          <w:p w14:paraId="40A2BA5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Edge-AI IoT</w:t>
            </w:r>
          </w:p>
        </w:tc>
        <w:tc>
          <w:tcPr>
            <w:tcW w:w="2913" w:type="dxa"/>
            <w:tcMar>
              <w:top w:w="40" w:type="dxa"/>
              <w:left w:w="80" w:type="dxa"/>
              <w:bottom w:w="40" w:type="dxa"/>
              <w:right w:w="80" w:type="dxa"/>
            </w:tcMar>
          </w:tcPr>
          <w:p w14:paraId="3DD45ED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In-field sensor telemetry, imagery, acoustic and environmental signals</w:t>
            </w:r>
          </w:p>
        </w:tc>
        <w:tc>
          <w:tcPr>
            <w:tcW w:w="3214" w:type="dxa"/>
            <w:tcMar>
              <w:top w:w="40" w:type="dxa"/>
              <w:left w:w="80" w:type="dxa"/>
              <w:bottom w:w="40" w:type="dxa"/>
              <w:right w:w="80" w:type="dxa"/>
            </w:tcMar>
          </w:tcPr>
          <w:p w14:paraId="1747753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On-device inference (TinyML/lightweight CNNs) with intermittent cloud synchronization</w:t>
            </w:r>
          </w:p>
        </w:tc>
        <w:tc>
          <w:tcPr>
            <w:tcW w:w="2321" w:type="dxa"/>
            <w:tcMar>
              <w:top w:w="40" w:type="dxa"/>
              <w:left w:w="80" w:type="dxa"/>
              <w:bottom w:w="40" w:type="dxa"/>
              <w:right w:w="80" w:type="dxa"/>
            </w:tcMar>
          </w:tcPr>
          <w:p w14:paraId="2B6966C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Real-time triage: irrigation timing, pest/disease alerts, anomaly flags</w:t>
            </w:r>
          </w:p>
        </w:tc>
        <w:tc>
          <w:tcPr>
            <w:tcW w:w="3632" w:type="dxa"/>
            <w:tcMar>
              <w:top w:w="40" w:type="dxa"/>
              <w:left w:w="80" w:type="dxa"/>
              <w:bottom w:w="40" w:type="dxa"/>
              <w:right w:w="80" w:type="dxa"/>
            </w:tcMar>
          </w:tcPr>
          <w:p w14:paraId="05997E7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Device cost, power constraints, and model-update logistics in connectivity-limited areas (Srivastav &amp; Das, 2025)</w:t>
            </w:r>
          </w:p>
        </w:tc>
      </w:tr>
      <w:tr w:rsidR="001207A1" w:rsidRPr="003A4922" w14:paraId="2EF6987B" w14:textId="77777777" w:rsidTr="00923163">
        <w:tc>
          <w:tcPr>
            <w:tcW w:w="1600" w:type="dxa"/>
            <w:tcMar>
              <w:top w:w="40" w:type="dxa"/>
              <w:left w:w="80" w:type="dxa"/>
              <w:bottom w:w="40" w:type="dxa"/>
              <w:right w:w="80" w:type="dxa"/>
            </w:tcMar>
          </w:tcPr>
          <w:p w14:paraId="1E2B851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Blockchain-enabled supply-chain analytics</w:t>
            </w:r>
          </w:p>
        </w:tc>
        <w:tc>
          <w:tcPr>
            <w:tcW w:w="2913" w:type="dxa"/>
            <w:tcMar>
              <w:top w:w="40" w:type="dxa"/>
              <w:left w:w="80" w:type="dxa"/>
              <w:bottom w:w="40" w:type="dxa"/>
              <w:right w:w="80" w:type="dxa"/>
            </w:tcMar>
          </w:tcPr>
          <w:p w14:paraId="069E419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Provenance events, transaction records, certification data across custody transfers</w:t>
            </w:r>
          </w:p>
        </w:tc>
        <w:tc>
          <w:tcPr>
            <w:tcW w:w="3214" w:type="dxa"/>
            <w:tcMar>
              <w:top w:w="40" w:type="dxa"/>
              <w:left w:w="80" w:type="dxa"/>
              <w:bottom w:w="40" w:type="dxa"/>
              <w:right w:w="80" w:type="dxa"/>
            </w:tcMar>
          </w:tcPr>
          <w:p w14:paraId="0046FD1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Distributed ledger with smart-contract validation, integrated with logistics and ERP systems</w:t>
            </w:r>
          </w:p>
        </w:tc>
        <w:tc>
          <w:tcPr>
            <w:tcW w:w="2321" w:type="dxa"/>
            <w:tcMar>
              <w:top w:w="40" w:type="dxa"/>
              <w:left w:w="80" w:type="dxa"/>
              <w:bottom w:w="40" w:type="dxa"/>
              <w:right w:w="80" w:type="dxa"/>
            </w:tcMar>
          </w:tcPr>
          <w:p w14:paraId="3E68673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Traceability verification, fraud reduction, procurement/logistics optimization</w:t>
            </w:r>
          </w:p>
        </w:tc>
        <w:tc>
          <w:tcPr>
            <w:tcW w:w="3632" w:type="dxa"/>
            <w:tcMar>
              <w:top w:w="40" w:type="dxa"/>
              <w:left w:w="80" w:type="dxa"/>
              <w:bottom w:w="40" w:type="dxa"/>
              <w:right w:w="80" w:type="dxa"/>
            </w:tcMar>
          </w:tcPr>
          <w:p w14:paraId="464DBA7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Cross-organizational coordination cost; requires all supply-chain nodes to participate (Ellahi </w:t>
            </w:r>
            <w:r w:rsidRPr="003A4922">
              <w:rPr>
                <w:rFonts w:ascii="Arial" w:hAnsi="Arial"/>
                <w:i/>
                <w:iCs/>
                <w:color w:val="000000" w:themeColor="text1"/>
                <w:sz w:val="16"/>
                <w:szCs w:val="24"/>
              </w:rPr>
              <w:t>et al.</w:t>
            </w:r>
            <w:r w:rsidRPr="003A4922">
              <w:rPr>
                <w:rFonts w:ascii="Arial" w:hAnsi="Arial"/>
                <w:color w:val="000000" w:themeColor="text1"/>
                <w:sz w:val="16"/>
                <w:szCs w:val="24"/>
              </w:rPr>
              <w:t>, 2023)</w:t>
            </w:r>
          </w:p>
        </w:tc>
      </w:tr>
      <w:tr w:rsidR="001207A1" w:rsidRPr="003A4922" w14:paraId="08D0277B" w14:textId="77777777" w:rsidTr="00923163">
        <w:tc>
          <w:tcPr>
            <w:tcW w:w="1600" w:type="dxa"/>
            <w:tcMar>
              <w:top w:w="40" w:type="dxa"/>
              <w:left w:w="80" w:type="dxa"/>
              <w:bottom w:w="40" w:type="dxa"/>
              <w:right w:w="80" w:type="dxa"/>
            </w:tcMar>
          </w:tcPr>
          <w:p w14:paraId="4544843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 compliance dashboards</w:t>
            </w:r>
          </w:p>
        </w:tc>
        <w:tc>
          <w:tcPr>
            <w:tcW w:w="2913" w:type="dxa"/>
            <w:tcMar>
              <w:top w:w="40" w:type="dxa"/>
              <w:left w:w="80" w:type="dxa"/>
              <w:bottom w:w="40" w:type="dxa"/>
              <w:right w:w="80" w:type="dxa"/>
            </w:tcMar>
          </w:tcPr>
          <w:p w14:paraId="7090400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Farm-level activity data (fuel, fertilizer, water use), supplier-level emissions data, certification records</w:t>
            </w:r>
          </w:p>
        </w:tc>
        <w:tc>
          <w:tcPr>
            <w:tcW w:w="3214" w:type="dxa"/>
            <w:tcMar>
              <w:top w:w="40" w:type="dxa"/>
              <w:left w:w="80" w:type="dxa"/>
              <w:bottom w:w="40" w:type="dxa"/>
              <w:right w:w="80" w:type="dxa"/>
            </w:tcMar>
          </w:tcPr>
          <w:p w14:paraId="68F4A8B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Aggregation layer feeding GHG Protocol/CSRD-ESRS-aligned calculation engines and investor-reporting dashboards</w:t>
            </w:r>
          </w:p>
        </w:tc>
        <w:tc>
          <w:tcPr>
            <w:tcW w:w="2321" w:type="dxa"/>
            <w:tcMar>
              <w:top w:w="40" w:type="dxa"/>
              <w:left w:w="80" w:type="dxa"/>
              <w:bottom w:w="40" w:type="dxa"/>
              <w:right w:w="80" w:type="dxa"/>
            </w:tcMar>
          </w:tcPr>
          <w:p w14:paraId="0CF9C82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Regulatory disclosure, investor reporting, supplier scoring</w:t>
            </w:r>
          </w:p>
        </w:tc>
        <w:tc>
          <w:tcPr>
            <w:tcW w:w="3632" w:type="dxa"/>
            <w:tcMar>
              <w:top w:w="40" w:type="dxa"/>
              <w:left w:w="80" w:type="dxa"/>
              <w:bottom w:w="40" w:type="dxa"/>
              <w:right w:w="80" w:type="dxa"/>
            </w:tcMar>
          </w:tcPr>
          <w:p w14:paraId="65805F2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Establishing traceable farm-to-shipment data links across identity-preservation or book-and-claim systems (Farmraise, 2026)</w:t>
            </w:r>
          </w:p>
        </w:tc>
      </w:tr>
    </w:tbl>
    <w:p w14:paraId="34873CE7" w14:textId="77777777" w:rsidR="00D67B6C" w:rsidRPr="003A4922" w:rsidRDefault="00D67B6C">
      <w:pPr>
        <w:sectPr w:rsidR="00D67B6C" w:rsidRPr="003A4922" w:rsidSect="00944DF7">
          <w:headerReference w:type="even" r:id="rId40"/>
          <w:headerReference w:type="default" r:id="rId41"/>
          <w:footerReference w:type="default" r:id="rId42"/>
          <w:headerReference w:type="first" r:id="rId43"/>
          <w:type w:val="continuous"/>
          <w:pgSz w:w="15840" w:h="12240" w:orient="landscape"/>
          <w:pgMar w:top="864" w:right="1080" w:bottom="864" w:left="1080" w:header="432" w:footer="432" w:gutter="0"/>
          <w:cols w:space="720"/>
          <w:docGrid w:linePitch="360"/>
        </w:sectPr>
      </w:pPr>
    </w:p>
    <w:p w14:paraId="43382BA1"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lastRenderedPageBreak/>
        <w:t>13. Discussion: Research Gaps and Future Directions</w:t>
      </w:r>
    </w:p>
    <w:p w14:paraId="5CEEA4C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Three overarching implications follow from this synthesis. First, research and investment attention in digital agriculture should shift further toward the information-systems layer, interoperability standards, data-governance frameworks, and organizational change management, rather than continuing to concentrate primarily on sensor accuracy or model performance, which the literature increasingly treats as a largely solved problem relative to integration. Second, the data-justice critique of privacy-centered governance solutions suggests that future FMIS and platform design should be evaluated not only on technical interoperability but on how value and risk are distributed between farmers, agricultural technology providers, and downstream buyers, an evaluative dimension largely absent from current precision-agriculture scholarship. Third, the adoption literature indicates that infrastructure and affordability barriers in developing regions are unlikely to be resolved by technology design alone, implying a continued role for public investment in rural connectivity, subsidized access, and locally adapted digital-literacy training alongside private-sector platform development.</w:t>
      </w:r>
    </w:p>
    <w:p w14:paraId="4A34C966"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44"/>
          <w:headerReference w:type="default" r:id="rId45"/>
          <w:footerReference w:type="default" r:id="rId46"/>
          <w:headerReference w:type="first" r:id="rId47"/>
          <w:type w:val="continuous"/>
          <w:pgSz w:w="12240" w:h="15840"/>
          <w:pgMar w:top="1440" w:right="2016" w:bottom="2016" w:left="2016" w:header="708" w:footer="708" w:gutter="0"/>
          <w:cols w:space="720"/>
          <w:docGrid w:linePitch="360"/>
        </w:sectPr>
      </w:pPr>
      <w:r w:rsidRPr="003A4922">
        <w:rPr>
          <w:rFonts w:ascii="Arial" w:hAnsi="Arial"/>
          <w:color w:val="000000"/>
          <w:szCs w:val="24"/>
        </w:rPr>
        <w:t>Table 5 sets out an actionable, domain-specific research agenda, giving each of the ten thematic domains equal analytical weight rather than concentrating disproportionately on the technically best-documented areas (big data, predictive analytics). This is deliberate: the review's central finding, that governance and organizational capacity, not sensing or algorithmic sophistication, is now the binding constraint, implies that the domains with the thinnest empirical base (interoperability standards adoption, Scope 3 farm-level data architecture, circular-agriculture digitalization) merit research investment disproportionate to their current publication volume.</w:t>
      </w:r>
    </w:p>
    <w:p w14:paraId="661F3D19" w14:textId="77777777" w:rsidR="00A16A7E" w:rsidRPr="003A4922" w:rsidRDefault="00A16A7E" w:rsidP="00965274">
      <w:pPr>
        <w:spacing w:before="120" w:after="300"/>
        <w:rPr>
          <w:color w:val="000000" w:themeColor="text1"/>
          <w:sz w:val="24"/>
          <w:szCs w:val="24"/>
        </w:rPr>
      </w:pPr>
      <w:r w:rsidRPr="003A4922">
        <w:rPr>
          <w:rFonts w:ascii="Arial" w:hAnsi="Arial"/>
          <w:b/>
          <w:color w:val="000000"/>
          <w:szCs w:val="24"/>
        </w:rPr>
        <w:lastRenderedPageBreak/>
        <w:t>Table 5. Forward-looking, domain-specific research agenda across the ten thematic domains of AI- and data-driven agribusiness transformation.</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725"/>
        <w:gridCol w:w="11955"/>
      </w:tblGrid>
      <w:tr w:rsidR="001207A1" w:rsidRPr="003A4922" w14:paraId="6F0F9474" w14:textId="77777777" w:rsidTr="00A16A7E">
        <w:trPr>
          <w:tblHeader/>
        </w:trPr>
        <w:tc>
          <w:tcPr>
            <w:tcW w:w="1453" w:type="dxa"/>
            <w:tcBorders>
              <w:bottom w:val="single" w:sz="6" w:space="0" w:color="auto"/>
            </w:tcBorders>
            <w:tcMar>
              <w:top w:w="40" w:type="dxa"/>
              <w:left w:w="80" w:type="dxa"/>
              <w:bottom w:w="40" w:type="dxa"/>
              <w:right w:w="80" w:type="dxa"/>
            </w:tcMar>
          </w:tcPr>
          <w:p w14:paraId="5777C943"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Thematic Domain</w:t>
            </w:r>
          </w:p>
        </w:tc>
        <w:tc>
          <w:tcPr>
            <w:tcW w:w="12227" w:type="dxa"/>
            <w:tcBorders>
              <w:bottom w:val="single" w:sz="6" w:space="0" w:color="auto"/>
            </w:tcBorders>
            <w:tcMar>
              <w:top w:w="40" w:type="dxa"/>
              <w:left w:w="80" w:type="dxa"/>
              <w:bottom w:w="40" w:type="dxa"/>
              <w:right w:w="80" w:type="dxa"/>
            </w:tcMar>
          </w:tcPr>
          <w:p w14:paraId="2970FFBC"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Priority Research Question</w:t>
            </w:r>
          </w:p>
        </w:tc>
      </w:tr>
      <w:tr w:rsidR="001207A1" w:rsidRPr="003A4922" w14:paraId="3B316952" w14:textId="77777777" w:rsidTr="00A16A7E">
        <w:tc>
          <w:tcPr>
            <w:tcW w:w="1453" w:type="dxa"/>
            <w:tcMar>
              <w:top w:w="40" w:type="dxa"/>
              <w:left w:w="80" w:type="dxa"/>
              <w:bottom w:w="40" w:type="dxa"/>
              <w:right w:w="80" w:type="dxa"/>
            </w:tcMar>
          </w:tcPr>
          <w:p w14:paraId="43BF191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 data &amp; integration</w:t>
            </w:r>
          </w:p>
        </w:tc>
        <w:tc>
          <w:tcPr>
            <w:tcW w:w="12227" w:type="dxa"/>
            <w:tcMar>
              <w:top w:w="40" w:type="dxa"/>
              <w:left w:w="80" w:type="dxa"/>
              <w:bottom w:w="40" w:type="dxa"/>
              <w:right w:w="80" w:type="dxa"/>
            </w:tcMar>
          </w:tcPr>
          <w:p w14:paraId="1532068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data-governance arrangements (cooperative data trusts, tiered access, purpose limitation) allow smallholder and mid-sized agribusinesses to benefit from aggregated big-data analytics without ceding disproportionate value to platform operators?</w:t>
            </w:r>
          </w:p>
        </w:tc>
      </w:tr>
      <w:tr w:rsidR="001207A1" w:rsidRPr="003A4922" w14:paraId="4E96D208" w14:textId="77777777" w:rsidTr="00A16A7E">
        <w:tc>
          <w:tcPr>
            <w:tcW w:w="1453" w:type="dxa"/>
            <w:tcMar>
              <w:top w:w="40" w:type="dxa"/>
              <w:left w:w="80" w:type="dxa"/>
              <w:bottom w:w="40" w:type="dxa"/>
              <w:right w:w="80" w:type="dxa"/>
            </w:tcMar>
          </w:tcPr>
          <w:p w14:paraId="71A2476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Predictive/prescriptive analytics</w:t>
            </w:r>
          </w:p>
        </w:tc>
        <w:tc>
          <w:tcPr>
            <w:tcW w:w="12227" w:type="dxa"/>
            <w:tcMar>
              <w:top w:w="40" w:type="dxa"/>
              <w:left w:w="80" w:type="dxa"/>
              <w:bottom w:w="40" w:type="dxa"/>
              <w:right w:w="80" w:type="dxa"/>
            </w:tcMar>
          </w:tcPr>
          <w:p w14:paraId="799B1C3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How should uncertainty be communicated at the prescriptive-output stage (Section 5) so that farm managers can distinguish a well-calibrated recommendation from one operating outside its validated domain?</w:t>
            </w:r>
          </w:p>
        </w:tc>
      </w:tr>
      <w:tr w:rsidR="001207A1" w:rsidRPr="003A4922" w14:paraId="643FA971" w14:textId="77777777" w:rsidTr="00A16A7E">
        <w:tc>
          <w:tcPr>
            <w:tcW w:w="1453" w:type="dxa"/>
            <w:tcMar>
              <w:top w:w="40" w:type="dxa"/>
              <w:left w:w="80" w:type="dxa"/>
              <w:bottom w:w="40" w:type="dxa"/>
              <w:right w:w="80" w:type="dxa"/>
            </w:tcMar>
          </w:tcPr>
          <w:p w14:paraId="0B046B9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12227" w:type="dxa"/>
            <w:tcMar>
              <w:top w:w="40" w:type="dxa"/>
              <w:left w:w="80" w:type="dxa"/>
              <w:bottom w:w="40" w:type="dxa"/>
              <w:right w:w="80" w:type="dxa"/>
            </w:tcMar>
          </w:tcPr>
          <w:p w14:paraId="439FCB1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Which combination of ADAPT-layer and semantic-layer (agroXML/RDF) standards adoption most reduces integration cost for small and mid-sized agribusinesses, and does standards adoption itself require public subsidy to reach critical mass?</w:t>
            </w:r>
          </w:p>
        </w:tc>
      </w:tr>
      <w:tr w:rsidR="001207A1" w:rsidRPr="003A4922" w14:paraId="53F32FE5" w14:textId="77777777" w:rsidTr="00A16A7E">
        <w:tc>
          <w:tcPr>
            <w:tcW w:w="1453" w:type="dxa"/>
            <w:tcMar>
              <w:top w:w="40" w:type="dxa"/>
              <w:left w:w="80" w:type="dxa"/>
              <w:bottom w:w="40" w:type="dxa"/>
              <w:right w:w="80" w:type="dxa"/>
            </w:tcMar>
          </w:tcPr>
          <w:p w14:paraId="79543DB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AI-enabled supply chain</w:t>
            </w:r>
          </w:p>
        </w:tc>
        <w:tc>
          <w:tcPr>
            <w:tcW w:w="12227" w:type="dxa"/>
            <w:tcMar>
              <w:top w:w="40" w:type="dxa"/>
              <w:left w:w="80" w:type="dxa"/>
              <w:bottom w:w="40" w:type="dxa"/>
              <w:right w:w="80" w:type="dxa"/>
            </w:tcMar>
          </w:tcPr>
          <w:p w14:paraId="2FCFDA3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Under what governance conditions does blockchain-enabled traceability produce verifiable trust gains for smallholder suppliers, rather than simply shifting documentation burden onto the least-resourced actor in the chain?</w:t>
            </w:r>
          </w:p>
        </w:tc>
      </w:tr>
      <w:tr w:rsidR="001207A1" w:rsidRPr="003A4922" w14:paraId="468B568B" w14:textId="77777777" w:rsidTr="00A16A7E">
        <w:tc>
          <w:tcPr>
            <w:tcW w:w="1453" w:type="dxa"/>
            <w:tcMar>
              <w:top w:w="40" w:type="dxa"/>
              <w:left w:w="80" w:type="dxa"/>
              <w:bottom w:w="40" w:type="dxa"/>
              <w:right w:w="80" w:type="dxa"/>
            </w:tcMar>
          </w:tcPr>
          <w:p w14:paraId="33813BB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Climate-risk adaptation</w:t>
            </w:r>
          </w:p>
        </w:tc>
        <w:tc>
          <w:tcPr>
            <w:tcW w:w="12227" w:type="dxa"/>
            <w:tcMar>
              <w:top w:w="40" w:type="dxa"/>
              <w:left w:w="80" w:type="dxa"/>
              <w:bottom w:w="40" w:type="dxa"/>
              <w:right w:w="80" w:type="dxa"/>
            </w:tcMar>
          </w:tcPr>
          <w:p w14:paraId="7FDC6E9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How should AI-based climate-risk models be locally validated and recalibrated as climate non-stationarity erodes the historical training data on which they are built?</w:t>
            </w:r>
          </w:p>
        </w:tc>
      </w:tr>
      <w:tr w:rsidR="001207A1" w:rsidRPr="003A4922" w14:paraId="629E284F" w14:textId="77777777" w:rsidTr="00A16A7E">
        <w:tc>
          <w:tcPr>
            <w:tcW w:w="1453" w:type="dxa"/>
            <w:tcMar>
              <w:top w:w="40" w:type="dxa"/>
              <w:left w:w="80" w:type="dxa"/>
              <w:bottom w:w="40" w:type="dxa"/>
              <w:right w:w="80" w:type="dxa"/>
            </w:tcMar>
          </w:tcPr>
          <w:p w14:paraId="6A83FB7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 compliance</w:t>
            </w:r>
          </w:p>
        </w:tc>
        <w:tc>
          <w:tcPr>
            <w:tcW w:w="12227" w:type="dxa"/>
            <w:tcMar>
              <w:top w:w="40" w:type="dxa"/>
              <w:left w:w="80" w:type="dxa"/>
              <w:bottom w:w="40" w:type="dxa"/>
              <w:right w:w="80" w:type="dxa"/>
            </w:tcMar>
          </w:tcPr>
          <w:p w14:paraId="645316C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minimum viable farm-level data architecture satisfies GHG Protocol/CSRD-ESRS Scope 3 traceability requirements without imposing prohibitive reporting cost on smallholder suppliers?</w:t>
            </w:r>
          </w:p>
        </w:tc>
      </w:tr>
      <w:tr w:rsidR="001207A1" w:rsidRPr="003A4922" w14:paraId="7431B3B8" w14:textId="77777777" w:rsidTr="00A16A7E">
        <w:tc>
          <w:tcPr>
            <w:tcW w:w="1453" w:type="dxa"/>
            <w:tcMar>
              <w:top w:w="40" w:type="dxa"/>
              <w:left w:w="80" w:type="dxa"/>
              <w:bottom w:w="40" w:type="dxa"/>
              <w:right w:w="80" w:type="dxa"/>
            </w:tcMar>
          </w:tcPr>
          <w:p w14:paraId="687D523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&amp; cybersecurity</w:t>
            </w:r>
          </w:p>
        </w:tc>
        <w:tc>
          <w:tcPr>
            <w:tcW w:w="12227" w:type="dxa"/>
            <w:tcMar>
              <w:top w:w="40" w:type="dxa"/>
              <w:left w:w="80" w:type="dxa"/>
              <w:bottom w:w="40" w:type="dxa"/>
              <w:right w:w="80" w:type="dxa"/>
            </w:tcMar>
          </w:tcPr>
          <w:p w14:paraId="2AC8CB7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Would a dedicated agricultural-data regulatory body (comparable to HIPAA for healthcare) measurably improve farmer trust and platform participation relative to the current voluntary-agreement regime?</w:t>
            </w:r>
          </w:p>
        </w:tc>
      </w:tr>
      <w:tr w:rsidR="001207A1" w:rsidRPr="003A4922" w14:paraId="07A1298C" w14:textId="77777777" w:rsidTr="00A16A7E">
        <w:tc>
          <w:tcPr>
            <w:tcW w:w="1453" w:type="dxa"/>
            <w:tcMar>
              <w:top w:w="40" w:type="dxa"/>
              <w:left w:w="80" w:type="dxa"/>
              <w:bottom w:w="40" w:type="dxa"/>
              <w:right w:w="80" w:type="dxa"/>
            </w:tcMar>
          </w:tcPr>
          <w:p w14:paraId="31C89BD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12227" w:type="dxa"/>
            <w:tcMar>
              <w:top w:w="40" w:type="dxa"/>
              <w:left w:w="80" w:type="dxa"/>
              <w:bottom w:w="40" w:type="dxa"/>
              <w:right w:w="80" w:type="dxa"/>
            </w:tcMar>
          </w:tcPr>
          <w:p w14:paraId="780F8D0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Which combination of connectivity subsidy, digital-literacy training, and locally adapted interface design most durably closes the adoption gap documented among smallholder and marginalized farmers?</w:t>
            </w:r>
          </w:p>
        </w:tc>
      </w:tr>
      <w:tr w:rsidR="001207A1" w:rsidRPr="003A4922" w14:paraId="55927F3D" w14:textId="77777777" w:rsidTr="00A16A7E">
        <w:tc>
          <w:tcPr>
            <w:tcW w:w="1453" w:type="dxa"/>
            <w:tcMar>
              <w:top w:w="40" w:type="dxa"/>
              <w:left w:w="80" w:type="dxa"/>
              <w:bottom w:w="40" w:type="dxa"/>
              <w:right w:w="80" w:type="dxa"/>
            </w:tcMar>
          </w:tcPr>
          <w:p w14:paraId="4CC38C9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w:t>
            </w:r>
          </w:p>
        </w:tc>
        <w:tc>
          <w:tcPr>
            <w:tcW w:w="12227" w:type="dxa"/>
            <w:tcMar>
              <w:top w:w="40" w:type="dxa"/>
              <w:left w:w="80" w:type="dxa"/>
              <w:bottom w:w="40" w:type="dxa"/>
              <w:right w:w="80" w:type="dxa"/>
            </w:tcMar>
          </w:tcPr>
          <w:p w14:paraId="04F5678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Can AI-driven waste-flow forecasting be integrated into the same FMIS/ESG data architecture used for Scope 3 reporting, so that circularity metrics are a byproduct of existing compliance data rather than a separate collection burden?</w:t>
            </w:r>
          </w:p>
        </w:tc>
      </w:tr>
      <w:tr w:rsidR="001207A1" w:rsidRPr="003A4922" w14:paraId="151EFE1F" w14:textId="77777777" w:rsidTr="00A16A7E">
        <w:tc>
          <w:tcPr>
            <w:tcW w:w="1453" w:type="dxa"/>
            <w:tcMar>
              <w:top w:w="40" w:type="dxa"/>
              <w:left w:w="80" w:type="dxa"/>
              <w:bottom w:w="40" w:type="dxa"/>
              <w:right w:w="80" w:type="dxa"/>
            </w:tcMar>
          </w:tcPr>
          <w:p w14:paraId="70281A0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Decision-support systems</w:t>
            </w:r>
          </w:p>
        </w:tc>
        <w:tc>
          <w:tcPr>
            <w:tcW w:w="12227" w:type="dxa"/>
            <w:tcMar>
              <w:top w:w="40" w:type="dxa"/>
              <w:left w:w="80" w:type="dxa"/>
              <w:bottom w:w="40" w:type="dxa"/>
              <w:right w:w="80" w:type="dxa"/>
            </w:tcMar>
          </w:tcPr>
          <w:p w14:paraId="4D7B7AB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organizational and interface design principles allow a DSS to function as a genuine decision-support tool, preserving human judgement and escalation, rather than as a de facto automated decision-maker?</w:t>
            </w:r>
          </w:p>
        </w:tc>
      </w:tr>
    </w:tbl>
    <w:p w14:paraId="61079D9D" w14:textId="77777777" w:rsidR="00D67B6C" w:rsidRPr="003A4922" w:rsidRDefault="00D67B6C">
      <w:pPr>
        <w:sectPr w:rsidR="00D67B6C" w:rsidRPr="003A4922" w:rsidSect="00944DF7">
          <w:headerReference w:type="even" r:id="rId48"/>
          <w:headerReference w:type="default" r:id="rId49"/>
          <w:footerReference w:type="default" r:id="rId50"/>
          <w:headerReference w:type="first" r:id="rId51"/>
          <w:type w:val="continuous"/>
          <w:pgSz w:w="15840" w:h="12240" w:orient="landscape"/>
          <w:pgMar w:top="864" w:right="1080" w:bottom="864" w:left="1080" w:header="432" w:footer="432" w:gutter="0"/>
          <w:cols w:space="720"/>
          <w:docGrid w:linePitch="360"/>
        </w:sectPr>
      </w:pPr>
    </w:p>
    <w:p w14:paraId="7C366C45"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lastRenderedPageBreak/>
        <w:t>14. Limitations</w:t>
      </w:r>
    </w:p>
    <w:p w14:paraId="4EE483E8"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As a critical narrative review, this synthesis is intrinsically vulnerable to selection and interpretive bias despite the use of transparent search concepts, source verification, and structured appraisal. Direct access to subscription bibliographic databases was not available, and the review relied on accessible scholarly indexes, publisher pages, and citation tracing; relevant studies may therefore have been missed. Only English-language literature was included. The evidence base is highly heterogeneous in intervention, geography, and study design, which prevents quantitative synthesis and limits precise comparison across regions and farm scales. A subset of sources used to characterize current market and platform practice are industry or market-analysis publications rather than peer-reviewed research; these are flagged in-text and were not used to support causal or effectiveness claims. Geographic coverage is uneven, with European, Brazilian, and selected sub-Saharan African cases more thoroughly represented than others. The rapid pace of change in AI-enabled agricultural platforms also means that specific tools and business models may evolve faster than the peer-reviewed evidence describing them.</w:t>
      </w:r>
    </w:p>
    <w:p w14:paraId="2FA54A40"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15. Conclusion</w:t>
      </w:r>
    </w:p>
    <w:p w14:paraId="731E5376" w14:textId="449AEE5D" w:rsidR="00DB769D" w:rsidRPr="003A4922" w:rsidRDefault="00B32603" w:rsidP="00965274">
      <w:pPr>
        <w:spacing w:after="200"/>
        <w:jc w:val="both"/>
        <w:rPr>
          <w:color w:val="000000" w:themeColor="text1"/>
          <w:sz w:val="24"/>
          <w:szCs w:val="24"/>
        </w:rPr>
      </w:pPr>
      <w:r w:rsidRPr="003A4922">
        <w:rPr>
          <w:rFonts w:ascii="Arial" w:hAnsi="Arial"/>
          <w:color w:val="000000"/>
          <w:szCs w:val="24"/>
        </w:rPr>
        <w:t>This review has argued for reframing the study of digital agriculture around an integrated agribusiness-intelligence pathway, data, analytics, artificial intelligence, information systems, decisions, and sustainable agribusiness outcomes, in place of a device-centered precision-agriculture framing. Synthesizing evidence across ten thematic domains, agricultural big data, predictive and prescriptive analytics, farm management information systems, AI-enabled supply-chain analytics, climate-risk adaptation, sustainability and ESG analytics, data governance and cybersecurity, digital infrastructure and adoption, and circular agriculture, the review finds a consistent pattern: technical sophistication in sensing and algorithms has outpaced the organizational, governance, and interoperability capacity required to convert that sophistication into adopted agribusiness decisions. Advancing the field will require research, investment, and policy attention to shift toward the systems and governance layer that determines whether data-driven insight</w:t>
      </w:r>
      <w:r w:rsidR="00814A6C" w:rsidRPr="003A4922">
        <w:rPr>
          <w:rFonts w:ascii="Arial" w:hAnsi="Arial"/>
          <w:color w:val="000000"/>
          <w:szCs w:val="24"/>
        </w:rPr>
        <w:t>s</w:t>
      </w:r>
      <w:r w:rsidRPr="003A4922">
        <w:rPr>
          <w:rFonts w:ascii="Arial" w:hAnsi="Arial"/>
          <w:color w:val="000000"/>
          <w:szCs w:val="24"/>
        </w:rPr>
        <w:t xml:space="preserve"> </w:t>
      </w:r>
      <w:r w:rsidR="00814A6C" w:rsidRPr="003A4922">
        <w:rPr>
          <w:rFonts w:ascii="Arial" w:hAnsi="Arial"/>
          <w:color w:val="000000"/>
          <w:szCs w:val="24"/>
        </w:rPr>
        <w:t>translate into</w:t>
      </w:r>
      <w:r w:rsidRPr="003A4922">
        <w:rPr>
          <w:rFonts w:ascii="Arial" w:hAnsi="Arial"/>
          <w:color w:val="000000"/>
          <w:szCs w:val="24"/>
        </w:rPr>
        <w:t xml:space="preserve"> sustainable agribusiness transformation.</w:t>
      </w:r>
    </w:p>
    <w:p w14:paraId="6D74CA61" w14:textId="77777777" w:rsidR="00923163" w:rsidRPr="003A4922" w:rsidRDefault="00923163" w:rsidP="00965274">
      <w:pPr>
        <w:pStyle w:val="Heading2"/>
        <w:spacing w:before="260" w:after="140"/>
        <w:rPr>
          <w:color w:val="000000" w:themeColor="text1"/>
          <w:sz w:val="24"/>
          <w:szCs w:val="24"/>
        </w:rPr>
      </w:pPr>
      <w:r w:rsidRPr="003A4922">
        <w:rPr>
          <w:rFonts w:ascii="Arial" w:hAnsi="Arial"/>
          <w:b/>
          <w:bCs/>
          <w:color w:val="000000"/>
          <w:sz w:val="22"/>
          <w:szCs w:val="24"/>
        </w:rPr>
        <w:t>Declaration of competing interests</w:t>
      </w:r>
    </w:p>
    <w:p w14:paraId="3484D676" w14:textId="77777777" w:rsidR="00923163" w:rsidRPr="003A4922" w:rsidRDefault="00923163" w:rsidP="00965274">
      <w:pPr>
        <w:spacing w:after="160"/>
        <w:jc w:val="both"/>
        <w:rPr>
          <w:color w:val="000000" w:themeColor="text1"/>
          <w:sz w:val="24"/>
          <w:szCs w:val="24"/>
        </w:rPr>
      </w:pPr>
      <w:r w:rsidRPr="003A4922">
        <w:rPr>
          <w:rFonts w:ascii="Arial" w:hAnsi="Arial"/>
          <w:color w:val="000000"/>
          <w:szCs w:val="24"/>
        </w:rPr>
        <w:t>The author declares no known competing financial interests or personal relationships that could have appeared to influence the work reported in this paper.</w:t>
      </w:r>
    </w:p>
    <w:p w14:paraId="65D1CF18" w14:textId="77777777" w:rsidR="00944DF7" w:rsidRPr="003A4922" w:rsidRDefault="00944DF7" w:rsidP="00944DF7">
      <w:pPr>
        <w:spacing w:after="200"/>
        <w:rPr>
          <w:b/>
          <w:bCs/>
          <w:color w:val="000000" w:themeColor="text1"/>
          <w:sz w:val="24"/>
          <w:szCs w:val="24"/>
        </w:rPr>
      </w:pPr>
      <w:r w:rsidRPr="003A4922">
        <w:rPr>
          <w:rFonts w:ascii="Arial" w:hAnsi="Arial"/>
          <w:b/>
          <w:bCs/>
          <w:caps/>
          <w:color w:val="000000"/>
          <w:sz w:val="22"/>
          <w:szCs w:val="24"/>
        </w:rPr>
        <w:t>Highlights</w:t>
      </w:r>
    </w:p>
    <w:p w14:paraId="3D02C45B"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Reframes precision agriculture as an integrated data-to-decision pathway.</w:t>
      </w:r>
    </w:p>
    <w:p w14:paraId="2E339B78"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Synthesizes evidence across ten AI- and data-driven agribusiness domains.</w:t>
      </w:r>
    </w:p>
    <w:p w14:paraId="0CE01E38"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Shows data governance, not sensing technology, now limits IS integration.</w:t>
      </w:r>
    </w:p>
    <w:p w14:paraId="0CF3F2BC"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 xml:space="preserve">Maps ISOBUS, </w:t>
      </w:r>
      <w:proofErr w:type="spellStart"/>
      <w:r w:rsidRPr="003A4922">
        <w:rPr>
          <w:rFonts w:ascii="Arial" w:hAnsi="Arial"/>
          <w:color w:val="000000"/>
          <w:szCs w:val="24"/>
        </w:rPr>
        <w:t>AgGateway</w:t>
      </w:r>
      <w:proofErr w:type="spellEnd"/>
      <w:r w:rsidRPr="003A4922">
        <w:rPr>
          <w:rFonts w:ascii="Arial" w:hAnsi="Arial"/>
          <w:color w:val="000000"/>
          <w:szCs w:val="24"/>
        </w:rPr>
        <w:t>/ADAPT, and RDF standards underlying FMIS integration.</w:t>
      </w:r>
    </w:p>
    <w:p w14:paraId="05B3C61B"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Proposes a domain-specific research agenda spanning technical to governance layers.</w:t>
      </w:r>
    </w:p>
    <w:p w14:paraId="56FD54DE" w14:textId="77777777" w:rsidR="00D02F48" w:rsidRPr="003A4922" w:rsidRDefault="00D02F48" w:rsidP="00D02F48">
      <w:pPr>
        <w:pStyle w:val="ListParagraph"/>
        <w:ind w:left="460"/>
        <w:rPr>
          <w:b/>
        </w:rPr>
      </w:pPr>
      <w:r w:rsidRPr="003A4922">
        <w:rPr>
          <w:b/>
        </w:rPr>
        <w:t>Declaration of AI Use</w:t>
      </w:r>
    </w:p>
    <w:p w14:paraId="4FADA855" w14:textId="77777777" w:rsidR="00D02F48" w:rsidRPr="003A4922" w:rsidRDefault="00D02F48" w:rsidP="00D02F48">
      <w:pPr>
        <w:pStyle w:val="ListParagraph"/>
        <w:ind w:left="460"/>
        <w:rPr>
          <w:b/>
        </w:rPr>
      </w:pPr>
    </w:p>
    <w:p w14:paraId="541F9CFE" w14:textId="77777777" w:rsidR="00D02F48" w:rsidRPr="003A4922" w:rsidRDefault="00D02F48" w:rsidP="00D02F48">
      <w:pPr>
        <w:pStyle w:val="ListParagraph"/>
        <w:ind w:left="460"/>
        <w:rPr>
          <w:b/>
        </w:rPr>
      </w:pPr>
    </w:p>
    <w:p w14:paraId="5BD6AD7D" w14:textId="77777777" w:rsidR="00D02F48" w:rsidRPr="003A4922" w:rsidRDefault="00D02F48" w:rsidP="00D02F48">
      <w:pPr>
        <w:pStyle w:val="ListParagraph"/>
        <w:ind w:left="460"/>
        <w:rPr>
          <w:b/>
        </w:rPr>
      </w:pPr>
    </w:p>
    <w:p w14:paraId="55CA7FDB" w14:textId="77777777" w:rsidR="00D02F48" w:rsidRPr="003A4922" w:rsidRDefault="00D02F48" w:rsidP="00D02F48">
      <w:pPr>
        <w:pStyle w:val="ListParagraph"/>
        <w:ind w:left="460"/>
        <w:rPr>
          <w:rFonts w:ascii="Arial" w:hAnsi="Arial" w:cs="Arial"/>
        </w:rPr>
      </w:pPr>
      <w:r w:rsidRPr="003A4922">
        <w:rPr>
          <w:rFonts w:ascii="Arial"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B8CD91B" w14:textId="77777777" w:rsidR="00944DF7" w:rsidRPr="003A4922" w:rsidRDefault="00944DF7" w:rsidP="00654149">
      <w:pPr>
        <w:spacing w:after="160"/>
        <w:jc w:val="both"/>
        <w:rPr>
          <w:color w:val="000000" w:themeColor="text1"/>
          <w:sz w:val="24"/>
          <w:szCs w:val="24"/>
        </w:rPr>
      </w:pPr>
    </w:p>
    <w:p w14:paraId="61A7CDEC" w14:textId="77777777" w:rsidR="00902B52" w:rsidRPr="003A4922" w:rsidRDefault="00902B52" w:rsidP="00965274">
      <w:pPr>
        <w:rPr>
          <w:b/>
          <w:bCs/>
          <w:color w:val="000000" w:themeColor="text1"/>
          <w:sz w:val="24"/>
          <w:szCs w:val="24"/>
        </w:rPr>
      </w:pPr>
    </w:p>
    <w:p w14:paraId="7D93BDE8" w14:textId="77777777" w:rsidR="00DB769D" w:rsidRPr="003A4922" w:rsidRDefault="00B32603" w:rsidP="00965274">
      <w:pPr>
        <w:spacing w:after="240"/>
        <w:rPr>
          <w:color w:val="000000" w:themeColor="text1"/>
          <w:sz w:val="24"/>
          <w:szCs w:val="24"/>
        </w:rPr>
      </w:pPr>
      <w:r w:rsidRPr="003A4922">
        <w:rPr>
          <w:rFonts w:ascii="Arial" w:hAnsi="Arial"/>
          <w:b/>
          <w:bCs/>
          <w:caps/>
          <w:color w:val="000000"/>
          <w:sz w:val="22"/>
          <w:szCs w:val="24"/>
        </w:rPr>
        <w:t>References</w:t>
      </w:r>
    </w:p>
    <w:p w14:paraId="27E9720E"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 AlZubi, A. A., &amp; Galyna, K. (2023). Artificial intelligence and internet of things for sustainable farming and smart agriculture. IEEE Access, 11, 78686–78692.</w:t>
      </w:r>
    </w:p>
    <w:p w14:paraId="41C957D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 Alahmad, T., Neményi, M., &amp; Nyéki, A. (2023). Applying IoT sensors and big data to improve precision crop production: A review. Agronomy, 13(10), 2603. https://doi.org/10.3390/agronomy13102603</w:t>
      </w:r>
    </w:p>
    <w:p w14:paraId="643B4A9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 Abbasi, R., Martinez, P., &amp; Ahmad, R. (2022). The digitization of agricultural industry – a systematic literature review on Agriculture 4.0. Smart Agricultural Technology, 2, 100042.</w:t>
      </w:r>
    </w:p>
    <w:p w14:paraId="51A85B6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 Tantalaki, N., Souravlas, S., &amp; Roumeliotis, M. (2019). Data-driven decision making in precision agriculture: The rise of big data in agricultural systems. Journal of Agricultural &amp; Food Information, 20(4), 344–380.</w:t>
      </w:r>
    </w:p>
    <w:p w14:paraId="42C6E671"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5. Abiri, R., Rizan, N., Balasundram, S. K., Shahbazi, A. B., &amp; Abdul-Hamid, H. (2023). Application of digital technologies for ensuring agricultural productivity. Heliyon, 9(12), Article e22601. https://doi.org/10.1016/j.heliyon.2023.e22601</w:t>
      </w:r>
    </w:p>
    <w:p w14:paraId="6383521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6. Papadopoulos, G., Arduini, S., Uyttendaele, M., &amp; Sørensen, C. G. (2024). A taxonomy of digital agricultural technologies for adoption readiness assessment. Computers and Electronics in Agriculture, 220, 108870.</w:t>
      </w:r>
    </w:p>
    <w:p w14:paraId="3FF142C7"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 xml:space="preserve">7. Theodorakopoulos, L., Theodoropoulou, A., &amp; </w:t>
      </w:r>
      <w:proofErr w:type="spellStart"/>
      <w:r w:rsidRPr="003A4922">
        <w:rPr>
          <w:rFonts w:ascii="Arial" w:hAnsi="Arial"/>
          <w:color w:val="000000"/>
          <w:szCs w:val="24"/>
        </w:rPr>
        <w:t>Halkiopoulos</w:t>
      </w:r>
      <w:proofErr w:type="spellEnd"/>
      <w:r w:rsidRPr="003A4922">
        <w:rPr>
          <w:rFonts w:ascii="Arial" w:hAnsi="Arial"/>
          <w:color w:val="000000"/>
          <w:szCs w:val="24"/>
        </w:rPr>
        <w:t>, C. (2024). Big data analytics for enhanced decision-making and sustainability in agri-food supply chains: A systematic review. Sustainability, 16(19), 8437.</w:t>
      </w:r>
    </w:p>
    <w:p w14:paraId="259BA0E4"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8. Cravero, A., Sepúlveda, S., Gutiérrez, F., &amp; Muñoz, L. (2026). From precision agriculture to intelligent agricultural ecosystems: A systematic review of machine learning and big data applications. Agronomy, 16(5), Article 516. https://doi.org/10.3390/agronomy16050516</w:t>
      </w:r>
    </w:p>
    <w:p w14:paraId="5E780113"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9. Rakesh, S., Kumar, P., &amp; Sharma, N. (2020). Machine learning applications in precision agriculture: A bibliometric review. Precision Agriculture, 21, 1–20.</w:t>
      </w:r>
    </w:p>
    <w:p w14:paraId="3CCE2339"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10. International Organization for Standardization. (2017). ISO 11783: Tractors and machinery for agriculture and forestry — Serial control and communications data network. ISO.</w:t>
      </w:r>
    </w:p>
    <w:p w14:paraId="4B2A1C1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11. CEMA – European Agricultural Machinery. (2020). Connected agricultural machines in digital farming. CEMA Position Paper.</w:t>
      </w:r>
    </w:p>
    <w:p w14:paraId="2983BAA1"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12. AgGateway. (2019). SPADE data project releases ISOBUS extension to the Agricultural Data Application Programming Toolkit (ADAPT). PrecisionAg.</w:t>
      </w:r>
    </w:p>
    <w:p w14:paraId="3D9B6F0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13. Dhal, S. B., &amp; Kar, D. (2024). Transforming agricultural productivity with AI-driven forecasting: Innovations in food security and supply chain optimization. Forecasting, 6(4), 925–951. https://doi.org/10.3390/forecast6040046</w:t>
      </w:r>
    </w:p>
    <w:p w14:paraId="0EFF56C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lastRenderedPageBreak/>
        <w:t>14. Teshome, F. T., Bayabil, H. K., Hoogenboom, G., Schaffer, B., Singh, A., &amp; Ampatzidis, Y. (2024). Application of deep learning image classification and object detection algorithms for precision agriculture: A review. Smart Agricultural Technology, 7, 100352.</w:t>
      </w:r>
    </w:p>
    <w:p w14:paraId="74B00393"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15. Ejima, U. D. (2025). Implementing artificial intelligence and machine learning algorithms for optimized crop management: A systematic review on data-driven approaches to enhancing resource use and agricultural sustainability. Cogent Food &amp; Agriculture, 11(1), Article 2569982. https://doi.org/10.1080/23311932.2025.2569982</w:t>
      </w:r>
    </w:p>
    <w:p w14:paraId="1F8619F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16. Srivastav, A. K., &amp; Das, P. (2025). Edge computing and AI in agricultural IoT. In Biotechnology and IoT in Agriculture and Food Production. Apress.</w:t>
      </w:r>
    </w:p>
    <w:p w14:paraId="769EBA1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17. Sapna, Gauttam, H., Chauhan, V., Pattanaik, K. K., Trivedi, A., &amp; Ghosh, H. (2026). A comprehensive review of edge computing empowered smart agriculture: Trends, opportunities and future directions. Computers and Electronics in Agriculture, 241, Article 111252. https://doi.org/10.1016/j.compag.2025.111252</w:t>
      </w:r>
    </w:p>
    <w:p w14:paraId="42553E39"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18. Fountas, S., Carli, G., Sørensen, C. G., Tsiropoulos, Z., Cavalaris, C., Vatsanidou, A., Liakos, B., Canavari, M., Wiebensohn, J., &amp; Tisserye, B. (2015). Farm management information systems: Current situation and future perspectives. Computers and Electronics in Agriculture, 115, 40–50. https://doi.org/10.1016/j.compag.2015.05.011</w:t>
      </w:r>
    </w:p>
    <w:p w14:paraId="5B40E9F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19. Giua, C., Materia, V. C., &amp; Camanzi, L. (2021). Management information systems adoption at the farm level: Evidence from the literature. British Food Journal, 123(3), 884–909.</w:t>
      </w:r>
    </w:p>
    <w:p w14:paraId="645BCF9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20. Carrer, M. J., de Souza Filho, H. M., &amp; Batalha, M. O. (2017). Factors influencing the adoption of farm management information systems (FMIS) by Brazilian citrus farmers. Computers and Electronics in Agriculture, 138, 11–19. https://doi.org/10.1016/j.compag.2017.04.004</w:t>
      </w:r>
    </w:p>
    <w:p w14:paraId="3136C1AC"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21. de Souza Filho, H. M., Vinholis, M. de M. B., Carrer, M. J., &amp; Mozambani, C. I. (2025). Adoption of farm management information systems (FMIS): The case of Brazilian sugarcane farmers. Outlook on Agriculture. Advance online publication. https://doi.org/10.1177/02666669231177864</w:t>
      </w:r>
    </w:p>
    <w:p w14:paraId="1CB0AEB7"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22. Ellahi, R. M., Wood, L. C., &amp; Bekhit, A. E. A. (2023). Blockchain-based frameworks for food traceability: A systematic review. Foods, 12(16), 3026.</w:t>
      </w:r>
    </w:p>
    <w:p w14:paraId="412B640B"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23. Runck, B. C., Manson, S., Shook, E., Gini, M., &amp; Jordan, N. (2022). Using digital agriculture to model the food-energy-water nexus. Environmental Research Letters, 17(4), 045002.</w:t>
      </w:r>
    </w:p>
    <w:p w14:paraId="38A9D15D"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24. Agribusiness Academy. (2025). Sustainability (ESG) reporting in food and agribusiness: Challenges, best practices, and success stories.</w:t>
      </w:r>
    </w:p>
    <w:p w14:paraId="65D1AEAE"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25. World Resources Institute &amp; World Business Council for Sustainable Development. (2011). Corporate value chain (Scope 3) accounting and reporting standards. GHG Protocol.</w:t>
      </w:r>
    </w:p>
    <w:p w14:paraId="38273782"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26. European Commission. (2023). European Sustainability Reporting Standards (ESRS) under the Corporate Sustainability Reporting Directive (CSRD).</w:t>
      </w:r>
    </w:p>
    <w:p w14:paraId="5389381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27. Science Based Targets initiative. (2024). SBTi corporate near-term criteria and scope 3 requirements.</w:t>
      </w:r>
    </w:p>
    <w:p w14:paraId="5239973B"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28. Farmraise. (2026). Supply chain disclosure: What Scope 3 buyers are asking ag producers to prove.</w:t>
      </w:r>
    </w:p>
    <w:p w14:paraId="066B9A37"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lastRenderedPageBreak/>
        <w:t>29. Ahoa, E., Kassahun, A., Verdouw, C., &amp; Tekinerdogan, B. (2025). Challenges and solution directions for the integration of smart information systems in the agri-food sector. Sensors, 25(8), Article 2362. https://doi.org/10.3390/s25082362</w:t>
      </w:r>
    </w:p>
    <w:p w14:paraId="6907D30B"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30. Rouzky, R., Sarrafzadeh, A., Sowells-Boone, E., Pasandi, H. B., &amp; Goins, G. (2025). Data governance in smart farming: A systematic review of challenges and gaps. Smart Agricultural Technology. Advance online publication.</w:t>
      </w:r>
    </w:p>
    <w:p w14:paraId="6C384D7F"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 xml:space="preserve">31. Jayashankar, P., </w:t>
      </w:r>
      <w:proofErr w:type="spellStart"/>
      <w:r w:rsidRPr="003A4922">
        <w:rPr>
          <w:rFonts w:ascii="Arial" w:hAnsi="Arial"/>
          <w:color w:val="000000"/>
          <w:szCs w:val="24"/>
        </w:rPr>
        <w:t>Nilakanta</w:t>
      </w:r>
      <w:proofErr w:type="spellEnd"/>
      <w:r w:rsidRPr="003A4922">
        <w:rPr>
          <w:rFonts w:ascii="Arial" w:hAnsi="Arial"/>
          <w:color w:val="000000"/>
          <w:szCs w:val="24"/>
        </w:rPr>
        <w:t>, S., Johnston, W. J., Gill, P., &amp; Burres, R. (2018). IoT adoption in agriculture: The role of trust, perceived value and risk. Journal of Business &amp; Industrial Marketing, 33(6), 804–821.</w:t>
      </w:r>
    </w:p>
    <w:p w14:paraId="4701EEAF"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32. Shepherd, M., Turner, J. A., Small, B., &amp; Wheeler, D. (2020). Priorities for science to overcome hurdles thwarting the full promise of the digital agriculture revolution. Journal of the Science of Food and Agriculture, 100(14), 5083–5092.</w:t>
      </w:r>
    </w:p>
    <w:p w14:paraId="302E787B"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33. Bergstrom, D., Vaughan, M., &amp; Kumar, S. (2022). Unmanned aircraft systems in agriculture: Privacy and security implications. Journal of Agricultural Safety and Health, 28(3), 145–158.</w:t>
      </w:r>
    </w:p>
    <w:p w14:paraId="01D0D669"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34. Dencik, L., Redden, J., Hintz, A., &amp; Warne, H. (2022). The golden view: Data-driven governance in the scoring society. Internet Policy Review, 11(1), 1–19.</w:t>
      </w:r>
    </w:p>
    <w:p w14:paraId="43BE37D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35. World Bank. (2024). Agriculture and food overview. World Bank Group.</w:t>
      </w:r>
    </w:p>
    <w:p w14:paraId="736FECD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36. Bontsa, N., Mushunje, A., &amp; Ngarava, S. (2023). Digitisation and smallholder agriculture in South Africa: Opportunities and constraints. South African Journal of Agricultural Extension, 51(2), 1–15.</w:t>
      </w:r>
    </w:p>
    <w:p w14:paraId="27DE19D9"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37. Tzachor, A., Devare, M., Richards, C., Pypers, P., Ghosh, A., Koo, J., Johal, S., &amp; King, B. (2023). Large language models and agricultural extension services. Nature Food, 4(11), 941–948.</w:t>
      </w:r>
    </w:p>
    <w:p w14:paraId="0E926B9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38. Sen, L. T. H., Phuong, L. T. H., Chou, P., Dacuyan, F. B., Nyberg, Y., &amp; Wetterlind, J. (2025). The opportunities and barriers in developing interactive digital extension services for smallholder farmers as a pathway to sustainable agriculture: A systematic review. Sustainability, 17(7), Article 3007. https://doi.org/10.3390/su17073007</w:t>
      </w:r>
    </w:p>
    <w:p w14:paraId="2235ED2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39. Meemken, E.-M., &amp; Bellemare, M. F. (2020). Smallholder farmers and contract farming in developing countries. Proceedings of the National Academy of Sciences, 117(1), 259–264.</w:t>
      </w:r>
    </w:p>
    <w:p w14:paraId="09D6AEBC"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40. Censi, R., Campana, P., Tarola, A. M., &amp; Ruggieri, R. (2025). Digital pathways toward sustainability in agri-food waste: A systematic review. Resources, 14(8), Article 126. https://doi.org/10.3390/resources14080126</w:t>
      </w:r>
    </w:p>
    <w:p w14:paraId="0BFA0810"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41. Pienwisetkaew, T., Wongsaichia, S., Pinyosap, B., Prasertsil, S., Poonsakpaisarn, K., &amp; Ketkaew, C. (2023). The behavioral intention to adopt circular economy-based digital technology for agricultural waste valorization. Foods, 12(12), Article 2341. https://doi.org/10.3390/foods12122341</w:t>
      </w:r>
    </w:p>
    <w:p w14:paraId="1214164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42. Carrer, M. J. (2023). Farm management information systems (FMIS). In Q. Zhang (Ed.), Encyclopedia of Smart Agriculture Technologies (pp. 1–7). Springer Nature Switzerland. https://doi.org/10.1007/978-3-030-89123-7_16-2</w:t>
      </w:r>
    </w:p>
    <w:p w14:paraId="27A72158"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43. Frontiers in Sustainable Food Systems. (2025). Challenges and opportunities in smallholder agriculture digitization in South Africa.</w:t>
      </w:r>
    </w:p>
    <w:p w14:paraId="51B7035C"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lastRenderedPageBreak/>
        <w:t>44. PMC. (2023). Drivers and intensity of adoption of digital agricultural services by smallholder farmers in Ghana.</w:t>
      </w:r>
    </w:p>
    <w:p w14:paraId="7508CAD1"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45. ScienceDirect. (2025). Advancing agriculture through IoT, Big Data, and AI: A review of smart technologies enabling sustainability.</w:t>
      </w:r>
    </w:p>
    <w:p w14:paraId="6D59B16E"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 xml:space="preserve">46. </w:t>
      </w:r>
      <w:proofErr w:type="spellStart"/>
      <w:r w:rsidRPr="003A4922">
        <w:rPr>
          <w:rFonts w:ascii="Arial" w:hAnsi="Arial"/>
          <w:color w:val="000000"/>
          <w:szCs w:val="24"/>
        </w:rPr>
        <w:t>Sykuta</w:t>
      </w:r>
      <w:proofErr w:type="spellEnd"/>
      <w:r w:rsidRPr="003A4922">
        <w:rPr>
          <w:rFonts w:ascii="Arial" w:hAnsi="Arial"/>
          <w:color w:val="000000"/>
          <w:szCs w:val="24"/>
        </w:rPr>
        <w:t>, M. E. (2016). Big data in agriculture: Property rights, privacy and competition in ag data services. International Food and Agribusiness Management Review, 19, 57–74.</w:t>
      </w:r>
    </w:p>
    <w:p w14:paraId="24F8AC65"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 xml:space="preserve">47. </w:t>
      </w:r>
      <w:proofErr w:type="spellStart"/>
      <w:r w:rsidRPr="003A4922">
        <w:rPr>
          <w:rFonts w:ascii="Arial" w:hAnsi="Arial"/>
          <w:color w:val="000000"/>
          <w:szCs w:val="24"/>
        </w:rPr>
        <w:t>arXiv</w:t>
      </w:r>
      <w:proofErr w:type="spellEnd"/>
      <w:r w:rsidRPr="003A4922">
        <w:rPr>
          <w:rFonts w:ascii="Arial" w:hAnsi="Arial"/>
          <w:color w:val="000000"/>
          <w:szCs w:val="24"/>
        </w:rPr>
        <w:t>. (2024). Empowering digital agriculture: A privacy-preserving framework for data sharing and collaborative research. arXiv:2506.20872.</w:t>
      </w:r>
    </w:p>
    <w:p w14:paraId="72FA53AA"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48. Ruder, S.-L., &amp; Wittman, H. (2025). Agricultural data governance from the ground up: Exploring data justice with agri-food movements. Big Data &amp; Society, 12(1). https://doi.org/10.1177/20539517251330182</w:t>
      </w:r>
    </w:p>
    <w:p w14:paraId="08688AB6"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49. Carrer, M. J., de Souza Filho, H. M., Batalha, M. O., &amp; Rossi, F. R. (2015). Farm management information systems (FMIS) and technical efficiency: An analysis of citrus farms in Brazil. Computers and Electronics in Agriculture, 119, 105–111. https://doi.org/10.1016/j.compag.2015.10.013</w:t>
      </w:r>
    </w:p>
    <w:p w14:paraId="2D9E1573"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50. Frontiers in Sustainable Food Systems. (2022). Protecting farmers' data privacy and confidentiality: Recommendations and considerations.</w:t>
      </w:r>
    </w:p>
    <w:p w14:paraId="24A9B27F" w14:textId="77777777" w:rsidR="00DB769D" w:rsidRPr="003A4922" w:rsidRDefault="00B32603" w:rsidP="00965274">
      <w:pPr>
        <w:spacing w:after="160"/>
        <w:ind w:left="720" w:hanging="720"/>
        <w:jc w:val="both"/>
        <w:rPr>
          <w:color w:val="000000" w:themeColor="text1"/>
          <w:sz w:val="24"/>
          <w:szCs w:val="24"/>
        </w:rPr>
      </w:pPr>
      <w:r w:rsidRPr="003A4922">
        <w:rPr>
          <w:rFonts w:ascii="Arial" w:hAnsi="Arial"/>
          <w:color w:val="000000"/>
          <w:szCs w:val="24"/>
        </w:rPr>
        <w:t>51. ScienceDirect. (2025). Agricultural data privacy and federated learning: A review of challenges and opportunities. Computers and Electronics in Agriculture.</w:t>
      </w:r>
    </w:p>
    <w:p w14:paraId="1D318430" w14:textId="77777777" w:rsidR="00DB769D" w:rsidRPr="00034A62" w:rsidRDefault="00B32603" w:rsidP="00965274">
      <w:pPr>
        <w:spacing w:after="160"/>
        <w:ind w:left="720" w:hanging="720"/>
        <w:jc w:val="both"/>
        <w:rPr>
          <w:color w:val="000000" w:themeColor="text1"/>
          <w:sz w:val="24"/>
          <w:szCs w:val="24"/>
        </w:rPr>
      </w:pPr>
      <w:r w:rsidRPr="003A4922">
        <w:rPr>
          <w:rFonts w:ascii="Arial" w:hAnsi="Arial"/>
          <w:color w:val="000000"/>
          <w:szCs w:val="24"/>
        </w:rPr>
        <w:t>52. ScienceDirect. (2025). The digital future of farming: A bibliometric analysis of big data in smart farming research. Smart Agricultural Technology.</w:t>
      </w:r>
    </w:p>
    <w:sectPr w:rsidR="00DB769D" w:rsidRPr="00034A62" w:rsidSect="00944DF7">
      <w:headerReference w:type="even" r:id="rId52"/>
      <w:headerReference w:type="default" r:id="rId53"/>
      <w:footerReference w:type="default" r:id="rId54"/>
      <w:headerReference w:type="first" r:id="rId55"/>
      <w:type w:val="continuous"/>
      <w:pgSz w:w="12240" w:h="15840"/>
      <w:pgMar w:top="1440" w:right="2016" w:bottom="2016" w:left="201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1C163" w14:textId="77777777" w:rsidR="00892ABE" w:rsidRDefault="00892ABE">
      <w:r>
        <w:separator/>
      </w:r>
    </w:p>
  </w:endnote>
  <w:endnote w:type="continuationSeparator" w:id="0">
    <w:p w14:paraId="34BBF610" w14:textId="77777777" w:rsidR="00892ABE" w:rsidRDefault="00892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75F4" w14:textId="77777777" w:rsidR="00496688" w:rsidRDefault="00496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F8C4" w14:textId="77777777" w:rsidR="00496688" w:rsidRDefault="00496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EE6F" w14:textId="77777777" w:rsidR="00496688" w:rsidRDefault="004966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D425" w14:textId="2F2A9C26" w:rsidR="00D67B6C" w:rsidRPr="00B85732" w:rsidRDefault="00D67B6C" w:rsidP="00B857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8700" w14:textId="28ED547D" w:rsidR="00D67B6C" w:rsidRPr="00B85732" w:rsidRDefault="00D67B6C" w:rsidP="00B857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28B" w14:textId="413074E6" w:rsidR="00D67B6C" w:rsidRPr="003A4922" w:rsidRDefault="00D67B6C" w:rsidP="003A49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6874" w14:textId="0C5AFF64" w:rsidR="00D67B6C" w:rsidRPr="003A4922" w:rsidRDefault="00D67B6C" w:rsidP="003A49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5293B" w14:textId="06C65315" w:rsidR="00D67B6C" w:rsidRPr="003A4922" w:rsidRDefault="00D67B6C" w:rsidP="003A49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DD1D" w14:textId="0716AA71" w:rsidR="00D67B6C" w:rsidRPr="003A4922" w:rsidRDefault="00D67B6C" w:rsidP="003A49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30AA" w14:textId="7BD6C7C2" w:rsidR="00D67B6C" w:rsidRPr="003A4922" w:rsidRDefault="00D67B6C" w:rsidP="003A492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BD298" w14:textId="7EB9EB29" w:rsidR="00D67B6C" w:rsidRPr="00496688" w:rsidRDefault="00D67B6C" w:rsidP="0049668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6D7E" w14:textId="04B9AFC2" w:rsidR="00D67B6C" w:rsidRPr="003A4922" w:rsidRDefault="00D67B6C" w:rsidP="003A492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CA67" w14:textId="44A5766C" w:rsidR="00D67B6C" w:rsidRPr="00944DF7" w:rsidRDefault="00D67B6C" w:rsidP="00944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BAEEA" w14:textId="77777777" w:rsidR="00892ABE" w:rsidRDefault="00892ABE">
      <w:r>
        <w:separator/>
      </w:r>
    </w:p>
  </w:footnote>
  <w:footnote w:type="continuationSeparator" w:id="0">
    <w:p w14:paraId="2702DFF3" w14:textId="77777777" w:rsidR="00892ABE" w:rsidRDefault="00892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0D284" w14:textId="5B75E50E" w:rsidR="00496688" w:rsidRDefault="00496688">
    <w:pPr>
      <w:pStyle w:val="Header"/>
    </w:pPr>
    <w:r>
      <w:rPr>
        <w:noProof/>
      </w:rPr>
      <w:pict w14:anchorId="6F9252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8"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84AF" w14:textId="235AB561" w:rsidR="00496688" w:rsidRDefault="00496688">
    <w:pPr>
      <w:pStyle w:val="Header"/>
    </w:pPr>
    <w:r>
      <w:rPr>
        <w:noProof/>
      </w:rPr>
      <w:pict w14:anchorId="6C5210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9"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01FB2" w14:textId="7DA23029" w:rsidR="00496688" w:rsidRDefault="00496688">
    <w:pPr>
      <w:pStyle w:val="Header"/>
    </w:pPr>
    <w:r>
      <w:rPr>
        <w:noProof/>
      </w:rPr>
      <w:pict w14:anchorId="6DC019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7"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09695" w14:textId="4531A1FB" w:rsidR="00496688" w:rsidRDefault="00496688">
    <w:pPr>
      <w:pStyle w:val="Header"/>
    </w:pPr>
    <w:r>
      <w:rPr>
        <w:noProof/>
      </w:rPr>
      <w:pict w14:anchorId="38E506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1"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F594DF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FA11" w14:textId="32642AC0" w:rsidR="00496688" w:rsidRDefault="00496688">
    <w:pPr>
      <w:pStyle w:val="Header"/>
    </w:pPr>
    <w:r>
      <w:rPr>
        <w:noProof/>
      </w:rPr>
      <w:pict w14:anchorId="742B0B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2"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49F418F">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8B79" w14:textId="6B0817D5" w:rsidR="00496688" w:rsidRDefault="00496688">
    <w:pPr>
      <w:pStyle w:val="Header"/>
    </w:pPr>
    <w:r>
      <w:rPr>
        <w:noProof/>
      </w:rPr>
      <w:pict w14:anchorId="18BB78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0" o:spid="_x0000_s1029" type="#_x0000_t136" style="position:absolute;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482808D">
        <v:shape id="_x0000_s1028" type="#_x0000_t136" style="position:absolute;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0E3F4" w14:textId="3183F506" w:rsidR="00496688" w:rsidRDefault="00496688">
    <w:pPr>
      <w:pStyle w:val="Header"/>
    </w:pPr>
    <w:r>
      <w:rPr>
        <w:noProof/>
      </w:rPr>
      <w:pict w14:anchorId="009A10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4" o:spid="_x0000_s1039" type="#_x0000_t136" style="position:absolute;margin-left:0;margin-top:0;width:520.65pt;height:57.85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19F231D">
        <v:shape id="_x0000_s1038" type="#_x0000_t136" style="position:absolute;margin-left:0;margin-top:0;width:520.65pt;height:57.8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112D778">
        <v:shape id="_x0000_s1037" type="#_x0000_t136" style="position:absolute;margin-left:0;margin-top:0;width:520.65pt;height:57.85pt;rotation:315;z-index:-25163366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4262" w14:textId="401834D1" w:rsidR="00496688" w:rsidRDefault="00496688">
    <w:pPr>
      <w:pStyle w:val="Header"/>
    </w:pPr>
    <w:r>
      <w:rPr>
        <w:noProof/>
      </w:rPr>
      <w:pict w14:anchorId="21F7F2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5" o:spid="_x0000_s1042" type="#_x0000_t136" style="position:absolute;margin-left:0;margin-top:0;width:520.65pt;height:57.85pt;rotation:315;z-index:-2516254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AF68B1D">
        <v:shape id="_x0000_s1041" type="#_x0000_t136" style="position:absolute;margin-left:0;margin-top:0;width:520.65pt;height:57.85pt;rotation:315;z-index:-2516275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F43C36E">
        <v:shape id="_x0000_s1040" type="#_x0000_t136" style="position:absolute;margin-left:0;margin-top:0;width:520.65pt;height:57.85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30C59" w14:textId="53AAF5F7" w:rsidR="00496688" w:rsidRDefault="00496688">
    <w:pPr>
      <w:pStyle w:val="Header"/>
    </w:pPr>
    <w:r>
      <w:rPr>
        <w:noProof/>
      </w:rPr>
      <w:pict w14:anchorId="07CCB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3" o:spid="_x0000_s1036" type="#_x0000_t136" style="position:absolute;margin-left:0;margin-top:0;width:520.65pt;height:57.85pt;rotation:315;z-index:-2516357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9091AD2">
        <v:shape id="_x0000_s1035" type="#_x0000_t136" style="position:absolute;margin-left:0;margin-top:0;width:520.65pt;height:57.85pt;rotation:315;z-index:-2516377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D56B824">
        <v:shape id="_x0000_s1034" type="#_x0000_t136" style="position:absolute;margin-left:0;margin-top:0;width:520.65pt;height:57.85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E18C" w14:textId="0060EE15" w:rsidR="00496688" w:rsidRDefault="00496688">
    <w:pPr>
      <w:pStyle w:val="Header"/>
    </w:pPr>
    <w:r>
      <w:rPr>
        <w:noProof/>
      </w:rPr>
      <w:pict w14:anchorId="70D041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7" o:spid="_x0000_s1050" type="#_x0000_t136" style="position:absolute;margin-left:0;margin-top:0;width:520.65pt;height:57.85pt;rotation:315;z-index:-2516131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E20F3E2">
        <v:shape id="_x0000_s1049" type="#_x0000_t136" style="position:absolute;margin-left:0;margin-top:0;width:520.65pt;height:57.85pt;rotation:315;z-index:-2516152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13911D3">
        <v:shape id="_x0000_s1048" type="#_x0000_t136" style="position:absolute;margin-left:0;margin-top:0;width:520.65pt;height:57.85pt;rotation:315;z-index:-2516162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56D94A1">
        <v:shape id="_x0000_s1047" type="#_x0000_t136" style="position:absolute;margin-left:0;margin-top:0;width:520.65pt;height:57.85pt;rotation:315;z-index:-2516172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E572" w14:textId="54A6D66A" w:rsidR="00496688" w:rsidRDefault="00496688">
    <w:pPr>
      <w:pStyle w:val="Header"/>
    </w:pPr>
    <w:r>
      <w:rPr>
        <w:noProof/>
      </w:rPr>
      <w:pict w14:anchorId="6F48B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8" o:spid="_x0000_s1054" type="#_x0000_t136" style="position:absolute;margin-left:0;margin-top:0;width:520.65pt;height:57.85pt;rotation:315;z-index:-2516070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894AB19">
        <v:shape id="_x0000_s1053" type="#_x0000_t136" style="position:absolute;margin-left:0;margin-top:0;width:520.65pt;height:57.85pt;rotation:315;z-index:-25160908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A74D1C5">
        <v:shape id="_x0000_s1052" type="#_x0000_t136" style="position:absolute;margin-left:0;margin-top:0;width:520.65pt;height:57.85pt;rotation:315;z-index:-2516101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EA05DCA">
        <v:shape id="_x0000_s1051" type="#_x0000_t136" style="position:absolute;margin-left:0;margin-top:0;width:520.65pt;height:57.85pt;rotation:315;z-index:-25161113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5115" w14:textId="5571CF86" w:rsidR="00496688" w:rsidRDefault="00496688">
    <w:pPr>
      <w:pStyle w:val="Header"/>
    </w:pPr>
    <w:r>
      <w:rPr>
        <w:noProof/>
      </w:rPr>
      <w:pict w14:anchorId="101A21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6" o:spid="_x0000_s1046" type="#_x0000_t136" style="position:absolute;margin-left:0;margin-top:0;width:520.65pt;height:57.85pt;rotation:315;z-index:-2516193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D48BDC0">
        <v:shape id="_x0000_s1045" type="#_x0000_t136" style="position:absolute;margin-left:0;margin-top:0;width:520.65pt;height:57.85pt;rotation:315;z-index:-25162137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AA44165">
        <v:shape id="_x0000_s1044" type="#_x0000_t136" style="position:absolute;margin-left:0;margin-top:0;width:520.65pt;height:57.85pt;rotation:315;z-index:-2516224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A6DA6F2">
        <v:shape id="_x0000_s1043" type="#_x0000_t136" style="position:absolute;margin-left:0;margin-top:0;width:520.65pt;height:57.85pt;rotation:315;z-index:-25162342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23D95" w14:textId="266CC5C8" w:rsidR="00496688" w:rsidRDefault="00496688">
    <w:pPr>
      <w:pStyle w:val="Header"/>
    </w:pPr>
    <w:r>
      <w:rPr>
        <w:noProof/>
      </w:rPr>
      <w:pict w14:anchorId="1B6FAD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0" o:spid="_x0000_s1064" type="#_x0000_t136" style="position:absolute;margin-left:0;margin-top:0;width:520.65pt;height:57.85pt;rotation:315;z-index:-25159270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F805108">
        <v:shape id="_x0000_s1063" type="#_x0000_t136" style="position:absolute;margin-left:0;margin-top:0;width:520.65pt;height:57.85pt;rotation:315;z-index:-25159475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8B16584">
        <v:shape id="_x0000_s1062" type="#_x0000_t136" style="position:absolute;margin-left:0;margin-top:0;width:520.65pt;height:57.85pt;rotation:315;z-index:-25159577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89048FB">
        <v:shape id="_x0000_s1061" type="#_x0000_t136" style="position:absolute;margin-left:0;margin-top:0;width:520.65pt;height:57.85pt;rotation:315;z-index:-2515968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24C785D">
        <v:shape id="_x0000_s1060" type="#_x0000_t136" style="position:absolute;margin-left:0;margin-top:0;width:520.65pt;height:57.85pt;rotation:315;z-index:-25159782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C86C" w14:textId="7CF3C00E" w:rsidR="00496688" w:rsidRDefault="00496688">
    <w:pPr>
      <w:pStyle w:val="Header"/>
    </w:pPr>
    <w:r>
      <w:rPr>
        <w:noProof/>
      </w:rPr>
      <w:pict w14:anchorId="316B50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1" o:spid="_x0000_s1069" type="#_x0000_t136" style="position:absolute;margin-left:0;margin-top:0;width:520.65pt;height:57.85pt;rotation:315;z-index:-25158553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A0122DC">
        <v:shape id="_x0000_s1068" type="#_x0000_t136" style="position:absolute;margin-left:0;margin-top:0;width:520.65pt;height:57.85pt;rotation:315;z-index:-2515875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8A3471C">
        <v:shape id="_x0000_s1067" type="#_x0000_t136" style="position:absolute;margin-left:0;margin-top:0;width:520.65pt;height:57.85pt;rotation:315;z-index:-25158860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AEBDA4F">
        <v:shape id="_x0000_s1066" type="#_x0000_t136" style="position:absolute;margin-left:0;margin-top:0;width:520.65pt;height:57.85pt;rotation:315;z-index:-2515896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22DA13">
        <v:shape id="_x0000_s1065" type="#_x0000_t136" style="position:absolute;margin-left:0;margin-top:0;width:520.65pt;height:57.85pt;rotation:315;z-index:-25159065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8972" w14:textId="7E441115" w:rsidR="00496688" w:rsidRDefault="00496688">
    <w:pPr>
      <w:pStyle w:val="Header"/>
    </w:pPr>
    <w:r>
      <w:rPr>
        <w:noProof/>
      </w:rPr>
      <w:pict w14:anchorId="075FB8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9" o:spid="_x0000_s1059" type="#_x0000_t136" style="position:absolute;margin-left:0;margin-top:0;width:520.65pt;height:57.85pt;rotation:315;z-index:-2515998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BB5B9F2">
        <v:shape id="_x0000_s1058" type="#_x0000_t136" style="position:absolute;margin-left:0;margin-top:0;width:520.65pt;height:57.85pt;rotation:315;z-index:-2516019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AB602B">
        <v:shape id="_x0000_s1057" type="#_x0000_t136" style="position:absolute;margin-left:0;margin-top:0;width:520.65pt;height:57.85pt;rotation:315;z-index:-2516029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A9510CA">
        <v:shape id="_x0000_s1056" type="#_x0000_t136" style="position:absolute;margin-left:0;margin-top:0;width:520.65pt;height:57.85pt;rotation:315;z-index:-2516039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3B1CD94">
        <v:shape id="_x0000_s1055" type="#_x0000_t136" style="position:absolute;margin-left:0;margin-top:0;width:520.65pt;height:57.85pt;rotation:315;z-index:-25160499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9D01" w14:textId="1637A156" w:rsidR="00496688" w:rsidRDefault="00496688">
    <w:pPr>
      <w:pStyle w:val="Header"/>
    </w:pPr>
    <w:r>
      <w:rPr>
        <w:noProof/>
      </w:rPr>
      <w:pict w14:anchorId="2693FC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3" o:spid="_x0000_s1081" type="#_x0000_t136" style="position:absolute;margin-left:0;margin-top:0;width:520.65pt;height:57.85pt;rotation:315;z-index:-25156915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196824A">
        <v:shape id="_x0000_s1080" type="#_x0000_t136" style="position:absolute;margin-left:0;margin-top:0;width:520.65pt;height:57.85pt;rotation:315;z-index:-2515712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61109AD">
        <v:shape id="_x0000_s1079" type="#_x0000_t136" style="position:absolute;margin-left:0;margin-top:0;width:520.65pt;height:57.85pt;rotation:315;z-index:-2515722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6AD25E9">
        <v:shape id="_x0000_s1078" type="#_x0000_t136" style="position:absolute;margin-left:0;margin-top:0;width:520.65pt;height:57.85pt;rotation:315;z-index:-25157324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B944359">
        <v:shape id="_x0000_s1077" type="#_x0000_t136" style="position:absolute;margin-left:0;margin-top:0;width:520.65pt;height:57.85pt;rotation:315;z-index:-2515742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1E86FCC">
        <v:shape id="_x0000_s1076" type="#_x0000_t136" style="position:absolute;margin-left:0;margin-top:0;width:520.65pt;height:57.85pt;rotation:315;z-index:-25157529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632D2" w14:textId="6DE35C5F" w:rsidR="00496688" w:rsidRDefault="00496688">
    <w:pPr>
      <w:pStyle w:val="Header"/>
    </w:pPr>
    <w:r>
      <w:rPr>
        <w:noProof/>
      </w:rPr>
      <w:pict w14:anchorId="13137E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4" o:spid="_x0000_s1087" type="#_x0000_t136" style="position:absolute;margin-left:0;margin-top:0;width:520.65pt;height:57.85pt;rotation:315;z-index:-2515609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C5BA0E9">
        <v:shape id="_x0000_s1086" type="#_x0000_t136" style="position:absolute;margin-left:0;margin-top:0;width:520.65pt;height:57.85pt;rotation:315;z-index:-25156300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238F891">
        <v:shape id="_x0000_s1085" type="#_x0000_t136" style="position:absolute;margin-left:0;margin-top:0;width:520.65pt;height:57.85pt;rotation:315;z-index:-2515640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EA49810">
        <v:shape id="_x0000_s1084" type="#_x0000_t136" style="position:absolute;margin-left:0;margin-top:0;width:520.65pt;height:57.85pt;rotation:315;z-index:-2515650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B6A58EF">
        <v:shape id="_x0000_s1083" type="#_x0000_t136" style="position:absolute;margin-left:0;margin-top:0;width:520.65pt;height:57.85pt;rotation:315;z-index:-25156608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9E2885D">
        <v:shape id="_x0000_s1082" type="#_x0000_t136" style="position:absolute;margin-left:0;margin-top:0;width:520.65pt;height:57.85pt;rotation:315;z-index:-25156710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60B77" w14:textId="6B7DAB63" w:rsidR="00496688" w:rsidRDefault="00496688">
    <w:pPr>
      <w:pStyle w:val="Header"/>
    </w:pPr>
    <w:r>
      <w:rPr>
        <w:noProof/>
      </w:rPr>
      <w:pict w14:anchorId="63B68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2" o:spid="_x0000_s1075" type="#_x0000_t136" style="position:absolute;margin-left:0;margin-top:0;width:520.65pt;height:57.85pt;rotation:315;z-index:-2515773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2981423">
        <v:shape id="_x0000_s1074" type="#_x0000_t136" style="position:absolute;margin-left:0;margin-top:0;width:520.65pt;height:57.85pt;rotation:315;z-index:-2515793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F496B77">
        <v:shape id="_x0000_s1073" type="#_x0000_t136" style="position:absolute;margin-left:0;margin-top:0;width:520.65pt;height:57.85pt;rotation:315;z-index:-25158041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EAC8BAC">
        <v:shape id="_x0000_s1072" type="#_x0000_t136" style="position:absolute;margin-left:0;margin-top:0;width:520.65pt;height:57.85pt;rotation:315;z-index:-2515814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C771E59">
        <v:shape id="_x0000_s1071" type="#_x0000_t136" style="position:absolute;margin-left:0;margin-top:0;width:520.65pt;height:57.85pt;rotation:315;z-index:-25158246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0D42682">
        <v:shape id="_x0000_s1070" type="#_x0000_t136" style="position:absolute;margin-left:0;margin-top:0;width:520.65pt;height:57.85pt;rotation:315;z-index:-25158348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E090" w14:textId="169F037A" w:rsidR="00496688" w:rsidRDefault="00496688">
    <w:pPr>
      <w:pStyle w:val="Header"/>
    </w:pPr>
    <w:r>
      <w:rPr>
        <w:noProof/>
      </w:rPr>
      <w:pict w14:anchorId="63FDB1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6" o:spid="_x0000_s1101" type="#_x0000_t136" style="position:absolute;margin-left:0;margin-top:0;width:520.65pt;height:57.85pt;rotation:315;z-index:-2515425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894101C">
        <v:shape id="_x0000_s1100" type="#_x0000_t136" style="position:absolute;margin-left:0;margin-top:0;width:520.65pt;height:57.85pt;rotation:315;z-index:-25154457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33AEA53">
        <v:shape id="_x0000_s1099" type="#_x0000_t136" style="position:absolute;margin-left:0;margin-top:0;width:520.65pt;height:57.85pt;rotation:315;z-index:-2515456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63C4F23">
        <v:shape id="_x0000_s1098" type="#_x0000_t136" style="position:absolute;margin-left:0;margin-top:0;width:520.65pt;height:57.85pt;rotation:315;z-index:-2515466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2B4DB84">
        <v:shape id="_x0000_s1097" type="#_x0000_t136" style="position:absolute;margin-left:0;margin-top:0;width:520.65pt;height:57.85pt;rotation:315;z-index:-25154764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F561CB6">
        <v:shape id="_x0000_s1096" type="#_x0000_t136" style="position:absolute;margin-left:0;margin-top:0;width:520.65pt;height:57.85pt;rotation:315;z-index:-2515486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985015">
        <v:shape id="_x0000_s1095" type="#_x0000_t136" style="position:absolute;margin-left:0;margin-top:0;width:520.65pt;height:57.85pt;rotation:315;z-index:-25154969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146F" w14:textId="22716B46" w:rsidR="00496688" w:rsidRDefault="00496688">
    <w:pPr>
      <w:pStyle w:val="Header"/>
    </w:pPr>
    <w:r>
      <w:rPr>
        <w:noProof/>
      </w:rPr>
      <w:pict w14:anchorId="77F8E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7" o:spid="_x0000_s1108" type="#_x0000_t136" style="position:absolute;margin-left:0;margin-top:0;width:520.65pt;height:57.85pt;rotation:315;z-index:-2515333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0C74E6E">
        <v:shape id="_x0000_s1107" type="#_x0000_t136" style="position:absolute;margin-left:0;margin-top:0;width:520.65pt;height:57.85pt;rotation:315;z-index:-2515353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91890C1">
        <v:shape id="_x0000_s1106" type="#_x0000_t136" style="position:absolute;margin-left:0;margin-top:0;width:520.65pt;height:57.85pt;rotation:315;z-index:-2515363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E75F7D4">
        <v:shape id="_x0000_s1105" type="#_x0000_t136" style="position:absolute;margin-left:0;margin-top:0;width:520.65pt;height:57.85pt;rotation:315;z-index:-25153740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EB1774D">
        <v:shape id="_x0000_s1104" type="#_x0000_t136" style="position:absolute;margin-left:0;margin-top:0;width:520.65pt;height:57.85pt;rotation:315;z-index:-2515384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93AA568">
        <v:shape id="_x0000_s1103" type="#_x0000_t136" style="position:absolute;margin-left:0;margin-top:0;width:520.65pt;height:57.85pt;rotation:315;z-index:-2515394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9E857EE">
        <v:shape id="_x0000_s1102" type="#_x0000_t136" style="position:absolute;margin-left:0;margin-top:0;width:520.65pt;height:57.85pt;rotation:315;z-index:-2515404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4174" w14:textId="765DA149" w:rsidR="00496688" w:rsidRDefault="00496688">
    <w:pPr>
      <w:pStyle w:val="Header"/>
    </w:pPr>
    <w:r>
      <w:rPr>
        <w:noProof/>
      </w:rPr>
      <w:pict w14:anchorId="3121B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5" o:spid="_x0000_s1094" type="#_x0000_t136" style="position:absolute;margin-left:0;margin-top:0;width:520.65pt;height:57.85pt;rotation:315;z-index:-2515517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E3B7A77">
        <v:shape id="_x0000_s1093" type="#_x0000_t136" style="position:absolute;margin-left:0;margin-top:0;width:520.65pt;height:57.85pt;rotation:315;z-index:-2515537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AD60EDC">
        <v:shape id="_x0000_s1092" type="#_x0000_t136" style="position:absolute;margin-left:0;margin-top:0;width:520.65pt;height:57.85pt;rotation:315;z-index:-25155481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104C96A">
        <v:shape id="_x0000_s1091" type="#_x0000_t136" style="position:absolute;margin-left:0;margin-top:0;width:520.65pt;height:57.85pt;rotation:315;z-index:-2515558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FAFC9E4">
        <v:shape id="_x0000_s1090" type="#_x0000_t136" style="position:absolute;margin-left:0;margin-top:0;width:520.65pt;height:57.85pt;rotation:315;z-index:-25155686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5E0F642">
        <v:shape id="_x0000_s1089" type="#_x0000_t136" style="position:absolute;margin-left:0;margin-top:0;width:520.65pt;height:57.85pt;rotation:315;z-index:-25155788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254384A">
        <v:shape id="_x0000_s1088" type="#_x0000_t136" style="position:absolute;margin-left:0;margin-top:0;width:520.65pt;height:57.85pt;rotation:315;z-index:-25155891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BC8E" w14:textId="6FD3A4E7" w:rsidR="00496688" w:rsidRDefault="00496688">
    <w:pPr>
      <w:pStyle w:val="Header"/>
    </w:pPr>
    <w:r>
      <w:rPr>
        <w:noProof/>
      </w:rPr>
      <w:pict w14:anchorId="17E2B8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9" o:spid="_x0000_s1124" type="#_x0000_t136" style="position:absolute;margin-left:0;margin-top:0;width:520.65pt;height:57.85pt;rotation:315;z-index:-251512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7B58DCA">
        <v:shape id="_x0000_s1123" type="#_x0000_t136" style="position:absolute;margin-left:0;margin-top:0;width:520.65pt;height:57.85pt;rotation:315;z-index:-25151488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B0D7A8A">
        <v:shape id="_x0000_s1122" type="#_x0000_t136" style="position:absolute;margin-left:0;margin-top:0;width:520.65pt;height:57.85pt;rotation:315;z-index:-25151590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F22D927">
        <v:shape id="_x0000_s1121" type="#_x0000_t136" style="position:absolute;margin-left:0;margin-top:0;width:520.65pt;height:57.85pt;rotation:315;z-index:-251516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6F1588D">
        <v:shape id="_x0000_s1120" type="#_x0000_t136" style="position:absolute;margin-left:0;margin-top:0;width:520.65pt;height:57.85pt;rotation:315;z-index:-25151795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3DEF995">
        <v:shape id="_x0000_s1119" type="#_x0000_t136" style="position:absolute;margin-left:0;margin-top:0;width:520.65pt;height:57.85pt;rotation:315;z-index:-25151897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C19933D">
        <v:shape id="_x0000_s1118" type="#_x0000_t136" style="position:absolute;margin-left:0;margin-top:0;width:520.65pt;height:57.85pt;rotation:315;z-index:-2515200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C3230EC">
        <v:shape id="_x0000_s1117" type="#_x0000_t136" style="position:absolute;margin-left:0;margin-top:0;width:520.65pt;height:57.85pt;rotation:315;z-index:-25152102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EA9C" w14:textId="0DCC7F81" w:rsidR="00496688" w:rsidRDefault="00496688">
    <w:pPr>
      <w:pStyle w:val="Header"/>
    </w:pPr>
    <w:r>
      <w:rPr>
        <w:noProof/>
      </w:rPr>
      <w:pict w14:anchorId="2214AA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0" o:spid="_x0000_s1132" type="#_x0000_t136" style="position:absolute;margin-left:0;margin-top:0;width:520.65pt;height:57.85pt;rotation:315;z-index:-2515025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8F9753D">
        <v:shape id="_x0000_s1131" type="#_x0000_t136" style="position:absolute;margin-left:0;margin-top:0;width:520.65pt;height:57.85pt;rotation:315;z-index:-2515046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5137CC0">
        <v:shape id="_x0000_s1130" type="#_x0000_t136" style="position:absolute;margin-left:0;margin-top:0;width:520.65pt;height:57.85pt;rotation:315;z-index:-25150566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7A5B88D">
        <v:shape id="_x0000_s1129" type="#_x0000_t136" style="position:absolute;margin-left:0;margin-top:0;width:520.65pt;height:57.85pt;rotation:315;z-index:-25150668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BA5DB27">
        <v:shape id="_x0000_s1128" type="#_x0000_t136" style="position:absolute;margin-left:0;margin-top:0;width:520.65pt;height:57.85pt;rotation:315;z-index:-2515077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4D55085">
        <v:shape id="_x0000_s1127" type="#_x0000_t136" style="position:absolute;margin-left:0;margin-top:0;width:520.65pt;height:57.85pt;rotation:315;z-index:-25150873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67EC0A2">
        <v:shape id="_x0000_s1126" type="#_x0000_t136" style="position:absolute;margin-left:0;margin-top:0;width:520.65pt;height:57.85pt;rotation:315;z-index:-2515097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7B0B0D0">
        <v:shape id="_x0000_s1125" type="#_x0000_t136" style="position:absolute;margin-left:0;margin-top:0;width:520.65pt;height:57.85pt;rotation:315;z-index:-25151078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4B65" w14:textId="21FB2E44" w:rsidR="00496688" w:rsidRDefault="00496688">
    <w:pPr>
      <w:pStyle w:val="Header"/>
    </w:pPr>
    <w:r>
      <w:rPr>
        <w:noProof/>
      </w:rPr>
      <w:pict w14:anchorId="3F07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8" o:spid="_x0000_s1116" type="#_x0000_t136" style="position:absolute;margin-left:0;margin-top:0;width:520.65pt;height:57.85pt;rotation:315;z-index:-2515230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C4D3F9A">
        <v:shape id="_x0000_s1115" type="#_x0000_t136" style="position:absolute;margin-left:0;margin-top:0;width:520.65pt;height:57.85pt;rotation:315;z-index:-2515251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A8DF5F2">
        <v:shape id="_x0000_s1114" type="#_x0000_t136" style="position:absolute;margin-left:0;margin-top:0;width:520.65pt;height:57.85pt;rotation:315;z-index:-2515261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321409E">
        <v:shape id="_x0000_s1113" type="#_x0000_t136" style="position:absolute;margin-left:0;margin-top:0;width:520.65pt;height:57.85pt;rotation:315;z-index:-2515271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DB8E955">
        <v:shape id="_x0000_s1112" type="#_x0000_t136" style="position:absolute;margin-left:0;margin-top:0;width:520.65pt;height:57.85pt;rotation:315;z-index:-2515281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9DC25FE">
        <v:shape id="_x0000_s1111" type="#_x0000_t136" style="position:absolute;margin-left:0;margin-top:0;width:520.65pt;height:57.85pt;rotation:315;z-index:-25152921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DAA3905">
        <v:shape id="_x0000_s1110" type="#_x0000_t136" style="position:absolute;margin-left:0;margin-top:0;width:520.65pt;height:57.85pt;rotation:315;z-index:-2515302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65A540C">
        <v:shape id="_x0000_s1109" type="#_x0000_t136" style="position:absolute;margin-left:0;margin-top:0;width:520.65pt;height:57.85pt;rotation:315;z-index:-25153126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6AFC9" w14:textId="6CBFEB54" w:rsidR="00496688" w:rsidRDefault="00496688">
    <w:pPr>
      <w:pStyle w:val="Header"/>
    </w:pPr>
    <w:r>
      <w:rPr>
        <w:noProof/>
      </w:rPr>
      <w:pict w14:anchorId="2EDCE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2" o:spid="_x0000_s1150" type="#_x0000_t136" style="position:absolute;margin-left:0;margin-top:0;width:520.65pt;height:57.85pt;rotation:315;z-index:-25148006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E937348">
        <v:shape id="_x0000_s1149" type="#_x0000_t136" style="position:absolute;margin-left:0;margin-top:0;width:520.65pt;height:57.85pt;rotation:315;z-index:-2514821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9BA65AD">
        <v:shape id="_x0000_s1148" type="#_x0000_t136" style="position:absolute;margin-left:0;margin-top:0;width:520.65pt;height:57.85pt;rotation:315;z-index:-25148313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EDB737E">
        <v:shape id="_x0000_s1147" type="#_x0000_t136" style="position:absolute;margin-left:0;margin-top:0;width:520.65pt;height:57.85pt;rotation:315;z-index:-2514841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3EA73DB">
        <v:shape id="_x0000_s1146" type="#_x0000_t136" style="position:absolute;margin-left:0;margin-top:0;width:520.65pt;height:57.85pt;rotation:315;z-index:-2514851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46B4C2F">
        <v:shape id="_x0000_s1145" type="#_x0000_t136" style="position:absolute;margin-left:0;margin-top:0;width:520.65pt;height:57.85pt;rotation:315;z-index:-25148620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35686AF">
        <v:shape id="_x0000_s1144" type="#_x0000_t136" style="position:absolute;margin-left:0;margin-top:0;width:520.65pt;height:57.85pt;rotation:315;z-index:-2514872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979B8B9">
        <v:shape id="_x0000_s1143" type="#_x0000_t136" style="position:absolute;margin-left:0;margin-top:0;width:520.65pt;height:57.85pt;rotation:315;z-index:-2514882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DB0602E">
        <v:shape id="_x0000_s1142" type="#_x0000_t136" style="position:absolute;margin-left:0;margin-top:0;width:520.65pt;height:57.85pt;rotation:315;z-index:-2514892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2510" w14:textId="26865271" w:rsidR="00496688" w:rsidRDefault="00496688">
    <w:pPr>
      <w:pStyle w:val="Header"/>
    </w:pPr>
    <w:r>
      <w:rPr>
        <w:noProof/>
      </w:rPr>
      <w:pict w14:anchorId="22D37D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3" o:spid="_x0000_s1159" type="#_x0000_t136" style="position:absolute;margin-left:0;margin-top:0;width:520.65pt;height:57.85pt;rotation:315;z-index:-2514688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410292F">
        <v:shape id="_x0000_s1158" type="#_x0000_t136" style="position:absolute;margin-left:0;margin-top:0;width:520.65pt;height:57.85pt;rotation:315;z-index:-25147084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B08E50A">
        <v:shape id="_x0000_s1157" type="#_x0000_t136" style="position:absolute;margin-left:0;margin-top:0;width:520.65pt;height:57.85pt;rotation:315;z-index:-2514718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F4778DC">
        <v:shape id="_x0000_s1156" type="#_x0000_t136" style="position:absolute;margin-left:0;margin-top:0;width:520.65pt;height:57.85pt;rotation:315;z-index:-2514728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3F49406">
        <v:shape id="_x0000_s1155" type="#_x0000_t136" style="position:absolute;margin-left:0;margin-top:0;width:520.65pt;height:57.85pt;rotation:315;z-index:-2514739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8DF66A5">
        <v:shape id="_x0000_s1154" type="#_x0000_t136" style="position:absolute;margin-left:0;margin-top:0;width:520.65pt;height:57.85pt;rotation:315;z-index:-2514749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D71B82F">
        <v:shape id="_x0000_s1153" type="#_x0000_t136" style="position:absolute;margin-left:0;margin-top:0;width:520.65pt;height:57.85pt;rotation:315;z-index:-2514759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EB3C0CE">
        <v:shape id="_x0000_s1152" type="#_x0000_t136" style="position:absolute;margin-left:0;margin-top:0;width:520.65pt;height:57.85pt;rotation:315;z-index:-2514769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0F8A7F4">
        <v:shape id="_x0000_s1151" type="#_x0000_t136" style="position:absolute;margin-left:0;margin-top:0;width:520.65pt;height:57.85pt;rotation:315;z-index:-2514780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1CC9" w14:textId="0F516450" w:rsidR="00496688" w:rsidRDefault="00496688">
    <w:pPr>
      <w:pStyle w:val="Header"/>
    </w:pPr>
    <w:r>
      <w:rPr>
        <w:noProof/>
      </w:rPr>
      <w:pict w14:anchorId="4FDA9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1" o:spid="_x0000_s1141" type="#_x0000_t136" style="position:absolute;margin-left:0;margin-top:0;width:520.65pt;height:57.85pt;rotation:315;z-index:-2514913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9E00564">
        <v:shape id="_x0000_s1140" type="#_x0000_t136" style="position:absolute;margin-left:0;margin-top:0;width:520.65pt;height:57.85pt;rotation:315;z-index:-25149337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23BB70E">
        <v:shape id="_x0000_s1139" type="#_x0000_t136" style="position:absolute;margin-left:0;margin-top:0;width:520.65pt;height:57.85pt;rotation:315;z-index:-2514944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7EA52F3">
        <v:shape id="_x0000_s1138" type="#_x0000_t136" style="position:absolute;margin-left:0;margin-top:0;width:520.65pt;height:57.85pt;rotation:315;z-index:-2514954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37D1D54">
        <v:shape id="_x0000_s1137" type="#_x0000_t136" style="position:absolute;margin-left:0;margin-top:0;width:520.65pt;height:57.85pt;rotation:315;z-index:-25149644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1DAEC52">
        <v:shape id="_x0000_s1136" type="#_x0000_t136" style="position:absolute;margin-left:0;margin-top:0;width:520.65pt;height:57.85pt;rotation:315;z-index:-2514974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6A8C03C">
        <v:shape id="_x0000_s1135" type="#_x0000_t136" style="position:absolute;margin-left:0;margin-top:0;width:520.65pt;height:57.85pt;rotation:315;z-index:-2514984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2E38B59">
        <v:shape id="_x0000_s1134" type="#_x0000_t136" style="position:absolute;margin-left:0;margin-top:0;width:520.65pt;height:57.85pt;rotation:315;z-index:-2514995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E65AF18">
        <v:shape id="_x0000_s1133" type="#_x0000_t136" style="position:absolute;margin-left:0;margin-top:0;width:520.65pt;height:57.85pt;rotation:315;z-index:-25150054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1569B" w14:textId="3F240D32" w:rsidR="00496688" w:rsidRDefault="00496688">
    <w:pPr>
      <w:pStyle w:val="Header"/>
    </w:pPr>
    <w:r>
      <w:rPr>
        <w:noProof/>
      </w:rPr>
      <w:pict w14:anchorId="5B4D4A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5" o:spid="_x0000_s1179" type="#_x0000_t136" style="position:absolute;margin-left:0;margin-top:0;width:520.65pt;height:57.85pt;rotation:315;z-index:-2514442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37BF216">
        <v:shape id="_x0000_s1178" type="#_x0000_t136" style="position:absolute;margin-left:0;margin-top:0;width:520.65pt;height:57.85pt;rotation:315;z-index:-2514462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02FCE1">
        <v:shape id="_x0000_s1177" type="#_x0000_t136" style="position:absolute;margin-left:0;margin-top:0;width:520.65pt;height:57.85pt;rotation:315;z-index:-2514472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EABF0C5">
        <v:shape id="_x0000_s1176" type="#_x0000_t136" style="position:absolute;margin-left:0;margin-top:0;width:520.65pt;height:57.85pt;rotation:315;z-index:-2514483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4095C7">
        <v:shape id="_x0000_s1175" type="#_x0000_t136" style="position:absolute;margin-left:0;margin-top:0;width:520.65pt;height:57.85pt;rotation:315;z-index:-2514493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9BEAF77">
        <v:shape id="_x0000_s1174" type="#_x0000_t136" style="position:absolute;margin-left:0;margin-top:0;width:520.65pt;height:57.85pt;rotation:315;z-index:-2514503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35E163D">
        <v:shape id="_x0000_s1173" type="#_x0000_t136" style="position:absolute;margin-left:0;margin-top:0;width:520.65pt;height:57.85pt;rotation:315;z-index:-2514513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B87E9DF">
        <v:shape id="_x0000_s1172" type="#_x0000_t136" style="position:absolute;margin-left:0;margin-top:0;width:520.65pt;height:57.85pt;rotation:315;z-index:-25145241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823BCF7">
        <v:shape id="_x0000_s1171" type="#_x0000_t136" style="position:absolute;margin-left:0;margin-top:0;width:520.65pt;height:57.85pt;rotation:315;z-index:-2514534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E154F56">
        <v:shape id="_x0000_s1170" type="#_x0000_t136" style="position:absolute;margin-left:0;margin-top:0;width:520.65pt;height:57.85pt;rotation:315;z-index:-25145446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907E" w14:textId="371CD89B" w:rsidR="00496688" w:rsidRDefault="00496688">
    <w:pPr>
      <w:pStyle w:val="Header"/>
    </w:pPr>
    <w:r>
      <w:rPr>
        <w:noProof/>
      </w:rPr>
      <w:pict w14:anchorId="627ED7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6" o:spid="_x0000_s1189" type="#_x0000_t136" style="position:absolute;margin-left:0;margin-top:0;width:520.65pt;height:57.85pt;rotation:315;z-index:-25143193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440CE5F">
        <v:shape id="_x0000_s1188" type="#_x0000_t136" style="position:absolute;margin-left:0;margin-top:0;width:520.65pt;height:57.85pt;rotation:315;z-index:-2514339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39DC52">
        <v:shape id="_x0000_s1187" type="#_x0000_t136" style="position:absolute;margin-left:0;margin-top:0;width:520.65pt;height:57.85pt;rotation:315;z-index:-25143500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7C5E60C">
        <v:shape id="_x0000_s1186" type="#_x0000_t136" style="position:absolute;margin-left:0;margin-top:0;width:520.65pt;height:57.85pt;rotation:315;z-index:-2514360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E170CF0">
        <v:shape id="_x0000_s1185" type="#_x0000_t136" style="position:absolute;margin-left:0;margin-top:0;width:520.65pt;height:57.85pt;rotation:315;z-index:-2514370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5581DF7">
        <v:shape id="_x0000_s1184" type="#_x0000_t136" style="position:absolute;margin-left:0;margin-top:0;width:520.65pt;height:57.85pt;rotation:315;z-index:-25143808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0827135">
        <v:shape id="_x0000_s1183" type="#_x0000_t136" style="position:absolute;margin-left:0;margin-top:0;width:520.65pt;height:57.85pt;rotation:315;z-index:-25143910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73DEE6C">
        <v:shape id="_x0000_s1182" type="#_x0000_t136" style="position:absolute;margin-left:0;margin-top:0;width:520.65pt;height:57.85pt;rotation:315;z-index:-2514401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DF07BDA">
        <v:shape id="_x0000_s1181" type="#_x0000_t136" style="position:absolute;margin-left:0;margin-top:0;width:520.65pt;height:57.85pt;rotation:315;z-index:-25144115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DCC3322">
        <v:shape id="_x0000_s1180" type="#_x0000_t136" style="position:absolute;margin-left:0;margin-top:0;width:520.65pt;height:57.85pt;rotation:315;z-index:-2514421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8176A" w14:textId="1AC92027" w:rsidR="00496688" w:rsidRDefault="00496688">
    <w:pPr>
      <w:pStyle w:val="Header"/>
    </w:pPr>
    <w:r>
      <w:rPr>
        <w:noProof/>
      </w:rPr>
      <w:pict w14:anchorId="44EB87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4" o:spid="_x0000_s1169" type="#_x0000_t136" style="position:absolute;margin-left:0;margin-top:0;width:520.65pt;height:57.85pt;rotation:315;z-index:-2514565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1171D62">
        <v:shape id="_x0000_s1168" type="#_x0000_t136" style="position:absolute;margin-left:0;margin-top:0;width:520.65pt;height:57.85pt;rotation:315;z-index:-2514585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ECF2E8B">
        <v:shape id="_x0000_s1167" type="#_x0000_t136" style="position:absolute;margin-left:0;margin-top:0;width:520.65pt;height:57.85pt;rotation:315;z-index:-2514595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D393A61">
        <v:shape id="_x0000_s1166" type="#_x0000_t136" style="position:absolute;margin-left:0;margin-top:0;width:520.65pt;height:57.85pt;rotation:315;z-index:-25146060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7815156">
        <v:shape id="_x0000_s1165" type="#_x0000_t136" style="position:absolute;margin-left:0;margin-top:0;width:520.65pt;height:57.85pt;rotation:315;z-index:-2514616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71A2FA0">
        <v:shape id="_x0000_s1164" type="#_x0000_t136" style="position:absolute;margin-left:0;margin-top:0;width:520.65pt;height:57.85pt;rotation:315;z-index:-2514626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2A1EFBA">
        <v:shape id="_x0000_s1163" type="#_x0000_t136" style="position:absolute;margin-left:0;margin-top:0;width:520.65pt;height:57.85pt;rotation:315;z-index:-25146368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976B445">
        <v:shape id="_x0000_s1162" type="#_x0000_t136" style="position:absolute;margin-left:0;margin-top:0;width:520.65pt;height:57.85pt;rotation:315;z-index:-25146470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9EEA516">
        <v:shape id="_x0000_s1161" type="#_x0000_t136" style="position:absolute;margin-left:0;margin-top:0;width:520.65pt;height:57.85pt;rotation:315;z-index:-2514657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3403E06">
        <v:shape id="_x0000_s1160" type="#_x0000_t136" style="position:absolute;margin-left:0;margin-top:0;width:520.65pt;height:57.85pt;rotation:315;z-index:-25146675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B62C" w14:textId="731D4145" w:rsidR="00496688" w:rsidRDefault="00496688">
    <w:pPr>
      <w:pStyle w:val="Header"/>
    </w:pPr>
    <w:r>
      <w:rPr>
        <w:noProof/>
      </w:rPr>
      <w:pict w14:anchorId="772F78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8" o:spid="_x0000_s1211" type="#_x0000_t136" style="position:absolute;margin-left:0;margin-top:0;width:520.65pt;height:57.85pt;rotation:315;z-index:-2514053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31E2FD3">
        <v:shape id="_x0000_s1210" type="#_x0000_t136" style="position:absolute;margin-left:0;margin-top:0;width:520.65pt;height:57.85pt;rotation:315;z-index:-2514073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81D97ED">
        <v:shape id="_x0000_s1209" type="#_x0000_t136" style="position:absolute;margin-left:0;margin-top:0;width:520.65pt;height:57.85pt;rotation:315;z-index:-25140838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25A5CFB">
        <v:shape id="_x0000_s1208" type="#_x0000_t136" style="position:absolute;margin-left:0;margin-top:0;width:520.65pt;height:57.85pt;rotation:315;z-index:-25140940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FADC2A6">
        <v:shape id="_x0000_s1207" type="#_x0000_t136" style="position:absolute;margin-left:0;margin-top:0;width:520.65pt;height:57.85pt;rotation:315;z-index:-2514104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81166B8">
        <v:shape id="_x0000_s1206" type="#_x0000_t136" style="position:absolute;margin-left:0;margin-top:0;width:520.65pt;height:57.85pt;rotation:315;z-index:-25141145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E9E89F7">
        <v:shape id="_x0000_s1205" type="#_x0000_t136" style="position:absolute;margin-left:0;margin-top:0;width:520.65pt;height:57.85pt;rotation:315;z-index:-25141248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31FC2DE">
        <v:shape id="_x0000_s1204" type="#_x0000_t136" style="position:absolute;margin-left:0;margin-top:0;width:520.65pt;height:57.85pt;rotation:315;z-index:-25141350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48374F8">
        <v:shape id="_x0000_s1203" type="#_x0000_t136" style="position:absolute;margin-left:0;margin-top:0;width:520.65pt;height:57.85pt;rotation:315;z-index:-2514145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22B4262">
        <v:shape id="_x0000_s1202" type="#_x0000_t136" style="position:absolute;margin-left:0;margin-top:0;width:520.65pt;height:57.85pt;rotation:315;z-index:-25141555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09E96ED">
        <v:shape id="_x0000_s1201" type="#_x0000_t136" style="position:absolute;margin-left:0;margin-top:0;width:520.65pt;height:57.85pt;rotation:315;z-index:-2514165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5ABEE" w14:textId="5D921E0E" w:rsidR="00496688" w:rsidRDefault="00496688">
    <w:pPr>
      <w:pStyle w:val="Header"/>
    </w:pPr>
    <w:r>
      <w:rPr>
        <w:noProof/>
      </w:rPr>
      <w:pict w14:anchorId="08591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9" o:spid="_x0000_s1222" type="#_x0000_t136" style="position:absolute;margin-left:0;margin-top:0;width:520.65pt;height:57.85pt;rotation:315;z-index:-25139200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3214E94">
        <v:shape id="_x0000_s1221" type="#_x0000_t136" style="position:absolute;margin-left:0;margin-top:0;width:520.65pt;height:57.85pt;rotation:315;z-index:-25139404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FD05D61">
        <v:shape id="_x0000_s1220" type="#_x0000_t136" style="position:absolute;margin-left:0;margin-top:0;width:520.65pt;height:57.85pt;rotation:315;z-index:-2513950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79B355F">
        <v:shape id="_x0000_s1219" type="#_x0000_t136" style="position:absolute;margin-left:0;margin-top:0;width:520.65pt;height:57.85pt;rotation:315;z-index:-2513960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85B3CE6">
        <v:shape id="_x0000_s1218" type="#_x0000_t136" style="position:absolute;margin-left:0;margin-top:0;width:520.65pt;height:57.85pt;rotation:315;z-index:-2513971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F3C3705">
        <v:shape id="_x0000_s1217" type="#_x0000_t136" style="position:absolute;margin-left:0;margin-top:0;width:520.65pt;height:57.85pt;rotation:315;z-index:-2513981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4179123">
        <v:shape id="_x0000_s1216" type="#_x0000_t136" style="position:absolute;margin-left:0;margin-top:0;width:520.65pt;height:57.85pt;rotation:315;z-index:-2513991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727A8C9">
        <v:shape id="_x0000_s1215" type="#_x0000_t136" style="position:absolute;margin-left:0;margin-top:0;width:520.65pt;height:57.85pt;rotation:315;z-index:-2514001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782DBEB">
        <v:shape id="_x0000_s1214" type="#_x0000_t136" style="position:absolute;margin-left:0;margin-top:0;width:520.65pt;height:57.85pt;rotation:315;z-index:-25140121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23BA95A">
        <v:shape id="_x0000_s1213" type="#_x0000_t136" style="position:absolute;margin-left:0;margin-top:0;width:520.65pt;height:57.85pt;rotation:315;z-index:-2514022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5DCB982">
        <v:shape id="_x0000_s1212" type="#_x0000_t136" style="position:absolute;margin-left:0;margin-top:0;width:520.65pt;height:57.85pt;rotation:315;z-index:-25140326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87BD" w14:textId="753230E6" w:rsidR="00496688" w:rsidRDefault="00496688">
    <w:pPr>
      <w:pStyle w:val="Header"/>
    </w:pPr>
    <w:r>
      <w:rPr>
        <w:noProof/>
      </w:rPr>
      <w:pict w14:anchorId="560E1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7" o:spid="_x0000_s1200" type="#_x0000_t136" style="position:absolute;margin-left:0;margin-top:0;width:520.65pt;height:57.85pt;rotation:315;z-index:-2514186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FA0E138">
        <v:shape id="_x0000_s1199" type="#_x0000_t136" style="position:absolute;margin-left:0;margin-top:0;width:520.65pt;height:57.85pt;rotation:315;z-index:-2514206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9ED1029">
        <v:shape id="_x0000_s1198" type="#_x0000_t136" style="position:absolute;margin-left:0;margin-top:0;width:520.65pt;height:57.85pt;rotation:315;z-index:-2514216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691E789">
        <v:shape id="_x0000_s1197" type="#_x0000_t136" style="position:absolute;margin-left:0;margin-top:0;width:520.65pt;height:57.85pt;rotation:315;z-index:-2514227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66C4929">
        <v:shape id="_x0000_s1196" type="#_x0000_t136" style="position:absolute;margin-left:0;margin-top:0;width:520.65pt;height:57.85pt;rotation:315;z-index:-2514237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33F944A">
        <v:shape id="_x0000_s1195" type="#_x0000_t136" style="position:absolute;margin-left:0;margin-top:0;width:520.65pt;height:57.85pt;rotation:315;z-index:-25142476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928D864">
        <v:shape id="_x0000_s1194" type="#_x0000_t136" style="position:absolute;margin-left:0;margin-top:0;width:520.65pt;height:57.85pt;rotation:315;z-index:-2514257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F023152">
        <v:shape id="_x0000_s1193" type="#_x0000_t136" style="position:absolute;margin-left:0;margin-top:0;width:520.65pt;height:57.85pt;rotation:315;z-index:-25142681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22AEB16">
        <v:shape id="_x0000_s1192" type="#_x0000_t136" style="position:absolute;margin-left:0;margin-top:0;width:520.65pt;height:57.85pt;rotation:315;z-index:-2514278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63896BBA">
        <v:shape id="_x0000_s1191" type="#_x0000_t136" style="position:absolute;margin-left:0;margin-top:0;width:520.65pt;height:57.85pt;rotation:315;z-index:-25142886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9F6BC60">
        <v:shape id="_x0000_s1190" type="#_x0000_t136" style="position:absolute;margin-left:0;margin-top:0;width:520.65pt;height:57.85pt;rotation:315;z-index:-25142988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4454"/>
    <w:multiLevelType w:val="hybridMultilevel"/>
    <w:tmpl w:val="FF5CF5A2"/>
    <w:lvl w:ilvl="0" w:tplc="EE4C8856">
      <w:start w:val="1"/>
      <w:numFmt w:val="bullet"/>
      <w:lvlText w:val="●"/>
      <w:lvlJc w:val="left"/>
      <w:pPr>
        <w:ind w:left="720" w:hanging="360"/>
      </w:pPr>
    </w:lvl>
    <w:lvl w:ilvl="1" w:tplc="C18C9E98">
      <w:start w:val="1"/>
      <w:numFmt w:val="bullet"/>
      <w:lvlText w:val="○"/>
      <w:lvlJc w:val="left"/>
      <w:pPr>
        <w:ind w:left="1440" w:hanging="360"/>
      </w:pPr>
    </w:lvl>
    <w:lvl w:ilvl="2" w:tplc="C888C2F2">
      <w:start w:val="1"/>
      <w:numFmt w:val="bullet"/>
      <w:lvlText w:val="■"/>
      <w:lvlJc w:val="left"/>
      <w:pPr>
        <w:ind w:left="2160" w:hanging="360"/>
      </w:pPr>
    </w:lvl>
    <w:lvl w:ilvl="3" w:tplc="380A5F3C">
      <w:start w:val="1"/>
      <w:numFmt w:val="bullet"/>
      <w:lvlText w:val="●"/>
      <w:lvlJc w:val="left"/>
      <w:pPr>
        <w:ind w:left="2880" w:hanging="360"/>
      </w:pPr>
    </w:lvl>
    <w:lvl w:ilvl="4" w:tplc="F35CBD02">
      <w:start w:val="1"/>
      <w:numFmt w:val="bullet"/>
      <w:lvlText w:val="○"/>
      <w:lvlJc w:val="left"/>
      <w:pPr>
        <w:ind w:left="3600" w:hanging="360"/>
      </w:pPr>
    </w:lvl>
    <w:lvl w:ilvl="5" w:tplc="9C92238C">
      <w:start w:val="1"/>
      <w:numFmt w:val="bullet"/>
      <w:lvlText w:val="■"/>
      <w:lvlJc w:val="left"/>
      <w:pPr>
        <w:ind w:left="4320" w:hanging="360"/>
      </w:pPr>
    </w:lvl>
    <w:lvl w:ilvl="6" w:tplc="034011C0">
      <w:start w:val="1"/>
      <w:numFmt w:val="bullet"/>
      <w:lvlText w:val="●"/>
      <w:lvlJc w:val="left"/>
      <w:pPr>
        <w:ind w:left="5040" w:hanging="360"/>
      </w:pPr>
    </w:lvl>
    <w:lvl w:ilvl="7" w:tplc="376C924C">
      <w:start w:val="1"/>
      <w:numFmt w:val="bullet"/>
      <w:lvlText w:val="●"/>
      <w:lvlJc w:val="left"/>
      <w:pPr>
        <w:ind w:left="5760" w:hanging="360"/>
      </w:pPr>
    </w:lvl>
    <w:lvl w:ilvl="8" w:tplc="E146F10C">
      <w:start w:val="1"/>
      <w:numFmt w:val="bullet"/>
      <w:lvlText w:val="●"/>
      <w:lvlJc w:val="left"/>
      <w:pPr>
        <w:ind w:left="6480" w:hanging="360"/>
      </w:pPr>
    </w:lvl>
  </w:abstractNum>
  <w:abstractNum w:abstractNumId="1" w15:restartNumberingAfterBreak="0">
    <w:nsid w:val="656E02FD"/>
    <w:multiLevelType w:val="hybridMultilevel"/>
    <w:tmpl w:val="C49ABCFE"/>
    <w:lvl w:ilvl="0" w:tplc="E814CE56">
      <w:start w:val="1"/>
      <w:numFmt w:val="bullet"/>
      <w:lvlText w:val="•"/>
      <w:lvlJc w:val="left"/>
      <w:pPr>
        <w:ind w:left="460" w:hanging="260"/>
      </w:pPr>
    </w:lvl>
    <w:lvl w:ilvl="1" w:tplc="3BE2DD68">
      <w:numFmt w:val="decimal"/>
      <w:lvlText w:val=""/>
      <w:lvlJc w:val="left"/>
    </w:lvl>
    <w:lvl w:ilvl="2" w:tplc="622CC0DC">
      <w:numFmt w:val="decimal"/>
      <w:lvlText w:val=""/>
      <w:lvlJc w:val="left"/>
    </w:lvl>
    <w:lvl w:ilvl="3" w:tplc="41FCBC2E">
      <w:numFmt w:val="decimal"/>
      <w:lvlText w:val=""/>
      <w:lvlJc w:val="left"/>
    </w:lvl>
    <w:lvl w:ilvl="4" w:tplc="D00C0A72">
      <w:numFmt w:val="decimal"/>
      <w:lvlText w:val=""/>
      <w:lvlJc w:val="left"/>
    </w:lvl>
    <w:lvl w:ilvl="5" w:tplc="0ACEF982">
      <w:numFmt w:val="decimal"/>
      <w:lvlText w:val=""/>
      <w:lvlJc w:val="left"/>
    </w:lvl>
    <w:lvl w:ilvl="6" w:tplc="AB567E82">
      <w:numFmt w:val="decimal"/>
      <w:lvlText w:val=""/>
      <w:lvlJc w:val="left"/>
    </w:lvl>
    <w:lvl w:ilvl="7" w:tplc="CAE2B50C">
      <w:numFmt w:val="decimal"/>
      <w:lvlText w:val=""/>
      <w:lvlJc w:val="left"/>
    </w:lvl>
    <w:lvl w:ilvl="8" w:tplc="3AB0F6A0">
      <w:numFmt w:val="decimal"/>
      <w:lvlText w:val=""/>
      <w:lvlJc w:val="left"/>
    </w:lvl>
  </w:abstractNum>
  <w:num w:numId="1" w16cid:durableId="1928927897">
    <w:abstractNumId w:val="0"/>
    <w:lvlOverride w:ilvl="0">
      <w:startOverride w:val="1"/>
    </w:lvlOverride>
  </w:num>
  <w:num w:numId="2" w16cid:durableId="15389296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69D"/>
    <w:rsid w:val="00027F1D"/>
    <w:rsid w:val="00034A62"/>
    <w:rsid w:val="000404B5"/>
    <w:rsid w:val="000A4323"/>
    <w:rsid w:val="000C2687"/>
    <w:rsid w:val="000D7E56"/>
    <w:rsid w:val="000E02BE"/>
    <w:rsid w:val="000F1AB5"/>
    <w:rsid w:val="001207A1"/>
    <w:rsid w:val="00136737"/>
    <w:rsid w:val="001411D6"/>
    <w:rsid w:val="0015426F"/>
    <w:rsid w:val="0016150F"/>
    <w:rsid w:val="00161C0F"/>
    <w:rsid w:val="001E3AD8"/>
    <w:rsid w:val="001E43F6"/>
    <w:rsid w:val="001F7657"/>
    <w:rsid w:val="002122B4"/>
    <w:rsid w:val="002249E7"/>
    <w:rsid w:val="00241164"/>
    <w:rsid w:val="002A1CD2"/>
    <w:rsid w:val="002A7EC2"/>
    <w:rsid w:val="002B77AC"/>
    <w:rsid w:val="00317B69"/>
    <w:rsid w:val="00324DCC"/>
    <w:rsid w:val="00341888"/>
    <w:rsid w:val="00344F07"/>
    <w:rsid w:val="0036003E"/>
    <w:rsid w:val="003814FD"/>
    <w:rsid w:val="00383CE6"/>
    <w:rsid w:val="003A0425"/>
    <w:rsid w:val="003A4922"/>
    <w:rsid w:val="003B245C"/>
    <w:rsid w:val="003F6A3C"/>
    <w:rsid w:val="00412135"/>
    <w:rsid w:val="00477F45"/>
    <w:rsid w:val="00480912"/>
    <w:rsid w:val="00496688"/>
    <w:rsid w:val="00545597"/>
    <w:rsid w:val="005634D9"/>
    <w:rsid w:val="005651D8"/>
    <w:rsid w:val="005C117E"/>
    <w:rsid w:val="005E166E"/>
    <w:rsid w:val="00612D3C"/>
    <w:rsid w:val="006466D2"/>
    <w:rsid w:val="00647520"/>
    <w:rsid w:val="00654149"/>
    <w:rsid w:val="006D4233"/>
    <w:rsid w:val="00734C9E"/>
    <w:rsid w:val="007C190F"/>
    <w:rsid w:val="007C243B"/>
    <w:rsid w:val="007E7B13"/>
    <w:rsid w:val="007F76E3"/>
    <w:rsid w:val="00806DEC"/>
    <w:rsid w:val="008116D3"/>
    <w:rsid w:val="00814A6C"/>
    <w:rsid w:val="00815720"/>
    <w:rsid w:val="008203B6"/>
    <w:rsid w:val="00842D33"/>
    <w:rsid w:val="00853569"/>
    <w:rsid w:val="0085596A"/>
    <w:rsid w:val="00870F44"/>
    <w:rsid w:val="00881B7B"/>
    <w:rsid w:val="008871A9"/>
    <w:rsid w:val="00892ABE"/>
    <w:rsid w:val="008B3369"/>
    <w:rsid w:val="00902B52"/>
    <w:rsid w:val="009110CB"/>
    <w:rsid w:val="00915C8F"/>
    <w:rsid w:val="00923163"/>
    <w:rsid w:val="00944DF7"/>
    <w:rsid w:val="00965274"/>
    <w:rsid w:val="009A61A1"/>
    <w:rsid w:val="009C74B0"/>
    <w:rsid w:val="00A054E8"/>
    <w:rsid w:val="00A06620"/>
    <w:rsid w:val="00A14BC6"/>
    <w:rsid w:val="00A16A7E"/>
    <w:rsid w:val="00A347D1"/>
    <w:rsid w:val="00A50CF1"/>
    <w:rsid w:val="00A64B48"/>
    <w:rsid w:val="00AE70D9"/>
    <w:rsid w:val="00B020DB"/>
    <w:rsid w:val="00B07BAF"/>
    <w:rsid w:val="00B127DE"/>
    <w:rsid w:val="00B1596F"/>
    <w:rsid w:val="00B15DB0"/>
    <w:rsid w:val="00B27389"/>
    <w:rsid w:val="00B30B02"/>
    <w:rsid w:val="00B32603"/>
    <w:rsid w:val="00B70741"/>
    <w:rsid w:val="00B85732"/>
    <w:rsid w:val="00BA1071"/>
    <w:rsid w:val="00BA4E38"/>
    <w:rsid w:val="00BC3671"/>
    <w:rsid w:val="00C7492C"/>
    <w:rsid w:val="00CA278D"/>
    <w:rsid w:val="00CF12AC"/>
    <w:rsid w:val="00D02F48"/>
    <w:rsid w:val="00D04BAF"/>
    <w:rsid w:val="00D05F21"/>
    <w:rsid w:val="00D36C71"/>
    <w:rsid w:val="00D36F3B"/>
    <w:rsid w:val="00D67B6C"/>
    <w:rsid w:val="00DB769D"/>
    <w:rsid w:val="00DD6583"/>
    <w:rsid w:val="00DF1797"/>
    <w:rsid w:val="00E8783B"/>
    <w:rsid w:val="00EB1F2B"/>
    <w:rsid w:val="00F800A5"/>
    <w:rsid w:val="00F92664"/>
    <w:rsid w:val="00FB564C"/>
    <w:rsid w:val="00FC0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321DA"/>
  <w15:docId w15:val="{7BC279E5-79A1-A84D-A42E-E3E0DD7D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1207A1"/>
    <w:rPr>
      <w:color w:val="2E74B5"/>
      <w:sz w:val="32"/>
      <w:szCs w:val="32"/>
    </w:rPr>
  </w:style>
  <w:style w:type="character" w:customStyle="1" w:styleId="Heading2Char">
    <w:name w:val="Heading 2 Char"/>
    <w:basedOn w:val="DefaultParagraphFont"/>
    <w:link w:val="Heading2"/>
    <w:uiPriority w:val="9"/>
    <w:rsid w:val="00923163"/>
    <w:rPr>
      <w:color w:val="2E74B5"/>
      <w:sz w:val="26"/>
      <w:szCs w:val="26"/>
    </w:rPr>
  </w:style>
  <w:style w:type="character" w:styleId="UnresolvedMention">
    <w:name w:val="Unresolved Mention"/>
    <w:basedOn w:val="DefaultParagraphFont"/>
    <w:uiPriority w:val="99"/>
    <w:semiHidden/>
    <w:unhideWhenUsed/>
    <w:rsid w:val="005E166E"/>
    <w:rPr>
      <w:color w:val="605E5C"/>
      <w:shd w:val="clear" w:color="auto" w:fill="E1DFDD"/>
    </w:rPr>
  </w:style>
  <w:style w:type="character" w:styleId="LineNumber">
    <w:name w:val="line number"/>
    <w:basedOn w:val="DefaultParagraphFont"/>
    <w:uiPriority w:val="99"/>
    <w:semiHidden/>
    <w:unhideWhenUsed/>
    <w:rsid w:val="00D04BAF"/>
  </w:style>
  <w:style w:type="paragraph" w:styleId="Header">
    <w:name w:val="header"/>
    <w:basedOn w:val="Normal"/>
    <w:link w:val="HeaderChar"/>
    <w:uiPriority w:val="99"/>
    <w:unhideWhenUsed/>
    <w:rsid w:val="000D7E56"/>
    <w:pPr>
      <w:tabs>
        <w:tab w:val="center" w:pos="4513"/>
        <w:tab w:val="right" w:pos="9026"/>
      </w:tabs>
    </w:pPr>
  </w:style>
  <w:style w:type="character" w:customStyle="1" w:styleId="HeaderChar">
    <w:name w:val="Header Char"/>
    <w:basedOn w:val="DefaultParagraphFont"/>
    <w:link w:val="Header"/>
    <w:uiPriority w:val="99"/>
    <w:rsid w:val="000D7E56"/>
  </w:style>
  <w:style w:type="paragraph" w:styleId="Footer">
    <w:name w:val="footer"/>
    <w:basedOn w:val="Normal"/>
    <w:link w:val="FooterChar"/>
    <w:uiPriority w:val="99"/>
    <w:unhideWhenUsed/>
    <w:rsid w:val="000D7E56"/>
    <w:pPr>
      <w:tabs>
        <w:tab w:val="center" w:pos="4513"/>
        <w:tab w:val="right" w:pos="9026"/>
      </w:tabs>
    </w:pPr>
  </w:style>
  <w:style w:type="character" w:customStyle="1" w:styleId="FooterChar">
    <w:name w:val="Footer Char"/>
    <w:basedOn w:val="DefaultParagraphFont"/>
    <w:link w:val="Footer"/>
    <w:uiPriority w:val="99"/>
    <w:rsid w:val="000D7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jpeg"/><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10.xml"/><Relationship Id="rId47" Type="http://schemas.openxmlformats.org/officeDocument/2006/relationships/header" Target="header27.xml"/><Relationship Id="rId50" Type="http://schemas.openxmlformats.org/officeDocument/2006/relationships/footer" Target="footer12.xml"/><Relationship Id="rId55" Type="http://schemas.openxmlformats.org/officeDocument/2006/relationships/header" Target="header3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2.xml"/><Relationship Id="rId5"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30.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footer" Target="footer11.xml"/><Relationship Id="rId20" Type="http://schemas.openxmlformats.org/officeDocument/2006/relationships/header" Target="header7.xml"/><Relationship Id="rId41" Type="http://schemas.openxmlformats.org/officeDocument/2006/relationships/header" Target="header23.xml"/><Relationship Id="rId54"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9.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header" Target="header25.xml"/><Relationship Id="rId5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26</Pages>
  <Words>10787</Words>
  <Characters>61492</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8</cp:revision>
  <dcterms:created xsi:type="dcterms:W3CDTF">2026-08-30T20:41:00Z</dcterms:created>
  <dcterms:modified xsi:type="dcterms:W3CDTF">2026-09-01T06:38:00Z</dcterms:modified>
</cp:coreProperties>
</file>