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513ABF" w14:textId="77777777" w:rsidR="00754C9A" w:rsidRDefault="00754C9A" w:rsidP="00441B6F">
      <w:pPr>
        <w:pStyle w:val="Title"/>
        <w:spacing w:after="0"/>
        <w:jc w:val="both"/>
        <w:rPr>
          <w:rFonts w:ascii="Arial" w:hAnsi="Arial" w:cs="Arial"/>
        </w:rPr>
      </w:pPr>
    </w:p>
    <w:p w14:paraId="555D6FB0" w14:textId="77777777" w:rsidR="001216A9" w:rsidRPr="001216A9" w:rsidRDefault="001216A9" w:rsidP="001216A9">
      <w:pPr>
        <w:pStyle w:val="Title"/>
        <w:jc w:val="both"/>
        <w:rPr>
          <w:rFonts w:ascii="Arial" w:hAnsi="Arial" w:cs="Arial"/>
          <w:bCs/>
          <w:i/>
          <w:iCs/>
          <w:u w:val="single"/>
          <w:lang w:val="en-US"/>
        </w:rPr>
      </w:pPr>
      <w:r w:rsidRPr="001216A9">
        <w:rPr>
          <w:rFonts w:ascii="Arial" w:hAnsi="Arial" w:cs="Arial"/>
          <w:bCs/>
          <w:i/>
          <w:iCs/>
          <w:u w:val="single"/>
          <w:lang w:val="en-US"/>
        </w:rPr>
        <w:t>Original Research Article</w:t>
      </w:r>
    </w:p>
    <w:p w14:paraId="5028064E" w14:textId="77777777" w:rsidR="00CC3982" w:rsidRDefault="00CC3982" w:rsidP="00441B6F">
      <w:pPr>
        <w:pStyle w:val="Title"/>
        <w:spacing w:after="0"/>
        <w:jc w:val="both"/>
        <w:rPr>
          <w:rFonts w:ascii="Arial" w:hAnsi="Arial" w:cs="Arial"/>
        </w:rPr>
      </w:pPr>
    </w:p>
    <w:p w14:paraId="3A475D25" w14:textId="4023349F" w:rsidR="00163BC4" w:rsidRPr="00163BC4" w:rsidRDefault="00554619" w:rsidP="00441B6F">
      <w:pPr>
        <w:pStyle w:val="Author"/>
        <w:spacing w:line="240" w:lineRule="auto"/>
        <w:rPr>
          <w:rFonts w:ascii="Arial" w:hAnsi="Arial" w:cs="Arial"/>
          <w:bCs/>
          <w:iCs/>
          <w:kern w:val="28"/>
          <w:sz w:val="36"/>
        </w:rPr>
      </w:pPr>
      <w:r w:rsidRPr="00554619">
        <w:rPr>
          <w:rFonts w:ascii="Arial" w:hAnsi="Arial" w:cs="Arial"/>
          <w:sz w:val="36"/>
          <w:szCs w:val="36"/>
        </w:rPr>
        <w:t xml:space="preserve">Managing the Institutionalization </w:t>
      </w:r>
      <w:r>
        <w:rPr>
          <w:rFonts w:ascii="Arial" w:hAnsi="Arial" w:cs="Arial"/>
          <w:color w:val="000000"/>
          <w:sz w:val="36"/>
          <w:szCs w:val="36"/>
        </w:rPr>
        <w:t xml:space="preserve">of </w:t>
      </w:r>
      <w:r w:rsidRPr="00554619">
        <w:rPr>
          <w:rFonts w:ascii="Arial" w:hAnsi="Arial" w:cs="Arial"/>
          <w:color w:val="000000"/>
          <w:sz w:val="36"/>
          <w:szCs w:val="36"/>
        </w:rPr>
        <w:t>AI Governance in Higher Education: A Technology–Organization–Environment Analysis</w:t>
      </w:r>
      <w:r w:rsidR="00231920">
        <w:rPr>
          <w:rFonts w:ascii="Arial" w:hAnsi="Arial" w:cs="Arial"/>
          <w:bCs/>
          <w:iCs/>
          <w:kern w:val="28"/>
          <w:sz w:val="36"/>
        </w:rPr>
        <w:t xml:space="preserve"> </w:t>
      </w:r>
    </w:p>
    <w:p w14:paraId="5ECD3147" w14:textId="77777777" w:rsidR="00A258C3" w:rsidRPr="00790ADA" w:rsidRDefault="00A258C3" w:rsidP="00441B6F">
      <w:pPr>
        <w:pStyle w:val="Author"/>
        <w:spacing w:line="240" w:lineRule="auto"/>
        <w:jc w:val="both"/>
        <w:rPr>
          <w:rFonts w:ascii="Arial" w:hAnsi="Arial" w:cs="Arial"/>
          <w:sz w:val="36"/>
        </w:rPr>
      </w:pPr>
    </w:p>
    <w:p w14:paraId="54687576" w14:textId="77777777" w:rsidR="002C57D2" w:rsidRDefault="002C57D2" w:rsidP="00441B6F">
      <w:pPr>
        <w:pStyle w:val="Affiliation"/>
        <w:spacing w:after="0" w:line="240" w:lineRule="auto"/>
        <w:jc w:val="both"/>
        <w:rPr>
          <w:rFonts w:ascii="Arial" w:hAnsi="Arial" w:cs="Arial"/>
        </w:rPr>
      </w:pPr>
    </w:p>
    <w:p w14:paraId="1FBA0D40" w14:textId="77777777" w:rsidR="00DB4630" w:rsidRPr="00FB3A86" w:rsidRDefault="00DB4630" w:rsidP="00441B6F">
      <w:pPr>
        <w:pStyle w:val="Affiliation"/>
        <w:spacing w:after="0" w:line="240" w:lineRule="auto"/>
        <w:jc w:val="both"/>
        <w:rPr>
          <w:rFonts w:ascii="Arial" w:hAnsi="Arial" w:cs="Arial"/>
        </w:rPr>
      </w:pPr>
    </w:p>
    <w:p w14:paraId="466F1672" w14:textId="77777777" w:rsidR="00B01FCD" w:rsidRPr="00FB3A86" w:rsidRDefault="00FC4AE7" w:rsidP="00441B6F">
      <w:pPr>
        <w:pStyle w:val="Copyright"/>
        <w:spacing w:after="0" w:line="240" w:lineRule="auto"/>
        <w:jc w:val="both"/>
        <w:rPr>
          <w:rFonts w:ascii="Arial" w:hAnsi="Arial" w:cs="Arial"/>
        </w:rPr>
        <w:sectPr w:rsidR="00B01FCD" w:rsidRPr="00FB3A86" w:rsidSect="0092560C">
          <w:headerReference w:type="even" r:id="rId8"/>
          <w:headerReference w:type="default" r:id="rId9"/>
          <w:footerReference w:type="even" r:id="rId10"/>
          <w:footerReference w:type="default" r:id="rId11"/>
          <w:headerReference w:type="first" r:id="rId12"/>
          <w:footerReference w:type="first" r:id="rId13"/>
          <w:pgSz w:w="12240" w:h="15840" w:code="1"/>
          <w:pgMar w:top="1440" w:right="2016" w:bottom="2016" w:left="2016" w:header="720" w:footer="1296" w:gutter="0"/>
          <w:cols w:space="720"/>
          <w:docGrid w:linePitch="272"/>
        </w:sectPr>
      </w:pPr>
      <w:r>
        <w:rPr>
          <w:rFonts w:ascii="Arial" w:hAnsi="Arial" w:cs="Arial"/>
          <w:noProof/>
        </w:rPr>
        <mc:AlternateContent>
          <mc:Choice Requires="wps">
            <w:drawing>
              <wp:inline distT="0" distB="0" distL="0" distR="0" wp14:anchorId="08EFAC1B" wp14:editId="6DAA30CB">
                <wp:extent cx="5303520" cy="635"/>
                <wp:effectExtent l="0" t="12700" r="5080" b="12065"/>
                <wp:docPr id="646255114"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30352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inline>
            </w:drawing>
          </mc:Choice>
          <mc:Fallback>
            <w:pict>
              <v:shapetype w14:anchorId="6C6F3400" id="_x0000_t32" coordsize="21600,21600" o:spt="32" o:oned="t" path="m,l21600,21600e" filled="f">
                <v:path arrowok="t" fillok="f" o:connecttype="none"/>
                <o:lock v:ext="edit" shapetype="t"/>
              </v:shapetype>
              <v:shape id="AutoShape 2" o:spid="_x0000_s1026" type="#_x0000_t32" style="width:417.6pt;height:.05pt;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" strokeweight="1.5pt">
                <o:lock v:ext="edit" shapetype="f"/>
                <w10:anchorlock/>
              </v:shape>
            </w:pict>
          </mc:Fallback>
        </mc:AlternateContent>
      </w:r>
      <w:r w:rsidR="00FB3A86">
        <w:rPr>
          <w:rFonts w:ascii="Arial" w:hAnsi="Arial" w:cs="Arial"/>
        </w:rPr>
        <w:t>.</w:t>
      </w:r>
    </w:p>
    <w:p w14:paraId="2EBCE071" w14:textId="3BEEC279" w:rsidR="00B01FCD" w:rsidRDefault="00B01FCD" w:rsidP="00441B6F">
      <w:pPr>
        <w:pStyle w:val="AbstHead"/>
        <w:spacing w:after="0"/>
        <w:jc w:val="both"/>
        <w:rPr>
          <w:rFonts w:ascii="Arial" w:hAnsi="Arial" w:cs="Arial"/>
        </w:rPr>
      </w:pPr>
      <w:r w:rsidRPr="00FB3A86">
        <w:rPr>
          <w:rFonts w:ascii="Arial" w:hAnsi="Arial" w:cs="Arial"/>
        </w:rPr>
        <w:t>ABSTRACT</w:t>
      </w:r>
    </w:p>
    <w:p w14:paraId="1EFB1E67" w14:textId="77777777" w:rsidR="00790ADA" w:rsidRPr="00FB3A86" w:rsidRDefault="00790ADA" w:rsidP="00441B6F">
      <w:pPr>
        <w:pStyle w:val="AbstHead"/>
        <w:spacing w:after="0"/>
        <w:jc w:val="both"/>
        <w:rPr>
          <w:rFonts w:ascii="Arial" w:hAnsi="Arial"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2F2F2"/>
        <w:tblLook w:val="04A0" w:firstRow="1" w:lastRow="0" w:firstColumn="1" w:lastColumn="0" w:noHBand="0" w:noVBand="1"/>
      </w:tblPr>
      <w:tblGrid>
        <w:gridCol w:w="8198"/>
      </w:tblGrid>
      <w:tr w:rsidR="00296529" w:rsidRPr="001E44FE" w14:paraId="3B97D749" w14:textId="77777777" w:rsidTr="001E44FE">
        <w:tc>
          <w:tcPr>
            <w:tcW w:w="9576" w:type="dxa"/>
            <w:shd w:val="clear" w:color="auto" w:fill="F2F2F2"/>
          </w:tcPr>
          <w:p w14:paraId="3465AC82" w14:textId="5927FFB8" w:rsidR="00505F06" w:rsidRPr="00554619" w:rsidRDefault="00554619" w:rsidP="00B2615A">
            <w:pPr>
              <w:pStyle w:val="NormalWeb"/>
              <w:spacing w:before="0" w:beforeAutospacing="0" w:after="0" w:afterAutospacing="0"/>
            </w:pPr>
            <w:r w:rsidRPr="00554619">
              <w:rPr>
                <w:rFonts w:ascii="Arial" w:hAnsi="Arial" w:cs="Arial"/>
                <w:color w:val="000000"/>
                <w:sz w:val="20"/>
                <w:szCs w:val="20"/>
              </w:rPr>
              <w:t>Generative artificial intelligence (GenAI) has emerged as a significant governance concern for higher education institutions, necessitating attention to responsible technology use, organizational capability, governance structures, resources, and ongoing oversight. This study investigates the institutionalization of GenAI governance through a management-oriented qualitative document analysis of three documents from a focal higher education institution. Using the Technology–Organization–Environment (TOE) framework, the study identifies governance commitments articulated in the institution's AI policy and examines the technological, organizational, and environmental conditions influencing these commitments. The analysis employs a 13-construct TOE codebook to examine the institution's GenAI policy, the establishment of its responsible AI committee, and an earlier memorandum on AI in teaching and learning. Results demonstrate that the institution's governance response evolved through a progression from capability development to the establishment of formal governance structures and policy formalization. Technological conditions created opportunities and practical requirements for GenAI governance, while organizational conditions—particularly leadership, structure, competence, resources, and readiness—were most extensively documented. Environmental conditions primarily defined regulatory and institutional boundaries. The findings indicate that GenAI governance becomes institutionalized not solely through policy formulation, but through organizational capacity to translate technological change into assigned responsibilities, coordinated structures, and sustained oversight. This study advances higher education management and AI governance by extending the TOE framework to institutional governance and by identifying a capability–structure–formalization pattern for understanding how AI governance becomes embedded within university organizational arrangements.</w:t>
            </w:r>
          </w:p>
        </w:tc>
      </w:tr>
    </w:tbl>
    <w:p w14:paraId="4B2AE01D" w14:textId="77777777" w:rsidR="00636EB2" w:rsidRPr="00EE3015" w:rsidRDefault="00636EB2" w:rsidP="00441B6F">
      <w:pPr>
        <w:pStyle w:val="Body"/>
        <w:spacing w:after="0"/>
        <w:rPr>
          <w:rFonts w:ascii="Arial" w:hAnsi="Arial" w:cs="Arial"/>
          <w:i/>
          <w:sz w:val="20"/>
          <w:szCs w:val="20"/>
        </w:rPr>
      </w:pPr>
    </w:p>
    <w:p w14:paraId="2E7DA36B" w14:textId="3227D99D" w:rsidR="0024282C" w:rsidRPr="00EE3015" w:rsidRDefault="00A24E7E" w:rsidP="00EE3015">
      <w:pPr>
        <w:pStyle w:val="NormalWeb"/>
        <w:spacing w:before="0" w:beforeAutospacing="0" w:after="0" w:afterAutospacing="0"/>
        <w:rPr>
          <w:sz w:val="20"/>
          <w:szCs w:val="20"/>
        </w:rPr>
      </w:pPr>
      <w:r w:rsidRPr="00EE3015">
        <w:rPr>
          <w:rFonts w:ascii="Arial" w:hAnsi="Arial" w:cs="Arial"/>
          <w:i/>
          <w:sz w:val="20"/>
          <w:szCs w:val="20"/>
        </w:rPr>
        <w:t xml:space="preserve">Keywords: </w:t>
      </w:r>
      <w:r w:rsidR="00EE3015" w:rsidRPr="00EE3015">
        <w:rPr>
          <w:rFonts w:ascii="Arial" w:hAnsi="Arial" w:cs="Arial"/>
          <w:i/>
          <w:iCs/>
          <w:color w:val="000000"/>
          <w:sz w:val="20"/>
          <w:szCs w:val="20"/>
        </w:rPr>
        <w:t>generative artificial intelligence; AI governance; higher education management; institutionalization; Technology–Organization–Environment framework; qualitative document analysis</w:t>
      </w:r>
    </w:p>
    <w:p w14:paraId="24F31956" w14:textId="77777777" w:rsidR="00505F06" w:rsidRPr="00EE3015" w:rsidRDefault="00505F06" w:rsidP="00441B6F">
      <w:pPr>
        <w:pStyle w:val="Body"/>
        <w:spacing w:after="0"/>
        <w:rPr>
          <w:rFonts w:ascii="Arial" w:hAnsi="Arial" w:cs="Arial"/>
          <w:i/>
          <w:sz w:val="20"/>
          <w:szCs w:val="20"/>
        </w:rPr>
      </w:pPr>
    </w:p>
    <w:p w14:paraId="1D1FCD70" w14:textId="073029D2" w:rsidR="007F7B32" w:rsidRDefault="00902823" w:rsidP="00441B6F">
      <w:pPr>
        <w:pStyle w:val="AbstHead"/>
        <w:spacing w:after="0"/>
        <w:jc w:val="both"/>
        <w:rPr>
          <w:rFonts w:ascii="Arial" w:hAnsi="Arial" w:cs="Arial"/>
        </w:rPr>
      </w:pPr>
      <w:r>
        <w:rPr>
          <w:rFonts w:ascii="Arial" w:hAnsi="Arial" w:cs="Arial"/>
        </w:rPr>
        <w:lastRenderedPageBreak/>
        <w:t xml:space="preserve">1. </w:t>
      </w:r>
      <w:r w:rsidR="00B01FCD" w:rsidRPr="00FB3A86">
        <w:rPr>
          <w:rFonts w:ascii="Arial" w:hAnsi="Arial" w:cs="Arial"/>
        </w:rPr>
        <w:t>INTRODUCTION</w:t>
      </w:r>
    </w:p>
    <w:p w14:paraId="68190951" w14:textId="77777777" w:rsidR="00790ADA" w:rsidRDefault="00790ADA" w:rsidP="00441B6F">
      <w:pPr>
        <w:pStyle w:val="AbstHead"/>
        <w:spacing w:after="0"/>
        <w:jc w:val="both"/>
        <w:rPr>
          <w:rFonts w:ascii="Arial" w:hAnsi="Arial" w:cs="Arial"/>
        </w:rPr>
      </w:pPr>
    </w:p>
    <w:p w14:paraId="122D95F8" w14:textId="77777777" w:rsidR="004517FA" w:rsidRDefault="004517FA" w:rsidP="004517FA">
      <w:pPr>
        <w:pStyle w:val="NormalWeb"/>
        <w:spacing w:before="0" w:beforeAutospacing="0" w:after="0" w:afterAutospacing="0"/>
      </w:pPr>
      <w:r>
        <w:rPr>
          <w:rFonts w:ascii="Arial" w:hAnsi="Arial" w:cs="Arial"/>
          <w:color w:val="000000"/>
          <w:sz w:val="20"/>
          <w:szCs w:val="20"/>
        </w:rPr>
        <w:t>Generative artificial intelligence (GenAI) has transitioned from an emerging technology to a significant institutional concern within higher education. Its expanding application in teaching, learning, research, and administrative functions presents opportunities for innovation and productivity, while also raising critical questions regarding academic integrity, privacy, accountability, human agency, equitable access, and responsible use. As GenAI becomes more deeply integrated into university operations, the primary institutional challenge shifts from the decision to adopt the technology to determining how universities organize, govern, and sustain its use within existing structures.</w:t>
      </w:r>
    </w:p>
    <w:p w14:paraId="79DEF50D" w14:textId="77777777" w:rsidR="004517FA" w:rsidRDefault="004517FA" w:rsidP="004517FA">
      <w:pPr>
        <w:pStyle w:val="NormalWeb"/>
        <w:spacing w:before="0" w:beforeAutospacing="0" w:after="0" w:afterAutospacing="0"/>
      </w:pPr>
      <w:r>
        <w:rPr>
          <w:rFonts w:ascii="Arial" w:hAnsi="Arial" w:cs="Arial"/>
          <w:color w:val="000000"/>
          <w:sz w:val="20"/>
          <w:szCs w:val="20"/>
        </w:rPr>
        <w:t>Recent scholarship demonstrates that higher education institutions are responding to GenAI through the development of policies, guidelines, governance structures, support mechanisms, and capacity-building initiatives. Bacalso et al. (2026), in a systematic review of institutional approaches to GenAI management, identified governance, implementation, faculty development, ethical oversight, and organizational support as interconnected dimensions of institutional responses. Similarly, Gomes et al. (2025) observed that the emerging literature on GenAI governance in higher education addresses governance frameworks, institutional challenges, stakeholder perspectives, and research gaps. Collectively, these developments suggest that AI governance is increasingly viewed as an organizational concern that extends beyond the regulation of individual technology use.</w:t>
      </w:r>
    </w:p>
    <w:p w14:paraId="796BE922" w14:textId="77777777" w:rsidR="004517FA" w:rsidRDefault="004517FA" w:rsidP="004517FA">
      <w:pPr>
        <w:pStyle w:val="NormalWeb"/>
        <w:spacing w:before="0" w:beforeAutospacing="0" w:after="0" w:afterAutospacing="0"/>
      </w:pPr>
      <w:r>
        <w:rPr>
          <w:rFonts w:ascii="Arial" w:hAnsi="Arial" w:cs="Arial"/>
          <w:color w:val="000000"/>
          <w:sz w:val="20"/>
          <w:szCs w:val="20"/>
        </w:rPr>
        <w:t>The management challenge is particularly pronounced in the relationship between formal policy and institutional practice. While policy documents can articulate expectations regarding responsible use, privacy, academic integrity, and human oversight, their existence alone does not demonstrate that an institution possesses the organizational capacity to fulfill these commitments. LaFrance (2026), for example, found that universities are developing distributed governance arrangements in which institution-level guidance addresses data protection, approved tools, and risk management, while implementation responsibilities remain dispersed across organizational levels. These arrangements underscore the significance of authority, coordination, responsibility, and organizational capacity in managing GenAI. Uddin (2026) similarly contends that GenAI governance in higher education should move beyond compliance-oriented approaches by emphasizing human agency, ethical reasoning, and institutional responsibility.</w:t>
      </w:r>
    </w:p>
    <w:p w14:paraId="3BDBAF78" w14:textId="77777777" w:rsidR="004517FA" w:rsidRDefault="004517FA" w:rsidP="004517FA">
      <w:pPr>
        <w:pStyle w:val="NormalWeb"/>
        <w:spacing w:before="0" w:beforeAutospacing="0" w:after="0" w:afterAutospacing="0"/>
      </w:pPr>
      <w:r>
        <w:rPr>
          <w:rFonts w:ascii="Arial" w:hAnsi="Arial" w:cs="Arial"/>
          <w:color w:val="000000"/>
          <w:sz w:val="20"/>
          <w:szCs w:val="20"/>
        </w:rPr>
        <w:t>This distinction is significant because institutionalization requires more than the publication of formal rules. It necessitates embedding governance expectations within organizational structures, capabilities, resources, decision-making processes, and ongoing oversight. The central management question, therefore, is how a higher education institution transforms an emerging technological development into enduring organizational arrangements that support responsible decision-making and governance.</w:t>
      </w:r>
    </w:p>
    <w:p w14:paraId="75E75AA5" w14:textId="77777777" w:rsidR="004517FA" w:rsidRDefault="004517FA" w:rsidP="004517FA">
      <w:pPr>
        <w:pStyle w:val="NormalWeb"/>
        <w:spacing w:before="0" w:beforeAutospacing="0" w:after="0" w:afterAutospacing="0"/>
      </w:pPr>
      <w:r>
        <w:rPr>
          <w:rFonts w:ascii="Arial" w:hAnsi="Arial" w:cs="Arial"/>
          <w:color w:val="000000"/>
          <w:sz w:val="20"/>
          <w:szCs w:val="20"/>
        </w:rPr>
        <w:t>The Technology–Organization–Environment (TOE) framework offers a valuable perspective for analyzing this issue. Originally developed to explain organizational adoption of technological innovations, TOE posits that technological change is shaped by three contextual factors: the characteristics of the technology, the organization’s internal characteristics and resources, and the external environment in which the organization operates (</w:t>
      </w:r>
      <w:proofErr w:type="spellStart"/>
      <w:r>
        <w:rPr>
          <w:rFonts w:ascii="Arial" w:hAnsi="Arial" w:cs="Arial"/>
          <w:color w:val="000000"/>
          <w:sz w:val="20"/>
          <w:szCs w:val="20"/>
        </w:rPr>
        <w:t>Tornatzky</w:t>
      </w:r>
      <w:proofErr w:type="spellEnd"/>
      <w:r>
        <w:rPr>
          <w:rFonts w:ascii="Arial" w:hAnsi="Arial" w:cs="Arial"/>
          <w:color w:val="000000"/>
          <w:sz w:val="20"/>
          <w:szCs w:val="20"/>
        </w:rPr>
        <w:t xml:space="preserve"> &amp; Fleischer, 1990). Although traditionally applied to technology adoption, these three contexts are equally relevant for examining the conditions that influence institutional AI governance. Technological characteristics may present both opportunities and risks; organizational characteristics determine the capacity to respond; and environmental conditions establish regulatory, institutional, and other external boundaries.</w:t>
      </w:r>
    </w:p>
    <w:p w14:paraId="478D53CB" w14:textId="77777777" w:rsidR="004517FA" w:rsidRDefault="004517FA" w:rsidP="004517FA">
      <w:pPr>
        <w:pStyle w:val="NormalWeb"/>
        <w:spacing w:before="0" w:beforeAutospacing="0" w:after="0" w:afterAutospacing="0"/>
      </w:pPr>
      <w:r>
        <w:rPr>
          <w:rFonts w:ascii="Arial" w:hAnsi="Arial" w:cs="Arial"/>
          <w:color w:val="000000"/>
          <w:sz w:val="20"/>
          <w:szCs w:val="20"/>
        </w:rPr>
        <w:t xml:space="preserve">Applying TOE to AI governance, however, requires moving beyond the question of whether an organization adopts a technology. The relevant concern becomes how technological, organizational, and environmental conditions enable or constrain the institutionalization of governance around that technology. This distinction is particularly relevant to higher education because GenAI governance involves not only the use of technology but also the </w:t>
      </w:r>
      <w:r>
        <w:rPr>
          <w:rFonts w:ascii="Arial" w:hAnsi="Arial" w:cs="Arial"/>
          <w:color w:val="000000"/>
          <w:sz w:val="20"/>
          <w:szCs w:val="20"/>
        </w:rPr>
        <w:lastRenderedPageBreak/>
        <w:t>allocation of responsibility, the development of institutional capability, the coordination among organizational units, the mobilization of resources, and the ongoing adaptation of policies and practices.</w:t>
      </w:r>
    </w:p>
    <w:p w14:paraId="13D46326" w14:textId="77777777" w:rsidR="004517FA" w:rsidRDefault="004517FA" w:rsidP="004517FA">
      <w:pPr>
        <w:pStyle w:val="NormalWeb"/>
        <w:spacing w:before="0" w:beforeAutospacing="0" w:after="0" w:afterAutospacing="0"/>
      </w:pPr>
      <w:r>
        <w:rPr>
          <w:rFonts w:ascii="Arial" w:hAnsi="Arial" w:cs="Arial"/>
          <w:color w:val="000000"/>
          <w:sz w:val="20"/>
          <w:szCs w:val="20"/>
        </w:rPr>
        <w:t>This study investigates this issue through the case of Xavier University, a higher education institution that has documented its response to GenAI through policy, governance, and capability-development documents. Rather than treating the institution’s AI policy as an isolated artifact, the analysis considers it alongside two related institutional documents that represent different aspects of the university’s response to GenAI. This documentary approach enables an examination of both the governance commitments formally established by the institution and the technological, organizational, and environmental conditions relevant to those commitments.</w:t>
      </w:r>
    </w:p>
    <w:p w14:paraId="55EC5875" w14:textId="77777777" w:rsidR="004517FA" w:rsidRDefault="004517FA" w:rsidP="004517FA">
      <w:pPr>
        <w:pStyle w:val="NormalWeb"/>
        <w:spacing w:before="0" w:beforeAutospacing="0" w:after="0" w:afterAutospacing="0"/>
      </w:pPr>
      <w:r>
        <w:rPr>
          <w:rFonts w:ascii="Arial" w:hAnsi="Arial" w:cs="Arial"/>
          <w:color w:val="000000"/>
          <w:sz w:val="20"/>
          <w:szCs w:val="20"/>
        </w:rPr>
        <w:t>Accordingly, this study addresses the following research questions:</w:t>
      </w:r>
    </w:p>
    <w:p w14:paraId="670A6E6C" w14:textId="77777777" w:rsidR="004517FA" w:rsidRDefault="004517FA" w:rsidP="004517FA">
      <w:pPr>
        <w:pStyle w:val="NormalWeb"/>
        <w:spacing w:before="0" w:beforeAutospacing="0" w:after="0" w:afterAutospacing="0"/>
      </w:pPr>
      <w:r w:rsidRPr="004517FA">
        <w:rPr>
          <w:rFonts w:ascii="Arial" w:hAnsi="Arial" w:cs="Arial"/>
          <w:b/>
          <w:bCs/>
          <w:color w:val="000000"/>
          <w:sz w:val="20"/>
          <w:szCs w:val="20"/>
        </w:rPr>
        <w:t>RQ1</w:t>
      </w:r>
      <w:r>
        <w:rPr>
          <w:rFonts w:ascii="Arial" w:hAnsi="Arial" w:cs="Arial"/>
          <w:color w:val="000000"/>
          <w:sz w:val="20"/>
          <w:szCs w:val="20"/>
        </w:rPr>
        <w:t>. What AI governance commitments are established in the institution’s AI policy?</w:t>
      </w:r>
    </w:p>
    <w:p w14:paraId="163B10FC" w14:textId="77777777" w:rsidR="004517FA" w:rsidRDefault="004517FA" w:rsidP="004517FA">
      <w:pPr>
        <w:pStyle w:val="NormalWeb"/>
        <w:spacing w:before="0" w:beforeAutospacing="0" w:after="0" w:afterAutospacing="0"/>
      </w:pPr>
      <w:r w:rsidRPr="004517FA">
        <w:rPr>
          <w:rFonts w:ascii="Arial" w:hAnsi="Arial" w:cs="Arial"/>
          <w:b/>
          <w:bCs/>
          <w:color w:val="000000"/>
          <w:sz w:val="20"/>
          <w:szCs w:val="20"/>
        </w:rPr>
        <w:t>RQ2.</w:t>
      </w:r>
      <w:r>
        <w:rPr>
          <w:rFonts w:ascii="Arial" w:hAnsi="Arial" w:cs="Arial"/>
          <w:color w:val="000000"/>
          <w:sz w:val="20"/>
          <w:szCs w:val="20"/>
        </w:rPr>
        <w:t xml:space="preserve"> What technological, organizational, and environmental conditions relevant to these commitments are documented across the institution’s publicly available documents?</w:t>
      </w:r>
    </w:p>
    <w:p w14:paraId="73074EAA" w14:textId="77777777" w:rsidR="004517FA" w:rsidRDefault="004517FA" w:rsidP="004517FA">
      <w:pPr>
        <w:pStyle w:val="NormalWeb"/>
        <w:spacing w:before="0" w:beforeAutospacing="0" w:after="0" w:afterAutospacing="0"/>
      </w:pPr>
      <w:r w:rsidRPr="004517FA">
        <w:rPr>
          <w:rFonts w:ascii="Arial" w:hAnsi="Arial" w:cs="Arial"/>
          <w:b/>
          <w:bCs/>
          <w:color w:val="000000"/>
          <w:sz w:val="20"/>
          <w:szCs w:val="20"/>
        </w:rPr>
        <w:t>RQ3.</w:t>
      </w:r>
      <w:r>
        <w:rPr>
          <w:rFonts w:ascii="Arial" w:hAnsi="Arial" w:cs="Arial"/>
          <w:color w:val="000000"/>
          <w:sz w:val="20"/>
          <w:szCs w:val="20"/>
        </w:rPr>
        <w:t xml:space="preserve"> How do the documented technological, organizational, and environmental conditions shape the institutionalization of AI governance within the university?</w:t>
      </w:r>
    </w:p>
    <w:p w14:paraId="2D56BC8B" w14:textId="4EDF081B" w:rsidR="004517FA" w:rsidRPr="004517FA" w:rsidRDefault="004517FA" w:rsidP="004517FA">
      <w:pPr>
        <w:pStyle w:val="NormalWeb"/>
        <w:spacing w:before="0" w:beforeAutospacing="0" w:after="0" w:afterAutospacing="0"/>
      </w:pPr>
      <w:r>
        <w:rPr>
          <w:rFonts w:ascii="Arial" w:hAnsi="Arial" w:cs="Arial"/>
          <w:color w:val="000000"/>
          <w:sz w:val="20"/>
          <w:szCs w:val="20"/>
        </w:rPr>
        <w:t>To address these questions, the study pursues three specific objectives: (1) to identify the governance commitments established through the institution’s AI policy; (2) to examine the relevant technological, organizational, and environmental conditions documented in institutional materials; and (3) to interpret how these conditions collectively contribute to the institutionalization of AI governance within the university.</w:t>
      </w:r>
    </w:p>
    <w:p w14:paraId="7ABC1348" w14:textId="77777777" w:rsidR="004517FA" w:rsidRPr="00FB3A86" w:rsidRDefault="004517FA" w:rsidP="00441B6F">
      <w:pPr>
        <w:pStyle w:val="AbstHead"/>
        <w:spacing w:after="0"/>
        <w:jc w:val="both"/>
        <w:rPr>
          <w:rFonts w:ascii="Arial" w:hAnsi="Arial" w:cs="Arial"/>
        </w:rPr>
      </w:pPr>
    </w:p>
    <w:p w14:paraId="708212B8" w14:textId="643D93AC" w:rsidR="007F7B32" w:rsidRDefault="00902823" w:rsidP="00441B6F">
      <w:pPr>
        <w:pStyle w:val="AbstHead"/>
        <w:spacing w:after="0"/>
        <w:jc w:val="both"/>
        <w:rPr>
          <w:rFonts w:ascii="Arial" w:hAnsi="Arial" w:cs="Arial"/>
        </w:rPr>
      </w:pPr>
      <w:r>
        <w:rPr>
          <w:rFonts w:ascii="Arial" w:hAnsi="Arial" w:cs="Arial"/>
        </w:rPr>
        <w:t xml:space="preserve">2. </w:t>
      </w:r>
      <w:r w:rsidR="00360E33">
        <w:rPr>
          <w:rFonts w:ascii="Arial" w:hAnsi="Arial" w:cs="Arial"/>
        </w:rPr>
        <w:t>METHODOLOGY</w:t>
      </w:r>
    </w:p>
    <w:p w14:paraId="491502E5" w14:textId="77777777" w:rsidR="00790ADA" w:rsidRPr="00FB3A86" w:rsidRDefault="00790ADA" w:rsidP="00441B6F">
      <w:pPr>
        <w:pStyle w:val="AbstHead"/>
        <w:spacing w:after="0"/>
        <w:jc w:val="both"/>
        <w:rPr>
          <w:rFonts w:ascii="Arial" w:hAnsi="Arial" w:cs="Arial"/>
        </w:rPr>
      </w:pPr>
    </w:p>
    <w:p w14:paraId="2C54C94A" w14:textId="77777777" w:rsidR="00B57BC1" w:rsidRPr="00B57BC1" w:rsidRDefault="00B57BC1" w:rsidP="00B57BC1">
      <w:pPr>
        <w:pStyle w:val="Heading3"/>
        <w:spacing w:before="0"/>
        <w:rPr>
          <w:rFonts w:ascii="Times New Roman" w:hAnsi="Times New Roman"/>
          <w:b/>
          <w:bCs/>
          <w:sz w:val="22"/>
          <w:szCs w:val="22"/>
        </w:rPr>
      </w:pPr>
      <w:r w:rsidRPr="00B57BC1">
        <w:rPr>
          <w:rFonts w:ascii="Arial" w:hAnsi="Arial" w:cs="Arial"/>
          <w:b/>
          <w:bCs/>
          <w:color w:val="000000"/>
          <w:sz w:val="22"/>
          <w:szCs w:val="22"/>
        </w:rPr>
        <w:t>2.1 Research Design</w:t>
      </w:r>
    </w:p>
    <w:p w14:paraId="4BBAF25A" w14:textId="77777777" w:rsidR="00B57BC1" w:rsidRDefault="00B57BC1" w:rsidP="00B57BC1"/>
    <w:p w14:paraId="29713A2B" w14:textId="77777777" w:rsidR="004C7689" w:rsidRDefault="004C7689" w:rsidP="004C7689">
      <w:pPr>
        <w:pStyle w:val="NormalWeb"/>
        <w:spacing w:before="0" w:beforeAutospacing="0" w:after="0" w:afterAutospacing="0"/>
      </w:pPr>
      <w:r>
        <w:rPr>
          <w:rFonts w:ascii="Arial" w:hAnsi="Arial" w:cs="Arial"/>
          <w:color w:val="000000"/>
          <w:sz w:val="20"/>
          <w:szCs w:val="20"/>
        </w:rPr>
        <w:t>A theory-directed qualitative document analysis was utilized to investigate the institutionalization of generative artificial intelligence (GenAI) governance within a Higher Education institution. This approach prioritizes formal institutional arrangements, governance mechanisms, and organizational commitments as articulated in official documents, rather than individual perceptions or self-reported experiences. Institutional policies and memoranda documenting the development of AI-related capabilities, governance structures, and formal policy commitments served as primary data sources. These documents provide direct evidence of the institution's formal response to GenAI. The analysis was guided by a predefined theoretical framework and coding scheme, supplemented by interpretive examination of relationships and patterns across documents. This integration of theory-directed coding and qualitative interpretation is consistent with established practices in documentary and qualitative text analysis for organizational and policy research (Bowen, 2009; Ji, 2024; Malandrino, 2024).</w:t>
      </w:r>
    </w:p>
    <w:p w14:paraId="77D14BD9" w14:textId="77777777" w:rsidR="004C7689" w:rsidRDefault="004C7689" w:rsidP="004C7689">
      <w:pPr>
        <w:pStyle w:val="NormalWeb"/>
        <w:spacing w:before="0" w:beforeAutospacing="0" w:after="0" w:afterAutospacing="0"/>
      </w:pPr>
      <w:r>
        <w:rPr>
          <w:rFonts w:ascii="Arial" w:hAnsi="Arial" w:cs="Arial"/>
          <w:color w:val="000000"/>
          <w:sz w:val="20"/>
          <w:szCs w:val="20"/>
        </w:rPr>
        <w:t xml:space="preserve">The Technology–Organization–Environment (TOE) framework was utilized as the deductive analytical lens for this study. Developed by </w:t>
      </w:r>
      <w:proofErr w:type="spellStart"/>
      <w:r>
        <w:rPr>
          <w:rFonts w:ascii="Arial" w:hAnsi="Arial" w:cs="Arial"/>
          <w:color w:val="000000"/>
          <w:sz w:val="20"/>
          <w:szCs w:val="20"/>
        </w:rPr>
        <w:t>Tornatzky</w:t>
      </w:r>
      <w:proofErr w:type="spellEnd"/>
      <w:r>
        <w:rPr>
          <w:rFonts w:ascii="Arial" w:hAnsi="Arial" w:cs="Arial"/>
          <w:color w:val="000000"/>
          <w:sz w:val="20"/>
          <w:szCs w:val="20"/>
        </w:rPr>
        <w:t xml:space="preserve"> and Fleischer (1990), the TOE framework explains organizational technological innovation through three broad contexts: technological, organizational, and environmental. This framework is particularly suitable for organizational-level analysis because it considers technological innovation in relation to both internal organizational conditions and the external environment, rather than focusing exclusively on individual technology acceptance.</w:t>
      </w:r>
    </w:p>
    <w:p w14:paraId="3357C7EF" w14:textId="77777777" w:rsidR="004C7689" w:rsidRDefault="004C7689" w:rsidP="004C7689">
      <w:pPr>
        <w:pStyle w:val="NormalWeb"/>
        <w:spacing w:before="0" w:beforeAutospacing="0" w:after="0" w:afterAutospacing="0"/>
      </w:pPr>
      <w:r>
        <w:rPr>
          <w:rFonts w:ascii="Arial" w:hAnsi="Arial" w:cs="Arial"/>
          <w:color w:val="000000"/>
          <w:sz w:val="20"/>
          <w:szCs w:val="20"/>
        </w:rPr>
        <w:t xml:space="preserve">Recent studies show the continuing relevance of the TOE framework for analyzing emerging technologies and institutional contexts. Al-Khatib (2023) applied TOE specifically to generative artificial intelligence, while Hmoud et al. (2023) utilized the framework to examine technology adoption in Higher Education institutions. Additional studies have investigated TOE factors associated with organizational AI adoption (Pinto et al., 2025), organizational </w:t>
      </w:r>
      <w:r>
        <w:rPr>
          <w:rFonts w:ascii="Arial" w:hAnsi="Arial" w:cs="Arial"/>
          <w:color w:val="000000"/>
          <w:sz w:val="20"/>
          <w:szCs w:val="20"/>
        </w:rPr>
        <w:lastRenderedPageBreak/>
        <w:t>readiness for AI (Neumann et al., 2024), and educational-technology adoption at the institutional level in Higher Education (Yan et al., 2026).</w:t>
      </w:r>
    </w:p>
    <w:p w14:paraId="499DD84B" w14:textId="77777777" w:rsidR="004C7689" w:rsidRDefault="004C7689" w:rsidP="004C7689">
      <w:pPr>
        <w:pStyle w:val="NormalWeb"/>
        <w:spacing w:before="0" w:beforeAutospacing="0" w:after="0" w:afterAutospacing="0"/>
      </w:pPr>
      <w:r>
        <w:rPr>
          <w:rFonts w:ascii="Arial" w:hAnsi="Arial" w:cs="Arial"/>
          <w:color w:val="000000"/>
          <w:sz w:val="20"/>
          <w:szCs w:val="20"/>
        </w:rPr>
        <w:t>The TOE framework was not applied as a statistical model for predicting technology adoption. Rather, it served as a theoretical structure for examining documentary evidence regarding the conditions under which AI governance is developed and institutionalized. The analysis concentrated on how technological, organizational, and environmental conditions are represented in institutional documents and their connection to the development of formal AI-governance arrangements.</w:t>
      </w:r>
    </w:p>
    <w:p w14:paraId="477F7F20" w14:textId="77777777" w:rsidR="004C7689" w:rsidRDefault="004C7689" w:rsidP="004C7689">
      <w:pPr>
        <w:pStyle w:val="NormalWeb"/>
        <w:spacing w:before="0" w:beforeAutospacing="0" w:after="0" w:afterAutospacing="0"/>
      </w:pPr>
      <w:r>
        <w:rPr>
          <w:rFonts w:ascii="Arial" w:hAnsi="Arial" w:cs="Arial"/>
          <w:color w:val="000000"/>
          <w:sz w:val="20"/>
          <w:szCs w:val="20"/>
        </w:rPr>
        <w:t>The analysis proceeded at two interconnected levels. Initially, documentary statements were deductively coded using a literature-supported TOE codebook. Subsequently, the coded evidence was examined through cross-document pattern analysis to identify relationships among conditions and to determine how capability development, governance structures, and formal policy commitments collectively contribute to the institutionalization of AI governance.</w:t>
      </w:r>
    </w:p>
    <w:p w14:paraId="7FDD7716" w14:textId="77777777" w:rsidR="00B57BC1" w:rsidRDefault="00B57BC1" w:rsidP="00B57BC1"/>
    <w:p w14:paraId="5F197B9C" w14:textId="77777777" w:rsidR="008F1128" w:rsidRPr="008F1128" w:rsidRDefault="008F1128" w:rsidP="008F1128">
      <w:pPr>
        <w:pStyle w:val="Heading2"/>
        <w:spacing w:before="0"/>
        <w:rPr>
          <w:b/>
          <w:bCs/>
          <w:sz w:val="22"/>
          <w:szCs w:val="22"/>
        </w:rPr>
      </w:pPr>
      <w:r w:rsidRPr="008F1128">
        <w:rPr>
          <w:rFonts w:ascii="Arial" w:hAnsi="Arial" w:cs="Arial"/>
          <w:b/>
          <w:bCs/>
          <w:color w:val="000000"/>
          <w:sz w:val="22"/>
          <w:szCs w:val="22"/>
        </w:rPr>
        <w:t>2.2 Documentary Data Sources and Selection</w:t>
      </w:r>
    </w:p>
    <w:p w14:paraId="6FA7EBD5" w14:textId="77777777" w:rsidR="008F1128" w:rsidRDefault="008F1128" w:rsidP="008F1128"/>
    <w:p w14:paraId="180F3441" w14:textId="77777777" w:rsidR="008F1128" w:rsidRDefault="008F1128" w:rsidP="008F1128">
      <w:pPr>
        <w:pStyle w:val="NormalWeb"/>
        <w:spacing w:before="0" w:beforeAutospacing="0" w:after="0" w:afterAutospacing="0"/>
      </w:pPr>
      <w:r>
        <w:rPr>
          <w:rFonts w:ascii="Arial" w:hAnsi="Arial" w:cs="Arial"/>
          <w:color w:val="000000"/>
          <w:sz w:val="20"/>
          <w:szCs w:val="20"/>
        </w:rPr>
        <w:t>This study was conducted at Xavier University–Ateneo de Cagayan, a higher education institution in the Philippines. The documentary corpus comprised institutional documents addressing generative artificial intelligence (GenAI), its responsible use, and related organizational initiatives. Purposive documentary sampling was utilized. Documents were selected according to four criteria: (a) official institutional authorship or issuance; (b) accessibility to the researcher; (c) direct and substantive relevance to AI governance or AI-related organizational management in higher education; and (d) sufficient substantive content to support theoretically directed analysis.</w:t>
      </w:r>
    </w:p>
    <w:p w14:paraId="1A546E6B" w14:textId="77777777" w:rsidR="008F1128" w:rsidRDefault="008F1128" w:rsidP="008F1128">
      <w:pPr>
        <w:pStyle w:val="NormalWeb"/>
        <w:spacing w:before="0" w:beforeAutospacing="0" w:after="0" w:afterAutospacing="0"/>
      </w:pPr>
      <w:r>
        <w:rPr>
          <w:rFonts w:ascii="Arial" w:hAnsi="Arial" w:cs="Arial"/>
          <w:color w:val="000000"/>
          <w:sz w:val="20"/>
          <w:szCs w:val="20"/>
        </w:rPr>
        <w:t xml:space="preserve">The core documentary corpus consisted of three documents. D1, the </w:t>
      </w:r>
      <w:r>
        <w:rPr>
          <w:rFonts w:ascii="Arial" w:hAnsi="Arial" w:cs="Arial"/>
          <w:i/>
          <w:iCs/>
          <w:color w:val="000000"/>
          <w:sz w:val="20"/>
          <w:szCs w:val="20"/>
        </w:rPr>
        <w:t>Policy on the Ethical and Responsible Use of Generative Artificial Intelligence (GenAI) at Xavier Ateneo</w:t>
      </w:r>
      <w:r>
        <w:rPr>
          <w:rFonts w:ascii="Arial" w:hAnsi="Arial" w:cs="Arial"/>
          <w:color w:val="000000"/>
          <w:sz w:val="20"/>
          <w:szCs w:val="20"/>
        </w:rPr>
        <w:t xml:space="preserve"> (Memo #U2425-003), issued on August 6, 2024, served as the principal source of evidence regarding the institution's formal AI governance commitments (Xavier University, 2024a).</w:t>
      </w:r>
    </w:p>
    <w:p w14:paraId="341CB951" w14:textId="77777777" w:rsidR="008F1128" w:rsidRDefault="008F1128" w:rsidP="008F1128">
      <w:pPr>
        <w:pStyle w:val="NormalWeb"/>
        <w:spacing w:before="0" w:beforeAutospacing="0" w:after="0" w:afterAutospacing="0"/>
      </w:pPr>
      <w:r>
        <w:rPr>
          <w:rFonts w:ascii="Arial" w:hAnsi="Arial" w:cs="Arial"/>
          <w:color w:val="000000"/>
          <w:sz w:val="20"/>
          <w:szCs w:val="20"/>
        </w:rPr>
        <w:t xml:space="preserve">D2, </w:t>
      </w:r>
      <w:r>
        <w:rPr>
          <w:rFonts w:ascii="Arial" w:hAnsi="Arial" w:cs="Arial"/>
          <w:i/>
          <w:iCs/>
          <w:color w:val="000000"/>
          <w:sz w:val="20"/>
          <w:szCs w:val="20"/>
        </w:rPr>
        <w:t>Establishment of the Committee on Responsible AI Use at Xavier Ateneo</w:t>
      </w:r>
      <w:r>
        <w:rPr>
          <w:rFonts w:ascii="Arial" w:hAnsi="Arial" w:cs="Arial"/>
          <w:color w:val="000000"/>
          <w:sz w:val="20"/>
          <w:szCs w:val="20"/>
        </w:rPr>
        <w:t xml:space="preserve"> (Memo #U2324-062), dated February 24, 2024, provided evidence of the creation of a formal organizational mechanism for responsible AI governance, including governance responsibilities, organizational structure, leadership, and coordination (Xavier University, 2024b).</w:t>
      </w:r>
    </w:p>
    <w:p w14:paraId="4CFE25FA" w14:textId="08B3D15B" w:rsidR="008F1128" w:rsidRDefault="008F1128" w:rsidP="008F1128">
      <w:pPr>
        <w:pStyle w:val="NormalWeb"/>
        <w:spacing w:before="0" w:beforeAutospacing="0" w:after="0" w:afterAutospacing="0"/>
      </w:pPr>
      <w:r>
        <w:rPr>
          <w:rFonts w:ascii="Arial" w:hAnsi="Arial" w:cs="Arial"/>
          <w:color w:val="000000"/>
          <w:sz w:val="20"/>
          <w:szCs w:val="20"/>
        </w:rPr>
        <w:t xml:space="preserve">D3, OVPHED Memo 2324-14, </w:t>
      </w:r>
      <w:r>
        <w:rPr>
          <w:rFonts w:ascii="Arial" w:hAnsi="Arial" w:cs="Arial"/>
          <w:i/>
          <w:iCs/>
          <w:color w:val="000000"/>
          <w:sz w:val="20"/>
          <w:szCs w:val="20"/>
        </w:rPr>
        <w:t>Artificial Intelligence (AI) in the Service of Teaching and Learning</w:t>
      </w:r>
      <w:r>
        <w:rPr>
          <w:rFonts w:ascii="Arial" w:hAnsi="Arial" w:cs="Arial"/>
          <w:color w:val="000000"/>
          <w:sz w:val="20"/>
          <w:szCs w:val="20"/>
        </w:rPr>
        <w:t>, dated November 3, 2023, documented an institutional AI program that included faculty GenAI training, an online AI resource and interaction hub, faculty and formator discussions, and student focus groups. The program also aimed to generate recommendations on how the university should address and manage AI-related opportunities and challenges (Office of the Vice President for Higher Education, 2023).</w:t>
      </w:r>
    </w:p>
    <w:p w14:paraId="4D03C195" w14:textId="77777777" w:rsidR="008F1128" w:rsidRDefault="008F1128" w:rsidP="008F1128">
      <w:pPr>
        <w:pStyle w:val="NormalWeb"/>
        <w:spacing w:before="0" w:beforeAutospacing="0" w:after="0" w:afterAutospacing="0"/>
      </w:pPr>
      <w:r>
        <w:rPr>
          <w:rFonts w:ascii="Arial" w:hAnsi="Arial" w:cs="Arial"/>
          <w:color w:val="000000"/>
          <w:sz w:val="20"/>
          <w:szCs w:val="20"/>
        </w:rPr>
        <w:t>These three documents were selected to represent distinct yet interconnected organizational mechanisms: AI capability development and organizational learning (D3), formal governance structuring (D2), and formal policy institutionalization (D1). Collectively, they provide complementary evidence for examining the development of institutional responses to GenAI across capability-building, organizational governance, and formal policy.</w:t>
      </w:r>
    </w:p>
    <w:p w14:paraId="24266233" w14:textId="77777777" w:rsidR="008F1128" w:rsidRDefault="008F1128" w:rsidP="008F1128">
      <w:pPr>
        <w:pStyle w:val="NormalWeb"/>
        <w:spacing w:before="0" w:beforeAutospacing="0" w:after="0" w:afterAutospacing="0"/>
      </w:pPr>
      <w:r>
        <w:rPr>
          <w:rFonts w:ascii="Arial" w:hAnsi="Arial" w:cs="Arial"/>
          <w:color w:val="000000"/>
          <w:sz w:val="20"/>
          <w:szCs w:val="20"/>
        </w:rPr>
        <w:t>Documents with only indirect relevance to AI governance were excluded from the core corpus. A general strategic-planning document was omitted because it did not substantively address AI. General and population-specific data privacy documents were also excluded, as they pertain to broader institutional privacy arrangements rather than AI-specific governance. The study focused exclusively on higher education; therefore, basic education documents were not included.</w:t>
      </w:r>
    </w:p>
    <w:p w14:paraId="6F91F5AC" w14:textId="77777777" w:rsidR="008F1128" w:rsidRDefault="008F1128" w:rsidP="008F1128">
      <w:pPr>
        <w:pStyle w:val="NormalWeb"/>
        <w:spacing w:before="0" w:beforeAutospacing="0" w:after="0" w:afterAutospacing="0"/>
      </w:pPr>
      <w:r>
        <w:rPr>
          <w:rFonts w:ascii="Arial" w:hAnsi="Arial" w:cs="Arial"/>
          <w:color w:val="000000"/>
          <w:sz w:val="20"/>
          <w:szCs w:val="20"/>
        </w:rPr>
        <w:t xml:space="preserve">The bounded corpus was constructed to provide analytical depth and facilitate documentary triangulation, rather than to include every institutional document related to AI. This approach aligns with qualitative document analysis, in which documentary sources are purposively </w:t>
      </w:r>
      <w:r>
        <w:rPr>
          <w:rFonts w:ascii="Arial" w:hAnsi="Arial" w:cs="Arial"/>
          <w:color w:val="000000"/>
          <w:sz w:val="20"/>
          <w:szCs w:val="20"/>
        </w:rPr>
        <w:lastRenderedPageBreak/>
        <w:t>selected based on their relevance to the research problem and analytical objectives (Bowen, 2009; Ji, 2024).</w:t>
      </w:r>
    </w:p>
    <w:p w14:paraId="4D8ABBB3" w14:textId="77777777" w:rsidR="008F1128" w:rsidRPr="00E75D6A" w:rsidRDefault="008F1128" w:rsidP="008F1128">
      <w:pPr>
        <w:rPr>
          <w:b/>
          <w:bCs/>
          <w:sz w:val="22"/>
          <w:szCs w:val="22"/>
        </w:rPr>
      </w:pPr>
    </w:p>
    <w:p w14:paraId="7B21E790" w14:textId="77777777" w:rsidR="00E75D6A" w:rsidRPr="00E75D6A" w:rsidRDefault="00E75D6A" w:rsidP="00E75D6A">
      <w:pPr>
        <w:pStyle w:val="Heading2"/>
        <w:spacing w:before="0"/>
        <w:rPr>
          <w:b/>
          <w:bCs/>
          <w:sz w:val="22"/>
          <w:szCs w:val="22"/>
        </w:rPr>
      </w:pPr>
      <w:r w:rsidRPr="00E75D6A">
        <w:rPr>
          <w:rFonts w:ascii="Arial" w:hAnsi="Arial" w:cs="Arial"/>
          <w:b/>
          <w:bCs/>
          <w:color w:val="000000"/>
          <w:sz w:val="22"/>
          <w:szCs w:val="22"/>
        </w:rPr>
        <w:t>2.3 Theoretical Framework and TOE Codebook</w:t>
      </w:r>
    </w:p>
    <w:p w14:paraId="5EBD78C5" w14:textId="77777777" w:rsidR="00E75D6A" w:rsidRDefault="00E75D6A" w:rsidP="00E75D6A"/>
    <w:p w14:paraId="25CF0857" w14:textId="77777777" w:rsidR="00E75D6A" w:rsidRDefault="00E75D6A" w:rsidP="00E75D6A">
      <w:pPr>
        <w:pStyle w:val="NormalWeb"/>
        <w:spacing w:before="0" w:beforeAutospacing="0" w:after="0" w:afterAutospacing="0"/>
      </w:pPr>
      <w:r>
        <w:rPr>
          <w:rFonts w:ascii="Arial" w:hAnsi="Arial" w:cs="Arial"/>
          <w:color w:val="000000"/>
          <w:sz w:val="20"/>
          <w:szCs w:val="20"/>
        </w:rPr>
        <w:t>The TOE framework encompasses three broad contextual domains: Technology, Organization, and Environment (</w:t>
      </w:r>
      <w:proofErr w:type="spellStart"/>
      <w:r>
        <w:rPr>
          <w:rFonts w:ascii="Arial" w:hAnsi="Arial" w:cs="Arial"/>
          <w:color w:val="000000"/>
          <w:sz w:val="20"/>
          <w:szCs w:val="20"/>
        </w:rPr>
        <w:t>Tornatzky</w:t>
      </w:r>
      <w:proofErr w:type="spellEnd"/>
      <w:r>
        <w:rPr>
          <w:rFonts w:ascii="Arial" w:hAnsi="Arial" w:cs="Arial"/>
          <w:color w:val="000000"/>
          <w:sz w:val="20"/>
          <w:szCs w:val="20"/>
        </w:rPr>
        <w:t xml:space="preserve"> &amp; Fleischer, 1990). These domains provide the theoretical structure for the analysis; however, the framework does not prescribe a universal set of specific constructs applicable to all technologies or organizational settings. Instead, specific determinants are operationalized according to the technological and organizational context under investigation.</w:t>
      </w:r>
    </w:p>
    <w:p w14:paraId="127FC53B" w14:textId="77777777" w:rsidR="00E75D6A" w:rsidRDefault="00E75D6A" w:rsidP="00E75D6A">
      <w:pPr>
        <w:pStyle w:val="NormalWeb"/>
        <w:spacing w:before="0" w:beforeAutospacing="0" w:after="0" w:afterAutospacing="0"/>
      </w:pPr>
      <w:r>
        <w:rPr>
          <w:rFonts w:ascii="Arial" w:hAnsi="Arial" w:cs="Arial"/>
          <w:color w:val="000000"/>
          <w:sz w:val="20"/>
          <w:szCs w:val="20"/>
        </w:rPr>
        <w:t>This contextual operationalization is evident in recent TOE research. Hmoud et al. (2023), examining technology adoption in Higher Education institutions, identified factors such as relative advantage, compatibility, complexity, top management support, organizational readiness, information quality, and vendor selection. Al-Khatib (2023), examining GenAI, similarly operationalized TOE through technological, organizational, and environmental factors including relative advantage, compatibility, complexity, top-management support, organizational readiness, and external pressures. Neumann et al. (2024) examined organizational readiness for AI using technological, organizational, and environmental conditions.</w:t>
      </w:r>
    </w:p>
    <w:p w14:paraId="4ABE10D2" w14:textId="77777777" w:rsidR="00E75D6A" w:rsidRDefault="00E75D6A" w:rsidP="00E75D6A">
      <w:pPr>
        <w:pStyle w:val="NormalWeb"/>
        <w:spacing w:before="0" w:beforeAutospacing="0" w:after="0" w:afterAutospacing="0"/>
      </w:pPr>
      <w:r>
        <w:rPr>
          <w:rFonts w:ascii="Arial" w:hAnsi="Arial" w:cs="Arial"/>
          <w:color w:val="000000"/>
          <w:sz w:val="20"/>
          <w:szCs w:val="20"/>
        </w:rPr>
        <w:t>Two recent syntheses provide particularly relevant support for the present study. Pinto et al. (2025) conducted a meta-analysis of TOE factors associated with organizational AI adoption and identified compatibility, relative advantage, organizational readiness, management support, government support, competitive pressure, and vendor partnership among relevant factors. Yan et al. (2026), through a systematic review of institutional educational technology adoption in Higher Education, similarly identified recurring technological, organizational, and environmental determinants across institutional technology adoption studies.</w:t>
      </w:r>
    </w:p>
    <w:p w14:paraId="7ED543FE" w14:textId="27D6B3D1" w:rsidR="00E75D6A" w:rsidRDefault="00E75D6A" w:rsidP="00E75D6A">
      <w:pPr>
        <w:pStyle w:val="NormalWeb"/>
        <w:spacing w:before="0" w:beforeAutospacing="0" w:after="0" w:afterAutospacing="0"/>
        <w:rPr>
          <w:rFonts w:ascii="Arial" w:hAnsi="Arial" w:cs="Arial"/>
          <w:color w:val="000000"/>
          <w:sz w:val="20"/>
          <w:szCs w:val="20"/>
        </w:rPr>
      </w:pPr>
      <w:r>
        <w:rPr>
          <w:rFonts w:ascii="Arial" w:hAnsi="Arial" w:cs="Arial"/>
          <w:color w:val="000000"/>
          <w:sz w:val="20"/>
          <w:szCs w:val="20"/>
        </w:rPr>
        <w:t>Accordingly, this study operationalized the three TOE contexts through 13 context-specific constructs. These constructs were selected from recent TOE literature and adapted to characteristics observable in institutional documentary evidence. They are treated as operational categories within the three TOE contexts, rather than as an assertion that the original TOE framework contains a fixed 13-construct taxonomy.</w:t>
      </w:r>
    </w:p>
    <w:p w14:paraId="69DAEE4C" w14:textId="77777777" w:rsidR="00E75D6A" w:rsidRDefault="00E75D6A" w:rsidP="00E75D6A">
      <w:pPr>
        <w:pStyle w:val="NormalWeb"/>
        <w:spacing w:before="0" w:beforeAutospacing="0" w:after="0" w:afterAutospacing="0"/>
        <w:rPr>
          <w:rFonts w:ascii="Arial" w:hAnsi="Arial" w:cs="Arial"/>
          <w:color w:val="000000"/>
          <w:sz w:val="20"/>
          <w:szCs w:val="20"/>
        </w:rPr>
      </w:pPr>
    </w:p>
    <w:p w14:paraId="29A21764" w14:textId="03B693A9" w:rsidR="00E75D6A" w:rsidRDefault="00E75D6A" w:rsidP="00E75D6A">
      <w:pPr>
        <w:pStyle w:val="NormalWeb"/>
        <w:spacing w:before="0" w:beforeAutospacing="0" w:after="0" w:afterAutospacing="0"/>
        <w:jc w:val="center"/>
        <w:rPr>
          <w:rFonts w:ascii="Arial" w:hAnsi="Arial" w:cs="Arial"/>
          <w:b/>
          <w:bCs/>
          <w:color w:val="000000"/>
          <w:sz w:val="20"/>
          <w:szCs w:val="20"/>
        </w:rPr>
      </w:pPr>
      <w:r>
        <w:rPr>
          <w:rFonts w:ascii="Arial" w:hAnsi="Arial" w:cs="Arial"/>
          <w:b/>
          <w:bCs/>
          <w:color w:val="000000"/>
          <w:sz w:val="20"/>
          <w:szCs w:val="20"/>
        </w:rPr>
        <w:t>Table 1. Literature-Supported TOE Codebook for Documentary Analysis</w:t>
      </w:r>
    </w:p>
    <w:p w14:paraId="6E2959D8" w14:textId="77777777" w:rsidR="00E75D6A" w:rsidRDefault="00E75D6A" w:rsidP="00E75D6A">
      <w:pPr>
        <w:pStyle w:val="NormalWeb"/>
        <w:spacing w:before="0" w:beforeAutospacing="0" w:after="0" w:afterAutospacing="0"/>
        <w:jc w:val="center"/>
        <w:rPr>
          <w:rFonts w:ascii="Arial" w:hAnsi="Arial" w:cs="Arial"/>
          <w:b/>
          <w:bCs/>
          <w:color w:val="000000"/>
          <w:sz w:val="20"/>
          <w:szCs w:val="20"/>
        </w:rPr>
      </w:pPr>
    </w:p>
    <w:tbl>
      <w:tblPr>
        <w:tblW w:w="9450" w:type="dxa"/>
        <w:tblInd w:w="-540" w:type="dxa"/>
        <w:tblCellMar>
          <w:top w:w="15" w:type="dxa"/>
          <w:left w:w="15" w:type="dxa"/>
          <w:bottom w:w="15" w:type="dxa"/>
          <w:right w:w="15" w:type="dxa"/>
        </w:tblCellMar>
        <w:tblLook w:val="04A0" w:firstRow="1" w:lastRow="0" w:firstColumn="1" w:lastColumn="0" w:noHBand="0" w:noVBand="1"/>
      </w:tblPr>
      <w:tblGrid>
        <w:gridCol w:w="1965"/>
        <w:gridCol w:w="2408"/>
        <w:gridCol w:w="2759"/>
        <w:gridCol w:w="2318"/>
      </w:tblGrid>
      <w:tr w:rsidR="00E75D6A" w14:paraId="5BCF52AB" w14:textId="77777777" w:rsidTr="00E75D6A">
        <w:tc>
          <w:tcPr>
            <w:tcW w:w="1965" w:type="dxa"/>
            <w:tcBorders>
              <w:top w:val="single" w:sz="4" w:space="0" w:color="auto"/>
              <w:bottom w:val="single" w:sz="4" w:space="0" w:color="auto"/>
            </w:tcBorders>
            <w:tcMar>
              <w:top w:w="100" w:type="dxa"/>
              <w:left w:w="100" w:type="dxa"/>
              <w:bottom w:w="100" w:type="dxa"/>
              <w:right w:w="100" w:type="dxa"/>
            </w:tcMar>
            <w:hideMark/>
          </w:tcPr>
          <w:p w14:paraId="40A0186E" w14:textId="77777777" w:rsidR="00E75D6A" w:rsidRPr="00E75D6A" w:rsidRDefault="00E75D6A" w:rsidP="00E75D6A">
            <w:pPr>
              <w:pStyle w:val="NormalWeb"/>
              <w:spacing w:before="0" w:beforeAutospacing="0" w:after="0" w:afterAutospacing="0"/>
              <w:rPr>
                <w:rFonts w:ascii="Arial" w:hAnsi="Arial" w:cs="Arial"/>
                <w:sz w:val="20"/>
                <w:szCs w:val="20"/>
              </w:rPr>
            </w:pPr>
            <w:r w:rsidRPr="00E75D6A">
              <w:rPr>
                <w:rFonts w:ascii="Arial" w:hAnsi="Arial" w:cs="Arial"/>
                <w:b/>
                <w:bCs/>
                <w:color w:val="000000"/>
                <w:sz w:val="20"/>
                <w:szCs w:val="20"/>
              </w:rPr>
              <w:t>TOE Context</w:t>
            </w:r>
          </w:p>
        </w:tc>
        <w:tc>
          <w:tcPr>
            <w:tcW w:w="0" w:type="auto"/>
            <w:tcBorders>
              <w:top w:val="single" w:sz="4" w:space="0" w:color="auto"/>
              <w:bottom w:val="single" w:sz="4" w:space="0" w:color="auto"/>
            </w:tcBorders>
            <w:tcMar>
              <w:top w:w="100" w:type="dxa"/>
              <w:left w:w="100" w:type="dxa"/>
              <w:bottom w:w="100" w:type="dxa"/>
              <w:right w:w="100" w:type="dxa"/>
            </w:tcMar>
            <w:hideMark/>
          </w:tcPr>
          <w:p w14:paraId="58D5F9DE" w14:textId="77777777" w:rsidR="00E75D6A" w:rsidRPr="00E75D6A" w:rsidRDefault="00E75D6A" w:rsidP="00E75D6A">
            <w:pPr>
              <w:pStyle w:val="NormalWeb"/>
              <w:spacing w:before="0" w:beforeAutospacing="0" w:after="0" w:afterAutospacing="0"/>
              <w:rPr>
                <w:rFonts w:ascii="Arial" w:hAnsi="Arial" w:cs="Arial"/>
                <w:sz w:val="20"/>
                <w:szCs w:val="20"/>
              </w:rPr>
            </w:pPr>
            <w:r w:rsidRPr="00E75D6A">
              <w:rPr>
                <w:rFonts w:ascii="Arial" w:hAnsi="Arial" w:cs="Arial"/>
                <w:b/>
                <w:bCs/>
                <w:color w:val="000000"/>
                <w:sz w:val="20"/>
                <w:szCs w:val="20"/>
              </w:rPr>
              <w:t>Construct</w:t>
            </w:r>
          </w:p>
        </w:tc>
        <w:tc>
          <w:tcPr>
            <w:tcW w:w="0" w:type="auto"/>
            <w:tcBorders>
              <w:top w:val="single" w:sz="4" w:space="0" w:color="auto"/>
              <w:bottom w:val="single" w:sz="4" w:space="0" w:color="auto"/>
            </w:tcBorders>
            <w:tcMar>
              <w:top w:w="100" w:type="dxa"/>
              <w:left w:w="100" w:type="dxa"/>
              <w:bottom w:w="100" w:type="dxa"/>
              <w:right w:w="100" w:type="dxa"/>
            </w:tcMar>
            <w:hideMark/>
          </w:tcPr>
          <w:p w14:paraId="23DFA58C" w14:textId="77777777" w:rsidR="00E75D6A" w:rsidRPr="00E75D6A" w:rsidRDefault="00E75D6A" w:rsidP="00E75D6A">
            <w:pPr>
              <w:pStyle w:val="NormalWeb"/>
              <w:spacing w:before="0" w:beforeAutospacing="0" w:after="0" w:afterAutospacing="0"/>
              <w:rPr>
                <w:rFonts w:ascii="Arial" w:hAnsi="Arial" w:cs="Arial"/>
                <w:sz w:val="20"/>
                <w:szCs w:val="20"/>
              </w:rPr>
            </w:pPr>
            <w:r w:rsidRPr="00E75D6A">
              <w:rPr>
                <w:rFonts w:ascii="Arial" w:hAnsi="Arial" w:cs="Arial"/>
                <w:b/>
                <w:bCs/>
                <w:color w:val="000000"/>
                <w:sz w:val="20"/>
                <w:szCs w:val="20"/>
              </w:rPr>
              <w:t>Operational Definition</w:t>
            </w:r>
          </w:p>
        </w:tc>
        <w:tc>
          <w:tcPr>
            <w:tcW w:w="2318" w:type="dxa"/>
            <w:tcBorders>
              <w:top w:val="single" w:sz="4" w:space="0" w:color="auto"/>
              <w:bottom w:val="single" w:sz="4" w:space="0" w:color="auto"/>
            </w:tcBorders>
            <w:tcMar>
              <w:top w:w="100" w:type="dxa"/>
              <w:left w:w="100" w:type="dxa"/>
              <w:bottom w:w="100" w:type="dxa"/>
              <w:right w:w="100" w:type="dxa"/>
            </w:tcMar>
            <w:hideMark/>
          </w:tcPr>
          <w:p w14:paraId="55DEB4EA" w14:textId="77777777" w:rsidR="00E75D6A" w:rsidRPr="00E75D6A" w:rsidRDefault="00E75D6A" w:rsidP="00E75D6A">
            <w:pPr>
              <w:pStyle w:val="NormalWeb"/>
              <w:spacing w:before="0" w:beforeAutospacing="0" w:after="0" w:afterAutospacing="0"/>
              <w:rPr>
                <w:rFonts w:ascii="Arial" w:hAnsi="Arial" w:cs="Arial"/>
                <w:sz w:val="20"/>
                <w:szCs w:val="20"/>
              </w:rPr>
            </w:pPr>
            <w:r w:rsidRPr="00E75D6A">
              <w:rPr>
                <w:rFonts w:ascii="Arial" w:hAnsi="Arial" w:cs="Arial"/>
                <w:b/>
                <w:bCs/>
                <w:color w:val="000000"/>
                <w:sz w:val="20"/>
                <w:szCs w:val="20"/>
              </w:rPr>
              <w:t>Literature Support</w:t>
            </w:r>
          </w:p>
        </w:tc>
      </w:tr>
      <w:tr w:rsidR="00E75D6A" w14:paraId="370CBB22" w14:textId="77777777" w:rsidTr="00E75D6A">
        <w:trPr>
          <w:trHeight w:val="990"/>
        </w:trPr>
        <w:tc>
          <w:tcPr>
            <w:tcW w:w="1965" w:type="dxa"/>
            <w:tcBorders>
              <w:top w:val="single" w:sz="4" w:space="0" w:color="auto"/>
            </w:tcBorders>
            <w:tcMar>
              <w:top w:w="100" w:type="dxa"/>
              <w:left w:w="100" w:type="dxa"/>
              <w:bottom w:w="100" w:type="dxa"/>
              <w:right w:w="100" w:type="dxa"/>
            </w:tcMar>
            <w:hideMark/>
          </w:tcPr>
          <w:p w14:paraId="3BA345E9" w14:textId="77777777" w:rsidR="00E75D6A" w:rsidRPr="008606A9" w:rsidRDefault="00E75D6A" w:rsidP="00E75D6A">
            <w:pPr>
              <w:pStyle w:val="NormalWeb"/>
              <w:spacing w:before="0" w:beforeAutospacing="0" w:after="0" w:afterAutospacing="0"/>
              <w:rPr>
                <w:rFonts w:ascii="Arial" w:hAnsi="Arial" w:cs="Arial"/>
                <w:sz w:val="20"/>
                <w:szCs w:val="20"/>
              </w:rPr>
            </w:pPr>
            <w:r w:rsidRPr="008606A9">
              <w:rPr>
                <w:rFonts w:ascii="Arial" w:hAnsi="Arial" w:cs="Arial"/>
                <w:color w:val="000000"/>
                <w:sz w:val="20"/>
                <w:szCs w:val="20"/>
              </w:rPr>
              <w:t>Technology</w:t>
            </w:r>
          </w:p>
        </w:tc>
        <w:tc>
          <w:tcPr>
            <w:tcW w:w="0" w:type="auto"/>
            <w:tcBorders>
              <w:top w:val="single" w:sz="4" w:space="0" w:color="auto"/>
            </w:tcBorders>
            <w:tcMar>
              <w:top w:w="100" w:type="dxa"/>
              <w:left w:w="100" w:type="dxa"/>
              <w:bottom w:w="100" w:type="dxa"/>
              <w:right w:w="100" w:type="dxa"/>
            </w:tcMar>
            <w:hideMark/>
          </w:tcPr>
          <w:p w14:paraId="01BDC2AE" w14:textId="77777777" w:rsidR="00E75D6A" w:rsidRPr="008606A9" w:rsidRDefault="00E75D6A" w:rsidP="00E75D6A">
            <w:pPr>
              <w:pStyle w:val="NormalWeb"/>
              <w:spacing w:before="0" w:beforeAutospacing="0" w:after="0" w:afterAutospacing="0"/>
              <w:rPr>
                <w:rFonts w:ascii="Arial" w:hAnsi="Arial" w:cs="Arial"/>
                <w:sz w:val="20"/>
                <w:szCs w:val="20"/>
              </w:rPr>
            </w:pPr>
            <w:r w:rsidRPr="008606A9">
              <w:rPr>
                <w:rFonts w:ascii="Arial" w:hAnsi="Arial" w:cs="Arial"/>
                <w:color w:val="000000"/>
                <w:sz w:val="20"/>
                <w:szCs w:val="20"/>
              </w:rPr>
              <w:t>Relative advantage</w:t>
            </w:r>
          </w:p>
        </w:tc>
        <w:tc>
          <w:tcPr>
            <w:tcW w:w="0" w:type="auto"/>
            <w:tcBorders>
              <w:top w:val="single" w:sz="4" w:space="0" w:color="auto"/>
            </w:tcBorders>
            <w:tcMar>
              <w:top w:w="100" w:type="dxa"/>
              <w:left w:w="100" w:type="dxa"/>
              <w:bottom w:w="100" w:type="dxa"/>
              <w:right w:w="100" w:type="dxa"/>
            </w:tcMar>
            <w:hideMark/>
          </w:tcPr>
          <w:p w14:paraId="67E2482D" w14:textId="77777777" w:rsidR="00E75D6A" w:rsidRPr="00E75D6A" w:rsidRDefault="00E75D6A" w:rsidP="00E75D6A">
            <w:pPr>
              <w:pStyle w:val="NormalWeb"/>
              <w:spacing w:before="0" w:beforeAutospacing="0" w:after="0" w:afterAutospacing="0"/>
              <w:rPr>
                <w:rFonts w:ascii="Arial" w:hAnsi="Arial" w:cs="Arial"/>
                <w:sz w:val="20"/>
                <w:szCs w:val="20"/>
              </w:rPr>
            </w:pPr>
            <w:r w:rsidRPr="00E75D6A">
              <w:rPr>
                <w:rFonts w:ascii="Arial" w:hAnsi="Arial" w:cs="Arial"/>
                <w:color w:val="000000"/>
                <w:sz w:val="20"/>
                <w:szCs w:val="20"/>
              </w:rPr>
              <w:t>Documented benefits, improvements, opportunities, or value associated with AI relative to existing approaches</w:t>
            </w:r>
          </w:p>
        </w:tc>
        <w:tc>
          <w:tcPr>
            <w:tcW w:w="2318" w:type="dxa"/>
            <w:tcBorders>
              <w:top w:val="single" w:sz="4" w:space="0" w:color="auto"/>
            </w:tcBorders>
            <w:tcMar>
              <w:top w:w="100" w:type="dxa"/>
              <w:left w:w="100" w:type="dxa"/>
              <w:bottom w:w="100" w:type="dxa"/>
              <w:right w:w="100" w:type="dxa"/>
            </w:tcMar>
            <w:hideMark/>
          </w:tcPr>
          <w:p w14:paraId="6EF7E4AD" w14:textId="77777777" w:rsidR="00E75D6A" w:rsidRPr="00E75D6A" w:rsidRDefault="00E75D6A" w:rsidP="00E75D6A">
            <w:pPr>
              <w:pStyle w:val="NormalWeb"/>
              <w:spacing w:before="0" w:beforeAutospacing="0" w:after="0" w:afterAutospacing="0"/>
              <w:rPr>
                <w:rFonts w:ascii="Arial" w:hAnsi="Arial" w:cs="Arial"/>
                <w:sz w:val="20"/>
                <w:szCs w:val="20"/>
              </w:rPr>
            </w:pPr>
            <w:r w:rsidRPr="00E75D6A">
              <w:rPr>
                <w:rFonts w:ascii="Arial" w:hAnsi="Arial" w:cs="Arial"/>
                <w:color w:val="000000"/>
                <w:sz w:val="20"/>
                <w:szCs w:val="20"/>
              </w:rPr>
              <w:t>Al-Khatib, 2023; Hmoud et al., 2023; Pinto et al., 2025; Yan et al., 2026</w:t>
            </w:r>
          </w:p>
        </w:tc>
      </w:tr>
      <w:tr w:rsidR="00E75D6A" w14:paraId="5E37946E" w14:textId="77777777" w:rsidTr="00E75D6A">
        <w:trPr>
          <w:trHeight w:val="840"/>
        </w:trPr>
        <w:tc>
          <w:tcPr>
            <w:tcW w:w="1965" w:type="dxa"/>
            <w:tcMar>
              <w:top w:w="100" w:type="dxa"/>
              <w:left w:w="100" w:type="dxa"/>
              <w:bottom w:w="100" w:type="dxa"/>
              <w:right w:w="100" w:type="dxa"/>
            </w:tcMar>
            <w:hideMark/>
          </w:tcPr>
          <w:p w14:paraId="7E73CB9C" w14:textId="77777777" w:rsidR="00E75D6A" w:rsidRPr="008606A9" w:rsidRDefault="00E75D6A" w:rsidP="00E75D6A">
            <w:pPr>
              <w:rPr>
                <w:rFonts w:ascii="Arial" w:hAnsi="Arial" w:cs="Arial"/>
                <w:sz w:val="20"/>
                <w:szCs w:val="20"/>
              </w:rPr>
            </w:pPr>
          </w:p>
        </w:tc>
        <w:tc>
          <w:tcPr>
            <w:tcW w:w="0" w:type="auto"/>
            <w:tcMar>
              <w:top w:w="100" w:type="dxa"/>
              <w:left w:w="100" w:type="dxa"/>
              <w:bottom w:w="100" w:type="dxa"/>
              <w:right w:w="100" w:type="dxa"/>
            </w:tcMar>
            <w:hideMark/>
          </w:tcPr>
          <w:p w14:paraId="3B570BB8" w14:textId="77777777" w:rsidR="00E75D6A" w:rsidRPr="008606A9" w:rsidRDefault="00E75D6A" w:rsidP="00E75D6A">
            <w:pPr>
              <w:pStyle w:val="NormalWeb"/>
              <w:spacing w:before="0" w:beforeAutospacing="0" w:after="0" w:afterAutospacing="0"/>
              <w:rPr>
                <w:rFonts w:ascii="Arial" w:hAnsi="Arial" w:cs="Arial"/>
                <w:sz w:val="20"/>
                <w:szCs w:val="20"/>
              </w:rPr>
            </w:pPr>
            <w:r w:rsidRPr="008606A9">
              <w:rPr>
                <w:rFonts w:ascii="Arial" w:hAnsi="Arial" w:cs="Arial"/>
                <w:color w:val="000000"/>
                <w:sz w:val="20"/>
                <w:szCs w:val="20"/>
              </w:rPr>
              <w:t>Compatibility</w:t>
            </w:r>
          </w:p>
        </w:tc>
        <w:tc>
          <w:tcPr>
            <w:tcW w:w="0" w:type="auto"/>
            <w:tcMar>
              <w:top w:w="100" w:type="dxa"/>
              <w:left w:w="100" w:type="dxa"/>
              <w:bottom w:w="100" w:type="dxa"/>
              <w:right w:w="100" w:type="dxa"/>
            </w:tcMar>
            <w:hideMark/>
          </w:tcPr>
          <w:p w14:paraId="156968D7" w14:textId="77777777" w:rsidR="00E75D6A" w:rsidRPr="00E75D6A" w:rsidRDefault="00E75D6A" w:rsidP="00E75D6A">
            <w:pPr>
              <w:pStyle w:val="NormalWeb"/>
              <w:spacing w:before="0" w:beforeAutospacing="0" w:after="0" w:afterAutospacing="0"/>
              <w:rPr>
                <w:rFonts w:ascii="Arial" w:hAnsi="Arial" w:cs="Arial"/>
                <w:sz w:val="20"/>
                <w:szCs w:val="20"/>
              </w:rPr>
            </w:pPr>
            <w:r w:rsidRPr="00E75D6A">
              <w:rPr>
                <w:rFonts w:ascii="Arial" w:hAnsi="Arial" w:cs="Arial"/>
                <w:color w:val="000000"/>
                <w:sz w:val="20"/>
                <w:szCs w:val="20"/>
              </w:rPr>
              <w:t>Evidence that AI is consistent with existing institutional practices, systems, values, or processes</w:t>
            </w:r>
          </w:p>
        </w:tc>
        <w:tc>
          <w:tcPr>
            <w:tcW w:w="2318" w:type="dxa"/>
            <w:tcMar>
              <w:top w:w="100" w:type="dxa"/>
              <w:left w:w="100" w:type="dxa"/>
              <w:bottom w:w="100" w:type="dxa"/>
              <w:right w:w="100" w:type="dxa"/>
            </w:tcMar>
            <w:hideMark/>
          </w:tcPr>
          <w:p w14:paraId="07E7AF2A" w14:textId="77777777" w:rsidR="00E75D6A" w:rsidRPr="00E75D6A" w:rsidRDefault="00E75D6A" w:rsidP="00E75D6A">
            <w:pPr>
              <w:pStyle w:val="NormalWeb"/>
              <w:spacing w:before="0" w:beforeAutospacing="0" w:after="0" w:afterAutospacing="0"/>
              <w:rPr>
                <w:rFonts w:ascii="Arial" w:hAnsi="Arial" w:cs="Arial"/>
                <w:sz w:val="20"/>
                <w:szCs w:val="20"/>
              </w:rPr>
            </w:pPr>
            <w:r w:rsidRPr="00E75D6A">
              <w:rPr>
                <w:rFonts w:ascii="Arial" w:hAnsi="Arial" w:cs="Arial"/>
                <w:color w:val="000000"/>
                <w:sz w:val="20"/>
                <w:szCs w:val="20"/>
              </w:rPr>
              <w:t>Al-Khatib, 2023; Hmoud et al., 2023; Pinto et al., 2025; Yan et al., 2026</w:t>
            </w:r>
          </w:p>
        </w:tc>
      </w:tr>
      <w:tr w:rsidR="00E75D6A" w14:paraId="5DFD58C2" w14:textId="77777777" w:rsidTr="00E75D6A">
        <w:trPr>
          <w:trHeight w:val="855"/>
        </w:trPr>
        <w:tc>
          <w:tcPr>
            <w:tcW w:w="1965" w:type="dxa"/>
            <w:tcMar>
              <w:top w:w="100" w:type="dxa"/>
              <w:left w:w="100" w:type="dxa"/>
              <w:bottom w:w="100" w:type="dxa"/>
              <w:right w:w="100" w:type="dxa"/>
            </w:tcMar>
            <w:hideMark/>
          </w:tcPr>
          <w:p w14:paraId="15462651" w14:textId="77777777" w:rsidR="00E75D6A" w:rsidRPr="008606A9" w:rsidRDefault="00E75D6A" w:rsidP="00E75D6A">
            <w:pPr>
              <w:rPr>
                <w:rFonts w:ascii="Arial" w:hAnsi="Arial" w:cs="Arial"/>
                <w:sz w:val="20"/>
                <w:szCs w:val="20"/>
              </w:rPr>
            </w:pPr>
          </w:p>
        </w:tc>
        <w:tc>
          <w:tcPr>
            <w:tcW w:w="0" w:type="auto"/>
            <w:tcMar>
              <w:top w:w="100" w:type="dxa"/>
              <w:left w:w="100" w:type="dxa"/>
              <w:bottom w:w="100" w:type="dxa"/>
              <w:right w:w="100" w:type="dxa"/>
            </w:tcMar>
            <w:hideMark/>
          </w:tcPr>
          <w:p w14:paraId="3F38A98C" w14:textId="77777777" w:rsidR="00E75D6A" w:rsidRPr="008606A9" w:rsidRDefault="00E75D6A" w:rsidP="00E75D6A">
            <w:pPr>
              <w:pStyle w:val="NormalWeb"/>
              <w:spacing w:before="0" w:beforeAutospacing="0" w:after="0" w:afterAutospacing="0"/>
              <w:rPr>
                <w:rFonts w:ascii="Arial" w:hAnsi="Arial" w:cs="Arial"/>
                <w:sz w:val="20"/>
                <w:szCs w:val="20"/>
              </w:rPr>
            </w:pPr>
            <w:r w:rsidRPr="008606A9">
              <w:rPr>
                <w:rFonts w:ascii="Arial" w:hAnsi="Arial" w:cs="Arial"/>
                <w:color w:val="000000"/>
                <w:sz w:val="20"/>
                <w:szCs w:val="20"/>
              </w:rPr>
              <w:t>Complexity</w:t>
            </w:r>
          </w:p>
        </w:tc>
        <w:tc>
          <w:tcPr>
            <w:tcW w:w="0" w:type="auto"/>
            <w:tcMar>
              <w:top w:w="100" w:type="dxa"/>
              <w:left w:w="100" w:type="dxa"/>
              <w:bottom w:w="100" w:type="dxa"/>
              <w:right w:w="100" w:type="dxa"/>
            </w:tcMar>
            <w:hideMark/>
          </w:tcPr>
          <w:p w14:paraId="7BCD3B91" w14:textId="77777777" w:rsidR="00E75D6A" w:rsidRPr="00E75D6A" w:rsidRDefault="00E75D6A" w:rsidP="00E75D6A">
            <w:pPr>
              <w:pStyle w:val="NormalWeb"/>
              <w:spacing w:before="0" w:beforeAutospacing="0" w:after="0" w:afterAutospacing="0"/>
              <w:rPr>
                <w:rFonts w:ascii="Arial" w:hAnsi="Arial" w:cs="Arial"/>
                <w:sz w:val="20"/>
                <w:szCs w:val="20"/>
              </w:rPr>
            </w:pPr>
            <w:r w:rsidRPr="00E75D6A">
              <w:rPr>
                <w:rFonts w:ascii="Arial" w:hAnsi="Arial" w:cs="Arial"/>
                <w:color w:val="000000"/>
                <w:sz w:val="20"/>
                <w:szCs w:val="20"/>
              </w:rPr>
              <w:t xml:space="preserve">Documented difficulties, challenges, uncertainty, or perceived difficulty </w:t>
            </w:r>
            <w:r w:rsidRPr="00E75D6A">
              <w:rPr>
                <w:rFonts w:ascii="Arial" w:hAnsi="Arial" w:cs="Arial"/>
                <w:color w:val="000000"/>
                <w:sz w:val="20"/>
                <w:szCs w:val="20"/>
              </w:rPr>
              <w:lastRenderedPageBreak/>
              <w:t>associated with AI use or implementation</w:t>
            </w:r>
          </w:p>
        </w:tc>
        <w:tc>
          <w:tcPr>
            <w:tcW w:w="2318" w:type="dxa"/>
            <w:tcMar>
              <w:top w:w="100" w:type="dxa"/>
              <w:left w:w="100" w:type="dxa"/>
              <w:bottom w:w="100" w:type="dxa"/>
              <w:right w:w="100" w:type="dxa"/>
            </w:tcMar>
            <w:hideMark/>
          </w:tcPr>
          <w:p w14:paraId="0B733678" w14:textId="77777777" w:rsidR="00E75D6A" w:rsidRPr="00E75D6A" w:rsidRDefault="00E75D6A" w:rsidP="00E75D6A">
            <w:pPr>
              <w:pStyle w:val="NormalWeb"/>
              <w:spacing w:before="0" w:beforeAutospacing="0" w:after="0" w:afterAutospacing="0"/>
              <w:rPr>
                <w:rFonts w:ascii="Arial" w:hAnsi="Arial" w:cs="Arial"/>
                <w:sz w:val="20"/>
                <w:szCs w:val="20"/>
              </w:rPr>
            </w:pPr>
            <w:r w:rsidRPr="00E75D6A">
              <w:rPr>
                <w:rFonts w:ascii="Arial" w:hAnsi="Arial" w:cs="Arial"/>
                <w:color w:val="000000"/>
                <w:sz w:val="20"/>
                <w:szCs w:val="20"/>
              </w:rPr>
              <w:lastRenderedPageBreak/>
              <w:t>Al-Khatib, 2023; Hmoud et al., 2023; Yan et al., 2026</w:t>
            </w:r>
          </w:p>
        </w:tc>
      </w:tr>
      <w:tr w:rsidR="00E75D6A" w14:paraId="78024C25" w14:textId="77777777" w:rsidTr="00E75D6A">
        <w:trPr>
          <w:trHeight w:val="795"/>
        </w:trPr>
        <w:tc>
          <w:tcPr>
            <w:tcW w:w="1965" w:type="dxa"/>
            <w:tcMar>
              <w:top w:w="100" w:type="dxa"/>
              <w:left w:w="100" w:type="dxa"/>
              <w:bottom w:w="100" w:type="dxa"/>
              <w:right w:w="100" w:type="dxa"/>
            </w:tcMar>
            <w:hideMark/>
          </w:tcPr>
          <w:p w14:paraId="5B42E909" w14:textId="77777777" w:rsidR="00E75D6A" w:rsidRPr="008606A9" w:rsidRDefault="00E75D6A" w:rsidP="00E75D6A">
            <w:pPr>
              <w:rPr>
                <w:rFonts w:ascii="Arial" w:hAnsi="Arial" w:cs="Arial"/>
                <w:sz w:val="20"/>
                <w:szCs w:val="20"/>
              </w:rPr>
            </w:pPr>
          </w:p>
        </w:tc>
        <w:tc>
          <w:tcPr>
            <w:tcW w:w="0" w:type="auto"/>
            <w:tcMar>
              <w:top w:w="100" w:type="dxa"/>
              <w:left w:w="100" w:type="dxa"/>
              <w:bottom w:w="100" w:type="dxa"/>
              <w:right w:w="100" w:type="dxa"/>
            </w:tcMar>
            <w:hideMark/>
          </w:tcPr>
          <w:p w14:paraId="30F2E0F4" w14:textId="77777777" w:rsidR="00E75D6A" w:rsidRPr="008606A9" w:rsidRDefault="00E75D6A" w:rsidP="00E75D6A">
            <w:pPr>
              <w:pStyle w:val="NormalWeb"/>
              <w:spacing w:before="0" w:beforeAutospacing="0" w:after="0" w:afterAutospacing="0"/>
              <w:rPr>
                <w:rFonts w:ascii="Arial" w:hAnsi="Arial" w:cs="Arial"/>
                <w:sz w:val="20"/>
                <w:szCs w:val="20"/>
              </w:rPr>
            </w:pPr>
            <w:r w:rsidRPr="008606A9">
              <w:rPr>
                <w:rFonts w:ascii="Arial" w:hAnsi="Arial" w:cs="Arial"/>
                <w:color w:val="000000"/>
                <w:sz w:val="20"/>
                <w:szCs w:val="20"/>
              </w:rPr>
              <w:t>Technological infrastructure</w:t>
            </w:r>
          </w:p>
        </w:tc>
        <w:tc>
          <w:tcPr>
            <w:tcW w:w="0" w:type="auto"/>
            <w:tcMar>
              <w:top w:w="100" w:type="dxa"/>
              <w:left w:w="100" w:type="dxa"/>
              <w:bottom w:w="100" w:type="dxa"/>
              <w:right w:w="100" w:type="dxa"/>
            </w:tcMar>
            <w:hideMark/>
          </w:tcPr>
          <w:p w14:paraId="70ACAC95" w14:textId="77777777" w:rsidR="00E75D6A" w:rsidRPr="00E75D6A" w:rsidRDefault="00E75D6A" w:rsidP="00E75D6A">
            <w:pPr>
              <w:pStyle w:val="NormalWeb"/>
              <w:spacing w:before="0" w:beforeAutospacing="0" w:after="0" w:afterAutospacing="0"/>
              <w:rPr>
                <w:rFonts w:ascii="Arial" w:hAnsi="Arial" w:cs="Arial"/>
                <w:sz w:val="20"/>
                <w:szCs w:val="20"/>
              </w:rPr>
            </w:pPr>
            <w:r w:rsidRPr="00E75D6A">
              <w:rPr>
                <w:rFonts w:ascii="Arial" w:hAnsi="Arial" w:cs="Arial"/>
                <w:color w:val="000000"/>
                <w:sz w:val="20"/>
                <w:szCs w:val="20"/>
              </w:rPr>
              <w:t>Institutional technological platforms, systems, tools, or infrastructure supporting AI-related activities</w:t>
            </w:r>
          </w:p>
        </w:tc>
        <w:tc>
          <w:tcPr>
            <w:tcW w:w="2318" w:type="dxa"/>
            <w:tcMar>
              <w:top w:w="100" w:type="dxa"/>
              <w:left w:w="100" w:type="dxa"/>
              <w:bottom w:w="100" w:type="dxa"/>
              <w:right w:w="100" w:type="dxa"/>
            </w:tcMar>
            <w:hideMark/>
          </w:tcPr>
          <w:p w14:paraId="2B65B5F5" w14:textId="77777777" w:rsidR="00E75D6A" w:rsidRPr="00E75D6A" w:rsidRDefault="00E75D6A" w:rsidP="00E75D6A">
            <w:pPr>
              <w:pStyle w:val="NormalWeb"/>
              <w:spacing w:before="0" w:beforeAutospacing="0" w:after="0" w:afterAutospacing="0"/>
              <w:rPr>
                <w:rFonts w:ascii="Arial" w:hAnsi="Arial" w:cs="Arial"/>
                <w:sz w:val="20"/>
                <w:szCs w:val="20"/>
              </w:rPr>
            </w:pPr>
            <w:r w:rsidRPr="00E75D6A">
              <w:rPr>
                <w:rFonts w:ascii="Arial" w:hAnsi="Arial" w:cs="Arial"/>
                <w:color w:val="000000"/>
                <w:sz w:val="20"/>
                <w:szCs w:val="20"/>
              </w:rPr>
              <w:t>Hmoud et al., 2023; Yan et al., 2026</w:t>
            </w:r>
          </w:p>
        </w:tc>
      </w:tr>
      <w:tr w:rsidR="00E75D6A" w14:paraId="26107D16" w14:textId="77777777" w:rsidTr="00E75D6A">
        <w:trPr>
          <w:trHeight w:val="645"/>
        </w:trPr>
        <w:tc>
          <w:tcPr>
            <w:tcW w:w="1965" w:type="dxa"/>
            <w:tcMar>
              <w:top w:w="100" w:type="dxa"/>
              <w:left w:w="100" w:type="dxa"/>
              <w:bottom w:w="100" w:type="dxa"/>
              <w:right w:w="100" w:type="dxa"/>
            </w:tcMar>
            <w:hideMark/>
          </w:tcPr>
          <w:p w14:paraId="0B3026F9" w14:textId="77777777" w:rsidR="00E75D6A" w:rsidRPr="008606A9" w:rsidRDefault="00E75D6A" w:rsidP="00E75D6A">
            <w:pPr>
              <w:rPr>
                <w:rFonts w:ascii="Arial" w:hAnsi="Arial" w:cs="Arial"/>
                <w:sz w:val="20"/>
                <w:szCs w:val="20"/>
              </w:rPr>
            </w:pPr>
          </w:p>
        </w:tc>
        <w:tc>
          <w:tcPr>
            <w:tcW w:w="0" w:type="auto"/>
            <w:tcMar>
              <w:top w:w="100" w:type="dxa"/>
              <w:left w:w="100" w:type="dxa"/>
              <w:bottom w:w="100" w:type="dxa"/>
              <w:right w:w="100" w:type="dxa"/>
            </w:tcMar>
            <w:hideMark/>
          </w:tcPr>
          <w:p w14:paraId="5153D7C7" w14:textId="77777777" w:rsidR="00E75D6A" w:rsidRPr="008606A9" w:rsidRDefault="00E75D6A" w:rsidP="00E75D6A">
            <w:pPr>
              <w:pStyle w:val="NormalWeb"/>
              <w:spacing w:before="0" w:beforeAutospacing="0" w:after="0" w:afterAutospacing="0"/>
              <w:rPr>
                <w:rFonts w:ascii="Arial" w:hAnsi="Arial" w:cs="Arial"/>
                <w:sz w:val="20"/>
                <w:szCs w:val="20"/>
              </w:rPr>
            </w:pPr>
            <w:r w:rsidRPr="008606A9">
              <w:rPr>
                <w:rFonts w:ascii="Arial" w:hAnsi="Arial" w:cs="Arial"/>
                <w:color w:val="000000"/>
                <w:sz w:val="20"/>
                <w:szCs w:val="20"/>
              </w:rPr>
              <w:t>Data capability</w:t>
            </w:r>
          </w:p>
        </w:tc>
        <w:tc>
          <w:tcPr>
            <w:tcW w:w="0" w:type="auto"/>
            <w:tcMar>
              <w:top w:w="100" w:type="dxa"/>
              <w:left w:w="100" w:type="dxa"/>
              <w:bottom w:w="100" w:type="dxa"/>
              <w:right w:w="100" w:type="dxa"/>
            </w:tcMar>
            <w:hideMark/>
          </w:tcPr>
          <w:p w14:paraId="1889C569" w14:textId="77777777" w:rsidR="00E75D6A" w:rsidRPr="00E75D6A" w:rsidRDefault="00E75D6A" w:rsidP="00E75D6A">
            <w:pPr>
              <w:pStyle w:val="NormalWeb"/>
              <w:spacing w:before="0" w:beforeAutospacing="0" w:after="0" w:afterAutospacing="0"/>
              <w:rPr>
                <w:rFonts w:ascii="Arial" w:hAnsi="Arial" w:cs="Arial"/>
                <w:sz w:val="20"/>
                <w:szCs w:val="20"/>
              </w:rPr>
            </w:pPr>
            <w:r w:rsidRPr="00E75D6A">
              <w:rPr>
                <w:rFonts w:ascii="Arial" w:hAnsi="Arial" w:cs="Arial"/>
                <w:color w:val="000000"/>
                <w:sz w:val="20"/>
                <w:szCs w:val="20"/>
              </w:rPr>
              <w:t>Institutional capacity concerning data resources, information management, information quality, security, or related capabilities relevant to AI</w:t>
            </w:r>
          </w:p>
        </w:tc>
        <w:tc>
          <w:tcPr>
            <w:tcW w:w="2318" w:type="dxa"/>
            <w:tcMar>
              <w:top w:w="100" w:type="dxa"/>
              <w:left w:w="100" w:type="dxa"/>
              <w:bottom w:w="100" w:type="dxa"/>
              <w:right w:w="100" w:type="dxa"/>
            </w:tcMar>
            <w:hideMark/>
          </w:tcPr>
          <w:p w14:paraId="786717FF" w14:textId="77777777" w:rsidR="00E75D6A" w:rsidRPr="00E75D6A" w:rsidRDefault="00E75D6A" w:rsidP="00E75D6A">
            <w:pPr>
              <w:pStyle w:val="NormalWeb"/>
              <w:spacing w:before="0" w:beforeAutospacing="0" w:after="0" w:afterAutospacing="0"/>
              <w:rPr>
                <w:rFonts w:ascii="Arial" w:hAnsi="Arial" w:cs="Arial"/>
                <w:sz w:val="20"/>
                <w:szCs w:val="20"/>
              </w:rPr>
            </w:pPr>
            <w:r w:rsidRPr="00E75D6A">
              <w:rPr>
                <w:rFonts w:ascii="Arial" w:hAnsi="Arial" w:cs="Arial"/>
                <w:color w:val="000000"/>
                <w:sz w:val="20"/>
                <w:szCs w:val="20"/>
              </w:rPr>
              <w:t>Hmoud et al., 2023; Yan et al., 2026</w:t>
            </w:r>
          </w:p>
        </w:tc>
      </w:tr>
      <w:tr w:rsidR="00E75D6A" w14:paraId="264877F7" w14:textId="77777777" w:rsidTr="00E75D6A">
        <w:tc>
          <w:tcPr>
            <w:tcW w:w="1965" w:type="dxa"/>
            <w:tcMar>
              <w:top w:w="100" w:type="dxa"/>
              <w:left w:w="100" w:type="dxa"/>
              <w:bottom w:w="100" w:type="dxa"/>
              <w:right w:w="100" w:type="dxa"/>
            </w:tcMar>
            <w:hideMark/>
          </w:tcPr>
          <w:p w14:paraId="619B7A99" w14:textId="77777777" w:rsidR="00E75D6A" w:rsidRPr="008606A9" w:rsidRDefault="00E75D6A" w:rsidP="00E75D6A">
            <w:pPr>
              <w:pStyle w:val="NormalWeb"/>
              <w:spacing w:before="0" w:beforeAutospacing="0" w:after="0" w:afterAutospacing="0"/>
              <w:rPr>
                <w:rFonts w:ascii="Arial" w:hAnsi="Arial" w:cs="Arial"/>
                <w:sz w:val="20"/>
                <w:szCs w:val="20"/>
              </w:rPr>
            </w:pPr>
            <w:r w:rsidRPr="008606A9">
              <w:rPr>
                <w:rFonts w:ascii="Arial" w:hAnsi="Arial" w:cs="Arial"/>
                <w:color w:val="000000"/>
                <w:sz w:val="20"/>
                <w:szCs w:val="20"/>
              </w:rPr>
              <w:t>Organization</w:t>
            </w:r>
          </w:p>
        </w:tc>
        <w:tc>
          <w:tcPr>
            <w:tcW w:w="0" w:type="auto"/>
            <w:tcMar>
              <w:top w:w="100" w:type="dxa"/>
              <w:left w:w="100" w:type="dxa"/>
              <w:bottom w:w="100" w:type="dxa"/>
              <w:right w:w="100" w:type="dxa"/>
            </w:tcMar>
            <w:hideMark/>
          </w:tcPr>
          <w:p w14:paraId="24BB35F9" w14:textId="77777777" w:rsidR="00E75D6A" w:rsidRPr="008606A9" w:rsidRDefault="00E75D6A" w:rsidP="00E75D6A">
            <w:pPr>
              <w:pStyle w:val="NormalWeb"/>
              <w:spacing w:before="0" w:beforeAutospacing="0" w:after="0" w:afterAutospacing="0"/>
              <w:rPr>
                <w:rFonts w:ascii="Arial" w:hAnsi="Arial" w:cs="Arial"/>
                <w:sz w:val="20"/>
                <w:szCs w:val="20"/>
              </w:rPr>
            </w:pPr>
            <w:r w:rsidRPr="008606A9">
              <w:rPr>
                <w:rFonts w:ascii="Arial" w:hAnsi="Arial" w:cs="Arial"/>
                <w:color w:val="000000"/>
                <w:sz w:val="20"/>
                <w:szCs w:val="20"/>
              </w:rPr>
              <w:t>Top-management support</w:t>
            </w:r>
          </w:p>
        </w:tc>
        <w:tc>
          <w:tcPr>
            <w:tcW w:w="0" w:type="auto"/>
            <w:tcMar>
              <w:top w:w="100" w:type="dxa"/>
              <w:left w:w="100" w:type="dxa"/>
              <w:bottom w:w="100" w:type="dxa"/>
              <w:right w:w="100" w:type="dxa"/>
            </w:tcMar>
            <w:hideMark/>
          </w:tcPr>
          <w:p w14:paraId="3D1244A2" w14:textId="77777777" w:rsidR="00E75D6A" w:rsidRPr="00E75D6A" w:rsidRDefault="00E75D6A" w:rsidP="00E75D6A">
            <w:pPr>
              <w:pStyle w:val="NormalWeb"/>
              <w:spacing w:before="0" w:beforeAutospacing="0" w:after="0" w:afterAutospacing="0"/>
              <w:rPr>
                <w:rFonts w:ascii="Arial" w:hAnsi="Arial" w:cs="Arial"/>
                <w:sz w:val="20"/>
                <w:szCs w:val="20"/>
              </w:rPr>
            </w:pPr>
            <w:r w:rsidRPr="00E75D6A">
              <w:rPr>
                <w:rFonts w:ascii="Arial" w:hAnsi="Arial" w:cs="Arial"/>
                <w:color w:val="000000"/>
                <w:sz w:val="20"/>
                <w:szCs w:val="20"/>
              </w:rPr>
              <w:t>Executive leadership, endorsement, direction, sponsorship, or involvement in AI-related initiatives</w:t>
            </w:r>
          </w:p>
        </w:tc>
        <w:tc>
          <w:tcPr>
            <w:tcW w:w="2318" w:type="dxa"/>
            <w:tcMar>
              <w:top w:w="100" w:type="dxa"/>
              <w:left w:w="100" w:type="dxa"/>
              <w:bottom w:w="100" w:type="dxa"/>
              <w:right w:w="100" w:type="dxa"/>
            </w:tcMar>
            <w:hideMark/>
          </w:tcPr>
          <w:p w14:paraId="00DFD704" w14:textId="77777777" w:rsidR="00E75D6A" w:rsidRPr="00E75D6A" w:rsidRDefault="00E75D6A" w:rsidP="00E75D6A">
            <w:pPr>
              <w:pStyle w:val="NormalWeb"/>
              <w:spacing w:before="0" w:beforeAutospacing="0" w:after="0" w:afterAutospacing="0"/>
              <w:rPr>
                <w:rFonts w:ascii="Arial" w:hAnsi="Arial" w:cs="Arial"/>
                <w:sz w:val="20"/>
                <w:szCs w:val="20"/>
              </w:rPr>
            </w:pPr>
            <w:r w:rsidRPr="00E75D6A">
              <w:rPr>
                <w:rFonts w:ascii="Arial" w:hAnsi="Arial" w:cs="Arial"/>
                <w:color w:val="000000"/>
                <w:sz w:val="20"/>
                <w:szCs w:val="20"/>
              </w:rPr>
              <w:t>Al-Khatib, 2023; Hmoud et al., 2023; Pinto et al., 2025; Yan et al., 2026</w:t>
            </w:r>
          </w:p>
        </w:tc>
      </w:tr>
      <w:tr w:rsidR="00E75D6A" w14:paraId="035C2E65" w14:textId="77777777" w:rsidTr="00E75D6A">
        <w:trPr>
          <w:trHeight w:val="1125"/>
        </w:trPr>
        <w:tc>
          <w:tcPr>
            <w:tcW w:w="1965" w:type="dxa"/>
            <w:tcMar>
              <w:top w:w="100" w:type="dxa"/>
              <w:left w:w="100" w:type="dxa"/>
              <w:bottom w:w="100" w:type="dxa"/>
              <w:right w:w="100" w:type="dxa"/>
            </w:tcMar>
            <w:hideMark/>
          </w:tcPr>
          <w:p w14:paraId="452F0B75" w14:textId="77777777" w:rsidR="00E75D6A" w:rsidRPr="008606A9" w:rsidRDefault="00E75D6A" w:rsidP="00E75D6A">
            <w:pPr>
              <w:rPr>
                <w:rFonts w:ascii="Arial" w:hAnsi="Arial" w:cs="Arial"/>
                <w:sz w:val="20"/>
                <w:szCs w:val="20"/>
              </w:rPr>
            </w:pPr>
          </w:p>
        </w:tc>
        <w:tc>
          <w:tcPr>
            <w:tcW w:w="0" w:type="auto"/>
            <w:tcMar>
              <w:top w:w="100" w:type="dxa"/>
              <w:left w:w="100" w:type="dxa"/>
              <w:bottom w:w="100" w:type="dxa"/>
              <w:right w:w="100" w:type="dxa"/>
            </w:tcMar>
            <w:hideMark/>
          </w:tcPr>
          <w:p w14:paraId="38D76CD8" w14:textId="77777777" w:rsidR="00E75D6A" w:rsidRPr="008606A9" w:rsidRDefault="00E75D6A" w:rsidP="00E75D6A">
            <w:pPr>
              <w:pStyle w:val="NormalWeb"/>
              <w:spacing w:before="0" w:beforeAutospacing="0" w:after="0" w:afterAutospacing="0"/>
              <w:rPr>
                <w:rFonts w:ascii="Arial" w:hAnsi="Arial" w:cs="Arial"/>
                <w:sz w:val="20"/>
                <w:szCs w:val="20"/>
              </w:rPr>
            </w:pPr>
            <w:r w:rsidRPr="008606A9">
              <w:rPr>
                <w:rFonts w:ascii="Arial" w:hAnsi="Arial" w:cs="Arial"/>
                <w:color w:val="000000"/>
                <w:sz w:val="20"/>
                <w:szCs w:val="20"/>
              </w:rPr>
              <w:t>Organizational structure</w:t>
            </w:r>
          </w:p>
        </w:tc>
        <w:tc>
          <w:tcPr>
            <w:tcW w:w="0" w:type="auto"/>
            <w:tcMar>
              <w:top w:w="100" w:type="dxa"/>
              <w:left w:w="100" w:type="dxa"/>
              <w:bottom w:w="100" w:type="dxa"/>
              <w:right w:w="100" w:type="dxa"/>
            </w:tcMar>
            <w:hideMark/>
          </w:tcPr>
          <w:p w14:paraId="3B777AD4" w14:textId="77777777" w:rsidR="00E75D6A" w:rsidRPr="00E75D6A" w:rsidRDefault="00E75D6A" w:rsidP="00E75D6A">
            <w:pPr>
              <w:pStyle w:val="NormalWeb"/>
              <w:spacing w:before="0" w:beforeAutospacing="0" w:after="0" w:afterAutospacing="0"/>
              <w:rPr>
                <w:rFonts w:ascii="Arial" w:hAnsi="Arial" w:cs="Arial"/>
                <w:sz w:val="20"/>
                <w:szCs w:val="20"/>
              </w:rPr>
            </w:pPr>
            <w:r w:rsidRPr="00E75D6A">
              <w:rPr>
                <w:rFonts w:ascii="Arial" w:hAnsi="Arial" w:cs="Arial"/>
                <w:color w:val="000000"/>
                <w:sz w:val="20"/>
                <w:szCs w:val="20"/>
              </w:rPr>
              <w:t>Formal organizational roles, responsibilities, governance arrangements, coordination mechanisms, or reporting structures</w:t>
            </w:r>
          </w:p>
        </w:tc>
        <w:tc>
          <w:tcPr>
            <w:tcW w:w="2318" w:type="dxa"/>
            <w:tcMar>
              <w:top w:w="100" w:type="dxa"/>
              <w:left w:w="100" w:type="dxa"/>
              <w:bottom w:w="100" w:type="dxa"/>
              <w:right w:w="100" w:type="dxa"/>
            </w:tcMar>
            <w:hideMark/>
          </w:tcPr>
          <w:p w14:paraId="71AFE11E" w14:textId="77777777" w:rsidR="00E75D6A" w:rsidRPr="00E75D6A" w:rsidRDefault="00E75D6A" w:rsidP="00E75D6A">
            <w:pPr>
              <w:pStyle w:val="NormalWeb"/>
              <w:spacing w:before="0" w:beforeAutospacing="0" w:after="0" w:afterAutospacing="0"/>
              <w:rPr>
                <w:rFonts w:ascii="Arial" w:hAnsi="Arial" w:cs="Arial"/>
                <w:sz w:val="20"/>
                <w:szCs w:val="20"/>
              </w:rPr>
            </w:pPr>
            <w:r w:rsidRPr="00E75D6A">
              <w:rPr>
                <w:rFonts w:ascii="Arial" w:hAnsi="Arial" w:cs="Arial"/>
                <w:color w:val="000000"/>
                <w:sz w:val="20"/>
                <w:szCs w:val="20"/>
              </w:rPr>
              <w:t>Hmoud et al., 2023; Yan et al., 2026</w:t>
            </w:r>
          </w:p>
        </w:tc>
      </w:tr>
      <w:tr w:rsidR="00E75D6A" w14:paraId="6BE7557E" w14:textId="77777777" w:rsidTr="00E75D6A">
        <w:trPr>
          <w:trHeight w:val="390"/>
        </w:trPr>
        <w:tc>
          <w:tcPr>
            <w:tcW w:w="1965" w:type="dxa"/>
            <w:tcMar>
              <w:top w:w="100" w:type="dxa"/>
              <w:left w:w="100" w:type="dxa"/>
              <w:bottom w:w="100" w:type="dxa"/>
              <w:right w:w="100" w:type="dxa"/>
            </w:tcMar>
            <w:hideMark/>
          </w:tcPr>
          <w:p w14:paraId="026C7ACA" w14:textId="77777777" w:rsidR="00E75D6A" w:rsidRPr="008606A9" w:rsidRDefault="00E75D6A" w:rsidP="00E75D6A">
            <w:pPr>
              <w:rPr>
                <w:rFonts w:ascii="Arial" w:hAnsi="Arial" w:cs="Arial"/>
                <w:sz w:val="20"/>
                <w:szCs w:val="20"/>
              </w:rPr>
            </w:pPr>
          </w:p>
        </w:tc>
        <w:tc>
          <w:tcPr>
            <w:tcW w:w="0" w:type="auto"/>
            <w:tcMar>
              <w:top w:w="100" w:type="dxa"/>
              <w:left w:w="100" w:type="dxa"/>
              <w:bottom w:w="100" w:type="dxa"/>
              <w:right w:w="100" w:type="dxa"/>
            </w:tcMar>
            <w:hideMark/>
          </w:tcPr>
          <w:p w14:paraId="16AF3D4D" w14:textId="77777777" w:rsidR="00E75D6A" w:rsidRPr="008606A9" w:rsidRDefault="00E75D6A" w:rsidP="00E75D6A">
            <w:pPr>
              <w:pStyle w:val="NormalWeb"/>
              <w:spacing w:before="0" w:beforeAutospacing="0" w:after="0" w:afterAutospacing="0"/>
              <w:rPr>
                <w:rFonts w:ascii="Arial" w:hAnsi="Arial" w:cs="Arial"/>
                <w:sz w:val="20"/>
                <w:szCs w:val="20"/>
              </w:rPr>
            </w:pPr>
            <w:r w:rsidRPr="008606A9">
              <w:rPr>
                <w:rFonts w:ascii="Arial" w:hAnsi="Arial" w:cs="Arial"/>
                <w:color w:val="000000"/>
                <w:sz w:val="20"/>
                <w:szCs w:val="20"/>
              </w:rPr>
              <w:t>Human/technical competence</w:t>
            </w:r>
          </w:p>
        </w:tc>
        <w:tc>
          <w:tcPr>
            <w:tcW w:w="0" w:type="auto"/>
            <w:tcMar>
              <w:top w:w="100" w:type="dxa"/>
              <w:left w:w="100" w:type="dxa"/>
              <w:bottom w:w="100" w:type="dxa"/>
              <w:right w:w="100" w:type="dxa"/>
            </w:tcMar>
            <w:hideMark/>
          </w:tcPr>
          <w:p w14:paraId="5BCF6301" w14:textId="77777777" w:rsidR="00E75D6A" w:rsidRPr="00E75D6A" w:rsidRDefault="00E75D6A" w:rsidP="00E75D6A">
            <w:pPr>
              <w:pStyle w:val="NormalWeb"/>
              <w:spacing w:before="0" w:beforeAutospacing="0" w:after="0" w:afterAutospacing="0"/>
              <w:rPr>
                <w:rFonts w:ascii="Arial" w:hAnsi="Arial" w:cs="Arial"/>
                <w:sz w:val="20"/>
                <w:szCs w:val="20"/>
              </w:rPr>
            </w:pPr>
            <w:r w:rsidRPr="00E75D6A">
              <w:rPr>
                <w:rFonts w:ascii="Arial" w:hAnsi="Arial" w:cs="Arial"/>
                <w:color w:val="000000"/>
                <w:sz w:val="20"/>
                <w:szCs w:val="20"/>
              </w:rPr>
              <w:t>Knowledge, skills, training, expertise, or personnel capabilities required to support AI use</w:t>
            </w:r>
          </w:p>
        </w:tc>
        <w:tc>
          <w:tcPr>
            <w:tcW w:w="2318" w:type="dxa"/>
            <w:tcMar>
              <w:top w:w="100" w:type="dxa"/>
              <w:left w:w="100" w:type="dxa"/>
              <w:bottom w:w="100" w:type="dxa"/>
              <w:right w:w="100" w:type="dxa"/>
            </w:tcMar>
            <w:hideMark/>
          </w:tcPr>
          <w:p w14:paraId="3E15F867" w14:textId="77777777" w:rsidR="00E75D6A" w:rsidRPr="00E75D6A" w:rsidRDefault="00E75D6A" w:rsidP="00E75D6A">
            <w:pPr>
              <w:pStyle w:val="NormalWeb"/>
              <w:spacing w:before="0" w:beforeAutospacing="0" w:after="0" w:afterAutospacing="0"/>
              <w:rPr>
                <w:rFonts w:ascii="Arial" w:hAnsi="Arial" w:cs="Arial"/>
                <w:sz w:val="20"/>
                <w:szCs w:val="20"/>
              </w:rPr>
            </w:pPr>
            <w:r w:rsidRPr="00E75D6A">
              <w:rPr>
                <w:rFonts w:ascii="Arial" w:hAnsi="Arial" w:cs="Arial"/>
                <w:color w:val="000000"/>
                <w:sz w:val="20"/>
                <w:szCs w:val="20"/>
              </w:rPr>
              <w:t>Yan et al., 2026</w:t>
            </w:r>
          </w:p>
        </w:tc>
      </w:tr>
      <w:tr w:rsidR="00E75D6A" w14:paraId="276EBF13" w14:textId="77777777" w:rsidTr="00E75D6A">
        <w:tc>
          <w:tcPr>
            <w:tcW w:w="1965" w:type="dxa"/>
            <w:tcMar>
              <w:top w:w="100" w:type="dxa"/>
              <w:left w:w="100" w:type="dxa"/>
              <w:bottom w:w="100" w:type="dxa"/>
              <w:right w:w="100" w:type="dxa"/>
            </w:tcMar>
            <w:hideMark/>
          </w:tcPr>
          <w:p w14:paraId="24C7A6F4" w14:textId="77777777" w:rsidR="00E75D6A" w:rsidRPr="008606A9" w:rsidRDefault="00E75D6A" w:rsidP="00E75D6A">
            <w:pPr>
              <w:rPr>
                <w:rFonts w:ascii="Arial" w:hAnsi="Arial" w:cs="Arial"/>
                <w:sz w:val="20"/>
                <w:szCs w:val="20"/>
              </w:rPr>
            </w:pPr>
          </w:p>
        </w:tc>
        <w:tc>
          <w:tcPr>
            <w:tcW w:w="0" w:type="auto"/>
            <w:tcMar>
              <w:top w:w="100" w:type="dxa"/>
              <w:left w:w="100" w:type="dxa"/>
              <w:bottom w:w="100" w:type="dxa"/>
              <w:right w:w="100" w:type="dxa"/>
            </w:tcMar>
            <w:hideMark/>
          </w:tcPr>
          <w:p w14:paraId="1A5CB2F0" w14:textId="77777777" w:rsidR="00E75D6A" w:rsidRPr="008606A9" w:rsidRDefault="00E75D6A" w:rsidP="00E75D6A">
            <w:pPr>
              <w:pStyle w:val="NormalWeb"/>
              <w:spacing w:before="0" w:beforeAutospacing="0" w:after="0" w:afterAutospacing="0"/>
              <w:rPr>
                <w:rFonts w:ascii="Arial" w:hAnsi="Arial" w:cs="Arial"/>
                <w:sz w:val="20"/>
                <w:szCs w:val="20"/>
              </w:rPr>
            </w:pPr>
            <w:r w:rsidRPr="008606A9">
              <w:rPr>
                <w:rFonts w:ascii="Arial" w:hAnsi="Arial" w:cs="Arial"/>
                <w:color w:val="000000"/>
                <w:sz w:val="20"/>
                <w:szCs w:val="20"/>
              </w:rPr>
              <w:t>Organizational resources</w:t>
            </w:r>
          </w:p>
        </w:tc>
        <w:tc>
          <w:tcPr>
            <w:tcW w:w="0" w:type="auto"/>
            <w:tcMar>
              <w:top w:w="100" w:type="dxa"/>
              <w:left w:w="100" w:type="dxa"/>
              <w:bottom w:w="100" w:type="dxa"/>
              <w:right w:w="100" w:type="dxa"/>
            </w:tcMar>
            <w:hideMark/>
          </w:tcPr>
          <w:p w14:paraId="714961EC" w14:textId="77777777" w:rsidR="00E75D6A" w:rsidRPr="00E75D6A" w:rsidRDefault="00E75D6A" w:rsidP="00E75D6A">
            <w:pPr>
              <w:pStyle w:val="NormalWeb"/>
              <w:spacing w:before="0" w:beforeAutospacing="0" w:after="0" w:afterAutospacing="0"/>
              <w:rPr>
                <w:rFonts w:ascii="Arial" w:hAnsi="Arial" w:cs="Arial"/>
                <w:sz w:val="20"/>
                <w:szCs w:val="20"/>
              </w:rPr>
            </w:pPr>
            <w:r w:rsidRPr="00E75D6A">
              <w:rPr>
                <w:rFonts w:ascii="Arial" w:hAnsi="Arial" w:cs="Arial"/>
                <w:color w:val="000000"/>
                <w:sz w:val="20"/>
                <w:szCs w:val="20"/>
              </w:rPr>
              <w:t>Human, technological, financial, or other organizational resources allocated to AI-related activities</w:t>
            </w:r>
          </w:p>
        </w:tc>
        <w:tc>
          <w:tcPr>
            <w:tcW w:w="2318" w:type="dxa"/>
            <w:tcMar>
              <w:top w:w="100" w:type="dxa"/>
              <w:left w:w="100" w:type="dxa"/>
              <w:bottom w:w="100" w:type="dxa"/>
              <w:right w:w="100" w:type="dxa"/>
            </w:tcMar>
            <w:hideMark/>
          </w:tcPr>
          <w:p w14:paraId="273E988A" w14:textId="77777777" w:rsidR="00E75D6A" w:rsidRPr="00E75D6A" w:rsidRDefault="00E75D6A" w:rsidP="00E75D6A">
            <w:pPr>
              <w:pStyle w:val="NormalWeb"/>
              <w:spacing w:before="0" w:beforeAutospacing="0" w:after="0" w:afterAutospacing="0"/>
              <w:rPr>
                <w:rFonts w:ascii="Arial" w:hAnsi="Arial" w:cs="Arial"/>
                <w:sz w:val="20"/>
                <w:szCs w:val="20"/>
              </w:rPr>
            </w:pPr>
            <w:r w:rsidRPr="00E75D6A">
              <w:rPr>
                <w:rFonts w:ascii="Arial" w:hAnsi="Arial" w:cs="Arial"/>
                <w:color w:val="000000"/>
                <w:sz w:val="20"/>
                <w:szCs w:val="20"/>
              </w:rPr>
              <w:t>Yan et al., 2026</w:t>
            </w:r>
          </w:p>
        </w:tc>
      </w:tr>
      <w:tr w:rsidR="00E75D6A" w14:paraId="035167A7" w14:textId="77777777" w:rsidTr="00E75D6A">
        <w:trPr>
          <w:trHeight w:val="480"/>
        </w:trPr>
        <w:tc>
          <w:tcPr>
            <w:tcW w:w="1965" w:type="dxa"/>
            <w:tcMar>
              <w:top w:w="100" w:type="dxa"/>
              <w:left w:w="100" w:type="dxa"/>
              <w:bottom w:w="100" w:type="dxa"/>
              <w:right w:w="100" w:type="dxa"/>
            </w:tcMar>
            <w:hideMark/>
          </w:tcPr>
          <w:p w14:paraId="5EA506AE" w14:textId="77777777" w:rsidR="00E75D6A" w:rsidRPr="008606A9" w:rsidRDefault="00E75D6A" w:rsidP="00E75D6A">
            <w:pPr>
              <w:rPr>
                <w:rFonts w:ascii="Arial" w:hAnsi="Arial" w:cs="Arial"/>
                <w:sz w:val="20"/>
                <w:szCs w:val="20"/>
              </w:rPr>
            </w:pPr>
          </w:p>
        </w:tc>
        <w:tc>
          <w:tcPr>
            <w:tcW w:w="0" w:type="auto"/>
            <w:tcMar>
              <w:top w:w="100" w:type="dxa"/>
              <w:left w:w="100" w:type="dxa"/>
              <w:bottom w:w="100" w:type="dxa"/>
              <w:right w:w="100" w:type="dxa"/>
            </w:tcMar>
            <w:hideMark/>
          </w:tcPr>
          <w:p w14:paraId="7BFE25B0" w14:textId="77777777" w:rsidR="00E75D6A" w:rsidRPr="008606A9" w:rsidRDefault="00E75D6A" w:rsidP="00E75D6A">
            <w:pPr>
              <w:pStyle w:val="NormalWeb"/>
              <w:spacing w:before="0" w:beforeAutospacing="0" w:after="0" w:afterAutospacing="0"/>
              <w:rPr>
                <w:rFonts w:ascii="Arial" w:hAnsi="Arial" w:cs="Arial"/>
                <w:sz w:val="20"/>
                <w:szCs w:val="20"/>
              </w:rPr>
            </w:pPr>
            <w:r w:rsidRPr="008606A9">
              <w:rPr>
                <w:rFonts w:ascii="Arial" w:hAnsi="Arial" w:cs="Arial"/>
                <w:color w:val="000000"/>
                <w:sz w:val="20"/>
                <w:szCs w:val="20"/>
              </w:rPr>
              <w:t>Organizational readiness/change capacity</w:t>
            </w:r>
          </w:p>
        </w:tc>
        <w:tc>
          <w:tcPr>
            <w:tcW w:w="0" w:type="auto"/>
            <w:tcMar>
              <w:top w:w="100" w:type="dxa"/>
              <w:left w:w="100" w:type="dxa"/>
              <w:bottom w:w="100" w:type="dxa"/>
              <w:right w:w="100" w:type="dxa"/>
            </w:tcMar>
            <w:hideMark/>
          </w:tcPr>
          <w:p w14:paraId="5FF8C107" w14:textId="77777777" w:rsidR="00E75D6A" w:rsidRPr="00E75D6A" w:rsidRDefault="00E75D6A" w:rsidP="00E75D6A">
            <w:pPr>
              <w:pStyle w:val="NormalWeb"/>
              <w:spacing w:before="0" w:beforeAutospacing="0" w:after="0" w:afterAutospacing="0"/>
              <w:rPr>
                <w:rFonts w:ascii="Arial" w:hAnsi="Arial" w:cs="Arial"/>
                <w:sz w:val="20"/>
                <w:szCs w:val="20"/>
              </w:rPr>
            </w:pPr>
            <w:r w:rsidRPr="00E75D6A">
              <w:rPr>
                <w:rFonts w:ascii="Arial" w:hAnsi="Arial" w:cs="Arial"/>
                <w:color w:val="000000"/>
                <w:sz w:val="20"/>
                <w:szCs w:val="20"/>
              </w:rPr>
              <w:t>Institutional mechanisms and capabilities for preparing for, adapting to, and managing technological change</w:t>
            </w:r>
          </w:p>
        </w:tc>
        <w:tc>
          <w:tcPr>
            <w:tcW w:w="2318" w:type="dxa"/>
            <w:tcMar>
              <w:top w:w="100" w:type="dxa"/>
              <w:left w:w="100" w:type="dxa"/>
              <w:bottom w:w="100" w:type="dxa"/>
              <w:right w:w="100" w:type="dxa"/>
            </w:tcMar>
            <w:hideMark/>
          </w:tcPr>
          <w:p w14:paraId="65121F8E" w14:textId="77777777" w:rsidR="00E75D6A" w:rsidRPr="00E75D6A" w:rsidRDefault="00E75D6A" w:rsidP="00E75D6A">
            <w:pPr>
              <w:pStyle w:val="NormalWeb"/>
              <w:spacing w:before="0" w:beforeAutospacing="0" w:after="0" w:afterAutospacing="0"/>
              <w:rPr>
                <w:rFonts w:ascii="Arial" w:hAnsi="Arial" w:cs="Arial"/>
                <w:sz w:val="20"/>
                <w:szCs w:val="20"/>
              </w:rPr>
            </w:pPr>
            <w:r w:rsidRPr="00E75D6A">
              <w:rPr>
                <w:rFonts w:ascii="Arial" w:hAnsi="Arial" w:cs="Arial"/>
                <w:color w:val="000000"/>
                <w:sz w:val="20"/>
                <w:szCs w:val="20"/>
              </w:rPr>
              <w:t>Al-Khatib, 2023; Hmoud et al., 2023; Pinto et al., 2025; Yan et al., 2026</w:t>
            </w:r>
          </w:p>
        </w:tc>
      </w:tr>
      <w:tr w:rsidR="00E75D6A" w14:paraId="0C2A3367" w14:textId="77777777" w:rsidTr="00E75D6A">
        <w:trPr>
          <w:trHeight w:val="1035"/>
        </w:trPr>
        <w:tc>
          <w:tcPr>
            <w:tcW w:w="1965" w:type="dxa"/>
            <w:tcMar>
              <w:top w:w="100" w:type="dxa"/>
              <w:left w:w="100" w:type="dxa"/>
              <w:bottom w:w="100" w:type="dxa"/>
              <w:right w:w="100" w:type="dxa"/>
            </w:tcMar>
            <w:hideMark/>
          </w:tcPr>
          <w:p w14:paraId="650215B5" w14:textId="77777777" w:rsidR="00E75D6A" w:rsidRPr="008606A9" w:rsidRDefault="00E75D6A" w:rsidP="00E75D6A">
            <w:pPr>
              <w:pStyle w:val="NormalWeb"/>
              <w:spacing w:before="0" w:beforeAutospacing="0" w:after="0" w:afterAutospacing="0"/>
              <w:rPr>
                <w:rFonts w:ascii="Arial" w:hAnsi="Arial" w:cs="Arial"/>
                <w:sz w:val="20"/>
                <w:szCs w:val="20"/>
              </w:rPr>
            </w:pPr>
            <w:r w:rsidRPr="008606A9">
              <w:rPr>
                <w:rFonts w:ascii="Arial" w:hAnsi="Arial" w:cs="Arial"/>
                <w:color w:val="000000"/>
                <w:sz w:val="20"/>
                <w:szCs w:val="20"/>
              </w:rPr>
              <w:t>Environment</w:t>
            </w:r>
          </w:p>
        </w:tc>
        <w:tc>
          <w:tcPr>
            <w:tcW w:w="0" w:type="auto"/>
            <w:tcMar>
              <w:top w:w="100" w:type="dxa"/>
              <w:left w:w="100" w:type="dxa"/>
              <w:bottom w:w="100" w:type="dxa"/>
              <w:right w:w="100" w:type="dxa"/>
            </w:tcMar>
            <w:hideMark/>
          </w:tcPr>
          <w:p w14:paraId="1C07A8C2" w14:textId="77777777" w:rsidR="00E75D6A" w:rsidRPr="008606A9" w:rsidRDefault="00E75D6A" w:rsidP="00E75D6A">
            <w:pPr>
              <w:pStyle w:val="NormalWeb"/>
              <w:spacing w:before="0" w:beforeAutospacing="0" w:after="0" w:afterAutospacing="0"/>
              <w:rPr>
                <w:rFonts w:ascii="Arial" w:hAnsi="Arial" w:cs="Arial"/>
                <w:sz w:val="20"/>
                <w:szCs w:val="20"/>
              </w:rPr>
            </w:pPr>
            <w:r w:rsidRPr="008606A9">
              <w:rPr>
                <w:rFonts w:ascii="Arial" w:hAnsi="Arial" w:cs="Arial"/>
                <w:color w:val="000000"/>
                <w:sz w:val="20"/>
                <w:szCs w:val="20"/>
              </w:rPr>
              <w:t>Regulatory/institutional pressure</w:t>
            </w:r>
          </w:p>
        </w:tc>
        <w:tc>
          <w:tcPr>
            <w:tcW w:w="0" w:type="auto"/>
            <w:tcMar>
              <w:top w:w="100" w:type="dxa"/>
              <w:left w:w="100" w:type="dxa"/>
              <w:bottom w:w="100" w:type="dxa"/>
              <w:right w:w="100" w:type="dxa"/>
            </w:tcMar>
            <w:hideMark/>
          </w:tcPr>
          <w:p w14:paraId="6CE1E973" w14:textId="77777777" w:rsidR="00E75D6A" w:rsidRPr="00E75D6A" w:rsidRDefault="00E75D6A" w:rsidP="00E75D6A">
            <w:pPr>
              <w:pStyle w:val="NormalWeb"/>
              <w:spacing w:before="0" w:beforeAutospacing="0" w:after="0" w:afterAutospacing="0"/>
              <w:rPr>
                <w:rFonts w:ascii="Arial" w:hAnsi="Arial" w:cs="Arial"/>
                <w:sz w:val="20"/>
                <w:szCs w:val="20"/>
              </w:rPr>
            </w:pPr>
            <w:r w:rsidRPr="00E75D6A">
              <w:rPr>
                <w:rFonts w:ascii="Arial" w:hAnsi="Arial" w:cs="Arial"/>
                <w:color w:val="000000"/>
                <w:sz w:val="20"/>
                <w:szCs w:val="20"/>
              </w:rPr>
              <w:t>Laws, regulations, institutional requirements, professional expectations, or other external requirements influencing AI governance</w:t>
            </w:r>
          </w:p>
        </w:tc>
        <w:tc>
          <w:tcPr>
            <w:tcW w:w="2318" w:type="dxa"/>
            <w:tcMar>
              <w:top w:w="100" w:type="dxa"/>
              <w:left w:w="100" w:type="dxa"/>
              <w:bottom w:w="100" w:type="dxa"/>
              <w:right w:w="100" w:type="dxa"/>
            </w:tcMar>
            <w:hideMark/>
          </w:tcPr>
          <w:p w14:paraId="31C5CBDA" w14:textId="77777777" w:rsidR="00E75D6A" w:rsidRPr="00E75D6A" w:rsidRDefault="00E75D6A" w:rsidP="00E75D6A">
            <w:pPr>
              <w:pStyle w:val="NormalWeb"/>
              <w:spacing w:before="0" w:beforeAutospacing="0" w:after="0" w:afterAutospacing="0"/>
              <w:rPr>
                <w:rFonts w:ascii="Arial" w:hAnsi="Arial" w:cs="Arial"/>
                <w:sz w:val="20"/>
                <w:szCs w:val="20"/>
              </w:rPr>
            </w:pPr>
            <w:r w:rsidRPr="00E75D6A">
              <w:rPr>
                <w:rFonts w:ascii="Arial" w:hAnsi="Arial" w:cs="Arial"/>
                <w:color w:val="000000"/>
                <w:sz w:val="20"/>
                <w:szCs w:val="20"/>
              </w:rPr>
              <w:t>Pinto et al., 2025; Yan et al., 2026</w:t>
            </w:r>
          </w:p>
        </w:tc>
      </w:tr>
      <w:tr w:rsidR="00E75D6A" w14:paraId="68E3881B" w14:textId="77777777" w:rsidTr="00E75D6A">
        <w:trPr>
          <w:trHeight w:val="810"/>
        </w:trPr>
        <w:tc>
          <w:tcPr>
            <w:tcW w:w="1965" w:type="dxa"/>
            <w:tcMar>
              <w:top w:w="100" w:type="dxa"/>
              <w:left w:w="100" w:type="dxa"/>
              <w:bottom w:w="100" w:type="dxa"/>
              <w:right w:w="100" w:type="dxa"/>
            </w:tcMar>
            <w:hideMark/>
          </w:tcPr>
          <w:p w14:paraId="4A02BBA7" w14:textId="77777777" w:rsidR="00E75D6A" w:rsidRPr="008606A9" w:rsidRDefault="00E75D6A" w:rsidP="00E75D6A">
            <w:pPr>
              <w:rPr>
                <w:rFonts w:ascii="Arial" w:hAnsi="Arial" w:cs="Arial"/>
                <w:sz w:val="20"/>
                <w:szCs w:val="20"/>
              </w:rPr>
            </w:pPr>
          </w:p>
        </w:tc>
        <w:tc>
          <w:tcPr>
            <w:tcW w:w="0" w:type="auto"/>
            <w:tcMar>
              <w:top w:w="100" w:type="dxa"/>
              <w:left w:w="100" w:type="dxa"/>
              <w:bottom w:w="100" w:type="dxa"/>
              <w:right w:w="100" w:type="dxa"/>
            </w:tcMar>
            <w:hideMark/>
          </w:tcPr>
          <w:p w14:paraId="65E5C936" w14:textId="77777777" w:rsidR="00E75D6A" w:rsidRPr="008606A9" w:rsidRDefault="00E75D6A" w:rsidP="00E75D6A">
            <w:pPr>
              <w:pStyle w:val="NormalWeb"/>
              <w:spacing w:before="0" w:beforeAutospacing="0" w:after="0" w:afterAutospacing="0"/>
              <w:rPr>
                <w:rFonts w:ascii="Arial" w:hAnsi="Arial" w:cs="Arial"/>
                <w:sz w:val="20"/>
                <w:szCs w:val="20"/>
              </w:rPr>
            </w:pPr>
            <w:r w:rsidRPr="008606A9">
              <w:rPr>
                <w:rFonts w:ascii="Arial" w:hAnsi="Arial" w:cs="Arial"/>
                <w:color w:val="000000"/>
                <w:sz w:val="20"/>
                <w:szCs w:val="20"/>
              </w:rPr>
              <w:t>External support/partnerships</w:t>
            </w:r>
          </w:p>
        </w:tc>
        <w:tc>
          <w:tcPr>
            <w:tcW w:w="0" w:type="auto"/>
            <w:tcMar>
              <w:top w:w="100" w:type="dxa"/>
              <w:left w:w="100" w:type="dxa"/>
              <w:bottom w:w="100" w:type="dxa"/>
              <w:right w:w="100" w:type="dxa"/>
            </w:tcMar>
            <w:hideMark/>
          </w:tcPr>
          <w:p w14:paraId="3B650AC3" w14:textId="77777777" w:rsidR="00E75D6A" w:rsidRPr="00E75D6A" w:rsidRDefault="00E75D6A" w:rsidP="00E75D6A">
            <w:pPr>
              <w:pStyle w:val="NormalWeb"/>
              <w:spacing w:before="0" w:beforeAutospacing="0" w:after="0" w:afterAutospacing="0"/>
              <w:rPr>
                <w:rFonts w:ascii="Arial" w:hAnsi="Arial" w:cs="Arial"/>
                <w:sz w:val="20"/>
                <w:szCs w:val="20"/>
              </w:rPr>
            </w:pPr>
            <w:r w:rsidRPr="00E75D6A">
              <w:rPr>
                <w:rFonts w:ascii="Arial" w:hAnsi="Arial" w:cs="Arial"/>
                <w:color w:val="000000"/>
                <w:sz w:val="20"/>
                <w:szCs w:val="20"/>
              </w:rPr>
              <w:t>Vendors, external organizations, partnerships, or external assistance supporting AI-related implementation</w:t>
            </w:r>
          </w:p>
        </w:tc>
        <w:tc>
          <w:tcPr>
            <w:tcW w:w="2318" w:type="dxa"/>
            <w:tcMar>
              <w:top w:w="100" w:type="dxa"/>
              <w:left w:w="100" w:type="dxa"/>
              <w:bottom w:w="100" w:type="dxa"/>
              <w:right w:w="100" w:type="dxa"/>
            </w:tcMar>
            <w:hideMark/>
          </w:tcPr>
          <w:p w14:paraId="2E5AB521" w14:textId="77777777" w:rsidR="00E75D6A" w:rsidRPr="00E75D6A" w:rsidRDefault="00E75D6A" w:rsidP="00E75D6A">
            <w:pPr>
              <w:pStyle w:val="NormalWeb"/>
              <w:spacing w:before="0" w:beforeAutospacing="0" w:after="0" w:afterAutospacing="0"/>
              <w:rPr>
                <w:rFonts w:ascii="Arial" w:hAnsi="Arial" w:cs="Arial"/>
                <w:sz w:val="20"/>
                <w:szCs w:val="20"/>
              </w:rPr>
            </w:pPr>
            <w:r w:rsidRPr="00E75D6A">
              <w:rPr>
                <w:rFonts w:ascii="Arial" w:hAnsi="Arial" w:cs="Arial"/>
                <w:color w:val="000000"/>
                <w:sz w:val="20"/>
                <w:szCs w:val="20"/>
              </w:rPr>
              <w:t>Pinto et al., 2025; Yan et al., 2026</w:t>
            </w:r>
          </w:p>
        </w:tc>
      </w:tr>
      <w:tr w:rsidR="00E75D6A" w14:paraId="4E5E8E2A" w14:textId="77777777" w:rsidTr="00E75D6A">
        <w:trPr>
          <w:trHeight w:val="750"/>
        </w:trPr>
        <w:tc>
          <w:tcPr>
            <w:tcW w:w="1965" w:type="dxa"/>
            <w:tcBorders>
              <w:bottom w:val="single" w:sz="4" w:space="0" w:color="auto"/>
            </w:tcBorders>
            <w:tcMar>
              <w:top w:w="100" w:type="dxa"/>
              <w:left w:w="100" w:type="dxa"/>
              <w:bottom w:w="100" w:type="dxa"/>
              <w:right w:w="100" w:type="dxa"/>
            </w:tcMar>
            <w:hideMark/>
          </w:tcPr>
          <w:p w14:paraId="7BE95AD5" w14:textId="77777777" w:rsidR="00E75D6A" w:rsidRPr="008606A9" w:rsidRDefault="00E75D6A" w:rsidP="00E75D6A">
            <w:pPr>
              <w:rPr>
                <w:rFonts w:ascii="Arial" w:hAnsi="Arial" w:cs="Arial"/>
                <w:sz w:val="20"/>
                <w:szCs w:val="20"/>
              </w:rPr>
            </w:pPr>
          </w:p>
        </w:tc>
        <w:tc>
          <w:tcPr>
            <w:tcW w:w="0" w:type="auto"/>
            <w:tcBorders>
              <w:bottom w:val="single" w:sz="4" w:space="0" w:color="auto"/>
            </w:tcBorders>
            <w:tcMar>
              <w:top w:w="100" w:type="dxa"/>
              <w:left w:w="100" w:type="dxa"/>
              <w:bottom w:w="100" w:type="dxa"/>
              <w:right w:w="100" w:type="dxa"/>
            </w:tcMar>
            <w:hideMark/>
          </w:tcPr>
          <w:p w14:paraId="424E9437" w14:textId="77777777" w:rsidR="00E75D6A" w:rsidRPr="008606A9" w:rsidRDefault="00E75D6A" w:rsidP="00E75D6A">
            <w:pPr>
              <w:pStyle w:val="NormalWeb"/>
              <w:spacing w:before="0" w:beforeAutospacing="0" w:after="0" w:afterAutospacing="0"/>
              <w:rPr>
                <w:rFonts w:ascii="Arial" w:hAnsi="Arial" w:cs="Arial"/>
                <w:sz w:val="20"/>
                <w:szCs w:val="20"/>
              </w:rPr>
            </w:pPr>
            <w:r w:rsidRPr="008606A9">
              <w:rPr>
                <w:rFonts w:ascii="Arial" w:hAnsi="Arial" w:cs="Arial"/>
                <w:color w:val="000000"/>
                <w:sz w:val="20"/>
                <w:szCs w:val="20"/>
              </w:rPr>
              <w:t>Competitive pressure</w:t>
            </w:r>
          </w:p>
        </w:tc>
        <w:tc>
          <w:tcPr>
            <w:tcW w:w="0" w:type="auto"/>
            <w:tcBorders>
              <w:bottom w:val="single" w:sz="4" w:space="0" w:color="auto"/>
            </w:tcBorders>
            <w:tcMar>
              <w:top w:w="100" w:type="dxa"/>
              <w:left w:w="100" w:type="dxa"/>
              <w:bottom w:w="100" w:type="dxa"/>
              <w:right w:w="100" w:type="dxa"/>
            </w:tcMar>
            <w:hideMark/>
          </w:tcPr>
          <w:p w14:paraId="5B98DEF7" w14:textId="77777777" w:rsidR="00E75D6A" w:rsidRPr="00E75D6A" w:rsidRDefault="00E75D6A" w:rsidP="00E75D6A">
            <w:pPr>
              <w:pStyle w:val="NormalWeb"/>
              <w:spacing w:before="0" w:beforeAutospacing="0" w:after="0" w:afterAutospacing="0"/>
              <w:rPr>
                <w:rFonts w:ascii="Arial" w:hAnsi="Arial" w:cs="Arial"/>
                <w:sz w:val="20"/>
                <w:szCs w:val="20"/>
              </w:rPr>
            </w:pPr>
            <w:r w:rsidRPr="00E75D6A">
              <w:rPr>
                <w:rFonts w:ascii="Arial" w:hAnsi="Arial" w:cs="Arial"/>
                <w:color w:val="000000"/>
                <w:sz w:val="20"/>
                <w:szCs w:val="20"/>
              </w:rPr>
              <w:t>Competition, comparative institutional positioning, or market pressures influencing AI-related decisions</w:t>
            </w:r>
          </w:p>
        </w:tc>
        <w:tc>
          <w:tcPr>
            <w:tcW w:w="2318" w:type="dxa"/>
            <w:tcBorders>
              <w:bottom w:val="single" w:sz="4" w:space="0" w:color="auto"/>
            </w:tcBorders>
            <w:tcMar>
              <w:top w:w="100" w:type="dxa"/>
              <w:left w:w="100" w:type="dxa"/>
              <w:bottom w:w="100" w:type="dxa"/>
              <w:right w:w="100" w:type="dxa"/>
            </w:tcMar>
            <w:hideMark/>
          </w:tcPr>
          <w:p w14:paraId="12AE9388" w14:textId="77777777" w:rsidR="00E75D6A" w:rsidRPr="00E75D6A" w:rsidRDefault="00E75D6A" w:rsidP="00E75D6A">
            <w:pPr>
              <w:pStyle w:val="NormalWeb"/>
              <w:spacing w:before="0" w:beforeAutospacing="0" w:after="0" w:afterAutospacing="0"/>
              <w:rPr>
                <w:rFonts w:ascii="Arial" w:hAnsi="Arial" w:cs="Arial"/>
                <w:sz w:val="20"/>
                <w:szCs w:val="20"/>
              </w:rPr>
            </w:pPr>
            <w:r w:rsidRPr="00E75D6A">
              <w:rPr>
                <w:rFonts w:ascii="Arial" w:hAnsi="Arial" w:cs="Arial"/>
                <w:color w:val="000000"/>
                <w:sz w:val="20"/>
                <w:szCs w:val="20"/>
              </w:rPr>
              <w:t>Al-Khatib, 2023; Pinto et al., 2025; Yan et al., 2026</w:t>
            </w:r>
          </w:p>
        </w:tc>
      </w:tr>
    </w:tbl>
    <w:p w14:paraId="3C37D00C" w14:textId="77777777" w:rsidR="00E75D6A" w:rsidRDefault="00E75D6A" w:rsidP="00E75D6A">
      <w:pPr>
        <w:pStyle w:val="NormalWeb"/>
        <w:spacing w:before="0" w:beforeAutospacing="0" w:after="0" w:afterAutospacing="0"/>
        <w:jc w:val="center"/>
        <w:rPr>
          <w:rFonts w:ascii="Arial" w:hAnsi="Arial" w:cs="Arial"/>
          <w:color w:val="000000"/>
          <w:sz w:val="20"/>
          <w:szCs w:val="20"/>
        </w:rPr>
      </w:pPr>
    </w:p>
    <w:p w14:paraId="6B247F98" w14:textId="77777777" w:rsidR="00E75D6A" w:rsidRDefault="00E75D6A" w:rsidP="00E75D6A">
      <w:pPr>
        <w:pStyle w:val="NormalWeb"/>
        <w:spacing w:before="0" w:beforeAutospacing="0" w:after="0" w:afterAutospacing="0"/>
      </w:pPr>
      <w:r>
        <w:rPr>
          <w:rFonts w:ascii="Arial" w:hAnsi="Arial" w:cs="Arial"/>
          <w:color w:val="000000"/>
          <w:sz w:val="20"/>
          <w:szCs w:val="20"/>
        </w:rPr>
        <w:t>The codebook functioned as a deductive analytical instrument rather than a measurement scale. Constructs were coded only when documentary evidence substantively addressed their operational definitions. Consequently, coding organizational readiness indicates the presence of documentary evidence concerning mechanisms or conditions associated with readiness, but does not confirm that the institution is objectively ready or that implementation has been successful.</w:t>
      </w:r>
    </w:p>
    <w:p w14:paraId="150D612E" w14:textId="751FC400" w:rsidR="00E75D6A" w:rsidRDefault="00E75D6A" w:rsidP="000F442B">
      <w:pPr>
        <w:pStyle w:val="NormalWeb"/>
        <w:spacing w:before="0" w:beforeAutospacing="0" w:after="0" w:afterAutospacing="0"/>
        <w:rPr>
          <w:rFonts w:ascii="Arial" w:hAnsi="Arial" w:cs="Arial"/>
          <w:color w:val="000000"/>
          <w:sz w:val="20"/>
          <w:szCs w:val="20"/>
        </w:rPr>
      </w:pPr>
      <w:r>
        <w:rPr>
          <w:rFonts w:ascii="Arial" w:hAnsi="Arial" w:cs="Arial"/>
          <w:color w:val="000000"/>
          <w:sz w:val="20"/>
          <w:szCs w:val="20"/>
        </w:rPr>
        <w:t>Likewise, the absence of documentary evidence for a construct was not interpreted as evidence that the condition was absent within the institution. Such instances were documented as lacking substantive evidence within the corpus.</w:t>
      </w:r>
    </w:p>
    <w:p w14:paraId="4D5E3111" w14:textId="77777777" w:rsidR="000F442B" w:rsidRDefault="000F442B" w:rsidP="000F442B">
      <w:pPr>
        <w:pStyle w:val="NormalWeb"/>
        <w:spacing w:before="0" w:beforeAutospacing="0" w:after="0" w:afterAutospacing="0"/>
        <w:rPr>
          <w:rFonts w:ascii="Arial" w:hAnsi="Arial" w:cs="Arial"/>
          <w:color w:val="000000"/>
          <w:sz w:val="20"/>
          <w:szCs w:val="20"/>
        </w:rPr>
      </w:pPr>
    </w:p>
    <w:p w14:paraId="332BE7A2" w14:textId="77777777" w:rsidR="000F442B" w:rsidRPr="000F442B" w:rsidRDefault="000F442B" w:rsidP="000F442B">
      <w:pPr>
        <w:pStyle w:val="Heading2"/>
        <w:spacing w:before="0"/>
        <w:rPr>
          <w:b/>
          <w:bCs/>
          <w:sz w:val="22"/>
          <w:szCs w:val="22"/>
        </w:rPr>
      </w:pPr>
      <w:r w:rsidRPr="000F442B">
        <w:rPr>
          <w:rFonts w:ascii="Arial" w:hAnsi="Arial" w:cs="Arial"/>
          <w:b/>
          <w:bCs/>
          <w:color w:val="000000"/>
          <w:sz w:val="22"/>
          <w:szCs w:val="22"/>
        </w:rPr>
        <w:t>2.4 Unit of Analysis and Coding Procedure</w:t>
      </w:r>
    </w:p>
    <w:p w14:paraId="3661F118" w14:textId="77777777" w:rsidR="000F442B" w:rsidRDefault="000F442B" w:rsidP="000F442B"/>
    <w:p w14:paraId="666AE4E2" w14:textId="77777777" w:rsidR="000F442B" w:rsidRDefault="000F442B" w:rsidP="000F442B">
      <w:pPr>
        <w:pStyle w:val="NormalWeb"/>
        <w:spacing w:before="0" w:beforeAutospacing="0" w:after="0" w:afterAutospacing="0"/>
      </w:pPr>
      <w:r>
        <w:rPr>
          <w:rFonts w:ascii="Arial" w:hAnsi="Arial" w:cs="Arial"/>
          <w:color w:val="000000"/>
          <w:sz w:val="20"/>
          <w:szCs w:val="20"/>
        </w:rPr>
        <w:t>The unit of analysis comprised meaningful documentary statements or provisions relevant to AI governance or one of the TOE constructs. Whole documents were not assigned to individual TOE categories. Instead, relevant passages were examined within their documentary context and coded according to the condition, commitment, or organizational mechanism they substantively represented.</w:t>
      </w:r>
    </w:p>
    <w:p w14:paraId="2DDB90AA" w14:textId="77777777" w:rsidR="000F442B" w:rsidRDefault="000F442B" w:rsidP="000F442B">
      <w:pPr>
        <w:pStyle w:val="NormalWeb"/>
        <w:spacing w:before="0" w:beforeAutospacing="0" w:after="0" w:afterAutospacing="0"/>
      </w:pPr>
      <w:r>
        <w:rPr>
          <w:rFonts w:ascii="Arial" w:hAnsi="Arial" w:cs="Arial"/>
          <w:color w:val="000000"/>
          <w:sz w:val="20"/>
          <w:szCs w:val="20"/>
        </w:rPr>
        <w:t>The coding process consisted of five stages.</w:t>
      </w:r>
    </w:p>
    <w:p w14:paraId="5B498613" w14:textId="77777777" w:rsidR="000F442B" w:rsidRDefault="000F442B" w:rsidP="000F442B">
      <w:pPr>
        <w:pStyle w:val="NormalWeb"/>
        <w:spacing w:before="0" w:beforeAutospacing="0" w:after="0" w:afterAutospacing="0"/>
      </w:pPr>
      <w:r>
        <w:rPr>
          <w:rFonts w:ascii="Arial" w:hAnsi="Arial" w:cs="Arial"/>
          <w:color w:val="000000"/>
          <w:sz w:val="20"/>
          <w:szCs w:val="20"/>
        </w:rPr>
        <w:t>First, document familiarization. Each document was read in full to establish its purpose, institutional context, intended audience, governance provisions, and relationship to the other documents.</w:t>
      </w:r>
    </w:p>
    <w:p w14:paraId="2EA96936" w14:textId="77777777" w:rsidR="000F442B" w:rsidRDefault="000F442B" w:rsidP="000F442B">
      <w:pPr>
        <w:pStyle w:val="NormalWeb"/>
        <w:spacing w:before="0" w:beforeAutospacing="0" w:after="0" w:afterAutospacing="0"/>
      </w:pPr>
      <w:r>
        <w:rPr>
          <w:rFonts w:ascii="Arial" w:hAnsi="Arial" w:cs="Arial"/>
          <w:color w:val="000000"/>
          <w:sz w:val="20"/>
          <w:szCs w:val="20"/>
        </w:rPr>
        <w:t>Second, identification of substantive evidence. Statements concerning AI governance, organizational arrangements, capability development, technological conditions, or environmental conditions were identified for analysis. Statements that were purely administrative or unrelated to the analytical objectives were excluded.</w:t>
      </w:r>
    </w:p>
    <w:p w14:paraId="3435FC15" w14:textId="77777777" w:rsidR="000F442B" w:rsidRDefault="000F442B" w:rsidP="000F442B">
      <w:pPr>
        <w:pStyle w:val="NormalWeb"/>
        <w:spacing w:before="0" w:beforeAutospacing="0" w:after="0" w:afterAutospacing="0"/>
      </w:pPr>
      <w:r>
        <w:rPr>
          <w:rFonts w:ascii="Arial" w:hAnsi="Arial" w:cs="Arial"/>
          <w:color w:val="000000"/>
          <w:sz w:val="20"/>
          <w:szCs w:val="20"/>
        </w:rPr>
        <w:t>Third, deductive coding. Relevant passages were coded against the established TOE codebook. Each coded passage was recorded according to document, documentary evidence, TOE context, construct, and analytical interpretation. A construct was assigned only when the documentary evidence substantively supported its operational definition.</w:t>
      </w:r>
    </w:p>
    <w:p w14:paraId="161485B4" w14:textId="77777777" w:rsidR="000F442B" w:rsidRDefault="000F442B" w:rsidP="000F442B">
      <w:pPr>
        <w:pStyle w:val="NormalWeb"/>
        <w:spacing w:before="0" w:beforeAutospacing="0" w:after="0" w:afterAutospacing="0"/>
      </w:pPr>
      <w:r>
        <w:rPr>
          <w:rFonts w:ascii="Arial" w:hAnsi="Arial" w:cs="Arial"/>
          <w:color w:val="000000"/>
          <w:sz w:val="20"/>
          <w:szCs w:val="20"/>
        </w:rPr>
        <w:t>Fourth, within-document analysis. D1 was examined primarily for formal AI-governance commitments (Xavier University, 2024a); D2 for governance structure, leadership, and cross-functional coordination (Xavier University, 2024b); and D3 for AI capability development, organizational learning, and implementation preparation (Office of the Vice President for Higher Education, 2023).</w:t>
      </w:r>
    </w:p>
    <w:p w14:paraId="2C59F63A" w14:textId="77777777" w:rsidR="000F442B" w:rsidRDefault="000F442B" w:rsidP="000F442B">
      <w:pPr>
        <w:pStyle w:val="NormalWeb"/>
        <w:spacing w:before="0" w:beforeAutospacing="0" w:after="0" w:afterAutospacing="0"/>
      </w:pPr>
      <w:r>
        <w:rPr>
          <w:rFonts w:ascii="Arial" w:hAnsi="Arial" w:cs="Arial"/>
          <w:color w:val="000000"/>
          <w:sz w:val="20"/>
          <w:szCs w:val="20"/>
        </w:rPr>
        <w:t>Fifth, cross-document pattern analysis. The coded evidence from D1–D3 was compared to identify recurring conditions, complementarities, differences, and relationships among technological and organizational mechanisms.</w:t>
      </w:r>
    </w:p>
    <w:p w14:paraId="1247CC84" w14:textId="77777777" w:rsidR="000F442B" w:rsidRDefault="000F442B" w:rsidP="000F442B">
      <w:pPr>
        <w:pStyle w:val="NormalWeb"/>
        <w:spacing w:before="0" w:beforeAutospacing="0" w:after="0" w:afterAutospacing="0"/>
      </w:pPr>
      <w:r>
        <w:rPr>
          <w:rFonts w:ascii="Arial" w:hAnsi="Arial" w:cs="Arial"/>
          <w:color w:val="000000"/>
          <w:sz w:val="20"/>
          <w:szCs w:val="20"/>
        </w:rPr>
        <w:t xml:space="preserve">This procedure reflects the systematic approach of qualitative document analysis, wherein documentary material is selected, examined, coded, and interpreted according to explicit analytical objectives (Bowen, 2009; Ji, 2024). Qualitative text analysis enables the </w:t>
      </w:r>
      <w:r>
        <w:rPr>
          <w:rFonts w:ascii="Arial" w:hAnsi="Arial" w:cs="Arial"/>
          <w:color w:val="000000"/>
          <w:sz w:val="20"/>
          <w:szCs w:val="20"/>
        </w:rPr>
        <w:lastRenderedPageBreak/>
        <w:t>examination of relationships and patterns within policy and organizational documents, rather than limiting analysis to the frequency of textual categories (Malandrino, 2024).</w:t>
      </w:r>
    </w:p>
    <w:p w14:paraId="677D9554" w14:textId="77777777" w:rsidR="000F442B" w:rsidRDefault="000F442B" w:rsidP="000F442B"/>
    <w:p w14:paraId="57D6AC41" w14:textId="77777777" w:rsidR="000F442B" w:rsidRPr="000F442B" w:rsidRDefault="000F442B" w:rsidP="000F442B">
      <w:pPr>
        <w:pStyle w:val="Heading2"/>
        <w:spacing w:before="0"/>
        <w:rPr>
          <w:b/>
          <w:bCs/>
          <w:sz w:val="22"/>
          <w:szCs w:val="22"/>
        </w:rPr>
      </w:pPr>
      <w:r w:rsidRPr="000F442B">
        <w:rPr>
          <w:rFonts w:ascii="Arial" w:hAnsi="Arial" w:cs="Arial"/>
          <w:b/>
          <w:bCs/>
          <w:color w:val="000000"/>
          <w:sz w:val="22"/>
          <w:szCs w:val="22"/>
        </w:rPr>
        <w:t>2.5 Cross-Document Pattern Analysis</w:t>
      </w:r>
    </w:p>
    <w:p w14:paraId="619B134D" w14:textId="77777777" w:rsidR="000F442B" w:rsidRDefault="000F442B" w:rsidP="000F442B"/>
    <w:p w14:paraId="15405B13" w14:textId="77777777" w:rsidR="000F442B" w:rsidRDefault="000F442B" w:rsidP="000F442B">
      <w:pPr>
        <w:pStyle w:val="NormalWeb"/>
        <w:spacing w:before="0" w:beforeAutospacing="0" w:after="0" w:afterAutospacing="0"/>
      </w:pPr>
      <w:r>
        <w:rPr>
          <w:rFonts w:ascii="Arial" w:hAnsi="Arial" w:cs="Arial"/>
          <w:color w:val="000000"/>
          <w:sz w:val="20"/>
          <w:szCs w:val="20"/>
        </w:rPr>
        <w:t>The final analytical stage investigated relationships among coded conditions across the three documents, rather than merely counting the occurrence of TOE constructs. This stage was essential because the study addresses AI governance as an organizational and management process, not as a collection of isolated technological factors.</w:t>
      </w:r>
    </w:p>
    <w:p w14:paraId="60F2A32B" w14:textId="77777777" w:rsidR="000F442B" w:rsidRDefault="000F442B" w:rsidP="000F442B">
      <w:pPr>
        <w:pStyle w:val="NormalWeb"/>
        <w:spacing w:before="0" w:beforeAutospacing="0" w:after="0" w:afterAutospacing="0"/>
      </w:pPr>
      <w:r>
        <w:rPr>
          <w:rFonts w:ascii="Arial" w:hAnsi="Arial" w:cs="Arial"/>
          <w:color w:val="000000"/>
          <w:sz w:val="20"/>
          <w:szCs w:val="20"/>
        </w:rPr>
        <w:t>The analysis initially examined recurring combinations of technological and organizational conditions, focusing on relationships involving leadership, organizational structure, human and technical competence, technological infrastructure, organizational readiness, and formal governance.</w:t>
      </w:r>
    </w:p>
    <w:p w14:paraId="576A9C76" w14:textId="77777777" w:rsidR="000F442B" w:rsidRDefault="000F442B" w:rsidP="000F442B">
      <w:pPr>
        <w:pStyle w:val="NormalWeb"/>
        <w:spacing w:before="0" w:beforeAutospacing="0" w:after="0" w:afterAutospacing="0"/>
      </w:pPr>
      <w:r>
        <w:rPr>
          <w:rFonts w:ascii="Arial" w:hAnsi="Arial" w:cs="Arial"/>
          <w:color w:val="000000"/>
          <w:sz w:val="20"/>
          <w:szCs w:val="20"/>
        </w:rPr>
        <w:t>Subsequently, the documents were analyzed in relation to their institutional sequence. D3 documents AI capability development and organizational learning (Office of the Vice President for Higher Education, 2023); D2 establishes a formal governance structure (Xavier University, 2024b); and D1 formalizes AI-governance commitments through institutional policy (Xavier University, 2024a). This sequence was interpreted as a documentary pattern indicative of progressive institutionalization, rather than as evidence of a causal relationship among the documents.</w:t>
      </w:r>
    </w:p>
    <w:p w14:paraId="30012DAA" w14:textId="77777777" w:rsidR="000F442B" w:rsidRDefault="000F442B" w:rsidP="000F442B">
      <w:pPr>
        <w:pStyle w:val="NormalWeb"/>
        <w:spacing w:before="0" w:beforeAutospacing="0" w:after="0" w:afterAutospacing="0"/>
      </w:pPr>
      <w:r>
        <w:rPr>
          <w:rFonts w:ascii="Arial" w:hAnsi="Arial" w:cs="Arial"/>
          <w:color w:val="000000"/>
          <w:sz w:val="20"/>
          <w:szCs w:val="20"/>
        </w:rPr>
        <w:t>Finally, the analysis considered convergence and divergence across the three documents. When multiple documents provided evidence for the same TOE-related condition, convergence was regarded as analytically significant. Where a construct was not substantively represented, its absence was retained rather than supplemented through inference.</w:t>
      </w:r>
    </w:p>
    <w:p w14:paraId="3841A195" w14:textId="77777777" w:rsidR="000F442B" w:rsidRDefault="000F442B" w:rsidP="000F442B">
      <w:pPr>
        <w:pStyle w:val="NormalWeb"/>
        <w:spacing w:before="0" w:beforeAutospacing="0" w:after="0" w:afterAutospacing="0"/>
      </w:pPr>
      <w:r>
        <w:rPr>
          <w:rFonts w:ascii="Arial" w:hAnsi="Arial" w:cs="Arial"/>
          <w:color w:val="000000"/>
          <w:sz w:val="20"/>
          <w:szCs w:val="20"/>
        </w:rPr>
        <w:t>Accordingly, TOE was used as a framework for interpreting relationships among organizational conditions, rather than as a checklist requiring every document to demonstrate every construct. This approach aligns with the contextual application of TOE, as demonstrated in recent research on organizational AI adoption and institutional educational technology adoption (Pinto et al., 2025; Yan et al., 2026).</w:t>
      </w:r>
    </w:p>
    <w:p w14:paraId="48E0AE44" w14:textId="77777777" w:rsidR="000F442B" w:rsidRDefault="000F442B" w:rsidP="000F442B"/>
    <w:p w14:paraId="6E8A3813" w14:textId="77777777" w:rsidR="000F442B" w:rsidRPr="000F442B" w:rsidRDefault="000F442B" w:rsidP="000F442B">
      <w:pPr>
        <w:pStyle w:val="Heading2"/>
        <w:spacing w:before="0"/>
        <w:rPr>
          <w:b/>
          <w:bCs/>
          <w:sz w:val="22"/>
          <w:szCs w:val="22"/>
        </w:rPr>
      </w:pPr>
      <w:r w:rsidRPr="000F442B">
        <w:rPr>
          <w:rFonts w:ascii="Arial" w:hAnsi="Arial" w:cs="Arial"/>
          <w:b/>
          <w:bCs/>
          <w:color w:val="000000"/>
          <w:sz w:val="22"/>
          <w:szCs w:val="22"/>
        </w:rPr>
        <w:t>2.6 Trustworthiness</w:t>
      </w:r>
    </w:p>
    <w:p w14:paraId="479614C8" w14:textId="77777777" w:rsidR="000F442B" w:rsidRDefault="000F442B" w:rsidP="000F442B"/>
    <w:p w14:paraId="63A81B70" w14:textId="77777777" w:rsidR="000F442B" w:rsidRDefault="000F442B" w:rsidP="000F442B">
      <w:pPr>
        <w:pStyle w:val="NormalWeb"/>
        <w:spacing w:before="0" w:beforeAutospacing="0" w:after="0" w:afterAutospacing="0"/>
      </w:pPr>
      <w:r>
        <w:rPr>
          <w:rFonts w:ascii="Arial" w:hAnsi="Arial" w:cs="Arial"/>
          <w:color w:val="000000"/>
          <w:sz w:val="20"/>
          <w:szCs w:val="20"/>
        </w:rPr>
        <w:t>Trustworthiness was ensured through purposive source selection, theoretical transparency, systematic coding, cross-document comparison, and maintenance of an analytical record of coding decisions.</w:t>
      </w:r>
    </w:p>
    <w:p w14:paraId="43318F46" w14:textId="77777777" w:rsidR="000F442B" w:rsidRDefault="000F442B" w:rsidP="000F442B">
      <w:pPr>
        <w:pStyle w:val="NormalWeb"/>
        <w:spacing w:before="0" w:beforeAutospacing="0" w:after="0" w:afterAutospacing="0"/>
      </w:pPr>
      <w:r>
        <w:rPr>
          <w:rFonts w:ascii="Arial" w:hAnsi="Arial" w:cs="Arial"/>
          <w:color w:val="000000"/>
          <w:sz w:val="20"/>
          <w:szCs w:val="20"/>
        </w:rPr>
        <w:t>First, the core corpus consisted of official institutional documents selected according to explicit inclusion criteria. Second, the theoretical framework and operational definitions were specified before the final cross-document interpretation. Third, documentary evidence was retained alongside its corresponding TOE construct and analytical interpretation, thereby providing an explicit link between the source material and the findings.</w:t>
      </w:r>
    </w:p>
    <w:p w14:paraId="5F52465F" w14:textId="77777777" w:rsidR="000F442B" w:rsidRDefault="000F442B" w:rsidP="000F442B">
      <w:pPr>
        <w:pStyle w:val="NormalWeb"/>
        <w:spacing w:before="0" w:beforeAutospacing="0" w:after="0" w:afterAutospacing="0"/>
      </w:pPr>
      <w:r>
        <w:rPr>
          <w:rFonts w:ascii="Arial" w:hAnsi="Arial" w:cs="Arial"/>
          <w:color w:val="000000"/>
          <w:sz w:val="20"/>
          <w:szCs w:val="20"/>
        </w:rPr>
        <w:t>Fourth, the analysis distinguished among formal commitments, documented organizational mechanisms, and interpretive conclusions. A policy statement describing an intended practice was therefore not automatically treated as evidence that the practice had been implemented. Fifth, evidence was compared across D1–D3 to identify convergence and divergence. Sixth, the absence of documentary evidence was retained as an analytical observation rather than filled through inference.</w:t>
      </w:r>
    </w:p>
    <w:p w14:paraId="72629176" w14:textId="77777777" w:rsidR="000F442B" w:rsidRDefault="000F442B" w:rsidP="000F442B">
      <w:pPr>
        <w:pStyle w:val="NormalWeb"/>
        <w:spacing w:before="0" w:beforeAutospacing="0" w:after="0" w:afterAutospacing="0"/>
      </w:pPr>
      <w:r>
        <w:rPr>
          <w:rFonts w:ascii="Arial" w:hAnsi="Arial" w:cs="Arial"/>
          <w:color w:val="000000"/>
          <w:sz w:val="20"/>
          <w:szCs w:val="20"/>
        </w:rPr>
        <w:t>These procedures enhance transparency in the progression from documentary evidence to theoretical coding and from coding to higher-order interpretation, consistent with established and recent approaches to qualitative document and text analysis (Bowen, 2009; Ji, 2024; Malandrino, 2024).</w:t>
      </w:r>
    </w:p>
    <w:p w14:paraId="4A734BBC" w14:textId="77777777" w:rsidR="000F442B" w:rsidRDefault="000F442B" w:rsidP="000F442B"/>
    <w:p w14:paraId="0554B966" w14:textId="77777777" w:rsidR="000F442B" w:rsidRPr="000F442B" w:rsidRDefault="000F442B" w:rsidP="000F442B">
      <w:pPr>
        <w:pStyle w:val="Heading2"/>
        <w:spacing w:before="0"/>
        <w:rPr>
          <w:b/>
          <w:bCs/>
          <w:sz w:val="22"/>
          <w:szCs w:val="22"/>
        </w:rPr>
      </w:pPr>
      <w:r w:rsidRPr="000F442B">
        <w:rPr>
          <w:rFonts w:ascii="Arial" w:hAnsi="Arial" w:cs="Arial"/>
          <w:b/>
          <w:bCs/>
          <w:color w:val="000000"/>
          <w:sz w:val="22"/>
          <w:szCs w:val="22"/>
        </w:rPr>
        <w:lastRenderedPageBreak/>
        <w:t>2.7 Ethical Considerations</w:t>
      </w:r>
    </w:p>
    <w:p w14:paraId="1E592E9C" w14:textId="77777777" w:rsidR="000F442B" w:rsidRDefault="000F442B" w:rsidP="000F442B"/>
    <w:p w14:paraId="5E5DE51F" w14:textId="77777777" w:rsidR="000F442B" w:rsidRDefault="000F442B" w:rsidP="000F442B">
      <w:pPr>
        <w:pStyle w:val="NormalWeb"/>
        <w:spacing w:before="0" w:beforeAutospacing="0" w:after="0" w:afterAutospacing="0"/>
      </w:pPr>
      <w:r>
        <w:rPr>
          <w:rFonts w:ascii="Arial" w:hAnsi="Arial" w:cs="Arial"/>
          <w:color w:val="000000"/>
          <w:sz w:val="20"/>
          <w:szCs w:val="20"/>
        </w:rPr>
        <w:t>The study relied exclusively on institutional documents that were accessible to the researcher and did not involve interviews, surveys, experiments, or the collection of personal data from research participants. No individuals were recruited for the study.</w:t>
      </w:r>
    </w:p>
    <w:p w14:paraId="532BB6EB" w14:textId="77777777" w:rsidR="000F442B" w:rsidRDefault="000F442B" w:rsidP="000F442B">
      <w:pPr>
        <w:pStyle w:val="NormalWeb"/>
        <w:spacing w:before="0" w:beforeAutospacing="0" w:after="0" w:afterAutospacing="0"/>
      </w:pPr>
      <w:r>
        <w:rPr>
          <w:rFonts w:ascii="Arial" w:hAnsi="Arial" w:cs="Arial"/>
          <w:color w:val="000000"/>
          <w:sz w:val="20"/>
          <w:szCs w:val="20"/>
        </w:rPr>
        <w:t>The institution is identified in the body of the manuscript only where necessary to establish documentary provenance, but is intentionally not named in the title or abstract. The analysis centers on institutional documents, organizational structures, governance arrangements, and management processes, rather than evaluating individual employees.</w:t>
      </w:r>
    </w:p>
    <w:p w14:paraId="4F153B59" w14:textId="77777777" w:rsidR="000F442B" w:rsidRDefault="000F442B" w:rsidP="000F442B"/>
    <w:p w14:paraId="2ABB08FB" w14:textId="77777777" w:rsidR="00902823" w:rsidRDefault="00000F8F" w:rsidP="00441B6F">
      <w:pPr>
        <w:pStyle w:val="Head1"/>
        <w:spacing w:after="0"/>
        <w:jc w:val="both"/>
        <w:rPr>
          <w:rFonts w:ascii="Arial" w:hAnsi="Arial" w:cs="Arial"/>
        </w:rPr>
      </w:pPr>
      <w:r>
        <w:rPr>
          <w:rFonts w:ascii="Arial" w:hAnsi="Arial" w:cs="Arial"/>
        </w:rPr>
        <w:t>3</w:t>
      </w:r>
      <w:r w:rsidR="00902823">
        <w:rPr>
          <w:rFonts w:ascii="Arial" w:hAnsi="Arial" w:cs="Arial"/>
        </w:rPr>
        <w:t xml:space="preserve">. </w:t>
      </w:r>
      <w:r>
        <w:rPr>
          <w:rFonts w:ascii="Arial" w:hAnsi="Arial" w:cs="Arial"/>
        </w:rPr>
        <w:t>results and discussion</w:t>
      </w:r>
    </w:p>
    <w:p w14:paraId="73371B4E" w14:textId="77777777" w:rsidR="004C1700" w:rsidRDefault="004C1700" w:rsidP="00441B6F">
      <w:pPr>
        <w:pStyle w:val="Head1"/>
        <w:spacing w:after="0"/>
        <w:jc w:val="both"/>
        <w:rPr>
          <w:rFonts w:ascii="Arial" w:hAnsi="Arial" w:cs="Arial"/>
        </w:rPr>
      </w:pPr>
    </w:p>
    <w:p w14:paraId="6023338B" w14:textId="77777777" w:rsidR="004C1700" w:rsidRPr="004C1700" w:rsidRDefault="004C1700" w:rsidP="004C1700">
      <w:pPr>
        <w:pStyle w:val="Heading2"/>
        <w:spacing w:before="0"/>
        <w:rPr>
          <w:b/>
          <w:bCs/>
          <w:sz w:val="22"/>
          <w:szCs w:val="22"/>
        </w:rPr>
      </w:pPr>
      <w:r w:rsidRPr="004C1700">
        <w:rPr>
          <w:rFonts w:ascii="Arial" w:hAnsi="Arial" w:cs="Arial"/>
          <w:b/>
          <w:bCs/>
          <w:color w:val="000000"/>
          <w:sz w:val="22"/>
          <w:szCs w:val="22"/>
        </w:rPr>
        <w:t>3.1 AI Governance Commitments Established in the Institutional AI Policy</w:t>
      </w:r>
    </w:p>
    <w:p w14:paraId="417D4419" w14:textId="77777777" w:rsidR="004C1700" w:rsidRDefault="004C1700" w:rsidP="004C1700"/>
    <w:p w14:paraId="7DAA3C6F" w14:textId="77777777" w:rsidR="004C1700" w:rsidRDefault="004C1700" w:rsidP="004C1700">
      <w:pPr>
        <w:pStyle w:val="NormalWeb"/>
        <w:spacing w:before="0" w:beforeAutospacing="0" w:after="0" w:afterAutospacing="0"/>
      </w:pPr>
      <w:r>
        <w:rPr>
          <w:rFonts w:ascii="Arial" w:hAnsi="Arial" w:cs="Arial"/>
          <w:color w:val="000000"/>
          <w:sz w:val="20"/>
          <w:szCs w:val="20"/>
        </w:rPr>
        <w:t>The institutional AI policy represents the university’s formal response to the opportunities and risks presented by generative artificial intelligence (GenAI). Instead of solely regulating the permissibility of GenAI use, D1 articulates expectations regarding its intended purpose, appropriate application, and the preservation of human responsibility throughout the university. The policy explicitly connects GenAI governance to the university’s educational mission, human judgment, academic integrity, inclusivity, privacy and data protection, accountability, and human oversight (Xavier University, 2024a).</w:t>
      </w:r>
    </w:p>
    <w:p w14:paraId="06DD67DD" w14:textId="77777777" w:rsidR="004C1700" w:rsidRDefault="004C1700" w:rsidP="004C1700"/>
    <w:p w14:paraId="76E62E39" w14:textId="77777777" w:rsidR="004C1700" w:rsidRPr="004C1700" w:rsidRDefault="004C1700" w:rsidP="004C1700">
      <w:pPr>
        <w:pStyle w:val="Heading3"/>
        <w:spacing w:before="0"/>
        <w:rPr>
          <w:b/>
          <w:bCs/>
        </w:rPr>
      </w:pPr>
      <w:r w:rsidRPr="004C1700">
        <w:rPr>
          <w:rFonts w:ascii="Arial" w:hAnsi="Arial" w:cs="Arial"/>
          <w:b/>
          <w:bCs/>
          <w:color w:val="000000"/>
          <w:sz w:val="20"/>
          <w:szCs w:val="20"/>
          <w:u w:val="single"/>
        </w:rPr>
        <w:t xml:space="preserve">3.1.1 Alignment of GenAI Use </w:t>
      </w:r>
      <w:proofErr w:type="gramStart"/>
      <w:r w:rsidRPr="004C1700">
        <w:rPr>
          <w:rFonts w:ascii="Arial" w:hAnsi="Arial" w:cs="Arial"/>
          <w:b/>
          <w:bCs/>
          <w:color w:val="000000"/>
          <w:sz w:val="20"/>
          <w:szCs w:val="20"/>
          <w:u w:val="single"/>
        </w:rPr>
        <w:t>With</w:t>
      </w:r>
      <w:proofErr w:type="gramEnd"/>
      <w:r w:rsidRPr="004C1700">
        <w:rPr>
          <w:rFonts w:ascii="Arial" w:hAnsi="Arial" w:cs="Arial"/>
          <w:b/>
          <w:bCs/>
          <w:color w:val="000000"/>
          <w:sz w:val="20"/>
          <w:szCs w:val="20"/>
          <w:u w:val="single"/>
        </w:rPr>
        <w:t xml:space="preserve"> Institutional Purpose and Human Judgment</w:t>
      </w:r>
    </w:p>
    <w:p w14:paraId="77882F99" w14:textId="77777777" w:rsidR="004C1700" w:rsidRDefault="004C1700" w:rsidP="004C1700"/>
    <w:p w14:paraId="3E96FA31" w14:textId="77777777" w:rsidR="004C1700" w:rsidRDefault="004C1700" w:rsidP="004C1700">
      <w:pPr>
        <w:pStyle w:val="NormalWeb"/>
        <w:spacing w:before="0" w:beforeAutospacing="0" w:after="0" w:afterAutospacing="0"/>
      </w:pPr>
      <w:r>
        <w:rPr>
          <w:rFonts w:ascii="Arial" w:hAnsi="Arial" w:cs="Arial"/>
          <w:color w:val="000000"/>
          <w:sz w:val="20"/>
          <w:szCs w:val="20"/>
        </w:rPr>
        <w:t>D1 characterizes GenAI as a tool intended to support the university’s mission, rather than supplant human expertise or decision-making. While the policy acknowledges GenAI’s potential to enhance the efficiency and impact of university activities, it mandates that its use must remain complementary to human expertise, creativity, autonomy, and judgment (Xavier University, 2024a). Accordingly, the policy asserts that the legitimacy of GenAI use is determined not only by technological capability but also by alignment with institutional purpose and sustained human responsibility.</w:t>
      </w:r>
    </w:p>
    <w:p w14:paraId="4108FC26" w14:textId="77777777" w:rsidR="004C1700" w:rsidRDefault="004C1700" w:rsidP="004C1700">
      <w:pPr>
        <w:pStyle w:val="NormalWeb"/>
        <w:spacing w:before="0" w:beforeAutospacing="0" w:after="0" w:afterAutospacing="0"/>
      </w:pPr>
      <w:r>
        <w:rPr>
          <w:rFonts w:ascii="Arial" w:hAnsi="Arial" w:cs="Arial"/>
          <w:color w:val="000000"/>
          <w:sz w:val="20"/>
          <w:szCs w:val="20"/>
        </w:rPr>
        <w:t>This approach aligns with recent analyses of higher education AI policies, which identify human agency, oversight, accountability, and responsible use as central components of institutional GenAI governance (Dabis &amp; Csáki, 2024; Crompton et al., 2026). For instance, Dabis and Csáki (2024) found that early university responses to GenAI typically preserved human responsibility for AI-related outcomes while granting institutions and instructors discretion in determining appropriate applications.</w:t>
      </w:r>
    </w:p>
    <w:p w14:paraId="10BE0930" w14:textId="77777777" w:rsidR="004C1700" w:rsidRDefault="004C1700" w:rsidP="004C1700"/>
    <w:p w14:paraId="65731F92" w14:textId="77777777" w:rsidR="004C1700" w:rsidRPr="004C1700" w:rsidRDefault="004C1700" w:rsidP="004C1700">
      <w:pPr>
        <w:pStyle w:val="Heading3"/>
        <w:spacing w:before="0"/>
        <w:rPr>
          <w:b/>
          <w:bCs/>
        </w:rPr>
      </w:pPr>
      <w:r w:rsidRPr="004C1700">
        <w:rPr>
          <w:rFonts w:ascii="Arial" w:hAnsi="Arial" w:cs="Arial"/>
          <w:b/>
          <w:bCs/>
          <w:color w:val="000000"/>
          <w:sz w:val="20"/>
          <w:szCs w:val="20"/>
          <w:u w:val="single"/>
        </w:rPr>
        <w:t>3.1.2 Academic Integrity, Transparency, and Responsible Use</w:t>
      </w:r>
    </w:p>
    <w:p w14:paraId="0C8F1988" w14:textId="77777777" w:rsidR="004C1700" w:rsidRDefault="004C1700" w:rsidP="004C1700"/>
    <w:p w14:paraId="68D322B0" w14:textId="77777777" w:rsidR="004C1700" w:rsidRDefault="004C1700" w:rsidP="004C1700">
      <w:pPr>
        <w:pStyle w:val="NormalWeb"/>
        <w:spacing w:before="0" w:beforeAutospacing="0" w:after="0" w:afterAutospacing="0"/>
      </w:pPr>
      <w:r>
        <w:rPr>
          <w:rFonts w:ascii="Arial" w:hAnsi="Arial" w:cs="Arial"/>
          <w:color w:val="000000"/>
          <w:sz w:val="20"/>
          <w:szCs w:val="20"/>
        </w:rPr>
        <w:t>D1 sets forth explicit expectations regarding academic integrity and transparency in GenAI use. Users must verify AI-generated information, uphold academic integrity, and appropriately acknowledge or disclose substantial contributions made by GenAI. The policy further designates GenAI-related plagiarism and cheating as prohibited practices (Xavier University, 2024a).</w:t>
      </w:r>
    </w:p>
    <w:p w14:paraId="06E6A131" w14:textId="5E94FE6A" w:rsidR="004C1700" w:rsidRDefault="004C1700" w:rsidP="004C1700">
      <w:pPr>
        <w:pStyle w:val="NormalWeb"/>
        <w:spacing w:before="0" w:beforeAutospacing="0" w:after="0" w:afterAutospacing="0"/>
      </w:pPr>
      <w:r>
        <w:rPr>
          <w:rFonts w:ascii="Arial" w:hAnsi="Arial" w:cs="Arial"/>
          <w:color w:val="000000"/>
          <w:sz w:val="20"/>
          <w:szCs w:val="20"/>
        </w:rPr>
        <w:t xml:space="preserve">This commitment extends beyond merely restricting inappropriate use by delineating conditions for legitimate use, particularly concerning authorship, attribution, verification, and disclosure. Such an approach aligns with recent higher education research, which identifies academic integrity, privacy and security, limitations and risks, and disclosure and </w:t>
      </w:r>
      <w:r w:rsidRPr="007B073A">
        <w:rPr>
          <w:rFonts w:ascii="Arial" w:hAnsi="Arial" w:cs="Arial"/>
          <w:color w:val="000000"/>
          <w:sz w:val="20"/>
          <w:szCs w:val="20"/>
        </w:rPr>
        <w:t xml:space="preserve">transparency as recurring themes in institutional GenAI policies and guidelines (Dabis &amp; Csáki, 2024; </w:t>
      </w:r>
      <w:r w:rsidR="007B073A" w:rsidRPr="007B073A">
        <w:rPr>
          <w:rFonts w:ascii="Arial" w:hAnsi="Arial" w:cs="Arial"/>
          <w:sz w:val="20"/>
          <w:szCs w:val="20"/>
        </w:rPr>
        <w:t>An et al., 2025</w:t>
      </w:r>
      <w:r w:rsidRPr="007B073A">
        <w:rPr>
          <w:rFonts w:ascii="Arial" w:hAnsi="Arial" w:cs="Arial"/>
          <w:color w:val="000000"/>
          <w:sz w:val="20"/>
          <w:szCs w:val="20"/>
        </w:rPr>
        <w:t xml:space="preserve">). D1 thus </w:t>
      </w:r>
      <w:r>
        <w:rPr>
          <w:rFonts w:ascii="Arial" w:hAnsi="Arial" w:cs="Arial"/>
          <w:color w:val="000000"/>
          <w:sz w:val="20"/>
          <w:szCs w:val="20"/>
        </w:rPr>
        <w:t>positions academic integrity as a governance expectation that determines how GenAI may legitimately contribute to academic work.</w:t>
      </w:r>
    </w:p>
    <w:p w14:paraId="58C293D0" w14:textId="77777777" w:rsidR="004C1700" w:rsidRDefault="004C1700" w:rsidP="004C1700"/>
    <w:p w14:paraId="3BAD898D" w14:textId="77777777" w:rsidR="004C1700" w:rsidRPr="004C1700" w:rsidRDefault="004C1700" w:rsidP="004C1700">
      <w:pPr>
        <w:pStyle w:val="Heading3"/>
        <w:spacing w:before="0"/>
        <w:rPr>
          <w:rFonts w:ascii="Arial" w:hAnsi="Arial" w:cs="Arial"/>
          <w:b/>
          <w:bCs/>
          <w:color w:val="000000"/>
          <w:sz w:val="20"/>
          <w:szCs w:val="20"/>
          <w:u w:val="single"/>
        </w:rPr>
      </w:pPr>
      <w:r w:rsidRPr="004C1700">
        <w:rPr>
          <w:rFonts w:ascii="Arial" w:hAnsi="Arial" w:cs="Arial"/>
          <w:b/>
          <w:bCs/>
          <w:color w:val="000000"/>
          <w:sz w:val="20"/>
          <w:szCs w:val="20"/>
          <w:u w:val="single"/>
        </w:rPr>
        <w:t>3.1.3 Inclusivity and Equitable Access</w:t>
      </w:r>
    </w:p>
    <w:p w14:paraId="5C2265C6" w14:textId="77777777" w:rsidR="004C1700" w:rsidRPr="004C1700" w:rsidRDefault="004C1700" w:rsidP="004C1700"/>
    <w:p w14:paraId="0B82AAC9" w14:textId="77777777" w:rsidR="004C1700" w:rsidRDefault="004C1700" w:rsidP="004C1700">
      <w:pPr>
        <w:pStyle w:val="NormalWeb"/>
        <w:spacing w:before="0" w:beforeAutospacing="0" w:after="0" w:afterAutospacing="0"/>
      </w:pPr>
      <w:r>
        <w:rPr>
          <w:rFonts w:ascii="Arial" w:hAnsi="Arial" w:cs="Arial"/>
          <w:color w:val="000000"/>
          <w:sz w:val="20"/>
          <w:szCs w:val="20"/>
        </w:rPr>
        <w:t>D1 also designates inclusivity and equitable access as key institutional considerations. The policy acknowledges that all members of the university community should have opportunities to benefit from GenAI and identifies affordability, digital literacy, diverse needs, bias, and nondiscrimination as pertinent factors (Xavier University, 2024a).</w:t>
      </w:r>
    </w:p>
    <w:p w14:paraId="2EDE9C37" w14:textId="77777777" w:rsidR="004C1700" w:rsidRDefault="004C1700" w:rsidP="004C1700">
      <w:pPr>
        <w:pStyle w:val="NormalWeb"/>
        <w:spacing w:before="0" w:beforeAutospacing="0" w:after="0" w:afterAutospacing="0"/>
      </w:pPr>
      <w:r>
        <w:rPr>
          <w:rFonts w:ascii="Arial" w:hAnsi="Arial" w:cs="Arial"/>
          <w:color w:val="000000"/>
          <w:sz w:val="20"/>
          <w:szCs w:val="20"/>
        </w:rPr>
        <w:t>This perspective broadens AI governance beyond individual user behavior by acknowledging that disparities in resources, digital capabilities, and circumstances can influence meaningful participation in an increasingly AI-mediated academic environment. Equitable access is similarly identified as a core area in recent international research on higher education GenAI governance (Crompton et al., 2026). From a management standpoint, this commitment suggests that responsible AI governance necessitates attention to the organizational conditions that enable community members to use GenAI responsibly and effectively.</w:t>
      </w:r>
    </w:p>
    <w:p w14:paraId="2D1BB07D" w14:textId="77777777" w:rsidR="004C1700" w:rsidRDefault="004C1700" w:rsidP="004C1700"/>
    <w:p w14:paraId="1A4E8254" w14:textId="77777777" w:rsidR="004C1700" w:rsidRPr="004C1700" w:rsidRDefault="004C1700" w:rsidP="004C1700">
      <w:pPr>
        <w:pStyle w:val="Heading3"/>
        <w:spacing w:before="0"/>
        <w:rPr>
          <w:b/>
          <w:bCs/>
        </w:rPr>
      </w:pPr>
      <w:r w:rsidRPr="004C1700">
        <w:rPr>
          <w:rFonts w:ascii="Arial" w:hAnsi="Arial" w:cs="Arial"/>
          <w:b/>
          <w:bCs/>
          <w:color w:val="000000"/>
          <w:sz w:val="20"/>
          <w:szCs w:val="20"/>
          <w:u w:val="single"/>
        </w:rPr>
        <w:t>3.1.4 Privacy and Data Protection</w:t>
      </w:r>
    </w:p>
    <w:p w14:paraId="50EA9EF7" w14:textId="77777777" w:rsidR="004C1700" w:rsidRDefault="004C1700" w:rsidP="004C1700"/>
    <w:p w14:paraId="53E14A63" w14:textId="77777777" w:rsidR="004C1700" w:rsidRDefault="004C1700" w:rsidP="004C1700">
      <w:pPr>
        <w:pStyle w:val="NormalWeb"/>
        <w:spacing w:before="0" w:beforeAutospacing="0" w:after="0" w:afterAutospacing="0"/>
      </w:pPr>
      <w:r>
        <w:rPr>
          <w:rFonts w:ascii="Arial" w:hAnsi="Arial" w:cs="Arial"/>
          <w:color w:val="000000"/>
          <w:sz w:val="20"/>
          <w:szCs w:val="20"/>
        </w:rPr>
        <w:t>D1 identifies privacy and data protection as specific responsibilities linked to the use of GenAI. The policy cautions users against entering personal, sensitive, proprietary, or otherwise protected information into GenAI systems and mandates appropriate safeguards and consent when such information is involved (Xavier University, 2024a).</w:t>
      </w:r>
    </w:p>
    <w:p w14:paraId="04EF9DF2" w14:textId="3837A0B7" w:rsidR="004C1700" w:rsidRDefault="004C1700" w:rsidP="004C1700">
      <w:pPr>
        <w:pStyle w:val="NormalWeb"/>
        <w:spacing w:before="0" w:beforeAutospacing="0" w:after="0" w:afterAutospacing="0"/>
      </w:pPr>
      <w:r>
        <w:rPr>
          <w:rFonts w:ascii="Arial" w:hAnsi="Arial" w:cs="Arial"/>
          <w:color w:val="000000"/>
          <w:sz w:val="20"/>
          <w:szCs w:val="20"/>
        </w:rPr>
        <w:t>This commitment is significant because GenAI introduces new data-management considerations into routine academic and administrative activities. Recent comparative research also identifies privacy and security as recurring concerns in higher education GenAI policies, including institutional guidance on permissible types of information for AI systems (</w:t>
      </w:r>
      <w:r w:rsidR="007B073A" w:rsidRPr="007B073A">
        <w:rPr>
          <w:rFonts w:ascii="Arial" w:hAnsi="Arial" w:cs="Arial"/>
          <w:sz w:val="20"/>
          <w:szCs w:val="20"/>
        </w:rPr>
        <w:t>An et al., 2025</w:t>
      </w:r>
      <w:r>
        <w:rPr>
          <w:rFonts w:ascii="Arial" w:hAnsi="Arial" w:cs="Arial"/>
          <w:color w:val="000000"/>
          <w:sz w:val="20"/>
          <w:szCs w:val="20"/>
        </w:rPr>
        <w:t>). D1 thus translates the institution’s broader privacy responsibility into specific expectations for interactions with GenAI systems.</w:t>
      </w:r>
    </w:p>
    <w:p w14:paraId="778B088E" w14:textId="77777777" w:rsidR="004C1700" w:rsidRDefault="004C1700" w:rsidP="004C1700"/>
    <w:p w14:paraId="2BD41FE8" w14:textId="77777777" w:rsidR="004C1700" w:rsidRPr="004C1700" w:rsidRDefault="004C1700" w:rsidP="004C1700">
      <w:pPr>
        <w:pStyle w:val="Heading3"/>
        <w:spacing w:before="0"/>
        <w:rPr>
          <w:b/>
          <w:bCs/>
        </w:rPr>
      </w:pPr>
      <w:r w:rsidRPr="004C1700">
        <w:rPr>
          <w:rFonts w:ascii="Arial" w:hAnsi="Arial" w:cs="Arial"/>
          <w:b/>
          <w:bCs/>
          <w:color w:val="000000"/>
          <w:sz w:val="20"/>
          <w:szCs w:val="20"/>
          <w:u w:val="single"/>
        </w:rPr>
        <w:t>3.1.5 Accountability and Human Oversight</w:t>
      </w:r>
    </w:p>
    <w:p w14:paraId="03D8C58D" w14:textId="77777777" w:rsidR="004C1700" w:rsidRDefault="004C1700" w:rsidP="004C1700"/>
    <w:p w14:paraId="2E1F6387" w14:textId="77777777" w:rsidR="004C1700" w:rsidRDefault="004C1700" w:rsidP="004C1700">
      <w:pPr>
        <w:pStyle w:val="NormalWeb"/>
        <w:spacing w:before="0" w:beforeAutospacing="0" w:after="0" w:afterAutospacing="0"/>
      </w:pPr>
      <w:r>
        <w:rPr>
          <w:rFonts w:ascii="Arial" w:hAnsi="Arial" w:cs="Arial"/>
          <w:color w:val="000000"/>
          <w:sz w:val="20"/>
          <w:szCs w:val="20"/>
        </w:rPr>
        <w:t>D1 further designates accountability and human oversight as core governance commitments. Human control, judgment, and critical thinking must remain central to GenAI use, with responsibility for outcomes retained by human users rather than delegated to the technology (Xavier University, 2024a).</w:t>
      </w:r>
    </w:p>
    <w:p w14:paraId="0539F974" w14:textId="77777777" w:rsidR="004C1700" w:rsidRDefault="004C1700" w:rsidP="004C1700">
      <w:pPr>
        <w:pStyle w:val="NormalWeb"/>
        <w:spacing w:before="0" w:beforeAutospacing="0" w:after="0" w:afterAutospacing="0"/>
        <w:rPr>
          <w:rFonts w:ascii="Arial" w:hAnsi="Arial" w:cs="Arial"/>
          <w:color w:val="000000"/>
          <w:sz w:val="20"/>
          <w:szCs w:val="20"/>
        </w:rPr>
      </w:pPr>
      <w:r>
        <w:rPr>
          <w:rFonts w:ascii="Arial" w:hAnsi="Arial" w:cs="Arial"/>
          <w:color w:val="000000"/>
          <w:sz w:val="20"/>
          <w:szCs w:val="20"/>
        </w:rPr>
        <w:t>This provision reflects the prevailing direction of contemporary higher education AI governance. Dabis and Csáki (2024) found that university policies frequently preserve human responsibility for AI-related outcomes, while Crompton et al. (2026) identified human oversight and accountability as interconnected aspects of higher education GenAI governance. In D1, accountability extends beyond individual responsibility, as effective human oversight also relies on institutional conditions that enable users to exercise appropriate judgment.</w:t>
      </w:r>
    </w:p>
    <w:p w14:paraId="23189E2E" w14:textId="77777777" w:rsidR="004C1700" w:rsidRDefault="004C1700" w:rsidP="004C1700">
      <w:pPr>
        <w:pStyle w:val="NormalWeb"/>
        <w:spacing w:before="0" w:beforeAutospacing="0" w:after="0" w:afterAutospacing="0"/>
      </w:pPr>
    </w:p>
    <w:p w14:paraId="21E0E509" w14:textId="77777777" w:rsidR="004C1700" w:rsidRPr="004C1700" w:rsidRDefault="004C1700" w:rsidP="004C1700">
      <w:pPr>
        <w:pStyle w:val="Heading3"/>
        <w:spacing w:before="0"/>
        <w:rPr>
          <w:b/>
          <w:bCs/>
          <w:sz w:val="27"/>
          <w:szCs w:val="27"/>
        </w:rPr>
      </w:pPr>
      <w:r w:rsidRPr="004C1700">
        <w:rPr>
          <w:rFonts w:ascii="Arial" w:hAnsi="Arial" w:cs="Arial"/>
          <w:b/>
          <w:bCs/>
          <w:color w:val="000000"/>
          <w:sz w:val="20"/>
          <w:szCs w:val="20"/>
          <w:u w:val="single"/>
        </w:rPr>
        <w:t>3.1.6 Institutional Capability and Continuing Governance</w:t>
      </w:r>
    </w:p>
    <w:p w14:paraId="4BBF5546" w14:textId="77777777" w:rsidR="004C1700" w:rsidRDefault="004C1700" w:rsidP="004C1700"/>
    <w:p w14:paraId="06373174" w14:textId="77777777" w:rsidR="004C1700" w:rsidRPr="004C1700" w:rsidRDefault="004C1700" w:rsidP="004C1700">
      <w:pPr>
        <w:pStyle w:val="Heading3"/>
        <w:spacing w:before="0"/>
      </w:pPr>
      <w:r w:rsidRPr="004C1700">
        <w:rPr>
          <w:rFonts w:ascii="Arial" w:hAnsi="Arial" w:cs="Arial"/>
          <w:color w:val="000000"/>
          <w:sz w:val="20"/>
          <w:szCs w:val="20"/>
        </w:rPr>
        <w:t>Finally, D1 extends AI governance beyond immediate rules for GenAI use by setting expectations for ongoing institutional capability. The policy calls for the development of a GenAI-literate university community through continuous skills development and targeted training. It also establishes a permanent committee responsible for the ethical and responsible use of GenAI, assigning ongoing functions such as policy review, auditing, and ethics training (Xavier University, 2024a).</w:t>
      </w:r>
    </w:p>
    <w:p w14:paraId="0E70EC83" w14:textId="77777777" w:rsidR="004C1700" w:rsidRPr="004C1700" w:rsidRDefault="004C1700" w:rsidP="004C1700">
      <w:pPr>
        <w:pStyle w:val="NormalWeb"/>
        <w:spacing w:before="0" w:beforeAutospacing="0" w:after="0" w:afterAutospacing="0"/>
      </w:pPr>
      <w:r w:rsidRPr="004C1700">
        <w:rPr>
          <w:rFonts w:ascii="Arial" w:hAnsi="Arial" w:cs="Arial"/>
          <w:color w:val="000000"/>
          <w:sz w:val="20"/>
          <w:szCs w:val="20"/>
        </w:rPr>
        <w:t xml:space="preserve">These provisions differentiate the policy from a static statement of ethical principles by establishing AI governance as an ongoing organizational responsibility that encompasses </w:t>
      </w:r>
      <w:r w:rsidRPr="004C1700">
        <w:rPr>
          <w:rFonts w:ascii="Arial" w:hAnsi="Arial" w:cs="Arial"/>
          <w:color w:val="000000"/>
          <w:sz w:val="20"/>
          <w:szCs w:val="20"/>
        </w:rPr>
        <w:lastRenderedPageBreak/>
        <w:t>capability development, oversight, review, and adaptation. Recent research similarly recommends dedicated AI governance structures, regular policy review, professional development, stakeholder communication, evaluation, and monitoring of external developments to sustain higher education GenAI governance over time (Crompton et al., 2026).</w:t>
      </w:r>
    </w:p>
    <w:p w14:paraId="1D2E0800" w14:textId="77777777" w:rsidR="004C1700" w:rsidRDefault="004C1700" w:rsidP="004C1700"/>
    <w:p w14:paraId="09F5BA80" w14:textId="77777777" w:rsidR="004C1700" w:rsidRPr="004C1700" w:rsidRDefault="004C1700" w:rsidP="004C1700">
      <w:pPr>
        <w:pStyle w:val="Heading3"/>
        <w:spacing w:before="0"/>
        <w:rPr>
          <w:b/>
          <w:bCs/>
        </w:rPr>
      </w:pPr>
      <w:r w:rsidRPr="004C1700">
        <w:rPr>
          <w:rFonts w:ascii="Arial" w:hAnsi="Arial" w:cs="Arial"/>
          <w:b/>
          <w:bCs/>
          <w:color w:val="000000"/>
          <w:sz w:val="20"/>
          <w:szCs w:val="20"/>
          <w:u w:val="single"/>
        </w:rPr>
        <w:t>3.1.7 Synthesis of RQ1</w:t>
      </w:r>
    </w:p>
    <w:p w14:paraId="33007374" w14:textId="77777777" w:rsidR="004C1700" w:rsidRDefault="004C1700" w:rsidP="004C1700"/>
    <w:p w14:paraId="555B6D57" w14:textId="53D2EE21" w:rsidR="00E57BDA" w:rsidRPr="00081FA3" w:rsidRDefault="004C1700" w:rsidP="00081FA3">
      <w:pPr>
        <w:pStyle w:val="NormalWeb"/>
        <w:spacing w:before="0" w:beforeAutospacing="0" w:after="0" w:afterAutospacing="0"/>
      </w:pPr>
      <w:r>
        <w:rPr>
          <w:rFonts w:ascii="Arial" w:hAnsi="Arial" w:cs="Arial"/>
          <w:color w:val="000000"/>
          <w:sz w:val="20"/>
          <w:szCs w:val="20"/>
        </w:rPr>
        <w:t>Taken together, D1 defines AI governance as a multidimensional institutional responsibility that includes alignment with educational purpose, preservation of human judgment, academic integrity and transparency, equitable access, privacy and data protection, accountability, human oversight, and ongoing institutional capability (Xavier University, 2024a). These commitments carry significant organizational implications. Training and AI literacy necessitate institutional capacity; human oversight and accountability require clearly defined responsibilities; privacy commitments demand appropriate information-management practices; and ongoing policy review and auditing require an organizational governance mechanism. While D1 establishes the governance commitments, it does not, by itself, provide the conditions necessary to sustain them. The extent to which such conditions are documented elsewhere in the institution is examined in RQ2 through the analysis of D1, D2, and D3 using the TOE framework.</w:t>
      </w:r>
    </w:p>
    <w:p w14:paraId="192EF2C4" w14:textId="77777777" w:rsidR="00081FA3" w:rsidRPr="00081FA3" w:rsidRDefault="00081FA3" w:rsidP="00081FA3">
      <w:pPr>
        <w:rPr>
          <w:b/>
          <w:bCs/>
          <w:sz w:val="22"/>
          <w:szCs w:val="22"/>
        </w:rPr>
      </w:pPr>
    </w:p>
    <w:p w14:paraId="08B33CC9" w14:textId="77777777" w:rsidR="00081FA3" w:rsidRPr="00081FA3" w:rsidRDefault="00081FA3" w:rsidP="00081FA3">
      <w:pPr>
        <w:pStyle w:val="Heading3"/>
        <w:spacing w:before="0"/>
        <w:rPr>
          <w:b/>
          <w:bCs/>
          <w:sz w:val="22"/>
          <w:szCs w:val="22"/>
        </w:rPr>
      </w:pPr>
      <w:r w:rsidRPr="00081FA3">
        <w:rPr>
          <w:rFonts w:ascii="Arial" w:hAnsi="Arial" w:cs="Arial"/>
          <w:b/>
          <w:bCs/>
          <w:color w:val="000000"/>
          <w:sz w:val="22"/>
          <w:szCs w:val="22"/>
        </w:rPr>
        <w:t>3.2 Technological, Organizational, and Environmental Conditions Relevant to AI Governance</w:t>
      </w:r>
    </w:p>
    <w:p w14:paraId="5F2FA324" w14:textId="77777777" w:rsidR="00081FA3" w:rsidRDefault="00081FA3" w:rsidP="00081FA3">
      <w:pPr>
        <w:rPr>
          <w:b/>
          <w:bCs/>
          <w:sz w:val="22"/>
          <w:szCs w:val="22"/>
        </w:rPr>
      </w:pPr>
    </w:p>
    <w:p w14:paraId="5C4E4EE8" w14:textId="77777777" w:rsidR="00081FA3" w:rsidRPr="00081FA3" w:rsidRDefault="00081FA3" w:rsidP="00081FA3">
      <w:pPr>
        <w:pStyle w:val="Heading3"/>
        <w:spacing w:before="0"/>
        <w:rPr>
          <w:b/>
          <w:bCs/>
          <w:sz w:val="27"/>
          <w:szCs w:val="27"/>
        </w:rPr>
      </w:pPr>
      <w:r w:rsidRPr="00081FA3">
        <w:rPr>
          <w:rFonts w:ascii="Arial" w:hAnsi="Arial" w:cs="Arial"/>
          <w:b/>
          <w:bCs/>
          <w:color w:val="000000"/>
          <w:sz w:val="20"/>
          <w:szCs w:val="20"/>
          <w:u w:val="single"/>
        </w:rPr>
        <w:t>3.2.1 Technological Conditions</w:t>
      </w:r>
    </w:p>
    <w:p w14:paraId="433601C2" w14:textId="77777777" w:rsidR="00081FA3" w:rsidRDefault="00081FA3" w:rsidP="00081FA3"/>
    <w:p w14:paraId="09EE4366" w14:textId="77777777" w:rsidR="00081FA3" w:rsidRPr="00081FA3" w:rsidRDefault="00081FA3" w:rsidP="00081FA3">
      <w:pPr>
        <w:pStyle w:val="NormalWeb"/>
        <w:spacing w:before="0" w:beforeAutospacing="0" w:after="0" w:afterAutospacing="0"/>
      </w:pPr>
      <w:r w:rsidRPr="00081FA3">
        <w:rPr>
          <w:rFonts w:ascii="Arial" w:hAnsi="Arial" w:cs="Arial"/>
          <w:color w:val="000000"/>
          <w:sz w:val="20"/>
          <w:szCs w:val="20"/>
        </w:rPr>
        <w:t>The technological context demonstrates that GenAI was regarded as a technology with potential institutional value, yet necessitating organizational support and controls. D3 identifies GenAI as relevant to teaching and learning, documenting faculty training on GenAI tools and prompting, as well as the establishment of an online GenAI resource and interaction hub (Office of the Vice President for Higher Education, 2023). D1 reinforces these initiatives by mandating human judgment, verification, privacy protection, and appropriate information handling in GenAI use (Xavier University, 2024a).</w:t>
      </w:r>
    </w:p>
    <w:p w14:paraId="149C6451" w14:textId="77777777" w:rsidR="00081FA3" w:rsidRPr="00081FA3" w:rsidRDefault="00081FA3" w:rsidP="00081FA3">
      <w:pPr>
        <w:pStyle w:val="NormalWeb"/>
        <w:spacing w:before="0" w:beforeAutospacing="0" w:after="0" w:afterAutospacing="0"/>
      </w:pPr>
      <w:r w:rsidRPr="00081FA3">
        <w:rPr>
          <w:rFonts w:ascii="Arial" w:hAnsi="Arial" w:cs="Arial"/>
          <w:color w:val="000000"/>
          <w:sz w:val="20"/>
          <w:szCs w:val="20"/>
        </w:rPr>
        <w:t>The codebook's relative advantage construct is evident in the recognition of GenAI's potential contributions to university activities. D3 aimed to enhance faculty understanding of productive applications, while D1 acknowledged potential benefits but emphasized that GenAI should supplement human expertise and judgment (Office of the Vice President for Higher Education, 2023; Xavier University, 2024a). Wang et al. (2024) similarly observed that universities recognized educational applications of GenAI while addressing ethical, accuracy, privacy, and technological concerns. From a management perspective, these findings indicate that perceived value served as a foundation for institutional investment in capability development and governance, rather than for unrestricted adoption.</w:t>
      </w:r>
    </w:p>
    <w:p w14:paraId="4EC13D1C" w14:textId="77777777" w:rsidR="00081FA3" w:rsidRPr="00081FA3" w:rsidRDefault="00081FA3" w:rsidP="00081FA3">
      <w:pPr>
        <w:pStyle w:val="NormalWeb"/>
        <w:spacing w:before="0" w:beforeAutospacing="0" w:after="0" w:afterAutospacing="0"/>
      </w:pPr>
      <w:r w:rsidRPr="00081FA3">
        <w:rPr>
          <w:rFonts w:ascii="Arial" w:hAnsi="Arial" w:cs="Arial"/>
          <w:color w:val="000000"/>
          <w:sz w:val="20"/>
          <w:szCs w:val="20"/>
        </w:rPr>
        <w:t>Compatibility is demonstrated by the integration of GenAI into established academic activities. D3 incorporates the technology within teaching and learning, while D1 positions its use within existing academic responsibilities, institutional values, and human decision-making (Office of the Vice President for Higher Education, 2023; Xavier University, 2024a). Jin et al. (2025), in their analysis of policies from 40 universities across six global regions, also identified compatibility alongside adoption characteristics, communication channels, and stakeholder roles and responsibilities. This evidence indicates that management evaluated GenAI based on its alignment with existing institutional processes rather than as an isolated technological investment.</w:t>
      </w:r>
    </w:p>
    <w:p w14:paraId="66523229" w14:textId="77777777" w:rsidR="00081FA3" w:rsidRPr="00081FA3" w:rsidRDefault="00081FA3" w:rsidP="00081FA3">
      <w:pPr>
        <w:pStyle w:val="NormalWeb"/>
        <w:spacing w:before="0" w:beforeAutospacing="0" w:after="0" w:afterAutospacing="0"/>
      </w:pPr>
      <w:r w:rsidRPr="00081FA3">
        <w:rPr>
          <w:rFonts w:ascii="Arial" w:hAnsi="Arial" w:cs="Arial"/>
          <w:color w:val="000000"/>
          <w:sz w:val="20"/>
          <w:szCs w:val="20"/>
        </w:rPr>
        <w:lastRenderedPageBreak/>
        <w:t>Regarding technological infrastructure, D3 documents the establishment of an online GenAI resource and interaction hub, as well as an e-learning platform for faculty development (Office of the Vice President for Higher Education, 2023). These resources created institutional channels for users to acquire knowledge and engage with GenAI. Wang et al. (2024) similarly reported that universities supplemented formal policies with workshops, shared materials, syllabus resources, and consultations, while McDonald et al. (2025) found that many research-intensive U.S. universities provided sample syllabi and GenAI activities to facilitate instructional integration. At Xavier University, the documented infrastructure supported organizational capability development, although the evidence does not indicate the presence of a mature or comprehensive university-wide AI infrastructure.</w:t>
      </w:r>
    </w:p>
    <w:p w14:paraId="7A5B4AAC" w14:textId="77777777" w:rsidR="00081FA3" w:rsidRPr="00081FA3" w:rsidRDefault="00081FA3" w:rsidP="00081FA3">
      <w:pPr>
        <w:pStyle w:val="NormalWeb"/>
        <w:spacing w:before="0" w:beforeAutospacing="0" w:after="0" w:afterAutospacing="0"/>
      </w:pPr>
      <w:r w:rsidRPr="00081FA3">
        <w:rPr>
          <w:rFonts w:ascii="Arial" w:hAnsi="Arial" w:cs="Arial"/>
          <w:color w:val="000000"/>
          <w:sz w:val="20"/>
          <w:szCs w:val="20"/>
        </w:rPr>
        <w:t>Evidence for complexity is relatively limited. The requirements for training, prompting activities, discussions, and ongoing skills development suggest that effective GenAI use necessitates organizational support beyond mere technological access (Office of the Vice President for Higher Education, 2023; Xavier University, 2024a). However, D1–D3 do not explicitly identify complexity as a significant barrier. Therefore, complexity is considered a limited condition rather than a principal determinant.</w:t>
      </w:r>
    </w:p>
    <w:p w14:paraId="1B4CAB63" w14:textId="77777777" w:rsidR="00081FA3" w:rsidRPr="00081FA3" w:rsidRDefault="00081FA3" w:rsidP="00081FA3">
      <w:pPr>
        <w:pStyle w:val="NormalWeb"/>
        <w:spacing w:before="0" w:beforeAutospacing="0" w:after="0" w:afterAutospacing="0"/>
      </w:pPr>
      <w:r w:rsidRPr="00081FA3">
        <w:rPr>
          <w:rFonts w:ascii="Arial" w:hAnsi="Arial" w:cs="Arial"/>
          <w:color w:val="000000"/>
          <w:sz w:val="20"/>
          <w:szCs w:val="20"/>
        </w:rPr>
        <w:t xml:space="preserve">A similar distinction applies to data capability. D1 establishes safeguards for personal, sensitive, and proprietary information (Xavier University, 2024a), indicating recognition of information-related risks. However, the documents do not demonstrate a distinct institutional AI data capability. This observation aligns with recent analyses showing that privacy and security are common concerns in university GenAI policies, while institutional mechanisms for managing these risks vary (An et al., 2025; </w:t>
      </w:r>
      <w:proofErr w:type="spellStart"/>
      <w:r w:rsidRPr="00081FA3">
        <w:rPr>
          <w:rFonts w:ascii="Arial" w:hAnsi="Arial" w:cs="Arial"/>
          <w:color w:val="000000"/>
          <w:sz w:val="20"/>
          <w:szCs w:val="20"/>
        </w:rPr>
        <w:t>Berba</w:t>
      </w:r>
      <w:proofErr w:type="spellEnd"/>
      <w:r w:rsidRPr="00081FA3">
        <w:rPr>
          <w:rFonts w:ascii="Arial" w:hAnsi="Arial" w:cs="Arial"/>
          <w:color w:val="000000"/>
          <w:sz w:val="20"/>
          <w:szCs w:val="20"/>
        </w:rPr>
        <w:t>, 2025). For management, this finding highlights a governance requirement that is acknowledged but not fully supported by demonstrated organizational capability in the available documentation.</w:t>
      </w:r>
    </w:p>
    <w:p w14:paraId="6757B507" w14:textId="77777777" w:rsidR="00081FA3" w:rsidRDefault="00081FA3" w:rsidP="00081FA3"/>
    <w:p w14:paraId="24D0F600" w14:textId="77777777" w:rsidR="00CF6492" w:rsidRPr="00CF6492" w:rsidRDefault="00CF6492" w:rsidP="00CF6492">
      <w:pPr>
        <w:pStyle w:val="Heading3"/>
        <w:spacing w:before="0"/>
        <w:rPr>
          <w:b/>
          <w:bCs/>
          <w:sz w:val="27"/>
          <w:szCs w:val="27"/>
        </w:rPr>
      </w:pPr>
      <w:r w:rsidRPr="00CF6492">
        <w:rPr>
          <w:rFonts w:ascii="Arial" w:hAnsi="Arial" w:cs="Arial"/>
          <w:b/>
          <w:bCs/>
          <w:color w:val="000000"/>
          <w:sz w:val="20"/>
          <w:szCs w:val="20"/>
          <w:u w:val="single"/>
        </w:rPr>
        <w:t>3.2.2 Organizational Conditions</w:t>
      </w:r>
    </w:p>
    <w:p w14:paraId="7F7A2F5E" w14:textId="77777777" w:rsidR="00CF6492" w:rsidRDefault="00CF6492" w:rsidP="00CF6492"/>
    <w:p w14:paraId="0D783365" w14:textId="77777777" w:rsidR="00CF6492" w:rsidRPr="00CF6492" w:rsidRDefault="00CF6492" w:rsidP="00CF6492">
      <w:pPr>
        <w:pStyle w:val="NormalWeb"/>
        <w:spacing w:before="0" w:beforeAutospacing="0" w:after="0" w:afterAutospacing="0"/>
      </w:pPr>
      <w:r w:rsidRPr="00CF6492">
        <w:rPr>
          <w:rFonts w:ascii="Arial" w:hAnsi="Arial" w:cs="Arial"/>
          <w:color w:val="000000"/>
          <w:sz w:val="20"/>
          <w:szCs w:val="20"/>
        </w:rPr>
        <w:t>The organizational context provides the most substantial and comprehensive evidence in the corpus. The five organizational constructs in the codebook—top-management support, organizational structure, human and technical competence, organizational resources, and readiness or change capacity—are evident across D1–D3.</w:t>
      </w:r>
    </w:p>
    <w:p w14:paraId="5758621C" w14:textId="77777777" w:rsidR="00CF6492" w:rsidRPr="00CF6492" w:rsidRDefault="00CF6492" w:rsidP="00CF6492">
      <w:pPr>
        <w:pStyle w:val="NormalWeb"/>
        <w:spacing w:before="0" w:beforeAutospacing="0" w:after="0" w:afterAutospacing="0"/>
      </w:pPr>
      <w:r w:rsidRPr="00CF6492">
        <w:rPr>
          <w:rFonts w:ascii="Arial" w:hAnsi="Arial" w:cs="Arial"/>
          <w:color w:val="000000"/>
          <w:sz w:val="20"/>
          <w:szCs w:val="20"/>
        </w:rPr>
        <w:t>Top management support and organizational structure are particularly evident in the movement from D3 to D2, and subsequently to D1. D3 documents leadership through the Office of the Vice President for Higher Education and the Center for Transformative Teaching and Learning, which coordinated the Higher Education AI initiative and related faculty and student activities (Office of the Vice President for Higher Education, 2023). D2 subsequently establishes the Committee on Responsible AI Use, bringing together representatives from multiple academic and administrative units to formulate policies and guidelines and to provide guidance on AI opportunities, risks, and responsible use (Xavier University, 2024b). D1 then formalizes AI governance and assigns continuing responsibilities for governance, review, auditing, and training (Xavier University, 2024a).</w:t>
      </w:r>
    </w:p>
    <w:p w14:paraId="74B8C3C1" w14:textId="77777777" w:rsidR="00CF6492" w:rsidRPr="00CF6492" w:rsidRDefault="00CF6492" w:rsidP="00CF6492">
      <w:pPr>
        <w:pStyle w:val="NormalWeb"/>
        <w:spacing w:before="0" w:beforeAutospacing="0" w:after="0" w:afterAutospacing="0"/>
      </w:pPr>
      <w:r w:rsidRPr="00CF6492">
        <w:rPr>
          <w:rFonts w:ascii="Arial" w:hAnsi="Arial" w:cs="Arial"/>
          <w:color w:val="000000"/>
          <w:sz w:val="20"/>
          <w:szCs w:val="20"/>
        </w:rPr>
        <w:t xml:space="preserve">This arrangement underscores the management importance of allocating authority and responsibility in organizational responses to emerging technologies. Jin et al. (2025) found that institutional GenAI policies increasingly specify stakeholder roles and communication channels, while </w:t>
      </w:r>
      <w:proofErr w:type="gramStart"/>
      <w:r w:rsidRPr="00CF6492">
        <w:rPr>
          <w:rFonts w:ascii="Arial" w:hAnsi="Arial" w:cs="Arial"/>
          <w:color w:val="000000"/>
          <w:sz w:val="20"/>
          <w:szCs w:val="20"/>
        </w:rPr>
        <w:t>An</w:t>
      </w:r>
      <w:proofErr w:type="gramEnd"/>
      <w:r w:rsidRPr="00CF6492">
        <w:rPr>
          <w:rFonts w:ascii="Arial" w:hAnsi="Arial" w:cs="Arial"/>
          <w:color w:val="000000"/>
          <w:sz w:val="20"/>
          <w:szCs w:val="20"/>
        </w:rPr>
        <w:t xml:space="preserve"> et al. (2025) identified differentiated stakeholder guidance and clear expectations as recurring features of university policies. </w:t>
      </w:r>
      <w:proofErr w:type="spellStart"/>
      <w:r w:rsidRPr="00CF6492">
        <w:rPr>
          <w:rFonts w:ascii="Arial" w:hAnsi="Arial" w:cs="Arial"/>
          <w:color w:val="000000"/>
          <w:sz w:val="20"/>
          <w:szCs w:val="20"/>
        </w:rPr>
        <w:t>Berba</w:t>
      </w:r>
      <w:proofErr w:type="spellEnd"/>
      <w:r w:rsidRPr="00CF6492">
        <w:rPr>
          <w:rFonts w:ascii="Arial" w:hAnsi="Arial" w:cs="Arial"/>
          <w:color w:val="000000"/>
          <w:sz w:val="20"/>
          <w:szCs w:val="20"/>
        </w:rPr>
        <w:t xml:space="preserve"> (2025) also links institutional policy, workforce readiness, and ethical guidelines in higher education responses to GenAI. At Xavier University, D2 is significant not only for creating a committee, but also for establishing an organizational locus for AI responsibility.</w:t>
      </w:r>
    </w:p>
    <w:p w14:paraId="6F3ABF6B" w14:textId="77777777" w:rsidR="00CF6492" w:rsidRPr="00CF6492" w:rsidRDefault="00CF6492" w:rsidP="00CF6492">
      <w:pPr>
        <w:pStyle w:val="NormalWeb"/>
        <w:spacing w:before="0" w:beforeAutospacing="0" w:after="0" w:afterAutospacing="0"/>
      </w:pPr>
      <w:r w:rsidRPr="00CF6492">
        <w:rPr>
          <w:rFonts w:ascii="Arial" w:hAnsi="Arial" w:cs="Arial"/>
          <w:color w:val="000000"/>
          <w:sz w:val="20"/>
          <w:szCs w:val="20"/>
        </w:rPr>
        <w:t xml:space="preserve">The codebook's human and technical competence construct is strongly evidenced in D3. Faculty training, prompting activities, the online resource hub, faculty and formator discussions, and student engagement all demonstrate investment in developing institutional capability (Office of the Vice President for Higher Education, 2023). D1 further extends this </w:t>
      </w:r>
      <w:r w:rsidRPr="00CF6492">
        <w:rPr>
          <w:rFonts w:ascii="Arial" w:hAnsi="Arial" w:cs="Arial"/>
          <w:color w:val="000000"/>
          <w:sz w:val="20"/>
          <w:szCs w:val="20"/>
        </w:rPr>
        <w:lastRenderedPageBreak/>
        <w:t xml:space="preserve">commitment through training and the development of a GenAI-literate university community (Xavier University, 2024a). Wang et al. (2024) similarly identified workshops, technical introductions, pedagogical resources, and consultations in university responses, while McDonald et al. (2025) found extensive instructional resources supporting faculty integration. </w:t>
      </w:r>
      <w:proofErr w:type="spellStart"/>
      <w:r w:rsidRPr="00CF6492">
        <w:rPr>
          <w:rFonts w:ascii="Arial" w:hAnsi="Arial" w:cs="Arial"/>
          <w:color w:val="000000"/>
          <w:sz w:val="20"/>
          <w:szCs w:val="20"/>
        </w:rPr>
        <w:t>Thaldar</w:t>
      </w:r>
      <w:proofErr w:type="spellEnd"/>
      <w:r w:rsidRPr="00CF6492">
        <w:rPr>
          <w:rFonts w:ascii="Arial" w:hAnsi="Arial" w:cs="Arial"/>
          <w:color w:val="000000"/>
          <w:sz w:val="20"/>
          <w:szCs w:val="20"/>
        </w:rPr>
        <w:t xml:space="preserve"> et al. (2025) also identified capacity building and AI literacy as components of institutional GenAI governance. Therefore, competence development serves as a management resource for translating governance expectations into practice.</w:t>
      </w:r>
    </w:p>
    <w:p w14:paraId="3BCE52E6" w14:textId="77777777" w:rsidR="00CF6492" w:rsidRPr="00CF6492" w:rsidRDefault="00CF6492" w:rsidP="00CF6492">
      <w:pPr>
        <w:pStyle w:val="NormalWeb"/>
        <w:spacing w:before="0" w:beforeAutospacing="0" w:after="0" w:afterAutospacing="0"/>
      </w:pPr>
      <w:r w:rsidRPr="00CF6492">
        <w:rPr>
          <w:rFonts w:ascii="Arial" w:hAnsi="Arial" w:cs="Arial"/>
          <w:color w:val="000000"/>
          <w:sz w:val="20"/>
          <w:szCs w:val="20"/>
        </w:rPr>
        <w:t xml:space="preserve">The remaining organizational constructs—organizational resources and readiness or change capacity—are also evident. D3 mobilizes personnel, training activities, digital platforms, faculty participation, discussions, and student engagement; D2 establishes a cross-functional governance mechanism; and D1 assigns ongoing responsibilities for policy review, auditing, and training (Office of the Vice President for Higher Education, 2023; Xavier University, 2024a, 2024b). These mechanisms demonstrate that readiness was developed through institutional action rather than presumed as a pre-existing condition. </w:t>
      </w:r>
      <w:proofErr w:type="spellStart"/>
      <w:r w:rsidRPr="00CF6492">
        <w:rPr>
          <w:rFonts w:ascii="Arial" w:hAnsi="Arial" w:cs="Arial"/>
          <w:color w:val="000000"/>
          <w:sz w:val="20"/>
          <w:szCs w:val="20"/>
        </w:rPr>
        <w:t>Thaldar</w:t>
      </w:r>
      <w:proofErr w:type="spellEnd"/>
      <w:r w:rsidRPr="00CF6492">
        <w:rPr>
          <w:rFonts w:ascii="Arial" w:hAnsi="Arial" w:cs="Arial"/>
          <w:color w:val="000000"/>
          <w:sz w:val="20"/>
          <w:szCs w:val="20"/>
        </w:rPr>
        <w:t xml:space="preserve"> et al. (2025) similarly found that institutional GenAI governance requires policy principles to be supported by organizational processes, capacity building, monitoring, and continuous improvement. Jiang et al. (2025) also found that institutional policy effectiveness was influenced by clarity of guidance, supporting resources, and practical constraints such as insufficient training. The evidence thus positions readiness as an ongoing management process involving capability building, coordination, resource allocation, and adaptation.</w:t>
      </w:r>
    </w:p>
    <w:p w14:paraId="754F121A" w14:textId="77777777" w:rsidR="00CF6492" w:rsidRDefault="00CF6492" w:rsidP="00CF6492"/>
    <w:p w14:paraId="75765366" w14:textId="77777777" w:rsidR="00CF6492" w:rsidRPr="00CF6492" w:rsidRDefault="00CF6492" w:rsidP="00CF6492">
      <w:pPr>
        <w:pStyle w:val="Heading3"/>
        <w:spacing w:before="0"/>
        <w:rPr>
          <w:b/>
          <w:bCs/>
        </w:rPr>
      </w:pPr>
      <w:r w:rsidRPr="00CF6492">
        <w:rPr>
          <w:rFonts w:ascii="Arial" w:hAnsi="Arial" w:cs="Arial"/>
          <w:b/>
          <w:bCs/>
          <w:color w:val="000000"/>
          <w:sz w:val="20"/>
          <w:szCs w:val="20"/>
          <w:u w:val="single"/>
        </w:rPr>
        <w:t>3.2.3 Environmental Conditions</w:t>
      </w:r>
    </w:p>
    <w:p w14:paraId="576A55BB" w14:textId="77777777" w:rsidR="00CF6492" w:rsidRDefault="00CF6492" w:rsidP="00CF6492"/>
    <w:p w14:paraId="2567D382" w14:textId="77777777" w:rsidR="00CF6492" w:rsidRPr="00CF6492" w:rsidRDefault="00CF6492" w:rsidP="00CF6492">
      <w:pPr>
        <w:pStyle w:val="NormalWeb"/>
        <w:spacing w:before="0" w:beforeAutospacing="0" w:after="0" w:afterAutospacing="0"/>
      </w:pPr>
      <w:r w:rsidRPr="00CF6492">
        <w:rPr>
          <w:rFonts w:ascii="Arial" w:hAnsi="Arial" w:cs="Arial"/>
          <w:color w:val="000000"/>
          <w:sz w:val="20"/>
          <w:szCs w:val="20"/>
        </w:rPr>
        <w:t>The environmental context is less extensively documented but remains significant through regulatory and institutional requirements. D1 links GenAI use to the Data Privacy Act of 2012 and the university's existing data privacy policy, while D2 mandates that AI-related activities align with university security and privacy policies (Xavier University, 2024a, 2024b). These requirements define the boundaries within which institutional AI decisions are made.</w:t>
      </w:r>
    </w:p>
    <w:p w14:paraId="1B29DD46" w14:textId="77777777" w:rsidR="00CF6492" w:rsidRPr="00CF6492" w:rsidRDefault="00CF6492" w:rsidP="00CF6492">
      <w:pPr>
        <w:pStyle w:val="NormalWeb"/>
        <w:spacing w:before="0" w:beforeAutospacing="0" w:after="0" w:afterAutospacing="0"/>
      </w:pPr>
      <w:r w:rsidRPr="00CF6492">
        <w:rPr>
          <w:rFonts w:ascii="Arial" w:hAnsi="Arial" w:cs="Arial"/>
          <w:color w:val="000000"/>
          <w:sz w:val="20"/>
          <w:szCs w:val="20"/>
        </w:rPr>
        <w:t xml:space="preserve">An et al. (2025) identified privacy and security, along with academic integrity and ethical considerations, as recurring themes in university GenAI guidelines. </w:t>
      </w:r>
      <w:proofErr w:type="spellStart"/>
      <w:r w:rsidRPr="00CF6492">
        <w:rPr>
          <w:rFonts w:ascii="Arial" w:hAnsi="Arial" w:cs="Arial"/>
          <w:color w:val="000000"/>
          <w:sz w:val="20"/>
          <w:szCs w:val="20"/>
        </w:rPr>
        <w:t>Berba</w:t>
      </w:r>
      <w:proofErr w:type="spellEnd"/>
      <w:r w:rsidRPr="00CF6492">
        <w:rPr>
          <w:rFonts w:ascii="Arial" w:hAnsi="Arial" w:cs="Arial"/>
          <w:color w:val="000000"/>
          <w:sz w:val="20"/>
          <w:szCs w:val="20"/>
        </w:rPr>
        <w:t xml:space="preserve"> (2025) similarly highlights data privacy, risk management, governance, and ethical considerations as key elements of institutional GenAI approaches. Therefore, the environmental context primarily serves as a governance and compliance boundary rather than as a documented independent driver of AI adoption.</w:t>
      </w:r>
    </w:p>
    <w:p w14:paraId="301A7F00" w14:textId="77777777" w:rsidR="00CF6492" w:rsidRPr="00CF6492" w:rsidRDefault="00CF6492" w:rsidP="00CF6492">
      <w:pPr>
        <w:pStyle w:val="NormalWeb"/>
        <w:spacing w:before="0" w:beforeAutospacing="0" w:after="0" w:afterAutospacing="0"/>
      </w:pPr>
      <w:r w:rsidRPr="00CF6492">
        <w:rPr>
          <w:rFonts w:ascii="Arial" w:hAnsi="Arial" w:cs="Arial"/>
          <w:color w:val="000000"/>
          <w:sz w:val="20"/>
          <w:szCs w:val="20"/>
        </w:rPr>
        <w:t>The codebook's external support and partnerships construct is not substantively evidenced in D1–D3. The documents focus on internal offices, committees, faculty, formators, students, and institutional platforms, without identifying external vendors, organizations, funding arrangements, or partnerships as mechanisms influencing AI governance. This absence does not imply that no external relationships exist; rather, such relationships were not documented within the three-document corpus.</w:t>
      </w:r>
    </w:p>
    <w:p w14:paraId="0387022A" w14:textId="77777777" w:rsidR="00CF6492" w:rsidRPr="00CF6492" w:rsidRDefault="00CF6492" w:rsidP="00CF6492">
      <w:pPr>
        <w:pStyle w:val="NormalWeb"/>
        <w:spacing w:before="0" w:beforeAutospacing="0" w:after="0" w:afterAutospacing="0"/>
      </w:pPr>
      <w:r w:rsidRPr="00CF6492">
        <w:rPr>
          <w:rFonts w:ascii="Arial" w:hAnsi="Arial" w:cs="Arial"/>
          <w:color w:val="000000"/>
          <w:sz w:val="20"/>
          <w:szCs w:val="20"/>
        </w:rPr>
        <w:t>Similarly, competitive pressure is only minimally documented. D1 mentions the need for university community members to remain relevant and competitive as GenAI evolves, but does not explicitly identify competition with other universities as a governance driver (Xavier University, 2024a). Although recent research situates university GenAI responses within changing educational and professional environments (Jin et al., 2025; Wang et al., 2024), the current evidence is insufficient to establish competitive pressure as a substantive environmental determinant.</w:t>
      </w:r>
    </w:p>
    <w:p w14:paraId="6D6AAC98" w14:textId="77777777" w:rsidR="00CF6492" w:rsidRDefault="00CF6492" w:rsidP="00CF6492"/>
    <w:p w14:paraId="306C2AEC" w14:textId="77777777" w:rsidR="00CF6492" w:rsidRPr="00CF6492" w:rsidRDefault="00CF6492" w:rsidP="00CF6492">
      <w:pPr>
        <w:pStyle w:val="Heading3"/>
        <w:spacing w:before="0"/>
        <w:rPr>
          <w:b/>
          <w:bCs/>
        </w:rPr>
      </w:pPr>
      <w:r w:rsidRPr="00CF6492">
        <w:rPr>
          <w:rFonts w:ascii="Arial" w:hAnsi="Arial" w:cs="Arial"/>
          <w:b/>
          <w:bCs/>
          <w:color w:val="000000"/>
          <w:sz w:val="20"/>
          <w:szCs w:val="20"/>
          <w:u w:val="single"/>
        </w:rPr>
        <w:t>3.2.4 Cross-Context Synthesis</w:t>
      </w:r>
    </w:p>
    <w:p w14:paraId="40B76232" w14:textId="77777777" w:rsidR="00CF6492" w:rsidRDefault="00CF6492" w:rsidP="00CF6492"/>
    <w:p w14:paraId="563EF66C" w14:textId="77777777" w:rsidR="00CF6492" w:rsidRPr="00CF6492" w:rsidRDefault="00CF6492" w:rsidP="00CF6492">
      <w:pPr>
        <w:pStyle w:val="NormalWeb"/>
        <w:spacing w:before="0" w:beforeAutospacing="0" w:after="0" w:afterAutospacing="0"/>
      </w:pPr>
      <w:r w:rsidRPr="00CF6492">
        <w:rPr>
          <w:rFonts w:ascii="Arial" w:hAnsi="Arial" w:cs="Arial"/>
          <w:color w:val="000000"/>
          <w:sz w:val="20"/>
          <w:szCs w:val="20"/>
        </w:rPr>
        <w:t xml:space="preserve">The RQ2 findings reveal an uneven distribution of TOE conditions. Organizational conditions are most strongly documented, especially leadership, governance structure, competence, resources, and readiness or change capacity. Technological conditions are evident through </w:t>
      </w:r>
      <w:r w:rsidRPr="00CF6492">
        <w:rPr>
          <w:rFonts w:ascii="Arial" w:hAnsi="Arial" w:cs="Arial"/>
          <w:color w:val="000000"/>
          <w:sz w:val="20"/>
          <w:szCs w:val="20"/>
        </w:rPr>
        <w:lastRenderedPageBreak/>
        <w:t>GenAI's perceived value, compatibility with institutional activities, and supporting infrastructure. Environmental conditions are more limited, focusing primarily on regulatory and institutional requirements.</w:t>
      </w:r>
    </w:p>
    <w:p w14:paraId="48807A68" w14:textId="77777777" w:rsidR="00CF6492" w:rsidRPr="00CF6492" w:rsidRDefault="00CF6492" w:rsidP="00CF6492">
      <w:pPr>
        <w:pStyle w:val="NormalWeb"/>
        <w:spacing w:before="0" w:beforeAutospacing="0" w:after="0" w:afterAutospacing="0"/>
      </w:pPr>
      <w:r w:rsidRPr="00CF6492">
        <w:rPr>
          <w:rFonts w:ascii="Arial" w:hAnsi="Arial" w:cs="Arial"/>
          <w:color w:val="000000"/>
          <w:sz w:val="20"/>
          <w:szCs w:val="20"/>
        </w:rPr>
        <w:t xml:space="preserve">Recent higher education research similarly indicates that institutional GenAI governance increasingly extends beyond policy restrictions to encompass guidance, training, resources, stakeholder responsibilities, and mechanisms addressing privacy, ethics, and academic integrity (An et al., 2025; Jin et al., 2025; Wang et al., 2024). Jiang et al. (2025) further emphasizes the importance of clear guidance and supporting resources, while </w:t>
      </w:r>
      <w:proofErr w:type="spellStart"/>
      <w:r w:rsidRPr="00CF6492">
        <w:rPr>
          <w:rFonts w:ascii="Arial" w:hAnsi="Arial" w:cs="Arial"/>
          <w:color w:val="000000"/>
          <w:sz w:val="20"/>
          <w:szCs w:val="20"/>
        </w:rPr>
        <w:t>Thaldar</w:t>
      </w:r>
      <w:proofErr w:type="spellEnd"/>
      <w:r w:rsidRPr="00CF6492">
        <w:rPr>
          <w:rFonts w:ascii="Arial" w:hAnsi="Arial" w:cs="Arial"/>
          <w:color w:val="000000"/>
          <w:sz w:val="20"/>
          <w:szCs w:val="20"/>
        </w:rPr>
        <w:t xml:space="preserve"> et al. (2025) demonstrates the value of integrating policy, organizational structures, capacity building, monitoring, and continuous improvement.</w:t>
      </w:r>
    </w:p>
    <w:p w14:paraId="03E4B436" w14:textId="77777777" w:rsidR="00CF6492" w:rsidRPr="00CF6492" w:rsidRDefault="00CF6492" w:rsidP="00CF6492">
      <w:pPr>
        <w:pStyle w:val="NormalWeb"/>
        <w:spacing w:before="0" w:beforeAutospacing="0" w:after="0" w:afterAutospacing="0"/>
      </w:pPr>
      <w:r w:rsidRPr="00CF6492">
        <w:rPr>
          <w:rFonts w:ascii="Arial" w:hAnsi="Arial" w:cs="Arial"/>
          <w:color w:val="000000"/>
          <w:sz w:val="20"/>
          <w:szCs w:val="20"/>
        </w:rPr>
        <w:t>At Xavier University, the three documents reveal a consistent pattern: D3 focused on capability development and institutional learning; D2 established formal organizational responsibility; and D1 codified ongoing governance commitments. The TOE findings thus suggest that technological opportunities and risks were addressed through organizational mechanisms, while regulatory and institutional requirements defined the boundaries for action.</w:t>
      </w:r>
    </w:p>
    <w:p w14:paraId="77E23994" w14:textId="77777777" w:rsidR="00CF6492" w:rsidRPr="00CF6492" w:rsidRDefault="00CF6492" w:rsidP="00CF6492">
      <w:pPr>
        <w:pStyle w:val="NormalWeb"/>
        <w:spacing w:before="0" w:beforeAutospacing="0" w:after="0" w:afterAutospacing="0"/>
      </w:pPr>
      <w:r w:rsidRPr="00CF6492">
        <w:rPr>
          <w:rFonts w:ascii="Arial" w:hAnsi="Arial" w:cs="Arial"/>
          <w:color w:val="000000"/>
          <w:sz w:val="20"/>
          <w:szCs w:val="20"/>
        </w:rPr>
        <w:t>The findings also indicate that the 13 TOE constructs were not equally documented. Limited evidence for complexity and competitive pressure, the absence of substantive evidence for external partnerships, and the lack of an established AI-specific data capability suggest that TOE serves best as an interpretive management framework in this context, rather than as a checklist of presumed determinants. The following section examines how these conditions collectively influenced the institutionalization of AI governance within the university.</w:t>
      </w:r>
    </w:p>
    <w:p w14:paraId="3CC7EB49" w14:textId="77777777" w:rsidR="00CF6492" w:rsidRDefault="00CF6492" w:rsidP="00CF6492"/>
    <w:p w14:paraId="4FA90C69" w14:textId="77777777" w:rsidR="00A3046A" w:rsidRPr="00A3046A" w:rsidRDefault="00A3046A" w:rsidP="00A3046A">
      <w:pPr>
        <w:pStyle w:val="Heading3"/>
        <w:spacing w:before="0"/>
        <w:rPr>
          <w:b/>
          <w:bCs/>
          <w:sz w:val="22"/>
          <w:szCs w:val="22"/>
        </w:rPr>
      </w:pPr>
      <w:r w:rsidRPr="00A3046A">
        <w:rPr>
          <w:rFonts w:ascii="Arial" w:hAnsi="Arial" w:cs="Arial"/>
          <w:b/>
          <w:bCs/>
          <w:color w:val="000000"/>
          <w:sz w:val="22"/>
          <w:szCs w:val="22"/>
        </w:rPr>
        <w:t>3.3 Institutionalization of AI Governance Through Technological, Organizational, and Environmental Conditions</w:t>
      </w:r>
    </w:p>
    <w:p w14:paraId="234DEDA4" w14:textId="77777777" w:rsidR="00A3046A" w:rsidRDefault="00A3046A" w:rsidP="00A3046A"/>
    <w:p w14:paraId="7FA269B7" w14:textId="77777777" w:rsidR="00A3046A" w:rsidRPr="00A3046A" w:rsidRDefault="00A3046A" w:rsidP="00A3046A">
      <w:pPr>
        <w:pStyle w:val="NormalWeb"/>
        <w:spacing w:before="0" w:beforeAutospacing="0" w:after="0" w:afterAutospacing="0"/>
      </w:pPr>
      <w:r w:rsidRPr="00A3046A">
        <w:rPr>
          <w:rFonts w:ascii="Arial" w:hAnsi="Arial" w:cs="Arial"/>
          <w:color w:val="000000"/>
          <w:sz w:val="20"/>
          <w:szCs w:val="20"/>
        </w:rPr>
        <w:t>The third research question investigated how technological, organizational, and environmental conditions influenced the institutionalization of AI governance within the university. The findings demonstrate that institutionalization was not solely represented by the adoption of D1. Instead, D1–D3 illustrate a progression in which organizational capability was developed, governance responsibility was formalized, and AI governance was embedded in institutional policy and ongoing oversight. This pattern should not be interpreted as a direct causal sequence among the three documents; rather, it reflects the institutional development documented across the corpus.</w:t>
      </w:r>
    </w:p>
    <w:p w14:paraId="14BE9A14" w14:textId="77777777" w:rsidR="00A3046A" w:rsidRDefault="00A3046A" w:rsidP="00A3046A"/>
    <w:p w14:paraId="48F8CBB4" w14:textId="77777777" w:rsidR="00A3046A" w:rsidRDefault="00A3046A" w:rsidP="00A3046A">
      <w:pPr>
        <w:pStyle w:val="NormalWeb"/>
        <w:spacing w:before="0" w:beforeAutospacing="0" w:after="0" w:afterAutospacing="0"/>
      </w:pPr>
      <w:r>
        <w:rPr>
          <w:rFonts w:ascii="Arial" w:hAnsi="Arial" w:cs="Arial"/>
          <w:b/>
          <w:bCs/>
          <w:color w:val="000000"/>
          <w:sz w:val="20"/>
          <w:szCs w:val="20"/>
          <w:u w:val="single"/>
        </w:rPr>
        <w:t>3.3.1 From Technological Engagement to Organizational Capability</w:t>
      </w:r>
    </w:p>
    <w:p w14:paraId="0BABA318" w14:textId="77777777" w:rsidR="00A3046A" w:rsidRDefault="00A3046A" w:rsidP="00A3046A"/>
    <w:p w14:paraId="529C7602" w14:textId="77777777" w:rsidR="00A3046A" w:rsidRDefault="00A3046A" w:rsidP="00A3046A">
      <w:pPr>
        <w:pStyle w:val="NormalWeb"/>
        <w:spacing w:before="0" w:beforeAutospacing="0" w:after="0" w:afterAutospacing="0"/>
      </w:pPr>
      <w:r>
        <w:rPr>
          <w:rFonts w:ascii="Arial" w:hAnsi="Arial" w:cs="Arial"/>
          <w:color w:val="000000"/>
          <w:sz w:val="20"/>
          <w:szCs w:val="20"/>
        </w:rPr>
        <w:t>D3 represents the earliest stage of this development. The Higher Education AI initiative involved faculty training, practical activities with GenAI tools and prompting, an online GenAI resource and interaction hub, faculty and formator discussions, and student engagement (Office of the Vice President for Higher Education, 2023). These activities indicate that the institution initially responded to GenAI by developing the knowledge and capabilities required for its members to engage with the technology.</w:t>
      </w:r>
    </w:p>
    <w:p w14:paraId="5767FD99" w14:textId="77777777" w:rsidR="00A3046A" w:rsidRDefault="00A3046A" w:rsidP="00A3046A">
      <w:pPr>
        <w:pStyle w:val="NormalWeb"/>
        <w:spacing w:before="0" w:beforeAutospacing="0" w:after="0" w:afterAutospacing="0"/>
      </w:pPr>
      <w:r>
        <w:rPr>
          <w:rFonts w:ascii="Arial" w:hAnsi="Arial" w:cs="Arial"/>
          <w:color w:val="000000"/>
          <w:sz w:val="20"/>
          <w:szCs w:val="20"/>
        </w:rPr>
        <w:t>From a management perspective, this is significant because technological adoption requires organizations to develop the capacity to absorb and manage technological change. Gering et al. (2025), examining strategic responses to GenAI-driven digital transformation across leading universities, found that institutional responses extended across multiple organizational domains and that teaching-learning offices and development centers could connect institutional strategy with grassroots innovation. Their findings emphasize the importance of organizational mechanisms that translate technological developments into coordinated institutional responses.</w:t>
      </w:r>
    </w:p>
    <w:p w14:paraId="4B78AC60" w14:textId="77777777" w:rsidR="00A3046A" w:rsidRDefault="00A3046A" w:rsidP="00A3046A">
      <w:pPr>
        <w:pStyle w:val="NormalWeb"/>
        <w:spacing w:before="0" w:beforeAutospacing="0" w:after="0" w:afterAutospacing="0"/>
      </w:pPr>
      <w:r>
        <w:rPr>
          <w:rFonts w:ascii="Arial" w:hAnsi="Arial" w:cs="Arial"/>
          <w:color w:val="000000"/>
          <w:sz w:val="20"/>
          <w:szCs w:val="20"/>
        </w:rPr>
        <w:lastRenderedPageBreak/>
        <w:t xml:space="preserve">D3 demonstrates a similar mechanism. Instead of viewing GenAI solely as an individual user’s technological choice, the institution established organizational opportunities for learning and capability development. According to the TOE analysis, technological opportunity was mediated by </w:t>
      </w:r>
      <w:r>
        <w:rPr>
          <w:rFonts w:ascii="Arial" w:hAnsi="Arial" w:cs="Arial"/>
          <w:b/>
          <w:bCs/>
          <w:color w:val="000000"/>
          <w:sz w:val="20"/>
          <w:szCs w:val="20"/>
        </w:rPr>
        <w:t>human competence and organizational resources</w:t>
      </w:r>
      <w:r>
        <w:rPr>
          <w:rFonts w:ascii="Arial" w:hAnsi="Arial" w:cs="Arial"/>
          <w:color w:val="000000"/>
          <w:sz w:val="20"/>
          <w:szCs w:val="20"/>
        </w:rPr>
        <w:t>. Institutionalization commenced when GenAI became a focus of organizational learning and capability building.</w:t>
      </w:r>
    </w:p>
    <w:p w14:paraId="6F79B7E3" w14:textId="77777777" w:rsidR="00A3046A" w:rsidRDefault="00A3046A" w:rsidP="00A3046A">
      <w:pPr>
        <w:pStyle w:val="NormalWeb"/>
        <w:spacing w:before="0" w:beforeAutospacing="0" w:after="0" w:afterAutospacing="0"/>
      </w:pPr>
      <w:r>
        <w:rPr>
          <w:rFonts w:ascii="Arial" w:hAnsi="Arial" w:cs="Arial"/>
          <w:color w:val="000000"/>
          <w:sz w:val="20"/>
          <w:szCs w:val="20"/>
        </w:rPr>
        <w:t>This interpretation is also consistent with Jiang and Abdullah’s (2026) systematic review, which identifies organizational learning, institutional coordination, and changing decision routines as important dimensions of AI-enabled governance in higher education. Their analysis suggests that AI can function not simply as a technical tool but as an institutional infrastructure that reshapes information flows and organizational learning.</w:t>
      </w:r>
    </w:p>
    <w:p w14:paraId="2B907794" w14:textId="77777777" w:rsidR="00A3046A" w:rsidRDefault="00A3046A" w:rsidP="00A3046A"/>
    <w:p w14:paraId="604822D5" w14:textId="77777777" w:rsidR="00A3046A" w:rsidRDefault="00A3046A" w:rsidP="00A3046A">
      <w:pPr>
        <w:pStyle w:val="NormalWeb"/>
        <w:spacing w:before="0" w:beforeAutospacing="0" w:after="0" w:afterAutospacing="0"/>
      </w:pPr>
      <w:r>
        <w:rPr>
          <w:rFonts w:ascii="Arial" w:hAnsi="Arial" w:cs="Arial"/>
          <w:b/>
          <w:bCs/>
          <w:color w:val="000000"/>
          <w:sz w:val="20"/>
          <w:szCs w:val="20"/>
          <w:u w:val="single"/>
        </w:rPr>
        <w:t>3.3.2 From Capability to Formal Governance Structure</w:t>
      </w:r>
    </w:p>
    <w:p w14:paraId="4A6D3CD0" w14:textId="77777777" w:rsidR="00A3046A" w:rsidRDefault="00A3046A" w:rsidP="00A3046A"/>
    <w:p w14:paraId="5BC2E5EE" w14:textId="77777777" w:rsidR="00A3046A" w:rsidRPr="00A3046A" w:rsidRDefault="00A3046A" w:rsidP="00A3046A">
      <w:pPr>
        <w:pStyle w:val="NormalWeb"/>
        <w:spacing w:before="0" w:beforeAutospacing="0" w:after="0" w:afterAutospacing="0"/>
      </w:pPr>
      <w:r w:rsidRPr="00A3046A">
        <w:rPr>
          <w:rFonts w:ascii="Arial" w:hAnsi="Arial" w:cs="Arial"/>
          <w:color w:val="000000"/>
          <w:sz w:val="20"/>
          <w:szCs w:val="20"/>
        </w:rPr>
        <w:t>D2 represents a further development through the establishment of the Committee on Responsible AI Use at Xavier University. The committee brought together representatives from academic and administrative units and was tasked with formulating policies and guidelines and providing guidance on AI opportunities, risks, and responsible use (Xavier University, 2024b). The significance of this development is managerial: responsibility for AI shifted from capability-building activities to a formal organizational structure with defined governance responsibilities.</w:t>
      </w:r>
    </w:p>
    <w:p w14:paraId="5EFBCAA7" w14:textId="77777777" w:rsidR="00A3046A" w:rsidRPr="00A3046A" w:rsidRDefault="00A3046A" w:rsidP="00A3046A">
      <w:pPr>
        <w:pStyle w:val="NormalWeb"/>
        <w:spacing w:before="0" w:beforeAutospacing="0" w:after="0" w:afterAutospacing="0"/>
      </w:pPr>
      <w:r w:rsidRPr="00A3046A">
        <w:rPr>
          <w:rFonts w:ascii="Arial" w:hAnsi="Arial" w:cs="Arial"/>
          <w:color w:val="000000"/>
          <w:sz w:val="20"/>
          <w:szCs w:val="20"/>
        </w:rPr>
        <w:t>This transition is consistent with Gering et al.'s (2025) finding that university responses to GenAI-driven transformation include institutional strategies, IT strategies, initiatives, and dedicated committees. Their analysis suggests that GenAI creates cross-functional organizational demands that require structures capable of coordinating different institutional domains.</w:t>
      </w:r>
    </w:p>
    <w:p w14:paraId="7C9A57C9" w14:textId="77777777" w:rsidR="00A3046A" w:rsidRPr="00A3046A" w:rsidRDefault="00A3046A" w:rsidP="00A3046A">
      <w:pPr>
        <w:pStyle w:val="NormalWeb"/>
        <w:spacing w:before="0" w:beforeAutospacing="0" w:after="0" w:afterAutospacing="0"/>
      </w:pPr>
      <w:r w:rsidRPr="00A3046A">
        <w:rPr>
          <w:rFonts w:ascii="Arial" w:hAnsi="Arial" w:cs="Arial"/>
          <w:color w:val="000000"/>
          <w:sz w:val="20"/>
          <w:szCs w:val="20"/>
        </w:rPr>
        <w:t>The governance challenge is particularly important because GenAI is not a static technology. Janssen (2025) conceptualizes GenAI governance as a complex adaptive systems problem in which technology and its social environment co-evolve. From this perspective, governance cannot depend exclusively on fixed rules; organizations also require structures that can respond to emerging applications, risks, and uses.</w:t>
      </w:r>
    </w:p>
    <w:p w14:paraId="4826A22B" w14:textId="77777777" w:rsidR="00A3046A" w:rsidRPr="00A3046A" w:rsidRDefault="00A3046A" w:rsidP="00A3046A">
      <w:pPr>
        <w:pStyle w:val="NormalWeb"/>
        <w:spacing w:before="0" w:beforeAutospacing="0" w:after="0" w:afterAutospacing="0"/>
      </w:pPr>
      <w:r w:rsidRPr="00A3046A">
        <w:rPr>
          <w:rFonts w:ascii="Arial" w:hAnsi="Arial" w:cs="Arial"/>
          <w:color w:val="000000"/>
          <w:sz w:val="20"/>
          <w:szCs w:val="20"/>
        </w:rPr>
        <w:t>The D2 committee can thus be interpreted as an organizational mechanism for managing uncertainty. It serves as a locus for coordination, interpretation, and ongoing governance, rather than leaving responsibility dispersed among individual users or academic units.</w:t>
      </w:r>
    </w:p>
    <w:p w14:paraId="0D2837E5" w14:textId="77777777" w:rsidR="00A3046A" w:rsidRDefault="00A3046A" w:rsidP="00A3046A"/>
    <w:p w14:paraId="5AF511B9" w14:textId="77777777" w:rsidR="00A3046A" w:rsidRDefault="00A3046A" w:rsidP="00A3046A">
      <w:pPr>
        <w:pStyle w:val="NormalWeb"/>
        <w:spacing w:before="0" w:beforeAutospacing="0" w:after="0" w:afterAutospacing="0"/>
      </w:pPr>
      <w:r>
        <w:rPr>
          <w:rFonts w:ascii="Arial" w:hAnsi="Arial" w:cs="Arial"/>
          <w:b/>
          <w:bCs/>
          <w:color w:val="000000"/>
          <w:sz w:val="20"/>
          <w:szCs w:val="20"/>
          <w:u w:val="single"/>
        </w:rPr>
        <w:t>3.3.3 From Governance Structure to Formal Policy</w:t>
      </w:r>
    </w:p>
    <w:p w14:paraId="06B5D5A1" w14:textId="77777777" w:rsidR="00A3046A" w:rsidRDefault="00A3046A" w:rsidP="00A3046A"/>
    <w:p w14:paraId="08D138CA" w14:textId="77777777" w:rsidR="00A3046A" w:rsidRPr="00A3046A" w:rsidRDefault="00A3046A" w:rsidP="00A3046A">
      <w:pPr>
        <w:pStyle w:val="NormalWeb"/>
        <w:spacing w:before="0" w:beforeAutospacing="0" w:after="0" w:afterAutospacing="0"/>
      </w:pPr>
      <w:r w:rsidRPr="00A3046A">
        <w:rPr>
          <w:rFonts w:ascii="Arial" w:hAnsi="Arial" w:cs="Arial"/>
          <w:color w:val="000000"/>
          <w:sz w:val="20"/>
          <w:szCs w:val="20"/>
        </w:rPr>
        <w:t>D1 represents the most formalized stage documented in the corpus. The Policy on the Ethical and Responsible Use of GenAI establishes institution-wide commitments concerning human judgment, academic integrity, transparency, inclusivity, privacy and data protection, accountability, and continuing capability development (Xavier University, 2024a). It also assigns continuing responsibilities involving policy review, auditing, and training.</w:t>
      </w:r>
    </w:p>
    <w:p w14:paraId="5D7C52CE" w14:textId="77777777" w:rsidR="00A3046A" w:rsidRPr="00A3046A" w:rsidRDefault="00A3046A" w:rsidP="00A3046A">
      <w:pPr>
        <w:pStyle w:val="NormalWeb"/>
        <w:spacing w:before="0" w:beforeAutospacing="0" w:after="0" w:afterAutospacing="0"/>
      </w:pPr>
      <w:r w:rsidRPr="00A3046A">
        <w:rPr>
          <w:rFonts w:ascii="Arial" w:hAnsi="Arial" w:cs="Arial"/>
          <w:color w:val="000000"/>
          <w:sz w:val="20"/>
          <w:szCs w:val="20"/>
        </w:rPr>
        <w:t>The significance of D1 lies not only in the university’s production of a policy, but also in its codification of governance expectations and responsibilities within the institution’s formal administrative framework. Commitments that emerged through capability development and organizational coordination were translated into formal institutional expectations.</w:t>
      </w:r>
    </w:p>
    <w:p w14:paraId="0581963C" w14:textId="77777777" w:rsidR="00A3046A" w:rsidRPr="00A3046A" w:rsidRDefault="00A3046A" w:rsidP="00A3046A">
      <w:pPr>
        <w:pStyle w:val="NormalWeb"/>
        <w:spacing w:before="0" w:beforeAutospacing="0" w:after="0" w:afterAutospacing="0"/>
      </w:pPr>
      <w:r w:rsidRPr="00A3046A">
        <w:rPr>
          <w:rFonts w:ascii="Arial" w:hAnsi="Arial" w:cs="Arial"/>
          <w:color w:val="000000"/>
          <w:sz w:val="20"/>
          <w:szCs w:val="20"/>
        </w:rPr>
        <w:t>Dai et al. (2025), examining GenAI policies across 30 Asian universities, found that institutions were developing policies to guide GenAI integration while emphasizing areas such as academic integrity and responsible adoption. Their analysis also identified gaps in policy coverage and differences in the degree to which institutional responses addressed the broader university community. This provides a useful regional comparison: formal policy represents an important stage of institutionalization, but its organizational value depends on the breadth of its coverage and the mechanisms through which it is implemented.</w:t>
      </w:r>
    </w:p>
    <w:p w14:paraId="576D36C4" w14:textId="77777777" w:rsidR="00A3046A" w:rsidRPr="00A3046A" w:rsidRDefault="00A3046A" w:rsidP="00A3046A">
      <w:pPr>
        <w:pStyle w:val="NormalWeb"/>
        <w:spacing w:before="0" w:beforeAutospacing="0" w:after="0" w:afterAutospacing="0"/>
      </w:pPr>
      <w:r w:rsidRPr="00A3046A">
        <w:rPr>
          <w:rFonts w:ascii="Arial" w:hAnsi="Arial" w:cs="Arial"/>
          <w:color w:val="000000"/>
          <w:sz w:val="20"/>
          <w:szCs w:val="20"/>
        </w:rPr>
        <w:lastRenderedPageBreak/>
        <w:t xml:space="preserve">The Philippine context provides a particularly relevant comparison. </w:t>
      </w:r>
      <w:proofErr w:type="spellStart"/>
      <w:r w:rsidRPr="00A3046A">
        <w:rPr>
          <w:rFonts w:ascii="Arial" w:hAnsi="Arial" w:cs="Arial"/>
          <w:color w:val="000000"/>
          <w:sz w:val="20"/>
          <w:szCs w:val="20"/>
        </w:rPr>
        <w:t>Toquero</w:t>
      </w:r>
      <w:proofErr w:type="spellEnd"/>
      <w:r w:rsidRPr="00A3046A">
        <w:rPr>
          <w:rFonts w:ascii="Arial" w:hAnsi="Arial" w:cs="Arial"/>
          <w:color w:val="000000"/>
          <w:sz w:val="20"/>
          <w:szCs w:val="20"/>
        </w:rPr>
        <w:t xml:space="preserve"> (2026) found that Philippine universities’ AI policies exhibit pedagogical, operational, governance, and normative dimensions, and observed that AI policymaking remains disaggregated in some institutions and may be left to the department level. Against this context, D1’s institution-wide scope and connection to continuing governance functions indicate a movement toward more formalized institutional responsibility.</w:t>
      </w:r>
    </w:p>
    <w:p w14:paraId="13DAD52C" w14:textId="77777777" w:rsidR="00A3046A" w:rsidRDefault="00A3046A" w:rsidP="00A3046A"/>
    <w:p w14:paraId="4D30B5E7" w14:textId="77777777" w:rsidR="00A3046A" w:rsidRDefault="00A3046A" w:rsidP="00A3046A">
      <w:pPr>
        <w:pStyle w:val="NormalWeb"/>
        <w:spacing w:before="0" w:beforeAutospacing="0" w:after="0" w:afterAutospacing="0"/>
      </w:pPr>
      <w:r>
        <w:rPr>
          <w:rFonts w:ascii="Arial" w:hAnsi="Arial" w:cs="Arial"/>
          <w:b/>
          <w:bCs/>
          <w:color w:val="000000"/>
          <w:sz w:val="20"/>
          <w:szCs w:val="20"/>
          <w:u w:val="single"/>
        </w:rPr>
        <w:t>3.3.4 From Policy to Continuing Institutionalization</w:t>
      </w:r>
    </w:p>
    <w:p w14:paraId="60BF2C3E" w14:textId="77777777" w:rsidR="00A3046A" w:rsidRDefault="00A3046A" w:rsidP="00A3046A"/>
    <w:p w14:paraId="211131BF" w14:textId="77777777" w:rsidR="00A3046A" w:rsidRPr="00A3046A" w:rsidRDefault="00A3046A" w:rsidP="00A3046A">
      <w:pPr>
        <w:pStyle w:val="NormalWeb"/>
        <w:spacing w:before="0" w:beforeAutospacing="0" w:after="0" w:afterAutospacing="0"/>
      </w:pPr>
      <w:r w:rsidRPr="00A3046A">
        <w:rPr>
          <w:rFonts w:ascii="Arial" w:hAnsi="Arial" w:cs="Arial"/>
          <w:color w:val="000000"/>
          <w:sz w:val="20"/>
          <w:szCs w:val="20"/>
        </w:rPr>
        <w:t>The evidence indicates that institutionalization should not be equated solely with policy adoption. D1 establishes ongoing activities such as training, review, auditing, and governance. This distinction is important because, once a policy exists, the management challenge shifts to maintaining the structures, capabilities, and processes required for its implementation and adaptation.</w:t>
      </w:r>
    </w:p>
    <w:p w14:paraId="2BAE4374" w14:textId="77777777" w:rsidR="00A3046A" w:rsidRPr="00A3046A" w:rsidRDefault="00A3046A" w:rsidP="00A3046A">
      <w:pPr>
        <w:pStyle w:val="NormalWeb"/>
        <w:spacing w:before="0" w:beforeAutospacing="0" w:after="0" w:afterAutospacing="0"/>
      </w:pPr>
      <w:r w:rsidRPr="00A3046A">
        <w:rPr>
          <w:rFonts w:ascii="Arial" w:hAnsi="Arial" w:cs="Arial"/>
          <w:color w:val="000000"/>
          <w:sz w:val="20"/>
          <w:szCs w:val="20"/>
        </w:rPr>
        <w:t>Nguyen (2026) similarly argues that higher education AI governance requires mechanisms that translate AI-use evidence into decisions, safeguards, responsibilities, implementation tools, and review routines. This reinforces the distinction between having a policy and operationalizing governance. In the Xavier University case, D3 and D2 provide evidence of organizational capabilities and structures that make D1 more than a standalone policy statement.</w:t>
      </w:r>
    </w:p>
    <w:p w14:paraId="575E9587" w14:textId="77777777" w:rsidR="00A3046A" w:rsidRPr="00A3046A" w:rsidRDefault="00A3046A" w:rsidP="00A3046A">
      <w:pPr>
        <w:pStyle w:val="NormalWeb"/>
        <w:spacing w:before="0" w:beforeAutospacing="0" w:after="0" w:afterAutospacing="0"/>
      </w:pPr>
      <w:r w:rsidRPr="00A3046A">
        <w:rPr>
          <w:rFonts w:ascii="Arial" w:hAnsi="Arial" w:cs="Arial"/>
          <w:color w:val="000000"/>
          <w:sz w:val="20"/>
          <w:szCs w:val="20"/>
        </w:rPr>
        <w:t>The organizational implications of this ongoing process align with Oswick (2024), who examines the interaction between GenAI-mediated decision-making and human processes of dialogue and organizational change. Oswick contends that as GenAI becomes more prominent in organizational change, it should support, not replace, human generative processes. This perspective is relevant to the present findings, as D1–D3 do not suggest an intention to transfer institutional decision-making to technology. Instead, the documents emphasize human judgment, organizational responsibility, capability development, and ongoing oversight (Xavier University, 2024a). Institutionalization can thus be understood as the development of organizational arrangements that incorporate GenAI while preserving human responsibility for its use and governance.</w:t>
      </w:r>
    </w:p>
    <w:p w14:paraId="629B3475" w14:textId="77777777" w:rsidR="00A3046A" w:rsidRPr="00A3046A" w:rsidRDefault="00A3046A" w:rsidP="00A3046A">
      <w:pPr>
        <w:pStyle w:val="NormalWeb"/>
        <w:spacing w:before="0" w:beforeAutospacing="0" w:after="0" w:afterAutospacing="0"/>
      </w:pPr>
      <w:r w:rsidRPr="00A3046A">
        <w:rPr>
          <w:rFonts w:ascii="Arial" w:hAnsi="Arial" w:cs="Arial"/>
          <w:color w:val="000000"/>
          <w:sz w:val="20"/>
          <w:szCs w:val="20"/>
        </w:rPr>
        <w:t>3.3.5 TOE Conditions and the Institutionalization Process</w:t>
      </w:r>
    </w:p>
    <w:p w14:paraId="7738533A" w14:textId="77777777" w:rsidR="00A3046A" w:rsidRPr="00A3046A" w:rsidRDefault="00A3046A" w:rsidP="00A3046A">
      <w:pPr>
        <w:pStyle w:val="NormalWeb"/>
        <w:spacing w:before="0" w:beforeAutospacing="0" w:after="0" w:afterAutospacing="0"/>
      </w:pPr>
      <w:r w:rsidRPr="00A3046A">
        <w:rPr>
          <w:rFonts w:ascii="Arial" w:hAnsi="Arial" w:cs="Arial"/>
          <w:color w:val="000000"/>
          <w:sz w:val="20"/>
          <w:szCs w:val="20"/>
        </w:rPr>
        <w:t>Collectively, the findings indicate a pattern of capability development, structural establishment, and formalization. D3 facilitated institutional capability and learning, D2 established a formal organizational locus for AI responsibility, and D1 codified governance commitments and ongoing oversight.</w:t>
      </w:r>
    </w:p>
    <w:p w14:paraId="46DDD965" w14:textId="77777777" w:rsidR="00A3046A" w:rsidRPr="00A3046A" w:rsidRDefault="00A3046A" w:rsidP="00A3046A">
      <w:pPr>
        <w:pStyle w:val="NormalWeb"/>
        <w:spacing w:before="0" w:beforeAutospacing="0" w:after="0" w:afterAutospacing="0"/>
      </w:pPr>
      <w:r w:rsidRPr="00A3046A">
        <w:rPr>
          <w:rFonts w:ascii="Arial" w:hAnsi="Arial" w:cs="Arial"/>
          <w:color w:val="000000"/>
          <w:sz w:val="20"/>
          <w:szCs w:val="20"/>
        </w:rPr>
        <w:t>The TOE findings clarify how this pattern was supported. Technological conditions created the opportunities and practical governance requirements associated with GenAI. Organizational conditions were the strongest mechanism through which these requirements were translated into institutional action, particularly through leadership, structure, competence, resources, and readiness. Environmental conditions, particularly regulatory and institutional requirements, established boundaries within which governance decisions were made.</w:t>
      </w:r>
    </w:p>
    <w:p w14:paraId="47E9E529" w14:textId="77777777" w:rsidR="00A3046A" w:rsidRPr="00A3046A" w:rsidRDefault="00A3046A" w:rsidP="00A3046A">
      <w:pPr>
        <w:pStyle w:val="NormalWeb"/>
        <w:spacing w:before="0" w:beforeAutospacing="0" w:after="0" w:afterAutospacing="0"/>
      </w:pPr>
      <w:r w:rsidRPr="00A3046A">
        <w:rPr>
          <w:rFonts w:ascii="Arial" w:hAnsi="Arial" w:cs="Arial"/>
          <w:color w:val="000000"/>
          <w:sz w:val="20"/>
          <w:szCs w:val="20"/>
        </w:rPr>
        <w:t>The pattern is consistent with the broader management literature on AI governance. Janssen (2025) emphasizes the evolving relationship between technology and its organizational environment, while Jiang and Abdullah (2026) identify coordination, accountability, organizational learning, and changing decision routines as important dimensions of AI-enabled institutional governance.</w:t>
      </w:r>
    </w:p>
    <w:p w14:paraId="73093E31" w14:textId="77777777" w:rsidR="00A3046A" w:rsidRPr="00A3046A" w:rsidRDefault="00A3046A" w:rsidP="00A3046A">
      <w:pPr>
        <w:pStyle w:val="NormalWeb"/>
        <w:spacing w:before="0" w:beforeAutospacing="0" w:after="0" w:afterAutospacing="0"/>
      </w:pPr>
      <w:r w:rsidRPr="00A3046A">
        <w:rPr>
          <w:rFonts w:ascii="Arial" w:hAnsi="Arial" w:cs="Arial"/>
          <w:color w:val="000000"/>
          <w:sz w:val="20"/>
          <w:szCs w:val="20"/>
        </w:rPr>
        <w:t>The evidence further indicates that not all TOE conditions contributed equally to the institutionalization process. Competitive pressure and external partnerships were minimally or not substantively represented, whereas organizational conditions were consistently evident across D1–D3. This suggests that, in this case, institutionalization was driven more by the university’s internal capacity to organize, coordinate, and formalize its response to technological change than by external competitive pressure.</w:t>
      </w:r>
    </w:p>
    <w:p w14:paraId="44A3D802" w14:textId="77777777" w:rsidR="00A3046A" w:rsidRPr="00A3046A" w:rsidRDefault="00A3046A" w:rsidP="00A3046A">
      <w:pPr>
        <w:pStyle w:val="NormalWeb"/>
        <w:spacing w:before="0" w:beforeAutospacing="0" w:after="0" w:afterAutospacing="0"/>
      </w:pPr>
      <w:r w:rsidRPr="00A3046A">
        <w:rPr>
          <w:rFonts w:ascii="Arial" w:hAnsi="Arial" w:cs="Arial"/>
          <w:color w:val="000000"/>
          <w:sz w:val="20"/>
          <w:szCs w:val="20"/>
        </w:rPr>
        <w:lastRenderedPageBreak/>
        <w:t>From a management perspective, the principal finding is that AI governance becomes institutionalized when technological change is translated into organizational capability, assigned through formal structures, and embedded in ongoing policy and oversight mechanisms. The documents do not establish a direct causal relationship among D3, D2, and D1; instead, they reveal an evolving organizational pattern in which AI governance became increasingly embedded in institutional arrangements.</w:t>
      </w:r>
    </w:p>
    <w:p w14:paraId="089A63B6" w14:textId="7413E7D5" w:rsidR="00081FA3" w:rsidRPr="009C1234" w:rsidRDefault="00A3046A" w:rsidP="009C1234">
      <w:pPr>
        <w:pStyle w:val="NormalWeb"/>
        <w:spacing w:before="0" w:beforeAutospacing="0" w:after="0" w:afterAutospacing="0"/>
      </w:pPr>
      <w:r w:rsidRPr="00A3046A">
        <w:rPr>
          <w:rFonts w:ascii="Arial" w:hAnsi="Arial" w:cs="Arial"/>
          <w:color w:val="000000"/>
          <w:sz w:val="20"/>
          <w:szCs w:val="20"/>
        </w:rPr>
        <w:t>This provides the principal answer to RQ3: the technological, organizational, and environmental conditions shaped institutionalization by providing the context, organizational capacity, and governance boundaries through which the university transformed GenAI from an emerging technological concern into a formal institutional responsibility.</w:t>
      </w:r>
    </w:p>
    <w:p w14:paraId="4D9A16B6" w14:textId="77777777" w:rsidR="00964D0D" w:rsidRDefault="00964D0D" w:rsidP="00964D0D"/>
    <w:p w14:paraId="37F9CC9A" w14:textId="7DFAA31D" w:rsidR="008A5658" w:rsidRDefault="008A5658" w:rsidP="008A5658">
      <w:pPr>
        <w:pStyle w:val="Heading1"/>
        <w:spacing w:before="0" w:after="0"/>
        <w:rPr>
          <w:sz w:val="48"/>
          <w:szCs w:val="48"/>
        </w:rPr>
      </w:pPr>
      <w:r>
        <w:rPr>
          <w:rFonts w:cs="Arial"/>
          <w:color w:val="000000"/>
          <w:sz w:val="20"/>
          <w:szCs w:val="20"/>
        </w:rPr>
        <w:t>4. CONCLUSION</w:t>
      </w:r>
      <w:r w:rsidR="009C1234">
        <w:rPr>
          <w:rFonts w:cs="Arial"/>
          <w:color w:val="000000"/>
          <w:sz w:val="20"/>
          <w:szCs w:val="20"/>
        </w:rPr>
        <w:t xml:space="preserve"> and IMPLICATIONS</w:t>
      </w:r>
    </w:p>
    <w:p w14:paraId="052AF1F6" w14:textId="77777777" w:rsidR="008A5658" w:rsidRDefault="008A5658" w:rsidP="008A5658"/>
    <w:p w14:paraId="65281358" w14:textId="77777777" w:rsidR="009C1234" w:rsidRPr="009C1234" w:rsidRDefault="009C1234" w:rsidP="009C1234">
      <w:pPr>
        <w:pStyle w:val="Heading3"/>
        <w:spacing w:before="0"/>
        <w:rPr>
          <w:b/>
          <w:bCs/>
          <w:sz w:val="22"/>
          <w:szCs w:val="22"/>
        </w:rPr>
      </w:pPr>
      <w:r w:rsidRPr="009C1234">
        <w:rPr>
          <w:rFonts w:ascii="Arial" w:hAnsi="Arial" w:cs="Arial"/>
          <w:b/>
          <w:bCs/>
          <w:color w:val="000000"/>
          <w:sz w:val="22"/>
          <w:szCs w:val="22"/>
        </w:rPr>
        <w:t>4.1 Conclusion</w:t>
      </w:r>
    </w:p>
    <w:p w14:paraId="4D7B1406" w14:textId="77777777" w:rsidR="009C1234" w:rsidRDefault="009C1234" w:rsidP="009C1234"/>
    <w:p w14:paraId="05BC0A17" w14:textId="77777777" w:rsidR="009C1234" w:rsidRDefault="009C1234" w:rsidP="009C1234">
      <w:pPr>
        <w:pStyle w:val="NormalWeb"/>
        <w:spacing w:before="0" w:beforeAutospacing="0" w:after="0" w:afterAutospacing="0"/>
      </w:pPr>
      <w:r>
        <w:rPr>
          <w:rFonts w:ascii="Arial" w:hAnsi="Arial" w:cs="Arial"/>
          <w:color w:val="000000"/>
          <w:sz w:val="20"/>
          <w:szCs w:val="20"/>
        </w:rPr>
        <w:t>This study investigated the institutionalization of generative artificial intelligence (GenAI) governance within a higher education institution using a theory-driven qualitative analysis of three institutional documents. The findings suggest that institutional AI governance is more accurately conceptualized as an evolving organizational process rather than solely the outcome of policy formulation.</w:t>
      </w:r>
    </w:p>
    <w:p w14:paraId="19DBDB04" w14:textId="77777777" w:rsidR="009C1234" w:rsidRDefault="009C1234" w:rsidP="009C1234">
      <w:pPr>
        <w:pStyle w:val="NormalWeb"/>
        <w:spacing w:before="0" w:beforeAutospacing="0" w:after="0" w:afterAutospacing="0"/>
      </w:pPr>
      <w:r>
        <w:rPr>
          <w:rFonts w:ascii="Arial" w:hAnsi="Arial" w:cs="Arial"/>
          <w:color w:val="000000"/>
          <w:sz w:val="20"/>
          <w:szCs w:val="20"/>
        </w:rPr>
        <w:t>At the institutional level, the university adopted a governance orientation focused on responsible and human-directed use of GenAI. The analysis revealed that the documentation of conditions supporting these commitments was uneven, with organizational factors such as leadership, governance structure, competence development, resources, and readiness being most prominent. The institutionalization process was characterized by a progression from developing organizational capability, to assigning formal responsibility, and ultimately to embedding governance expectations within ongoing institutional arrangements.</w:t>
      </w:r>
    </w:p>
    <w:p w14:paraId="226DE6F2" w14:textId="77777777" w:rsidR="009C1234" w:rsidRDefault="009C1234" w:rsidP="009C1234">
      <w:pPr>
        <w:pStyle w:val="NormalWeb"/>
        <w:spacing w:before="0" w:beforeAutospacing="0" w:after="0" w:afterAutospacing="0"/>
      </w:pPr>
      <w:r>
        <w:rPr>
          <w:rFonts w:ascii="Arial" w:hAnsi="Arial" w:cs="Arial"/>
          <w:color w:val="000000"/>
          <w:sz w:val="20"/>
          <w:szCs w:val="20"/>
        </w:rPr>
        <w:t>A key management insight is that the effectiveness and sustainability of AI governance depend on an institution’s capacity to translate technological change into organizational capability and responsibility. While policy can establish expectations, institutionalization requires structures, personnel, resources, coordination, and ongoing mechanisms to enact and adapt those expectations. This case demonstrates that AI governance should be viewed as a continuous institutional management process rather than a one-time compliance activity.</w:t>
      </w:r>
    </w:p>
    <w:p w14:paraId="6D41981F" w14:textId="77777777" w:rsidR="009C1234" w:rsidRDefault="009C1234" w:rsidP="009C1234"/>
    <w:p w14:paraId="0875BEAC" w14:textId="77777777" w:rsidR="009C1234" w:rsidRPr="009C1234" w:rsidRDefault="009C1234" w:rsidP="009C1234">
      <w:pPr>
        <w:pStyle w:val="Heading3"/>
        <w:spacing w:before="0"/>
        <w:rPr>
          <w:b/>
          <w:bCs/>
          <w:sz w:val="22"/>
          <w:szCs w:val="22"/>
        </w:rPr>
      </w:pPr>
      <w:r w:rsidRPr="009C1234">
        <w:rPr>
          <w:rFonts w:ascii="Arial" w:hAnsi="Arial" w:cs="Arial"/>
          <w:b/>
          <w:bCs/>
          <w:color w:val="000000"/>
          <w:sz w:val="22"/>
          <w:szCs w:val="22"/>
        </w:rPr>
        <w:t>4.2 Implications for Management and Practice</w:t>
      </w:r>
    </w:p>
    <w:p w14:paraId="2820850F" w14:textId="77777777" w:rsidR="009C1234" w:rsidRDefault="009C1234" w:rsidP="009C1234"/>
    <w:p w14:paraId="029D4940" w14:textId="77777777" w:rsidR="009C1234" w:rsidRDefault="009C1234" w:rsidP="009C1234">
      <w:pPr>
        <w:pStyle w:val="NormalWeb"/>
        <w:spacing w:before="0" w:beforeAutospacing="0" w:after="0" w:afterAutospacing="0"/>
      </w:pPr>
      <w:r>
        <w:rPr>
          <w:rFonts w:ascii="Arial" w:hAnsi="Arial" w:cs="Arial"/>
          <w:color w:val="000000"/>
          <w:sz w:val="20"/>
          <w:szCs w:val="20"/>
        </w:rPr>
        <w:t>The findings have several implications for higher education managers and institutional decision-makers.</w:t>
      </w:r>
    </w:p>
    <w:p w14:paraId="670FC396" w14:textId="77777777" w:rsidR="009C1234" w:rsidRDefault="009C1234" w:rsidP="009C1234">
      <w:pPr>
        <w:pStyle w:val="NormalWeb"/>
        <w:spacing w:before="0" w:beforeAutospacing="0" w:after="0" w:afterAutospacing="0"/>
      </w:pPr>
      <w:r>
        <w:rPr>
          <w:rFonts w:ascii="Arial" w:hAnsi="Arial" w:cs="Arial"/>
          <w:color w:val="000000"/>
          <w:sz w:val="20"/>
          <w:szCs w:val="20"/>
        </w:rPr>
        <w:t>First, AI governance should be managed as an organizational capability rather than exclusively as a policy function. Institutional leaders should assess whether faculty, staff, administrators, and governance bodies possess the knowledge and resources required to implement responsible AI expectations. Capability development should accompany policy development, rather than be treated as an optional subsequent activity.</w:t>
      </w:r>
    </w:p>
    <w:p w14:paraId="62CF3932" w14:textId="77777777" w:rsidR="009C1234" w:rsidRDefault="009C1234" w:rsidP="009C1234">
      <w:pPr>
        <w:pStyle w:val="NormalWeb"/>
        <w:spacing w:before="0" w:beforeAutospacing="0" w:after="0" w:afterAutospacing="0"/>
      </w:pPr>
      <w:r>
        <w:rPr>
          <w:rFonts w:ascii="Arial" w:hAnsi="Arial" w:cs="Arial"/>
          <w:color w:val="000000"/>
          <w:sz w:val="20"/>
          <w:szCs w:val="20"/>
        </w:rPr>
        <w:t>Second, responsibility for AI governance should be clearly assigned and coordinated at the organizational level. Establishing a cross-functional governance mechanism highlights the importance of integrating academic, administrative, technological, and compliance perspectives. Institutions should avoid delegating AI governance solely to individual units or users when its implications extend across organizational boundaries.</w:t>
      </w:r>
    </w:p>
    <w:p w14:paraId="42D20CA1" w14:textId="77777777" w:rsidR="009C1234" w:rsidRDefault="009C1234" w:rsidP="009C1234">
      <w:pPr>
        <w:pStyle w:val="NormalWeb"/>
        <w:spacing w:before="0" w:beforeAutospacing="0" w:after="0" w:afterAutospacing="0"/>
      </w:pPr>
      <w:r>
        <w:rPr>
          <w:rFonts w:ascii="Arial" w:hAnsi="Arial" w:cs="Arial"/>
          <w:color w:val="000000"/>
          <w:sz w:val="20"/>
          <w:szCs w:val="20"/>
        </w:rPr>
        <w:t xml:space="preserve">Third, policy implementation necessitates ongoing management mechanisms. Training, policy review, auditing, and governance responsibilities should be regarded as continuous organizational processes rather than tasks completed upon policy approval. This approach is </w:t>
      </w:r>
      <w:r>
        <w:rPr>
          <w:rFonts w:ascii="Arial" w:hAnsi="Arial" w:cs="Arial"/>
          <w:color w:val="000000"/>
          <w:sz w:val="20"/>
          <w:szCs w:val="20"/>
        </w:rPr>
        <w:lastRenderedPageBreak/>
        <w:t>essential given the evolving nature of GenAI technologies, applications, and associated risks.</w:t>
      </w:r>
    </w:p>
    <w:p w14:paraId="0F3B51AF" w14:textId="77777777" w:rsidR="009C1234" w:rsidRDefault="009C1234" w:rsidP="009C1234">
      <w:pPr>
        <w:pStyle w:val="NormalWeb"/>
        <w:spacing w:before="0" w:beforeAutospacing="0" w:after="0" w:afterAutospacing="0"/>
      </w:pPr>
      <w:r>
        <w:rPr>
          <w:rFonts w:ascii="Arial" w:hAnsi="Arial" w:cs="Arial"/>
          <w:color w:val="000000"/>
          <w:sz w:val="20"/>
          <w:szCs w:val="20"/>
        </w:rPr>
        <w:t>Finally, management should balance standardization with institutional learning. While common governance principles can ensure consistency across the university, implementation may require ongoing interpretation as new use cases and risks arise. The objective is to develop organizational capacity to make, review, and adapt AI governance decisions over time, rather than to establish a static set of rules.</w:t>
      </w:r>
    </w:p>
    <w:p w14:paraId="71B96E34" w14:textId="77777777" w:rsidR="009C1234" w:rsidRDefault="009C1234" w:rsidP="009C1234"/>
    <w:p w14:paraId="71C5B39A" w14:textId="77777777" w:rsidR="009C1234" w:rsidRPr="009C1234" w:rsidRDefault="009C1234" w:rsidP="009C1234">
      <w:pPr>
        <w:pStyle w:val="Heading3"/>
        <w:spacing w:before="0"/>
        <w:rPr>
          <w:b/>
          <w:bCs/>
          <w:sz w:val="22"/>
          <w:szCs w:val="22"/>
        </w:rPr>
      </w:pPr>
      <w:r w:rsidRPr="009C1234">
        <w:rPr>
          <w:rFonts w:ascii="Arial" w:hAnsi="Arial" w:cs="Arial"/>
          <w:b/>
          <w:bCs/>
          <w:color w:val="000000"/>
          <w:sz w:val="22"/>
          <w:szCs w:val="22"/>
        </w:rPr>
        <w:t>4.3 Contributions to Literature</w:t>
      </w:r>
    </w:p>
    <w:p w14:paraId="48881EBE" w14:textId="77777777" w:rsidR="009C1234" w:rsidRDefault="009C1234" w:rsidP="009C1234"/>
    <w:p w14:paraId="29104C58" w14:textId="77777777" w:rsidR="009C1234" w:rsidRDefault="009C1234" w:rsidP="009C1234">
      <w:pPr>
        <w:pStyle w:val="NormalWeb"/>
        <w:spacing w:before="0" w:beforeAutospacing="0" w:after="0" w:afterAutospacing="0"/>
      </w:pPr>
      <w:r>
        <w:rPr>
          <w:rFonts w:ascii="Arial" w:hAnsi="Arial" w:cs="Arial"/>
          <w:color w:val="000000"/>
          <w:sz w:val="20"/>
          <w:szCs w:val="20"/>
        </w:rPr>
        <w:t>This study offers two related contributions to the literature.</w:t>
      </w:r>
    </w:p>
    <w:p w14:paraId="714DA654" w14:textId="77777777" w:rsidR="009C1234" w:rsidRDefault="009C1234" w:rsidP="009C1234">
      <w:pPr>
        <w:pStyle w:val="NormalWeb"/>
        <w:spacing w:before="0" w:beforeAutospacing="0" w:after="0" w:afterAutospacing="0"/>
      </w:pPr>
      <w:r>
        <w:rPr>
          <w:rFonts w:ascii="Arial" w:hAnsi="Arial" w:cs="Arial"/>
          <w:color w:val="000000"/>
          <w:sz w:val="20"/>
          <w:szCs w:val="20"/>
        </w:rPr>
        <w:t>First, this study extends the application of the Technology–Organization–Environment (TOE) framework beyond technology adoption to the analysis of institutional AI governance. While TOE has traditionally explained organizational technology adoption through technological, organizational, and environmental conditions (</w:t>
      </w:r>
      <w:proofErr w:type="spellStart"/>
      <w:r>
        <w:rPr>
          <w:rFonts w:ascii="Arial" w:hAnsi="Arial" w:cs="Arial"/>
          <w:color w:val="000000"/>
          <w:sz w:val="20"/>
          <w:szCs w:val="20"/>
        </w:rPr>
        <w:t>Tornatzky</w:t>
      </w:r>
      <w:proofErr w:type="spellEnd"/>
      <w:r>
        <w:rPr>
          <w:rFonts w:ascii="Arial" w:hAnsi="Arial" w:cs="Arial"/>
          <w:color w:val="000000"/>
          <w:sz w:val="20"/>
          <w:szCs w:val="20"/>
        </w:rPr>
        <w:t xml:space="preserve"> &amp; Fleischer, 1990), the present study demonstrates its value for examining the conditions that shape the institutionalization of governance commitments. The findings also indicate that these three contexts do not necessarily exert equal influence; in this case, organizational conditions were most strongly documented.</w:t>
      </w:r>
    </w:p>
    <w:p w14:paraId="4AF2E6F7" w14:textId="77777777" w:rsidR="009C1234" w:rsidRDefault="009C1234" w:rsidP="009C1234">
      <w:pPr>
        <w:pStyle w:val="NormalWeb"/>
        <w:spacing w:before="0" w:beforeAutospacing="0" w:after="0" w:afterAutospacing="0"/>
      </w:pPr>
      <w:r>
        <w:rPr>
          <w:rFonts w:ascii="Arial" w:hAnsi="Arial" w:cs="Arial"/>
          <w:color w:val="000000"/>
          <w:sz w:val="20"/>
          <w:szCs w:val="20"/>
        </w:rPr>
        <w:t>Second, the study provides an empirically grounded interpretation of institutionalization as a capability–structure–formalization process. The documentary evidence indicates that institutional governance develops as organizations build capability to engage with technology, establish structures to allocate responsibility, and formalize expectations through policy and ongoing oversight. This interpretation complements recent research emphasizing that higher-education AI requires operational mechanisms that link policy decisions, responsibilities, stewards, implementation tools, and review processes (Nguyen, 2026).</w:t>
      </w:r>
    </w:p>
    <w:p w14:paraId="639374B5" w14:textId="77777777" w:rsidR="009C1234" w:rsidRDefault="009C1234" w:rsidP="009C1234">
      <w:pPr>
        <w:pStyle w:val="NormalWeb"/>
        <w:spacing w:before="0" w:beforeAutospacing="0" w:after="0" w:afterAutospacing="0"/>
      </w:pPr>
      <w:r>
        <w:rPr>
          <w:rFonts w:ascii="Arial" w:hAnsi="Arial" w:cs="Arial"/>
          <w:color w:val="000000"/>
          <w:sz w:val="20"/>
          <w:szCs w:val="20"/>
        </w:rPr>
        <w:t>This contribution does not assert that the capability–structure–formalization pattern represents a universal model. Instead, it offers a theoretically informed explanation of how AI governance became progressively embedded within a single higher education institution and provides a foundation for comparative research across institutions and contexts.</w:t>
      </w:r>
    </w:p>
    <w:p w14:paraId="2AF141EF" w14:textId="77777777" w:rsidR="009C1234" w:rsidRDefault="009C1234" w:rsidP="009C1234"/>
    <w:p w14:paraId="047B432C" w14:textId="77777777" w:rsidR="009C1234" w:rsidRPr="009C1234" w:rsidRDefault="009C1234" w:rsidP="009C1234">
      <w:pPr>
        <w:pStyle w:val="Heading3"/>
        <w:spacing w:before="0"/>
        <w:rPr>
          <w:b/>
          <w:bCs/>
          <w:sz w:val="22"/>
          <w:szCs w:val="22"/>
        </w:rPr>
      </w:pPr>
      <w:r w:rsidRPr="009C1234">
        <w:rPr>
          <w:rFonts w:ascii="Arial" w:hAnsi="Arial" w:cs="Arial"/>
          <w:b/>
          <w:bCs/>
          <w:color w:val="000000"/>
          <w:sz w:val="22"/>
          <w:szCs w:val="22"/>
        </w:rPr>
        <w:t>4.4 Limitations and Directions for Future Research</w:t>
      </w:r>
    </w:p>
    <w:p w14:paraId="07CC9E31" w14:textId="77777777" w:rsidR="009C1234" w:rsidRDefault="009C1234" w:rsidP="009C1234"/>
    <w:p w14:paraId="4FDD81E9" w14:textId="77777777" w:rsidR="009C1234" w:rsidRDefault="009C1234" w:rsidP="009C1234">
      <w:pPr>
        <w:pStyle w:val="NormalWeb"/>
        <w:spacing w:before="0" w:beforeAutospacing="0" w:after="0" w:afterAutospacing="0"/>
      </w:pPr>
      <w:r>
        <w:rPr>
          <w:rFonts w:ascii="Arial" w:hAnsi="Arial" w:cs="Arial"/>
          <w:color w:val="000000"/>
          <w:sz w:val="20"/>
          <w:szCs w:val="20"/>
        </w:rPr>
        <w:t>This study has several limitations. First, it focused on a single higher education institution, so the findings should not be directly generalized to other universities or national contexts. Second, the analysis relied on three core institutional documents. While these documents provide substantive evidence of formal commitments and documented organizational conditions, they do not capture all AI-related activities, decisions, or informal practices within the institution.</w:t>
      </w:r>
    </w:p>
    <w:p w14:paraId="7FCDA5C0" w14:textId="77777777" w:rsidR="009C1234" w:rsidRDefault="009C1234" w:rsidP="009C1234">
      <w:pPr>
        <w:pStyle w:val="NormalWeb"/>
        <w:spacing w:before="0" w:beforeAutospacing="0" w:after="0" w:afterAutospacing="0"/>
      </w:pPr>
      <w:r>
        <w:rPr>
          <w:rFonts w:ascii="Arial" w:hAnsi="Arial" w:cs="Arial"/>
          <w:color w:val="000000"/>
          <w:sz w:val="20"/>
          <w:szCs w:val="20"/>
        </w:rPr>
        <w:t>Third, documentary analysis reflects only what the institution has formally documented, not how governance arrangements are experienced or implemented by organizational members. Consequently, the study cannot determine whether the commitments identified in D1 are consistently enacted in practice or how administrators, faculty, staff, and students interpret them. Interviews, observations, and implementation evidence could yield a more comprehensive understanding of the relationship between formal governance and organizational practice.</w:t>
      </w:r>
    </w:p>
    <w:p w14:paraId="0F5CBC5A" w14:textId="77777777" w:rsidR="009C1234" w:rsidRDefault="009C1234" w:rsidP="009C1234">
      <w:pPr>
        <w:pStyle w:val="NormalWeb"/>
        <w:spacing w:before="0" w:beforeAutospacing="0" w:after="0" w:afterAutospacing="0"/>
      </w:pPr>
      <w:r>
        <w:rPr>
          <w:rFonts w:ascii="Arial" w:hAnsi="Arial" w:cs="Arial"/>
          <w:color w:val="000000"/>
          <w:sz w:val="20"/>
          <w:szCs w:val="20"/>
        </w:rPr>
        <w:t>Fourth, the study’s use of the TOE framework necessarily directs attention to conditions represented within the selected constructs. Limited or absent documentary evidence for certain constructs should not be interpreted as evidence that these conditions do not exist within the institution. Finally, GenAI governance is an evolving area, and institutional policies, structures, and practices may change as technologies, regulations, and organizational experience advance.</w:t>
      </w:r>
    </w:p>
    <w:p w14:paraId="4D7D247C" w14:textId="053D32DA" w:rsidR="009C1234" w:rsidRPr="009C1234" w:rsidRDefault="009C1234" w:rsidP="009C1234">
      <w:pPr>
        <w:pStyle w:val="NormalWeb"/>
        <w:spacing w:before="0" w:beforeAutospacing="0" w:after="0" w:afterAutospacing="0"/>
      </w:pPr>
      <w:r>
        <w:rPr>
          <w:rFonts w:ascii="Arial" w:hAnsi="Arial" w:cs="Arial"/>
          <w:color w:val="000000"/>
          <w:sz w:val="20"/>
          <w:szCs w:val="20"/>
        </w:rPr>
        <w:lastRenderedPageBreak/>
        <w:t>Future research could extend this study through comparative analyses of multiple higher education institutions, particularly across diverse organizational and national contexts. Studies that combine document analysis with interviews or observations could examine whether the documented progression from capability development to formal governance is reflected in actual organizational practice. Longitudinal research would be especially valuable for determining whether formal AI governance arrangements remain stable, are revised in response to emerging risks, or become further embedded in institutional routines.</w:t>
      </w:r>
    </w:p>
    <w:p w14:paraId="5217BEBB" w14:textId="77777777" w:rsidR="009C1234" w:rsidRPr="004C2541" w:rsidRDefault="009C1234" w:rsidP="004C2541">
      <w:pPr>
        <w:rPr>
          <w:rFonts w:ascii="Arial" w:hAnsi="Arial" w:cs="Arial"/>
          <w:color w:val="000000" w:themeColor="text1"/>
          <w:sz w:val="20"/>
          <w:szCs w:val="20"/>
        </w:rPr>
      </w:pPr>
    </w:p>
    <w:p w14:paraId="3EE0EA83" w14:textId="77777777" w:rsidR="004C2541" w:rsidRPr="004C2541" w:rsidRDefault="004C2541" w:rsidP="004C2541">
      <w:pPr>
        <w:rPr>
          <w:rFonts w:ascii="Arial" w:hAnsi="Arial" w:cs="Arial"/>
          <w:color w:val="000000" w:themeColor="text1"/>
          <w:sz w:val="20"/>
          <w:szCs w:val="20"/>
        </w:rPr>
      </w:pPr>
    </w:p>
    <w:p w14:paraId="1C777082" w14:textId="77777777" w:rsidR="00860000" w:rsidRPr="004C2541" w:rsidRDefault="00860000" w:rsidP="004C2541">
      <w:pPr>
        <w:pStyle w:val="ReferHead"/>
        <w:spacing w:after="0"/>
        <w:jc w:val="both"/>
        <w:rPr>
          <w:rFonts w:ascii="Arial" w:hAnsi="Arial" w:cs="Arial"/>
          <w:bCs/>
          <w:szCs w:val="22"/>
        </w:rPr>
      </w:pPr>
      <w:r w:rsidRPr="004C2541">
        <w:rPr>
          <w:rFonts w:ascii="Arial" w:hAnsi="Arial" w:cs="Arial"/>
          <w:bCs/>
          <w:szCs w:val="22"/>
        </w:rPr>
        <w:t>Competing interests</w:t>
      </w:r>
    </w:p>
    <w:p w14:paraId="2D23F136" w14:textId="77777777" w:rsidR="00860000" w:rsidRPr="004C2541" w:rsidRDefault="00860000" w:rsidP="004C2541">
      <w:pPr>
        <w:pStyle w:val="ReferHead"/>
        <w:spacing w:after="0"/>
        <w:jc w:val="both"/>
        <w:rPr>
          <w:rFonts w:ascii="Arial" w:hAnsi="Arial" w:cs="Arial"/>
          <w:sz w:val="20"/>
          <w:szCs w:val="20"/>
        </w:rPr>
      </w:pPr>
    </w:p>
    <w:p w14:paraId="1EC98789" w14:textId="48DD9D47" w:rsidR="00860000" w:rsidRDefault="00C42725" w:rsidP="00441B6F">
      <w:pPr>
        <w:pStyle w:val="ReferHead"/>
        <w:spacing w:after="0"/>
        <w:jc w:val="both"/>
        <w:rPr>
          <w:rFonts w:ascii="Arial" w:hAnsi="Arial" w:cs="Arial"/>
          <w:b w:val="0"/>
          <w:caps w:val="0"/>
          <w:sz w:val="20"/>
        </w:rPr>
      </w:pPr>
      <w:r>
        <w:rPr>
          <w:rFonts w:ascii="Arial" w:hAnsi="Arial" w:cs="Arial"/>
          <w:b w:val="0"/>
          <w:caps w:val="0"/>
          <w:sz w:val="20"/>
        </w:rPr>
        <w:t>The author has</w:t>
      </w:r>
      <w:r w:rsidR="00E66E10" w:rsidRPr="00C42725">
        <w:rPr>
          <w:rFonts w:ascii="Arial" w:hAnsi="Arial" w:cs="Arial"/>
          <w:b w:val="0"/>
          <w:caps w:val="0"/>
          <w:sz w:val="20"/>
        </w:rPr>
        <w:t xml:space="preserve"> declared that no competing interests exist.</w:t>
      </w:r>
    </w:p>
    <w:p w14:paraId="32E579D5" w14:textId="77777777" w:rsidR="008F5ECA" w:rsidRDefault="008F5ECA" w:rsidP="008F5ECA">
      <w:pPr>
        <w:rPr>
          <w:b/>
        </w:rPr>
      </w:pPr>
      <w:r w:rsidRPr="000839CE">
        <w:rPr>
          <w:b/>
        </w:rPr>
        <w:t>Declaration of AI Use</w:t>
      </w:r>
    </w:p>
    <w:p w14:paraId="287FA6D0" w14:textId="77777777" w:rsidR="008F5ECA" w:rsidRDefault="008F5ECA" w:rsidP="008F5ECA">
      <w:pPr>
        <w:rPr>
          <w:b/>
        </w:rPr>
      </w:pPr>
    </w:p>
    <w:p w14:paraId="442F4983" w14:textId="77777777" w:rsidR="008F5ECA" w:rsidRDefault="008F5ECA" w:rsidP="008F5ECA">
      <w:pPr>
        <w:rPr>
          <w:b/>
        </w:rPr>
      </w:pPr>
    </w:p>
    <w:p w14:paraId="6523F929" w14:textId="77777777" w:rsidR="008F5ECA" w:rsidRDefault="008F5ECA" w:rsidP="008F5ECA">
      <w:pPr>
        <w:rPr>
          <w:b/>
        </w:rPr>
      </w:pPr>
    </w:p>
    <w:p w14:paraId="301A7A2E" w14:textId="77777777" w:rsidR="008F5ECA" w:rsidRPr="002D08AC" w:rsidRDefault="008F5ECA" w:rsidP="008F5ECA">
      <w:pPr>
        <w:rPr>
          <w:rFonts w:ascii="Arial" w:hAnsi="Arial" w:cs="Arial"/>
          <w:sz w:val="20"/>
          <w:szCs w:val="20"/>
        </w:rPr>
      </w:pPr>
      <w:r w:rsidRPr="002D08AC">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321A3810" w14:textId="77777777" w:rsidR="008F5ECA" w:rsidRDefault="008F5ECA" w:rsidP="00441B6F">
      <w:pPr>
        <w:pStyle w:val="ReferHead"/>
        <w:spacing w:after="0"/>
        <w:jc w:val="both"/>
        <w:rPr>
          <w:rFonts w:ascii="Arial" w:hAnsi="Arial" w:cs="Arial"/>
          <w:b w:val="0"/>
          <w:caps w:val="0"/>
          <w:sz w:val="20"/>
        </w:rPr>
      </w:pPr>
    </w:p>
    <w:p w14:paraId="63113149" w14:textId="77777777" w:rsidR="00C42725" w:rsidRDefault="00C42725" w:rsidP="00441B6F">
      <w:pPr>
        <w:pStyle w:val="ReferHead"/>
        <w:spacing w:after="0"/>
        <w:jc w:val="both"/>
        <w:rPr>
          <w:rFonts w:ascii="Arial" w:hAnsi="Arial" w:cs="Arial"/>
        </w:rPr>
      </w:pPr>
    </w:p>
    <w:p w14:paraId="34614366" w14:textId="77777777" w:rsidR="00B01FCD" w:rsidRDefault="00B01FCD" w:rsidP="00441B6F">
      <w:pPr>
        <w:pStyle w:val="ReferHead"/>
        <w:spacing w:after="0"/>
        <w:jc w:val="both"/>
        <w:rPr>
          <w:rFonts w:ascii="Arial" w:hAnsi="Arial" w:cs="Arial"/>
        </w:rPr>
      </w:pPr>
      <w:r w:rsidRPr="00FB3A86">
        <w:rPr>
          <w:rFonts w:ascii="Arial" w:hAnsi="Arial" w:cs="Arial"/>
        </w:rPr>
        <w:t>References</w:t>
      </w:r>
    </w:p>
    <w:p w14:paraId="1263757A" w14:textId="77777777" w:rsidR="00790ADA" w:rsidRPr="00FB3A86" w:rsidRDefault="00790ADA" w:rsidP="00441B6F">
      <w:pPr>
        <w:pStyle w:val="ReferHead"/>
        <w:spacing w:after="0"/>
        <w:jc w:val="both"/>
        <w:rPr>
          <w:rFonts w:ascii="Arial" w:hAnsi="Arial" w:cs="Arial"/>
        </w:rPr>
      </w:pPr>
    </w:p>
    <w:p w14:paraId="58548457" w14:textId="7F560966" w:rsidR="004D4277" w:rsidRPr="00FB3A86" w:rsidRDefault="004D4277" w:rsidP="00441B6F">
      <w:pPr>
        <w:pStyle w:val="Appendix"/>
        <w:spacing w:after="0"/>
        <w:jc w:val="both"/>
        <w:rPr>
          <w:rFonts w:ascii="Arial" w:hAnsi="Arial" w:cs="Arial"/>
          <w:b w:val="0"/>
        </w:rPr>
        <w:sectPr w:rsidR="004D4277" w:rsidRPr="00FB3A86" w:rsidSect="0092560C">
          <w:headerReference w:type="even" r:id="rId14"/>
          <w:headerReference w:type="default" r:id="rId15"/>
          <w:footerReference w:type="default" r:id="rId16"/>
          <w:headerReference w:type="first" r:id="rId17"/>
          <w:type w:val="continuous"/>
          <w:pgSz w:w="12240" w:h="15840"/>
          <w:pgMar w:top="1440" w:right="2016" w:bottom="2016" w:left="2016" w:header="720" w:footer="1123" w:gutter="0"/>
          <w:cols w:space="720"/>
          <w:docGrid w:linePitch="272"/>
        </w:sectPr>
      </w:pPr>
    </w:p>
    <w:p w14:paraId="3245BED4" w14:textId="77777777" w:rsidR="00311822" w:rsidRDefault="00311822" w:rsidP="00311822">
      <w:pPr>
        <w:pStyle w:val="NormalWeb"/>
        <w:spacing w:before="0" w:beforeAutospacing="0" w:after="0" w:afterAutospacing="0"/>
        <w:ind w:left="450" w:hanging="450"/>
      </w:pPr>
      <w:r>
        <w:rPr>
          <w:rFonts w:ascii="Arial" w:hAnsi="Arial" w:cs="Arial"/>
          <w:color w:val="000000"/>
          <w:sz w:val="20"/>
          <w:szCs w:val="20"/>
        </w:rPr>
        <w:t xml:space="preserve">Al-Khatib, A. W. (2023). Drivers of generative artificial intelligence to fostering exploitative and exploratory innovation: A TOE framework. </w:t>
      </w:r>
      <w:r>
        <w:rPr>
          <w:rFonts w:ascii="Arial" w:hAnsi="Arial" w:cs="Arial"/>
          <w:i/>
          <w:iCs/>
          <w:color w:val="000000"/>
          <w:sz w:val="20"/>
          <w:szCs w:val="20"/>
        </w:rPr>
        <w:t>Technology in Society, 75</w:t>
      </w:r>
      <w:r>
        <w:rPr>
          <w:rFonts w:ascii="Arial" w:hAnsi="Arial" w:cs="Arial"/>
          <w:color w:val="000000"/>
          <w:sz w:val="20"/>
          <w:szCs w:val="20"/>
        </w:rPr>
        <w:t>, 102403. https://doi.org/10.1016/j.techsoc.2023.102403</w:t>
      </w:r>
    </w:p>
    <w:p w14:paraId="5752DB01" w14:textId="2558B02D" w:rsidR="007B073A" w:rsidRPr="007B073A" w:rsidRDefault="007B073A" w:rsidP="00311822">
      <w:pPr>
        <w:pStyle w:val="NormalWeb"/>
        <w:spacing w:before="0" w:beforeAutospacing="0" w:after="0" w:afterAutospacing="0"/>
        <w:ind w:left="450" w:hanging="450"/>
        <w:rPr>
          <w:rFonts w:ascii="Arial" w:hAnsi="Arial" w:cs="Arial"/>
          <w:color w:val="000000" w:themeColor="text1"/>
          <w:sz w:val="20"/>
          <w:szCs w:val="20"/>
        </w:rPr>
      </w:pPr>
      <w:r w:rsidRPr="007B073A">
        <w:rPr>
          <w:rFonts w:ascii="Arial" w:hAnsi="Arial" w:cs="Arial"/>
          <w:color w:val="000000" w:themeColor="text1"/>
          <w:sz w:val="20"/>
          <w:szCs w:val="20"/>
        </w:rPr>
        <w:t xml:space="preserve">An, Y., Yu, J. H., &amp; James, S. (2025). </w:t>
      </w:r>
      <w:r w:rsidRPr="007B073A">
        <w:rPr>
          <w:rFonts w:ascii="Arial" w:hAnsi="Arial" w:cs="Arial"/>
          <w:i/>
          <w:iCs/>
          <w:color w:val="000000" w:themeColor="text1"/>
          <w:sz w:val="20"/>
          <w:szCs w:val="20"/>
        </w:rPr>
        <w:t>Investigating the higher education institutions’ guidelines and policies regarding the use of generative AI in teaching, learning, research, and administration</w:t>
      </w:r>
      <w:r w:rsidRPr="007B073A">
        <w:rPr>
          <w:rFonts w:ascii="Arial" w:hAnsi="Arial" w:cs="Arial"/>
          <w:color w:val="000000" w:themeColor="text1"/>
          <w:sz w:val="20"/>
          <w:szCs w:val="20"/>
        </w:rPr>
        <w:t xml:space="preserve">. </w:t>
      </w:r>
      <w:r w:rsidRPr="007B073A">
        <w:rPr>
          <w:rFonts w:ascii="Arial" w:hAnsi="Arial" w:cs="Arial"/>
          <w:i/>
          <w:iCs/>
          <w:color w:val="000000" w:themeColor="text1"/>
          <w:sz w:val="20"/>
          <w:szCs w:val="20"/>
        </w:rPr>
        <w:t>International Journal of Educational Technology in Higher Education, 22</w:t>
      </w:r>
      <w:r w:rsidRPr="007B073A">
        <w:rPr>
          <w:rFonts w:ascii="Arial" w:hAnsi="Arial" w:cs="Arial"/>
          <w:color w:val="000000" w:themeColor="text1"/>
          <w:sz w:val="20"/>
          <w:szCs w:val="20"/>
        </w:rPr>
        <w:t xml:space="preserve">, 10. </w:t>
      </w:r>
      <w:hyperlink r:id="rId18" w:tgtFrame="_new" w:history="1">
        <w:r w:rsidRPr="007B073A">
          <w:rPr>
            <w:rFonts w:ascii="Arial" w:hAnsi="Arial" w:cs="Arial"/>
            <w:color w:val="000000" w:themeColor="text1"/>
            <w:sz w:val="20"/>
            <w:szCs w:val="20"/>
          </w:rPr>
          <w:t>https://doi.org/10.1186/s41239-025-00507-3</w:t>
        </w:r>
      </w:hyperlink>
    </w:p>
    <w:p w14:paraId="508EE65C" w14:textId="77777777" w:rsidR="00311822" w:rsidRDefault="00311822" w:rsidP="00311822">
      <w:pPr>
        <w:pStyle w:val="NormalWeb"/>
        <w:spacing w:before="0" w:beforeAutospacing="0" w:after="0" w:afterAutospacing="0"/>
        <w:ind w:left="450" w:hanging="450"/>
      </w:pPr>
      <w:r>
        <w:rPr>
          <w:rFonts w:ascii="Arial" w:hAnsi="Arial" w:cs="Arial"/>
          <w:color w:val="000000"/>
          <w:sz w:val="20"/>
          <w:szCs w:val="20"/>
        </w:rPr>
        <w:t xml:space="preserve">Bacalso, F. D., Villamor, F. E., </w:t>
      </w:r>
      <w:proofErr w:type="spellStart"/>
      <w:r>
        <w:rPr>
          <w:rFonts w:ascii="Arial" w:hAnsi="Arial" w:cs="Arial"/>
          <w:color w:val="000000"/>
          <w:sz w:val="20"/>
          <w:szCs w:val="20"/>
        </w:rPr>
        <w:t>Paclipan</w:t>
      </w:r>
      <w:proofErr w:type="spellEnd"/>
      <w:r>
        <w:rPr>
          <w:rFonts w:ascii="Arial" w:hAnsi="Arial" w:cs="Arial"/>
          <w:color w:val="000000"/>
          <w:sz w:val="20"/>
          <w:szCs w:val="20"/>
        </w:rPr>
        <w:t xml:space="preserve">, C. P., </w:t>
      </w:r>
      <w:proofErr w:type="spellStart"/>
      <w:r>
        <w:rPr>
          <w:rFonts w:ascii="Arial" w:hAnsi="Arial" w:cs="Arial"/>
          <w:color w:val="000000"/>
          <w:sz w:val="20"/>
          <w:szCs w:val="20"/>
        </w:rPr>
        <w:t>Orquia</w:t>
      </w:r>
      <w:proofErr w:type="spellEnd"/>
      <w:r>
        <w:rPr>
          <w:rFonts w:ascii="Arial" w:hAnsi="Arial" w:cs="Arial"/>
          <w:color w:val="000000"/>
          <w:sz w:val="20"/>
          <w:szCs w:val="20"/>
        </w:rPr>
        <w:t xml:space="preserve">, C. J. B., Rendon, I. P., Albiso, A. T., &amp; </w:t>
      </w:r>
      <w:proofErr w:type="spellStart"/>
      <w:r>
        <w:rPr>
          <w:rFonts w:ascii="Arial" w:hAnsi="Arial" w:cs="Arial"/>
          <w:color w:val="000000"/>
          <w:sz w:val="20"/>
          <w:szCs w:val="20"/>
        </w:rPr>
        <w:t>Himang</w:t>
      </w:r>
      <w:proofErr w:type="spellEnd"/>
      <w:r>
        <w:rPr>
          <w:rFonts w:ascii="Arial" w:hAnsi="Arial" w:cs="Arial"/>
          <w:color w:val="000000"/>
          <w:sz w:val="20"/>
          <w:szCs w:val="20"/>
        </w:rPr>
        <w:t xml:space="preserve">, C. M. (2026). Institutional approaches to generative AI management in higher education: A systematic review. </w:t>
      </w:r>
      <w:r>
        <w:rPr>
          <w:rFonts w:ascii="Arial" w:hAnsi="Arial" w:cs="Arial"/>
          <w:i/>
          <w:iCs/>
          <w:color w:val="000000"/>
          <w:sz w:val="20"/>
          <w:szCs w:val="20"/>
        </w:rPr>
        <w:t>Frontiers in Education, 11</w:t>
      </w:r>
      <w:r>
        <w:rPr>
          <w:rFonts w:ascii="Arial" w:hAnsi="Arial" w:cs="Arial"/>
          <w:color w:val="000000"/>
          <w:sz w:val="20"/>
          <w:szCs w:val="20"/>
        </w:rPr>
        <w:t>, 1814426.</w:t>
      </w:r>
      <w:hyperlink r:id="rId19" w:history="1">
        <w:r>
          <w:rPr>
            <w:rStyle w:val="Hyperlink"/>
            <w:rFonts w:ascii="Arial" w:hAnsi="Arial" w:cs="Arial"/>
            <w:color w:val="000000"/>
            <w:sz w:val="20"/>
            <w:szCs w:val="20"/>
            <w:u w:val="none"/>
          </w:rPr>
          <w:t xml:space="preserve"> </w:t>
        </w:r>
      </w:hyperlink>
      <w:hyperlink r:id="rId20" w:history="1">
        <w:r>
          <w:rPr>
            <w:rStyle w:val="Hyperlink"/>
            <w:rFonts w:ascii="Arial" w:hAnsi="Arial" w:cs="Arial"/>
            <w:color w:val="000000"/>
            <w:sz w:val="20"/>
            <w:szCs w:val="20"/>
            <w:u w:val="none"/>
          </w:rPr>
          <w:t>https://doi.org/10.3389/feduc.2026.1814426</w:t>
        </w:r>
      </w:hyperlink>
    </w:p>
    <w:p w14:paraId="1528469E" w14:textId="77777777" w:rsidR="00311822" w:rsidRDefault="00311822" w:rsidP="00311822">
      <w:pPr>
        <w:pStyle w:val="NormalWeb"/>
        <w:spacing w:before="0" w:beforeAutospacing="0" w:after="0" w:afterAutospacing="0"/>
        <w:ind w:left="450" w:hanging="450"/>
      </w:pPr>
      <w:proofErr w:type="spellStart"/>
      <w:r>
        <w:rPr>
          <w:rFonts w:ascii="Arial" w:hAnsi="Arial" w:cs="Arial"/>
          <w:color w:val="000000"/>
          <w:sz w:val="20"/>
          <w:szCs w:val="20"/>
        </w:rPr>
        <w:t>Berba</w:t>
      </w:r>
      <w:proofErr w:type="spellEnd"/>
      <w:r>
        <w:rPr>
          <w:rFonts w:ascii="Arial" w:hAnsi="Arial" w:cs="Arial"/>
          <w:color w:val="000000"/>
          <w:sz w:val="20"/>
          <w:szCs w:val="20"/>
        </w:rPr>
        <w:t xml:space="preserve">, E. M. (2025). Navigating the landscape of generative AI in higher education: Institutional policies, workforce readiness, and ethical guidelines. </w:t>
      </w:r>
      <w:r>
        <w:rPr>
          <w:rFonts w:ascii="Arial" w:hAnsi="Arial" w:cs="Arial"/>
          <w:i/>
          <w:iCs/>
          <w:color w:val="000000"/>
          <w:sz w:val="20"/>
          <w:szCs w:val="20"/>
        </w:rPr>
        <w:t>Management Science and Industrial Engineering</w:t>
      </w:r>
      <w:r>
        <w:rPr>
          <w:rFonts w:ascii="Arial" w:hAnsi="Arial" w:cs="Arial"/>
          <w:color w:val="000000"/>
          <w:sz w:val="20"/>
          <w:szCs w:val="20"/>
        </w:rPr>
        <w:t xml:space="preserve">. </w:t>
      </w:r>
      <w:hyperlink r:id="rId21" w:history="1">
        <w:r>
          <w:rPr>
            <w:rStyle w:val="Hyperlink"/>
            <w:rFonts w:ascii="Arial" w:hAnsi="Arial" w:cs="Arial"/>
            <w:color w:val="000000"/>
            <w:sz w:val="20"/>
            <w:szCs w:val="20"/>
            <w:u w:val="none"/>
          </w:rPr>
          <w:t>https://doi.org/10.3233/ATDE250550</w:t>
        </w:r>
      </w:hyperlink>
    </w:p>
    <w:p w14:paraId="4529E427" w14:textId="77777777" w:rsidR="00311822" w:rsidRDefault="00311822" w:rsidP="00311822">
      <w:pPr>
        <w:pStyle w:val="NormalWeb"/>
        <w:spacing w:before="0" w:beforeAutospacing="0" w:after="0" w:afterAutospacing="0"/>
        <w:ind w:left="450" w:hanging="450"/>
      </w:pPr>
      <w:r>
        <w:rPr>
          <w:rFonts w:ascii="Arial" w:hAnsi="Arial" w:cs="Arial"/>
          <w:color w:val="000000"/>
          <w:sz w:val="20"/>
          <w:szCs w:val="20"/>
        </w:rPr>
        <w:t xml:space="preserve">Bowen, G. A. (2009). Document analysis as a qualitative research method. </w:t>
      </w:r>
      <w:r>
        <w:rPr>
          <w:rFonts w:ascii="Arial" w:hAnsi="Arial" w:cs="Arial"/>
          <w:i/>
          <w:iCs/>
          <w:color w:val="000000"/>
          <w:sz w:val="20"/>
          <w:szCs w:val="20"/>
        </w:rPr>
        <w:t>Qualitative Research Journal, 9</w:t>
      </w:r>
      <w:r>
        <w:rPr>
          <w:rFonts w:ascii="Arial" w:hAnsi="Arial" w:cs="Arial"/>
          <w:color w:val="000000"/>
          <w:sz w:val="20"/>
          <w:szCs w:val="20"/>
        </w:rPr>
        <w:t>(2), 27–40.</w:t>
      </w:r>
      <w:hyperlink r:id="rId22" w:history="1">
        <w:r>
          <w:rPr>
            <w:rStyle w:val="Hyperlink"/>
            <w:rFonts w:ascii="Arial" w:hAnsi="Arial" w:cs="Arial"/>
            <w:color w:val="000000"/>
            <w:sz w:val="20"/>
            <w:szCs w:val="20"/>
            <w:u w:val="none"/>
          </w:rPr>
          <w:t xml:space="preserve"> https://doi.org/10.3316/QRJ0902027</w:t>
        </w:r>
      </w:hyperlink>
    </w:p>
    <w:p w14:paraId="73229451" w14:textId="77777777" w:rsidR="00311822" w:rsidRDefault="00311822" w:rsidP="00311822">
      <w:pPr>
        <w:pStyle w:val="NormalWeb"/>
        <w:spacing w:before="0" w:beforeAutospacing="0" w:after="0" w:afterAutospacing="0"/>
        <w:ind w:left="450" w:hanging="450"/>
      </w:pPr>
      <w:r>
        <w:rPr>
          <w:rFonts w:ascii="Arial" w:hAnsi="Arial" w:cs="Arial"/>
          <w:color w:val="000000"/>
          <w:sz w:val="20"/>
          <w:szCs w:val="20"/>
        </w:rPr>
        <w:t xml:space="preserve">Crompton, H., Burke, D., Nickel, C., Bozkurt, A., Miao, F., Sharples, M., Greene, J. A., Parsons, D., Gill-Simmen, L., </w:t>
      </w:r>
      <w:proofErr w:type="spellStart"/>
      <w:r>
        <w:rPr>
          <w:rFonts w:ascii="Arial" w:hAnsi="Arial" w:cs="Arial"/>
          <w:color w:val="000000"/>
          <w:sz w:val="20"/>
          <w:szCs w:val="20"/>
        </w:rPr>
        <w:t>Edmett</w:t>
      </w:r>
      <w:proofErr w:type="spellEnd"/>
      <w:r>
        <w:rPr>
          <w:rFonts w:ascii="Arial" w:hAnsi="Arial" w:cs="Arial"/>
          <w:color w:val="000000"/>
          <w:sz w:val="20"/>
          <w:szCs w:val="20"/>
        </w:rPr>
        <w:t xml:space="preserve">, A., </w:t>
      </w:r>
      <w:proofErr w:type="spellStart"/>
      <w:r>
        <w:rPr>
          <w:rFonts w:ascii="Arial" w:hAnsi="Arial" w:cs="Arial"/>
          <w:color w:val="000000"/>
          <w:sz w:val="20"/>
          <w:szCs w:val="20"/>
        </w:rPr>
        <w:t>Pegrum</w:t>
      </w:r>
      <w:proofErr w:type="spellEnd"/>
      <w:r>
        <w:rPr>
          <w:rFonts w:ascii="Arial" w:hAnsi="Arial" w:cs="Arial"/>
          <w:color w:val="000000"/>
          <w:sz w:val="20"/>
          <w:szCs w:val="20"/>
        </w:rPr>
        <w:t xml:space="preserve">, M., de Waard, I., Bonk, C. J., Garcia, M. B., Curry, J. H., Lindsey, L., Yang, M., Marshall, S., Bali, M., Deutsch, N., &amp; Yu, S. (2026). Governing generative AI in higher education: A global Delphi study on policy and practice. </w:t>
      </w:r>
      <w:r>
        <w:rPr>
          <w:rFonts w:ascii="Arial" w:hAnsi="Arial" w:cs="Arial"/>
          <w:i/>
          <w:iCs/>
          <w:color w:val="000000"/>
          <w:sz w:val="20"/>
          <w:szCs w:val="20"/>
        </w:rPr>
        <w:t>International Journal of Educational Technology in Higher Education, 23</w:t>
      </w:r>
      <w:r>
        <w:rPr>
          <w:rFonts w:ascii="Arial" w:hAnsi="Arial" w:cs="Arial"/>
          <w:color w:val="000000"/>
          <w:sz w:val="20"/>
          <w:szCs w:val="20"/>
        </w:rPr>
        <w:t>, 21. https://doi.org/10.1186/s41239-026-00602-z</w:t>
      </w:r>
    </w:p>
    <w:p w14:paraId="10A0D3B3" w14:textId="77777777" w:rsidR="00311822" w:rsidRDefault="00311822" w:rsidP="00311822">
      <w:pPr>
        <w:pStyle w:val="NormalWeb"/>
        <w:spacing w:before="0" w:beforeAutospacing="0" w:after="0" w:afterAutospacing="0"/>
        <w:ind w:left="450" w:hanging="450"/>
      </w:pPr>
      <w:r>
        <w:rPr>
          <w:rFonts w:ascii="Arial" w:hAnsi="Arial" w:cs="Arial"/>
          <w:color w:val="000000"/>
          <w:sz w:val="20"/>
          <w:szCs w:val="20"/>
        </w:rPr>
        <w:t xml:space="preserve">Dabis, A., &amp; Csáki, C. (2024). AI and ethics: Investigating the first policy responses of higher education institutions to the challenge of generative AI. </w:t>
      </w:r>
      <w:r>
        <w:rPr>
          <w:rFonts w:ascii="Arial" w:hAnsi="Arial" w:cs="Arial"/>
          <w:i/>
          <w:iCs/>
          <w:color w:val="000000"/>
          <w:sz w:val="20"/>
          <w:szCs w:val="20"/>
        </w:rPr>
        <w:t>Humanities and Social Sciences Communications, 11</w:t>
      </w:r>
      <w:r>
        <w:rPr>
          <w:rFonts w:ascii="Arial" w:hAnsi="Arial" w:cs="Arial"/>
          <w:color w:val="000000"/>
          <w:sz w:val="20"/>
          <w:szCs w:val="20"/>
        </w:rPr>
        <w:t>, 1006. https://doi.org/10.1057/s41599-024-03526-z</w:t>
      </w:r>
    </w:p>
    <w:p w14:paraId="04E63FA4" w14:textId="77777777" w:rsidR="00311822" w:rsidRDefault="00311822" w:rsidP="00311822">
      <w:pPr>
        <w:pStyle w:val="NormalWeb"/>
        <w:spacing w:before="0" w:beforeAutospacing="0" w:after="0" w:afterAutospacing="0"/>
        <w:ind w:left="450" w:hanging="450"/>
      </w:pPr>
      <w:r>
        <w:rPr>
          <w:rFonts w:ascii="Arial" w:hAnsi="Arial" w:cs="Arial"/>
          <w:color w:val="000000"/>
          <w:sz w:val="20"/>
          <w:szCs w:val="20"/>
        </w:rPr>
        <w:lastRenderedPageBreak/>
        <w:t xml:space="preserve">Dai, Y., Lai, S., Lim, C. P., &amp; Liu, A. (2025). University policies on generative AI in Asia: promising practices, gaps, and future directions. </w:t>
      </w:r>
      <w:r>
        <w:rPr>
          <w:rFonts w:ascii="Arial" w:hAnsi="Arial" w:cs="Arial"/>
          <w:i/>
          <w:iCs/>
          <w:color w:val="000000"/>
          <w:sz w:val="20"/>
          <w:szCs w:val="20"/>
        </w:rPr>
        <w:t>Journal of Asian Public Policy</w:t>
      </w:r>
      <w:r>
        <w:rPr>
          <w:rFonts w:ascii="Arial" w:hAnsi="Arial" w:cs="Arial"/>
          <w:color w:val="000000"/>
          <w:sz w:val="20"/>
          <w:szCs w:val="20"/>
        </w:rPr>
        <w:t xml:space="preserve">, </w:t>
      </w:r>
      <w:r>
        <w:rPr>
          <w:rFonts w:ascii="Arial" w:hAnsi="Arial" w:cs="Arial"/>
          <w:i/>
          <w:iCs/>
          <w:color w:val="000000"/>
          <w:sz w:val="20"/>
          <w:szCs w:val="20"/>
        </w:rPr>
        <w:t>18</w:t>
      </w:r>
      <w:r>
        <w:rPr>
          <w:rFonts w:ascii="Arial" w:hAnsi="Arial" w:cs="Arial"/>
          <w:color w:val="000000"/>
          <w:sz w:val="20"/>
          <w:szCs w:val="20"/>
        </w:rPr>
        <w:t xml:space="preserve">(2), 260–281. </w:t>
      </w:r>
      <w:hyperlink r:id="rId23" w:history="1">
        <w:r>
          <w:rPr>
            <w:rStyle w:val="Hyperlink"/>
            <w:rFonts w:ascii="Arial" w:hAnsi="Arial" w:cs="Arial"/>
            <w:color w:val="000000"/>
            <w:sz w:val="20"/>
            <w:szCs w:val="20"/>
            <w:u w:val="none"/>
          </w:rPr>
          <w:t>https://doi.org/10.1080/17516234.2024.2379070</w:t>
        </w:r>
      </w:hyperlink>
    </w:p>
    <w:p w14:paraId="1024203E" w14:textId="77777777" w:rsidR="00311822" w:rsidRDefault="00311822" w:rsidP="00311822">
      <w:pPr>
        <w:pStyle w:val="NormalWeb"/>
        <w:spacing w:before="0" w:beforeAutospacing="0" w:after="0" w:afterAutospacing="0"/>
        <w:ind w:left="450" w:hanging="450"/>
      </w:pPr>
      <w:r>
        <w:rPr>
          <w:rFonts w:ascii="Arial" w:hAnsi="Arial" w:cs="Arial"/>
          <w:color w:val="000000"/>
          <w:sz w:val="20"/>
          <w:szCs w:val="20"/>
        </w:rPr>
        <w:t xml:space="preserve">Gering, Z., Feher, K., Harmat, V., &amp; </w:t>
      </w:r>
      <w:proofErr w:type="spellStart"/>
      <w:r>
        <w:rPr>
          <w:rFonts w:ascii="Arial" w:hAnsi="Arial" w:cs="Arial"/>
          <w:color w:val="000000"/>
          <w:sz w:val="20"/>
          <w:szCs w:val="20"/>
        </w:rPr>
        <w:t>Tamassy</w:t>
      </w:r>
      <w:proofErr w:type="spellEnd"/>
      <w:r>
        <w:rPr>
          <w:rFonts w:ascii="Arial" w:hAnsi="Arial" w:cs="Arial"/>
          <w:color w:val="000000"/>
          <w:sz w:val="20"/>
          <w:szCs w:val="20"/>
        </w:rPr>
        <w:t xml:space="preserve">, R. (2025). Strategic </w:t>
      </w:r>
      <w:proofErr w:type="spellStart"/>
      <w:r>
        <w:rPr>
          <w:rFonts w:ascii="Arial" w:hAnsi="Arial" w:cs="Arial"/>
          <w:color w:val="000000"/>
          <w:sz w:val="20"/>
          <w:szCs w:val="20"/>
        </w:rPr>
        <w:t>organisational</w:t>
      </w:r>
      <w:proofErr w:type="spellEnd"/>
      <w:r>
        <w:rPr>
          <w:rFonts w:ascii="Arial" w:hAnsi="Arial" w:cs="Arial"/>
          <w:color w:val="000000"/>
          <w:sz w:val="20"/>
          <w:szCs w:val="20"/>
        </w:rPr>
        <w:t xml:space="preserve"> responses to generative AI-driven digital transformation in leading higher education institutions. </w:t>
      </w:r>
      <w:r>
        <w:rPr>
          <w:rFonts w:ascii="Arial" w:hAnsi="Arial" w:cs="Arial"/>
          <w:i/>
          <w:iCs/>
          <w:color w:val="000000"/>
          <w:sz w:val="20"/>
          <w:szCs w:val="20"/>
        </w:rPr>
        <w:t>International Journal of Organizational Analysis, 33</w:t>
      </w:r>
      <w:r>
        <w:rPr>
          <w:rFonts w:ascii="Arial" w:hAnsi="Arial" w:cs="Arial"/>
          <w:color w:val="000000"/>
          <w:sz w:val="20"/>
          <w:szCs w:val="20"/>
        </w:rPr>
        <w:t>(12), 132–152.</w:t>
      </w:r>
      <w:hyperlink r:id="rId24" w:history="1">
        <w:r>
          <w:rPr>
            <w:rStyle w:val="Hyperlink"/>
            <w:rFonts w:ascii="Arial" w:hAnsi="Arial" w:cs="Arial"/>
            <w:color w:val="000000"/>
            <w:sz w:val="20"/>
            <w:szCs w:val="20"/>
            <w:u w:val="none"/>
          </w:rPr>
          <w:t xml:space="preserve"> </w:t>
        </w:r>
      </w:hyperlink>
      <w:hyperlink r:id="rId25" w:history="1">
        <w:r>
          <w:rPr>
            <w:rStyle w:val="Hyperlink"/>
            <w:rFonts w:ascii="Arial" w:hAnsi="Arial" w:cs="Arial"/>
            <w:color w:val="000000"/>
            <w:sz w:val="20"/>
            <w:szCs w:val="20"/>
            <w:u w:val="none"/>
          </w:rPr>
          <w:t>https://doi.org/10.1108/IJOA-09-2024-4850</w:t>
        </w:r>
      </w:hyperlink>
    </w:p>
    <w:p w14:paraId="54F59DB3" w14:textId="77777777" w:rsidR="00311822" w:rsidRDefault="00311822" w:rsidP="00311822">
      <w:pPr>
        <w:pStyle w:val="NormalWeb"/>
        <w:spacing w:before="0" w:beforeAutospacing="0" w:after="0" w:afterAutospacing="0"/>
        <w:ind w:left="450" w:hanging="450"/>
      </w:pPr>
      <w:r>
        <w:rPr>
          <w:rFonts w:ascii="Arial" w:hAnsi="Arial" w:cs="Arial"/>
          <w:color w:val="000000"/>
          <w:sz w:val="20"/>
          <w:szCs w:val="20"/>
        </w:rPr>
        <w:t xml:space="preserve">Gomes, M. G. S., Ramos, A. S. M., &amp; Oliveira, K. de. (2025). Guidelines and frameworks of governance for the adoption of generative artificial intelligence in higher education institutions: A scoping review. </w:t>
      </w:r>
      <w:r>
        <w:rPr>
          <w:rFonts w:ascii="Arial" w:hAnsi="Arial" w:cs="Arial"/>
          <w:i/>
          <w:iCs/>
          <w:color w:val="000000"/>
          <w:sz w:val="20"/>
          <w:szCs w:val="20"/>
        </w:rPr>
        <w:t xml:space="preserve">Revista de </w:t>
      </w:r>
      <w:proofErr w:type="spellStart"/>
      <w:r>
        <w:rPr>
          <w:rFonts w:ascii="Arial" w:hAnsi="Arial" w:cs="Arial"/>
          <w:i/>
          <w:iCs/>
          <w:color w:val="000000"/>
          <w:sz w:val="20"/>
          <w:szCs w:val="20"/>
        </w:rPr>
        <w:t>Administração</w:t>
      </w:r>
      <w:proofErr w:type="spellEnd"/>
      <w:r>
        <w:rPr>
          <w:rFonts w:ascii="Arial" w:hAnsi="Arial" w:cs="Arial"/>
          <w:i/>
          <w:iCs/>
          <w:color w:val="000000"/>
          <w:sz w:val="20"/>
          <w:szCs w:val="20"/>
        </w:rPr>
        <w:t xml:space="preserve"> da UFSM, 18</w:t>
      </w:r>
      <w:r>
        <w:rPr>
          <w:rFonts w:ascii="Arial" w:hAnsi="Arial" w:cs="Arial"/>
          <w:color w:val="000000"/>
          <w:sz w:val="20"/>
          <w:szCs w:val="20"/>
        </w:rPr>
        <w:t>(4), e1.</w:t>
      </w:r>
      <w:hyperlink r:id="rId26" w:history="1">
        <w:r>
          <w:rPr>
            <w:rStyle w:val="Hyperlink"/>
            <w:rFonts w:ascii="Arial" w:hAnsi="Arial" w:cs="Arial"/>
            <w:color w:val="000000"/>
            <w:sz w:val="20"/>
            <w:szCs w:val="20"/>
            <w:u w:val="none"/>
          </w:rPr>
          <w:t xml:space="preserve"> </w:t>
        </w:r>
      </w:hyperlink>
      <w:hyperlink r:id="rId27" w:history="1">
        <w:r>
          <w:rPr>
            <w:rStyle w:val="Hyperlink"/>
            <w:rFonts w:ascii="Arial" w:hAnsi="Arial" w:cs="Arial"/>
            <w:color w:val="000000"/>
            <w:sz w:val="20"/>
            <w:szCs w:val="20"/>
            <w:u w:val="none"/>
          </w:rPr>
          <w:t>https://doi.org/10.5902/1983465990871</w:t>
        </w:r>
      </w:hyperlink>
    </w:p>
    <w:p w14:paraId="6DAFB830" w14:textId="77777777" w:rsidR="00311822" w:rsidRDefault="00311822" w:rsidP="00311822">
      <w:pPr>
        <w:pStyle w:val="NormalWeb"/>
        <w:spacing w:before="0" w:beforeAutospacing="0" w:after="0" w:afterAutospacing="0"/>
        <w:ind w:left="450" w:hanging="450"/>
      </w:pPr>
      <w:r>
        <w:rPr>
          <w:rFonts w:ascii="Arial" w:hAnsi="Arial" w:cs="Arial"/>
          <w:color w:val="000000"/>
          <w:sz w:val="20"/>
          <w:szCs w:val="20"/>
        </w:rPr>
        <w:t xml:space="preserve">Hmoud, H., Al-Adwan, A. S., </w:t>
      </w:r>
      <w:proofErr w:type="spellStart"/>
      <w:r>
        <w:rPr>
          <w:rFonts w:ascii="Arial" w:hAnsi="Arial" w:cs="Arial"/>
          <w:color w:val="000000"/>
          <w:sz w:val="20"/>
          <w:szCs w:val="20"/>
        </w:rPr>
        <w:t>Horani</w:t>
      </w:r>
      <w:proofErr w:type="spellEnd"/>
      <w:r>
        <w:rPr>
          <w:rFonts w:ascii="Arial" w:hAnsi="Arial" w:cs="Arial"/>
          <w:color w:val="000000"/>
          <w:sz w:val="20"/>
          <w:szCs w:val="20"/>
        </w:rPr>
        <w:t xml:space="preserve">, O. M., Yaseen, H., &amp; Al Zoubi, J. Z. (2023). Factors influencing business intelligence adoption by higher education institutions. </w:t>
      </w:r>
      <w:r>
        <w:rPr>
          <w:rFonts w:ascii="Arial" w:hAnsi="Arial" w:cs="Arial"/>
          <w:i/>
          <w:iCs/>
          <w:color w:val="000000"/>
          <w:sz w:val="20"/>
          <w:szCs w:val="20"/>
        </w:rPr>
        <w:t>Journal of Open Innovation: Technology, Market, and Complexity, 9</w:t>
      </w:r>
      <w:r>
        <w:rPr>
          <w:rFonts w:ascii="Arial" w:hAnsi="Arial" w:cs="Arial"/>
          <w:color w:val="000000"/>
          <w:sz w:val="20"/>
          <w:szCs w:val="20"/>
        </w:rPr>
        <w:t>(3), 100111. https://doi.org/10.1016/j.joitmc.2023.100111</w:t>
      </w:r>
    </w:p>
    <w:p w14:paraId="0939F351" w14:textId="77777777" w:rsidR="00311822" w:rsidRDefault="00311822" w:rsidP="00311822">
      <w:pPr>
        <w:pStyle w:val="NormalWeb"/>
        <w:spacing w:before="0" w:beforeAutospacing="0" w:after="0" w:afterAutospacing="0"/>
        <w:ind w:left="450" w:hanging="450"/>
      </w:pPr>
      <w:r>
        <w:rPr>
          <w:rFonts w:ascii="Arial" w:hAnsi="Arial" w:cs="Arial"/>
          <w:color w:val="000000"/>
          <w:sz w:val="20"/>
          <w:szCs w:val="20"/>
        </w:rPr>
        <w:t xml:space="preserve">Janssen, M. (2025). Responsible governance of generative AI: Conceptualizing GenAI as complex adaptive systems. </w:t>
      </w:r>
      <w:r>
        <w:rPr>
          <w:rFonts w:ascii="Arial" w:hAnsi="Arial" w:cs="Arial"/>
          <w:i/>
          <w:iCs/>
          <w:color w:val="000000"/>
          <w:sz w:val="20"/>
          <w:szCs w:val="20"/>
        </w:rPr>
        <w:t>Policy and Society, 44</w:t>
      </w:r>
      <w:r>
        <w:rPr>
          <w:rFonts w:ascii="Arial" w:hAnsi="Arial" w:cs="Arial"/>
          <w:color w:val="000000"/>
          <w:sz w:val="20"/>
          <w:szCs w:val="20"/>
        </w:rPr>
        <w:t xml:space="preserve">(1), 38–51. </w:t>
      </w:r>
      <w:hyperlink r:id="rId28" w:history="1">
        <w:r>
          <w:rPr>
            <w:rStyle w:val="Hyperlink"/>
            <w:rFonts w:ascii="Arial" w:hAnsi="Arial" w:cs="Arial"/>
            <w:color w:val="000000"/>
            <w:sz w:val="20"/>
            <w:szCs w:val="20"/>
            <w:u w:val="none"/>
          </w:rPr>
          <w:t>https://doi.org/10.1093/polsoc/puae040</w:t>
        </w:r>
      </w:hyperlink>
    </w:p>
    <w:p w14:paraId="0F3810DE" w14:textId="77777777" w:rsidR="00311822" w:rsidRDefault="00311822" w:rsidP="00311822">
      <w:pPr>
        <w:pStyle w:val="NormalWeb"/>
        <w:spacing w:before="0" w:beforeAutospacing="0" w:after="0" w:afterAutospacing="0"/>
        <w:ind w:left="450" w:hanging="450"/>
      </w:pPr>
      <w:r>
        <w:rPr>
          <w:rFonts w:ascii="Arial" w:hAnsi="Arial" w:cs="Arial"/>
          <w:color w:val="000000"/>
          <w:sz w:val="20"/>
          <w:szCs w:val="20"/>
        </w:rPr>
        <w:t xml:space="preserve">Ji, Y. (2024). A methodological exploration of document analysis as a qualitative research method. </w:t>
      </w:r>
      <w:r>
        <w:rPr>
          <w:rFonts w:ascii="Arial" w:hAnsi="Arial" w:cs="Arial"/>
          <w:i/>
          <w:iCs/>
          <w:color w:val="000000"/>
          <w:sz w:val="20"/>
          <w:szCs w:val="20"/>
        </w:rPr>
        <w:t>Journal of Qualitative Inquiry, 10</w:t>
      </w:r>
      <w:r>
        <w:rPr>
          <w:rFonts w:ascii="Arial" w:hAnsi="Arial" w:cs="Arial"/>
          <w:color w:val="000000"/>
          <w:sz w:val="20"/>
          <w:szCs w:val="20"/>
        </w:rPr>
        <w:t xml:space="preserve">(3), 25–56. </w:t>
      </w:r>
      <w:hyperlink r:id="rId29" w:history="1">
        <w:r>
          <w:rPr>
            <w:rStyle w:val="Hyperlink"/>
            <w:rFonts w:ascii="Arial" w:hAnsi="Arial" w:cs="Arial"/>
            <w:color w:val="000000"/>
            <w:sz w:val="20"/>
            <w:szCs w:val="20"/>
            <w:u w:val="none"/>
          </w:rPr>
          <w:t>https://doi.org/10.30940/JQI.2024.10.3.25</w:t>
        </w:r>
      </w:hyperlink>
    </w:p>
    <w:p w14:paraId="74EBCF17" w14:textId="77777777" w:rsidR="00311822" w:rsidRDefault="00311822" w:rsidP="00311822">
      <w:pPr>
        <w:pStyle w:val="NormalWeb"/>
        <w:spacing w:before="0" w:beforeAutospacing="0" w:after="0" w:afterAutospacing="0"/>
        <w:ind w:left="450" w:hanging="450"/>
      </w:pPr>
      <w:r>
        <w:rPr>
          <w:rFonts w:ascii="Arial" w:hAnsi="Arial" w:cs="Arial"/>
          <w:color w:val="000000"/>
          <w:sz w:val="20"/>
          <w:szCs w:val="20"/>
        </w:rPr>
        <w:t xml:space="preserve">Jiang, X., &amp; Abdullah, Z. (2026). AI-enabled governance in higher education: A systematic review of applications, outcomes, and emerging implications. </w:t>
      </w:r>
      <w:r>
        <w:rPr>
          <w:rFonts w:ascii="Arial" w:hAnsi="Arial" w:cs="Arial"/>
          <w:i/>
          <w:iCs/>
          <w:color w:val="000000"/>
          <w:sz w:val="20"/>
          <w:szCs w:val="20"/>
        </w:rPr>
        <w:t>Frontiers in Education, 11</w:t>
      </w:r>
      <w:r>
        <w:rPr>
          <w:rFonts w:ascii="Arial" w:hAnsi="Arial" w:cs="Arial"/>
          <w:color w:val="000000"/>
          <w:sz w:val="20"/>
          <w:szCs w:val="20"/>
        </w:rPr>
        <w:t>, 1856440. https://doi.org/10.3389/feduc.2026.1856440</w:t>
      </w:r>
    </w:p>
    <w:p w14:paraId="15749946" w14:textId="77777777" w:rsidR="00311822" w:rsidRDefault="00311822" w:rsidP="00311822">
      <w:pPr>
        <w:pStyle w:val="NormalWeb"/>
        <w:spacing w:before="0" w:beforeAutospacing="0" w:after="0" w:afterAutospacing="0"/>
        <w:ind w:left="450" w:hanging="450"/>
      </w:pPr>
      <w:r>
        <w:rPr>
          <w:rFonts w:ascii="Arial" w:hAnsi="Arial" w:cs="Arial"/>
          <w:color w:val="000000"/>
          <w:sz w:val="20"/>
          <w:szCs w:val="20"/>
        </w:rPr>
        <w:t xml:space="preserve">Jiang, Y., Xie, L., &amp; Cao, X. (2025). Exploring the effectiveness of institutional policies and regulations for generative AI usage in higher education. </w:t>
      </w:r>
      <w:r>
        <w:rPr>
          <w:rFonts w:ascii="Arial" w:hAnsi="Arial" w:cs="Arial"/>
          <w:i/>
          <w:iCs/>
          <w:color w:val="000000"/>
          <w:sz w:val="20"/>
          <w:szCs w:val="20"/>
        </w:rPr>
        <w:t>Higher Education Quarterly, 79</w:t>
      </w:r>
      <w:r>
        <w:rPr>
          <w:rFonts w:ascii="Arial" w:hAnsi="Arial" w:cs="Arial"/>
          <w:color w:val="000000"/>
          <w:sz w:val="20"/>
          <w:szCs w:val="20"/>
        </w:rPr>
        <w:t xml:space="preserve">(4), e70054. </w:t>
      </w:r>
      <w:hyperlink r:id="rId30" w:history="1">
        <w:r>
          <w:rPr>
            <w:rStyle w:val="Hyperlink"/>
            <w:rFonts w:ascii="Arial" w:hAnsi="Arial" w:cs="Arial"/>
            <w:color w:val="000000"/>
            <w:sz w:val="20"/>
            <w:szCs w:val="20"/>
            <w:u w:val="none"/>
          </w:rPr>
          <w:t>https://doi.org/10.1111/hequ.70054</w:t>
        </w:r>
      </w:hyperlink>
    </w:p>
    <w:p w14:paraId="3528C5E8" w14:textId="77777777" w:rsidR="00311822" w:rsidRDefault="00311822" w:rsidP="00311822">
      <w:pPr>
        <w:pStyle w:val="NormalWeb"/>
        <w:spacing w:before="0" w:beforeAutospacing="0" w:after="0" w:afterAutospacing="0"/>
        <w:ind w:left="450" w:hanging="450"/>
      </w:pPr>
      <w:r>
        <w:rPr>
          <w:rFonts w:ascii="Arial" w:hAnsi="Arial" w:cs="Arial"/>
          <w:color w:val="000000"/>
          <w:sz w:val="20"/>
          <w:szCs w:val="20"/>
        </w:rPr>
        <w:t xml:space="preserve">Jin, Y., Yan, L., Echeverria, V., Gašević, D., &amp; Martinez-Maldonado, R. (2025). Generative AI in higher education: A global perspective of institutional adoption policies and guidelines. </w:t>
      </w:r>
      <w:r>
        <w:rPr>
          <w:rFonts w:ascii="Arial" w:hAnsi="Arial" w:cs="Arial"/>
          <w:i/>
          <w:iCs/>
          <w:color w:val="000000"/>
          <w:sz w:val="20"/>
          <w:szCs w:val="20"/>
        </w:rPr>
        <w:t>Computers and Education: Artificial Intelligence, 8</w:t>
      </w:r>
      <w:r>
        <w:rPr>
          <w:rFonts w:ascii="Arial" w:hAnsi="Arial" w:cs="Arial"/>
          <w:color w:val="000000"/>
          <w:sz w:val="20"/>
          <w:szCs w:val="20"/>
        </w:rPr>
        <w:t>, 100348.</w:t>
      </w:r>
      <w:hyperlink r:id="rId31" w:history="1">
        <w:r>
          <w:rPr>
            <w:rStyle w:val="Hyperlink"/>
            <w:rFonts w:ascii="Arial" w:hAnsi="Arial" w:cs="Arial"/>
            <w:color w:val="000000"/>
            <w:sz w:val="20"/>
            <w:szCs w:val="20"/>
            <w:u w:val="none"/>
          </w:rPr>
          <w:t xml:space="preserve"> https://doi.org/10.1016/j.caeai.2024.100348</w:t>
        </w:r>
      </w:hyperlink>
    </w:p>
    <w:p w14:paraId="5D0C3807" w14:textId="77777777" w:rsidR="00311822" w:rsidRDefault="00311822" w:rsidP="00311822">
      <w:pPr>
        <w:pStyle w:val="NormalWeb"/>
        <w:spacing w:before="0" w:beforeAutospacing="0" w:after="0" w:afterAutospacing="0"/>
        <w:ind w:left="450" w:hanging="450"/>
      </w:pPr>
      <w:r>
        <w:rPr>
          <w:rFonts w:ascii="Arial" w:hAnsi="Arial" w:cs="Arial"/>
          <w:color w:val="000000"/>
          <w:sz w:val="20"/>
          <w:szCs w:val="20"/>
        </w:rPr>
        <w:t xml:space="preserve">LaFrance, J. (2026). Governing generative artificial intelligence: Institutional policies and guidelines at America's flagship universities. </w:t>
      </w:r>
      <w:r>
        <w:rPr>
          <w:rFonts w:ascii="Arial" w:hAnsi="Arial" w:cs="Arial"/>
          <w:i/>
          <w:iCs/>
          <w:color w:val="000000"/>
          <w:sz w:val="20"/>
          <w:szCs w:val="20"/>
        </w:rPr>
        <w:t>Educational Policy</w:t>
      </w:r>
      <w:r>
        <w:rPr>
          <w:rFonts w:ascii="Arial" w:hAnsi="Arial" w:cs="Arial"/>
          <w:color w:val="000000"/>
          <w:sz w:val="20"/>
          <w:szCs w:val="20"/>
        </w:rPr>
        <w:t xml:space="preserve">. Advance online publication. </w:t>
      </w:r>
      <w:hyperlink r:id="rId32" w:history="1">
        <w:r>
          <w:rPr>
            <w:rStyle w:val="Hyperlink"/>
            <w:rFonts w:ascii="Arial" w:hAnsi="Arial" w:cs="Arial"/>
            <w:color w:val="000000"/>
            <w:sz w:val="20"/>
            <w:szCs w:val="20"/>
            <w:u w:val="none"/>
          </w:rPr>
          <w:t>https://doi.org/10.1177/08959048261450995</w:t>
        </w:r>
      </w:hyperlink>
    </w:p>
    <w:p w14:paraId="38CE5935" w14:textId="77777777" w:rsidR="00311822" w:rsidRDefault="00311822" w:rsidP="00311822">
      <w:pPr>
        <w:pStyle w:val="NormalWeb"/>
        <w:spacing w:before="0" w:beforeAutospacing="0" w:after="0" w:afterAutospacing="0"/>
        <w:ind w:left="450" w:hanging="450"/>
      </w:pPr>
      <w:r>
        <w:rPr>
          <w:rFonts w:ascii="Arial" w:hAnsi="Arial" w:cs="Arial"/>
          <w:color w:val="000000"/>
          <w:sz w:val="20"/>
          <w:szCs w:val="20"/>
        </w:rPr>
        <w:t xml:space="preserve">Malandrino, A. (2024). Comparing qualitative and quantitative text analysis methods in combination with document-based social network analysis to understand policy networks. </w:t>
      </w:r>
      <w:r>
        <w:rPr>
          <w:rFonts w:ascii="Arial" w:hAnsi="Arial" w:cs="Arial"/>
          <w:i/>
          <w:iCs/>
          <w:color w:val="000000"/>
          <w:sz w:val="20"/>
          <w:szCs w:val="20"/>
        </w:rPr>
        <w:t>Quality &amp; Quantity, 58</w:t>
      </w:r>
      <w:r>
        <w:rPr>
          <w:rFonts w:ascii="Arial" w:hAnsi="Arial" w:cs="Arial"/>
          <w:color w:val="000000"/>
          <w:sz w:val="20"/>
          <w:szCs w:val="20"/>
        </w:rPr>
        <w:t>(3), 2543–2570.</w:t>
      </w:r>
      <w:hyperlink r:id="rId33" w:history="1">
        <w:r>
          <w:rPr>
            <w:rStyle w:val="Hyperlink"/>
            <w:rFonts w:ascii="Arial" w:hAnsi="Arial" w:cs="Arial"/>
            <w:color w:val="000000"/>
            <w:sz w:val="20"/>
            <w:szCs w:val="20"/>
            <w:u w:val="none"/>
          </w:rPr>
          <w:t xml:space="preserve"> https://doi.org/10.1007/s11135-023-01753-1</w:t>
        </w:r>
      </w:hyperlink>
    </w:p>
    <w:p w14:paraId="5F4118F9" w14:textId="77777777" w:rsidR="00311822" w:rsidRDefault="00311822" w:rsidP="00311822">
      <w:pPr>
        <w:pStyle w:val="NormalWeb"/>
        <w:spacing w:before="0" w:beforeAutospacing="0" w:after="0" w:afterAutospacing="0"/>
        <w:ind w:left="450" w:hanging="450"/>
      </w:pPr>
      <w:r>
        <w:rPr>
          <w:rFonts w:ascii="Arial" w:hAnsi="Arial" w:cs="Arial"/>
          <w:color w:val="000000"/>
          <w:sz w:val="20"/>
          <w:szCs w:val="20"/>
        </w:rPr>
        <w:t xml:space="preserve">McDonald, N., Johri, A., Ali, A., &amp; Hingle, A. (2025). Generative artificial intelligence in higher education: Evidence from an analysis of institutional policies and guidelines. </w:t>
      </w:r>
      <w:r>
        <w:rPr>
          <w:rFonts w:ascii="Arial" w:hAnsi="Arial" w:cs="Arial"/>
          <w:i/>
          <w:iCs/>
          <w:color w:val="000000"/>
          <w:sz w:val="20"/>
          <w:szCs w:val="20"/>
        </w:rPr>
        <w:t>Computers in Human Behavior: Artificial Humans, 3</w:t>
      </w:r>
      <w:r>
        <w:rPr>
          <w:rFonts w:ascii="Arial" w:hAnsi="Arial" w:cs="Arial"/>
          <w:color w:val="000000"/>
          <w:sz w:val="20"/>
          <w:szCs w:val="20"/>
        </w:rPr>
        <w:t>, 100121.</w:t>
      </w:r>
      <w:hyperlink r:id="rId34" w:history="1">
        <w:r>
          <w:rPr>
            <w:rStyle w:val="Hyperlink"/>
            <w:rFonts w:ascii="Arial" w:hAnsi="Arial" w:cs="Arial"/>
            <w:color w:val="000000"/>
            <w:sz w:val="20"/>
            <w:szCs w:val="20"/>
            <w:u w:val="none"/>
          </w:rPr>
          <w:t xml:space="preserve"> </w:t>
        </w:r>
      </w:hyperlink>
      <w:hyperlink r:id="rId35" w:history="1">
        <w:r>
          <w:rPr>
            <w:rStyle w:val="Hyperlink"/>
            <w:rFonts w:ascii="Arial" w:hAnsi="Arial" w:cs="Arial"/>
            <w:color w:val="000000"/>
            <w:sz w:val="20"/>
            <w:szCs w:val="20"/>
            <w:u w:val="none"/>
          </w:rPr>
          <w:t>https://doi.org/10.1016/j.chbah.2025.100121</w:t>
        </w:r>
      </w:hyperlink>
    </w:p>
    <w:p w14:paraId="5F67F6AD" w14:textId="77777777" w:rsidR="00311822" w:rsidRDefault="00311822" w:rsidP="00311822">
      <w:pPr>
        <w:pStyle w:val="NormalWeb"/>
        <w:spacing w:before="0" w:beforeAutospacing="0" w:after="0" w:afterAutospacing="0"/>
        <w:ind w:left="450" w:hanging="450"/>
      </w:pPr>
      <w:r>
        <w:rPr>
          <w:rFonts w:ascii="Arial" w:hAnsi="Arial" w:cs="Arial"/>
          <w:color w:val="000000"/>
          <w:sz w:val="20"/>
          <w:szCs w:val="20"/>
        </w:rPr>
        <w:t xml:space="preserve">Neumann, O., Felemban, H., Sohail, M., &amp; </w:t>
      </w:r>
      <w:proofErr w:type="spellStart"/>
      <w:r>
        <w:rPr>
          <w:rFonts w:ascii="Arial" w:hAnsi="Arial" w:cs="Arial"/>
          <w:color w:val="000000"/>
          <w:sz w:val="20"/>
          <w:szCs w:val="20"/>
        </w:rPr>
        <w:t>Ruikar</w:t>
      </w:r>
      <w:proofErr w:type="spellEnd"/>
      <w:r>
        <w:rPr>
          <w:rFonts w:ascii="Arial" w:hAnsi="Arial" w:cs="Arial"/>
          <w:color w:val="000000"/>
          <w:sz w:val="20"/>
          <w:szCs w:val="20"/>
        </w:rPr>
        <w:t xml:space="preserve">, K. (2024). Exploring the readiness of </w:t>
      </w:r>
      <w:proofErr w:type="spellStart"/>
      <w:r>
        <w:rPr>
          <w:rFonts w:ascii="Arial" w:hAnsi="Arial" w:cs="Arial"/>
          <w:color w:val="000000"/>
          <w:sz w:val="20"/>
          <w:szCs w:val="20"/>
        </w:rPr>
        <w:t>organisations</w:t>
      </w:r>
      <w:proofErr w:type="spellEnd"/>
      <w:r>
        <w:rPr>
          <w:rFonts w:ascii="Arial" w:hAnsi="Arial" w:cs="Arial"/>
          <w:color w:val="000000"/>
          <w:sz w:val="20"/>
          <w:szCs w:val="20"/>
        </w:rPr>
        <w:t xml:space="preserve"> to adopt artificial intelligence. </w:t>
      </w:r>
      <w:r>
        <w:rPr>
          <w:rFonts w:ascii="Arial" w:hAnsi="Arial" w:cs="Arial"/>
          <w:i/>
          <w:iCs/>
          <w:color w:val="000000"/>
          <w:sz w:val="20"/>
          <w:szCs w:val="20"/>
        </w:rPr>
        <w:t>Buildings, 14</w:t>
      </w:r>
      <w:r>
        <w:rPr>
          <w:rFonts w:ascii="Arial" w:hAnsi="Arial" w:cs="Arial"/>
          <w:color w:val="000000"/>
          <w:sz w:val="20"/>
          <w:szCs w:val="20"/>
        </w:rPr>
        <w:t>(8), 2460.</w:t>
      </w:r>
      <w:hyperlink r:id="rId36" w:history="1">
        <w:r>
          <w:rPr>
            <w:rStyle w:val="Hyperlink"/>
            <w:rFonts w:ascii="Arial" w:hAnsi="Arial" w:cs="Arial"/>
            <w:color w:val="000000"/>
            <w:sz w:val="20"/>
            <w:szCs w:val="20"/>
            <w:u w:val="none"/>
          </w:rPr>
          <w:t xml:space="preserve"> https://doi.org/10.3390/buildings14082460</w:t>
        </w:r>
      </w:hyperlink>
    </w:p>
    <w:p w14:paraId="326F2C1B" w14:textId="77777777" w:rsidR="00311822" w:rsidRDefault="00311822" w:rsidP="00311822">
      <w:pPr>
        <w:pStyle w:val="NormalWeb"/>
        <w:spacing w:before="0" w:beforeAutospacing="0" w:after="0" w:afterAutospacing="0"/>
        <w:ind w:left="450" w:hanging="450"/>
      </w:pPr>
      <w:r>
        <w:rPr>
          <w:rFonts w:ascii="Arial" w:hAnsi="Arial" w:cs="Arial"/>
          <w:color w:val="000000"/>
          <w:sz w:val="20"/>
          <w:szCs w:val="20"/>
        </w:rPr>
        <w:t xml:space="preserve">Nguyen, H. N. (2026). </w:t>
      </w:r>
      <w:proofErr w:type="spellStart"/>
      <w:r>
        <w:rPr>
          <w:rFonts w:ascii="Arial" w:hAnsi="Arial" w:cs="Arial"/>
          <w:color w:val="000000"/>
          <w:sz w:val="20"/>
          <w:szCs w:val="20"/>
        </w:rPr>
        <w:t>Operationalising</w:t>
      </w:r>
      <w:proofErr w:type="spellEnd"/>
      <w:r>
        <w:rPr>
          <w:rFonts w:ascii="Arial" w:hAnsi="Arial" w:cs="Arial"/>
          <w:color w:val="000000"/>
          <w:sz w:val="20"/>
          <w:szCs w:val="20"/>
        </w:rPr>
        <w:t xml:space="preserve"> AI governance in higher education: A stepwise policy-development method. </w:t>
      </w:r>
      <w:proofErr w:type="spellStart"/>
      <w:r>
        <w:rPr>
          <w:rFonts w:ascii="Arial" w:hAnsi="Arial" w:cs="Arial"/>
          <w:i/>
          <w:iCs/>
          <w:color w:val="000000"/>
          <w:sz w:val="20"/>
          <w:szCs w:val="20"/>
        </w:rPr>
        <w:t>MethodsX</w:t>
      </w:r>
      <w:proofErr w:type="spellEnd"/>
      <w:r>
        <w:rPr>
          <w:rFonts w:ascii="Arial" w:hAnsi="Arial" w:cs="Arial"/>
          <w:i/>
          <w:iCs/>
          <w:color w:val="000000"/>
          <w:sz w:val="20"/>
          <w:szCs w:val="20"/>
        </w:rPr>
        <w:t>, 17</w:t>
      </w:r>
      <w:r>
        <w:rPr>
          <w:rFonts w:ascii="Arial" w:hAnsi="Arial" w:cs="Arial"/>
          <w:color w:val="000000"/>
          <w:sz w:val="20"/>
          <w:szCs w:val="20"/>
        </w:rPr>
        <w:t xml:space="preserve">, 104063. </w:t>
      </w:r>
      <w:hyperlink r:id="rId37" w:history="1">
        <w:r>
          <w:rPr>
            <w:rStyle w:val="Hyperlink"/>
            <w:rFonts w:ascii="Arial" w:hAnsi="Arial" w:cs="Arial"/>
            <w:color w:val="000000"/>
            <w:sz w:val="20"/>
            <w:szCs w:val="20"/>
            <w:u w:val="none"/>
          </w:rPr>
          <w:t>https://doi.org/10.1016/j.mex.2026.104063</w:t>
        </w:r>
      </w:hyperlink>
    </w:p>
    <w:p w14:paraId="6DFBD8CE" w14:textId="77777777" w:rsidR="00311822" w:rsidRDefault="00311822" w:rsidP="00311822">
      <w:pPr>
        <w:pStyle w:val="NormalWeb"/>
        <w:spacing w:before="0" w:beforeAutospacing="0" w:after="0" w:afterAutospacing="0"/>
        <w:ind w:left="450" w:hanging="450"/>
      </w:pPr>
      <w:r>
        <w:rPr>
          <w:rFonts w:ascii="Arial" w:hAnsi="Arial" w:cs="Arial"/>
          <w:color w:val="000000"/>
          <w:sz w:val="20"/>
          <w:szCs w:val="20"/>
        </w:rPr>
        <w:t xml:space="preserve">Office of the Vice President for Higher Education. (2023). </w:t>
      </w:r>
      <w:r>
        <w:rPr>
          <w:rFonts w:ascii="Arial" w:hAnsi="Arial" w:cs="Arial"/>
          <w:i/>
          <w:iCs/>
          <w:color w:val="000000"/>
          <w:sz w:val="20"/>
          <w:szCs w:val="20"/>
        </w:rPr>
        <w:t>Artificial intelligence (AI) in the service of teaching and learning</w:t>
      </w:r>
      <w:r>
        <w:rPr>
          <w:rFonts w:ascii="Arial" w:hAnsi="Arial" w:cs="Arial"/>
          <w:color w:val="000000"/>
          <w:sz w:val="20"/>
          <w:szCs w:val="20"/>
        </w:rPr>
        <w:t xml:space="preserve"> (OVPHED Memo 2324-14) [Unpublished internal memorandum]. Xavier University, Ateneo de Cagayan.</w:t>
      </w:r>
    </w:p>
    <w:p w14:paraId="6A95771C" w14:textId="77777777" w:rsidR="00311822" w:rsidRDefault="00311822" w:rsidP="00311822">
      <w:pPr>
        <w:pStyle w:val="NormalWeb"/>
        <w:spacing w:before="0" w:beforeAutospacing="0" w:after="0" w:afterAutospacing="0"/>
        <w:ind w:left="450" w:hanging="450"/>
      </w:pPr>
      <w:r>
        <w:rPr>
          <w:rFonts w:ascii="Arial" w:hAnsi="Arial" w:cs="Arial"/>
          <w:color w:val="000000"/>
          <w:sz w:val="20"/>
          <w:szCs w:val="20"/>
        </w:rPr>
        <w:t xml:space="preserve">Oswick, C. (2024). Generative artificial intelligence and generative conversations: Contrasting futures for organizational change? </w:t>
      </w:r>
      <w:r>
        <w:rPr>
          <w:rFonts w:ascii="Arial" w:hAnsi="Arial" w:cs="Arial"/>
          <w:i/>
          <w:iCs/>
          <w:color w:val="000000"/>
          <w:sz w:val="20"/>
          <w:szCs w:val="20"/>
        </w:rPr>
        <w:t>The Journal of Applied Behavioral Science, 60</w:t>
      </w:r>
      <w:r>
        <w:rPr>
          <w:rFonts w:ascii="Arial" w:hAnsi="Arial" w:cs="Arial"/>
          <w:color w:val="000000"/>
          <w:sz w:val="20"/>
          <w:szCs w:val="20"/>
        </w:rPr>
        <w:t>(2), 225–229.</w:t>
      </w:r>
      <w:hyperlink r:id="rId38" w:history="1">
        <w:r>
          <w:rPr>
            <w:rStyle w:val="Hyperlink"/>
            <w:rFonts w:ascii="Arial" w:hAnsi="Arial" w:cs="Arial"/>
            <w:color w:val="000000"/>
            <w:sz w:val="20"/>
            <w:szCs w:val="20"/>
            <w:u w:val="none"/>
          </w:rPr>
          <w:t xml:space="preserve"> https://doi.org/10.1177/00218863241232412</w:t>
        </w:r>
      </w:hyperlink>
    </w:p>
    <w:p w14:paraId="03075BFF" w14:textId="77777777" w:rsidR="00311822" w:rsidRDefault="00311822" w:rsidP="00311822">
      <w:pPr>
        <w:pStyle w:val="NormalWeb"/>
        <w:spacing w:before="0" w:beforeAutospacing="0" w:after="0" w:afterAutospacing="0"/>
        <w:ind w:left="450" w:hanging="450"/>
      </w:pPr>
      <w:r>
        <w:rPr>
          <w:rFonts w:ascii="Arial" w:hAnsi="Arial" w:cs="Arial"/>
          <w:color w:val="000000"/>
          <w:sz w:val="20"/>
          <w:szCs w:val="20"/>
        </w:rPr>
        <w:lastRenderedPageBreak/>
        <w:t xml:space="preserve">Pinto, A. S., Abreu, A., Pérez Cota, M., &amp; Paiva, J. (2025). A </w:t>
      </w:r>
      <w:proofErr w:type="spellStart"/>
      <w:proofErr w:type="gramStart"/>
      <w:r>
        <w:rPr>
          <w:rFonts w:ascii="Arial" w:hAnsi="Arial" w:cs="Arial"/>
          <w:color w:val="000000"/>
          <w:sz w:val="20"/>
          <w:szCs w:val="20"/>
        </w:rPr>
        <w:t>meta analysis</w:t>
      </w:r>
      <w:proofErr w:type="spellEnd"/>
      <w:proofErr w:type="gramEnd"/>
      <w:r>
        <w:rPr>
          <w:rFonts w:ascii="Arial" w:hAnsi="Arial" w:cs="Arial"/>
          <w:color w:val="000000"/>
          <w:sz w:val="20"/>
          <w:szCs w:val="20"/>
        </w:rPr>
        <w:t xml:space="preserve"> of TOE factors driving organizational adoption of artificial intelligence across industries. </w:t>
      </w:r>
      <w:r>
        <w:rPr>
          <w:rFonts w:ascii="Arial" w:hAnsi="Arial" w:cs="Arial"/>
          <w:i/>
          <w:iCs/>
          <w:color w:val="000000"/>
          <w:sz w:val="20"/>
          <w:szCs w:val="20"/>
        </w:rPr>
        <w:t>Discover Artificial Intelligence</w:t>
      </w:r>
      <w:r>
        <w:rPr>
          <w:rFonts w:ascii="Arial" w:hAnsi="Arial" w:cs="Arial"/>
          <w:color w:val="000000"/>
          <w:sz w:val="20"/>
          <w:szCs w:val="20"/>
        </w:rPr>
        <w:t>.</w:t>
      </w:r>
      <w:hyperlink r:id="rId39" w:history="1">
        <w:r>
          <w:rPr>
            <w:rStyle w:val="Hyperlink"/>
            <w:rFonts w:ascii="Arial" w:hAnsi="Arial" w:cs="Arial"/>
            <w:color w:val="000000"/>
            <w:sz w:val="20"/>
            <w:szCs w:val="20"/>
            <w:u w:val="none"/>
          </w:rPr>
          <w:t xml:space="preserve"> https://doi.org/10.1007/s44163-025-00747-2</w:t>
        </w:r>
      </w:hyperlink>
    </w:p>
    <w:p w14:paraId="4C60EB8D" w14:textId="77777777" w:rsidR="00311822" w:rsidRDefault="00311822" w:rsidP="00311822">
      <w:pPr>
        <w:pStyle w:val="NormalWeb"/>
        <w:spacing w:before="0" w:beforeAutospacing="0" w:after="0" w:afterAutospacing="0"/>
        <w:ind w:left="450" w:hanging="450"/>
      </w:pPr>
      <w:proofErr w:type="spellStart"/>
      <w:r>
        <w:rPr>
          <w:rFonts w:ascii="Arial" w:hAnsi="Arial" w:cs="Arial"/>
          <w:color w:val="000000"/>
          <w:sz w:val="20"/>
          <w:szCs w:val="20"/>
        </w:rPr>
        <w:t>Thaldar</w:t>
      </w:r>
      <w:proofErr w:type="spellEnd"/>
      <w:r>
        <w:rPr>
          <w:rFonts w:ascii="Arial" w:hAnsi="Arial" w:cs="Arial"/>
          <w:color w:val="000000"/>
          <w:sz w:val="20"/>
          <w:szCs w:val="20"/>
        </w:rPr>
        <w:t xml:space="preserve">, D., Botes, M., Badru, A., Chenia, H. Y., Duma, S., Dlamini, S. B., Amin, N., Hugo, W., Govender, R., Bruce-Brand, J., Vosloo, A., </w:t>
      </w:r>
      <w:proofErr w:type="spellStart"/>
      <w:r>
        <w:rPr>
          <w:rFonts w:ascii="Arial" w:hAnsi="Arial" w:cs="Arial"/>
          <w:color w:val="000000"/>
          <w:sz w:val="20"/>
          <w:szCs w:val="20"/>
        </w:rPr>
        <w:t>Koorbanally</w:t>
      </w:r>
      <w:proofErr w:type="spellEnd"/>
      <w:r>
        <w:rPr>
          <w:rFonts w:ascii="Arial" w:hAnsi="Arial" w:cs="Arial"/>
          <w:color w:val="000000"/>
          <w:sz w:val="20"/>
          <w:szCs w:val="20"/>
        </w:rPr>
        <w:t xml:space="preserve">, N. A., &amp; </w:t>
      </w:r>
      <w:proofErr w:type="spellStart"/>
      <w:r>
        <w:rPr>
          <w:rFonts w:ascii="Arial" w:hAnsi="Arial" w:cs="Arial"/>
          <w:color w:val="000000"/>
          <w:sz w:val="20"/>
          <w:szCs w:val="20"/>
        </w:rPr>
        <w:t>Chuturgoon</w:t>
      </w:r>
      <w:proofErr w:type="spellEnd"/>
      <w:r>
        <w:rPr>
          <w:rFonts w:ascii="Arial" w:hAnsi="Arial" w:cs="Arial"/>
          <w:color w:val="000000"/>
          <w:sz w:val="20"/>
          <w:szCs w:val="20"/>
        </w:rPr>
        <w:t xml:space="preserve">, A. (2025). Generative AI governance in higher education: A case study from Africa. </w:t>
      </w:r>
      <w:r>
        <w:rPr>
          <w:rFonts w:ascii="Arial" w:hAnsi="Arial" w:cs="Arial"/>
          <w:i/>
          <w:iCs/>
          <w:color w:val="000000"/>
          <w:sz w:val="20"/>
          <w:szCs w:val="20"/>
        </w:rPr>
        <w:t>Frontiers in Political Science, 7</w:t>
      </w:r>
      <w:r>
        <w:rPr>
          <w:rFonts w:ascii="Arial" w:hAnsi="Arial" w:cs="Arial"/>
          <w:color w:val="000000"/>
          <w:sz w:val="20"/>
          <w:szCs w:val="20"/>
        </w:rPr>
        <w:t xml:space="preserve">, 1666661. </w:t>
      </w:r>
      <w:hyperlink r:id="rId40" w:history="1">
        <w:r>
          <w:rPr>
            <w:rStyle w:val="Hyperlink"/>
            <w:rFonts w:ascii="Arial" w:hAnsi="Arial" w:cs="Arial"/>
            <w:color w:val="000000"/>
            <w:sz w:val="20"/>
            <w:szCs w:val="20"/>
            <w:u w:val="none"/>
          </w:rPr>
          <w:t>https://doi.org/10.3389/fpos.2025.1666661</w:t>
        </w:r>
      </w:hyperlink>
    </w:p>
    <w:p w14:paraId="3D39569E" w14:textId="77777777" w:rsidR="00311822" w:rsidRDefault="00311822" w:rsidP="00311822">
      <w:pPr>
        <w:pStyle w:val="NormalWeb"/>
        <w:spacing w:before="0" w:beforeAutospacing="0" w:after="0" w:afterAutospacing="0"/>
        <w:ind w:left="450" w:hanging="450"/>
      </w:pPr>
      <w:proofErr w:type="spellStart"/>
      <w:r>
        <w:rPr>
          <w:rFonts w:ascii="Arial" w:hAnsi="Arial" w:cs="Arial"/>
          <w:color w:val="000000"/>
          <w:sz w:val="20"/>
          <w:szCs w:val="20"/>
        </w:rPr>
        <w:t>Toquero</w:t>
      </w:r>
      <w:proofErr w:type="spellEnd"/>
      <w:r>
        <w:rPr>
          <w:rFonts w:ascii="Arial" w:hAnsi="Arial" w:cs="Arial"/>
          <w:color w:val="000000"/>
          <w:sz w:val="20"/>
          <w:szCs w:val="20"/>
        </w:rPr>
        <w:t xml:space="preserve">, C. M. (2026). Trends, trajectories and tomorrows of AI regulations in Philippine higher educational institutions. </w:t>
      </w:r>
      <w:r>
        <w:rPr>
          <w:rFonts w:ascii="Arial" w:hAnsi="Arial" w:cs="Arial"/>
          <w:i/>
          <w:iCs/>
          <w:color w:val="000000"/>
          <w:sz w:val="20"/>
          <w:szCs w:val="20"/>
        </w:rPr>
        <w:t>Higher Education Quarterly, 80</w:t>
      </w:r>
      <w:r>
        <w:rPr>
          <w:rFonts w:ascii="Arial" w:hAnsi="Arial" w:cs="Arial"/>
          <w:color w:val="000000"/>
          <w:sz w:val="20"/>
          <w:szCs w:val="20"/>
        </w:rPr>
        <w:t>(1), e70090. https://doi.org/10.1111/hequ.70090 </w:t>
      </w:r>
    </w:p>
    <w:p w14:paraId="5BBCC66F" w14:textId="77777777" w:rsidR="00311822" w:rsidRDefault="00311822" w:rsidP="00311822">
      <w:pPr>
        <w:pStyle w:val="NormalWeb"/>
        <w:spacing w:before="0" w:beforeAutospacing="0" w:after="0" w:afterAutospacing="0"/>
        <w:ind w:left="450" w:hanging="450"/>
      </w:pPr>
      <w:r>
        <w:rPr>
          <w:rFonts w:ascii="Arial" w:hAnsi="Arial" w:cs="Arial"/>
          <w:color w:val="000000"/>
          <w:sz w:val="20"/>
          <w:szCs w:val="20"/>
        </w:rPr>
        <w:t xml:space="preserve">Tornatzky, L. G., &amp; Fleischer, M. (1990). </w:t>
      </w:r>
      <w:r>
        <w:rPr>
          <w:rFonts w:ascii="Arial" w:hAnsi="Arial" w:cs="Arial"/>
          <w:i/>
          <w:iCs/>
          <w:color w:val="000000"/>
          <w:sz w:val="20"/>
          <w:szCs w:val="20"/>
        </w:rPr>
        <w:t>The processes of technological innovation</w:t>
      </w:r>
      <w:r>
        <w:rPr>
          <w:rFonts w:ascii="Arial" w:hAnsi="Arial" w:cs="Arial"/>
          <w:color w:val="000000"/>
          <w:sz w:val="20"/>
          <w:szCs w:val="20"/>
        </w:rPr>
        <w:t>. Lexington Books.</w:t>
      </w:r>
    </w:p>
    <w:p w14:paraId="741584C3" w14:textId="77777777" w:rsidR="00311822" w:rsidRDefault="00311822" w:rsidP="00311822">
      <w:pPr>
        <w:pStyle w:val="NormalWeb"/>
        <w:spacing w:before="0" w:beforeAutospacing="0" w:after="0" w:afterAutospacing="0"/>
        <w:ind w:left="450" w:hanging="450"/>
      </w:pPr>
      <w:r>
        <w:rPr>
          <w:rFonts w:ascii="Arial" w:hAnsi="Arial" w:cs="Arial"/>
          <w:color w:val="000000"/>
          <w:sz w:val="20"/>
          <w:szCs w:val="20"/>
        </w:rPr>
        <w:t xml:space="preserve">Uddin, M. M. (2026). A call for an interdisciplinary ethical foundation for GenAI governance in higher education. </w:t>
      </w:r>
      <w:r>
        <w:rPr>
          <w:rFonts w:ascii="Arial" w:hAnsi="Arial" w:cs="Arial"/>
          <w:i/>
          <w:iCs/>
          <w:color w:val="000000"/>
          <w:sz w:val="20"/>
          <w:szCs w:val="20"/>
        </w:rPr>
        <w:t>Discover Artificial Intelligence, 6</w:t>
      </w:r>
      <w:r>
        <w:rPr>
          <w:rFonts w:ascii="Arial" w:hAnsi="Arial" w:cs="Arial"/>
          <w:color w:val="000000"/>
          <w:sz w:val="20"/>
          <w:szCs w:val="20"/>
        </w:rPr>
        <w:t xml:space="preserve">, 822. </w:t>
      </w:r>
      <w:hyperlink r:id="rId41" w:history="1">
        <w:r>
          <w:rPr>
            <w:rStyle w:val="Hyperlink"/>
            <w:rFonts w:ascii="Arial" w:hAnsi="Arial" w:cs="Arial"/>
            <w:color w:val="000000"/>
            <w:sz w:val="20"/>
            <w:szCs w:val="20"/>
            <w:u w:val="none"/>
          </w:rPr>
          <w:t>https://doi.org/10.1007/s44163-026-01999-2</w:t>
        </w:r>
      </w:hyperlink>
    </w:p>
    <w:p w14:paraId="78931104" w14:textId="77777777" w:rsidR="00311822" w:rsidRDefault="00311822" w:rsidP="00311822">
      <w:pPr>
        <w:pStyle w:val="NormalWeb"/>
        <w:spacing w:before="0" w:beforeAutospacing="0" w:after="0" w:afterAutospacing="0"/>
        <w:ind w:left="450" w:hanging="450"/>
      </w:pPr>
      <w:r>
        <w:rPr>
          <w:rFonts w:ascii="Arial" w:hAnsi="Arial" w:cs="Arial"/>
          <w:color w:val="000000"/>
          <w:sz w:val="20"/>
          <w:szCs w:val="20"/>
        </w:rPr>
        <w:t xml:space="preserve">Wang, H., Dang, A., Wu, Z., &amp; Mac, S. (2024). Generative AI in higher education: Seeing ChatGPT through universities' policies, resources, and guidelines. </w:t>
      </w:r>
      <w:r>
        <w:rPr>
          <w:rFonts w:ascii="Arial" w:hAnsi="Arial" w:cs="Arial"/>
          <w:i/>
          <w:iCs/>
          <w:color w:val="000000"/>
          <w:sz w:val="20"/>
          <w:szCs w:val="20"/>
        </w:rPr>
        <w:t>Computers and Education: Artificial Intelligence, 7</w:t>
      </w:r>
      <w:r>
        <w:rPr>
          <w:rFonts w:ascii="Arial" w:hAnsi="Arial" w:cs="Arial"/>
          <w:color w:val="000000"/>
          <w:sz w:val="20"/>
          <w:szCs w:val="20"/>
        </w:rPr>
        <w:t>, 100326.</w:t>
      </w:r>
      <w:hyperlink r:id="rId42" w:history="1">
        <w:r>
          <w:rPr>
            <w:rStyle w:val="Hyperlink"/>
            <w:rFonts w:ascii="Arial" w:hAnsi="Arial" w:cs="Arial"/>
            <w:color w:val="000000"/>
            <w:sz w:val="20"/>
            <w:szCs w:val="20"/>
            <w:u w:val="none"/>
          </w:rPr>
          <w:t xml:space="preserve"> https://doi.org/10.1016/j.caeai.2024.100326</w:t>
        </w:r>
      </w:hyperlink>
    </w:p>
    <w:p w14:paraId="3D00C11C" w14:textId="77777777" w:rsidR="00311822" w:rsidRDefault="00311822" w:rsidP="00311822">
      <w:pPr>
        <w:pStyle w:val="NormalWeb"/>
        <w:spacing w:before="0" w:beforeAutospacing="0" w:after="0" w:afterAutospacing="0"/>
        <w:ind w:left="450" w:hanging="450"/>
      </w:pPr>
      <w:r>
        <w:rPr>
          <w:rFonts w:ascii="Arial" w:hAnsi="Arial" w:cs="Arial"/>
          <w:color w:val="000000"/>
          <w:sz w:val="20"/>
          <w:szCs w:val="20"/>
        </w:rPr>
        <w:t xml:space="preserve">Xavier University. (2024a). </w:t>
      </w:r>
      <w:r>
        <w:rPr>
          <w:rFonts w:ascii="Arial" w:hAnsi="Arial" w:cs="Arial"/>
          <w:i/>
          <w:iCs/>
          <w:color w:val="000000"/>
          <w:sz w:val="20"/>
          <w:szCs w:val="20"/>
        </w:rPr>
        <w:t>Policy on the ethical and responsible use of generative artificial intelligence (GenAI) at Xavier Ateneo</w:t>
      </w:r>
      <w:r>
        <w:rPr>
          <w:rFonts w:ascii="Arial" w:hAnsi="Arial" w:cs="Arial"/>
          <w:color w:val="000000"/>
          <w:sz w:val="20"/>
          <w:szCs w:val="20"/>
        </w:rPr>
        <w:t xml:space="preserve"> (Memo #U2425-003).</w:t>
      </w:r>
      <w:hyperlink r:id="rId43" w:history="1">
        <w:r>
          <w:rPr>
            <w:rStyle w:val="Hyperlink"/>
            <w:rFonts w:ascii="Arial" w:hAnsi="Arial" w:cs="Arial"/>
            <w:color w:val="000000"/>
            <w:sz w:val="20"/>
            <w:szCs w:val="20"/>
            <w:u w:val="none"/>
          </w:rPr>
          <w:t xml:space="preserve"> </w:t>
        </w:r>
      </w:hyperlink>
      <w:hyperlink r:id="rId44" w:history="1">
        <w:r>
          <w:rPr>
            <w:rStyle w:val="Hyperlink"/>
            <w:rFonts w:ascii="Arial" w:hAnsi="Arial" w:cs="Arial"/>
            <w:color w:val="000000"/>
            <w:sz w:val="20"/>
            <w:szCs w:val="20"/>
            <w:u w:val="none"/>
          </w:rPr>
          <w:t>https://www.xu.edu.ph/memo/225-academic-year-2024-2025/6731-memo-u2425-003-policy-on-the-ethical-and-responsible-use-of-generative-artificial-intelligence-genai-at-xavier-ateneo</w:t>
        </w:r>
      </w:hyperlink>
    </w:p>
    <w:p w14:paraId="6D1AD2BD" w14:textId="77777777" w:rsidR="00311822" w:rsidRDefault="00311822" w:rsidP="00311822">
      <w:pPr>
        <w:pStyle w:val="NormalWeb"/>
        <w:spacing w:before="0" w:beforeAutospacing="0" w:after="0" w:afterAutospacing="0"/>
        <w:ind w:left="450" w:hanging="450"/>
      </w:pPr>
      <w:r>
        <w:rPr>
          <w:rFonts w:ascii="Arial" w:hAnsi="Arial" w:cs="Arial"/>
          <w:color w:val="000000"/>
          <w:sz w:val="20"/>
          <w:szCs w:val="20"/>
        </w:rPr>
        <w:t xml:space="preserve">Xavier University. (2024b). </w:t>
      </w:r>
      <w:r>
        <w:rPr>
          <w:rFonts w:ascii="Arial" w:hAnsi="Arial" w:cs="Arial"/>
          <w:i/>
          <w:iCs/>
          <w:color w:val="000000"/>
          <w:sz w:val="20"/>
          <w:szCs w:val="20"/>
        </w:rPr>
        <w:t>Establishment of the Committee on Responsible AI Use at Xavier Ateneo</w:t>
      </w:r>
      <w:r>
        <w:rPr>
          <w:rFonts w:ascii="Arial" w:hAnsi="Arial" w:cs="Arial"/>
          <w:color w:val="000000"/>
          <w:sz w:val="20"/>
          <w:szCs w:val="20"/>
        </w:rPr>
        <w:t xml:space="preserve"> (Memo #U2324-062).</w:t>
      </w:r>
      <w:hyperlink r:id="rId45" w:history="1">
        <w:r>
          <w:rPr>
            <w:rStyle w:val="Hyperlink"/>
            <w:rFonts w:ascii="Arial" w:hAnsi="Arial" w:cs="Arial"/>
            <w:color w:val="000000"/>
            <w:sz w:val="20"/>
            <w:szCs w:val="20"/>
            <w:u w:val="none"/>
          </w:rPr>
          <w:t xml:space="preserve"> </w:t>
        </w:r>
      </w:hyperlink>
      <w:hyperlink r:id="rId46" w:history="1">
        <w:r>
          <w:rPr>
            <w:rStyle w:val="Hyperlink"/>
            <w:rFonts w:ascii="Arial" w:hAnsi="Arial" w:cs="Arial"/>
            <w:color w:val="000000"/>
            <w:sz w:val="20"/>
            <w:szCs w:val="20"/>
            <w:u w:val="none"/>
          </w:rPr>
          <w:t>https://www.xu.edu.ph/memo/195-sy-2020-2023/6403-memo-u2324-062-establishment-of-the-committee-on-responsible-ai-use-at-xavier-ateneo</w:t>
        </w:r>
      </w:hyperlink>
    </w:p>
    <w:p w14:paraId="3FB224D4" w14:textId="77777777" w:rsidR="00311822" w:rsidRDefault="00311822" w:rsidP="00311822">
      <w:pPr>
        <w:pStyle w:val="NormalWeb"/>
        <w:spacing w:before="0" w:beforeAutospacing="0" w:after="0" w:afterAutospacing="0"/>
        <w:ind w:left="450" w:hanging="450"/>
      </w:pPr>
      <w:r>
        <w:rPr>
          <w:rFonts w:ascii="Arial" w:hAnsi="Arial" w:cs="Arial"/>
          <w:color w:val="000000"/>
          <w:sz w:val="20"/>
          <w:szCs w:val="20"/>
        </w:rPr>
        <w:t xml:space="preserve">Yan, L., Wan Mohd Isa, W. A. R., Harun, A. F., &amp; Shuib, L. (2026). Technology-Organization-Environment (TOE) framework for educational technology adoption at the institutional level: A cross-technology systematic review (2020–2024). </w:t>
      </w:r>
      <w:r>
        <w:rPr>
          <w:rFonts w:ascii="Arial" w:hAnsi="Arial" w:cs="Arial"/>
          <w:i/>
          <w:iCs/>
          <w:color w:val="000000"/>
          <w:sz w:val="20"/>
          <w:szCs w:val="20"/>
        </w:rPr>
        <w:t>Discover Education</w:t>
      </w:r>
      <w:r>
        <w:rPr>
          <w:rFonts w:ascii="Arial" w:hAnsi="Arial" w:cs="Arial"/>
          <w:color w:val="000000"/>
          <w:sz w:val="20"/>
          <w:szCs w:val="20"/>
        </w:rPr>
        <w:t>.</w:t>
      </w:r>
      <w:hyperlink r:id="rId47" w:history="1">
        <w:r>
          <w:rPr>
            <w:rStyle w:val="Hyperlink"/>
            <w:rFonts w:ascii="Arial" w:hAnsi="Arial" w:cs="Arial"/>
            <w:color w:val="000000"/>
            <w:sz w:val="20"/>
            <w:szCs w:val="20"/>
            <w:u w:val="none"/>
          </w:rPr>
          <w:t xml:space="preserve"> https://doi.org/10.1007/s44217-026-01887-y</w:t>
        </w:r>
      </w:hyperlink>
    </w:p>
    <w:sectPr w:rsidR="00311822" w:rsidSect="0092560C">
      <w:type w:val="continuous"/>
      <w:pgSz w:w="12240" w:h="15840"/>
      <w:pgMar w:top="720" w:right="2016" w:bottom="2016" w:left="201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70092D" w14:textId="77777777" w:rsidR="0085367D" w:rsidRDefault="0085367D" w:rsidP="00C37E61">
      <w:r>
        <w:separator/>
      </w:r>
    </w:p>
  </w:endnote>
  <w:endnote w:type="continuationSeparator" w:id="0">
    <w:p w14:paraId="052E47DD" w14:textId="77777777" w:rsidR="0085367D" w:rsidRDefault="0085367D" w:rsidP="00C37E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
    <w:panose1 w:val="020B0604020202020204"/>
    <w:charset w:val="00"/>
    <w:family w:val="auto"/>
    <w:pitch w:val="variable"/>
    <w:sig w:usb0="E00002FF" w:usb1="5000785B"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88278" w14:textId="77777777" w:rsidR="00DB4630" w:rsidRDefault="00DB463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B1E5D9" w14:textId="77777777" w:rsidR="00DB4630" w:rsidRDefault="00DB463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FD3DF1" w14:textId="77777777" w:rsidR="009E048A" w:rsidRDefault="009E048A">
    <w:pPr>
      <w:pStyle w:val="Footer"/>
      <w:rPr>
        <w:rFonts w:ascii="Arial" w:hAnsi="Arial" w:cs="Arial"/>
        <w:sz w:val="16"/>
      </w:rPr>
    </w:pPr>
  </w:p>
  <w:p w14:paraId="333E4960" w14:textId="77777777" w:rsidR="009E048A" w:rsidRDefault="009E048A" w:rsidP="009E048A">
    <w:pPr>
      <w:pStyle w:val="Footer"/>
      <w:jc w:val="center"/>
      <w:rPr>
        <w:rFonts w:ascii="Arial" w:hAnsi="Arial" w:cs="Arial"/>
        <w:sz w:val="16"/>
      </w:rPr>
    </w:pPr>
    <w:r>
      <w:rPr>
        <w:rFonts w:ascii="Arial" w:hAnsi="Arial" w:cs="Arial"/>
        <w:sz w:val="16"/>
      </w:rPr>
      <w:t>______________________________________________________________________</w:t>
    </w:r>
    <w:r w:rsidR="00BF121F">
      <w:rPr>
        <w:rFonts w:ascii="Arial" w:hAnsi="Arial" w:cs="Arial"/>
        <w:sz w:val="16"/>
      </w:rPr>
      <w:t>______________________</w:t>
    </w:r>
  </w:p>
  <w:p w14:paraId="7791C741" w14:textId="77777777" w:rsidR="009E048A" w:rsidRDefault="009E048A">
    <w:pPr>
      <w:pStyle w:val="Footer"/>
      <w:rPr>
        <w:rFonts w:ascii="Arial" w:hAnsi="Arial" w:cs="Arial"/>
        <w:sz w:val="16"/>
      </w:rPr>
    </w:pPr>
  </w:p>
  <w:p w14:paraId="2E961195" w14:textId="77777777" w:rsidR="00754C9A" w:rsidRPr="009E048A" w:rsidRDefault="00754C9A">
    <w:pPr>
      <w:pStyle w:val="Footer"/>
      <w:rPr>
        <w:rFonts w:ascii="Arial" w:hAnsi="Arial" w:cs="Arial"/>
        <w:i/>
        <w:sz w:val="16"/>
      </w:rPr>
    </w:pPr>
    <w:r w:rsidRPr="009E048A">
      <w:rPr>
        <w:rFonts w:ascii="Arial" w:hAnsi="Arial" w:cs="Arial"/>
        <w:i/>
        <w:sz w:val="16"/>
      </w:rPr>
      <w:t>*Corresponding author: Email: XYZ@ABC.COM</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412B2E" w14:textId="77777777" w:rsidR="00C37E61" w:rsidRPr="00C37E61" w:rsidRDefault="00C37E61" w:rsidP="00C37E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B0FFEE" w14:textId="77777777" w:rsidR="0085367D" w:rsidRDefault="0085367D" w:rsidP="00C37E61">
      <w:r>
        <w:separator/>
      </w:r>
    </w:p>
  </w:footnote>
  <w:footnote w:type="continuationSeparator" w:id="0">
    <w:p w14:paraId="3084179B" w14:textId="77777777" w:rsidR="0085367D" w:rsidRDefault="0085367D" w:rsidP="00C37E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A548D1" w14:textId="59229F42" w:rsidR="00DB4630" w:rsidRDefault="00DB4630">
    <w:pPr>
      <w:pStyle w:val="Header"/>
    </w:pPr>
    <w:r>
      <w:rPr>
        <w:noProof/>
      </w:rPr>
      <w:pict w14:anchorId="35DF789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73749891" o:spid="_x0000_s1026" type="#_x0000_t136" style="position:absolute;margin-left:0;margin-top:0;width:520.65pt;height:57.85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DBBF82" w14:textId="0E3E0603" w:rsidR="00DB4630" w:rsidRDefault="00DB4630">
    <w:pPr>
      <w:pStyle w:val="Header"/>
    </w:pPr>
    <w:r>
      <w:rPr>
        <w:noProof/>
      </w:rPr>
      <w:pict w14:anchorId="673C455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73749892" o:spid="_x0000_s1027" type="#_x0000_t136" style="position:absolute;margin-left:0;margin-top:0;width:520.65pt;height:57.85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79D0D1" w14:textId="47CBC7DB" w:rsidR="00296529" w:rsidRPr="00296529" w:rsidRDefault="00DB4630" w:rsidP="00296529">
    <w:pPr>
      <w:ind w:left="2160"/>
      <w:jc w:val="center"/>
      <w:rPr>
        <w:rFonts w:eastAsia="Calibri"/>
        <w:i/>
        <w:sz w:val="18"/>
        <w:szCs w:val="22"/>
      </w:rPr>
    </w:pPr>
    <w:r>
      <w:rPr>
        <w:noProof/>
      </w:rPr>
      <w:pict w14:anchorId="2799868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73749890" o:spid="_x0000_s1025" type="#_x0000_t136" style="position:absolute;left:0;text-align:left;margin-left:0;margin-top:0;width:520.65pt;height:57.85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v:shape>
      </w:pict>
    </w:r>
  </w:p>
  <w:p w14:paraId="7F4CF0E3" w14:textId="77777777" w:rsidR="00296529" w:rsidRPr="00296529" w:rsidRDefault="00754C9A" w:rsidP="00296529">
    <w:pPr>
      <w:ind w:left="4320"/>
      <w:rPr>
        <w:rFonts w:eastAsia="Calibri"/>
        <w:i/>
        <w:sz w:val="18"/>
        <w:szCs w:val="22"/>
      </w:rPr>
    </w:pPr>
    <w:r>
      <w:rPr>
        <w:rFonts w:eastAsia="Calibri"/>
        <w:i/>
        <w:sz w:val="18"/>
        <w:szCs w:val="22"/>
      </w:rPr>
      <w:t>.</w:t>
    </w:r>
    <w:r w:rsidR="00296529" w:rsidRPr="00296529">
      <w:rPr>
        <w:rFonts w:eastAsia="Calibri"/>
        <w:i/>
        <w:sz w:val="18"/>
        <w:szCs w:val="22"/>
      </w:rPr>
      <w:t xml:space="preserve">     </w:t>
    </w:r>
  </w:p>
  <w:p w14:paraId="45C2242F" w14:textId="77777777" w:rsidR="00296529" w:rsidRPr="00296529" w:rsidRDefault="00754C9A" w:rsidP="00296529">
    <w:pPr>
      <w:jc w:val="center"/>
      <w:rPr>
        <w:rFonts w:eastAsia="Calibri"/>
        <w:i/>
        <w:sz w:val="18"/>
        <w:szCs w:val="22"/>
      </w:rPr>
    </w:pPr>
    <w:r>
      <w:rPr>
        <w:rFonts w:eastAsia="Calibri"/>
        <w:i/>
        <w:sz w:val="18"/>
        <w:szCs w:val="22"/>
      </w:rPr>
      <w:t>.</w:t>
    </w:r>
  </w:p>
  <w:p w14:paraId="43F2F252" w14:textId="77777777" w:rsidR="00296529" w:rsidRPr="00296529" w:rsidRDefault="00296529" w:rsidP="00296529">
    <w:pPr>
      <w:spacing w:after="200"/>
      <w:jc w:val="center"/>
      <w:rPr>
        <w:rFonts w:eastAsia="Calibri"/>
        <w:b/>
        <w:i/>
        <w:sz w:val="32"/>
        <w:szCs w:val="22"/>
      </w:rPr>
    </w:pPr>
    <w:r w:rsidRPr="00296529">
      <w:rPr>
        <w:rFonts w:eastAsia="Calibri"/>
        <w:b/>
        <w:i/>
        <w:sz w:val="32"/>
        <w:szCs w:val="22"/>
      </w:rPr>
      <w:t xml:space="preserve">              </w:t>
    </w:r>
    <w:r w:rsidR="00754C9A">
      <w:rPr>
        <w:rFonts w:eastAsia="Calibri"/>
        <w:b/>
        <w:i/>
        <w:sz w:val="32"/>
        <w:szCs w:val="22"/>
      </w:rPr>
      <w:t>.</w:t>
    </w:r>
    <w:r w:rsidRPr="00296529">
      <w:rPr>
        <w:rFonts w:eastAsia="Calibri"/>
        <w:b/>
        <w:i/>
        <w:sz w:val="32"/>
        <w:szCs w:val="22"/>
      </w:rPr>
      <w:t xml:space="preserve"> </w:t>
    </w:r>
  </w:p>
  <w:p w14:paraId="5A47060F" w14:textId="77777777" w:rsidR="00296529" w:rsidRDefault="00296529" w:rsidP="00296529">
    <w:pPr>
      <w:jc w:val="center"/>
      <w:rPr>
        <w:rFonts w:eastAsia="Calibri"/>
        <w:i/>
        <w:sz w:val="18"/>
        <w:szCs w:val="22"/>
      </w:rPr>
    </w:pPr>
    <w:r w:rsidRPr="00296529">
      <w:rPr>
        <w:rFonts w:eastAsia="Calibri"/>
        <w:i/>
        <w:sz w:val="18"/>
        <w:szCs w:val="22"/>
      </w:rPr>
      <w:t xml:space="preserve">                     </w:t>
    </w:r>
  </w:p>
  <w:p w14:paraId="71C05838" w14:textId="77777777" w:rsidR="00296529" w:rsidRDefault="00296529" w:rsidP="00296529">
    <w:pPr>
      <w:tabs>
        <w:tab w:val="left" w:pos="2145"/>
      </w:tabs>
      <w:rPr>
        <w:rFonts w:eastAsia="Calibri"/>
        <w:i/>
        <w:sz w:val="18"/>
        <w:szCs w:val="22"/>
      </w:rPr>
    </w:pPr>
    <w:r>
      <w:rPr>
        <w:rFonts w:eastAsia="Calibri"/>
        <w:i/>
        <w:sz w:val="18"/>
        <w:szCs w:val="22"/>
      </w:rPr>
      <w:tab/>
    </w:r>
    <w:r w:rsidR="00754C9A">
      <w:rPr>
        <w:rFonts w:eastAsia="Calibri"/>
        <w:i/>
        <w:sz w:val="18"/>
        <w:szCs w:val="22"/>
      </w:rPr>
      <w:t>.</w:t>
    </w:r>
  </w:p>
  <w:p w14:paraId="7B055653" w14:textId="77777777" w:rsidR="00296529" w:rsidRDefault="00754C9A">
    <w:pPr>
      <w:pStyle w:val="Header"/>
    </w:pPr>
    <w:r>
      <w: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C13974" w14:textId="46FF8892" w:rsidR="00DB4630" w:rsidRDefault="00DB4630">
    <w:pPr>
      <w:pStyle w:val="Header"/>
    </w:pPr>
    <w:r>
      <w:rPr>
        <w:noProof/>
      </w:rPr>
      <w:pict w14:anchorId="0C94E41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73749894" o:spid="_x0000_s1031" type="#_x0000_t136" style="position:absolute;margin-left:0;margin-top:0;width:520.65pt;height:57.85pt;rotation:315;z-index:-251644928;mso-position-horizontal:center;mso-position-horizontal-relative:margin;mso-position-vertical:center;mso-position-vertical-relative:margin" o:allowincell="f" fillcolor="silver" stroked="f">
          <v:fill opacity=".5"/>
          <v:textpath style="font-family:&quot;Times New Roman&quot;;font-size:1pt" string="UNDER PEER REVIEW"/>
        </v:shape>
      </w:pict>
    </w:r>
    <w:r>
      <w:rPr>
        <w:noProof/>
      </w:rPr>
      <w:pict w14:anchorId="26CBF6A1">
        <v:shape id="_x0000_s1030" type="#_x0000_t136" style="position:absolute;margin-left:0;margin-top:0;width:520.65pt;height:57.85pt;rotation:315;z-index:-251646976;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A26BD5" w14:textId="2373C168" w:rsidR="00DB4630" w:rsidRDefault="00DB4630">
    <w:pPr>
      <w:pStyle w:val="Header"/>
    </w:pPr>
    <w:r>
      <w:rPr>
        <w:noProof/>
      </w:rPr>
      <w:pict w14:anchorId="671ECB8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73749895" o:spid="_x0000_s1033" type="#_x0000_t136" style="position:absolute;margin-left:0;margin-top:0;width:520.65pt;height:57.85pt;rotation:315;z-index:-251640832;mso-position-horizontal:center;mso-position-horizontal-relative:margin;mso-position-vertical:center;mso-position-vertical-relative:margin" o:allowincell="f" fillcolor="silver" stroked="f">
          <v:fill opacity=".5"/>
          <v:textpath style="font-family:&quot;Times New Roman&quot;;font-size:1pt" string="UNDER PEER REVIEW"/>
        </v:shape>
      </w:pict>
    </w:r>
    <w:r>
      <w:rPr>
        <w:noProof/>
      </w:rPr>
      <w:pict w14:anchorId="1D059E9B">
        <v:shape id="_x0000_s1032" type="#_x0000_t136" style="position:absolute;margin-left:0;margin-top:0;width:520.65pt;height:57.85pt;rotation:315;z-index:-251642880;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026735" w14:textId="48E07A0F" w:rsidR="00DB4630" w:rsidRPr="00296529" w:rsidRDefault="00DB4630" w:rsidP="00296529">
    <w:pPr>
      <w:ind w:left="2160"/>
      <w:jc w:val="center"/>
      <w:rPr>
        <w:rFonts w:eastAsia="Calibri"/>
        <w:i/>
        <w:sz w:val="18"/>
        <w:szCs w:val="22"/>
      </w:rPr>
    </w:pPr>
    <w:r>
      <w:rPr>
        <w:noProof/>
      </w:rPr>
      <w:pict w14:anchorId="73E5905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73749893" o:spid="_x0000_s1029" type="#_x0000_t136" style="position:absolute;left:0;text-align:left;margin-left:0;margin-top:0;width:520.65pt;height:57.85pt;rotation:315;z-index:-251649024;mso-position-horizontal:center;mso-position-horizontal-relative:margin;mso-position-vertical:center;mso-position-vertical-relative:margin" o:allowincell="f" fillcolor="silver" stroked="f">
          <v:fill opacity=".5"/>
          <v:textpath style="font-family:&quot;Times New Roman&quot;;font-size:1pt" string="UNDER PEER REVIEW"/>
        </v:shape>
      </w:pict>
    </w:r>
    <w:r>
      <w:rPr>
        <w:noProof/>
      </w:rPr>
      <w:pict w14:anchorId="00C94255">
        <v:shape id="_x0000_s1028" type="#_x0000_t136" style="position:absolute;left:0;text-align:left;margin-left:0;margin-top:0;width:520.65pt;height:57.85pt;rotation:315;z-index:-251651072;mso-position-horizontal:center;mso-position-horizontal-relative:margin;mso-position-vertical:center;mso-position-vertical-relative:margin" o:allowincell="f" fillcolor="silver" stroked="f">
          <v:fill opacity=".5"/>
          <v:textpath style="font-family:&quot;Times New Roman&quot;;font-size:1pt" string="UNDER PEER REVIEW"/>
        </v:shape>
      </w:pict>
    </w:r>
  </w:p>
  <w:p w14:paraId="2B3E3C2A" w14:textId="77777777" w:rsidR="00DB4630" w:rsidRPr="00296529" w:rsidRDefault="00DB4630" w:rsidP="00296529">
    <w:pPr>
      <w:ind w:left="4320"/>
      <w:rPr>
        <w:rFonts w:eastAsia="Calibri"/>
        <w:i/>
        <w:sz w:val="18"/>
        <w:szCs w:val="22"/>
      </w:rPr>
    </w:pPr>
    <w:r>
      <w:rPr>
        <w:rFonts w:eastAsia="Calibri"/>
        <w:i/>
        <w:sz w:val="18"/>
        <w:szCs w:val="22"/>
      </w:rPr>
      <w:t>.</w:t>
    </w:r>
    <w:r w:rsidRPr="00296529">
      <w:rPr>
        <w:rFonts w:eastAsia="Calibri"/>
        <w:i/>
        <w:sz w:val="18"/>
        <w:szCs w:val="22"/>
      </w:rPr>
      <w:t xml:space="preserve">     </w:t>
    </w:r>
  </w:p>
  <w:p w14:paraId="0D96E962" w14:textId="77777777" w:rsidR="00DB4630" w:rsidRPr="00296529" w:rsidRDefault="00DB4630" w:rsidP="00296529">
    <w:pPr>
      <w:jc w:val="center"/>
      <w:rPr>
        <w:rFonts w:eastAsia="Calibri"/>
        <w:i/>
        <w:sz w:val="18"/>
        <w:szCs w:val="22"/>
      </w:rPr>
    </w:pPr>
    <w:r>
      <w:rPr>
        <w:rFonts w:eastAsia="Calibri"/>
        <w:i/>
        <w:sz w:val="18"/>
        <w:szCs w:val="22"/>
      </w:rPr>
      <w:t>.</w:t>
    </w:r>
  </w:p>
  <w:p w14:paraId="71840B12" w14:textId="77777777" w:rsidR="00DB4630" w:rsidRPr="00296529" w:rsidRDefault="00DB4630" w:rsidP="00296529">
    <w:pPr>
      <w:spacing w:after="200"/>
      <w:jc w:val="center"/>
      <w:rPr>
        <w:rFonts w:eastAsia="Calibri"/>
        <w:b/>
        <w:i/>
        <w:sz w:val="32"/>
        <w:szCs w:val="22"/>
      </w:rPr>
    </w:pPr>
    <w:r w:rsidRPr="00296529">
      <w:rPr>
        <w:rFonts w:eastAsia="Calibri"/>
        <w:b/>
        <w:i/>
        <w:sz w:val="32"/>
        <w:szCs w:val="22"/>
      </w:rPr>
      <w:t xml:space="preserve">              </w:t>
    </w:r>
    <w:r>
      <w:rPr>
        <w:rFonts w:eastAsia="Calibri"/>
        <w:b/>
        <w:i/>
        <w:sz w:val="32"/>
        <w:szCs w:val="22"/>
      </w:rPr>
      <w:t>.</w:t>
    </w:r>
    <w:r w:rsidRPr="00296529">
      <w:rPr>
        <w:rFonts w:eastAsia="Calibri"/>
        <w:b/>
        <w:i/>
        <w:sz w:val="32"/>
        <w:szCs w:val="22"/>
      </w:rPr>
      <w:t xml:space="preserve"> </w:t>
    </w:r>
  </w:p>
  <w:p w14:paraId="71A9B3C3" w14:textId="77777777" w:rsidR="00DB4630" w:rsidRDefault="00DB4630" w:rsidP="00296529">
    <w:pPr>
      <w:jc w:val="center"/>
      <w:rPr>
        <w:rFonts w:eastAsia="Calibri"/>
        <w:i/>
        <w:sz w:val="18"/>
        <w:szCs w:val="22"/>
      </w:rPr>
    </w:pPr>
    <w:r w:rsidRPr="00296529">
      <w:rPr>
        <w:rFonts w:eastAsia="Calibri"/>
        <w:i/>
        <w:sz w:val="18"/>
        <w:szCs w:val="22"/>
      </w:rPr>
      <w:t xml:space="preserve">                     </w:t>
    </w:r>
  </w:p>
  <w:p w14:paraId="1662345B" w14:textId="77777777" w:rsidR="00DB4630" w:rsidRDefault="00DB4630" w:rsidP="00296529">
    <w:pPr>
      <w:tabs>
        <w:tab w:val="left" w:pos="2145"/>
      </w:tabs>
      <w:rPr>
        <w:rFonts w:eastAsia="Calibri"/>
        <w:i/>
        <w:sz w:val="18"/>
        <w:szCs w:val="22"/>
      </w:rPr>
    </w:pPr>
    <w:r>
      <w:rPr>
        <w:rFonts w:eastAsia="Calibri"/>
        <w:i/>
        <w:sz w:val="18"/>
        <w:szCs w:val="22"/>
      </w:rPr>
      <w:tab/>
      <w:t>.</w:t>
    </w:r>
  </w:p>
  <w:p w14:paraId="507F4BEB" w14:textId="77777777" w:rsidR="00DB4630" w:rsidRDefault="00DB4630">
    <w:pPr>
      <w:pStyle w:val="Header"/>
    </w:pPr>
    <w: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5053B8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 w15:restartNumberingAfterBreak="0">
    <w:nsid w:val="0545617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3" w15:restartNumberingAfterBreak="0">
    <w:nsid w:val="07DC245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4" w15:restartNumberingAfterBreak="0">
    <w:nsid w:val="082B0AB1"/>
    <w:multiLevelType w:val="hybridMultilevel"/>
    <w:tmpl w:val="C464E61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89A26EC"/>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6" w15:restartNumberingAfterBreak="0">
    <w:nsid w:val="0EC833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7" w15:restartNumberingAfterBreak="0">
    <w:nsid w:val="193B2D1D"/>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8" w15:restartNumberingAfterBreak="0">
    <w:nsid w:val="1CC15D69"/>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9" w15:restartNumberingAfterBreak="0">
    <w:nsid w:val="217E207B"/>
    <w:multiLevelType w:val="multilevel"/>
    <w:tmpl w:val="AB5429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1B564C6"/>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1" w15:restartNumberingAfterBreak="0">
    <w:nsid w:val="22CB701F"/>
    <w:multiLevelType w:val="multilevel"/>
    <w:tmpl w:val="2548A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65C6106"/>
    <w:multiLevelType w:val="multilevel"/>
    <w:tmpl w:val="C1FC7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8A1541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4" w15:restartNumberingAfterBreak="0">
    <w:nsid w:val="2D7946B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5" w15:restartNumberingAfterBreak="0">
    <w:nsid w:val="2EF941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6" w15:restartNumberingAfterBreak="0">
    <w:nsid w:val="310972C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7" w15:restartNumberingAfterBreak="0">
    <w:nsid w:val="4B0C5ABA"/>
    <w:multiLevelType w:val="singleLevel"/>
    <w:tmpl w:val="A1B04AE0"/>
    <w:lvl w:ilvl="0">
      <w:start w:val="1"/>
      <w:numFmt w:val="decimal"/>
      <w:lvlText w:val="%1."/>
      <w:legacy w:legacy="1" w:legacySpace="0" w:legacyIndent="360"/>
      <w:lvlJc w:val="left"/>
      <w:pPr>
        <w:ind w:left="360" w:hanging="360"/>
      </w:pPr>
    </w:lvl>
  </w:abstractNum>
  <w:abstractNum w:abstractNumId="18" w15:restartNumberingAfterBreak="0">
    <w:nsid w:val="52A6797C"/>
    <w:multiLevelType w:val="hybridMultilevel"/>
    <w:tmpl w:val="D05A99DE"/>
    <w:lvl w:ilvl="0" w:tplc="7A92AA74">
      <w:numFmt w:val="bullet"/>
      <w:lvlText w:val="·"/>
      <w:lvlJc w:val="left"/>
      <w:pPr>
        <w:ind w:left="900" w:hanging="54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F3778F8"/>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0" w15:restartNumberingAfterBreak="0">
    <w:nsid w:val="69C16E4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1" w15:restartNumberingAfterBreak="0">
    <w:nsid w:val="71604DCD"/>
    <w:multiLevelType w:val="singleLevel"/>
    <w:tmpl w:val="E368B7EE"/>
    <w:lvl w:ilvl="0">
      <w:start w:val="1"/>
      <w:numFmt w:val="decimal"/>
      <w:pStyle w:val="Reference"/>
      <w:lvlText w:val="%1."/>
      <w:lvlJc w:val="left"/>
      <w:pPr>
        <w:tabs>
          <w:tab w:val="num" w:pos="360"/>
        </w:tabs>
        <w:ind w:left="360" w:hanging="360"/>
      </w:pPr>
    </w:lvl>
  </w:abstractNum>
  <w:abstractNum w:abstractNumId="22" w15:restartNumberingAfterBreak="0">
    <w:nsid w:val="72B66FC8"/>
    <w:multiLevelType w:val="hybridMultilevel"/>
    <w:tmpl w:val="256E6680"/>
    <w:lvl w:ilvl="0" w:tplc="04140001">
      <w:start w:val="1"/>
      <w:numFmt w:val="bullet"/>
      <w:lvlText w:val=""/>
      <w:lvlJc w:val="left"/>
      <w:pPr>
        <w:tabs>
          <w:tab w:val="num" w:pos="720"/>
        </w:tabs>
        <w:ind w:left="720" w:hanging="360"/>
      </w:pPr>
      <w:rPr>
        <w:rFonts w:ascii="Symbol" w:hAnsi="Symbol"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3997DC5"/>
    <w:multiLevelType w:val="singleLevel"/>
    <w:tmpl w:val="A1B04AE0"/>
    <w:lvl w:ilvl="0">
      <w:start w:val="1"/>
      <w:numFmt w:val="decimal"/>
      <w:lvlText w:val="%1."/>
      <w:legacy w:legacy="1" w:legacySpace="0" w:legacyIndent="360"/>
      <w:lvlJc w:val="left"/>
      <w:pPr>
        <w:ind w:left="360" w:hanging="360"/>
      </w:pPr>
    </w:lvl>
  </w:abstractNum>
  <w:abstractNum w:abstractNumId="24" w15:restartNumberingAfterBreak="0">
    <w:nsid w:val="741A595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5" w15:restartNumberingAfterBreak="0">
    <w:nsid w:val="7477441B"/>
    <w:multiLevelType w:val="singleLevel"/>
    <w:tmpl w:val="199E1F42"/>
    <w:lvl w:ilvl="0">
      <w:start w:val="1"/>
      <w:numFmt w:val="decimal"/>
      <w:lvlText w:val="%1"/>
      <w:legacy w:legacy="1" w:legacySpace="0" w:legacyIndent="360"/>
      <w:lvlJc w:val="left"/>
      <w:pPr>
        <w:ind w:left="360" w:hanging="360"/>
      </w:pPr>
      <w:rPr>
        <w:rFonts w:ascii="Symbol" w:hAnsi="Symbol" w:hint="default"/>
        <w:b w:val="0"/>
        <w:i w:val="0"/>
        <w:sz w:val="20"/>
      </w:rPr>
    </w:lvl>
  </w:abstractNum>
  <w:abstractNum w:abstractNumId="26" w15:restartNumberingAfterBreak="0">
    <w:nsid w:val="75FF7BCF"/>
    <w:multiLevelType w:val="multilevel"/>
    <w:tmpl w:val="2B581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77F3002E"/>
    <w:multiLevelType w:val="multilevel"/>
    <w:tmpl w:val="469AF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82D2992"/>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9" w15:restartNumberingAfterBreak="0">
    <w:nsid w:val="7B165441"/>
    <w:multiLevelType w:val="hybridMultilevel"/>
    <w:tmpl w:val="094E5A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BFA7EFB"/>
    <w:multiLevelType w:val="multilevel"/>
    <w:tmpl w:val="7C8A2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F7D3A3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num w:numId="1" w16cid:durableId="1103838434">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1388452369">
    <w:abstractNumId w:val="17"/>
  </w:num>
  <w:num w:numId="3" w16cid:durableId="25179208">
    <w:abstractNumId w:val="25"/>
  </w:num>
  <w:num w:numId="4" w16cid:durableId="1652178073">
    <w:abstractNumId w:val="0"/>
    <w:lvlOverride w:ilvl="0">
      <w:lvl w:ilvl="0">
        <w:start w:val="1"/>
        <w:numFmt w:val="bullet"/>
        <w:lvlText w:val=""/>
        <w:legacy w:legacy="1" w:legacySpace="0" w:legacyIndent="360"/>
        <w:lvlJc w:val="left"/>
        <w:pPr>
          <w:ind w:left="360" w:hanging="360"/>
        </w:pPr>
        <w:rPr>
          <w:rFonts w:ascii="Wingdings" w:hAnsi="Wingdings" w:hint="default"/>
          <w:sz w:val="16"/>
        </w:rPr>
      </w:lvl>
    </w:lvlOverride>
  </w:num>
  <w:num w:numId="5" w16cid:durableId="111482475">
    <w:abstractNumId w:val="7"/>
  </w:num>
  <w:num w:numId="6" w16cid:durableId="541678199">
    <w:abstractNumId w:val="6"/>
  </w:num>
  <w:num w:numId="7" w16cid:durableId="1753699232">
    <w:abstractNumId w:val="1"/>
  </w:num>
  <w:num w:numId="8" w16cid:durableId="592710641">
    <w:abstractNumId w:val="14"/>
  </w:num>
  <w:num w:numId="9" w16cid:durableId="976835453">
    <w:abstractNumId w:val="28"/>
  </w:num>
  <w:num w:numId="10" w16cid:durableId="249659283">
    <w:abstractNumId w:val="2"/>
  </w:num>
  <w:num w:numId="11" w16cid:durableId="1732656361">
    <w:abstractNumId w:val="20"/>
  </w:num>
  <w:num w:numId="12" w16cid:durableId="1657537769">
    <w:abstractNumId w:val="3"/>
  </w:num>
  <w:num w:numId="13" w16cid:durableId="1538161017">
    <w:abstractNumId w:val="19"/>
  </w:num>
  <w:num w:numId="14" w16cid:durableId="1156144008">
    <w:abstractNumId w:val="8"/>
  </w:num>
  <w:num w:numId="15" w16cid:durableId="283007475">
    <w:abstractNumId w:val="23"/>
  </w:num>
  <w:num w:numId="16" w16cid:durableId="1659307781">
    <w:abstractNumId w:val="5"/>
  </w:num>
  <w:num w:numId="17" w16cid:durableId="1898470046">
    <w:abstractNumId w:val="24"/>
  </w:num>
  <w:num w:numId="18" w16cid:durableId="73864778">
    <w:abstractNumId w:val="16"/>
  </w:num>
  <w:num w:numId="19" w16cid:durableId="713584812">
    <w:abstractNumId w:val="31"/>
  </w:num>
  <w:num w:numId="20" w16cid:durableId="453714349">
    <w:abstractNumId w:val="13"/>
  </w:num>
  <w:num w:numId="21" w16cid:durableId="1178041074">
    <w:abstractNumId w:val="10"/>
  </w:num>
  <w:num w:numId="22" w16cid:durableId="359479019">
    <w:abstractNumId w:val="15"/>
  </w:num>
  <w:num w:numId="23" w16cid:durableId="644360971">
    <w:abstractNumId w:val="21"/>
  </w:num>
  <w:num w:numId="24" w16cid:durableId="874537813">
    <w:abstractNumId w:val="29"/>
  </w:num>
  <w:num w:numId="25" w16cid:durableId="1393698916">
    <w:abstractNumId w:val="4"/>
  </w:num>
  <w:num w:numId="26" w16cid:durableId="629020859">
    <w:abstractNumId w:val="18"/>
  </w:num>
  <w:num w:numId="27" w16cid:durableId="1995836081">
    <w:abstractNumId w:val="22"/>
  </w:num>
  <w:num w:numId="28" w16cid:durableId="493186585">
    <w:abstractNumId w:val="30"/>
  </w:num>
  <w:num w:numId="29" w16cid:durableId="1522937024">
    <w:abstractNumId w:val="27"/>
  </w:num>
  <w:num w:numId="30" w16cid:durableId="319311731">
    <w:abstractNumId w:val="11"/>
  </w:num>
  <w:num w:numId="31" w16cid:durableId="855971305">
    <w:abstractNumId w:val="9"/>
  </w:num>
  <w:num w:numId="32" w16cid:durableId="206531686">
    <w:abstractNumId w:val="26"/>
  </w:num>
  <w:num w:numId="33" w16cid:durableId="132547620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removePersonalInformation/>
  <w:removeDateAndTime/>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0"/>
  <w:displayHorizontalDrawingGridEvery w:val="0"/>
  <w:displayVerticalDrawingGridEvery w:val="0"/>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6219"/>
    <w:rsid w:val="00000F8F"/>
    <w:rsid w:val="00030174"/>
    <w:rsid w:val="0004579C"/>
    <w:rsid w:val="00045C72"/>
    <w:rsid w:val="00081FA3"/>
    <w:rsid w:val="000A47FA"/>
    <w:rsid w:val="000A65D3"/>
    <w:rsid w:val="000B1E33"/>
    <w:rsid w:val="000B5B2A"/>
    <w:rsid w:val="000C7719"/>
    <w:rsid w:val="000D689F"/>
    <w:rsid w:val="000E7B7B"/>
    <w:rsid w:val="000E7D62"/>
    <w:rsid w:val="000F442B"/>
    <w:rsid w:val="00103357"/>
    <w:rsid w:val="001064A5"/>
    <w:rsid w:val="001216A9"/>
    <w:rsid w:val="00123C9F"/>
    <w:rsid w:val="00126190"/>
    <w:rsid w:val="00130F17"/>
    <w:rsid w:val="001320BF"/>
    <w:rsid w:val="00163BC4"/>
    <w:rsid w:val="001739B2"/>
    <w:rsid w:val="00191062"/>
    <w:rsid w:val="00192B72"/>
    <w:rsid w:val="001A29D8"/>
    <w:rsid w:val="001A5CAA"/>
    <w:rsid w:val="001B0427"/>
    <w:rsid w:val="001D3A51"/>
    <w:rsid w:val="001E10D2"/>
    <w:rsid w:val="001E25B4"/>
    <w:rsid w:val="001E44FE"/>
    <w:rsid w:val="00200595"/>
    <w:rsid w:val="0020183E"/>
    <w:rsid w:val="00204835"/>
    <w:rsid w:val="00231920"/>
    <w:rsid w:val="0023195C"/>
    <w:rsid w:val="0024282C"/>
    <w:rsid w:val="00244F25"/>
    <w:rsid w:val="002460DC"/>
    <w:rsid w:val="00250985"/>
    <w:rsid w:val="002556F6"/>
    <w:rsid w:val="0026707F"/>
    <w:rsid w:val="002815E6"/>
    <w:rsid w:val="00283105"/>
    <w:rsid w:val="00284C4C"/>
    <w:rsid w:val="00287E68"/>
    <w:rsid w:val="00296529"/>
    <w:rsid w:val="002B27FB"/>
    <w:rsid w:val="002B685A"/>
    <w:rsid w:val="002C57D2"/>
    <w:rsid w:val="002E0D56"/>
    <w:rsid w:val="002E17E4"/>
    <w:rsid w:val="00311822"/>
    <w:rsid w:val="00312CEB"/>
    <w:rsid w:val="00315186"/>
    <w:rsid w:val="00333201"/>
    <w:rsid w:val="0033343E"/>
    <w:rsid w:val="003512C2"/>
    <w:rsid w:val="00360E33"/>
    <w:rsid w:val="00371FB6"/>
    <w:rsid w:val="003763C1"/>
    <w:rsid w:val="00376BBE"/>
    <w:rsid w:val="00386261"/>
    <w:rsid w:val="0039224F"/>
    <w:rsid w:val="003A43A4"/>
    <w:rsid w:val="003A7E18"/>
    <w:rsid w:val="003C4C86"/>
    <w:rsid w:val="003C6258"/>
    <w:rsid w:val="003E2904"/>
    <w:rsid w:val="00401927"/>
    <w:rsid w:val="0041027F"/>
    <w:rsid w:val="00412475"/>
    <w:rsid w:val="00423789"/>
    <w:rsid w:val="00440F43"/>
    <w:rsid w:val="00441B6F"/>
    <w:rsid w:val="00446221"/>
    <w:rsid w:val="00450E62"/>
    <w:rsid w:val="004517FA"/>
    <w:rsid w:val="00451983"/>
    <w:rsid w:val="004539DB"/>
    <w:rsid w:val="00471A80"/>
    <w:rsid w:val="00471DAB"/>
    <w:rsid w:val="00472000"/>
    <w:rsid w:val="004B5DDA"/>
    <w:rsid w:val="004C1700"/>
    <w:rsid w:val="004C2541"/>
    <w:rsid w:val="004C6910"/>
    <w:rsid w:val="004C7689"/>
    <w:rsid w:val="004D305E"/>
    <w:rsid w:val="004D3E28"/>
    <w:rsid w:val="004D4277"/>
    <w:rsid w:val="005014AD"/>
    <w:rsid w:val="00502516"/>
    <w:rsid w:val="00505F06"/>
    <w:rsid w:val="00506828"/>
    <w:rsid w:val="0053056E"/>
    <w:rsid w:val="00554619"/>
    <w:rsid w:val="00554FDA"/>
    <w:rsid w:val="005C784C"/>
    <w:rsid w:val="005D17F6"/>
    <w:rsid w:val="005E5539"/>
    <w:rsid w:val="005F6328"/>
    <w:rsid w:val="00602BF5"/>
    <w:rsid w:val="00605607"/>
    <w:rsid w:val="00617FDD"/>
    <w:rsid w:val="00633614"/>
    <w:rsid w:val="00633F68"/>
    <w:rsid w:val="00636EB2"/>
    <w:rsid w:val="006375B8"/>
    <w:rsid w:val="0066510A"/>
    <w:rsid w:val="00673F9F"/>
    <w:rsid w:val="00686953"/>
    <w:rsid w:val="00687DEA"/>
    <w:rsid w:val="00687E67"/>
    <w:rsid w:val="006909DC"/>
    <w:rsid w:val="006967F7"/>
    <w:rsid w:val="006A250C"/>
    <w:rsid w:val="006B21D3"/>
    <w:rsid w:val="006B57D0"/>
    <w:rsid w:val="006D30FF"/>
    <w:rsid w:val="006D6940"/>
    <w:rsid w:val="006F11EC"/>
    <w:rsid w:val="0070082C"/>
    <w:rsid w:val="00725077"/>
    <w:rsid w:val="007369E6"/>
    <w:rsid w:val="00746E59"/>
    <w:rsid w:val="00754C9A"/>
    <w:rsid w:val="0075599A"/>
    <w:rsid w:val="00761D52"/>
    <w:rsid w:val="00775951"/>
    <w:rsid w:val="0077749E"/>
    <w:rsid w:val="00790ADA"/>
    <w:rsid w:val="007B073A"/>
    <w:rsid w:val="007D2288"/>
    <w:rsid w:val="007E088F"/>
    <w:rsid w:val="007F7B32"/>
    <w:rsid w:val="00803527"/>
    <w:rsid w:val="00804BC2"/>
    <w:rsid w:val="0081431A"/>
    <w:rsid w:val="0083216F"/>
    <w:rsid w:val="0083646F"/>
    <w:rsid w:val="0085367D"/>
    <w:rsid w:val="00860000"/>
    <w:rsid w:val="008606A9"/>
    <w:rsid w:val="00863BD3"/>
    <w:rsid w:val="008641ED"/>
    <w:rsid w:val="00866D66"/>
    <w:rsid w:val="008671C6"/>
    <w:rsid w:val="00875803"/>
    <w:rsid w:val="00881B7B"/>
    <w:rsid w:val="00881FA0"/>
    <w:rsid w:val="008A5658"/>
    <w:rsid w:val="008B3F0D"/>
    <w:rsid w:val="008B459E"/>
    <w:rsid w:val="008E13AE"/>
    <w:rsid w:val="008E1506"/>
    <w:rsid w:val="008E710C"/>
    <w:rsid w:val="008F1128"/>
    <w:rsid w:val="008F5ECA"/>
    <w:rsid w:val="008F69D6"/>
    <w:rsid w:val="00902823"/>
    <w:rsid w:val="00915CA6"/>
    <w:rsid w:val="0092560C"/>
    <w:rsid w:val="00927834"/>
    <w:rsid w:val="009500A6"/>
    <w:rsid w:val="00957C18"/>
    <w:rsid w:val="00964D0D"/>
    <w:rsid w:val="009659BA"/>
    <w:rsid w:val="00983040"/>
    <w:rsid w:val="009B3FB9"/>
    <w:rsid w:val="009B6B47"/>
    <w:rsid w:val="009C1234"/>
    <w:rsid w:val="009C2465"/>
    <w:rsid w:val="009C74B0"/>
    <w:rsid w:val="009D35A0"/>
    <w:rsid w:val="009D7EB7"/>
    <w:rsid w:val="009E048A"/>
    <w:rsid w:val="009E08E9"/>
    <w:rsid w:val="009E3DB9"/>
    <w:rsid w:val="009E6E35"/>
    <w:rsid w:val="009F0EDA"/>
    <w:rsid w:val="00A03B96"/>
    <w:rsid w:val="00A05B19"/>
    <w:rsid w:val="00A1134E"/>
    <w:rsid w:val="00A12423"/>
    <w:rsid w:val="00A24E7E"/>
    <w:rsid w:val="00A258C3"/>
    <w:rsid w:val="00A3046A"/>
    <w:rsid w:val="00A347C0"/>
    <w:rsid w:val="00A51431"/>
    <w:rsid w:val="00A539AD"/>
    <w:rsid w:val="00A643A7"/>
    <w:rsid w:val="00A94063"/>
    <w:rsid w:val="00AA6219"/>
    <w:rsid w:val="00AA74E0"/>
    <w:rsid w:val="00AB22BD"/>
    <w:rsid w:val="00AB703F"/>
    <w:rsid w:val="00AC6BB8"/>
    <w:rsid w:val="00AE008F"/>
    <w:rsid w:val="00B01FCD"/>
    <w:rsid w:val="00B1776C"/>
    <w:rsid w:val="00B2615A"/>
    <w:rsid w:val="00B52583"/>
    <w:rsid w:val="00B52896"/>
    <w:rsid w:val="00B57BC1"/>
    <w:rsid w:val="00B921C8"/>
    <w:rsid w:val="00B95236"/>
    <w:rsid w:val="00B96BD9"/>
    <w:rsid w:val="00BA1B01"/>
    <w:rsid w:val="00BA2641"/>
    <w:rsid w:val="00BB37AA"/>
    <w:rsid w:val="00BC53A0"/>
    <w:rsid w:val="00BC6DC7"/>
    <w:rsid w:val="00BE20E1"/>
    <w:rsid w:val="00BE62AD"/>
    <w:rsid w:val="00BF121F"/>
    <w:rsid w:val="00BF1F80"/>
    <w:rsid w:val="00BF5421"/>
    <w:rsid w:val="00C10622"/>
    <w:rsid w:val="00C166EF"/>
    <w:rsid w:val="00C17EB0"/>
    <w:rsid w:val="00C27F5F"/>
    <w:rsid w:val="00C30A0F"/>
    <w:rsid w:val="00C37E61"/>
    <w:rsid w:val="00C42725"/>
    <w:rsid w:val="00C70F1B"/>
    <w:rsid w:val="00C71A47"/>
    <w:rsid w:val="00C7464C"/>
    <w:rsid w:val="00C85588"/>
    <w:rsid w:val="00CC3982"/>
    <w:rsid w:val="00CD6755"/>
    <w:rsid w:val="00CD6856"/>
    <w:rsid w:val="00CE0089"/>
    <w:rsid w:val="00CE793C"/>
    <w:rsid w:val="00CF193C"/>
    <w:rsid w:val="00CF6492"/>
    <w:rsid w:val="00D173F1"/>
    <w:rsid w:val="00D348E9"/>
    <w:rsid w:val="00D74CB0"/>
    <w:rsid w:val="00D8295D"/>
    <w:rsid w:val="00D848F2"/>
    <w:rsid w:val="00DA05CD"/>
    <w:rsid w:val="00DB4630"/>
    <w:rsid w:val="00DC2A65"/>
    <w:rsid w:val="00DD73A1"/>
    <w:rsid w:val="00DE15F0"/>
    <w:rsid w:val="00DE5663"/>
    <w:rsid w:val="00DE78AA"/>
    <w:rsid w:val="00E053D0"/>
    <w:rsid w:val="00E15994"/>
    <w:rsid w:val="00E16642"/>
    <w:rsid w:val="00E24FB2"/>
    <w:rsid w:val="00E3114E"/>
    <w:rsid w:val="00E31A70"/>
    <w:rsid w:val="00E35B02"/>
    <w:rsid w:val="00E379DE"/>
    <w:rsid w:val="00E57BDA"/>
    <w:rsid w:val="00E66496"/>
    <w:rsid w:val="00E66B35"/>
    <w:rsid w:val="00E66E10"/>
    <w:rsid w:val="00E75D6A"/>
    <w:rsid w:val="00E769F6"/>
    <w:rsid w:val="00E8407C"/>
    <w:rsid w:val="00E84F3C"/>
    <w:rsid w:val="00EA012C"/>
    <w:rsid w:val="00EC6A55"/>
    <w:rsid w:val="00ED0288"/>
    <w:rsid w:val="00EE3015"/>
    <w:rsid w:val="00EE52CB"/>
    <w:rsid w:val="00EF581D"/>
    <w:rsid w:val="00EF7FD8"/>
    <w:rsid w:val="00F06F59"/>
    <w:rsid w:val="00F17988"/>
    <w:rsid w:val="00F45DF1"/>
    <w:rsid w:val="00F469F0"/>
    <w:rsid w:val="00F53273"/>
    <w:rsid w:val="00F755E4"/>
    <w:rsid w:val="00F77D02"/>
    <w:rsid w:val="00FB3A86"/>
    <w:rsid w:val="00FC4AE7"/>
    <w:rsid w:val="00FD36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3F4AE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iPriority="99"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75D6A"/>
    <w:rPr>
      <w:sz w:val="24"/>
      <w:szCs w:val="24"/>
      <w:lang w:val="en-PH"/>
    </w:rPr>
  </w:style>
  <w:style w:type="paragraph" w:styleId="Heading1">
    <w:name w:val="heading 1"/>
    <w:basedOn w:val="Normal"/>
    <w:next w:val="Normal"/>
    <w:link w:val="Heading1Char"/>
    <w:uiPriority w:val="9"/>
    <w:qFormat/>
    <w:rsid w:val="00423789"/>
    <w:pPr>
      <w:keepNext/>
      <w:spacing w:before="240" w:after="60"/>
      <w:outlineLvl w:val="0"/>
    </w:pPr>
    <w:rPr>
      <w:rFonts w:ascii="Arial" w:hAnsi="Arial"/>
      <w:b/>
      <w:kern w:val="28"/>
      <w:sz w:val="28"/>
    </w:rPr>
  </w:style>
  <w:style w:type="paragraph" w:styleId="Heading2">
    <w:name w:val="heading 2"/>
    <w:basedOn w:val="Normal"/>
    <w:next w:val="Normal"/>
    <w:link w:val="Heading2Char"/>
    <w:semiHidden/>
    <w:unhideWhenUsed/>
    <w:qFormat/>
    <w:rsid w:val="008F1128"/>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B57BC1"/>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
    <w:name w:val="Author"/>
    <w:basedOn w:val="Normal"/>
    <w:rsid w:val="00423789"/>
    <w:pPr>
      <w:spacing w:line="280" w:lineRule="exact"/>
      <w:jc w:val="right"/>
    </w:pPr>
    <w:rPr>
      <w:b/>
    </w:rPr>
  </w:style>
  <w:style w:type="paragraph" w:customStyle="1" w:styleId="Affiliation">
    <w:name w:val="Affiliation"/>
    <w:basedOn w:val="Normal"/>
    <w:rsid w:val="00423789"/>
    <w:pPr>
      <w:spacing w:after="240" w:line="240" w:lineRule="exact"/>
      <w:jc w:val="right"/>
    </w:pPr>
  </w:style>
  <w:style w:type="paragraph" w:customStyle="1" w:styleId="Body">
    <w:name w:val="Body"/>
    <w:basedOn w:val="Normal"/>
    <w:rsid w:val="00423789"/>
    <w:pPr>
      <w:spacing w:after="240"/>
      <w:jc w:val="both"/>
    </w:pPr>
  </w:style>
  <w:style w:type="paragraph" w:customStyle="1" w:styleId="AbstHead">
    <w:name w:val="Abst Head"/>
    <w:basedOn w:val="MainHead"/>
    <w:rsid w:val="00423789"/>
    <w:rPr>
      <w:sz w:val="22"/>
    </w:rPr>
  </w:style>
  <w:style w:type="paragraph" w:customStyle="1" w:styleId="IntroHead">
    <w:name w:val="Intro Head"/>
    <w:basedOn w:val="MainHead"/>
    <w:rsid w:val="00423789"/>
    <w:rPr>
      <w:sz w:val="22"/>
    </w:rPr>
  </w:style>
  <w:style w:type="paragraph" w:customStyle="1" w:styleId="PaperNumber">
    <w:name w:val="Paper Number"/>
    <w:basedOn w:val="Normal"/>
    <w:rsid w:val="00423789"/>
    <w:pPr>
      <w:spacing w:after="280" w:line="280" w:lineRule="exact"/>
      <w:jc w:val="right"/>
    </w:pPr>
    <w:rPr>
      <w:b/>
      <w:sz w:val="28"/>
    </w:rPr>
  </w:style>
  <w:style w:type="paragraph" w:customStyle="1" w:styleId="ConcHead">
    <w:name w:val="Conc Head"/>
    <w:basedOn w:val="MainHead"/>
    <w:rsid w:val="00423789"/>
    <w:rPr>
      <w:sz w:val="22"/>
    </w:rPr>
  </w:style>
  <w:style w:type="paragraph" w:customStyle="1" w:styleId="AcknHead">
    <w:name w:val="Ackn Head"/>
    <w:basedOn w:val="MainHead"/>
    <w:rsid w:val="00423789"/>
    <w:rPr>
      <w:sz w:val="22"/>
    </w:rPr>
  </w:style>
  <w:style w:type="paragraph" w:customStyle="1" w:styleId="ReferHead">
    <w:name w:val="Refer Head"/>
    <w:basedOn w:val="MainHead"/>
    <w:rsid w:val="00423789"/>
    <w:rPr>
      <w:sz w:val="22"/>
    </w:rPr>
  </w:style>
  <w:style w:type="paragraph" w:customStyle="1" w:styleId="AddSrcHead">
    <w:name w:val="AddSrc Head"/>
    <w:basedOn w:val="MainHead"/>
    <w:rsid w:val="00423789"/>
    <w:rPr>
      <w:sz w:val="22"/>
    </w:rPr>
  </w:style>
  <w:style w:type="paragraph" w:customStyle="1" w:styleId="DefAcrHead">
    <w:name w:val="DefAcrHead"/>
    <w:basedOn w:val="MainHead"/>
    <w:rsid w:val="00423789"/>
    <w:rPr>
      <w:sz w:val="22"/>
    </w:rPr>
  </w:style>
  <w:style w:type="paragraph" w:customStyle="1" w:styleId="Copyright">
    <w:name w:val="Copyright"/>
    <w:basedOn w:val="Normal"/>
    <w:rsid w:val="00423789"/>
    <w:pPr>
      <w:spacing w:after="960" w:line="200" w:lineRule="exact"/>
    </w:pPr>
    <w:rPr>
      <w:sz w:val="16"/>
    </w:rPr>
  </w:style>
  <w:style w:type="paragraph" w:styleId="Title">
    <w:name w:val="Title"/>
    <w:basedOn w:val="Normal"/>
    <w:qFormat/>
    <w:rsid w:val="00423789"/>
    <w:pPr>
      <w:spacing w:after="360"/>
      <w:jc w:val="right"/>
    </w:pPr>
    <w:rPr>
      <w:b/>
      <w:kern w:val="28"/>
      <w:sz w:val="36"/>
    </w:rPr>
  </w:style>
  <w:style w:type="paragraph" w:customStyle="1" w:styleId="Reference">
    <w:name w:val="Reference"/>
    <w:basedOn w:val="Body"/>
    <w:rsid w:val="00423789"/>
    <w:pPr>
      <w:numPr>
        <w:numId w:val="23"/>
      </w:numPr>
      <w:spacing w:after="0" w:line="240" w:lineRule="exact"/>
    </w:pPr>
  </w:style>
  <w:style w:type="paragraph" w:customStyle="1" w:styleId="Head1">
    <w:name w:val="Head1"/>
    <w:basedOn w:val="MainHead"/>
    <w:rsid w:val="00423789"/>
    <w:rPr>
      <w:sz w:val="22"/>
    </w:rPr>
  </w:style>
  <w:style w:type="paragraph" w:customStyle="1" w:styleId="ContactHead">
    <w:name w:val="Contact Head"/>
    <w:basedOn w:val="MainHead"/>
    <w:rsid w:val="00423789"/>
    <w:rPr>
      <w:sz w:val="22"/>
    </w:rPr>
  </w:style>
  <w:style w:type="paragraph" w:customStyle="1" w:styleId="Head3">
    <w:name w:val="Head3"/>
    <w:basedOn w:val="Head2"/>
    <w:rsid w:val="00423789"/>
    <w:rPr>
      <w:caps w:val="0"/>
      <w:u w:val="single"/>
    </w:rPr>
  </w:style>
  <w:style w:type="paragraph" w:customStyle="1" w:styleId="Head4">
    <w:name w:val="Head4"/>
    <w:basedOn w:val="Head3"/>
    <w:rsid w:val="00423789"/>
    <w:rPr>
      <w:u w:val="none"/>
    </w:rPr>
  </w:style>
  <w:style w:type="paragraph" w:customStyle="1" w:styleId="UnordList">
    <w:name w:val="Unord List"/>
    <w:basedOn w:val="Body"/>
    <w:rsid w:val="00423789"/>
    <w:pPr>
      <w:spacing w:after="0"/>
      <w:ind w:left="360" w:hanging="360"/>
    </w:pPr>
  </w:style>
  <w:style w:type="paragraph" w:customStyle="1" w:styleId="OrdList">
    <w:name w:val="Ord List"/>
    <w:basedOn w:val="UnordList"/>
    <w:rsid w:val="00423789"/>
    <w:pPr>
      <w:jc w:val="left"/>
    </w:pPr>
  </w:style>
  <w:style w:type="paragraph" w:customStyle="1" w:styleId="Appendix">
    <w:name w:val="Appendix"/>
    <w:basedOn w:val="MainHead"/>
    <w:rsid w:val="00423789"/>
    <w:rPr>
      <w:sz w:val="22"/>
    </w:rPr>
  </w:style>
  <w:style w:type="paragraph" w:customStyle="1" w:styleId="Term">
    <w:name w:val="Term"/>
    <w:basedOn w:val="Body"/>
    <w:rsid w:val="00423789"/>
    <w:pPr>
      <w:spacing w:after="0"/>
    </w:pPr>
    <w:rPr>
      <w:b/>
    </w:rPr>
  </w:style>
  <w:style w:type="paragraph" w:customStyle="1" w:styleId="Definition">
    <w:name w:val="Definition"/>
    <w:basedOn w:val="Body"/>
    <w:rsid w:val="00423789"/>
  </w:style>
  <w:style w:type="paragraph" w:customStyle="1" w:styleId="Head2">
    <w:name w:val="Head2"/>
    <w:basedOn w:val="Normal"/>
    <w:next w:val="Body"/>
    <w:rsid w:val="00423789"/>
    <w:pPr>
      <w:keepNext/>
      <w:spacing w:after="240"/>
    </w:pPr>
    <w:rPr>
      <w:caps/>
    </w:rPr>
  </w:style>
  <w:style w:type="character" w:customStyle="1" w:styleId="Bold">
    <w:name w:val="Bold"/>
    <w:rsid w:val="00423789"/>
    <w:rPr>
      <w:b/>
    </w:rPr>
  </w:style>
  <w:style w:type="character" w:customStyle="1" w:styleId="Italic">
    <w:name w:val="Italic"/>
    <w:rsid w:val="00423789"/>
    <w:rPr>
      <w:i/>
    </w:rPr>
  </w:style>
  <w:style w:type="character" w:customStyle="1" w:styleId="Underline">
    <w:name w:val="Underline"/>
    <w:rsid w:val="00423789"/>
    <w:rPr>
      <w:u w:val="single"/>
    </w:rPr>
  </w:style>
  <w:style w:type="paragraph" w:customStyle="1" w:styleId="MainHead">
    <w:name w:val="Main Head"/>
    <w:basedOn w:val="Normal"/>
    <w:rsid w:val="00423789"/>
    <w:pPr>
      <w:keepNext/>
      <w:spacing w:after="240"/>
    </w:pPr>
    <w:rPr>
      <w:b/>
      <w:caps/>
    </w:rPr>
  </w:style>
  <w:style w:type="paragraph" w:customStyle="1" w:styleId="Equation">
    <w:name w:val="Equation"/>
    <w:basedOn w:val="Body"/>
    <w:rsid w:val="0053056E"/>
  </w:style>
  <w:style w:type="paragraph" w:customStyle="1" w:styleId="Figure">
    <w:name w:val="Figure"/>
    <w:basedOn w:val="Copyright"/>
    <w:rsid w:val="00030174"/>
    <w:pPr>
      <w:spacing w:after="240"/>
    </w:pPr>
    <w:rPr>
      <w:sz w:val="20"/>
    </w:rPr>
  </w:style>
  <w:style w:type="paragraph" w:styleId="Footer">
    <w:name w:val="footer"/>
    <w:basedOn w:val="Normal"/>
    <w:rsid w:val="00423789"/>
    <w:pPr>
      <w:tabs>
        <w:tab w:val="center" w:pos="4320"/>
        <w:tab w:val="right" w:pos="8640"/>
      </w:tabs>
    </w:pPr>
  </w:style>
  <w:style w:type="paragraph" w:customStyle="1" w:styleId="Head40">
    <w:name w:val="Head 4"/>
    <w:basedOn w:val="Head3"/>
    <w:rsid w:val="00423789"/>
    <w:rPr>
      <w:u w:val="none"/>
    </w:rPr>
  </w:style>
  <w:style w:type="paragraph" w:styleId="Header">
    <w:name w:val="header"/>
    <w:basedOn w:val="Normal"/>
    <w:rsid w:val="00423789"/>
    <w:pPr>
      <w:tabs>
        <w:tab w:val="center" w:pos="4320"/>
        <w:tab w:val="right" w:pos="8640"/>
      </w:tabs>
    </w:pPr>
  </w:style>
  <w:style w:type="paragraph" w:customStyle="1" w:styleId="Paper">
    <w:name w:val="Paper"/>
    <w:basedOn w:val="Normal"/>
    <w:rsid w:val="00423789"/>
    <w:pPr>
      <w:spacing w:after="360" w:line="440" w:lineRule="exact"/>
      <w:jc w:val="right"/>
    </w:pPr>
    <w:rPr>
      <w:b/>
      <w:sz w:val="36"/>
    </w:rPr>
  </w:style>
  <w:style w:type="paragraph" w:styleId="Signature">
    <w:name w:val="Signature"/>
    <w:basedOn w:val="Normal"/>
    <w:rsid w:val="00423789"/>
    <w:pPr>
      <w:ind w:left="4320"/>
    </w:pPr>
  </w:style>
  <w:style w:type="character" w:customStyle="1" w:styleId="Subscript">
    <w:name w:val="Subscript"/>
    <w:rsid w:val="00423789"/>
    <w:rPr>
      <w:vertAlign w:val="subscript"/>
    </w:rPr>
  </w:style>
  <w:style w:type="character" w:customStyle="1" w:styleId="Superscript">
    <w:name w:val="Superscript"/>
    <w:rsid w:val="00423789"/>
    <w:rPr>
      <w:vertAlign w:val="superscript"/>
    </w:rPr>
  </w:style>
  <w:style w:type="character" w:customStyle="1" w:styleId="Symbol">
    <w:name w:val="Symbol"/>
    <w:rsid w:val="00423789"/>
    <w:rPr>
      <w:rFonts w:ascii="Symbol" w:hAnsi="Symbol"/>
    </w:rPr>
  </w:style>
  <w:style w:type="paragraph" w:customStyle="1" w:styleId="SymbolP">
    <w:name w:val="Symbol P"/>
    <w:basedOn w:val="Body"/>
    <w:rsid w:val="00423789"/>
    <w:pPr>
      <w:tabs>
        <w:tab w:val="left" w:pos="720"/>
        <w:tab w:val="left" w:pos="3780"/>
      </w:tabs>
      <w:spacing w:after="0"/>
    </w:pPr>
  </w:style>
  <w:style w:type="character" w:customStyle="1" w:styleId="BoldItal">
    <w:name w:val="BoldItal"/>
    <w:basedOn w:val="DefaultParagraphFont"/>
    <w:rsid w:val="00423789"/>
    <w:rPr>
      <w:b/>
      <w:i/>
    </w:rPr>
  </w:style>
  <w:style w:type="character" w:customStyle="1" w:styleId="SubItal">
    <w:name w:val="SubItal"/>
    <w:rsid w:val="00423789"/>
    <w:rPr>
      <w:i/>
      <w:vertAlign w:val="subscript"/>
    </w:rPr>
  </w:style>
  <w:style w:type="character" w:customStyle="1" w:styleId="SuperItal">
    <w:name w:val="SuperItal"/>
    <w:rsid w:val="00423789"/>
    <w:rPr>
      <w:i/>
      <w:vertAlign w:val="superscript"/>
    </w:rPr>
  </w:style>
  <w:style w:type="character" w:customStyle="1" w:styleId="SymItal">
    <w:name w:val="SymItal"/>
    <w:rsid w:val="00423789"/>
    <w:rPr>
      <w:rFonts w:ascii="Symbol" w:hAnsi="Symbol"/>
      <w:i/>
    </w:rPr>
  </w:style>
  <w:style w:type="character" w:styleId="Hyperlink">
    <w:name w:val="Hyperlink"/>
    <w:basedOn w:val="DefaultParagraphFont"/>
    <w:uiPriority w:val="99"/>
    <w:rsid w:val="00030174"/>
    <w:rPr>
      <w:color w:val="FF0080"/>
      <w:u w:val="single"/>
    </w:rPr>
  </w:style>
  <w:style w:type="character" w:styleId="FollowedHyperlink">
    <w:name w:val="FollowedHyperlink"/>
    <w:basedOn w:val="DefaultParagraphFont"/>
    <w:rsid w:val="00FB3A86"/>
    <w:rPr>
      <w:color w:val="800080"/>
      <w:u w:val="single"/>
    </w:rPr>
  </w:style>
  <w:style w:type="table" w:styleId="TableGrid">
    <w:name w:val="Table Grid"/>
    <w:basedOn w:val="TableNormal"/>
    <w:uiPriority w:val="59"/>
    <w:rsid w:val="00296529"/>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2">
    <w:name w:val="Body Text 2"/>
    <w:basedOn w:val="Normal"/>
    <w:link w:val="BodyText2Char"/>
    <w:rsid w:val="00EF7FD8"/>
    <w:pPr>
      <w:spacing w:after="120" w:line="480" w:lineRule="auto"/>
    </w:pPr>
  </w:style>
  <w:style w:type="character" w:customStyle="1" w:styleId="BodyText2Char">
    <w:name w:val="Body Text 2 Char"/>
    <w:basedOn w:val="DefaultParagraphFont"/>
    <w:link w:val="BodyText2"/>
    <w:rsid w:val="00EF7FD8"/>
    <w:rPr>
      <w:rFonts w:ascii="Helvetica" w:hAnsi="Helvetica"/>
    </w:rPr>
  </w:style>
  <w:style w:type="character" w:styleId="CommentReference">
    <w:name w:val="annotation reference"/>
    <w:basedOn w:val="DefaultParagraphFont"/>
    <w:uiPriority w:val="99"/>
    <w:unhideWhenUsed/>
    <w:rsid w:val="00746E59"/>
    <w:rPr>
      <w:sz w:val="16"/>
      <w:szCs w:val="16"/>
    </w:rPr>
  </w:style>
  <w:style w:type="paragraph" w:styleId="CommentText">
    <w:name w:val="annotation text"/>
    <w:basedOn w:val="Normal"/>
    <w:link w:val="CommentTextChar"/>
    <w:uiPriority w:val="99"/>
    <w:unhideWhenUsed/>
    <w:rsid w:val="00746E59"/>
    <w:rPr>
      <w:lang w:val="nb-NO" w:eastAsia="nb-NO"/>
    </w:rPr>
  </w:style>
  <w:style w:type="character" w:customStyle="1" w:styleId="CommentTextChar">
    <w:name w:val="Comment Text Char"/>
    <w:basedOn w:val="DefaultParagraphFont"/>
    <w:link w:val="CommentText"/>
    <w:uiPriority w:val="99"/>
    <w:rsid w:val="00746E59"/>
    <w:rPr>
      <w:lang w:val="nb-NO" w:eastAsia="nb-NO"/>
    </w:rPr>
  </w:style>
  <w:style w:type="paragraph" w:styleId="BalloonText">
    <w:name w:val="Balloon Text"/>
    <w:basedOn w:val="Normal"/>
    <w:link w:val="BalloonTextChar"/>
    <w:rsid w:val="00746E59"/>
    <w:rPr>
      <w:rFonts w:ascii="Tahoma" w:hAnsi="Tahoma" w:cs="Tahoma"/>
      <w:sz w:val="16"/>
      <w:szCs w:val="16"/>
    </w:rPr>
  </w:style>
  <w:style w:type="character" w:customStyle="1" w:styleId="BalloonTextChar">
    <w:name w:val="Balloon Text Char"/>
    <w:basedOn w:val="DefaultParagraphFont"/>
    <w:link w:val="BalloonText"/>
    <w:rsid w:val="00746E59"/>
    <w:rPr>
      <w:rFonts w:ascii="Tahoma" w:hAnsi="Tahoma" w:cs="Tahoma"/>
      <w:sz w:val="16"/>
      <w:szCs w:val="16"/>
    </w:rPr>
  </w:style>
  <w:style w:type="paragraph" w:styleId="BodyText3">
    <w:name w:val="Body Text 3"/>
    <w:basedOn w:val="Normal"/>
    <w:link w:val="BodyText3Char"/>
    <w:rsid w:val="00231920"/>
    <w:pPr>
      <w:spacing w:after="120"/>
    </w:pPr>
    <w:rPr>
      <w:sz w:val="16"/>
      <w:szCs w:val="16"/>
    </w:rPr>
  </w:style>
  <w:style w:type="character" w:customStyle="1" w:styleId="BodyText3Char">
    <w:name w:val="Body Text 3 Char"/>
    <w:basedOn w:val="DefaultParagraphFont"/>
    <w:link w:val="BodyText3"/>
    <w:rsid w:val="00231920"/>
    <w:rPr>
      <w:rFonts w:ascii="Helvetica" w:hAnsi="Helvetica"/>
      <w:sz w:val="16"/>
      <w:szCs w:val="16"/>
    </w:rPr>
  </w:style>
  <w:style w:type="character" w:styleId="LineNumber">
    <w:name w:val="line number"/>
    <w:basedOn w:val="DefaultParagraphFont"/>
    <w:rsid w:val="00412475"/>
  </w:style>
  <w:style w:type="character" w:styleId="Emphasis">
    <w:name w:val="Emphasis"/>
    <w:basedOn w:val="DefaultParagraphFont"/>
    <w:uiPriority w:val="20"/>
    <w:qFormat/>
    <w:rsid w:val="0024282C"/>
    <w:rPr>
      <w:i/>
      <w:iCs/>
    </w:rPr>
  </w:style>
  <w:style w:type="character" w:styleId="UnresolvedMention">
    <w:name w:val="Unresolved Mention"/>
    <w:basedOn w:val="DefaultParagraphFont"/>
    <w:uiPriority w:val="99"/>
    <w:semiHidden/>
    <w:unhideWhenUsed/>
    <w:rsid w:val="00287E68"/>
    <w:rPr>
      <w:color w:val="605E5C"/>
      <w:shd w:val="clear" w:color="auto" w:fill="E1DFDD"/>
    </w:rPr>
  </w:style>
  <w:style w:type="paragraph" w:styleId="NormalWeb">
    <w:name w:val="Normal (Web)"/>
    <w:basedOn w:val="Normal"/>
    <w:uiPriority w:val="99"/>
    <w:unhideWhenUsed/>
    <w:rsid w:val="00B2615A"/>
    <w:pPr>
      <w:spacing w:before="100" w:beforeAutospacing="1" w:after="100" w:afterAutospacing="1"/>
    </w:pPr>
  </w:style>
  <w:style w:type="character" w:customStyle="1" w:styleId="Heading3Char">
    <w:name w:val="Heading 3 Char"/>
    <w:basedOn w:val="DefaultParagraphFont"/>
    <w:link w:val="Heading3"/>
    <w:uiPriority w:val="9"/>
    <w:rsid w:val="00B57BC1"/>
    <w:rPr>
      <w:rFonts w:asciiTheme="majorHAnsi" w:eastAsiaTheme="majorEastAsia" w:hAnsiTheme="majorHAnsi" w:cstheme="majorBidi"/>
      <w:color w:val="243F60" w:themeColor="accent1" w:themeShade="7F"/>
      <w:sz w:val="24"/>
      <w:szCs w:val="24"/>
    </w:rPr>
  </w:style>
  <w:style w:type="character" w:customStyle="1" w:styleId="Heading1Char">
    <w:name w:val="Heading 1 Char"/>
    <w:basedOn w:val="DefaultParagraphFont"/>
    <w:link w:val="Heading1"/>
    <w:uiPriority w:val="9"/>
    <w:rsid w:val="00964D0D"/>
    <w:rPr>
      <w:rFonts w:ascii="Arial" w:hAnsi="Arial"/>
      <w:b/>
      <w:kern w:val="28"/>
      <w:sz w:val="28"/>
    </w:rPr>
  </w:style>
  <w:style w:type="character" w:styleId="Strong">
    <w:name w:val="Strong"/>
    <w:basedOn w:val="DefaultParagraphFont"/>
    <w:uiPriority w:val="22"/>
    <w:qFormat/>
    <w:rsid w:val="004C2541"/>
    <w:rPr>
      <w:b/>
      <w:bCs/>
    </w:rPr>
  </w:style>
  <w:style w:type="character" w:customStyle="1" w:styleId="contents">
    <w:name w:val="contents"/>
    <w:basedOn w:val="DefaultParagraphFont"/>
    <w:rsid w:val="0026707F"/>
  </w:style>
  <w:style w:type="paragraph" w:customStyle="1" w:styleId="my-2">
    <w:name w:val="my-2"/>
    <w:basedOn w:val="Normal"/>
    <w:rsid w:val="004D3E28"/>
    <w:pPr>
      <w:spacing w:before="100" w:beforeAutospacing="1" w:after="100" w:afterAutospacing="1"/>
    </w:pPr>
  </w:style>
  <w:style w:type="character" w:customStyle="1" w:styleId="inline-block">
    <w:name w:val="inline-block"/>
    <w:basedOn w:val="DefaultParagraphFont"/>
    <w:rsid w:val="004D3E28"/>
  </w:style>
  <w:style w:type="paragraph" w:customStyle="1" w:styleId="py-0">
    <w:name w:val="py-0"/>
    <w:basedOn w:val="Normal"/>
    <w:rsid w:val="00E24FB2"/>
    <w:pPr>
      <w:spacing w:before="100" w:beforeAutospacing="1" w:after="100" w:afterAutospacing="1"/>
    </w:pPr>
  </w:style>
  <w:style w:type="character" w:styleId="HTMLCode">
    <w:name w:val="HTML Code"/>
    <w:basedOn w:val="DefaultParagraphFont"/>
    <w:uiPriority w:val="99"/>
    <w:semiHidden/>
    <w:unhideWhenUsed/>
    <w:rsid w:val="00E24FB2"/>
    <w:rPr>
      <w:rFonts w:ascii="Courier New" w:eastAsia="Times New Roman" w:hAnsi="Courier New" w:cs="Courier New"/>
      <w:sz w:val="20"/>
      <w:szCs w:val="20"/>
    </w:rPr>
  </w:style>
  <w:style w:type="character" w:customStyle="1" w:styleId="Heading2Char">
    <w:name w:val="Heading 2 Char"/>
    <w:basedOn w:val="DefaultParagraphFont"/>
    <w:link w:val="Heading2"/>
    <w:semiHidden/>
    <w:rsid w:val="008F1128"/>
    <w:rPr>
      <w:rFonts w:asciiTheme="majorHAnsi" w:eastAsiaTheme="majorEastAsia" w:hAnsiTheme="majorHAnsi" w:cstheme="majorBidi"/>
      <w:color w:val="365F91" w:themeColor="accent1" w:themeShade="BF"/>
      <w:sz w:val="26"/>
      <w:szCs w:val="26"/>
      <w:lang w:val="en-P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8685">
      <w:bodyDiv w:val="1"/>
      <w:marLeft w:val="0"/>
      <w:marRight w:val="0"/>
      <w:marTop w:val="0"/>
      <w:marBottom w:val="0"/>
      <w:divBdr>
        <w:top w:val="none" w:sz="0" w:space="0" w:color="auto"/>
        <w:left w:val="none" w:sz="0" w:space="0" w:color="auto"/>
        <w:bottom w:val="none" w:sz="0" w:space="0" w:color="auto"/>
        <w:right w:val="none" w:sz="0" w:space="0" w:color="auto"/>
      </w:divBdr>
    </w:div>
    <w:div w:id="156773062">
      <w:bodyDiv w:val="1"/>
      <w:marLeft w:val="0"/>
      <w:marRight w:val="0"/>
      <w:marTop w:val="0"/>
      <w:marBottom w:val="0"/>
      <w:divBdr>
        <w:top w:val="none" w:sz="0" w:space="0" w:color="auto"/>
        <w:left w:val="none" w:sz="0" w:space="0" w:color="auto"/>
        <w:bottom w:val="none" w:sz="0" w:space="0" w:color="auto"/>
        <w:right w:val="none" w:sz="0" w:space="0" w:color="auto"/>
      </w:divBdr>
    </w:div>
    <w:div w:id="239678973">
      <w:bodyDiv w:val="1"/>
      <w:marLeft w:val="0"/>
      <w:marRight w:val="0"/>
      <w:marTop w:val="0"/>
      <w:marBottom w:val="0"/>
      <w:divBdr>
        <w:top w:val="none" w:sz="0" w:space="0" w:color="auto"/>
        <w:left w:val="none" w:sz="0" w:space="0" w:color="auto"/>
        <w:bottom w:val="none" w:sz="0" w:space="0" w:color="auto"/>
        <w:right w:val="none" w:sz="0" w:space="0" w:color="auto"/>
      </w:divBdr>
    </w:div>
    <w:div w:id="635257300">
      <w:bodyDiv w:val="1"/>
      <w:marLeft w:val="0"/>
      <w:marRight w:val="0"/>
      <w:marTop w:val="0"/>
      <w:marBottom w:val="0"/>
      <w:divBdr>
        <w:top w:val="none" w:sz="0" w:space="0" w:color="auto"/>
        <w:left w:val="none" w:sz="0" w:space="0" w:color="auto"/>
        <w:bottom w:val="none" w:sz="0" w:space="0" w:color="auto"/>
        <w:right w:val="none" w:sz="0" w:space="0" w:color="auto"/>
      </w:divBdr>
    </w:div>
    <w:div w:id="981815793">
      <w:bodyDiv w:val="1"/>
      <w:marLeft w:val="0"/>
      <w:marRight w:val="0"/>
      <w:marTop w:val="0"/>
      <w:marBottom w:val="0"/>
      <w:divBdr>
        <w:top w:val="none" w:sz="0" w:space="0" w:color="auto"/>
        <w:left w:val="none" w:sz="0" w:space="0" w:color="auto"/>
        <w:bottom w:val="none" w:sz="0" w:space="0" w:color="auto"/>
        <w:right w:val="none" w:sz="0" w:space="0" w:color="auto"/>
      </w:divBdr>
    </w:div>
    <w:div w:id="1005785248">
      <w:bodyDiv w:val="1"/>
      <w:marLeft w:val="0"/>
      <w:marRight w:val="0"/>
      <w:marTop w:val="0"/>
      <w:marBottom w:val="0"/>
      <w:divBdr>
        <w:top w:val="none" w:sz="0" w:space="0" w:color="auto"/>
        <w:left w:val="none" w:sz="0" w:space="0" w:color="auto"/>
        <w:bottom w:val="none" w:sz="0" w:space="0" w:color="auto"/>
        <w:right w:val="none" w:sz="0" w:space="0" w:color="auto"/>
      </w:divBdr>
    </w:div>
    <w:div w:id="1012218544">
      <w:bodyDiv w:val="1"/>
      <w:marLeft w:val="0"/>
      <w:marRight w:val="0"/>
      <w:marTop w:val="0"/>
      <w:marBottom w:val="0"/>
      <w:divBdr>
        <w:top w:val="none" w:sz="0" w:space="0" w:color="auto"/>
        <w:left w:val="none" w:sz="0" w:space="0" w:color="auto"/>
        <w:bottom w:val="none" w:sz="0" w:space="0" w:color="auto"/>
        <w:right w:val="none" w:sz="0" w:space="0" w:color="auto"/>
      </w:divBdr>
    </w:div>
    <w:div w:id="1072198898">
      <w:bodyDiv w:val="1"/>
      <w:marLeft w:val="0"/>
      <w:marRight w:val="0"/>
      <w:marTop w:val="0"/>
      <w:marBottom w:val="0"/>
      <w:divBdr>
        <w:top w:val="none" w:sz="0" w:space="0" w:color="auto"/>
        <w:left w:val="none" w:sz="0" w:space="0" w:color="auto"/>
        <w:bottom w:val="none" w:sz="0" w:space="0" w:color="auto"/>
        <w:right w:val="none" w:sz="0" w:space="0" w:color="auto"/>
      </w:divBdr>
    </w:div>
    <w:div w:id="1112439147">
      <w:bodyDiv w:val="1"/>
      <w:marLeft w:val="0"/>
      <w:marRight w:val="0"/>
      <w:marTop w:val="0"/>
      <w:marBottom w:val="0"/>
      <w:divBdr>
        <w:top w:val="none" w:sz="0" w:space="0" w:color="auto"/>
        <w:left w:val="none" w:sz="0" w:space="0" w:color="auto"/>
        <w:bottom w:val="none" w:sz="0" w:space="0" w:color="auto"/>
        <w:right w:val="none" w:sz="0" w:space="0" w:color="auto"/>
      </w:divBdr>
    </w:div>
    <w:div w:id="1743335415">
      <w:bodyDiv w:val="1"/>
      <w:marLeft w:val="0"/>
      <w:marRight w:val="0"/>
      <w:marTop w:val="0"/>
      <w:marBottom w:val="0"/>
      <w:divBdr>
        <w:top w:val="none" w:sz="0" w:space="0" w:color="auto"/>
        <w:left w:val="none" w:sz="0" w:space="0" w:color="auto"/>
        <w:bottom w:val="none" w:sz="0" w:space="0" w:color="auto"/>
        <w:right w:val="none" w:sz="0" w:space="0" w:color="auto"/>
      </w:divBdr>
    </w:div>
    <w:div w:id="1972325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yperlink" Target="https://doi.org/10.1186/s41239-025-00507-3" TargetMode="External"/><Relationship Id="rId26" Type="http://schemas.openxmlformats.org/officeDocument/2006/relationships/hyperlink" Target="https://doi.org/10.5902/1983465990871?utm_source=chatgpt.com" TargetMode="External"/><Relationship Id="rId39" Type="http://schemas.openxmlformats.org/officeDocument/2006/relationships/hyperlink" Target="https://doi.org/10.1007/s44163-025-00747-2" TargetMode="External"/><Relationship Id="rId21" Type="http://schemas.openxmlformats.org/officeDocument/2006/relationships/hyperlink" Target="https://doi.org/10.3233/ATDE250550" TargetMode="External"/><Relationship Id="rId34" Type="http://schemas.openxmlformats.org/officeDocument/2006/relationships/hyperlink" Target="https://doi.org/10.1016/j.chbah.2025.100121?utm_source=chatgpt.com" TargetMode="External"/><Relationship Id="rId42" Type="http://schemas.openxmlformats.org/officeDocument/2006/relationships/hyperlink" Target="https://doi.org/10.1016/j.caeai.2024.100326" TargetMode="External"/><Relationship Id="rId47" Type="http://schemas.openxmlformats.org/officeDocument/2006/relationships/hyperlink" Target="https://doi.org/10.1007/s44217-026-01887-y"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4.xml"/><Relationship Id="rId29" Type="http://schemas.openxmlformats.org/officeDocument/2006/relationships/hyperlink" Target="https://doi.org/10.30940/JQI.2024.10.3.25" TargetMode="External"/><Relationship Id="rId11" Type="http://schemas.openxmlformats.org/officeDocument/2006/relationships/footer" Target="footer2.xml"/><Relationship Id="rId24" Type="http://schemas.openxmlformats.org/officeDocument/2006/relationships/hyperlink" Target="https://doi.org/10.1108/IJOA-09-2024-4850?utm_source=chatgpt.com" TargetMode="External"/><Relationship Id="rId32" Type="http://schemas.openxmlformats.org/officeDocument/2006/relationships/hyperlink" Target="https://doi.org/10.1177/08959048261450995" TargetMode="External"/><Relationship Id="rId37" Type="http://schemas.openxmlformats.org/officeDocument/2006/relationships/hyperlink" Target="https://doi.org/10.1016/j.mex.2026.104063" TargetMode="External"/><Relationship Id="rId40" Type="http://schemas.openxmlformats.org/officeDocument/2006/relationships/hyperlink" Target="https://doi.org/10.3389/fpos.2025.1666661" TargetMode="External"/><Relationship Id="rId45" Type="http://schemas.openxmlformats.org/officeDocument/2006/relationships/hyperlink" Target="https://www.xu.edu.ph/memo/195-sy-2020-2023/6403-memo-u2324-062-establishment-of-the-committee-on-responsible-ai-use-at-xavier-ateneo?utm_source=chatgpt.com" TargetMode="Externa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yperlink" Target="https://doi.org/10.1080/17516234.2024.2379070" TargetMode="External"/><Relationship Id="rId28" Type="http://schemas.openxmlformats.org/officeDocument/2006/relationships/hyperlink" Target="https://doi.org/10.1093/polsoc/puae040" TargetMode="External"/><Relationship Id="rId36" Type="http://schemas.openxmlformats.org/officeDocument/2006/relationships/hyperlink" Target="https://doi.org/10.3390/buildings14082460" TargetMode="External"/><Relationship Id="rId49"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yperlink" Target="https://doi.org/10.3389/feduc.2026.1814426?utm_source=chatgpt.com" TargetMode="External"/><Relationship Id="rId31" Type="http://schemas.openxmlformats.org/officeDocument/2006/relationships/hyperlink" Target="https://doi.org/10.1016/j.caeai.2024.100348" TargetMode="External"/><Relationship Id="rId44" Type="http://schemas.openxmlformats.org/officeDocument/2006/relationships/hyperlink" Target="https://www.xu.edu.ph/memo/225-academic-year-2024-2025/6731-memo-u2425-003-policy-on-the-ethical-and-responsible-use-of-generative-artificial-intelligence-genai-at-xavier-ateneo"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yperlink" Target="https://doi.org/10.3316/QRJ0902027" TargetMode="External"/><Relationship Id="rId27" Type="http://schemas.openxmlformats.org/officeDocument/2006/relationships/hyperlink" Target="https://doi.org/10.5902/1983465990871" TargetMode="External"/><Relationship Id="rId30" Type="http://schemas.openxmlformats.org/officeDocument/2006/relationships/hyperlink" Target="https://doi.org/10.1111/hequ.70054" TargetMode="External"/><Relationship Id="rId35" Type="http://schemas.openxmlformats.org/officeDocument/2006/relationships/hyperlink" Target="https://doi.org/10.1016/j.chbah.2025.100121" TargetMode="External"/><Relationship Id="rId43" Type="http://schemas.openxmlformats.org/officeDocument/2006/relationships/hyperlink" Target="https://www.xu.edu.ph/memo/225-academic-year-2024-2025/6731-memo-u2425-003-policy-on-the-ethical-and-responsible-use-of-generative-artificial-intelligence-genai-at-xavier-ateneo?utm_source=chatgpt.com" TargetMode="External"/><Relationship Id="rId48" Type="http://schemas.openxmlformats.org/officeDocument/2006/relationships/fontTable" Target="fontTable.xml"/><Relationship Id="rId8" Type="http://schemas.openxmlformats.org/officeDocument/2006/relationships/header" Target="header1.xml"/><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header" Target="header6.xml"/><Relationship Id="rId25" Type="http://schemas.openxmlformats.org/officeDocument/2006/relationships/hyperlink" Target="https://doi.org/10.1108/IJOA-09-2024-4850" TargetMode="External"/><Relationship Id="rId33" Type="http://schemas.openxmlformats.org/officeDocument/2006/relationships/hyperlink" Target="https://doi.org/10.1007/s11135-023-01753-1" TargetMode="External"/><Relationship Id="rId38" Type="http://schemas.openxmlformats.org/officeDocument/2006/relationships/hyperlink" Target="https://doi.org/10.1177/00218863241232412" TargetMode="External"/><Relationship Id="rId46" Type="http://schemas.openxmlformats.org/officeDocument/2006/relationships/hyperlink" Target="https://www.xu.edu.ph/memo/195-sy-2020-2023/6403-memo-u2324-062-establishment-of-the-committee-on-responsible-ai-use-at-xavier-ateneo" TargetMode="External"/><Relationship Id="rId20" Type="http://schemas.openxmlformats.org/officeDocument/2006/relationships/hyperlink" Target="https://doi.org/10.3389/feduc.2026.1814426" TargetMode="External"/><Relationship Id="rId41" Type="http://schemas.openxmlformats.org/officeDocument/2006/relationships/hyperlink" Target="https://doi.org/10.1007/s44163-026-01999-2" TargetMode="External"/><Relationship Id="rId1" Type="http://schemas.openxmlformats.org/officeDocument/2006/relationships/customXml" Target="../customXml/item1.xml"/><Relationship Id="rId6"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logan\Local%20Settings\Temporary%20Internet%20Files\OLK35\2007%20paper%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6B4140-A4C2-4412-95D0-BDBE9DF0D2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2007 paper template</Template>
  <TotalTime>1</TotalTime>
  <Pages>21</Pages>
  <Words>11355</Words>
  <Characters>64724</Characters>
  <Application>Microsoft Office Word</Application>
  <DocSecurity>0</DocSecurity>
  <Lines>539</Lines>
  <Paragraphs>151</Paragraphs>
  <ScaleCrop>false</ScaleCrop>
  <HeadingPairs>
    <vt:vector size="2" baseType="variant">
      <vt:variant>
        <vt:lpstr>Title</vt:lpstr>
      </vt:variant>
      <vt:variant>
        <vt:i4>1</vt:i4>
      </vt:variant>
    </vt:vector>
  </HeadingPairs>
  <TitlesOfParts>
    <vt:vector size="1" baseType="lpstr">
      <vt:lpstr>Paper Template</vt:lpstr>
    </vt:vector>
  </TitlesOfParts>
  <Manager/>
  <Company/>
  <LinksUpToDate>false</LinksUpToDate>
  <CharactersWithSpaces>75928</CharactersWithSpaces>
  <SharedDoc>false</SharedDoc>
  <HyperlinkBase/>
  <HLinks>
    <vt:vector size="30" baseType="variant">
      <vt:variant>
        <vt:i4>6160404</vt:i4>
      </vt:variant>
      <vt:variant>
        <vt:i4>15</vt:i4>
      </vt:variant>
      <vt:variant>
        <vt:i4>0</vt:i4>
      </vt:variant>
      <vt:variant>
        <vt:i4>5</vt:i4>
      </vt:variant>
      <vt:variant>
        <vt:lpwstr>http://www.globalizationandhealth.com/content/1/1/14</vt:lpwstr>
      </vt:variant>
      <vt:variant>
        <vt:lpwstr/>
      </vt:variant>
      <vt:variant>
        <vt:i4>6160404</vt:i4>
      </vt:variant>
      <vt:variant>
        <vt:i4>12</vt:i4>
      </vt:variant>
      <vt:variant>
        <vt:i4>0</vt:i4>
      </vt:variant>
      <vt:variant>
        <vt:i4>5</vt:i4>
      </vt:variant>
      <vt:variant>
        <vt:lpwstr>http://www.globalizationandhealth.com/content/1/1/14</vt:lpwstr>
      </vt:variant>
      <vt:variant>
        <vt:lpwstr/>
      </vt:variant>
      <vt:variant>
        <vt:i4>131166</vt:i4>
      </vt:variant>
      <vt:variant>
        <vt:i4>9</vt:i4>
      </vt:variant>
      <vt:variant>
        <vt:i4>0</vt:i4>
      </vt:variant>
      <vt:variant>
        <vt:i4>5</vt:i4>
      </vt:variant>
      <vt:variant>
        <vt:lpwstr>http://www.prisma-statement.org/</vt:lpwstr>
      </vt:variant>
      <vt:variant>
        <vt:lpwstr/>
      </vt:variant>
      <vt:variant>
        <vt:i4>1376320</vt:i4>
      </vt:variant>
      <vt:variant>
        <vt:i4>6</vt:i4>
      </vt:variant>
      <vt:variant>
        <vt:i4>0</vt:i4>
      </vt:variant>
      <vt:variant>
        <vt:i4>5</vt:i4>
      </vt:variant>
      <vt:variant>
        <vt:lpwstr>http://www.strobe-statement.org/</vt:lpwstr>
      </vt:variant>
      <vt:variant>
        <vt:lpwstr/>
      </vt:variant>
      <vt:variant>
        <vt:i4>5439564</vt:i4>
      </vt:variant>
      <vt:variant>
        <vt:i4>3</vt:i4>
      </vt:variant>
      <vt:variant>
        <vt:i4>0</vt:i4>
      </vt:variant>
      <vt:variant>
        <vt:i4>5</vt:i4>
      </vt:variant>
      <vt:variant>
        <vt:lpwstr>http://www.consort-statement.org/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Template</dc:title>
  <dc:subject/>
  <dc:creator/>
  <cp:keywords/>
  <dc:description/>
  <cp:lastModifiedBy/>
  <cp:revision>2</cp:revision>
  <cp:lastPrinted>1999-07-06T11:00:00Z</cp:lastPrinted>
  <dcterms:created xsi:type="dcterms:W3CDTF">2026-08-29T07:54:00Z</dcterms:created>
  <dcterms:modified xsi:type="dcterms:W3CDTF">2026-08-31T12:03:00Z</dcterms:modified>
  <cp:category/>
</cp:coreProperties>
</file>