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005F1" w14:textId="77777777" w:rsidR="000F64E0" w:rsidRPr="000F64E0" w:rsidRDefault="000F64E0" w:rsidP="000F64E0">
      <w:pPr>
        <w:pStyle w:val="Title"/>
        <w:jc w:val="both"/>
        <w:rPr>
          <w:rFonts w:ascii="Arial" w:hAnsi="Arial" w:cs="Arial"/>
          <w:bCs/>
          <w:i/>
          <w:iCs/>
          <w:u w:val="single"/>
          <w:lang w:val="en-US"/>
        </w:rPr>
      </w:pPr>
      <w:r w:rsidRPr="000F64E0">
        <w:rPr>
          <w:rFonts w:ascii="Arial" w:hAnsi="Arial" w:cs="Arial"/>
          <w:bCs/>
          <w:i/>
          <w:iCs/>
          <w:u w:val="single"/>
          <w:lang w:val="en-US"/>
        </w:rPr>
        <w:t>Original Research Article</w:t>
      </w:r>
    </w:p>
    <w:p w14:paraId="0F513ABF" w14:textId="77777777" w:rsidR="00754C9A" w:rsidRDefault="00754C9A" w:rsidP="00441B6F">
      <w:pPr>
        <w:pStyle w:val="Title"/>
        <w:spacing w:after="0"/>
        <w:jc w:val="both"/>
        <w:rPr>
          <w:rFonts w:ascii="Arial" w:hAnsi="Arial" w:cs="Arial"/>
        </w:rPr>
      </w:pPr>
    </w:p>
    <w:p w14:paraId="3A475D25" w14:textId="11237593" w:rsidR="00163BC4" w:rsidRPr="00163BC4" w:rsidRDefault="00CA36B7" w:rsidP="00441B6F">
      <w:pPr>
        <w:pStyle w:val="Author"/>
        <w:spacing w:line="240" w:lineRule="auto"/>
        <w:rPr>
          <w:rFonts w:ascii="Arial" w:hAnsi="Arial" w:cs="Arial"/>
          <w:bCs/>
          <w:iCs/>
          <w:kern w:val="28"/>
          <w:sz w:val="36"/>
        </w:rPr>
      </w:pPr>
      <w:r w:rsidRPr="00CA36B7">
        <w:rPr>
          <w:rFonts w:ascii="Arial" w:hAnsi="Arial" w:cs="Arial"/>
          <w:color w:val="000000"/>
          <w:sz w:val="36"/>
          <w:szCs w:val="36"/>
        </w:rPr>
        <w:t>Human Capital Responsiveness to Emerging Workforce Skill Demand: An Analysis of Philippine BSBA Competency Standards</w:t>
      </w:r>
      <w:r w:rsidR="00231920">
        <w:rPr>
          <w:rFonts w:ascii="Arial" w:hAnsi="Arial" w:cs="Arial"/>
          <w:bCs/>
          <w:iCs/>
          <w:kern w:val="28"/>
          <w:sz w:val="36"/>
        </w:rPr>
        <w:t xml:space="preserve"> </w:t>
      </w:r>
    </w:p>
    <w:p w14:paraId="5ECD3147" w14:textId="77777777" w:rsidR="00A258C3" w:rsidRPr="00790ADA" w:rsidRDefault="00A258C3" w:rsidP="00441B6F">
      <w:pPr>
        <w:pStyle w:val="Author"/>
        <w:spacing w:line="240" w:lineRule="auto"/>
        <w:jc w:val="both"/>
        <w:rPr>
          <w:rFonts w:ascii="Arial" w:hAnsi="Arial" w:cs="Arial"/>
          <w:sz w:val="36"/>
        </w:rPr>
      </w:pPr>
    </w:p>
    <w:p w14:paraId="466F1672" w14:textId="77777777" w:rsidR="00B01FCD" w:rsidRPr="00FB3A86" w:rsidRDefault="00FC4AE7" w:rsidP="00441B6F">
      <w:pPr>
        <w:pStyle w:val="Copyright"/>
        <w:spacing w:after="0" w:line="240" w:lineRule="auto"/>
        <w:jc w:val="both"/>
        <w:rPr>
          <w:rFonts w:ascii="Arial" w:hAnsi="Arial" w:cs="Arial"/>
        </w:rPr>
        <w:sectPr w:rsidR="00B01FCD" w:rsidRPr="00FB3A86" w:rsidSect="00D7083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Pr>
          <w:rFonts w:ascii="Arial" w:hAnsi="Arial" w:cs="Arial"/>
        </w:rPr>
        <w:t>.</w:t>
      </w:r>
    </w:p>
    <w:p w14:paraId="2EBCE071" w14:textId="3BEEC279" w:rsidR="00B01FCD" w:rsidRDefault="00B01FCD" w:rsidP="00441B6F">
      <w:pPr>
        <w:pStyle w:val="AbstHead"/>
        <w:spacing w:after="0"/>
        <w:jc w:val="both"/>
        <w:rPr>
          <w:rFonts w:ascii="Arial" w:hAnsi="Arial" w:cs="Arial"/>
        </w:rPr>
      </w:pPr>
      <w:r w:rsidRPr="00FB3A86">
        <w:rPr>
          <w:rFonts w:ascii="Arial" w:hAnsi="Arial" w:cs="Arial"/>
        </w:rPr>
        <w:t>ABSTRACT</w:t>
      </w:r>
    </w:p>
    <w:p w14:paraId="1EFB1E67"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B97D749" w14:textId="77777777" w:rsidTr="001E44FE">
        <w:tc>
          <w:tcPr>
            <w:tcW w:w="9576" w:type="dxa"/>
            <w:shd w:val="clear" w:color="auto" w:fill="F2F2F2"/>
          </w:tcPr>
          <w:p w14:paraId="3465AC82" w14:textId="298B3A6E" w:rsidR="00505F06" w:rsidRPr="00CA36B7" w:rsidRDefault="00CA36B7" w:rsidP="00B2615A">
            <w:pPr>
              <w:pStyle w:val="NormalWeb"/>
              <w:spacing w:before="0" w:beforeAutospacing="0" w:after="0" w:afterAutospacing="0"/>
              <w:rPr>
                <w:sz w:val="20"/>
                <w:szCs w:val="20"/>
              </w:rPr>
            </w:pPr>
            <w:r w:rsidRPr="00CA36B7">
              <w:rPr>
                <w:rFonts w:ascii="Arial" w:hAnsi="Arial" w:cs="Arial"/>
                <w:color w:val="000000"/>
                <w:sz w:val="20"/>
                <w:szCs w:val="20"/>
              </w:rPr>
              <w:t xml:space="preserve">Rapid technological and organizational changes are reshaping the skills required in contemporary labor markets, presenting ongoing challenges for higher education as a source of human capital development. This study examines the responsiveness of Philippine Bachelor of Science in Business Administration (BSBA) competency standards to current and emerging workforce skill requirements. Using a qualitative comparative documentary research design, the analysis draws on the World Economic Forum's </w:t>
            </w:r>
            <w:r w:rsidRPr="00CA36B7">
              <w:rPr>
                <w:rFonts w:ascii="Arial" w:hAnsi="Arial" w:cs="Arial"/>
                <w:i/>
                <w:iCs/>
                <w:color w:val="000000"/>
                <w:sz w:val="20"/>
                <w:szCs w:val="20"/>
              </w:rPr>
              <w:t>Future of Jobs Report 2025</w:t>
            </w:r>
            <w:r w:rsidRPr="00CA36B7">
              <w:rPr>
                <w:rFonts w:ascii="Arial" w:hAnsi="Arial" w:cs="Arial"/>
                <w:color w:val="000000"/>
                <w:sz w:val="20"/>
                <w:szCs w:val="20"/>
              </w:rPr>
              <w:t xml:space="preserve"> and the Commission on Higher Education's Revised Policies, Standards, and Guidelines for BSBA under CMO No. 17, s. 2017. Guided by Human Capital Theory, the study identifies workforce skills projected to be important in 2025 and expected to increase in significance toward 2030, then assesses their alignment with national BSBA competencies. The results reveal substantial but uneven alignment. Philippine BSBA competencies offer a strong foundation in transferable cognitive, creative, managerial, interpersonal, communication, research, and general technological skills, while rapidly emerging technology-specific skills are less explicitly addressed. These findings indicate that the responsiveness of BSBA education should be evaluated not only through direct skill matching, but also through its capacity to foster durable human capital and support adaptation to evolving skill requirements. Curriculum responsiveness is thus framed as an economic issue of human capital development. As the analysis is limited to two publicly available documentary frameworks, it does not evaluate institutional implementation, graduate proficiency, or labor-market outcomes. Future research should extend the analysis to institution-level curricula, Philippine employer perspectives, and graduate outcomes.</w:t>
            </w:r>
          </w:p>
        </w:tc>
      </w:tr>
    </w:tbl>
    <w:p w14:paraId="4B2AE01D" w14:textId="77777777" w:rsidR="00636EB2" w:rsidRDefault="00636EB2" w:rsidP="00441B6F">
      <w:pPr>
        <w:pStyle w:val="Body"/>
        <w:spacing w:after="0"/>
        <w:rPr>
          <w:rFonts w:ascii="Arial" w:hAnsi="Arial" w:cs="Arial"/>
          <w:i/>
        </w:rPr>
      </w:pPr>
    </w:p>
    <w:p w14:paraId="24F31956" w14:textId="582FCDFD" w:rsidR="00505F06" w:rsidRDefault="00B379FA" w:rsidP="00441B6F">
      <w:pPr>
        <w:pStyle w:val="Body"/>
        <w:spacing w:after="0"/>
        <w:rPr>
          <w:rFonts w:ascii="Arial" w:hAnsi="Arial" w:cs="Arial"/>
          <w:i/>
          <w:iCs/>
          <w:color w:val="000000"/>
          <w:sz w:val="20"/>
          <w:szCs w:val="20"/>
        </w:rPr>
      </w:pPr>
      <w:r w:rsidRPr="00B379FA">
        <w:rPr>
          <w:rFonts w:ascii="Arial" w:hAnsi="Arial" w:cs="Arial"/>
          <w:i/>
          <w:iCs/>
          <w:color w:val="000000"/>
          <w:sz w:val="20"/>
          <w:szCs w:val="20"/>
        </w:rPr>
        <w:t>Keywords:</w:t>
      </w:r>
      <w:r>
        <w:rPr>
          <w:rFonts w:ascii="Arial" w:hAnsi="Arial" w:cs="Arial"/>
          <w:i/>
          <w:iCs/>
          <w:color w:val="000000"/>
          <w:sz w:val="20"/>
          <w:szCs w:val="20"/>
        </w:rPr>
        <w:t xml:space="preserve"> Human capital; workforce skills; higher education; business education; curriculum responsiveness; Philippines</w:t>
      </w:r>
    </w:p>
    <w:p w14:paraId="62C48903" w14:textId="77777777" w:rsidR="00B379FA" w:rsidRPr="00A24E7E" w:rsidRDefault="00B379FA" w:rsidP="00441B6F">
      <w:pPr>
        <w:pStyle w:val="Body"/>
        <w:spacing w:after="0"/>
        <w:rPr>
          <w:rFonts w:ascii="Arial" w:hAnsi="Arial" w:cs="Arial"/>
          <w:i/>
        </w:rPr>
      </w:pPr>
    </w:p>
    <w:p w14:paraId="1D1FCD70" w14:textId="073029D2"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68190951" w14:textId="77777777" w:rsidR="00790ADA" w:rsidRPr="00FB3A86" w:rsidRDefault="00790ADA" w:rsidP="00441B6F">
      <w:pPr>
        <w:pStyle w:val="AbstHead"/>
        <w:spacing w:after="0"/>
        <w:jc w:val="both"/>
        <w:rPr>
          <w:rFonts w:ascii="Arial" w:hAnsi="Arial" w:cs="Arial"/>
        </w:rPr>
      </w:pPr>
    </w:p>
    <w:p w14:paraId="4E5AED69" w14:textId="77777777" w:rsidR="00B379FA" w:rsidRDefault="00B379FA" w:rsidP="00B379FA">
      <w:pPr>
        <w:pStyle w:val="NormalWeb"/>
        <w:spacing w:before="0" w:beforeAutospacing="0" w:after="0" w:afterAutospacing="0"/>
      </w:pPr>
      <w:r>
        <w:rPr>
          <w:rFonts w:ascii="Arial" w:hAnsi="Arial" w:cs="Arial"/>
          <w:color w:val="000000"/>
          <w:sz w:val="20"/>
          <w:szCs w:val="20"/>
        </w:rPr>
        <w:t xml:space="preserve">Technological change is fundamentally altering the skill sets demanded in contemporary labor markets. The proliferation of artificial intelligence (AI), digital technologies, data-intensive processes, and new forms of human–technology collaboration is transforming both the nature of available occupations and the capabilities necessary for effective job performance. The World Economic Forum (World Economic Forum [WEF], 2025) identifies analytical thinking, resilience, flexibility and agility, leadership and social influence, and creative thinking as among the most critical skills required by employers in 2025. Additionally, AI and big data, networks and cybersecurity, and technological literacy are </w:t>
      </w:r>
      <w:r>
        <w:rPr>
          <w:rFonts w:ascii="Arial" w:hAnsi="Arial" w:cs="Arial"/>
          <w:color w:val="000000"/>
          <w:sz w:val="20"/>
          <w:szCs w:val="20"/>
        </w:rPr>
        <w:lastRenderedPageBreak/>
        <w:t>projected to become increasingly important by 2030. The simultaneous demand for both human-centered and technology-related capabilities indicates that workforce preparation must extend beyond technical specialization. Workers now require integrated combinations of cognitive, interpersonal, adaptive, and technological skills.</w:t>
      </w:r>
    </w:p>
    <w:p w14:paraId="1152AB04" w14:textId="77777777" w:rsidR="00B379FA" w:rsidRDefault="00B379FA" w:rsidP="00B379FA">
      <w:pPr>
        <w:pStyle w:val="NormalWeb"/>
        <w:spacing w:before="0" w:beforeAutospacing="0" w:after="0" w:afterAutospacing="0"/>
      </w:pPr>
      <w:r>
        <w:rPr>
          <w:rFonts w:ascii="Arial" w:hAnsi="Arial" w:cs="Arial"/>
          <w:color w:val="000000"/>
          <w:sz w:val="20"/>
          <w:szCs w:val="20"/>
        </w:rPr>
        <w:t>This evolving skill landscape has significant implications for the economic function of education. Human Capital Theory frames education as an investment that cultivates productive capabilities and influences economic outcomes (Becker, 1964). Within this framework, the value of education is partly determined by the extent to which the knowledge and skills acquired remain relevant in the labor market. Recent developments in labor economics highlight that human capital is multidimensional, encompassing not only traditional cognitive abilities but also advanced social and decision-making skills that shape worker performance and task allocation (Deming &amp; Silliman, 2025). As work organization evolves, the central issue becomes whether education fosters capabilities that are both economically valuable and adaptable to shifting requirements, rather than merely increasing the quantity of skills.</w:t>
      </w:r>
    </w:p>
    <w:p w14:paraId="2B777213" w14:textId="77777777" w:rsidR="00B379FA" w:rsidRDefault="00B379FA" w:rsidP="00B379FA">
      <w:pPr>
        <w:pStyle w:val="NormalWeb"/>
        <w:spacing w:before="0" w:beforeAutospacing="0" w:after="0" w:afterAutospacing="0"/>
      </w:pPr>
      <w:r>
        <w:rPr>
          <w:rFonts w:ascii="Arial" w:hAnsi="Arial" w:cs="Arial"/>
          <w:color w:val="000000"/>
          <w:sz w:val="20"/>
          <w:szCs w:val="20"/>
        </w:rPr>
        <w:t>The alignment between higher education and evolving labor-market demands has attracted growing scholarly attention. Research on graduate employability underscores the need to understand how higher education develops skills, knowledge, and capabilities relevant to employment conditions (</w:t>
      </w:r>
      <w:proofErr w:type="spellStart"/>
      <w:r>
        <w:rPr>
          <w:rFonts w:ascii="Arial" w:hAnsi="Arial" w:cs="Arial"/>
          <w:color w:val="000000"/>
          <w:sz w:val="20"/>
          <w:szCs w:val="20"/>
        </w:rPr>
        <w:t>Rathee</w:t>
      </w:r>
      <w:proofErr w:type="spellEnd"/>
      <w:r>
        <w:rPr>
          <w:rFonts w:ascii="Arial" w:hAnsi="Arial" w:cs="Arial"/>
          <w:color w:val="000000"/>
          <w:sz w:val="20"/>
          <w:szCs w:val="20"/>
        </w:rPr>
        <w:t xml:space="preserve"> &amp; Mittal, 2024). Concurrently, studies on education–occupation mismatch reveal that the economic value of educational attainment often depends on the degree of correspondence between education and job requirements (Murillo Huertas &amp; Raymond, 2024). This has prompted increased focus on curriculum alignment and the identification of employer-demanded skills. Investigations into curriculum and labor-market relationships continue to highlight persistent challenges in ensuring that educational offerings keep pace with industry changes, especially regarding digital and analytical skills (Tee et al., 2024; Nyale et al., 2026). These trends indicate that higher education must maintain relevance while avoiding an overly narrow focus on immediate job requirements.</w:t>
      </w:r>
    </w:p>
    <w:p w14:paraId="20601088" w14:textId="77777777" w:rsidR="00B379FA" w:rsidRDefault="00B379FA" w:rsidP="00B379FA">
      <w:pPr>
        <w:pStyle w:val="NormalWeb"/>
        <w:spacing w:before="0" w:beforeAutospacing="0" w:after="0" w:afterAutospacing="0"/>
      </w:pPr>
      <w:r>
        <w:rPr>
          <w:rFonts w:ascii="Arial" w:hAnsi="Arial" w:cs="Arial"/>
          <w:color w:val="000000"/>
          <w:sz w:val="20"/>
          <w:szCs w:val="20"/>
        </w:rPr>
        <w:t xml:space="preserve">This challenge is especially pronounced regarding technological capabilities. Recent studies have explored the increasing significance of AI literacy and digital skills in higher education and their impact on students’ readiness for employment. </w:t>
      </w:r>
      <w:proofErr w:type="spellStart"/>
      <w:r>
        <w:rPr>
          <w:rFonts w:ascii="Arial" w:hAnsi="Arial" w:cs="Arial"/>
          <w:color w:val="000000"/>
          <w:sz w:val="20"/>
          <w:szCs w:val="20"/>
        </w:rPr>
        <w:t>Tzirides</w:t>
      </w:r>
      <w:proofErr w:type="spellEnd"/>
      <w:r>
        <w:rPr>
          <w:rFonts w:ascii="Arial" w:hAnsi="Arial" w:cs="Arial"/>
          <w:color w:val="000000"/>
          <w:sz w:val="20"/>
          <w:szCs w:val="20"/>
        </w:rPr>
        <w:t xml:space="preserve"> et al. (2024) illustrate that higher education can foster AI literacy by integrating technical knowledge with critical evaluation and responsible application. In contrast, Salhab (2024) finds that college instructors view AI literacy as a relatively underdeveloped aspect of curriculum design, underscoring the difficulty of integrating rapidly evolving technologies into established educational structures. Wut et al. (2025) identify a positive association between perceived AI literacy and university students’ perceived employability, indicating that technological skills are becoming integral to graduates’ human capital. However, digital capabilities are intertwined with broader employability development. Evidence from business-service graduates shows that digital literacy encompasses information, data, visual, communication, and collaboration skills (Deja et al., 2024). Additionally, research on work-integrated learning continues to stress the importance of linking academic knowledge with practical experience (Jackson, 2024; </w:t>
      </w:r>
      <w:proofErr w:type="spellStart"/>
      <w:r>
        <w:rPr>
          <w:rFonts w:ascii="Arial" w:hAnsi="Arial" w:cs="Arial"/>
          <w:color w:val="000000"/>
          <w:sz w:val="20"/>
          <w:szCs w:val="20"/>
        </w:rPr>
        <w:t>Mabungela</w:t>
      </w:r>
      <w:proofErr w:type="spellEnd"/>
      <w:r>
        <w:rPr>
          <w:rFonts w:ascii="Arial" w:hAnsi="Arial" w:cs="Arial"/>
          <w:color w:val="000000"/>
          <w:sz w:val="20"/>
          <w:szCs w:val="20"/>
        </w:rPr>
        <w:t xml:space="preserve"> &amp; </w:t>
      </w:r>
      <w:proofErr w:type="spellStart"/>
      <w:r>
        <w:rPr>
          <w:rFonts w:ascii="Arial" w:hAnsi="Arial" w:cs="Arial"/>
          <w:color w:val="000000"/>
          <w:sz w:val="20"/>
          <w:szCs w:val="20"/>
        </w:rPr>
        <w:t>Mtiki</w:t>
      </w:r>
      <w:proofErr w:type="spellEnd"/>
      <w:r>
        <w:rPr>
          <w:rFonts w:ascii="Arial" w:hAnsi="Arial" w:cs="Arial"/>
          <w:color w:val="000000"/>
          <w:sz w:val="20"/>
          <w:szCs w:val="20"/>
        </w:rPr>
        <w:t>, 2024). The central issue is not whether higher education should prioritize technology over other skills, but rather how technological and transferable human capabilities can be developed concurrently.</w:t>
      </w:r>
    </w:p>
    <w:p w14:paraId="2FDC28F5" w14:textId="17D382A3" w:rsidR="008E368C" w:rsidRPr="008E368C" w:rsidRDefault="008E368C" w:rsidP="00B379FA">
      <w:pPr>
        <w:pStyle w:val="NormalWeb"/>
        <w:spacing w:before="0" w:beforeAutospacing="0" w:after="0" w:afterAutospacing="0"/>
        <w:rPr>
          <w:rFonts w:ascii="Arial" w:hAnsi="Arial" w:cs="Arial"/>
          <w:sz w:val="20"/>
          <w:szCs w:val="20"/>
        </w:rPr>
      </w:pPr>
      <w:r w:rsidRPr="008E368C">
        <w:rPr>
          <w:rFonts w:ascii="Arial" w:hAnsi="Arial" w:cs="Arial"/>
          <w:sz w:val="20"/>
          <w:szCs w:val="20"/>
        </w:rPr>
        <w:t xml:space="preserve">This issue is particularly significant in Philippine higher education, where persistent concerns remain regarding skills mismatch and the correspondence between educational preparation and labor-market requirements. Evidence from Pakistan similarly identifies gaps between university curricula and job-market demands, emphasizing the importance of curriculum responsiveness, industry input, and stronger university–industry collaboration in improving graduates’ preparedness for employment (Pervez et al., 2024). In the Philippine context, studies likewise point to continuing challenges in ensuring that higher-education priorities and training systems keep pace with changing labor-market needs (Bustos, 2024; Bayudan-Dacuycuy et al., 2024). Further evidence indicates that education–occupation alignment is </w:t>
      </w:r>
      <w:r w:rsidRPr="008E368C">
        <w:rPr>
          <w:rFonts w:ascii="Arial" w:hAnsi="Arial" w:cs="Arial"/>
          <w:sz w:val="20"/>
          <w:szCs w:val="20"/>
        </w:rPr>
        <w:lastRenderedPageBreak/>
        <w:t>associated with labor-market outcomes, underscoring the importance of examining how educational preparation corresponds with workplace requirements (Bayudan-Dacuycuy et al., 2025b). These concerns are particularly relevant to business education, where graduates enter diverse occupations that increasingly require a combination of technological, analytical, managerial, interpersonal, and adaptive capabilities.</w:t>
      </w:r>
    </w:p>
    <w:p w14:paraId="0D852A43" w14:textId="16F070CB" w:rsidR="00B379FA" w:rsidRDefault="00B379FA" w:rsidP="00E11D8C">
      <w:pPr>
        <w:pStyle w:val="NormalWeb"/>
        <w:spacing w:before="0" w:beforeAutospacing="0" w:after="0" w:afterAutospacing="0"/>
      </w:pPr>
      <w:r>
        <w:rPr>
          <w:rFonts w:ascii="Arial" w:hAnsi="Arial" w:cs="Arial"/>
          <w:color w:val="000000"/>
          <w:sz w:val="20"/>
          <w:szCs w:val="20"/>
        </w:rPr>
        <w:t xml:space="preserve">In this context, the Bachelor of Science in Business Administration (BSBA) serves as a suitable case for analyzing human-capital responsiveness. The BSBA is designed as a comprehensive business degree that prepares graduates for a range of functional and managerial roles rather than a single occupation. In the Philippines, its national competency framework is defined by the Commission on Higher Education’s (CHED) Revised Policies, Standards and Guidelines for the Bachelor of Science in Business Administration (CMO No. 17, s. 2017). This framework outlines the core competencies expected of BSBA graduates while allowing higher education institutions the flexibility to tailor curricula to their specific contexts and missions (Commission on Higher Education [CHED], 2017). The combination of a standardized national competency base and institutional curricular flexibility positions the BSBA as an effective context for examining the relationship between formal educational </w:t>
      </w:r>
      <w:r w:rsidR="00E11D8C" w:rsidRPr="00E11D8C">
        <w:rPr>
          <w:rFonts w:ascii="Arial" w:hAnsi="Arial" w:cs="Arial"/>
          <w:sz w:val="20"/>
          <w:szCs w:val="20"/>
        </w:rPr>
        <w:t>While prior research has addressed employability, skills gaps, curriculum alignment, digital skills, and education–occupation mismatch, recent evidence continues to show that gaps between higher education and workforce requirements can arise from curriculum misalignment, limited academia–industry collaboration, and insufficient opportunities for practical learning (Poniman et al., 2026). A critical question therefore persists regarding the responsiveness of national business-education competency frameworks to both current and emerging workforce needs</w:t>
      </w:r>
      <w:r w:rsidR="00E11D8C">
        <w:rPr>
          <w:rFonts w:ascii="Arial" w:hAnsi="Arial" w:cs="Arial"/>
          <w:sz w:val="20"/>
          <w:szCs w:val="20"/>
        </w:rPr>
        <w:t xml:space="preserve">. </w:t>
      </w:r>
      <w:r w:rsidRPr="00E11D8C">
        <w:rPr>
          <w:rFonts w:ascii="Arial" w:hAnsi="Arial" w:cs="Arial"/>
          <w:color w:val="000000"/>
          <w:sz w:val="20"/>
          <w:szCs w:val="20"/>
        </w:rPr>
        <w:t>Much of the literature focuses on specific skills, curricula, student perspectives, or employment</w:t>
      </w:r>
      <w:r>
        <w:rPr>
          <w:rFonts w:ascii="Arial" w:hAnsi="Arial" w:cs="Arial"/>
          <w:color w:val="000000"/>
          <w:sz w:val="20"/>
          <w:szCs w:val="20"/>
        </w:rPr>
        <w:t xml:space="preserve"> outcomes. However, there is limited examination of whether national competency frameworks offer a robust and adaptable human-capital foundation that anticipates the growing importance of certain capabilities in the labor market. Addressing this issue requires more than verifying the presence of individual workforce skills in educational standards. It necessitates a thorough analysis of the correspondence between workforce requirements and educational competencies, as well as an interpretation of what this alignment signifies for human-capital development.</w:t>
      </w:r>
    </w:p>
    <w:p w14:paraId="48B316AB" w14:textId="77777777" w:rsidR="00B379FA" w:rsidRDefault="00B379FA" w:rsidP="00B379FA">
      <w:pPr>
        <w:pStyle w:val="NormalWeb"/>
        <w:spacing w:before="0" w:beforeAutospacing="0" w:after="0" w:afterAutospacing="0"/>
      </w:pPr>
      <w:r>
        <w:rPr>
          <w:rFonts w:ascii="Arial" w:hAnsi="Arial" w:cs="Arial"/>
          <w:color w:val="000000"/>
          <w:sz w:val="20"/>
          <w:szCs w:val="20"/>
        </w:rPr>
        <w:t>Accordingly, this study investigates the responsiveness of Philippine BSBA education to evolving workforce skill requirements from a human-capital perspective. Specifically, the study aims to: (1) identify workforce skills that are important in 2025 and projected to increase in significance by 2030; (2) analyze the correspondence between CHED BSBA competencies and both current and emerging workforce skills; and (3) interpret the implications of this correspondence for the responsiveness of Philippine BSBA education as a form of human-capital development. The research is guided by the following questions:</w:t>
      </w:r>
    </w:p>
    <w:p w14:paraId="19797F28" w14:textId="4873F141" w:rsidR="00B379FA" w:rsidRDefault="00B379FA" w:rsidP="00B379FA">
      <w:pPr>
        <w:pStyle w:val="NormalWeb"/>
        <w:spacing w:before="0" w:beforeAutospacing="0" w:after="0" w:afterAutospacing="0"/>
        <w:textAlignment w:val="baseline"/>
        <w:rPr>
          <w:rFonts w:ascii="Arial" w:hAnsi="Arial" w:cs="Arial"/>
          <w:color w:val="000000"/>
          <w:sz w:val="20"/>
          <w:szCs w:val="20"/>
        </w:rPr>
      </w:pPr>
      <w:r>
        <w:rPr>
          <w:rFonts w:ascii="Arial" w:hAnsi="Arial" w:cs="Arial"/>
          <w:b/>
          <w:bCs/>
          <w:color w:val="000000"/>
          <w:sz w:val="20"/>
          <w:szCs w:val="20"/>
        </w:rPr>
        <w:t xml:space="preserve">RQ1. </w:t>
      </w:r>
      <w:r>
        <w:rPr>
          <w:rFonts w:ascii="Arial" w:hAnsi="Arial" w:cs="Arial"/>
          <w:color w:val="000000"/>
          <w:sz w:val="20"/>
          <w:szCs w:val="20"/>
        </w:rPr>
        <w:t>What workforce skills are important in 2025 and expected to increase toward 2030?</w:t>
      </w:r>
    </w:p>
    <w:p w14:paraId="650FDD9F" w14:textId="524E93D0" w:rsidR="00B379FA" w:rsidRDefault="00B379FA" w:rsidP="00B379FA">
      <w:pPr>
        <w:pStyle w:val="NormalWeb"/>
        <w:spacing w:before="0" w:beforeAutospacing="0" w:after="0" w:afterAutospacing="0"/>
        <w:textAlignment w:val="baseline"/>
        <w:rPr>
          <w:rFonts w:ascii="Arial" w:hAnsi="Arial" w:cs="Arial"/>
          <w:color w:val="000000"/>
          <w:sz w:val="20"/>
          <w:szCs w:val="20"/>
        </w:rPr>
      </w:pPr>
      <w:r>
        <w:rPr>
          <w:rFonts w:ascii="Arial" w:hAnsi="Arial" w:cs="Arial"/>
          <w:b/>
          <w:bCs/>
          <w:color w:val="000000"/>
          <w:sz w:val="20"/>
          <w:szCs w:val="20"/>
        </w:rPr>
        <w:t xml:space="preserve">RQ2. </w:t>
      </w:r>
      <w:r>
        <w:rPr>
          <w:rFonts w:ascii="Arial" w:hAnsi="Arial" w:cs="Arial"/>
          <w:color w:val="000000"/>
          <w:sz w:val="20"/>
          <w:szCs w:val="20"/>
        </w:rPr>
        <w:t>How do CHED BSBA competencies correspond to those current and emerging workforce skills?</w:t>
      </w:r>
    </w:p>
    <w:p w14:paraId="2CB61087" w14:textId="13436E26" w:rsidR="00B379FA" w:rsidRDefault="00B379FA" w:rsidP="00B379FA">
      <w:pPr>
        <w:pStyle w:val="NormalWeb"/>
        <w:spacing w:before="0" w:beforeAutospacing="0" w:after="0" w:afterAutospacing="0"/>
        <w:textAlignment w:val="baseline"/>
        <w:rPr>
          <w:rFonts w:ascii="Arial" w:hAnsi="Arial" w:cs="Arial"/>
          <w:color w:val="000000"/>
          <w:sz w:val="20"/>
          <w:szCs w:val="20"/>
        </w:rPr>
      </w:pPr>
      <w:r>
        <w:rPr>
          <w:rFonts w:ascii="Arial" w:hAnsi="Arial" w:cs="Arial"/>
          <w:b/>
          <w:bCs/>
          <w:color w:val="000000"/>
          <w:sz w:val="20"/>
          <w:szCs w:val="20"/>
        </w:rPr>
        <w:t xml:space="preserve">RQ3. </w:t>
      </w:r>
      <w:r>
        <w:rPr>
          <w:rFonts w:ascii="Arial" w:hAnsi="Arial" w:cs="Arial"/>
          <w:color w:val="000000"/>
          <w:sz w:val="20"/>
          <w:szCs w:val="20"/>
        </w:rPr>
        <w:t>What does that correspondence indicate about the responsiveness of Philippine BSBA education as human-capital development?</w:t>
      </w:r>
    </w:p>
    <w:p w14:paraId="489AAA3F" w14:textId="77777777" w:rsidR="00790ADA" w:rsidRDefault="00790ADA" w:rsidP="00441B6F">
      <w:pPr>
        <w:pStyle w:val="Body"/>
        <w:spacing w:after="0"/>
        <w:rPr>
          <w:rFonts w:ascii="Arial" w:hAnsi="Arial" w:cs="Arial"/>
          <w:sz w:val="20"/>
          <w:szCs w:val="20"/>
        </w:rPr>
      </w:pPr>
    </w:p>
    <w:p w14:paraId="2247A145" w14:textId="77777777" w:rsidR="00B379FA" w:rsidRPr="00244F25" w:rsidRDefault="00B379FA" w:rsidP="00441B6F">
      <w:pPr>
        <w:pStyle w:val="Body"/>
        <w:spacing w:after="0"/>
        <w:rPr>
          <w:rFonts w:ascii="Arial" w:hAnsi="Arial" w:cs="Arial"/>
          <w:sz w:val="20"/>
          <w:szCs w:val="20"/>
        </w:rPr>
      </w:pPr>
    </w:p>
    <w:p w14:paraId="708212B8" w14:textId="643D93AC" w:rsidR="007F7B32" w:rsidRDefault="00902823" w:rsidP="00441B6F">
      <w:pPr>
        <w:pStyle w:val="AbstHead"/>
        <w:spacing w:after="0"/>
        <w:jc w:val="both"/>
        <w:rPr>
          <w:rFonts w:ascii="Arial" w:hAnsi="Arial" w:cs="Arial"/>
        </w:rPr>
      </w:pPr>
      <w:r>
        <w:rPr>
          <w:rFonts w:ascii="Arial" w:hAnsi="Arial" w:cs="Arial"/>
        </w:rPr>
        <w:t xml:space="preserve">2. </w:t>
      </w:r>
      <w:r w:rsidR="00360E33">
        <w:rPr>
          <w:rFonts w:ascii="Arial" w:hAnsi="Arial" w:cs="Arial"/>
        </w:rPr>
        <w:t>METHODOLOGY</w:t>
      </w:r>
    </w:p>
    <w:p w14:paraId="491502E5" w14:textId="77777777" w:rsidR="00790ADA" w:rsidRPr="00FB3A86" w:rsidRDefault="00790ADA" w:rsidP="00441B6F">
      <w:pPr>
        <w:pStyle w:val="AbstHead"/>
        <w:spacing w:after="0"/>
        <w:jc w:val="both"/>
        <w:rPr>
          <w:rFonts w:ascii="Arial" w:hAnsi="Arial" w:cs="Arial"/>
        </w:rPr>
      </w:pPr>
    </w:p>
    <w:p w14:paraId="2C54C94A" w14:textId="77777777" w:rsidR="00B57BC1" w:rsidRPr="00B57BC1" w:rsidRDefault="00B57BC1" w:rsidP="00B57BC1">
      <w:pPr>
        <w:pStyle w:val="Heading3"/>
        <w:spacing w:before="0"/>
        <w:rPr>
          <w:rFonts w:ascii="Times New Roman" w:hAnsi="Times New Roman"/>
          <w:b/>
          <w:bCs/>
          <w:sz w:val="22"/>
          <w:szCs w:val="22"/>
        </w:rPr>
      </w:pPr>
      <w:r w:rsidRPr="00B57BC1">
        <w:rPr>
          <w:rFonts w:ascii="Arial" w:hAnsi="Arial" w:cs="Arial"/>
          <w:b/>
          <w:bCs/>
          <w:color w:val="000000"/>
          <w:sz w:val="22"/>
          <w:szCs w:val="22"/>
        </w:rPr>
        <w:t>2.1 Research Design</w:t>
      </w:r>
    </w:p>
    <w:p w14:paraId="4BBAF25A" w14:textId="77777777" w:rsidR="00B57BC1" w:rsidRDefault="00B57BC1" w:rsidP="00B57BC1"/>
    <w:p w14:paraId="720A6EDD" w14:textId="77777777" w:rsidR="00D2014E" w:rsidRDefault="00D2014E" w:rsidP="00D2014E">
      <w:pPr>
        <w:pStyle w:val="NormalWeb"/>
        <w:spacing w:before="0" w:beforeAutospacing="0" w:after="0" w:afterAutospacing="0"/>
      </w:pPr>
      <w:r>
        <w:rPr>
          <w:rFonts w:ascii="Arial" w:hAnsi="Arial" w:cs="Arial"/>
          <w:color w:val="000000"/>
          <w:sz w:val="20"/>
          <w:szCs w:val="20"/>
        </w:rPr>
        <w:t xml:space="preserve">A qualitative documentary research design was employed to examine the correspondence between evolving workforce skill requirements and the competency framework prescribed for Bachelor of Science in Business Administration (BSBA) programs in the Philippines. This approach was selected due to its focus on comparing two established documentary frameworks: the workforce skills identified by the World Economic Forum (WEF, 2025) and </w:t>
      </w:r>
      <w:r>
        <w:rPr>
          <w:rFonts w:ascii="Arial" w:hAnsi="Arial" w:cs="Arial"/>
          <w:color w:val="000000"/>
          <w:sz w:val="20"/>
          <w:szCs w:val="20"/>
        </w:rPr>
        <w:lastRenderedPageBreak/>
        <w:t>the competencies and program outcomes prescribed by the Commission on Higher Education for BSBA programs (Commission on Higher Education [CHED], 2017). The use of these documents facilitated an examination of current labor market expectations alongside the formal competency requirements governing BSBA education, without requiring new data from participants. The comparative and systematic nature of this design enabled an evidence-based assessment of the extent to which prescribed competencies address changing workforce requirements (Chand, 2025).</w:t>
      </w:r>
    </w:p>
    <w:p w14:paraId="154C025C" w14:textId="77777777" w:rsidR="00D2014E" w:rsidRDefault="00D2014E" w:rsidP="00D2014E">
      <w:pPr>
        <w:pStyle w:val="NormalWeb"/>
        <w:spacing w:before="0" w:beforeAutospacing="0" w:after="0" w:afterAutospacing="0"/>
      </w:pPr>
      <w:r>
        <w:rPr>
          <w:rFonts w:ascii="Arial" w:hAnsi="Arial" w:cs="Arial"/>
          <w:color w:val="000000"/>
          <w:sz w:val="20"/>
          <w:szCs w:val="20"/>
        </w:rPr>
        <w:t xml:space="preserve">The analysis was guided by Human Capital Theory, which conceptualizes education and training as investments that develop knowledge and skills to enhance productive capacity (Becker, 1964). Recent research further emphasizes that human capital comprises multiple skill dimensions and that the relationship between skill supply and labor-market demand is central to understanding its economic value (Deming &amp; Silliman, 2025; </w:t>
      </w:r>
      <w:proofErr w:type="spellStart"/>
      <w:r>
        <w:rPr>
          <w:rFonts w:ascii="Arial" w:hAnsi="Arial" w:cs="Arial"/>
          <w:color w:val="000000"/>
          <w:sz w:val="20"/>
          <w:szCs w:val="20"/>
        </w:rPr>
        <w:t>Woessmann</w:t>
      </w:r>
      <w:proofErr w:type="spellEnd"/>
      <w:r>
        <w:rPr>
          <w:rFonts w:ascii="Arial" w:hAnsi="Arial" w:cs="Arial"/>
          <w:color w:val="000000"/>
          <w:sz w:val="20"/>
          <w:szCs w:val="20"/>
        </w:rPr>
        <w:t>, 2025). Therefore, correspondence between workforce skills and educational competencies was not treated as a simple checklist. Instead, the analysis focused on what the observed pattern of correspondence reveals about the responsiveness of BSBA education to evolving workforce requirements.</w:t>
      </w:r>
    </w:p>
    <w:p w14:paraId="20033075" w14:textId="77777777" w:rsidR="00D2014E" w:rsidRDefault="00D2014E" w:rsidP="00D2014E">
      <w:pPr>
        <w:pStyle w:val="NormalWeb"/>
        <w:spacing w:before="0" w:beforeAutospacing="0" w:after="0" w:afterAutospacing="0"/>
      </w:pPr>
      <w:r>
        <w:rPr>
          <w:rFonts w:ascii="Arial" w:hAnsi="Arial" w:cs="Arial"/>
          <w:color w:val="000000"/>
          <w:sz w:val="20"/>
          <w:szCs w:val="20"/>
        </w:rPr>
        <w:t>Existing skill categories and competency statements from the source documents were utilized rather than introducing a researcher-developed competency taxonomy. The WEF Global Skills Taxonomy supplied the workforce-side categories, while the competency standards and program outcomes specified in CHED Memorandum Order No. 17, s. 2017 supplied the education-side categories. Human Capital Theory was subsequently applied to interpret the implications of the correspondence between these two frameworks.</w:t>
      </w:r>
    </w:p>
    <w:p w14:paraId="3566B259" w14:textId="77777777" w:rsidR="00D2014E" w:rsidRDefault="00D2014E" w:rsidP="00D2014E"/>
    <w:p w14:paraId="3FD4E2DD" w14:textId="77777777" w:rsidR="00D2014E" w:rsidRPr="00D2014E" w:rsidRDefault="00D2014E" w:rsidP="00D2014E">
      <w:pPr>
        <w:pStyle w:val="Heading3"/>
        <w:spacing w:before="0"/>
        <w:rPr>
          <w:b/>
          <w:bCs/>
          <w:sz w:val="22"/>
          <w:szCs w:val="22"/>
        </w:rPr>
      </w:pPr>
      <w:r w:rsidRPr="00D2014E">
        <w:rPr>
          <w:rFonts w:ascii="Arial" w:hAnsi="Arial" w:cs="Arial"/>
          <w:b/>
          <w:bCs/>
          <w:color w:val="000000"/>
          <w:sz w:val="22"/>
          <w:szCs w:val="22"/>
        </w:rPr>
        <w:t>2.2 Documentary Data Sources</w:t>
      </w:r>
    </w:p>
    <w:p w14:paraId="65100CA7" w14:textId="77777777" w:rsidR="00D2014E" w:rsidRDefault="00D2014E" w:rsidP="00D2014E"/>
    <w:p w14:paraId="33C250BD" w14:textId="77777777" w:rsidR="00D2014E" w:rsidRDefault="00D2014E" w:rsidP="00D2014E">
      <w:pPr>
        <w:pStyle w:val="NormalWeb"/>
        <w:spacing w:before="0" w:beforeAutospacing="0" w:after="0" w:afterAutospacing="0"/>
      </w:pPr>
      <w:r>
        <w:rPr>
          <w:rFonts w:ascii="Arial" w:hAnsi="Arial" w:cs="Arial"/>
          <w:color w:val="000000"/>
          <w:sz w:val="20"/>
          <w:szCs w:val="20"/>
        </w:rPr>
        <w:t xml:space="preserve">Two publicly available documents were selected to represent the workforce-demand and higher-education aspects of the human-capital relationship: the </w:t>
      </w:r>
      <w:r>
        <w:rPr>
          <w:rFonts w:ascii="Arial" w:hAnsi="Arial" w:cs="Arial"/>
          <w:i/>
          <w:iCs/>
          <w:color w:val="000000"/>
          <w:sz w:val="20"/>
          <w:szCs w:val="20"/>
        </w:rPr>
        <w:t>Future of Jobs Report 2025</w:t>
      </w:r>
      <w:r>
        <w:rPr>
          <w:rFonts w:ascii="Arial" w:hAnsi="Arial" w:cs="Arial"/>
          <w:color w:val="000000"/>
          <w:sz w:val="20"/>
          <w:szCs w:val="20"/>
        </w:rPr>
        <w:t xml:space="preserve"> published by the World Economic Forum (WEF) and Commission on Higher Education (CHED) Memorandum Order No. 17, s. 2017, </w:t>
      </w:r>
      <w:r>
        <w:rPr>
          <w:rFonts w:ascii="Arial" w:hAnsi="Arial" w:cs="Arial"/>
          <w:i/>
          <w:iCs/>
          <w:color w:val="000000"/>
          <w:sz w:val="20"/>
          <w:szCs w:val="20"/>
        </w:rPr>
        <w:t>Revised Policies, Standards and Guidelines for Bachelor of Science in Business Administration</w:t>
      </w:r>
      <w:r>
        <w:rPr>
          <w:rFonts w:ascii="Arial" w:hAnsi="Arial" w:cs="Arial"/>
          <w:color w:val="000000"/>
          <w:sz w:val="20"/>
          <w:szCs w:val="20"/>
        </w:rPr>
        <w:t>. Selection was based on the documents’ relevance, authority, and temporal appropriateness to the research objectives.</w:t>
      </w:r>
    </w:p>
    <w:p w14:paraId="40A035FB" w14:textId="77777777" w:rsidR="00D2014E" w:rsidRDefault="00D2014E" w:rsidP="00D2014E">
      <w:pPr>
        <w:pStyle w:val="NormalWeb"/>
        <w:spacing w:before="0" w:beforeAutospacing="0" w:after="0" w:afterAutospacing="0"/>
      </w:pPr>
      <w:r>
        <w:rPr>
          <w:rFonts w:ascii="Arial" w:hAnsi="Arial" w:cs="Arial"/>
          <w:color w:val="000000"/>
          <w:sz w:val="20"/>
          <w:szCs w:val="20"/>
        </w:rPr>
        <w:t xml:space="preserve">The </w:t>
      </w:r>
      <w:r>
        <w:rPr>
          <w:rFonts w:ascii="Arial" w:hAnsi="Arial" w:cs="Arial"/>
          <w:i/>
          <w:iCs/>
          <w:color w:val="000000"/>
          <w:sz w:val="20"/>
          <w:szCs w:val="20"/>
        </w:rPr>
        <w:t>Future of Jobs Report 2025</w:t>
      </w:r>
      <w:r>
        <w:rPr>
          <w:rFonts w:ascii="Arial" w:hAnsi="Arial" w:cs="Arial"/>
          <w:color w:val="000000"/>
          <w:sz w:val="20"/>
          <w:szCs w:val="20"/>
        </w:rPr>
        <w:t xml:space="preserve"> was selected as the workforce-demand source because it provides current evidence on employers’ expectations regarding jobs and skills for the 2025–2030 period. Based on the Future of Jobs Survey, the report draws on the perspectives of more than 1,000 employers representing more than 14 million workers across 55 economies and 22 industry clusters (WEF, 2025). Its Global Skills Taxonomy provides an established classification of workforce skills, while the report examines both skills considered important in 2025 and those expected to become increasingly important toward 2030. This makes the 2025 edition well-suited to examining the responsiveness of educational competency standards to changing labor market requirements.</w:t>
      </w:r>
    </w:p>
    <w:p w14:paraId="5D43B76C" w14:textId="77777777" w:rsidR="00D2014E" w:rsidRDefault="00D2014E" w:rsidP="00D2014E">
      <w:pPr>
        <w:pStyle w:val="NormalWeb"/>
        <w:spacing w:before="0" w:beforeAutospacing="0" w:after="0" w:afterAutospacing="0"/>
      </w:pPr>
      <w:r>
        <w:rPr>
          <w:rFonts w:ascii="Arial" w:hAnsi="Arial" w:cs="Arial"/>
          <w:color w:val="000000"/>
          <w:sz w:val="20"/>
          <w:szCs w:val="20"/>
        </w:rPr>
        <w:t>CHED CMO No. 17, s. 2017 was selected as the education-side source because it has the revised national policies, standards, and guidelines specifically established for BSBA programs. The CMO specifies the competencies and program outcomes expected of BSBA graduates and provides the regulatory framework within which BSBA programs develop their curricula (CHED, 2017). It is the latest BSBA-specific CMO listed by CHED and therefore provides the appropriate regulatory benchmark for the study.</w:t>
      </w:r>
    </w:p>
    <w:p w14:paraId="09E090E4" w14:textId="77777777" w:rsidR="00D2014E" w:rsidRDefault="00D2014E" w:rsidP="00D2014E">
      <w:pPr>
        <w:pStyle w:val="NormalWeb"/>
        <w:spacing w:before="0" w:beforeAutospacing="0" w:after="0" w:afterAutospacing="0"/>
      </w:pPr>
      <w:r>
        <w:rPr>
          <w:rFonts w:ascii="Arial" w:hAnsi="Arial" w:cs="Arial"/>
          <w:color w:val="000000"/>
          <w:sz w:val="20"/>
          <w:szCs w:val="20"/>
        </w:rPr>
        <w:t>These two documents provide complementary evidence: WEF represents contemporary employer-defined workforce demand, while CHED represents the formally prescribed competency expectations for Philippine BSBA education. Both documents are publicly accessible, enabling independent examination of the documentary evidence and analytical procedure.</w:t>
      </w:r>
    </w:p>
    <w:p w14:paraId="07232877" w14:textId="77777777" w:rsidR="00D2014E" w:rsidRDefault="00D2014E" w:rsidP="00D2014E"/>
    <w:p w14:paraId="6AD40218" w14:textId="77777777" w:rsidR="00D2014E" w:rsidRPr="00D2014E" w:rsidRDefault="00D2014E" w:rsidP="00D2014E">
      <w:pPr>
        <w:pStyle w:val="Heading3"/>
        <w:spacing w:before="0"/>
        <w:rPr>
          <w:b/>
          <w:bCs/>
          <w:sz w:val="22"/>
          <w:szCs w:val="22"/>
        </w:rPr>
      </w:pPr>
      <w:r w:rsidRPr="00D2014E">
        <w:rPr>
          <w:rFonts w:ascii="Arial" w:hAnsi="Arial" w:cs="Arial"/>
          <w:b/>
          <w:bCs/>
          <w:color w:val="000000"/>
          <w:sz w:val="22"/>
          <w:szCs w:val="22"/>
        </w:rPr>
        <w:lastRenderedPageBreak/>
        <w:t>2.3 Analytical Framework</w:t>
      </w:r>
    </w:p>
    <w:p w14:paraId="62613AA4" w14:textId="77777777" w:rsidR="00D2014E" w:rsidRDefault="00D2014E" w:rsidP="00D2014E"/>
    <w:p w14:paraId="4713A362" w14:textId="77777777" w:rsidR="00D2014E" w:rsidRDefault="00D2014E" w:rsidP="00D2014E">
      <w:pPr>
        <w:pStyle w:val="NormalWeb"/>
        <w:spacing w:before="0" w:beforeAutospacing="0" w:after="0" w:afterAutospacing="0"/>
      </w:pPr>
      <w:r>
        <w:rPr>
          <w:rFonts w:ascii="Arial" w:hAnsi="Arial" w:cs="Arial"/>
          <w:color w:val="000000"/>
          <w:sz w:val="20"/>
          <w:szCs w:val="20"/>
        </w:rPr>
        <w:t>The analytical framework consisted of three source-based components. First, the WEF Global Skills Taxonomy was used to identify and classify workforce skills. The taxonomy provides the skill categories used by the WEF to examine skills required across sectors and economies (WEF, 2025). Second, the competency standards and program outcomes contained in CHED CMO No. 17, s. 2017 were used to identify the competencies formally expected of BSBA graduates. Third, Human Capital Theory provided the theoretical basis for interpreting the relationship between the two frameworks.</w:t>
      </w:r>
    </w:p>
    <w:p w14:paraId="576FBF77" w14:textId="77777777" w:rsidR="00D2014E" w:rsidRDefault="00D2014E" w:rsidP="00D2014E">
      <w:pPr>
        <w:pStyle w:val="NormalWeb"/>
        <w:spacing w:before="0" w:beforeAutospacing="0" w:after="0" w:afterAutospacing="0"/>
      </w:pPr>
      <w:r>
        <w:rPr>
          <w:rFonts w:ascii="Arial" w:hAnsi="Arial" w:cs="Arial"/>
          <w:color w:val="000000"/>
          <w:sz w:val="20"/>
          <w:szCs w:val="20"/>
        </w:rPr>
        <w:t>No researcher-developed skill taxonomy was introduced. WEF skill categories were retained in their original form, and CHED competencies and program outcomes were examined according to their original substantive meaning. This approach ensured that the comparison remained grounded in the categories established by the two source documents, while Human Capital Theory informed the interpretation of their correspondence.</w:t>
      </w:r>
    </w:p>
    <w:p w14:paraId="75112267" w14:textId="77777777" w:rsidR="00D2014E" w:rsidRDefault="00D2014E" w:rsidP="00D2014E"/>
    <w:p w14:paraId="2D61B205" w14:textId="77777777" w:rsidR="00D2014E" w:rsidRPr="00D2014E" w:rsidRDefault="00D2014E" w:rsidP="00D2014E">
      <w:pPr>
        <w:pStyle w:val="Heading3"/>
        <w:spacing w:before="0"/>
        <w:rPr>
          <w:b/>
          <w:bCs/>
          <w:sz w:val="22"/>
          <w:szCs w:val="22"/>
        </w:rPr>
      </w:pPr>
      <w:r w:rsidRPr="00D2014E">
        <w:rPr>
          <w:rFonts w:ascii="Arial" w:hAnsi="Arial" w:cs="Arial"/>
          <w:b/>
          <w:bCs/>
          <w:color w:val="000000"/>
          <w:sz w:val="22"/>
          <w:szCs w:val="22"/>
        </w:rPr>
        <w:t>2.4 Data Analysis Procedure</w:t>
      </w:r>
    </w:p>
    <w:p w14:paraId="17F7332D" w14:textId="77777777" w:rsidR="00D2014E" w:rsidRDefault="00D2014E" w:rsidP="00D2014E"/>
    <w:p w14:paraId="0172F229" w14:textId="77777777" w:rsidR="00D2014E" w:rsidRDefault="00D2014E" w:rsidP="00D2014E">
      <w:pPr>
        <w:pStyle w:val="NormalWeb"/>
        <w:spacing w:before="0" w:beforeAutospacing="0" w:after="0" w:afterAutospacing="0"/>
      </w:pPr>
      <w:r>
        <w:rPr>
          <w:rFonts w:ascii="Arial" w:hAnsi="Arial" w:cs="Arial"/>
          <w:color w:val="000000"/>
          <w:sz w:val="20"/>
          <w:szCs w:val="20"/>
        </w:rPr>
        <w:t>The analysis proceeded in four stages. First, the WEF report was examined to identify the skills in its Global Skills Taxonomy and the workforce information associated with them. Attention was given to the report’s assessment of skills considered important in 2025 and skills expected to increase in importance through 2030 (WEF, 2025).</w:t>
      </w:r>
    </w:p>
    <w:p w14:paraId="31C0B3D6" w14:textId="77777777" w:rsidR="00D2014E" w:rsidRDefault="00D2014E" w:rsidP="00D2014E">
      <w:pPr>
        <w:pStyle w:val="NormalWeb"/>
        <w:spacing w:before="0" w:beforeAutospacing="0" w:after="0" w:afterAutospacing="0"/>
      </w:pPr>
      <w:r>
        <w:rPr>
          <w:rFonts w:ascii="Arial" w:hAnsi="Arial" w:cs="Arial"/>
          <w:color w:val="000000"/>
          <w:sz w:val="20"/>
          <w:szCs w:val="20"/>
        </w:rPr>
        <w:t>Second, the relevant competency standards and program outcomes in CMO No. 17, s. 2017 were extracted. The analysis considered both the common business and management outcomes and the outcomes specifically prescribed for BSBA programs.</w:t>
      </w:r>
    </w:p>
    <w:p w14:paraId="48BFE146" w14:textId="77777777" w:rsidR="00D2014E" w:rsidRDefault="00D2014E" w:rsidP="00D2014E">
      <w:pPr>
        <w:pStyle w:val="NormalWeb"/>
        <w:spacing w:before="0" w:beforeAutospacing="0" w:after="0" w:afterAutospacing="0"/>
      </w:pPr>
      <w:r>
        <w:rPr>
          <w:rFonts w:ascii="Arial" w:hAnsi="Arial" w:cs="Arial"/>
          <w:color w:val="000000"/>
          <w:sz w:val="20"/>
          <w:szCs w:val="20"/>
        </w:rPr>
        <w:t>Third, a comparative crosswalk was conducted by examining each WEF skill against the CHED competency and outcome statements. A correspondence was established when a CHED statement addressed the same or a substantively encompassing capability represented by a WEF skill. The analysis distinguished between explicit correspondence, broader correspondence, and the absence of a sufficiently clear correspondence. These distinctions served as interpretive descriptions rather than numerical codes or an alignment score.</w:t>
      </w:r>
    </w:p>
    <w:p w14:paraId="0432192E" w14:textId="77777777" w:rsidR="00D2014E" w:rsidRDefault="00D2014E" w:rsidP="00D2014E">
      <w:pPr>
        <w:pStyle w:val="NormalWeb"/>
        <w:spacing w:before="0" w:beforeAutospacing="0" w:after="0" w:afterAutospacing="0"/>
      </w:pPr>
      <w:r>
        <w:rPr>
          <w:rFonts w:ascii="Arial" w:hAnsi="Arial" w:cs="Arial"/>
          <w:color w:val="000000"/>
          <w:sz w:val="20"/>
          <w:szCs w:val="20"/>
        </w:rPr>
        <w:t>Fourth, the resulting pattern was interpreted through Human Capital Theory. The analysis examined whether the competencies prescribed for BSBA education correspond to workforce capabilities that remain important as well as those whose importance is increasing. Particular attention was given to whether the competency framework demonstrates responsiveness to changes in the skill composition required for productive participation in the labor market. This interpretive stage moved the analysis beyond identifying similarities and differences to examining the implications of the competency framework for human capital development.</w:t>
      </w:r>
    </w:p>
    <w:p w14:paraId="10FCB44F" w14:textId="77777777" w:rsidR="00D2014E" w:rsidRDefault="00D2014E" w:rsidP="00D2014E"/>
    <w:p w14:paraId="499DEFD3" w14:textId="77777777" w:rsidR="00D2014E" w:rsidRPr="00D2014E" w:rsidRDefault="00D2014E" w:rsidP="00D2014E">
      <w:pPr>
        <w:pStyle w:val="Heading3"/>
        <w:spacing w:before="0"/>
        <w:rPr>
          <w:b/>
          <w:bCs/>
          <w:sz w:val="22"/>
          <w:szCs w:val="22"/>
        </w:rPr>
      </w:pPr>
      <w:r w:rsidRPr="00D2014E">
        <w:rPr>
          <w:rFonts w:ascii="Arial" w:hAnsi="Arial" w:cs="Arial"/>
          <w:b/>
          <w:bCs/>
          <w:color w:val="000000"/>
          <w:sz w:val="22"/>
          <w:szCs w:val="22"/>
        </w:rPr>
        <w:t>2.5 Trustworthiness</w:t>
      </w:r>
    </w:p>
    <w:p w14:paraId="4B06432D" w14:textId="77777777" w:rsidR="00D2014E" w:rsidRDefault="00D2014E" w:rsidP="00D2014E"/>
    <w:p w14:paraId="4A4BE0CD" w14:textId="77777777" w:rsidR="00D2014E" w:rsidRDefault="00D2014E" w:rsidP="00D2014E">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Trustworthiness was established through the use of authoritative, publicly accessible primary documents, transparent source selection, and preservation of the original terminology of both frameworks. The analysis maintained an evidence trail from each workforce skill to the corresponding CHED competency or outcome and based interpretive judgments on the substantive meaning of the source statements rather than isolated keywords. The use of clearly defined documentary sources and a systematic analysis procedure enhanced the transparency and consistency of the analysis (Chand, 2025). Source-derived categories were retained throughout to minimize the introduction of researcher-created competency categories.</w:t>
      </w:r>
    </w:p>
    <w:p w14:paraId="7FA08EDE" w14:textId="77777777" w:rsidR="00432CC1" w:rsidRDefault="00432CC1" w:rsidP="00D2014E">
      <w:pPr>
        <w:pStyle w:val="NormalWeb"/>
        <w:spacing w:before="0" w:beforeAutospacing="0" w:after="0" w:afterAutospacing="0"/>
        <w:rPr>
          <w:rFonts w:ascii="Arial" w:hAnsi="Arial" w:cs="Arial"/>
          <w:color w:val="000000"/>
          <w:sz w:val="20"/>
          <w:szCs w:val="20"/>
        </w:rPr>
      </w:pPr>
    </w:p>
    <w:p w14:paraId="44E684C9" w14:textId="77777777" w:rsidR="00432CC1" w:rsidRPr="00432CC1" w:rsidRDefault="00432CC1" w:rsidP="00432CC1">
      <w:pPr>
        <w:pStyle w:val="Heading3"/>
        <w:spacing w:before="0"/>
        <w:rPr>
          <w:b/>
          <w:bCs/>
          <w:sz w:val="22"/>
          <w:szCs w:val="22"/>
        </w:rPr>
      </w:pPr>
      <w:r w:rsidRPr="00432CC1">
        <w:rPr>
          <w:rFonts w:ascii="Arial" w:hAnsi="Arial" w:cs="Arial"/>
          <w:b/>
          <w:bCs/>
          <w:color w:val="000000"/>
          <w:sz w:val="22"/>
          <w:szCs w:val="22"/>
        </w:rPr>
        <w:lastRenderedPageBreak/>
        <w:t>2.6 Ethical Considerations</w:t>
      </w:r>
    </w:p>
    <w:p w14:paraId="5A80EB5C" w14:textId="77777777" w:rsidR="00432CC1" w:rsidRDefault="00432CC1" w:rsidP="00432CC1"/>
    <w:p w14:paraId="5BFBEEF0" w14:textId="6E7DEDC6" w:rsidR="00D2014E" w:rsidRDefault="00432CC1" w:rsidP="00432CC1">
      <w:pPr>
        <w:pStyle w:val="NormalWeb"/>
        <w:spacing w:before="0" w:beforeAutospacing="0" w:after="0" w:afterAutospacing="0"/>
      </w:pPr>
      <w:r>
        <w:rPr>
          <w:rFonts w:ascii="Arial" w:hAnsi="Arial" w:cs="Arial"/>
          <w:color w:val="000000"/>
          <w:sz w:val="20"/>
          <w:szCs w:val="20"/>
        </w:rPr>
        <w:t>This study utilized only publicly accessible institutional and organizational documents, without the involvement of human participants, personal data, interviews, surveys, or any direct participant engagement. Ethical considerations were therefore centered on ensuring accurate representation, responsible interpretation, and proper attribution of all documentary sources. Documents from the World Economic Forum and CHED were analyzed using their original terminology and cited accordingly, with interpretations strictly grounded in the documented content. No confidential, restricted, or personally identifiable information was collected or examined.</w:t>
      </w:r>
    </w:p>
    <w:p w14:paraId="5C650699" w14:textId="77777777" w:rsidR="00790ADA" w:rsidRPr="00FB3A86" w:rsidRDefault="00790ADA" w:rsidP="00441B6F">
      <w:pPr>
        <w:pStyle w:val="Body"/>
        <w:spacing w:after="0"/>
        <w:rPr>
          <w:rFonts w:ascii="Arial" w:hAnsi="Arial" w:cs="Arial"/>
        </w:rPr>
      </w:pPr>
    </w:p>
    <w:p w14:paraId="2ABB08FB"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4544026" w14:textId="77777777" w:rsidR="00790ADA" w:rsidRPr="00FB3A86" w:rsidRDefault="00790ADA" w:rsidP="00441B6F">
      <w:pPr>
        <w:pStyle w:val="Head1"/>
        <w:spacing w:after="0"/>
        <w:jc w:val="both"/>
        <w:rPr>
          <w:rFonts w:ascii="Arial" w:hAnsi="Arial" w:cs="Arial"/>
        </w:rPr>
      </w:pPr>
    </w:p>
    <w:p w14:paraId="15F674C7" w14:textId="77777777" w:rsidR="00432CC1" w:rsidRPr="00432CC1" w:rsidRDefault="00432CC1" w:rsidP="00432CC1">
      <w:pPr>
        <w:pStyle w:val="Heading3"/>
        <w:spacing w:before="0"/>
        <w:rPr>
          <w:b/>
          <w:bCs/>
          <w:sz w:val="22"/>
          <w:szCs w:val="22"/>
        </w:rPr>
      </w:pPr>
      <w:r w:rsidRPr="00432CC1">
        <w:rPr>
          <w:rFonts w:ascii="Arial" w:hAnsi="Arial" w:cs="Arial"/>
          <w:b/>
          <w:bCs/>
          <w:color w:val="000000"/>
          <w:sz w:val="20"/>
          <w:szCs w:val="20"/>
        </w:rPr>
        <w:t>3</w:t>
      </w:r>
      <w:r w:rsidRPr="00432CC1">
        <w:rPr>
          <w:rFonts w:ascii="Arial" w:hAnsi="Arial" w:cs="Arial"/>
          <w:b/>
          <w:bCs/>
          <w:color w:val="000000"/>
          <w:sz w:val="22"/>
          <w:szCs w:val="22"/>
        </w:rPr>
        <w:t>.1 Workforce Skills Important in 2025 and Expected to Increase Toward 2030</w:t>
      </w:r>
    </w:p>
    <w:p w14:paraId="2AEAB562" w14:textId="77777777" w:rsidR="00432CC1" w:rsidRPr="00432CC1" w:rsidRDefault="00432CC1" w:rsidP="00432CC1"/>
    <w:p w14:paraId="093D4832" w14:textId="77777777" w:rsidR="00432CC1" w:rsidRPr="00432CC1" w:rsidRDefault="00432CC1" w:rsidP="00432CC1">
      <w:pPr>
        <w:pStyle w:val="NormalWeb"/>
        <w:spacing w:before="0" w:beforeAutospacing="0" w:after="0" w:afterAutospacing="0"/>
      </w:pPr>
      <w:r w:rsidRPr="00432CC1">
        <w:rPr>
          <w:rFonts w:ascii="Arial" w:hAnsi="Arial" w:cs="Arial"/>
          <w:color w:val="000000"/>
          <w:sz w:val="20"/>
          <w:szCs w:val="20"/>
        </w:rPr>
        <w:t>The first research question addresses workforce skills identified as important in 2025 and those projected to increase in importance by 2030. The World Economic Forum (WEF, 2025) classifies 26 skills within its Global Skills Taxonomy, distinguishing between current importance and anticipated changes in use. This distinction clarifies that a skill's present significance does not automatically indicate its emergence as a future priority. The WEF framework thus enables analysis of both the current composition of workforce skills and the evolving direction of skill demand.</w:t>
      </w:r>
    </w:p>
    <w:p w14:paraId="0F07669B" w14:textId="77777777" w:rsidR="00432CC1" w:rsidRPr="00432CC1" w:rsidRDefault="00432CC1" w:rsidP="00432CC1">
      <w:pPr>
        <w:pStyle w:val="NormalWeb"/>
        <w:spacing w:before="0" w:beforeAutospacing="0" w:after="0" w:afterAutospacing="0"/>
      </w:pPr>
      <w:r w:rsidRPr="00432CC1">
        <w:rPr>
          <w:rFonts w:ascii="Arial" w:hAnsi="Arial" w:cs="Arial"/>
          <w:color w:val="000000"/>
          <w:sz w:val="20"/>
          <w:szCs w:val="20"/>
        </w:rPr>
        <w:t>In 2025, the primary core skills are largely transferable human capabilities. Skills such as resilience, flexibility and agility, analytical thinking, leadership and social influence, creative thinking, motivation and self-awareness, technological literacy, empathy and active listening, curiosity and lifelong learning, talent management, and service orientation and customer service are identified as core. These findings suggest that contemporary workforce demand continues to prioritize cognitive, interpersonal, managerial, and adaptive capabilities over technical skills alone (WEF, 2025). Recent research on graduate labor markets also demonstrates that employers seek combinations of skills spanning disciplinary and functional boundaries (Kmiotek-Meier et al., 2024).</w:t>
      </w:r>
    </w:p>
    <w:p w14:paraId="29F803E1" w14:textId="77777777" w:rsidR="00432CC1" w:rsidRPr="00432CC1" w:rsidRDefault="00432CC1" w:rsidP="00432CC1">
      <w:pPr>
        <w:pStyle w:val="NormalWeb"/>
        <w:spacing w:before="0" w:beforeAutospacing="0" w:after="0" w:afterAutospacing="0"/>
      </w:pPr>
      <w:r w:rsidRPr="00432CC1">
        <w:rPr>
          <w:rFonts w:ascii="Arial" w:hAnsi="Arial" w:cs="Arial"/>
          <w:color w:val="000000"/>
          <w:sz w:val="20"/>
          <w:szCs w:val="20"/>
        </w:rPr>
        <w:t>By 2030, workforce skill demand is expected to feature a more pronounced technological emphasis. Skills such as AI and big data, networks and cybersecurity, and technological literacy are among the fastest-growing, while creative thinking, resilience, flexibility and agility, analytical thinking, leadership and social influence, curiosity and lifelong learning, and talent management are also projected to increase in importance (WEF, 2025). The WEF thus characterizes workforce transformation as a combination of sustained demand for transferable human capabilities and rising demand for technology-related skills. This distinction is essential for evaluating educational responsiveness, as future skill requirements are not merely an extension of those needed in 2025.</w:t>
      </w:r>
    </w:p>
    <w:p w14:paraId="2AB991BA" w14:textId="77777777" w:rsidR="00432CC1" w:rsidRPr="00432CC1" w:rsidRDefault="00432CC1" w:rsidP="00432CC1">
      <w:pPr>
        <w:pStyle w:val="NormalWeb"/>
        <w:spacing w:before="0" w:beforeAutospacing="0" w:after="0" w:afterAutospacing="0"/>
      </w:pPr>
      <w:r w:rsidRPr="00432CC1">
        <w:rPr>
          <w:rFonts w:ascii="Arial" w:hAnsi="Arial" w:cs="Arial"/>
          <w:color w:val="000000"/>
          <w:sz w:val="20"/>
          <w:szCs w:val="20"/>
        </w:rPr>
        <w:t>The WEF further reports that approximately 39% of workers' current skill sets are expected to be transformed or rendered obsolete between 2025 and 2030. As a result, employers identify reskilling and upskilling as critical responses to workforce transformation, while skills gaps persist as significant barriers to business transformation (WEF, 2025). This underscores the need to assess whether higher education equips graduates with both immediately productive and adaptable capabilities for ongoing skill development.</w:t>
      </w:r>
    </w:p>
    <w:p w14:paraId="2C184EE2" w14:textId="0A37710D" w:rsidR="00432CC1" w:rsidRPr="00543FD6" w:rsidRDefault="00432CC1" w:rsidP="00432CC1">
      <w:pPr>
        <w:pStyle w:val="NormalWeb"/>
        <w:spacing w:before="0" w:beforeAutospacing="0" w:after="0" w:afterAutospacing="0"/>
        <w:rPr>
          <w:rFonts w:ascii="Arial" w:hAnsi="Arial" w:cs="Arial"/>
          <w:sz w:val="20"/>
          <w:szCs w:val="20"/>
        </w:rPr>
      </w:pPr>
      <w:r w:rsidRPr="00432CC1">
        <w:rPr>
          <w:rFonts w:ascii="Arial" w:hAnsi="Arial" w:cs="Arial"/>
          <w:color w:val="000000"/>
          <w:sz w:val="20"/>
          <w:szCs w:val="20"/>
        </w:rPr>
        <w:t xml:space="preserve">Recent research corroborates this interpretation of the evolving skill environment. Akhtar et al. (2024) found that modern business education should integrate qualitative and quantitative capabilities with big data, analytical, programming, and information technology skills. </w:t>
      </w:r>
      <w:proofErr w:type="spellStart"/>
      <w:r w:rsidRPr="00432CC1">
        <w:rPr>
          <w:rFonts w:ascii="Arial" w:hAnsi="Arial" w:cs="Arial"/>
          <w:color w:val="000000"/>
          <w:sz w:val="20"/>
          <w:szCs w:val="20"/>
        </w:rPr>
        <w:t>Andonovikj</w:t>
      </w:r>
      <w:proofErr w:type="spellEnd"/>
      <w:r w:rsidRPr="00432CC1">
        <w:rPr>
          <w:rFonts w:ascii="Arial" w:hAnsi="Arial" w:cs="Arial"/>
          <w:color w:val="000000"/>
          <w:sz w:val="20"/>
          <w:szCs w:val="20"/>
        </w:rPr>
        <w:t xml:space="preserve"> et al. (2024) demonstrated that labor-market competency requirements are evolving and assessed alignment with university </w:t>
      </w:r>
      <w:r w:rsidRPr="00543FD6">
        <w:rPr>
          <w:rFonts w:ascii="Arial" w:hAnsi="Arial" w:cs="Arial"/>
          <w:color w:val="000000"/>
          <w:sz w:val="20"/>
          <w:szCs w:val="20"/>
        </w:rPr>
        <w:t xml:space="preserve">curricula. </w:t>
      </w:r>
      <w:proofErr w:type="spellStart"/>
      <w:r w:rsidR="00543FD6" w:rsidRPr="00543FD6">
        <w:rPr>
          <w:rFonts w:ascii="Arial" w:hAnsi="Arial" w:cs="Arial"/>
          <w:sz w:val="20"/>
          <w:szCs w:val="20"/>
        </w:rPr>
        <w:t>Boshkoska</w:t>
      </w:r>
      <w:proofErr w:type="spellEnd"/>
      <w:r w:rsidR="00543FD6" w:rsidRPr="00543FD6">
        <w:rPr>
          <w:rFonts w:ascii="Arial" w:hAnsi="Arial" w:cs="Arial"/>
          <w:sz w:val="20"/>
          <w:szCs w:val="20"/>
        </w:rPr>
        <w:t xml:space="preserve"> et al. (2024) further </w:t>
      </w:r>
      <w:r w:rsidR="00543FD6" w:rsidRPr="00543FD6">
        <w:rPr>
          <w:rFonts w:ascii="Arial" w:hAnsi="Arial" w:cs="Arial"/>
          <w:sz w:val="20"/>
          <w:szCs w:val="20"/>
        </w:rPr>
        <w:lastRenderedPageBreak/>
        <w:t>established that current and emerging skills can be discerned from labor-market evidence for business-related occupations.</w:t>
      </w:r>
    </w:p>
    <w:p w14:paraId="3B97046D" w14:textId="77777777" w:rsidR="00432CC1" w:rsidRPr="00432CC1" w:rsidRDefault="00432CC1" w:rsidP="00432CC1">
      <w:pPr>
        <w:pStyle w:val="NormalWeb"/>
        <w:spacing w:before="0" w:beforeAutospacing="0" w:after="0" w:afterAutospacing="0"/>
      </w:pPr>
      <w:r w:rsidRPr="00543FD6">
        <w:rPr>
          <w:rFonts w:ascii="Arial" w:hAnsi="Arial" w:cs="Arial"/>
          <w:color w:val="000000"/>
          <w:sz w:val="20"/>
          <w:szCs w:val="20"/>
        </w:rPr>
        <w:t>In summary, the findings for RQ1 reveal a dual workforce trajectory. The 2025 workforce continues to prioritize analytical, creative, interpersonal, managerial, and adaptive capabilities, while the trajectory toward 2030 places significantly greater emphasis on AI, big data, cybersecurity, and technological literacy. For higher education</w:t>
      </w:r>
      <w:r w:rsidRPr="00432CC1">
        <w:rPr>
          <w:rFonts w:ascii="Arial" w:hAnsi="Arial" w:cs="Arial"/>
          <w:color w:val="000000"/>
          <w:sz w:val="20"/>
          <w:szCs w:val="20"/>
        </w:rPr>
        <w:t>, the key implication is not to replace transferable human capabilities with technical skills, but to prepare graduates to integrate both skill sets.</w:t>
      </w:r>
    </w:p>
    <w:p w14:paraId="2B9198A6" w14:textId="77777777" w:rsidR="00432CC1" w:rsidRPr="00432CC1" w:rsidRDefault="00432CC1" w:rsidP="00432CC1"/>
    <w:p w14:paraId="0B99E3FC" w14:textId="77777777" w:rsidR="00432CC1" w:rsidRPr="00432CC1" w:rsidRDefault="00432CC1" w:rsidP="00432CC1">
      <w:pPr>
        <w:pStyle w:val="Heading2"/>
        <w:spacing w:before="0"/>
        <w:rPr>
          <w:b/>
          <w:bCs/>
          <w:sz w:val="22"/>
          <w:szCs w:val="22"/>
        </w:rPr>
      </w:pPr>
      <w:r w:rsidRPr="00432CC1">
        <w:rPr>
          <w:rFonts w:ascii="Arial" w:hAnsi="Arial" w:cs="Arial"/>
          <w:b/>
          <w:bCs/>
          <w:color w:val="000000"/>
          <w:sz w:val="22"/>
          <w:szCs w:val="22"/>
        </w:rPr>
        <w:t>3.2 Correspondence Between CHED BSBA Competencies and Current and Emerging Workforce Skills</w:t>
      </w:r>
    </w:p>
    <w:p w14:paraId="29CBFF8F" w14:textId="77777777" w:rsidR="00432CC1" w:rsidRPr="00432CC1" w:rsidRDefault="00432CC1" w:rsidP="00432CC1"/>
    <w:p w14:paraId="1217CF98" w14:textId="77777777" w:rsidR="00432CC1" w:rsidRPr="00432CC1" w:rsidRDefault="00432CC1" w:rsidP="00432CC1">
      <w:pPr>
        <w:pStyle w:val="NormalWeb"/>
        <w:spacing w:before="0" w:beforeAutospacing="0" w:after="0" w:afterAutospacing="0"/>
      </w:pPr>
      <w:r w:rsidRPr="00432CC1">
        <w:rPr>
          <w:rFonts w:ascii="Arial" w:hAnsi="Arial" w:cs="Arial"/>
          <w:color w:val="000000"/>
          <w:sz w:val="20"/>
          <w:szCs w:val="20"/>
        </w:rPr>
        <w:t>The second research question investigates the extent to which competencies prescribed for BSBA programs align with current and emerging workforce skills identified by the World Economic Forum (WEF). This comparison utilizes the competency and program-outcome framework outlined in CHED Memorandum Order No. 17, s. 2017. The CMO defines minimum BSBA learning outcomes and grants higher education institutions flexibility to design curricula within an outcomes-based framework. Specified outcomes include effective communication, teamwork, professional and social responsibility, service orientation, decision-making, ICT application, stakeholder relations, management, strategic analysis, operational planning, innovation, strategic business-unit management, and business research (CHED, 2017).</w:t>
      </w:r>
    </w:p>
    <w:p w14:paraId="3683A800" w14:textId="77777777" w:rsidR="00432CC1" w:rsidRPr="00432CC1" w:rsidRDefault="00432CC1" w:rsidP="00432CC1">
      <w:pPr>
        <w:pStyle w:val="NormalWeb"/>
        <w:spacing w:before="0" w:beforeAutospacing="0" w:after="0" w:afterAutospacing="0"/>
      </w:pPr>
      <w:r w:rsidRPr="00432CC1">
        <w:rPr>
          <w:rFonts w:ascii="Arial" w:hAnsi="Arial" w:cs="Arial"/>
          <w:color w:val="000000"/>
          <w:sz w:val="20"/>
          <w:szCs w:val="20"/>
        </w:rPr>
        <w:t>The correspondence between CHED competencies and WEF workforce skills was categorized into three distinct types.</w:t>
      </w:r>
    </w:p>
    <w:p w14:paraId="73D0E129" w14:textId="77777777" w:rsidR="00432CC1" w:rsidRPr="00432CC1" w:rsidRDefault="00432CC1" w:rsidP="00432CC1">
      <w:pPr>
        <w:pStyle w:val="NormalWeb"/>
        <w:spacing w:before="0" w:beforeAutospacing="0" w:after="0" w:afterAutospacing="0"/>
      </w:pPr>
      <w:r w:rsidRPr="00432CC1">
        <w:rPr>
          <w:rFonts w:ascii="Arial" w:hAnsi="Arial" w:cs="Arial"/>
          <w:b/>
          <w:bCs/>
          <w:color w:val="000000"/>
          <w:sz w:val="20"/>
          <w:szCs w:val="20"/>
        </w:rPr>
        <w:t xml:space="preserve">Explicit </w:t>
      </w:r>
      <w:r w:rsidRPr="00432CC1">
        <w:rPr>
          <w:rFonts w:ascii="Arial" w:hAnsi="Arial" w:cs="Arial"/>
          <w:color w:val="000000"/>
          <w:sz w:val="20"/>
          <w:szCs w:val="20"/>
        </w:rPr>
        <w:t>correspondence indicates that a CHED competency or program outcome directly articulates the same or a substantially equivalent capability as the WEF skill.</w:t>
      </w:r>
    </w:p>
    <w:p w14:paraId="2F5AE7F1" w14:textId="77777777" w:rsidR="00432CC1" w:rsidRPr="00432CC1" w:rsidRDefault="00432CC1" w:rsidP="00432CC1">
      <w:pPr>
        <w:pStyle w:val="NormalWeb"/>
        <w:spacing w:before="0" w:beforeAutospacing="0" w:after="0" w:afterAutospacing="0"/>
      </w:pPr>
      <w:r w:rsidRPr="00432CC1">
        <w:rPr>
          <w:rFonts w:ascii="Arial" w:hAnsi="Arial" w:cs="Arial"/>
          <w:b/>
          <w:bCs/>
          <w:color w:val="000000"/>
          <w:sz w:val="20"/>
          <w:szCs w:val="20"/>
        </w:rPr>
        <w:t xml:space="preserve">Broader </w:t>
      </w:r>
      <w:r w:rsidRPr="00432CC1">
        <w:rPr>
          <w:rFonts w:ascii="Arial" w:hAnsi="Arial" w:cs="Arial"/>
          <w:color w:val="000000"/>
          <w:sz w:val="20"/>
          <w:szCs w:val="20"/>
        </w:rPr>
        <w:t>correspondence refers to cases where a CHED competency addresses a more comprehensive capability that reasonably includes the WEF skill, even if the specific skill is not explicitly stated.</w:t>
      </w:r>
    </w:p>
    <w:p w14:paraId="4D80E0BE" w14:textId="77777777" w:rsidR="00432CC1" w:rsidRPr="00432CC1" w:rsidRDefault="00432CC1" w:rsidP="00432CC1">
      <w:pPr>
        <w:pStyle w:val="NormalWeb"/>
        <w:spacing w:before="0" w:beforeAutospacing="0" w:after="0" w:afterAutospacing="0"/>
      </w:pPr>
      <w:r w:rsidRPr="00432CC1">
        <w:rPr>
          <w:rFonts w:ascii="Arial" w:hAnsi="Arial" w:cs="Arial"/>
          <w:b/>
          <w:bCs/>
          <w:color w:val="000000"/>
          <w:sz w:val="20"/>
          <w:szCs w:val="20"/>
        </w:rPr>
        <w:t>Not explicit</w:t>
      </w:r>
      <w:r w:rsidRPr="00432CC1">
        <w:rPr>
          <w:rFonts w:ascii="Arial" w:hAnsi="Arial" w:cs="Arial"/>
          <w:color w:val="000000"/>
          <w:sz w:val="20"/>
          <w:szCs w:val="20"/>
        </w:rPr>
        <w:t xml:space="preserve"> denotes instances where no CHED competency or program outcome was identified that directly or sufficiently broadly represents the WEF skill.</w:t>
      </w:r>
    </w:p>
    <w:p w14:paraId="643AAAD8" w14:textId="77777777" w:rsidR="00432CC1" w:rsidRDefault="00432CC1" w:rsidP="00432CC1">
      <w:pPr>
        <w:pStyle w:val="NormalWeb"/>
        <w:spacing w:before="0" w:beforeAutospacing="0" w:after="0" w:afterAutospacing="0"/>
        <w:rPr>
          <w:rFonts w:ascii="Arial" w:hAnsi="Arial" w:cs="Arial"/>
          <w:color w:val="000000"/>
          <w:sz w:val="20"/>
          <w:szCs w:val="20"/>
        </w:rPr>
      </w:pPr>
      <w:r w:rsidRPr="00432CC1">
        <w:rPr>
          <w:rFonts w:ascii="Arial" w:hAnsi="Arial" w:cs="Arial"/>
          <w:color w:val="000000"/>
          <w:sz w:val="20"/>
          <w:szCs w:val="20"/>
        </w:rPr>
        <w:t>These classifications characterize the substantive relationship between the two documentary frameworks and do not constitute quantitative measures of curriculum alignment.</w:t>
      </w:r>
    </w:p>
    <w:p w14:paraId="48A5B554" w14:textId="77777777" w:rsidR="00432CC1" w:rsidRDefault="00432CC1" w:rsidP="00432CC1">
      <w:pPr>
        <w:pStyle w:val="NormalWeb"/>
        <w:spacing w:before="0" w:beforeAutospacing="0" w:after="0" w:afterAutospacing="0"/>
        <w:rPr>
          <w:rFonts w:ascii="Arial" w:hAnsi="Arial" w:cs="Arial"/>
          <w:color w:val="000000"/>
          <w:sz w:val="20"/>
          <w:szCs w:val="20"/>
        </w:rPr>
      </w:pPr>
    </w:p>
    <w:p w14:paraId="1CEE358F" w14:textId="160E4125" w:rsidR="00432CC1" w:rsidRPr="00432CC1" w:rsidRDefault="00432CC1" w:rsidP="00432CC1">
      <w:pPr>
        <w:pStyle w:val="NormalWeb"/>
        <w:spacing w:before="0" w:beforeAutospacing="0" w:after="0" w:afterAutospacing="0"/>
        <w:jc w:val="center"/>
      </w:pPr>
      <w:r>
        <w:rPr>
          <w:rFonts w:ascii="Arial" w:hAnsi="Arial" w:cs="Arial"/>
          <w:b/>
          <w:bCs/>
          <w:color w:val="000000"/>
          <w:sz w:val="20"/>
          <w:szCs w:val="20"/>
        </w:rPr>
        <w:t>Table 1. Correspondence Between WEF Workforce Skills and CHED BSBA Competencies</w:t>
      </w:r>
    </w:p>
    <w:p w14:paraId="39B907CC" w14:textId="77777777" w:rsidR="00432CC1" w:rsidRDefault="00432CC1" w:rsidP="00432CC1"/>
    <w:tbl>
      <w:tblPr>
        <w:tblW w:w="9090" w:type="dxa"/>
        <w:jc w:val="center"/>
        <w:tblCellMar>
          <w:top w:w="15" w:type="dxa"/>
          <w:left w:w="15" w:type="dxa"/>
          <w:bottom w:w="15" w:type="dxa"/>
          <w:right w:w="15" w:type="dxa"/>
        </w:tblCellMar>
        <w:tblLook w:val="04A0" w:firstRow="1" w:lastRow="0" w:firstColumn="1" w:lastColumn="0" w:noHBand="0" w:noVBand="1"/>
      </w:tblPr>
      <w:tblGrid>
        <w:gridCol w:w="2418"/>
        <w:gridCol w:w="4692"/>
        <w:gridCol w:w="1980"/>
      </w:tblGrid>
      <w:tr w:rsidR="00432CC1" w14:paraId="00A1905E" w14:textId="77777777" w:rsidTr="00432CC1">
        <w:trPr>
          <w:trHeight w:val="209"/>
          <w:jc w:val="center"/>
        </w:trPr>
        <w:tc>
          <w:tcPr>
            <w:tcW w:w="2418" w:type="dxa"/>
            <w:tcBorders>
              <w:top w:val="single" w:sz="4" w:space="0" w:color="auto"/>
              <w:bottom w:val="single" w:sz="4" w:space="0" w:color="auto"/>
            </w:tcBorders>
            <w:tcMar>
              <w:top w:w="100" w:type="dxa"/>
              <w:left w:w="100" w:type="dxa"/>
              <w:bottom w:w="100" w:type="dxa"/>
              <w:right w:w="100" w:type="dxa"/>
            </w:tcMar>
            <w:hideMark/>
          </w:tcPr>
          <w:p w14:paraId="198DC342" w14:textId="77777777" w:rsidR="00432CC1" w:rsidRDefault="00432CC1">
            <w:pPr>
              <w:pStyle w:val="NormalWeb"/>
              <w:spacing w:before="0" w:beforeAutospacing="0" w:after="0" w:afterAutospacing="0"/>
            </w:pPr>
            <w:r>
              <w:rPr>
                <w:rFonts w:ascii="Arial" w:hAnsi="Arial" w:cs="Arial"/>
                <w:b/>
                <w:bCs/>
                <w:color w:val="000000"/>
                <w:sz w:val="20"/>
                <w:szCs w:val="20"/>
              </w:rPr>
              <w:t>WEF workforce skill</w:t>
            </w:r>
          </w:p>
        </w:tc>
        <w:tc>
          <w:tcPr>
            <w:tcW w:w="4692" w:type="dxa"/>
            <w:tcBorders>
              <w:top w:val="single" w:sz="4" w:space="0" w:color="auto"/>
              <w:bottom w:val="single" w:sz="4" w:space="0" w:color="auto"/>
            </w:tcBorders>
            <w:tcMar>
              <w:top w:w="100" w:type="dxa"/>
              <w:left w:w="100" w:type="dxa"/>
              <w:bottom w:w="100" w:type="dxa"/>
              <w:right w:w="100" w:type="dxa"/>
            </w:tcMar>
            <w:hideMark/>
          </w:tcPr>
          <w:p w14:paraId="6E888168" w14:textId="77777777" w:rsidR="00432CC1" w:rsidRDefault="00432CC1">
            <w:pPr>
              <w:pStyle w:val="NormalWeb"/>
              <w:spacing w:before="0" w:beforeAutospacing="0" w:after="0" w:afterAutospacing="0"/>
            </w:pPr>
            <w:r>
              <w:rPr>
                <w:rFonts w:ascii="Arial" w:hAnsi="Arial" w:cs="Arial"/>
                <w:b/>
                <w:bCs/>
                <w:color w:val="000000"/>
                <w:sz w:val="20"/>
                <w:szCs w:val="20"/>
              </w:rPr>
              <w:t>Corresponding CHED BSBA competency/program outcome</w:t>
            </w:r>
          </w:p>
        </w:tc>
        <w:tc>
          <w:tcPr>
            <w:tcW w:w="1980" w:type="dxa"/>
            <w:tcBorders>
              <w:top w:val="single" w:sz="4" w:space="0" w:color="auto"/>
              <w:bottom w:val="single" w:sz="4" w:space="0" w:color="auto"/>
            </w:tcBorders>
            <w:tcMar>
              <w:top w:w="100" w:type="dxa"/>
              <w:left w:w="100" w:type="dxa"/>
              <w:bottom w:w="100" w:type="dxa"/>
              <w:right w:w="100" w:type="dxa"/>
            </w:tcMar>
            <w:hideMark/>
          </w:tcPr>
          <w:p w14:paraId="05D96919" w14:textId="77777777" w:rsidR="00432CC1" w:rsidRDefault="00432CC1">
            <w:pPr>
              <w:pStyle w:val="NormalWeb"/>
              <w:spacing w:before="0" w:beforeAutospacing="0" w:after="0" w:afterAutospacing="0"/>
            </w:pPr>
            <w:r>
              <w:rPr>
                <w:rFonts w:ascii="Arial" w:hAnsi="Arial" w:cs="Arial"/>
                <w:b/>
                <w:bCs/>
                <w:color w:val="000000"/>
                <w:sz w:val="20"/>
                <w:szCs w:val="20"/>
              </w:rPr>
              <w:t>Correspondence</w:t>
            </w:r>
          </w:p>
        </w:tc>
      </w:tr>
      <w:tr w:rsidR="00432CC1" w14:paraId="4F029C3C" w14:textId="77777777" w:rsidTr="00432CC1">
        <w:trPr>
          <w:trHeight w:val="529"/>
          <w:jc w:val="center"/>
        </w:trPr>
        <w:tc>
          <w:tcPr>
            <w:tcW w:w="2418" w:type="dxa"/>
            <w:tcBorders>
              <w:top w:val="single" w:sz="4" w:space="0" w:color="auto"/>
            </w:tcBorders>
            <w:tcMar>
              <w:top w:w="100" w:type="dxa"/>
              <w:left w:w="100" w:type="dxa"/>
              <w:bottom w:w="100" w:type="dxa"/>
              <w:right w:w="100" w:type="dxa"/>
            </w:tcMar>
            <w:hideMark/>
          </w:tcPr>
          <w:p w14:paraId="512C2709" w14:textId="77777777" w:rsidR="00432CC1" w:rsidRDefault="00432CC1">
            <w:pPr>
              <w:pStyle w:val="NormalWeb"/>
              <w:spacing w:before="0" w:beforeAutospacing="0" w:after="0" w:afterAutospacing="0"/>
            </w:pPr>
            <w:r>
              <w:rPr>
                <w:rFonts w:ascii="Arial" w:hAnsi="Arial" w:cs="Arial"/>
                <w:color w:val="000000"/>
                <w:sz w:val="20"/>
                <w:szCs w:val="20"/>
              </w:rPr>
              <w:t>Analytical thinking</w:t>
            </w:r>
          </w:p>
        </w:tc>
        <w:tc>
          <w:tcPr>
            <w:tcW w:w="4692" w:type="dxa"/>
            <w:tcBorders>
              <w:top w:val="single" w:sz="4" w:space="0" w:color="auto"/>
            </w:tcBorders>
            <w:tcMar>
              <w:top w:w="100" w:type="dxa"/>
              <w:left w:w="100" w:type="dxa"/>
              <w:bottom w:w="100" w:type="dxa"/>
              <w:right w:w="100" w:type="dxa"/>
            </w:tcMar>
            <w:hideMark/>
          </w:tcPr>
          <w:p w14:paraId="25E269A7" w14:textId="77777777" w:rsidR="00432CC1" w:rsidRDefault="00432CC1">
            <w:pPr>
              <w:pStyle w:val="NormalWeb"/>
              <w:spacing w:before="0" w:beforeAutospacing="0" w:after="0" w:afterAutospacing="0"/>
            </w:pPr>
            <w:r>
              <w:rPr>
                <w:rFonts w:ascii="Arial" w:hAnsi="Arial" w:cs="Arial"/>
                <w:color w:val="000000"/>
                <w:sz w:val="20"/>
                <w:szCs w:val="20"/>
              </w:rPr>
              <w:t>Select decision tools to critically and analytically solve problems; analyze the business environment; conduct business research</w:t>
            </w:r>
          </w:p>
        </w:tc>
        <w:tc>
          <w:tcPr>
            <w:tcW w:w="1980" w:type="dxa"/>
            <w:tcBorders>
              <w:top w:val="single" w:sz="4" w:space="0" w:color="auto"/>
            </w:tcBorders>
            <w:tcMar>
              <w:top w:w="100" w:type="dxa"/>
              <w:left w:w="100" w:type="dxa"/>
              <w:bottom w:w="100" w:type="dxa"/>
              <w:right w:w="100" w:type="dxa"/>
            </w:tcMar>
            <w:hideMark/>
          </w:tcPr>
          <w:p w14:paraId="79FBE163"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4F8A8D73" w14:textId="77777777" w:rsidTr="00432CC1">
        <w:trPr>
          <w:trHeight w:val="440"/>
          <w:jc w:val="center"/>
        </w:trPr>
        <w:tc>
          <w:tcPr>
            <w:tcW w:w="2418" w:type="dxa"/>
            <w:tcMar>
              <w:top w:w="100" w:type="dxa"/>
              <w:left w:w="100" w:type="dxa"/>
              <w:bottom w:w="100" w:type="dxa"/>
              <w:right w:w="100" w:type="dxa"/>
            </w:tcMar>
            <w:hideMark/>
          </w:tcPr>
          <w:p w14:paraId="32307AA5" w14:textId="77777777" w:rsidR="00432CC1" w:rsidRDefault="00432CC1">
            <w:pPr>
              <w:pStyle w:val="NormalWeb"/>
              <w:spacing w:before="0" w:beforeAutospacing="0" w:after="0" w:afterAutospacing="0"/>
            </w:pPr>
            <w:r>
              <w:rPr>
                <w:rFonts w:ascii="Arial" w:hAnsi="Arial" w:cs="Arial"/>
                <w:color w:val="000000"/>
                <w:sz w:val="20"/>
                <w:szCs w:val="20"/>
              </w:rPr>
              <w:t>Resilience, flexibility and agility</w:t>
            </w:r>
          </w:p>
        </w:tc>
        <w:tc>
          <w:tcPr>
            <w:tcW w:w="4692" w:type="dxa"/>
            <w:tcMar>
              <w:top w:w="100" w:type="dxa"/>
              <w:left w:w="100" w:type="dxa"/>
              <w:bottom w:w="100" w:type="dxa"/>
              <w:right w:w="100" w:type="dxa"/>
            </w:tcMar>
            <w:hideMark/>
          </w:tcPr>
          <w:p w14:paraId="08DDE569" w14:textId="77777777" w:rsidR="00432CC1" w:rsidRDefault="00432CC1">
            <w:pPr>
              <w:pStyle w:val="NormalWeb"/>
              <w:spacing w:before="0" w:beforeAutospacing="0" w:after="0" w:afterAutospacing="0"/>
            </w:pPr>
            <w:r>
              <w:rPr>
                <w:rFonts w:ascii="Arial" w:hAnsi="Arial" w:cs="Arial"/>
                <w:color w:val="000000"/>
                <w:sz w:val="20"/>
                <w:szCs w:val="20"/>
              </w:rPr>
              <w:t>Innovate business ideas based on emerging industry; manage a strategic business unit</w:t>
            </w:r>
          </w:p>
        </w:tc>
        <w:tc>
          <w:tcPr>
            <w:tcW w:w="1980" w:type="dxa"/>
            <w:tcMar>
              <w:top w:w="100" w:type="dxa"/>
              <w:left w:w="100" w:type="dxa"/>
              <w:bottom w:w="100" w:type="dxa"/>
              <w:right w:w="100" w:type="dxa"/>
            </w:tcMar>
            <w:hideMark/>
          </w:tcPr>
          <w:p w14:paraId="43B69BFA"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2DB13802" w14:textId="77777777" w:rsidTr="00432CC1">
        <w:trPr>
          <w:trHeight w:val="107"/>
          <w:jc w:val="center"/>
        </w:trPr>
        <w:tc>
          <w:tcPr>
            <w:tcW w:w="2418" w:type="dxa"/>
            <w:tcMar>
              <w:top w:w="100" w:type="dxa"/>
              <w:left w:w="100" w:type="dxa"/>
              <w:bottom w:w="100" w:type="dxa"/>
              <w:right w:w="100" w:type="dxa"/>
            </w:tcMar>
            <w:hideMark/>
          </w:tcPr>
          <w:p w14:paraId="1161677F" w14:textId="77777777" w:rsidR="00432CC1" w:rsidRDefault="00432CC1">
            <w:pPr>
              <w:pStyle w:val="NormalWeb"/>
              <w:spacing w:before="0" w:beforeAutospacing="0" w:after="0" w:afterAutospacing="0"/>
            </w:pPr>
            <w:r>
              <w:rPr>
                <w:rFonts w:ascii="Arial" w:hAnsi="Arial" w:cs="Arial"/>
                <w:color w:val="000000"/>
                <w:sz w:val="20"/>
                <w:szCs w:val="20"/>
              </w:rPr>
              <w:t>Leadership and social influence</w:t>
            </w:r>
          </w:p>
        </w:tc>
        <w:tc>
          <w:tcPr>
            <w:tcW w:w="4692" w:type="dxa"/>
            <w:tcMar>
              <w:top w:w="100" w:type="dxa"/>
              <w:left w:w="100" w:type="dxa"/>
              <w:bottom w:w="100" w:type="dxa"/>
              <w:right w:w="100" w:type="dxa"/>
            </w:tcMar>
            <w:hideMark/>
          </w:tcPr>
          <w:p w14:paraId="60CC2A22" w14:textId="77777777" w:rsidR="00432CC1" w:rsidRDefault="00432CC1">
            <w:pPr>
              <w:pStyle w:val="NormalWeb"/>
              <w:spacing w:before="0" w:beforeAutospacing="0" w:after="0" w:afterAutospacing="0"/>
            </w:pPr>
            <w:r>
              <w:rPr>
                <w:rFonts w:ascii="Arial" w:hAnsi="Arial" w:cs="Arial"/>
                <w:color w:val="000000"/>
                <w:sz w:val="20"/>
                <w:szCs w:val="20"/>
              </w:rPr>
              <w:t>Perform management functions; work with stakeholders; manage a strategic business unit</w:t>
            </w:r>
          </w:p>
        </w:tc>
        <w:tc>
          <w:tcPr>
            <w:tcW w:w="1980" w:type="dxa"/>
            <w:tcMar>
              <w:top w:w="100" w:type="dxa"/>
              <w:left w:w="100" w:type="dxa"/>
              <w:bottom w:w="100" w:type="dxa"/>
              <w:right w:w="100" w:type="dxa"/>
            </w:tcMar>
            <w:hideMark/>
          </w:tcPr>
          <w:p w14:paraId="137940A2" w14:textId="77777777" w:rsidR="00432CC1" w:rsidRDefault="00432CC1">
            <w:pPr>
              <w:pStyle w:val="NormalWeb"/>
              <w:spacing w:before="0" w:beforeAutospacing="0" w:after="0" w:afterAutospacing="0"/>
            </w:pPr>
            <w:r>
              <w:rPr>
                <w:rFonts w:ascii="Arial" w:hAnsi="Arial" w:cs="Arial"/>
                <w:color w:val="000000"/>
                <w:sz w:val="20"/>
                <w:szCs w:val="20"/>
              </w:rPr>
              <w:t>Explicit/Broader</w:t>
            </w:r>
          </w:p>
        </w:tc>
      </w:tr>
      <w:tr w:rsidR="00432CC1" w14:paraId="4382BBD7" w14:textId="77777777" w:rsidTr="00432CC1">
        <w:trPr>
          <w:trHeight w:val="170"/>
          <w:jc w:val="center"/>
        </w:trPr>
        <w:tc>
          <w:tcPr>
            <w:tcW w:w="2418" w:type="dxa"/>
            <w:tcMar>
              <w:top w:w="100" w:type="dxa"/>
              <w:left w:w="100" w:type="dxa"/>
              <w:bottom w:w="100" w:type="dxa"/>
              <w:right w:w="100" w:type="dxa"/>
            </w:tcMar>
            <w:hideMark/>
          </w:tcPr>
          <w:p w14:paraId="02BE5E33" w14:textId="77777777" w:rsidR="00432CC1" w:rsidRDefault="00432CC1">
            <w:pPr>
              <w:pStyle w:val="NormalWeb"/>
              <w:spacing w:before="0" w:beforeAutospacing="0" w:after="0" w:afterAutospacing="0"/>
            </w:pPr>
            <w:r>
              <w:rPr>
                <w:rFonts w:ascii="Arial" w:hAnsi="Arial" w:cs="Arial"/>
                <w:color w:val="000000"/>
                <w:sz w:val="20"/>
                <w:szCs w:val="20"/>
              </w:rPr>
              <w:lastRenderedPageBreak/>
              <w:t>Creative thinking</w:t>
            </w:r>
          </w:p>
        </w:tc>
        <w:tc>
          <w:tcPr>
            <w:tcW w:w="4692" w:type="dxa"/>
            <w:tcMar>
              <w:top w:w="100" w:type="dxa"/>
              <w:left w:w="100" w:type="dxa"/>
              <w:bottom w:w="100" w:type="dxa"/>
              <w:right w:w="100" w:type="dxa"/>
            </w:tcMar>
            <w:hideMark/>
          </w:tcPr>
          <w:p w14:paraId="5C308A37" w14:textId="77777777" w:rsidR="00432CC1" w:rsidRDefault="00432CC1">
            <w:pPr>
              <w:pStyle w:val="NormalWeb"/>
              <w:spacing w:before="0" w:beforeAutospacing="0" w:after="0" w:afterAutospacing="0"/>
            </w:pPr>
            <w:r>
              <w:rPr>
                <w:rFonts w:ascii="Arial" w:hAnsi="Arial" w:cs="Arial"/>
                <w:color w:val="000000"/>
                <w:sz w:val="20"/>
                <w:szCs w:val="20"/>
              </w:rPr>
              <w:t>Select decision tools to solve problems critically, analytically, and creatively; innovate business ideas</w:t>
            </w:r>
          </w:p>
        </w:tc>
        <w:tc>
          <w:tcPr>
            <w:tcW w:w="1980" w:type="dxa"/>
            <w:tcMar>
              <w:top w:w="100" w:type="dxa"/>
              <w:left w:w="100" w:type="dxa"/>
              <w:bottom w:w="100" w:type="dxa"/>
              <w:right w:w="100" w:type="dxa"/>
            </w:tcMar>
            <w:hideMark/>
          </w:tcPr>
          <w:p w14:paraId="4D3348F5"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268DC5CE" w14:textId="77777777" w:rsidTr="00432CC1">
        <w:trPr>
          <w:trHeight w:val="188"/>
          <w:jc w:val="center"/>
        </w:trPr>
        <w:tc>
          <w:tcPr>
            <w:tcW w:w="2418" w:type="dxa"/>
            <w:tcMar>
              <w:top w:w="100" w:type="dxa"/>
              <w:left w:w="100" w:type="dxa"/>
              <w:bottom w:w="100" w:type="dxa"/>
              <w:right w:w="100" w:type="dxa"/>
            </w:tcMar>
            <w:hideMark/>
          </w:tcPr>
          <w:p w14:paraId="096D02F9" w14:textId="77777777" w:rsidR="00432CC1" w:rsidRDefault="00432CC1">
            <w:pPr>
              <w:pStyle w:val="NormalWeb"/>
              <w:spacing w:before="0" w:beforeAutospacing="0" w:after="0" w:afterAutospacing="0"/>
            </w:pPr>
            <w:r>
              <w:rPr>
                <w:rFonts w:ascii="Arial" w:hAnsi="Arial" w:cs="Arial"/>
                <w:color w:val="000000"/>
                <w:sz w:val="20"/>
                <w:szCs w:val="20"/>
              </w:rPr>
              <w:t>Motivation and self-awareness</w:t>
            </w:r>
          </w:p>
        </w:tc>
        <w:tc>
          <w:tcPr>
            <w:tcW w:w="4692" w:type="dxa"/>
            <w:tcMar>
              <w:top w:w="100" w:type="dxa"/>
              <w:left w:w="100" w:type="dxa"/>
              <w:bottom w:w="100" w:type="dxa"/>
              <w:right w:w="100" w:type="dxa"/>
            </w:tcMar>
            <w:hideMark/>
          </w:tcPr>
          <w:p w14:paraId="3617B218" w14:textId="77777777" w:rsidR="00432CC1" w:rsidRDefault="00432CC1">
            <w:pPr>
              <w:pStyle w:val="NormalWeb"/>
              <w:spacing w:before="0" w:beforeAutospacing="0" w:after="0" w:afterAutospacing="0"/>
            </w:pPr>
            <w:r>
              <w:rPr>
                <w:rFonts w:ascii="Arial" w:hAnsi="Arial" w:cs="Arial"/>
                <w:color w:val="000000"/>
                <w:sz w:val="20"/>
                <w:szCs w:val="20"/>
              </w:rPr>
              <w:t>No clearly corresponding minimum outcome identified</w:t>
            </w:r>
          </w:p>
        </w:tc>
        <w:tc>
          <w:tcPr>
            <w:tcW w:w="1980" w:type="dxa"/>
            <w:tcMar>
              <w:top w:w="100" w:type="dxa"/>
              <w:left w:w="100" w:type="dxa"/>
              <w:bottom w:w="100" w:type="dxa"/>
              <w:right w:w="100" w:type="dxa"/>
            </w:tcMar>
            <w:hideMark/>
          </w:tcPr>
          <w:p w14:paraId="46181FEE"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68D32C2E" w14:textId="77777777" w:rsidTr="00432CC1">
        <w:trPr>
          <w:trHeight w:val="23"/>
          <w:jc w:val="center"/>
        </w:trPr>
        <w:tc>
          <w:tcPr>
            <w:tcW w:w="2418" w:type="dxa"/>
            <w:tcMar>
              <w:top w:w="100" w:type="dxa"/>
              <w:left w:w="100" w:type="dxa"/>
              <w:bottom w:w="100" w:type="dxa"/>
              <w:right w:w="100" w:type="dxa"/>
            </w:tcMar>
            <w:hideMark/>
          </w:tcPr>
          <w:p w14:paraId="27EA293C" w14:textId="77777777" w:rsidR="00432CC1" w:rsidRDefault="00432CC1">
            <w:pPr>
              <w:pStyle w:val="NormalWeb"/>
              <w:spacing w:before="0" w:beforeAutospacing="0" w:after="0" w:afterAutospacing="0"/>
            </w:pPr>
            <w:r>
              <w:rPr>
                <w:rFonts w:ascii="Arial" w:hAnsi="Arial" w:cs="Arial"/>
                <w:color w:val="000000"/>
                <w:sz w:val="20"/>
                <w:szCs w:val="20"/>
              </w:rPr>
              <w:t>Technological literacy</w:t>
            </w:r>
          </w:p>
        </w:tc>
        <w:tc>
          <w:tcPr>
            <w:tcW w:w="4692" w:type="dxa"/>
            <w:tcMar>
              <w:top w:w="100" w:type="dxa"/>
              <w:left w:w="100" w:type="dxa"/>
              <w:bottom w:w="100" w:type="dxa"/>
              <w:right w:w="100" w:type="dxa"/>
            </w:tcMar>
            <w:hideMark/>
          </w:tcPr>
          <w:p w14:paraId="5D3C9B84" w14:textId="77777777" w:rsidR="00432CC1" w:rsidRDefault="00432CC1">
            <w:pPr>
              <w:pStyle w:val="NormalWeb"/>
              <w:spacing w:before="0" w:beforeAutospacing="0" w:after="0" w:afterAutospacing="0"/>
            </w:pPr>
            <w:r>
              <w:rPr>
                <w:rFonts w:ascii="Arial" w:hAnsi="Arial" w:cs="Arial"/>
                <w:color w:val="000000"/>
                <w:sz w:val="20"/>
                <w:szCs w:val="20"/>
              </w:rPr>
              <w:t>Apply ICT effectively and efficiently</w:t>
            </w:r>
          </w:p>
        </w:tc>
        <w:tc>
          <w:tcPr>
            <w:tcW w:w="1980" w:type="dxa"/>
            <w:tcMar>
              <w:top w:w="100" w:type="dxa"/>
              <w:left w:w="100" w:type="dxa"/>
              <w:bottom w:w="100" w:type="dxa"/>
              <w:right w:w="100" w:type="dxa"/>
            </w:tcMar>
            <w:hideMark/>
          </w:tcPr>
          <w:p w14:paraId="7927040C"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062D702D" w14:textId="77777777" w:rsidTr="00432CC1">
        <w:trPr>
          <w:trHeight w:val="23"/>
          <w:jc w:val="center"/>
        </w:trPr>
        <w:tc>
          <w:tcPr>
            <w:tcW w:w="2418" w:type="dxa"/>
            <w:tcMar>
              <w:top w:w="100" w:type="dxa"/>
              <w:left w:w="100" w:type="dxa"/>
              <w:bottom w:w="100" w:type="dxa"/>
              <w:right w:w="100" w:type="dxa"/>
            </w:tcMar>
            <w:hideMark/>
          </w:tcPr>
          <w:p w14:paraId="0852C93D" w14:textId="77777777" w:rsidR="00432CC1" w:rsidRDefault="00432CC1">
            <w:pPr>
              <w:pStyle w:val="NormalWeb"/>
              <w:spacing w:before="0" w:beforeAutospacing="0" w:after="0" w:afterAutospacing="0"/>
            </w:pPr>
            <w:r>
              <w:rPr>
                <w:rFonts w:ascii="Arial" w:hAnsi="Arial" w:cs="Arial"/>
                <w:color w:val="000000"/>
                <w:sz w:val="20"/>
                <w:szCs w:val="20"/>
              </w:rPr>
              <w:t>Empathy and active listening</w:t>
            </w:r>
          </w:p>
        </w:tc>
        <w:tc>
          <w:tcPr>
            <w:tcW w:w="4692" w:type="dxa"/>
            <w:tcMar>
              <w:top w:w="100" w:type="dxa"/>
              <w:left w:w="100" w:type="dxa"/>
              <w:bottom w:w="100" w:type="dxa"/>
              <w:right w:w="100" w:type="dxa"/>
            </w:tcMar>
            <w:hideMark/>
          </w:tcPr>
          <w:p w14:paraId="6AFEEB8B" w14:textId="77777777" w:rsidR="00432CC1" w:rsidRDefault="00432CC1">
            <w:pPr>
              <w:pStyle w:val="NormalWeb"/>
              <w:spacing w:before="0" w:beforeAutospacing="0" w:after="0" w:afterAutospacing="0"/>
            </w:pPr>
            <w:r>
              <w:rPr>
                <w:rFonts w:ascii="Arial" w:hAnsi="Arial" w:cs="Arial"/>
                <w:color w:val="000000"/>
                <w:sz w:val="20"/>
                <w:szCs w:val="20"/>
              </w:rPr>
              <w:t>Work effectively with stakeholders and manage conflict</w:t>
            </w:r>
          </w:p>
        </w:tc>
        <w:tc>
          <w:tcPr>
            <w:tcW w:w="1980" w:type="dxa"/>
            <w:tcMar>
              <w:top w:w="100" w:type="dxa"/>
              <w:left w:w="100" w:type="dxa"/>
              <w:bottom w:w="100" w:type="dxa"/>
              <w:right w:w="100" w:type="dxa"/>
            </w:tcMar>
            <w:hideMark/>
          </w:tcPr>
          <w:p w14:paraId="509F3126"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6A6C3A44" w14:textId="77777777" w:rsidTr="00432CC1">
        <w:trPr>
          <w:trHeight w:val="23"/>
          <w:jc w:val="center"/>
        </w:trPr>
        <w:tc>
          <w:tcPr>
            <w:tcW w:w="2418" w:type="dxa"/>
            <w:tcMar>
              <w:top w:w="100" w:type="dxa"/>
              <w:left w:w="100" w:type="dxa"/>
              <w:bottom w:w="100" w:type="dxa"/>
              <w:right w:w="100" w:type="dxa"/>
            </w:tcMar>
            <w:hideMark/>
          </w:tcPr>
          <w:p w14:paraId="18351B02" w14:textId="77777777" w:rsidR="00432CC1" w:rsidRDefault="00432CC1">
            <w:pPr>
              <w:pStyle w:val="NormalWeb"/>
              <w:spacing w:before="0" w:beforeAutospacing="0" w:after="0" w:afterAutospacing="0"/>
            </w:pPr>
            <w:r>
              <w:rPr>
                <w:rFonts w:ascii="Arial" w:hAnsi="Arial" w:cs="Arial"/>
                <w:color w:val="000000"/>
                <w:sz w:val="20"/>
                <w:szCs w:val="20"/>
              </w:rPr>
              <w:t>Curiosity and lifelong learning</w:t>
            </w:r>
          </w:p>
        </w:tc>
        <w:tc>
          <w:tcPr>
            <w:tcW w:w="4692" w:type="dxa"/>
            <w:tcMar>
              <w:top w:w="100" w:type="dxa"/>
              <w:left w:w="100" w:type="dxa"/>
              <w:bottom w:w="100" w:type="dxa"/>
              <w:right w:w="100" w:type="dxa"/>
            </w:tcMar>
            <w:hideMark/>
          </w:tcPr>
          <w:p w14:paraId="4859D918" w14:textId="77777777" w:rsidR="00432CC1" w:rsidRDefault="00432CC1">
            <w:pPr>
              <w:pStyle w:val="NormalWeb"/>
              <w:spacing w:before="0" w:beforeAutospacing="0" w:after="0" w:afterAutospacing="0"/>
            </w:pPr>
            <w:r>
              <w:rPr>
                <w:rFonts w:ascii="Arial" w:hAnsi="Arial" w:cs="Arial"/>
                <w:color w:val="000000"/>
                <w:sz w:val="20"/>
                <w:szCs w:val="20"/>
              </w:rPr>
              <w:t>Articulate developments in the field; conduct research and pursue professional development</w:t>
            </w:r>
          </w:p>
        </w:tc>
        <w:tc>
          <w:tcPr>
            <w:tcW w:w="1980" w:type="dxa"/>
            <w:tcMar>
              <w:top w:w="100" w:type="dxa"/>
              <w:left w:w="100" w:type="dxa"/>
              <w:bottom w:w="100" w:type="dxa"/>
              <w:right w:w="100" w:type="dxa"/>
            </w:tcMar>
            <w:hideMark/>
          </w:tcPr>
          <w:p w14:paraId="39EA3E7E"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41A998B6" w14:textId="77777777" w:rsidTr="00432CC1">
        <w:trPr>
          <w:trHeight w:val="23"/>
          <w:jc w:val="center"/>
        </w:trPr>
        <w:tc>
          <w:tcPr>
            <w:tcW w:w="2418" w:type="dxa"/>
            <w:tcMar>
              <w:top w:w="100" w:type="dxa"/>
              <w:left w:w="100" w:type="dxa"/>
              <w:bottom w:w="100" w:type="dxa"/>
              <w:right w:w="100" w:type="dxa"/>
            </w:tcMar>
            <w:hideMark/>
          </w:tcPr>
          <w:p w14:paraId="55044261" w14:textId="77777777" w:rsidR="00432CC1" w:rsidRDefault="00432CC1">
            <w:pPr>
              <w:pStyle w:val="NormalWeb"/>
              <w:spacing w:before="0" w:beforeAutospacing="0" w:after="0" w:afterAutospacing="0"/>
            </w:pPr>
            <w:r>
              <w:rPr>
                <w:rFonts w:ascii="Arial" w:hAnsi="Arial" w:cs="Arial"/>
                <w:color w:val="000000"/>
                <w:sz w:val="20"/>
                <w:szCs w:val="20"/>
              </w:rPr>
              <w:t>Talent management</w:t>
            </w:r>
          </w:p>
        </w:tc>
        <w:tc>
          <w:tcPr>
            <w:tcW w:w="4692" w:type="dxa"/>
            <w:tcMar>
              <w:top w:w="100" w:type="dxa"/>
              <w:left w:w="100" w:type="dxa"/>
              <w:bottom w:w="100" w:type="dxa"/>
              <w:right w:w="100" w:type="dxa"/>
            </w:tcMar>
            <w:hideMark/>
          </w:tcPr>
          <w:p w14:paraId="1F7370DC" w14:textId="77777777" w:rsidR="00432CC1" w:rsidRDefault="00432CC1">
            <w:pPr>
              <w:pStyle w:val="NormalWeb"/>
              <w:spacing w:before="0" w:beforeAutospacing="0" w:after="0" w:afterAutospacing="0"/>
            </w:pPr>
            <w:r>
              <w:rPr>
                <w:rFonts w:ascii="Arial" w:hAnsi="Arial" w:cs="Arial"/>
                <w:color w:val="000000"/>
                <w:sz w:val="20"/>
                <w:szCs w:val="20"/>
              </w:rPr>
              <w:t>Management functions including staffing; human-resource-related competencies</w:t>
            </w:r>
          </w:p>
        </w:tc>
        <w:tc>
          <w:tcPr>
            <w:tcW w:w="1980" w:type="dxa"/>
            <w:tcMar>
              <w:top w:w="100" w:type="dxa"/>
              <w:left w:w="100" w:type="dxa"/>
              <w:bottom w:w="100" w:type="dxa"/>
              <w:right w:w="100" w:type="dxa"/>
            </w:tcMar>
            <w:hideMark/>
          </w:tcPr>
          <w:p w14:paraId="2ABD77CC"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328187FA" w14:textId="77777777" w:rsidTr="00432CC1">
        <w:trPr>
          <w:trHeight w:val="23"/>
          <w:jc w:val="center"/>
        </w:trPr>
        <w:tc>
          <w:tcPr>
            <w:tcW w:w="2418" w:type="dxa"/>
            <w:tcMar>
              <w:top w:w="100" w:type="dxa"/>
              <w:left w:w="100" w:type="dxa"/>
              <w:bottom w:w="100" w:type="dxa"/>
              <w:right w:w="100" w:type="dxa"/>
            </w:tcMar>
            <w:hideMark/>
          </w:tcPr>
          <w:p w14:paraId="22546286" w14:textId="77777777" w:rsidR="00432CC1" w:rsidRDefault="00432CC1">
            <w:pPr>
              <w:pStyle w:val="NormalWeb"/>
              <w:spacing w:before="0" w:beforeAutospacing="0" w:after="0" w:afterAutospacing="0"/>
            </w:pPr>
            <w:r>
              <w:rPr>
                <w:rFonts w:ascii="Arial" w:hAnsi="Arial" w:cs="Arial"/>
                <w:color w:val="000000"/>
                <w:sz w:val="20"/>
                <w:szCs w:val="20"/>
              </w:rPr>
              <w:t>Service orientation and customer service</w:t>
            </w:r>
          </w:p>
        </w:tc>
        <w:tc>
          <w:tcPr>
            <w:tcW w:w="4692" w:type="dxa"/>
            <w:tcMar>
              <w:top w:w="100" w:type="dxa"/>
              <w:left w:w="100" w:type="dxa"/>
              <w:bottom w:w="100" w:type="dxa"/>
              <w:right w:w="100" w:type="dxa"/>
            </w:tcMar>
            <w:hideMark/>
          </w:tcPr>
          <w:p w14:paraId="1A547172" w14:textId="77777777" w:rsidR="00432CC1" w:rsidRDefault="00432CC1">
            <w:pPr>
              <w:pStyle w:val="NormalWeb"/>
              <w:spacing w:before="0" w:beforeAutospacing="0" w:after="0" w:afterAutospacing="0"/>
            </w:pPr>
            <w:r>
              <w:rPr>
                <w:rFonts w:ascii="Arial" w:hAnsi="Arial" w:cs="Arial"/>
                <w:color w:val="000000"/>
                <w:sz w:val="20"/>
                <w:szCs w:val="20"/>
              </w:rPr>
              <w:t>Service orientation and stakeholder engagement</w:t>
            </w:r>
          </w:p>
        </w:tc>
        <w:tc>
          <w:tcPr>
            <w:tcW w:w="1980" w:type="dxa"/>
            <w:tcMar>
              <w:top w:w="100" w:type="dxa"/>
              <w:left w:w="100" w:type="dxa"/>
              <w:bottom w:w="100" w:type="dxa"/>
              <w:right w:w="100" w:type="dxa"/>
            </w:tcMar>
            <w:hideMark/>
          </w:tcPr>
          <w:p w14:paraId="3490CFD2" w14:textId="3CD7F48B"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41223DA9" w14:textId="77777777" w:rsidTr="00432CC1">
        <w:trPr>
          <w:trHeight w:val="23"/>
          <w:jc w:val="center"/>
        </w:trPr>
        <w:tc>
          <w:tcPr>
            <w:tcW w:w="2418" w:type="dxa"/>
            <w:tcMar>
              <w:top w:w="100" w:type="dxa"/>
              <w:left w:w="100" w:type="dxa"/>
              <w:bottom w:w="100" w:type="dxa"/>
              <w:right w:w="100" w:type="dxa"/>
            </w:tcMar>
            <w:hideMark/>
          </w:tcPr>
          <w:p w14:paraId="2E4A4FBF" w14:textId="77777777" w:rsidR="00432CC1" w:rsidRDefault="00432CC1">
            <w:pPr>
              <w:pStyle w:val="NormalWeb"/>
              <w:spacing w:before="0" w:beforeAutospacing="0" w:after="0" w:afterAutospacing="0"/>
            </w:pPr>
            <w:r>
              <w:rPr>
                <w:rFonts w:ascii="Arial" w:hAnsi="Arial" w:cs="Arial"/>
                <w:color w:val="000000"/>
                <w:sz w:val="20"/>
                <w:szCs w:val="20"/>
              </w:rPr>
              <w:t>AI and big data</w:t>
            </w:r>
          </w:p>
        </w:tc>
        <w:tc>
          <w:tcPr>
            <w:tcW w:w="4692" w:type="dxa"/>
            <w:tcMar>
              <w:top w:w="100" w:type="dxa"/>
              <w:left w:w="100" w:type="dxa"/>
              <w:bottom w:w="100" w:type="dxa"/>
              <w:right w:w="100" w:type="dxa"/>
            </w:tcMar>
            <w:hideMark/>
          </w:tcPr>
          <w:p w14:paraId="73E228A0" w14:textId="77777777" w:rsidR="00432CC1" w:rsidRDefault="00432CC1">
            <w:pPr>
              <w:pStyle w:val="NormalWeb"/>
              <w:spacing w:before="0" w:beforeAutospacing="0" w:after="0" w:afterAutospacing="0"/>
            </w:pPr>
            <w:r>
              <w:rPr>
                <w:rFonts w:ascii="Arial" w:hAnsi="Arial" w:cs="Arial"/>
                <w:color w:val="000000"/>
                <w:sz w:val="20"/>
                <w:szCs w:val="20"/>
              </w:rPr>
              <w:t>No explicit AI or big-data capability identified</w:t>
            </w:r>
          </w:p>
        </w:tc>
        <w:tc>
          <w:tcPr>
            <w:tcW w:w="1980" w:type="dxa"/>
            <w:tcMar>
              <w:top w:w="100" w:type="dxa"/>
              <w:left w:w="100" w:type="dxa"/>
              <w:bottom w:w="100" w:type="dxa"/>
              <w:right w:w="100" w:type="dxa"/>
            </w:tcMar>
            <w:hideMark/>
          </w:tcPr>
          <w:p w14:paraId="463D84F3"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5F16727E" w14:textId="77777777" w:rsidTr="00432CC1">
        <w:trPr>
          <w:trHeight w:val="23"/>
          <w:jc w:val="center"/>
        </w:trPr>
        <w:tc>
          <w:tcPr>
            <w:tcW w:w="2418" w:type="dxa"/>
            <w:tcMar>
              <w:top w:w="100" w:type="dxa"/>
              <w:left w:w="100" w:type="dxa"/>
              <w:bottom w:w="100" w:type="dxa"/>
              <w:right w:w="100" w:type="dxa"/>
            </w:tcMar>
            <w:hideMark/>
          </w:tcPr>
          <w:p w14:paraId="59A45F00" w14:textId="77777777" w:rsidR="00432CC1" w:rsidRDefault="00432CC1">
            <w:pPr>
              <w:pStyle w:val="NormalWeb"/>
              <w:spacing w:before="0" w:beforeAutospacing="0" w:after="0" w:afterAutospacing="0"/>
            </w:pPr>
            <w:r>
              <w:rPr>
                <w:rFonts w:ascii="Arial" w:hAnsi="Arial" w:cs="Arial"/>
                <w:color w:val="000000"/>
                <w:sz w:val="20"/>
                <w:szCs w:val="20"/>
              </w:rPr>
              <w:t>Systems thinking</w:t>
            </w:r>
          </w:p>
        </w:tc>
        <w:tc>
          <w:tcPr>
            <w:tcW w:w="4692" w:type="dxa"/>
            <w:tcMar>
              <w:top w:w="100" w:type="dxa"/>
              <w:left w:w="100" w:type="dxa"/>
              <w:bottom w:w="100" w:type="dxa"/>
              <w:right w:w="100" w:type="dxa"/>
            </w:tcMar>
            <w:hideMark/>
          </w:tcPr>
          <w:p w14:paraId="11DD5E57" w14:textId="77777777" w:rsidR="00432CC1" w:rsidRDefault="00432CC1">
            <w:pPr>
              <w:pStyle w:val="NormalWeb"/>
              <w:spacing w:before="0" w:beforeAutospacing="0" w:after="0" w:afterAutospacing="0"/>
            </w:pPr>
            <w:r>
              <w:rPr>
                <w:rFonts w:ascii="Arial" w:hAnsi="Arial" w:cs="Arial"/>
                <w:color w:val="000000"/>
                <w:sz w:val="20"/>
                <w:szCs w:val="20"/>
              </w:rPr>
              <w:t>Analyze the business environment for strategic direction; integrate business functions</w:t>
            </w:r>
          </w:p>
        </w:tc>
        <w:tc>
          <w:tcPr>
            <w:tcW w:w="1980" w:type="dxa"/>
            <w:tcMar>
              <w:top w:w="100" w:type="dxa"/>
              <w:left w:w="100" w:type="dxa"/>
              <w:bottom w:w="100" w:type="dxa"/>
              <w:right w:w="100" w:type="dxa"/>
            </w:tcMar>
            <w:hideMark/>
          </w:tcPr>
          <w:p w14:paraId="7478F330"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767E1C9B" w14:textId="77777777" w:rsidTr="00432CC1">
        <w:trPr>
          <w:trHeight w:val="23"/>
          <w:jc w:val="center"/>
        </w:trPr>
        <w:tc>
          <w:tcPr>
            <w:tcW w:w="2418" w:type="dxa"/>
            <w:tcMar>
              <w:top w:w="100" w:type="dxa"/>
              <w:left w:w="100" w:type="dxa"/>
              <w:bottom w:w="100" w:type="dxa"/>
              <w:right w:w="100" w:type="dxa"/>
            </w:tcMar>
            <w:hideMark/>
          </w:tcPr>
          <w:p w14:paraId="7B3347ED" w14:textId="77777777" w:rsidR="00432CC1" w:rsidRDefault="00432CC1">
            <w:pPr>
              <w:pStyle w:val="NormalWeb"/>
              <w:spacing w:before="0" w:beforeAutospacing="0" w:after="0" w:afterAutospacing="0"/>
            </w:pPr>
            <w:r>
              <w:rPr>
                <w:rFonts w:ascii="Arial" w:hAnsi="Arial" w:cs="Arial"/>
                <w:color w:val="000000"/>
                <w:sz w:val="20"/>
                <w:szCs w:val="20"/>
              </w:rPr>
              <w:t>Resource management and operations</w:t>
            </w:r>
          </w:p>
        </w:tc>
        <w:tc>
          <w:tcPr>
            <w:tcW w:w="4692" w:type="dxa"/>
            <w:tcMar>
              <w:top w:w="100" w:type="dxa"/>
              <w:left w:w="100" w:type="dxa"/>
              <w:bottom w:w="100" w:type="dxa"/>
              <w:right w:w="100" w:type="dxa"/>
            </w:tcMar>
            <w:hideMark/>
          </w:tcPr>
          <w:p w14:paraId="795B4E79" w14:textId="77777777" w:rsidR="00432CC1" w:rsidRDefault="00432CC1">
            <w:pPr>
              <w:pStyle w:val="NormalWeb"/>
              <w:spacing w:before="0" w:beforeAutospacing="0" w:after="0" w:afterAutospacing="0"/>
            </w:pPr>
            <w:r>
              <w:rPr>
                <w:rFonts w:ascii="Arial" w:hAnsi="Arial" w:cs="Arial"/>
                <w:color w:val="000000"/>
                <w:sz w:val="20"/>
                <w:szCs w:val="20"/>
              </w:rPr>
              <w:t>Perform management functions; prepare operational plans</w:t>
            </w:r>
          </w:p>
        </w:tc>
        <w:tc>
          <w:tcPr>
            <w:tcW w:w="1980" w:type="dxa"/>
            <w:tcMar>
              <w:top w:w="100" w:type="dxa"/>
              <w:left w:w="100" w:type="dxa"/>
              <w:bottom w:w="100" w:type="dxa"/>
              <w:right w:w="100" w:type="dxa"/>
            </w:tcMar>
            <w:hideMark/>
          </w:tcPr>
          <w:p w14:paraId="3EDE7011"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01E9EC70" w14:textId="77777777" w:rsidTr="00432CC1">
        <w:trPr>
          <w:trHeight w:val="23"/>
          <w:jc w:val="center"/>
        </w:trPr>
        <w:tc>
          <w:tcPr>
            <w:tcW w:w="2418" w:type="dxa"/>
            <w:tcMar>
              <w:top w:w="100" w:type="dxa"/>
              <w:left w:w="100" w:type="dxa"/>
              <w:bottom w:w="100" w:type="dxa"/>
              <w:right w:w="100" w:type="dxa"/>
            </w:tcMar>
            <w:hideMark/>
          </w:tcPr>
          <w:p w14:paraId="5F1C5DBE" w14:textId="77777777" w:rsidR="00432CC1" w:rsidRDefault="00432CC1">
            <w:pPr>
              <w:pStyle w:val="NormalWeb"/>
              <w:spacing w:before="0" w:beforeAutospacing="0" w:after="0" w:afterAutospacing="0"/>
            </w:pPr>
            <w:r>
              <w:rPr>
                <w:rFonts w:ascii="Arial" w:hAnsi="Arial" w:cs="Arial"/>
                <w:color w:val="000000"/>
                <w:sz w:val="20"/>
                <w:szCs w:val="20"/>
              </w:rPr>
              <w:t>Dependability and attention to detail</w:t>
            </w:r>
          </w:p>
        </w:tc>
        <w:tc>
          <w:tcPr>
            <w:tcW w:w="4692" w:type="dxa"/>
            <w:tcMar>
              <w:top w:w="100" w:type="dxa"/>
              <w:left w:w="100" w:type="dxa"/>
              <w:bottom w:w="100" w:type="dxa"/>
              <w:right w:w="100" w:type="dxa"/>
            </w:tcMar>
            <w:hideMark/>
          </w:tcPr>
          <w:p w14:paraId="5E453064" w14:textId="77777777" w:rsidR="00432CC1" w:rsidRDefault="00432CC1">
            <w:pPr>
              <w:pStyle w:val="NormalWeb"/>
              <w:spacing w:before="0" w:beforeAutospacing="0" w:after="0" w:afterAutospacing="0"/>
            </w:pPr>
            <w:r>
              <w:rPr>
                <w:rFonts w:ascii="Arial" w:hAnsi="Arial" w:cs="Arial"/>
                <w:color w:val="000000"/>
                <w:sz w:val="20"/>
                <w:szCs w:val="20"/>
              </w:rPr>
              <w:t>No clearly corresponding minimum outcome identified</w:t>
            </w:r>
          </w:p>
        </w:tc>
        <w:tc>
          <w:tcPr>
            <w:tcW w:w="1980" w:type="dxa"/>
            <w:tcMar>
              <w:top w:w="100" w:type="dxa"/>
              <w:left w:w="100" w:type="dxa"/>
              <w:bottom w:w="100" w:type="dxa"/>
              <w:right w:w="100" w:type="dxa"/>
            </w:tcMar>
            <w:hideMark/>
          </w:tcPr>
          <w:p w14:paraId="1F5E5B86"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5CAF4570" w14:textId="77777777" w:rsidTr="00432CC1">
        <w:trPr>
          <w:trHeight w:val="23"/>
          <w:jc w:val="center"/>
        </w:trPr>
        <w:tc>
          <w:tcPr>
            <w:tcW w:w="2418" w:type="dxa"/>
            <w:tcMar>
              <w:top w:w="100" w:type="dxa"/>
              <w:left w:w="100" w:type="dxa"/>
              <w:bottom w:w="100" w:type="dxa"/>
              <w:right w:w="100" w:type="dxa"/>
            </w:tcMar>
            <w:hideMark/>
          </w:tcPr>
          <w:p w14:paraId="0620467A" w14:textId="77777777" w:rsidR="00432CC1" w:rsidRDefault="00432CC1">
            <w:pPr>
              <w:pStyle w:val="NormalWeb"/>
              <w:spacing w:before="0" w:beforeAutospacing="0" w:after="0" w:afterAutospacing="0"/>
            </w:pPr>
            <w:r>
              <w:rPr>
                <w:rFonts w:ascii="Arial" w:hAnsi="Arial" w:cs="Arial"/>
                <w:color w:val="000000"/>
                <w:sz w:val="20"/>
                <w:szCs w:val="20"/>
              </w:rPr>
              <w:t>Quality control</w:t>
            </w:r>
          </w:p>
        </w:tc>
        <w:tc>
          <w:tcPr>
            <w:tcW w:w="4692" w:type="dxa"/>
            <w:tcMar>
              <w:top w:w="100" w:type="dxa"/>
              <w:left w:w="100" w:type="dxa"/>
              <w:bottom w:w="100" w:type="dxa"/>
              <w:right w:w="100" w:type="dxa"/>
            </w:tcMar>
            <w:hideMark/>
          </w:tcPr>
          <w:p w14:paraId="1F3C7C3C" w14:textId="77777777" w:rsidR="00432CC1" w:rsidRDefault="00432CC1">
            <w:pPr>
              <w:pStyle w:val="NormalWeb"/>
              <w:spacing w:before="0" w:beforeAutospacing="0" w:after="0" w:afterAutospacing="0"/>
            </w:pPr>
            <w:r>
              <w:rPr>
                <w:rFonts w:ascii="Arial" w:hAnsi="Arial" w:cs="Arial"/>
                <w:color w:val="000000"/>
                <w:sz w:val="20"/>
                <w:szCs w:val="20"/>
              </w:rPr>
              <w:t>Manage operations and quality-related business activities</w:t>
            </w:r>
          </w:p>
        </w:tc>
        <w:tc>
          <w:tcPr>
            <w:tcW w:w="1980" w:type="dxa"/>
            <w:tcMar>
              <w:top w:w="100" w:type="dxa"/>
              <w:left w:w="100" w:type="dxa"/>
              <w:bottom w:w="100" w:type="dxa"/>
              <w:right w:w="100" w:type="dxa"/>
            </w:tcMar>
            <w:hideMark/>
          </w:tcPr>
          <w:p w14:paraId="6E76BFF6"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087972E2" w14:textId="77777777" w:rsidTr="00432CC1">
        <w:trPr>
          <w:trHeight w:val="23"/>
          <w:jc w:val="center"/>
        </w:trPr>
        <w:tc>
          <w:tcPr>
            <w:tcW w:w="2418" w:type="dxa"/>
            <w:tcMar>
              <w:top w:w="100" w:type="dxa"/>
              <w:left w:w="100" w:type="dxa"/>
              <w:bottom w:w="100" w:type="dxa"/>
              <w:right w:w="100" w:type="dxa"/>
            </w:tcMar>
            <w:hideMark/>
          </w:tcPr>
          <w:p w14:paraId="4B07CA4E" w14:textId="77777777" w:rsidR="00432CC1" w:rsidRDefault="00432CC1">
            <w:pPr>
              <w:pStyle w:val="NormalWeb"/>
              <w:spacing w:before="0" w:beforeAutospacing="0" w:after="0" w:afterAutospacing="0"/>
            </w:pPr>
            <w:r>
              <w:rPr>
                <w:rFonts w:ascii="Arial" w:hAnsi="Arial" w:cs="Arial"/>
                <w:color w:val="000000"/>
                <w:sz w:val="20"/>
                <w:szCs w:val="20"/>
              </w:rPr>
              <w:t>Teaching and mentoring</w:t>
            </w:r>
          </w:p>
        </w:tc>
        <w:tc>
          <w:tcPr>
            <w:tcW w:w="4692" w:type="dxa"/>
            <w:tcMar>
              <w:top w:w="100" w:type="dxa"/>
              <w:left w:w="100" w:type="dxa"/>
              <w:bottom w:w="100" w:type="dxa"/>
              <w:right w:w="100" w:type="dxa"/>
            </w:tcMar>
            <w:hideMark/>
          </w:tcPr>
          <w:p w14:paraId="04E8EC67" w14:textId="77777777" w:rsidR="00432CC1" w:rsidRDefault="00432CC1">
            <w:pPr>
              <w:pStyle w:val="NormalWeb"/>
              <w:spacing w:before="0" w:beforeAutospacing="0" w:after="0" w:afterAutospacing="0"/>
            </w:pPr>
            <w:r>
              <w:rPr>
                <w:rFonts w:ascii="Arial" w:hAnsi="Arial" w:cs="Arial"/>
                <w:color w:val="000000"/>
                <w:sz w:val="20"/>
                <w:szCs w:val="20"/>
              </w:rPr>
              <w:t>No clearly corresponding graduate outcome identified</w:t>
            </w:r>
          </w:p>
        </w:tc>
        <w:tc>
          <w:tcPr>
            <w:tcW w:w="1980" w:type="dxa"/>
            <w:tcMar>
              <w:top w:w="100" w:type="dxa"/>
              <w:left w:w="100" w:type="dxa"/>
              <w:bottom w:w="100" w:type="dxa"/>
              <w:right w:w="100" w:type="dxa"/>
            </w:tcMar>
            <w:hideMark/>
          </w:tcPr>
          <w:p w14:paraId="76C1EBA1"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6715E91A" w14:textId="77777777" w:rsidTr="00432CC1">
        <w:trPr>
          <w:trHeight w:val="23"/>
          <w:jc w:val="center"/>
        </w:trPr>
        <w:tc>
          <w:tcPr>
            <w:tcW w:w="2418" w:type="dxa"/>
            <w:tcMar>
              <w:top w:w="100" w:type="dxa"/>
              <w:left w:w="100" w:type="dxa"/>
              <w:bottom w:w="100" w:type="dxa"/>
              <w:right w:w="100" w:type="dxa"/>
            </w:tcMar>
            <w:hideMark/>
          </w:tcPr>
          <w:p w14:paraId="3638F117" w14:textId="77777777" w:rsidR="00432CC1" w:rsidRDefault="00432CC1">
            <w:pPr>
              <w:pStyle w:val="NormalWeb"/>
              <w:spacing w:before="0" w:beforeAutospacing="0" w:after="0" w:afterAutospacing="0"/>
            </w:pPr>
            <w:r>
              <w:rPr>
                <w:rFonts w:ascii="Arial" w:hAnsi="Arial" w:cs="Arial"/>
                <w:color w:val="000000"/>
                <w:sz w:val="20"/>
                <w:szCs w:val="20"/>
              </w:rPr>
              <w:t>Networks and cybersecurity</w:t>
            </w:r>
          </w:p>
        </w:tc>
        <w:tc>
          <w:tcPr>
            <w:tcW w:w="4692" w:type="dxa"/>
            <w:tcMar>
              <w:top w:w="100" w:type="dxa"/>
              <w:left w:w="100" w:type="dxa"/>
              <w:bottom w:w="100" w:type="dxa"/>
              <w:right w:w="100" w:type="dxa"/>
            </w:tcMar>
            <w:hideMark/>
          </w:tcPr>
          <w:p w14:paraId="4185C08B" w14:textId="77777777" w:rsidR="00432CC1" w:rsidRDefault="00432CC1">
            <w:pPr>
              <w:pStyle w:val="NormalWeb"/>
              <w:spacing w:before="0" w:beforeAutospacing="0" w:after="0" w:afterAutospacing="0"/>
            </w:pPr>
            <w:r>
              <w:rPr>
                <w:rFonts w:ascii="Arial" w:hAnsi="Arial" w:cs="Arial"/>
                <w:color w:val="000000"/>
                <w:sz w:val="20"/>
                <w:szCs w:val="20"/>
              </w:rPr>
              <w:t>No explicit cybersecurity or network competency identified</w:t>
            </w:r>
          </w:p>
        </w:tc>
        <w:tc>
          <w:tcPr>
            <w:tcW w:w="1980" w:type="dxa"/>
            <w:tcMar>
              <w:top w:w="100" w:type="dxa"/>
              <w:left w:w="100" w:type="dxa"/>
              <w:bottom w:w="100" w:type="dxa"/>
              <w:right w:w="100" w:type="dxa"/>
            </w:tcMar>
            <w:hideMark/>
          </w:tcPr>
          <w:p w14:paraId="43386F62"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53ACEB50" w14:textId="77777777" w:rsidTr="00432CC1">
        <w:trPr>
          <w:trHeight w:val="23"/>
          <w:jc w:val="center"/>
        </w:trPr>
        <w:tc>
          <w:tcPr>
            <w:tcW w:w="2418" w:type="dxa"/>
            <w:tcMar>
              <w:top w:w="100" w:type="dxa"/>
              <w:left w:w="100" w:type="dxa"/>
              <w:bottom w:w="100" w:type="dxa"/>
              <w:right w:w="100" w:type="dxa"/>
            </w:tcMar>
            <w:hideMark/>
          </w:tcPr>
          <w:p w14:paraId="4E9C76DE" w14:textId="77777777" w:rsidR="00432CC1" w:rsidRDefault="00432CC1">
            <w:pPr>
              <w:pStyle w:val="NormalWeb"/>
              <w:spacing w:before="0" w:beforeAutospacing="0" w:after="0" w:afterAutospacing="0"/>
            </w:pPr>
            <w:r>
              <w:rPr>
                <w:rFonts w:ascii="Arial" w:hAnsi="Arial" w:cs="Arial"/>
                <w:color w:val="000000"/>
                <w:sz w:val="20"/>
                <w:szCs w:val="20"/>
              </w:rPr>
              <w:t>Design and user experience</w:t>
            </w:r>
          </w:p>
        </w:tc>
        <w:tc>
          <w:tcPr>
            <w:tcW w:w="4692" w:type="dxa"/>
            <w:tcMar>
              <w:top w:w="100" w:type="dxa"/>
              <w:left w:w="100" w:type="dxa"/>
              <w:bottom w:w="100" w:type="dxa"/>
              <w:right w:w="100" w:type="dxa"/>
            </w:tcMar>
            <w:hideMark/>
          </w:tcPr>
          <w:p w14:paraId="6388F61E" w14:textId="77777777" w:rsidR="00432CC1" w:rsidRDefault="00432CC1">
            <w:pPr>
              <w:pStyle w:val="NormalWeb"/>
              <w:spacing w:before="0" w:beforeAutospacing="0" w:after="0" w:afterAutospacing="0"/>
            </w:pPr>
            <w:r>
              <w:rPr>
                <w:rFonts w:ascii="Arial" w:hAnsi="Arial" w:cs="Arial"/>
                <w:color w:val="000000"/>
                <w:sz w:val="20"/>
                <w:szCs w:val="20"/>
              </w:rPr>
              <w:t>No clearly corresponding minimum outcome identified</w:t>
            </w:r>
          </w:p>
        </w:tc>
        <w:tc>
          <w:tcPr>
            <w:tcW w:w="1980" w:type="dxa"/>
            <w:tcMar>
              <w:top w:w="100" w:type="dxa"/>
              <w:left w:w="100" w:type="dxa"/>
              <w:bottom w:w="100" w:type="dxa"/>
              <w:right w:w="100" w:type="dxa"/>
            </w:tcMar>
            <w:hideMark/>
          </w:tcPr>
          <w:p w14:paraId="1856C414"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1C667354" w14:textId="77777777" w:rsidTr="00432CC1">
        <w:trPr>
          <w:trHeight w:val="23"/>
          <w:jc w:val="center"/>
        </w:trPr>
        <w:tc>
          <w:tcPr>
            <w:tcW w:w="2418" w:type="dxa"/>
            <w:tcMar>
              <w:top w:w="100" w:type="dxa"/>
              <w:left w:w="100" w:type="dxa"/>
              <w:bottom w:w="100" w:type="dxa"/>
              <w:right w:w="100" w:type="dxa"/>
            </w:tcMar>
            <w:hideMark/>
          </w:tcPr>
          <w:p w14:paraId="2BCC30CF" w14:textId="77777777" w:rsidR="00432CC1" w:rsidRDefault="00432CC1">
            <w:pPr>
              <w:pStyle w:val="NormalWeb"/>
              <w:spacing w:before="0" w:beforeAutospacing="0" w:after="0" w:afterAutospacing="0"/>
            </w:pPr>
            <w:r>
              <w:rPr>
                <w:rFonts w:ascii="Arial" w:hAnsi="Arial" w:cs="Arial"/>
                <w:color w:val="000000"/>
                <w:sz w:val="20"/>
                <w:szCs w:val="20"/>
              </w:rPr>
              <w:t>Multi-</w:t>
            </w:r>
            <w:proofErr w:type="spellStart"/>
            <w:r>
              <w:rPr>
                <w:rFonts w:ascii="Arial" w:hAnsi="Arial" w:cs="Arial"/>
                <w:color w:val="000000"/>
                <w:sz w:val="20"/>
                <w:szCs w:val="20"/>
              </w:rPr>
              <w:t>lingualism</w:t>
            </w:r>
            <w:proofErr w:type="spellEnd"/>
          </w:p>
        </w:tc>
        <w:tc>
          <w:tcPr>
            <w:tcW w:w="4692" w:type="dxa"/>
            <w:tcMar>
              <w:top w:w="100" w:type="dxa"/>
              <w:left w:w="100" w:type="dxa"/>
              <w:bottom w:w="100" w:type="dxa"/>
              <w:right w:w="100" w:type="dxa"/>
            </w:tcMar>
            <w:hideMark/>
          </w:tcPr>
          <w:p w14:paraId="53793962" w14:textId="77777777" w:rsidR="00432CC1" w:rsidRDefault="00432CC1">
            <w:pPr>
              <w:pStyle w:val="NormalWeb"/>
              <w:spacing w:before="0" w:beforeAutospacing="0" w:after="0" w:afterAutospacing="0"/>
            </w:pPr>
            <w:r>
              <w:rPr>
                <w:rFonts w:ascii="Arial" w:hAnsi="Arial" w:cs="Arial"/>
                <w:color w:val="000000"/>
                <w:sz w:val="20"/>
                <w:szCs w:val="20"/>
              </w:rPr>
              <w:t>Communicate effectively using English and Filipino</w:t>
            </w:r>
          </w:p>
        </w:tc>
        <w:tc>
          <w:tcPr>
            <w:tcW w:w="1980" w:type="dxa"/>
            <w:tcMar>
              <w:top w:w="100" w:type="dxa"/>
              <w:left w:w="100" w:type="dxa"/>
              <w:bottom w:w="100" w:type="dxa"/>
              <w:right w:w="100" w:type="dxa"/>
            </w:tcMar>
            <w:hideMark/>
          </w:tcPr>
          <w:p w14:paraId="6C9B49AD"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78A8F3A8" w14:textId="77777777" w:rsidTr="00432CC1">
        <w:trPr>
          <w:trHeight w:val="107"/>
          <w:jc w:val="center"/>
        </w:trPr>
        <w:tc>
          <w:tcPr>
            <w:tcW w:w="2418" w:type="dxa"/>
            <w:tcMar>
              <w:top w:w="100" w:type="dxa"/>
              <w:left w:w="100" w:type="dxa"/>
              <w:bottom w:w="100" w:type="dxa"/>
              <w:right w:w="100" w:type="dxa"/>
            </w:tcMar>
            <w:hideMark/>
          </w:tcPr>
          <w:p w14:paraId="21630C33" w14:textId="77777777" w:rsidR="00432CC1" w:rsidRDefault="00432CC1">
            <w:pPr>
              <w:pStyle w:val="NormalWeb"/>
              <w:spacing w:before="0" w:beforeAutospacing="0" w:after="0" w:afterAutospacing="0"/>
            </w:pPr>
            <w:r>
              <w:rPr>
                <w:rFonts w:ascii="Arial" w:hAnsi="Arial" w:cs="Arial"/>
                <w:color w:val="000000"/>
                <w:sz w:val="20"/>
                <w:szCs w:val="20"/>
              </w:rPr>
              <w:t>Marketing and media</w:t>
            </w:r>
          </w:p>
        </w:tc>
        <w:tc>
          <w:tcPr>
            <w:tcW w:w="4692" w:type="dxa"/>
            <w:tcMar>
              <w:top w:w="100" w:type="dxa"/>
              <w:left w:w="100" w:type="dxa"/>
              <w:bottom w:w="100" w:type="dxa"/>
              <w:right w:w="100" w:type="dxa"/>
            </w:tcMar>
            <w:hideMark/>
          </w:tcPr>
          <w:p w14:paraId="6FD7BA38" w14:textId="77777777" w:rsidR="00432CC1" w:rsidRDefault="00432CC1">
            <w:pPr>
              <w:pStyle w:val="NormalWeb"/>
              <w:spacing w:before="0" w:beforeAutospacing="0" w:after="0" w:afterAutospacing="0"/>
            </w:pPr>
            <w:r>
              <w:rPr>
                <w:rFonts w:ascii="Arial" w:hAnsi="Arial" w:cs="Arial"/>
                <w:color w:val="000000"/>
                <w:sz w:val="20"/>
                <w:szCs w:val="20"/>
              </w:rPr>
              <w:t>Marketing-related competencies and business applications</w:t>
            </w:r>
          </w:p>
        </w:tc>
        <w:tc>
          <w:tcPr>
            <w:tcW w:w="1980" w:type="dxa"/>
            <w:tcMar>
              <w:top w:w="100" w:type="dxa"/>
              <w:left w:w="100" w:type="dxa"/>
              <w:bottom w:w="100" w:type="dxa"/>
              <w:right w:w="100" w:type="dxa"/>
            </w:tcMar>
            <w:hideMark/>
          </w:tcPr>
          <w:p w14:paraId="420FF14D"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19049089" w14:textId="77777777" w:rsidTr="00432CC1">
        <w:trPr>
          <w:trHeight w:val="23"/>
          <w:jc w:val="center"/>
        </w:trPr>
        <w:tc>
          <w:tcPr>
            <w:tcW w:w="2418" w:type="dxa"/>
            <w:tcMar>
              <w:top w:w="100" w:type="dxa"/>
              <w:left w:w="100" w:type="dxa"/>
              <w:bottom w:w="100" w:type="dxa"/>
              <w:right w:w="100" w:type="dxa"/>
            </w:tcMar>
            <w:hideMark/>
          </w:tcPr>
          <w:p w14:paraId="04986853" w14:textId="77777777" w:rsidR="00432CC1" w:rsidRDefault="00432CC1">
            <w:pPr>
              <w:pStyle w:val="NormalWeb"/>
              <w:spacing w:before="0" w:beforeAutospacing="0" w:after="0" w:afterAutospacing="0"/>
            </w:pPr>
            <w:r>
              <w:rPr>
                <w:rFonts w:ascii="Arial" w:hAnsi="Arial" w:cs="Arial"/>
                <w:color w:val="000000"/>
                <w:sz w:val="20"/>
                <w:szCs w:val="20"/>
              </w:rPr>
              <w:t>Reading, writing and mathematics</w:t>
            </w:r>
          </w:p>
        </w:tc>
        <w:tc>
          <w:tcPr>
            <w:tcW w:w="4692" w:type="dxa"/>
            <w:tcMar>
              <w:top w:w="100" w:type="dxa"/>
              <w:left w:w="100" w:type="dxa"/>
              <w:bottom w:w="100" w:type="dxa"/>
              <w:right w:w="100" w:type="dxa"/>
            </w:tcMar>
            <w:hideMark/>
          </w:tcPr>
          <w:p w14:paraId="65E6E808" w14:textId="77777777" w:rsidR="00432CC1" w:rsidRDefault="00432CC1">
            <w:pPr>
              <w:pStyle w:val="NormalWeb"/>
              <w:spacing w:before="0" w:beforeAutospacing="0" w:after="0" w:afterAutospacing="0"/>
            </w:pPr>
            <w:r>
              <w:rPr>
                <w:rFonts w:ascii="Arial" w:hAnsi="Arial" w:cs="Arial"/>
                <w:color w:val="000000"/>
                <w:sz w:val="20"/>
                <w:szCs w:val="20"/>
              </w:rPr>
              <w:t>Communication, quantitative decision tools, and business research</w:t>
            </w:r>
          </w:p>
        </w:tc>
        <w:tc>
          <w:tcPr>
            <w:tcW w:w="1980" w:type="dxa"/>
            <w:tcMar>
              <w:top w:w="100" w:type="dxa"/>
              <w:left w:w="100" w:type="dxa"/>
              <w:bottom w:w="100" w:type="dxa"/>
              <w:right w:w="100" w:type="dxa"/>
            </w:tcMar>
            <w:hideMark/>
          </w:tcPr>
          <w:p w14:paraId="6660575E"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6193D38D" w14:textId="77777777" w:rsidTr="00432CC1">
        <w:trPr>
          <w:trHeight w:val="23"/>
          <w:jc w:val="center"/>
        </w:trPr>
        <w:tc>
          <w:tcPr>
            <w:tcW w:w="2418" w:type="dxa"/>
            <w:tcMar>
              <w:top w:w="100" w:type="dxa"/>
              <w:left w:w="100" w:type="dxa"/>
              <w:bottom w:w="100" w:type="dxa"/>
              <w:right w:w="100" w:type="dxa"/>
            </w:tcMar>
            <w:hideMark/>
          </w:tcPr>
          <w:p w14:paraId="5F299403" w14:textId="77777777" w:rsidR="00432CC1" w:rsidRDefault="00432CC1">
            <w:pPr>
              <w:pStyle w:val="NormalWeb"/>
              <w:spacing w:before="0" w:beforeAutospacing="0" w:after="0" w:afterAutospacing="0"/>
            </w:pPr>
            <w:r>
              <w:rPr>
                <w:rFonts w:ascii="Arial" w:hAnsi="Arial" w:cs="Arial"/>
                <w:color w:val="000000"/>
                <w:sz w:val="20"/>
                <w:szCs w:val="20"/>
              </w:rPr>
              <w:t>Environmental stewardship</w:t>
            </w:r>
          </w:p>
        </w:tc>
        <w:tc>
          <w:tcPr>
            <w:tcW w:w="4692" w:type="dxa"/>
            <w:tcMar>
              <w:top w:w="100" w:type="dxa"/>
              <w:left w:w="100" w:type="dxa"/>
              <w:bottom w:w="100" w:type="dxa"/>
              <w:right w:w="100" w:type="dxa"/>
            </w:tcMar>
            <w:hideMark/>
          </w:tcPr>
          <w:p w14:paraId="5920126D" w14:textId="77777777" w:rsidR="00432CC1" w:rsidRDefault="00432CC1">
            <w:pPr>
              <w:pStyle w:val="NormalWeb"/>
              <w:spacing w:before="0" w:beforeAutospacing="0" w:after="0" w:afterAutospacing="0"/>
            </w:pPr>
            <w:r>
              <w:rPr>
                <w:rFonts w:ascii="Arial" w:hAnsi="Arial" w:cs="Arial"/>
                <w:color w:val="000000"/>
                <w:sz w:val="20"/>
                <w:szCs w:val="20"/>
              </w:rPr>
              <w:t>Corporate/social responsibility and sustainability-related outcomes</w:t>
            </w:r>
          </w:p>
        </w:tc>
        <w:tc>
          <w:tcPr>
            <w:tcW w:w="1980" w:type="dxa"/>
            <w:tcMar>
              <w:top w:w="100" w:type="dxa"/>
              <w:left w:w="100" w:type="dxa"/>
              <w:bottom w:w="100" w:type="dxa"/>
              <w:right w:w="100" w:type="dxa"/>
            </w:tcMar>
            <w:hideMark/>
          </w:tcPr>
          <w:p w14:paraId="3E6FC98C"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7EFDF272" w14:textId="77777777" w:rsidTr="00432CC1">
        <w:trPr>
          <w:trHeight w:val="23"/>
          <w:jc w:val="center"/>
        </w:trPr>
        <w:tc>
          <w:tcPr>
            <w:tcW w:w="2418" w:type="dxa"/>
            <w:tcMar>
              <w:top w:w="100" w:type="dxa"/>
              <w:left w:w="100" w:type="dxa"/>
              <w:bottom w:w="100" w:type="dxa"/>
              <w:right w:w="100" w:type="dxa"/>
            </w:tcMar>
            <w:hideMark/>
          </w:tcPr>
          <w:p w14:paraId="7F27C44D" w14:textId="77777777" w:rsidR="00432CC1" w:rsidRDefault="00432CC1">
            <w:pPr>
              <w:pStyle w:val="NormalWeb"/>
              <w:spacing w:before="0" w:beforeAutospacing="0" w:after="0" w:afterAutospacing="0"/>
            </w:pPr>
            <w:r>
              <w:rPr>
                <w:rFonts w:ascii="Arial" w:hAnsi="Arial" w:cs="Arial"/>
                <w:color w:val="000000"/>
                <w:sz w:val="20"/>
                <w:szCs w:val="20"/>
              </w:rPr>
              <w:lastRenderedPageBreak/>
              <w:t>Programming</w:t>
            </w:r>
          </w:p>
        </w:tc>
        <w:tc>
          <w:tcPr>
            <w:tcW w:w="4692" w:type="dxa"/>
            <w:tcMar>
              <w:top w:w="100" w:type="dxa"/>
              <w:left w:w="100" w:type="dxa"/>
              <w:bottom w:w="100" w:type="dxa"/>
              <w:right w:w="100" w:type="dxa"/>
            </w:tcMar>
            <w:hideMark/>
          </w:tcPr>
          <w:p w14:paraId="33A2B662" w14:textId="77777777" w:rsidR="00432CC1" w:rsidRDefault="00432CC1">
            <w:pPr>
              <w:pStyle w:val="NormalWeb"/>
              <w:spacing w:before="0" w:beforeAutospacing="0" w:after="0" w:afterAutospacing="0"/>
            </w:pPr>
            <w:r>
              <w:rPr>
                <w:rFonts w:ascii="Arial" w:hAnsi="Arial" w:cs="Arial"/>
                <w:color w:val="000000"/>
                <w:sz w:val="20"/>
                <w:szCs w:val="20"/>
              </w:rPr>
              <w:t>No explicit programming competency identified</w:t>
            </w:r>
          </w:p>
        </w:tc>
        <w:tc>
          <w:tcPr>
            <w:tcW w:w="1980" w:type="dxa"/>
            <w:tcMar>
              <w:top w:w="100" w:type="dxa"/>
              <w:left w:w="100" w:type="dxa"/>
              <w:bottom w:w="100" w:type="dxa"/>
              <w:right w:w="100" w:type="dxa"/>
            </w:tcMar>
            <w:hideMark/>
          </w:tcPr>
          <w:p w14:paraId="043BA38C"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50DEA73E" w14:textId="77777777" w:rsidTr="00432CC1">
        <w:trPr>
          <w:trHeight w:val="23"/>
          <w:jc w:val="center"/>
        </w:trPr>
        <w:tc>
          <w:tcPr>
            <w:tcW w:w="2418" w:type="dxa"/>
            <w:tcMar>
              <w:top w:w="100" w:type="dxa"/>
              <w:left w:w="100" w:type="dxa"/>
              <w:bottom w:w="100" w:type="dxa"/>
              <w:right w:w="100" w:type="dxa"/>
            </w:tcMar>
            <w:hideMark/>
          </w:tcPr>
          <w:p w14:paraId="6F4AEF48" w14:textId="77777777" w:rsidR="00432CC1" w:rsidRDefault="00432CC1">
            <w:pPr>
              <w:pStyle w:val="NormalWeb"/>
              <w:spacing w:before="0" w:beforeAutospacing="0" w:after="0" w:afterAutospacing="0"/>
            </w:pPr>
            <w:r>
              <w:rPr>
                <w:rFonts w:ascii="Arial" w:hAnsi="Arial" w:cs="Arial"/>
                <w:color w:val="000000"/>
                <w:sz w:val="20"/>
                <w:szCs w:val="20"/>
              </w:rPr>
              <w:t>Manual dexterity, endurance and precision</w:t>
            </w:r>
          </w:p>
        </w:tc>
        <w:tc>
          <w:tcPr>
            <w:tcW w:w="4692" w:type="dxa"/>
            <w:tcMar>
              <w:top w:w="100" w:type="dxa"/>
              <w:left w:w="100" w:type="dxa"/>
              <w:bottom w:w="100" w:type="dxa"/>
              <w:right w:w="100" w:type="dxa"/>
            </w:tcMar>
            <w:hideMark/>
          </w:tcPr>
          <w:p w14:paraId="28CA7E57" w14:textId="77777777" w:rsidR="00432CC1" w:rsidRDefault="00432CC1">
            <w:pPr>
              <w:pStyle w:val="NormalWeb"/>
              <w:spacing w:before="0" w:beforeAutospacing="0" w:after="0" w:afterAutospacing="0"/>
            </w:pPr>
            <w:r>
              <w:rPr>
                <w:rFonts w:ascii="Arial" w:hAnsi="Arial" w:cs="Arial"/>
                <w:color w:val="000000"/>
                <w:sz w:val="20"/>
                <w:szCs w:val="20"/>
              </w:rPr>
              <w:t>No clearly corresponding graduate outcome identified</w:t>
            </w:r>
          </w:p>
        </w:tc>
        <w:tc>
          <w:tcPr>
            <w:tcW w:w="1980" w:type="dxa"/>
            <w:tcMar>
              <w:top w:w="100" w:type="dxa"/>
              <w:left w:w="100" w:type="dxa"/>
              <w:bottom w:w="100" w:type="dxa"/>
              <w:right w:w="100" w:type="dxa"/>
            </w:tcMar>
            <w:hideMark/>
          </w:tcPr>
          <w:p w14:paraId="7B5D99B5"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151AA932" w14:textId="77777777" w:rsidTr="00432CC1">
        <w:trPr>
          <w:trHeight w:val="23"/>
          <w:jc w:val="center"/>
        </w:trPr>
        <w:tc>
          <w:tcPr>
            <w:tcW w:w="2418" w:type="dxa"/>
            <w:tcMar>
              <w:top w:w="100" w:type="dxa"/>
              <w:left w:w="100" w:type="dxa"/>
              <w:bottom w:w="100" w:type="dxa"/>
              <w:right w:w="100" w:type="dxa"/>
            </w:tcMar>
            <w:hideMark/>
          </w:tcPr>
          <w:p w14:paraId="08C2E459" w14:textId="77777777" w:rsidR="00432CC1" w:rsidRDefault="00432CC1">
            <w:pPr>
              <w:pStyle w:val="NormalWeb"/>
              <w:spacing w:before="0" w:beforeAutospacing="0" w:after="0" w:afterAutospacing="0"/>
            </w:pPr>
            <w:r>
              <w:rPr>
                <w:rFonts w:ascii="Arial" w:hAnsi="Arial" w:cs="Arial"/>
                <w:color w:val="000000"/>
                <w:sz w:val="20"/>
                <w:szCs w:val="20"/>
              </w:rPr>
              <w:t>Global citizenship</w:t>
            </w:r>
          </w:p>
        </w:tc>
        <w:tc>
          <w:tcPr>
            <w:tcW w:w="4692" w:type="dxa"/>
            <w:tcMar>
              <w:top w:w="100" w:type="dxa"/>
              <w:left w:w="100" w:type="dxa"/>
              <w:bottom w:w="100" w:type="dxa"/>
              <w:right w:w="100" w:type="dxa"/>
            </w:tcMar>
            <w:hideMark/>
          </w:tcPr>
          <w:p w14:paraId="37BED03F" w14:textId="77777777" w:rsidR="00432CC1" w:rsidRDefault="00432CC1">
            <w:pPr>
              <w:pStyle w:val="NormalWeb"/>
              <w:spacing w:before="0" w:beforeAutospacing="0" w:after="0" w:afterAutospacing="0"/>
            </w:pPr>
            <w:r>
              <w:rPr>
                <w:rFonts w:ascii="Arial" w:hAnsi="Arial" w:cs="Arial"/>
                <w:color w:val="000000"/>
                <w:sz w:val="20"/>
                <w:szCs w:val="20"/>
              </w:rPr>
              <w:t>Professional, social, and ethical responsibility; multicultural teamwork</w:t>
            </w:r>
          </w:p>
        </w:tc>
        <w:tc>
          <w:tcPr>
            <w:tcW w:w="1980" w:type="dxa"/>
            <w:tcMar>
              <w:top w:w="100" w:type="dxa"/>
              <w:left w:w="100" w:type="dxa"/>
              <w:bottom w:w="100" w:type="dxa"/>
              <w:right w:w="100" w:type="dxa"/>
            </w:tcMar>
            <w:hideMark/>
          </w:tcPr>
          <w:p w14:paraId="2E47D748"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5C8E0581" w14:textId="77777777" w:rsidTr="00432CC1">
        <w:trPr>
          <w:trHeight w:val="23"/>
          <w:jc w:val="center"/>
        </w:trPr>
        <w:tc>
          <w:tcPr>
            <w:tcW w:w="2418" w:type="dxa"/>
            <w:tcBorders>
              <w:bottom w:val="single" w:sz="4" w:space="0" w:color="auto"/>
            </w:tcBorders>
            <w:tcMar>
              <w:top w:w="100" w:type="dxa"/>
              <w:left w:w="100" w:type="dxa"/>
              <w:bottom w:w="100" w:type="dxa"/>
              <w:right w:w="100" w:type="dxa"/>
            </w:tcMar>
            <w:hideMark/>
          </w:tcPr>
          <w:p w14:paraId="3AD993F1" w14:textId="77777777" w:rsidR="00432CC1" w:rsidRDefault="00432CC1">
            <w:pPr>
              <w:pStyle w:val="NormalWeb"/>
              <w:spacing w:before="0" w:beforeAutospacing="0" w:after="0" w:afterAutospacing="0"/>
            </w:pPr>
            <w:r>
              <w:rPr>
                <w:rFonts w:ascii="Arial" w:hAnsi="Arial" w:cs="Arial"/>
                <w:color w:val="000000"/>
                <w:sz w:val="20"/>
                <w:szCs w:val="20"/>
              </w:rPr>
              <w:t>Sensory-processing abilities</w:t>
            </w:r>
          </w:p>
        </w:tc>
        <w:tc>
          <w:tcPr>
            <w:tcW w:w="4692" w:type="dxa"/>
            <w:tcBorders>
              <w:bottom w:val="single" w:sz="4" w:space="0" w:color="auto"/>
            </w:tcBorders>
            <w:tcMar>
              <w:top w:w="100" w:type="dxa"/>
              <w:left w:w="100" w:type="dxa"/>
              <w:bottom w:w="100" w:type="dxa"/>
              <w:right w:w="100" w:type="dxa"/>
            </w:tcMar>
            <w:hideMark/>
          </w:tcPr>
          <w:p w14:paraId="480D67E8" w14:textId="77777777" w:rsidR="00432CC1" w:rsidRDefault="00432CC1">
            <w:pPr>
              <w:pStyle w:val="NormalWeb"/>
              <w:spacing w:before="0" w:beforeAutospacing="0" w:after="0" w:afterAutospacing="0"/>
            </w:pPr>
            <w:r>
              <w:rPr>
                <w:rFonts w:ascii="Arial" w:hAnsi="Arial" w:cs="Arial"/>
                <w:color w:val="000000"/>
                <w:sz w:val="20"/>
                <w:szCs w:val="20"/>
              </w:rPr>
              <w:t>No clearly corresponding graduate outcome identified</w:t>
            </w:r>
          </w:p>
        </w:tc>
        <w:tc>
          <w:tcPr>
            <w:tcW w:w="1980" w:type="dxa"/>
            <w:tcBorders>
              <w:bottom w:val="single" w:sz="4" w:space="0" w:color="auto"/>
            </w:tcBorders>
            <w:tcMar>
              <w:top w:w="100" w:type="dxa"/>
              <w:left w:w="100" w:type="dxa"/>
              <w:bottom w:w="100" w:type="dxa"/>
              <w:right w:w="100" w:type="dxa"/>
            </w:tcMar>
            <w:hideMark/>
          </w:tcPr>
          <w:p w14:paraId="45580393"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bl>
    <w:p w14:paraId="09797EB7" w14:textId="77777777" w:rsidR="00432CC1" w:rsidRPr="007253F3" w:rsidRDefault="00432CC1" w:rsidP="00432CC1">
      <w:pPr>
        <w:rPr>
          <w:sz w:val="20"/>
          <w:szCs w:val="20"/>
        </w:rPr>
      </w:pPr>
    </w:p>
    <w:p w14:paraId="5E447A39"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The results indicate that the strongest correspondence is observed in analytical thinking, creative thinking, leadership, technological literacy, communication, management, research, and operational capabilities. These findings align with the outcomes specified by CHED. The CMO mandates that graduates select appropriate decision tools to solve problems critically, analytically, and creatively; apply ICT effectively; collaborate with stakeholders; perform management functions; analyze the business environment; prepare operational plans; innovate business ideas; manage strategic business units; and conduct business research (CHED, 2017).</w:t>
      </w:r>
    </w:p>
    <w:p w14:paraId="0411C6F6"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The correspondence in analytical thinking is particularly significant. The WEF identifies analytical thinking as a core skill, and CHED integrates analytical capability into decision-making, environmental analysis, and business research outcomes. This alignment indicates that the BSBA framework already acknowledges a cognitive capability central to both current and future workforce demands. This finding is consistent with recent curriculum research that emphasizes the growing importance of analytical and data-related capabilities in business education (Akhtar et al., 2024; </w:t>
      </w:r>
      <w:proofErr w:type="spellStart"/>
      <w:r w:rsidRPr="007253F3">
        <w:rPr>
          <w:rFonts w:ascii="Arial" w:hAnsi="Arial" w:cs="Arial"/>
          <w:color w:val="000000"/>
          <w:sz w:val="20"/>
          <w:szCs w:val="20"/>
        </w:rPr>
        <w:t>Javadian</w:t>
      </w:r>
      <w:proofErr w:type="spellEnd"/>
      <w:r w:rsidRPr="007253F3">
        <w:rPr>
          <w:rFonts w:ascii="Arial" w:hAnsi="Arial" w:cs="Arial"/>
          <w:color w:val="000000"/>
          <w:sz w:val="20"/>
          <w:szCs w:val="20"/>
        </w:rPr>
        <w:t xml:space="preserve"> Sabet et al., 2024).</w:t>
      </w:r>
    </w:p>
    <w:p w14:paraId="390A6E36"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Creative thinking also exhibits explicit correspondence. The WEF identifies creative thinking as a major skill projected to grow in importance by 2030, while CHED explicitly incorporates creative problem-solving and innovation in response to emerging industry needs. This is significant because it demonstrates that the regulatory framework extends beyond established business knowledge and acknowledges the need for graduates to develop new responses to evolving environments.</w:t>
      </w:r>
    </w:p>
    <w:p w14:paraId="6032D2D9"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Correspondence is also evident in leadership and interpersonal capabilities. CHED requires graduates to engage with stakeholders, manage conflict, perform management functions, and oversee strategic business units. These outcomes broadly support the WEF's emphasis on leadership and social influence, empathy and active listening, and talent management. Recent research similarly highlights that graduate employability increasingly depends on combinations of interpersonal, leadership, and transferable capabilities rather than narrowly specialized knowledge (Bilderback &amp; Thompson, 2025; Hruby, 2026; Kmiotek-Meier et al., 2024).</w:t>
      </w:r>
    </w:p>
    <w:p w14:paraId="18CFC8BE"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The most significant divergence arises in technology-specific skills. While CHED explicitly requires ICT capability, the framework does not specifically identify AI and big data, networks and cybersecurity, or programming as minimum BSBA graduate competencies. This distinction is important because the WEF identifies AI and big data, networks and cybersecurity, and technological literacy as among the fastest-growing skills toward 2030 (WEF, 2025).</w:t>
      </w:r>
    </w:p>
    <w:p w14:paraId="7654E8CD"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This finding does not imply that BSBA students lack exposure to technology. Instead, it indicates that the national competency framework articulates general technological capability more clearly than emerging technological specializations. This distinction is significant because technological literacy and the ability to work with AI, large datasets, cybersecurity systems, or programming environments are related but distinct capabilities. Recent research on business education similarly identifies data analytics, programming, AI, and other </w:t>
      </w:r>
      <w:r w:rsidRPr="007253F3">
        <w:rPr>
          <w:rFonts w:ascii="Arial" w:hAnsi="Arial" w:cs="Arial"/>
          <w:color w:val="000000"/>
          <w:sz w:val="20"/>
          <w:szCs w:val="20"/>
        </w:rPr>
        <w:lastRenderedPageBreak/>
        <w:t>technology-intensive competencies as areas requiring enhanced curricular attention (Akhtar et al., 2024; Brattin, 2025; Jha &amp; Doshi, 2025).</w:t>
      </w:r>
    </w:p>
    <w:p w14:paraId="32740120"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The correspondence analysis further illustrates why a simple keyword-matching approach is inadequate. Certain WEF skills are reflected in CHED through broader outcomes. For instance, systems thinking is not listed as a standalone competency, but the requirement to analyze the business environment for strategic direction and manage strategic business units encompasses a broader systems-oriented capability. Similarly, empathy and active listening are not explicitly named, yet stakeholder engagement and conflict management provide a broader competency context in which these abilities may be developed. Felby et al. (2024) also demonstrate that curriculum–labor-market alignment often depends on the level at which competencies are articulated rather than on exact terminology.</w:t>
      </w:r>
    </w:p>
    <w:p w14:paraId="275BFDD2"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Accordingly, the analysis of RQ2 reveals a pattern of substantial but uneven correspondence. The CHED framework aligns strongly with transferable cognitive, managerial, interpersonal, communication, and general technological capabilities. However, correspondence is weaker in areas where the WEF identifies rapidly emerging, specialized technology-related skills.</w:t>
      </w:r>
    </w:p>
    <w:p w14:paraId="0F2528EC" w14:textId="77777777" w:rsidR="007253F3" w:rsidRPr="007253F3" w:rsidRDefault="007253F3" w:rsidP="007253F3">
      <w:pPr>
        <w:rPr>
          <w:sz w:val="20"/>
          <w:szCs w:val="20"/>
        </w:rPr>
      </w:pPr>
    </w:p>
    <w:p w14:paraId="1F9FB217" w14:textId="77777777" w:rsidR="007253F3" w:rsidRPr="007253F3" w:rsidRDefault="007253F3" w:rsidP="007253F3">
      <w:pPr>
        <w:pStyle w:val="Heading3"/>
        <w:spacing w:before="0"/>
        <w:rPr>
          <w:b/>
          <w:bCs/>
          <w:sz w:val="22"/>
          <w:szCs w:val="22"/>
        </w:rPr>
      </w:pPr>
      <w:r w:rsidRPr="007253F3">
        <w:rPr>
          <w:rFonts w:ascii="Arial" w:hAnsi="Arial" w:cs="Arial"/>
          <w:b/>
          <w:bCs/>
          <w:color w:val="000000"/>
          <w:sz w:val="22"/>
          <w:szCs w:val="22"/>
        </w:rPr>
        <w:t>3.3 What the Correspondence Indicates About Philippine BSBA Education as Human-Capital Development</w:t>
      </w:r>
    </w:p>
    <w:p w14:paraId="4C7FD35A" w14:textId="77777777" w:rsidR="007253F3" w:rsidRPr="007253F3" w:rsidRDefault="007253F3" w:rsidP="007253F3">
      <w:pPr>
        <w:rPr>
          <w:sz w:val="20"/>
          <w:szCs w:val="20"/>
        </w:rPr>
      </w:pPr>
    </w:p>
    <w:p w14:paraId="5EDC09F9"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The third research question extends the analysis from identifying correspondence to interpreting its implications for BSBA education as a form of human-capital development. Human Capital Theory frames the central issue as whether education cultivates capabilities that enable productive labor market participation and retain value amid evolving work environments (Becker, 1964). Recent research by Deming and Silliman (2025) further underscores that human capital is multidimensional, encompassing higher-order capacities such as social and decision-making skills, rather than being limited to years of education or a single cognitive metric.</w:t>
      </w:r>
    </w:p>
    <w:p w14:paraId="3A776CF9"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The findings suggest that Philippine BSBA education establishes a durable foundation of transferable human capital. The strong alignment with analytical thinking, creative thinking, leadership, communication, stakeholder engagement, management, research, innovation, and ICT indicates that the regulatory framework fosters capabilities applicable across diverse business functions and evolving work environments. These capabilities are not tied to specific technologies or occupations, enhancing their value as the nature of work changes.</w:t>
      </w:r>
    </w:p>
    <w:p w14:paraId="129C6C4B"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This interpretation aligns with evidence that higher education enhances employability through both occupation-specific knowledge and transferable capabilities. Kmiotek-Meier et al. (2024) found that graduate labor-market requirements span multiple occupational domains, while Bilderback and Thompson (2025) highlight the significance of interdisciplinary, global, technological, and leadership skills in preparing graduates for interconnected economies.</w:t>
      </w:r>
    </w:p>
    <w:p w14:paraId="15F338F0"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The findings do not support the assertion that Philippine BSBA education is fundamentally misaligned with current workforce requirements. Such a claim would disregard the substantial correspondence identified in the analysis. Instead, the results indicate that the framework is more attuned to enduring and transferable forms of human capital than to rapidly emerging, technology-specific competencies.</w:t>
      </w:r>
    </w:p>
    <w:p w14:paraId="2EDC11CD"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This distinction is central to the study's contribution. A curriculum can foster adaptable graduates without explicitly referencing every emerging technology. Analytical thinking, creativity, research capability, communication, leadership, and problem-solving skills enable graduates to acquire new knowledge and adapt to evolving work conditions. Recent evidence on graduate work readiness also demonstrates that technological adaptability is distinct from basic digital literacy and serves as a key mechanism for responding to changing work environments (Dara, 2026).</w:t>
      </w:r>
    </w:p>
    <w:p w14:paraId="4BA3AB4E"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lastRenderedPageBreak/>
        <w:t>However, transferable capabilities do not eliminate the need for technology-specific skills. AI, big data, cybersecurity, and programming are increasingly integral to contemporary business processes. As these competencies become more critical to productive work, general ICT proficiency may not suffice for certain emerging roles. Akhtar et al. (2024) found that modern business curricula must increasingly incorporate analytical, big-data, programming, and IT-based skills, while Brattin (2025) demonstrated that competency-based academic frameworks may overlook the process-oriented demands of industry practice.</w:t>
      </w:r>
    </w:p>
    <w:p w14:paraId="60EFB443"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The issue can thus be framed as a distinction between durability and specificity. Durable competencies offer human capital that retains value through occupational and technological changes, while specific technological skills provide immediate capability for particular roles. The results suggest that CHED has established a strong foundation of durable competencies, while allowing institutions flexibility to address the technological specificity required by emerging work.</w:t>
      </w:r>
    </w:p>
    <w:p w14:paraId="66E361E1"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This interpretation aligns with the design of CMO No. 17, s. 2017, which sets minimum outcomes while granting higher education institutions the flexibility to innovate curricula based on their context and mission. Therefore, the lack of explicit AI, big-data, cybersecurity, and programming outcomes at the national level does not preclude individual BSBA programs from offering these competencies. Rather, it indicates that such emerging capabilities are not yet explicitly incorporated into the national minimum competency framework.</w:t>
      </w:r>
    </w:p>
    <w:p w14:paraId="3C2ED206"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Recent curriculum research affirms the value of curricular flexibility. </w:t>
      </w:r>
      <w:proofErr w:type="spellStart"/>
      <w:r w:rsidRPr="007253F3">
        <w:rPr>
          <w:rFonts w:ascii="Arial" w:hAnsi="Arial" w:cs="Arial"/>
          <w:color w:val="000000"/>
          <w:sz w:val="20"/>
          <w:szCs w:val="20"/>
        </w:rPr>
        <w:t>Andonovikj</w:t>
      </w:r>
      <w:proofErr w:type="spellEnd"/>
      <w:r w:rsidRPr="007253F3">
        <w:rPr>
          <w:rFonts w:ascii="Arial" w:hAnsi="Arial" w:cs="Arial"/>
          <w:color w:val="000000"/>
          <w:sz w:val="20"/>
          <w:szCs w:val="20"/>
        </w:rPr>
        <w:t xml:space="preserve"> et al. (2024) demonstrate that labor-market data can inform curriculum adjustments, while Cheung et al. (2026) show that systematic alignment between learning outcomes and professional requirements enhances employability without sacrificing disciplinary depth. Felby et al. (2024) also highlight the importance of systematically comparing the supply of educational competence with labor-market demand.</w:t>
      </w:r>
    </w:p>
    <w:p w14:paraId="6B3C0F7C"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This issue is particularly salient in the Philippine context. Recent evidence highlights persistent mismatches between education, occupation, and skills, underscoring the need for enhanced labor-market information and skills-anticipation mechanisms (Bayudan-Dacuycuy et al., 2025a, 2025b). The Philippine Institute for Development Studies has called for improved skills taxonomies, more detailed labor-market data, and stronger institutional coordination to support skills anticipation. Monteverde et al. (2025) similarly identify ongoing mismatches between training provision and labor demand, emphasizing the importance of aligning workforce development with technological advancements.</w:t>
      </w:r>
    </w:p>
    <w:p w14:paraId="7A2B0A0B"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These Philippine findings reinforce the interpretation presented in this study. The central issue is not merely whether CHED should incorporate additional skills into the BSBA framework, but whether the national competency framework and the HEIs implementing it possess adequate mechanisms to continuously translate labor-market intelligence into human capital development. As workforce demand evolves more rapidly than formal regulatory frameworks, a static competency framework may retain relevance in its transferable foundations while becoming less explicit regarding emerging technologies.</w:t>
      </w:r>
    </w:p>
    <w:p w14:paraId="602D4DE4"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This interpretation also avoids an overly deterministic perspective on curriculum alignment. Nelson et al. (2025) caution against viewing mismatch as a straightforward relationship between education and employment outcomes, emphasizing the complexity of long-term work-life trajectories. Similarly, Juma (2025) contends that addressing skills gaps requires more than technical curriculum adjustments, encompassing reskilling, digital literacy, experiential learning, and stronger education–industry partnerships.</w:t>
      </w:r>
    </w:p>
    <w:p w14:paraId="45121472"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The results suggest that human-capital development should be conceptualized as a continuum rather than a singular curricular outcome. Formal BSBA education provides foundational capabilities, while subsequent specialization, work-integrated learning, professional development, and continuing education build more specific competencies as technologies and occupations evolve. This perspective aligns with the World Economic </w:t>
      </w:r>
      <w:r w:rsidRPr="007253F3">
        <w:rPr>
          <w:rFonts w:ascii="Arial" w:hAnsi="Arial" w:cs="Arial"/>
          <w:color w:val="000000"/>
          <w:sz w:val="20"/>
          <w:szCs w:val="20"/>
        </w:rPr>
        <w:lastRenderedPageBreak/>
        <w:t>Forum's emphasis on upskilling and reskilling as essential responses to changing work environments (WEF, 2025).</w:t>
      </w:r>
    </w:p>
    <w:p w14:paraId="60C02006" w14:textId="77777777" w:rsidR="00432CC1" w:rsidRPr="007253F3" w:rsidRDefault="00432CC1" w:rsidP="00964D0D">
      <w:pPr>
        <w:rPr>
          <w:sz w:val="20"/>
          <w:szCs w:val="20"/>
        </w:rPr>
      </w:pPr>
    </w:p>
    <w:p w14:paraId="0122478D" w14:textId="77777777" w:rsidR="007253F3" w:rsidRPr="007253F3" w:rsidRDefault="007253F3" w:rsidP="007253F3">
      <w:pPr>
        <w:pStyle w:val="Heading3"/>
        <w:spacing w:before="0"/>
        <w:rPr>
          <w:b/>
          <w:bCs/>
          <w:sz w:val="22"/>
          <w:szCs w:val="22"/>
        </w:rPr>
      </w:pPr>
      <w:r w:rsidRPr="007253F3">
        <w:rPr>
          <w:rFonts w:ascii="Arial" w:hAnsi="Arial" w:cs="Arial"/>
          <w:b/>
          <w:bCs/>
          <w:color w:val="000000"/>
          <w:sz w:val="22"/>
          <w:szCs w:val="22"/>
        </w:rPr>
        <w:t>3.4 Overall Synthesis of the Three Research Questions</w:t>
      </w:r>
    </w:p>
    <w:p w14:paraId="1B1FAF96" w14:textId="77777777" w:rsidR="007253F3" w:rsidRPr="007253F3" w:rsidRDefault="007253F3" w:rsidP="007253F3">
      <w:pPr>
        <w:rPr>
          <w:sz w:val="20"/>
          <w:szCs w:val="20"/>
        </w:rPr>
      </w:pPr>
    </w:p>
    <w:p w14:paraId="299FCC49"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Collectively, the three research questions yield a coherent set of findings.</w:t>
      </w:r>
    </w:p>
    <w:p w14:paraId="726CD3BC"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RQ1 established that workforce demand is evolving in two concurrent directions. Enduring human capabilities, including analytical thinking, creativity, resilience, leadership, and interpersonal skills, remain essential. In contrast, technology-intensive capabilities, such as artificial intelligence, big data, cybersecurity, and technological literacy, are projected to increase substantially by 2030.</w:t>
      </w:r>
    </w:p>
    <w:p w14:paraId="5403D93B"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RQ2 demonstrated that the CHED BSBA framework aligns closely with enduring human capabilities, but less explicitly with technology-intensive skills. The strongest alignment is observed in analytical, creative, managerial, interpersonal, communication, research, innovation, and general information and communications technology (ICT) capabilities. The weakest alignment pertains to rapidly emerging technical skills, particularly artificial intelligence, big data, networks, cybersecurity, and programming.</w:t>
      </w:r>
    </w:p>
    <w:p w14:paraId="32B18D51" w14:textId="7952C711"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RQ3 indicates that this pattern reflects neither complete alignment nor fundamental curricular obsolescence. Instead, Philippine BSBA education provides a durable foundation of transferable human capital, while assigning greater responsibility for developing emerging technology-specific capabilities to curricular enhancement, specialization, work-integrated learning, and continuing education. This interpretation broadens the concept of curriculum–workforce alignment beyond a simple checklist of matching competencies. The central issue is not whether every workforce skill is explicitly listed in the CHED framework. Rather, the more meaningful human-capital question concerns whether the framework cultivates a portfolio of capabilities that is productive, transferable, and sufficiently responsive to evolving work requirements.</w:t>
      </w:r>
    </w:p>
    <w:p w14:paraId="3D6D898F" w14:textId="43FCD199"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The findings indicate that Philippine BSBA education performs relatively well in developing broadly applicable capabilities across business contexts and occupations. Its primary limitation lies in the explicit anticipation of rapidly emerging technological capabilities. This limitation does not undermine the existing framework; instead, it highlights a potential responsiveness issue, where the durable human-capital foundation is more robust than its explicit technological component.</w:t>
      </w:r>
    </w:p>
    <w:p w14:paraId="45B8EFD3" w14:textId="77777777" w:rsidR="007253F3" w:rsidRDefault="007253F3" w:rsidP="00964D0D"/>
    <w:p w14:paraId="37F9CC9A" w14:textId="77777777" w:rsidR="008A5658" w:rsidRPr="007253F3" w:rsidRDefault="008A5658" w:rsidP="008A5658">
      <w:pPr>
        <w:pStyle w:val="Heading1"/>
        <w:spacing w:before="0" w:after="0"/>
        <w:rPr>
          <w:sz w:val="22"/>
          <w:szCs w:val="22"/>
        </w:rPr>
      </w:pPr>
      <w:r w:rsidRPr="007253F3">
        <w:rPr>
          <w:rFonts w:cs="Arial"/>
          <w:color w:val="000000"/>
          <w:sz w:val="22"/>
          <w:szCs w:val="22"/>
        </w:rPr>
        <w:t>4. CONCLUSION</w:t>
      </w:r>
    </w:p>
    <w:p w14:paraId="052AF1F6" w14:textId="77777777" w:rsidR="008A5658" w:rsidRDefault="008A5658" w:rsidP="008A5658"/>
    <w:p w14:paraId="2961DDBF" w14:textId="77777777" w:rsidR="007253F3" w:rsidRDefault="007253F3" w:rsidP="007253F3">
      <w:pPr>
        <w:pStyle w:val="NormalWeb"/>
        <w:spacing w:before="0" w:beforeAutospacing="0" w:after="0" w:afterAutospacing="0"/>
      </w:pPr>
      <w:r>
        <w:rPr>
          <w:rFonts w:ascii="Arial" w:hAnsi="Arial" w:cs="Arial"/>
          <w:color w:val="000000"/>
          <w:sz w:val="20"/>
          <w:szCs w:val="20"/>
        </w:rPr>
        <w:t>This study demonstrates that the relevance of Philippine BSBA education is most effectively assessed by its capacity to develop human capital that retains economic value as labor-market requirements evolve, rather than solely by the alignment of competencies with specific workforce skills. The analysis affirms the enduring significance of broad, transferable capabilities and emphasizes the necessity for educational systems to remain responsive to emerging specialized competencies.</w:t>
      </w:r>
    </w:p>
    <w:p w14:paraId="2A84BF9B" w14:textId="77777777" w:rsidR="007253F3" w:rsidRDefault="007253F3" w:rsidP="007253F3">
      <w:pPr>
        <w:pStyle w:val="NormalWeb"/>
        <w:spacing w:before="0" w:beforeAutospacing="0" w:after="0" w:afterAutospacing="0"/>
      </w:pPr>
      <w:r>
        <w:rPr>
          <w:rFonts w:ascii="Arial" w:hAnsi="Arial" w:cs="Arial"/>
          <w:color w:val="000000"/>
          <w:sz w:val="20"/>
          <w:szCs w:val="20"/>
        </w:rPr>
        <w:t>From the perspective of Human Capital Theory, this distinction is significant because the value of education extends beyond preparation for specific occupations. Education fosters capabilities that enable individuals to adapt across various roles and evolving work environments, thereby supporting ongoing human capital accumulation (Becker, 1964; Deming &amp; Silliman, 2025). Technological advancements can shift the types of capabilities that are valued in the labor market. Consequently, responsiveness requires both maintaining a durable competency foundation and facilitating the acquisition of new capabilities as their economic relevance emerges.</w:t>
      </w:r>
    </w:p>
    <w:p w14:paraId="41B76145" w14:textId="77777777" w:rsidR="007253F3" w:rsidRPr="007253F3" w:rsidRDefault="007253F3" w:rsidP="007253F3">
      <w:pPr>
        <w:pStyle w:val="NormalWeb"/>
        <w:spacing w:before="0" w:beforeAutospacing="0" w:after="0" w:afterAutospacing="0"/>
      </w:pPr>
      <w:r w:rsidRPr="007253F3">
        <w:rPr>
          <w:rFonts w:ascii="Arial" w:hAnsi="Arial" w:cs="Arial"/>
          <w:color w:val="000000"/>
          <w:sz w:val="20"/>
          <w:szCs w:val="20"/>
        </w:rPr>
        <w:t xml:space="preserve">The primary contribution of this study is its framing of curriculum relevance as an economic issue of human-capital responsiveness. This approach transcends the conventional view of curriculum alignment as merely matching educational competencies with workforce </w:t>
      </w:r>
      <w:r w:rsidRPr="007253F3">
        <w:rPr>
          <w:rFonts w:ascii="Arial" w:hAnsi="Arial" w:cs="Arial"/>
          <w:color w:val="000000"/>
          <w:sz w:val="20"/>
          <w:szCs w:val="20"/>
        </w:rPr>
        <w:lastRenderedPageBreak/>
        <w:t>requirements. It asserts that an effective educational framework must balance capabilities that possess enduring value across contexts with the capacity to facilitate adaptation to evolving skill demands. This perspective offers a more dynamic understanding of how higher education supports the development of labor-market capabilities.</w:t>
      </w:r>
    </w:p>
    <w:p w14:paraId="331B643E" w14:textId="77777777" w:rsidR="007253F3" w:rsidRPr="007253F3" w:rsidRDefault="007253F3" w:rsidP="007253F3">
      <w:pPr>
        <w:pStyle w:val="NormalWeb"/>
        <w:spacing w:before="0" w:beforeAutospacing="0" w:after="0" w:afterAutospacing="0"/>
      </w:pPr>
      <w:r w:rsidRPr="007253F3">
        <w:rPr>
          <w:rFonts w:ascii="Arial" w:hAnsi="Arial" w:cs="Arial"/>
          <w:color w:val="000000"/>
          <w:sz w:val="20"/>
          <w:szCs w:val="20"/>
        </w:rPr>
        <w:t>For Philippine BSBA education, the implication is the need for sustained responsiveness within an established competency foundation, rather than comprehensive curricular replacement. National standards should offer broad and enduring capabilities, while institutional curricula can create opportunities for students to acquire emerging competencies as labor-market requirements change. Preserving this balance can enhance the economic relevance of BSBA education without limiting business education to transient technical skills.</w:t>
      </w:r>
    </w:p>
    <w:p w14:paraId="3CE15FA3" w14:textId="77777777" w:rsidR="007253F3" w:rsidRDefault="007253F3" w:rsidP="007253F3"/>
    <w:p w14:paraId="2D1EC423" w14:textId="77777777" w:rsidR="007253F3" w:rsidRPr="007253F3" w:rsidRDefault="007253F3" w:rsidP="007253F3">
      <w:pPr>
        <w:pStyle w:val="Heading3"/>
        <w:spacing w:before="0"/>
        <w:rPr>
          <w:b/>
          <w:bCs/>
          <w:sz w:val="22"/>
          <w:szCs w:val="22"/>
        </w:rPr>
      </w:pPr>
      <w:r w:rsidRPr="007253F3">
        <w:rPr>
          <w:rFonts w:ascii="Arial" w:hAnsi="Arial" w:cs="Arial"/>
          <w:b/>
          <w:bCs/>
          <w:color w:val="000000"/>
          <w:sz w:val="22"/>
          <w:szCs w:val="22"/>
        </w:rPr>
        <w:t>4.1. Limitations and Directions for Future Research</w:t>
      </w:r>
    </w:p>
    <w:p w14:paraId="105736FA" w14:textId="77777777" w:rsidR="007253F3" w:rsidRDefault="007253F3" w:rsidP="007253F3"/>
    <w:p w14:paraId="729F5DDA" w14:textId="172A7317" w:rsidR="007253F3" w:rsidRDefault="007253F3" w:rsidP="007253F3">
      <w:pPr>
        <w:pStyle w:val="NormalWeb"/>
        <w:spacing w:before="0" w:beforeAutospacing="0" w:after="0" w:afterAutospacing="0"/>
      </w:pPr>
      <w:r>
        <w:rPr>
          <w:rFonts w:ascii="Arial" w:hAnsi="Arial" w:cs="Arial"/>
          <w:color w:val="000000"/>
          <w:sz w:val="20"/>
          <w:szCs w:val="20"/>
        </w:rPr>
        <w:t xml:space="preserve">This study has three principal limitations. First, its scope of comparison is intentionally limited to the World Economic Forum's </w:t>
      </w:r>
      <w:r>
        <w:rPr>
          <w:rFonts w:ascii="Arial" w:hAnsi="Arial" w:cs="Arial"/>
          <w:i/>
          <w:iCs/>
          <w:color w:val="000000"/>
          <w:sz w:val="20"/>
          <w:szCs w:val="20"/>
        </w:rPr>
        <w:t>Future of Jobs Report 2025</w:t>
      </w:r>
      <w:r>
        <w:rPr>
          <w:rFonts w:ascii="Arial" w:hAnsi="Arial" w:cs="Arial"/>
          <w:color w:val="000000"/>
          <w:sz w:val="20"/>
          <w:szCs w:val="20"/>
        </w:rPr>
        <w:t xml:space="preserve"> and the Commission on Higher Education's BSBA competency framework under CMO No. 17, s. 2017; as a result, it does not capture the full spectrum of Philippine labor-market requirements or institutional curricula. Second, the analysis focuses on national competency standards rather than their implementation at the level of individual higher education institutions. Third, the qualitative correspondence analysis identifies relationships between documentary frameworks but does not assess graduates' actual skill proficiency, employment outcomes, productivity, or returns to education. Future research could address these limitations by examining institution-level curricula and learning outcomes, integrating evidence from Philippine employers and labor market data, and evaluating whether the competencies specified in national standards are associated with graduate employment and other labor market outcomes.</w:t>
      </w:r>
    </w:p>
    <w:p w14:paraId="4ECFFF06" w14:textId="77777777" w:rsidR="00315186" w:rsidRPr="004C2541" w:rsidRDefault="00315186" w:rsidP="004C2541">
      <w:pPr>
        <w:rPr>
          <w:rFonts w:ascii="Arial" w:hAnsi="Arial" w:cs="Arial"/>
          <w:color w:val="000000" w:themeColor="text1"/>
          <w:sz w:val="20"/>
          <w:szCs w:val="20"/>
        </w:rPr>
      </w:pPr>
    </w:p>
    <w:p w14:paraId="3AB9D8C9" w14:textId="77777777" w:rsidR="00B937BD" w:rsidRDefault="00B937BD" w:rsidP="00B937BD">
      <w:pPr>
        <w:rPr>
          <w:b/>
        </w:rPr>
      </w:pPr>
      <w:r w:rsidRPr="000839CE">
        <w:rPr>
          <w:b/>
        </w:rPr>
        <w:t>Declaration of AI Use</w:t>
      </w:r>
    </w:p>
    <w:p w14:paraId="06BE6E17" w14:textId="77777777" w:rsidR="00B937BD" w:rsidRDefault="00B937BD" w:rsidP="00B937BD">
      <w:pPr>
        <w:rPr>
          <w:b/>
        </w:rPr>
      </w:pPr>
    </w:p>
    <w:p w14:paraId="52921E61" w14:textId="77777777" w:rsidR="00B937BD" w:rsidRDefault="00B937BD" w:rsidP="00B937BD">
      <w:pPr>
        <w:rPr>
          <w:b/>
        </w:rPr>
      </w:pPr>
    </w:p>
    <w:p w14:paraId="4AA447A7" w14:textId="77777777" w:rsidR="00B937BD" w:rsidRDefault="00B937BD" w:rsidP="00B937BD">
      <w:pPr>
        <w:rPr>
          <w:b/>
        </w:rPr>
      </w:pPr>
    </w:p>
    <w:p w14:paraId="1B5DB866" w14:textId="77777777" w:rsidR="00B937BD" w:rsidRPr="002D08AC" w:rsidRDefault="00B937BD" w:rsidP="00B937B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685BB3" w14:textId="77777777" w:rsidR="004C2541" w:rsidRPr="00D43A6E" w:rsidRDefault="004C2541" w:rsidP="00D43A6E">
      <w:pPr>
        <w:rPr>
          <w:rFonts w:ascii="Arial" w:hAnsi="Arial" w:cs="Arial"/>
          <w:color w:val="000000" w:themeColor="text1"/>
          <w:sz w:val="20"/>
          <w:szCs w:val="20"/>
        </w:rPr>
      </w:pPr>
    </w:p>
    <w:p w14:paraId="3EE0EA83" w14:textId="77777777" w:rsidR="004C2541" w:rsidRPr="00D43A6E" w:rsidRDefault="004C2541" w:rsidP="00D43A6E">
      <w:pPr>
        <w:rPr>
          <w:rFonts w:ascii="Arial" w:hAnsi="Arial" w:cs="Arial"/>
          <w:color w:val="000000" w:themeColor="text1"/>
          <w:sz w:val="20"/>
          <w:szCs w:val="20"/>
        </w:rPr>
      </w:pPr>
    </w:p>
    <w:p w14:paraId="1C777082" w14:textId="77777777" w:rsidR="00860000" w:rsidRPr="004C2541" w:rsidRDefault="00860000" w:rsidP="004C2541">
      <w:pPr>
        <w:pStyle w:val="ReferHead"/>
        <w:spacing w:after="0"/>
        <w:jc w:val="both"/>
        <w:rPr>
          <w:rFonts w:ascii="Arial" w:hAnsi="Arial" w:cs="Arial"/>
          <w:bCs/>
          <w:szCs w:val="22"/>
        </w:rPr>
      </w:pPr>
      <w:r w:rsidRPr="004C2541">
        <w:rPr>
          <w:rFonts w:ascii="Arial" w:hAnsi="Arial" w:cs="Arial"/>
          <w:bCs/>
          <w:szCs w:val="22"/>
        </w:rPr>
        <w:t>Competing interests</w:t>
      </w:r>
    </w:p>
    <w:p w14:paraId="2D23F136" w14:textId="77777777" w:rsidR="00860000" w:rsidRPr="004C2541" w:rsidRDefault="00860000" w:rsidP="004C2541">
      <w:pPr>
        <w:pStyle w:val="ReferHead"/>
        <w:spacing w:after="0"/>
        <w:jc w:val="both"/>
        <w:rPr>
          <w:rFonts w:ascii="Arial" w:hAnsi="Arial" w:cs="Arial"/>
          <w:sz w:val="20"/>
          <w:szCs w:val="20"/>
        </w:rPr>
      </w:pPr>
    </w:p>
    <w:p w14:paraId="56E9711E" w14:textId="553CA488" w:rsidR="00860000" w:rsidRPr="00C42725" w:rsidRDefault="00C42725" w:rsidP="00441B6F">
      <w:pPr>
        <w:pStyle w:val="ReferHead"/>
        <w:spacing w:after="0"/>
        <w:jc w:val="both"/>
        <w:rPr>
          <w:rFonts w:ascii="Arial" w:hAnsi="Arial" w:cs="Arial"/>
          <w:b w:val="0"/>
          <w:caps w:val="0"/>
          <w:sz w:val="20"/>
        </w:rPr>
      </w:pPr>
      <w:r>
        <w:rPr>
          <w:rFonts w:ascii="Arial" w:hAnsi="Arial" w:cs="Arial"/>
          <w:b w:val="0"/>
          <w:caps w:val="0"/>
          <w:sz w:val="20"/>
        </w:rPr>
        <w:t>The author has</w:t>
      </w:r>
      <w:r w:rsidR="00E66E10" w:rsidRPr="00C42725">
        <w:rPr>
          <w:rFonts w:ascii="Arial" w:hAnsi="Arial" w:cs="Arial"/>
          <w:b w:val="0"/>
          <w:caps w:val="0"/>
          <w:sz w:val="20"/>
        </w:rPr>
        <w:t xml:space="preserve"> declared that no competing interests exist.</w:t>
      </w:r>
    </w:p>
    <w:p w14:paraId="1EC98789" w14:textId="77777777" w:rsidR="00860000" w:rsidRDefault="00860000" w:rsidP="00441B6F">
      <w:pPr>
        <w:pStyle w:val="ReferHead"/>
        <w:spacing w:after="0"/>
        <w:jc w:val="both"/>
        <w:rPr>
          <w:rFonts w:ascii="Arial" w:hAnsi="Arial" w:cs="Arial"/>
          <w:b w:val="0"/>
          <w:caps w:val="0"/>
          <w:sz w:val="20"/>
        </w:rPr>
      </w:pPr>
    </w:p>
    <w:p w14:paraId="63113149" w14:textId="77777777" w:rsidR="00C42725" w:rsidRDefault="00C42725" w:rsidP="00441B6F">
      <w:pPr>
        <w:pStyle w:val="ReferHead"/>
        <w:spacing w:after="0"/>
        <w:jc w:val="both"/>
        <w:rPr>
          <w:rFonts w:ascii="Arial" w:hAnsi="Arial" w:cs="Arial"/>
        </w:rPr>
      </w:pPr>
    </w:p>
    <w:p w14:paraId="34614366"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1263757A" w14:textId="77777777" w:rsidR="00790ADA" w:rsidRPr="00FB3A86" w:rsidRDefault="00790ADA" w:rsidP="00441B6F">
      <w:pPr>
        <w:pStyle w:val="ReferHead"/>
        <w:spacing w:after="0"/>
        <w:jc w:val="both"/>
        <w:rPr>
          <w:rFonts w:ascii="Arial" w:hAnsi="Arial" w:cs="Arial"/>
        </w:rPr>
      </w:pPr>
    </w:p>
    <w:p w14:paraId="58548457" w14:textId="7F560966" w:rsidR="004D4277" w:rsidRPr="00FB3A86" w:rsidRDefault="004D4277" w:rsidP="00441B6F">
      <w:pPr>
        <w:pStyle w:val="Appendix"/>
        <w:spacing w:after="0"/>
        <w:jc w:val="both"/>
        <w:rPr>
          <w:rFonts w:ascii="Arial" w:hAnsi="Arial" w:cs="Arial"/>
          <w:b w:val="0"/>
        </w:rPr>
        <w:sectPr w:rsidR="004D4277" w:rsidRPr="00FB3A86" w:rsidSect="00D7083A">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678E520E"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Akhtar, P., Moazzam, M., Ashraf, A., &amp; Khan, M. N. (2024). The interdisciplinary curriculum alignment to enhance graduates' employability and universities' sustainability. </w:t>
      </w:r>
      <w:r>
        <w:rPr>
          <w:rFonts w:ascii="Arial" w:hAnsi="Arial" w:cs="Arial"/>
          <w:i/>
          <w:iCs/>
          <w:color w:val="000000"/>
          <w:sz w:val="20"/>
          <w:szCs w:val="20"/>
        </w:rPr>
        <w:t>The International Journal of Management Education, 22</w:t>
      </w:r>
      <w:r>
        <w:rPr>
          <w:rFonts w:ascii="Arial" w:hAnsi="Arial" w:cs="Arial"/>
          <w:color w:val="000000"/>
          <w:sz w:val="20"/>
          <w:szCs w:val="20"/>
        </w:rPr>
        <w:t>(3), 101037.</w:t>
      </w:r>
      <w:hyperlink r:id="rId18" w:history="1">
        <w:r>
          <w:rPr>
            <w:rStyle w:val="Hyperlink"/>
            <w:rFonts w:ascii="Arial" w:hAnsi="Arial" w:cs="Arial"/>
            <w:color w:val="000000"/>
            <w:sz w:val="20"/>
            <w:szCs w:val="20"/>
            <w:u w:val="none"/>
          </w:rPr>
          <w:t xml:space="preserve"> https://doi.org/10.1016/j.ijme.2024.101037</w:t>
        </w:r>
      </w:hyperlink>
    </w:p>
    <w:p w14:paraId="59EED8F2" w14:textId="77777777" w:rsidR="007253F3" w:rsidRDefault="007253F3" w:rsidP="007253F3">
      <w:pPr>
        <w:pStyle w:val="NormalWeb"/>
        <w:spacing w:before="0" w:beforeAutospacing="0" w:after="0" w:afterAutospacing="0"/>
        <w:ind w:left="360" w:hanging="360"/>
      </w:pPr>
      <w:proofErr w:type="spellStart"/>
      <w:r>
        <w:rPr>
          <w:rFonts w:ascii="Arial" w:hAnsi="Arial" w:cs="Arial"/>
          <w:color w:val="000000"/>
          <w:sz w:val="20"/>
          <w:szCs w:val="20"/>
        </w:rPr>
        <w:t>Andonovikj</w:t>
      </w:r>
      <w:proofErr w:type="spellEnd"/>
      <w:r>
        <w:rPr>
          <w:rFonts w:ascii="Arial" w:hAnsi="Arial" w:cs="Arial"/>
          <w:color w:val="000000"/>
          <w:sz w:val="20"/>
          <w:szCs w:val="20"/>
        </w:rPr>
        <w:t xml:space="preserve">, V., Mileva Boshkoska, B., </w:t>
      </w:r>
      <w:proofErr w:type="spellStart"/>
      <w:r>
        <w:rPr>
          <w:rFonts w:ascii="Arial" w:hAnsi="Arial" w:cs="Arial"/>
          <w:color w:val="000000"/>
          <w:sz w:val="20"/>
          <w:szCs w:val="20"/>
        </w:rPr>
        <w:t>Redek</w:t>
      </w:r>
      <w:proofErr w:type="spellEnd"/>
      <w:r>
        <w:rPr>
          <w:rFonts w:ascii="Arial" w:hAnsi="Arial" w:cs="Arial"/>
          <w:color w:val="000000"/>
          <w:sz w:val="20"/>
          <w:szCs w:val="20"/>
        </w:rPr>
        <w:t xml:space="preserve">, T., &amp; </w:t>
      </w:r>
      <w:proofErr w:type="spellStart"/>
      <w:r>
        <w:rPr>
          <w:rFonts w:ascii="Arial" w:hAnsi="Arial" w:cs="Arial"/>
          <w:color w:val="000000"/>
          <w:sz w:val="20"/>
          <w:szCs w:val="20"/>
        </w:rPr>
        <w:t>Boškoski</w:t>
      </w:r>
      <w:proofErr w:type="spellEnd"/>
      <w:r>
        <w:rPr>
          <w:rFonts w:ascii="Arial" w:hAnsi="Arial" w:cs="Arial"/>
          <w:color w:val="000000"/>
          <w:sz w:val="20"/>
          <w:szCs w:val="20"/>
        </w:rPr>
        <w:t xml:space="preserve">, P. (2024). A data-driven approach to aligning academic offerings with industry needs for business and economy </w:t>
      </w:r>
      <w:r>
        <w:rPr>
          <w:rFonts w:ascii="Arial" w:hAnsi="Arial" w:cs="Arial"/>
          <w:color w:val="000000"/>
          <w:sz w:val="20"/>
          <w:szCs w:val="20"/>
        </w:rPr>
        <w:lastRenderedPageBreak/>
        <w:t xml:space="preserve">in Slovenia. </w:t>
      </w:r>
      <w:r>
        <w:rPr>
          <w:rFonts w:ascii="Arial" w:hAnsi="Arial" w:cs="Arial"/>
          <w:i/>
          <w:iCs/>
          <w:color w:val="000000"/>
          <w:sz w:val="20"/>
          <w:szCs w:val="20"/>
        </w:rPr>
        <w:t>Journal of Decision Systems</w:t>
      </w:r>
      <w:r>
        <w:rPr>
          <w:rFonts w:ascii="Arial" w:hAnsi="Arial" w:cs="Arial"/>
          <w:color w:val="000000"/>
          <w:sz w:val="20"/>
          <w:szCs w:val="20"/>
        </w:rPr>
        <w:t xml:space="preserve">, </w:t>
      </w:r>
      <w:r>
        <w:rPr>
          <w:rFonts w:ascii="Arial" w:hAnsi="Arial" w:cs="Arial"/>
          <w:i/>
          <w:iCs/>
          <w:color w:val="000000"/>
          <w:sz w:val="20"/>
          <w:szCs w:val="20"/>
        </w:rPr>
        <w:t>33</w:t>
      </w:r>
      <w:r>
        <w:rPr>
          <w:rFonts w:ascii="Arial" w:hAnsi="Arial" w:cs="Arial"/>
          <w:color w:val="000000"/>
          <w:sz w:val="20"/>
          <w:szCs w:val="20"/>
        </w:rPr>
        <w:t xml:space="preserve">(sup1). </w:t>
      </w:r>
      <w:hyperlink r:id="rId19" w:history="1">
        <w:r>
          <w:rPr>
            <w:rStyle w:val="Hyperlink"/>
            <w:rFonts w:ascii="Arial" w:hAnsi="Arial" w:cs="Arial"/>
            <w:color w:val="000000"/>
            <w:sz w:val="20"/>
            <w:szCs w:val="20"/>
            <w:u w:val="none"/>
          </w:rPr>
          <w:t>https://doi.org/10.1080/12460125.2024.2354587</w:t>
        </w:r>
      </w:hyperlink>
    </w:p>
    <w:p w14:paraId="3B05B167"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Bayudan-Dacuycuy, C., </w:t>
      </w:r>
      <w:proofErr w:type="spellStart"/>
      <w:r>
        <w:rPr>
          <w:rFonts w:ascii="Arial" w:hAnsi="Arial" w:cs="Arial"/>
          <w:color w:val="000000"/>
          <w:sz w:val="20"/>
          <w:szCs w:val="20"/>
        </w:rPr>
        <w:t>Epetia</w:t>
      </w:r>
      <w:proofErr w:type="spellEnd"/>
      <w:r>
        <w:rPr>
          <w:rFonts w:ascii="Arial" w:hAnsi="Arial" w:cs="Arial"/>
          <w:color w:val="000000"/>
          <w:sz w:val="20"/>
          <w:szCs w:val="20"/>
        </w:rPr>
        <w:t xml:space="preserve">, M. C. F., Vargas, A. R. P., &amp; </w:t>
      </w:r>
      <w:proofErr w:type="spellStart"/>
      <w:r>
        <w:rPr>
          <w:rFonts w:ascii="Arial" w:hAnsi="Arial" w:cs="Arial"/>
          <w:color w:val="000000"/>
          <w:sz w:val="20"/>
          <w:szCs w:val="20"/>
        </w:rPr>
        <w:t>Ocbina</w:t>
      </w:r>
      <w:proofErr w:type="spellEnd"/>
      <w:r>
        <w:rPr>
          <w:rFonts w:ascii="Arial" w:hAnsi="Arial" w:cs="Arial"/>
          <w:color w:val="000000"/>
          <w:sz w:val="20"/>
          <w:szCs w:val="20"/>
        </w:rPr>
        <w:t xml:space="preserve">, J. J. S. (2024). </w:t>
      </w:r>
      <w:r>
        <w:rPr>
          <w:rFonts w:ascii="Arial" w:hAnsi="Arial" w:cs="Arial"/>
          <w:i/>
          <w:iCs/>
          <w:color w:val="000000"/>
          <w:sz w:val="20"/>
          <w:szCs w:val="20"/>
        </w:rPr>
        <w:t>Inputs to the Philippine Labor Market Information System and TESDA's Skills Anticipation and Prioritization of Skills Requirements Framework</w:t>
      </w:r>
      <w:r>
        <w:rPr>
          <w:rFonts w:ascii="Arial" w:hAnsi="Arial" w:cs="Arial"/>
          <w:color w:val="000000"/>
          <w:sz w:val="20"/>
          <w:szCs w:val="20"/>
        </w:rPr>
        <w:t xml:space="preserve"> (Discussion Paper No. 2024-06). Philippine Institute for Development Studies. </w:t>
      </w:r>
      <w:hyperlink r:id="rId20" w:history="1">
        <w:r>
          <w:rPr>
            <w:rStyle w:val="Hyperlink"/>
            <w:rFonts w:ascii="Arial" w:hAnsi="Arial" w:cs="Arial"/>
            <w:color w:val="000000"/>
            <w:sz w:val="20"/>
            <w:szCs w:val="20"/>
            <w:u w:val="none"/>
          </w:rPr>
          <w:t>https://doi.org/10.62986/dp2024.06</w:t>
        </w:r>
      </w:hyperlink>
    </w:p>
    <w:p w14:paraId="64738F10"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Bayudan-Dacuycuy, C., </w:t>
      </w:r>
      <w:proofErr w:type="spellStart"/>
      <w:r>
        <w:rPr>
          <w:rFonts w:ascii="Arial" w:hAnsi="Arial" w:cs="Arial"/>
          <w:color w:val="000000"/>
          <w:sz w:val="20"/>
          <w:szCs w:val="20"/>
        </w:rPr>
        <w:t>Epetia</w:t>
      </w:r>
      <w:proofErr w:type="spellEnd"/>
      <w:r>
        <w:rPr>
          <w:rFonts w:ascii="Arial" w:hAnsi="Arial" w:cs="Arial"/>
          <w:color w:val="000000"/>
          <w:sz w:val="20"/>
          <w:szCs w:val="20"/>
        </w:rPr>
        <w:t xml:space="preserve">, M. C. F., Vargas, A. R. P., &amp; </w:t>
      </w:r>
      <w:proofErr w:type="spellStart"/>
      <w:r>
        <w:rPr>
          <w:rFonts w:ascii="Arial" w:hAnsi="Arial" w:cs="Arial"/>
          <w:color w:val="000000"/>
          <w:sz w:val="20"/>
          <w:szCs w:val="20"/>
        </w:rPr>
        <w:t>Ocbina</w:t>
      </w:r>
      <w:proofErr w:type="spellEnd"/>
      <w:r>
        <w:rPr>
          <w:rFonts w:ascii="Arial" w:hAnsi="Arial" w:cs="Arial"/>
          <w:color w:val="000000"/>
          <w:sz w:val="20"/>
          <w:szCs w:val="20"/>
        </w:rPr>
        <w:t xml:space="preserve">, J. J. S. (2025a). </w:t>
      </w:r>
      <w:r>
        <w:rPr>
          <w:rFonts w:ascii="Arial" w:hAnsi="Arial" w:cs="Arial"/>
          <w:i/>
          <w:iCs/>
          <w:color w:val="000000"/>
          <w:sz w:val="20"/>
          <w:szCs w:val="20"/>
        </w:rPr>
        <w:t>Enhancing the Philippine Labor Market Information System and TESDA's Skills Anticipation and Prioritization of Skills Requirements Framework</w:t>
      </w:r>
      <w:r>
        <w:rPr>
          <w:rFonts w:ascii="Arial" w:hAnsi="Arial" w:cs="Arial"/>
          <w:color w:val="000000"/>
          <w:sz w:val="20"/>
          <w:szCs w:val="20"/>
        </w:rPr>
        <w:t xml:space="preserve"> (Research Paper Series No. 2025-03). Philippine Institute for Development Studies.</w:t>
      </w:r>
      <w:hyperlink r:id="rId21" w:history="1">
        <w:r>
          <w:rPr>
            <w:rStyle w:val="Hyperlink"/>
            <w:rFonts w:ascii="Arial" w:hAnsi="Arial" w:cs="Arial"/>
            <w:color w:val="000000"/>
            <w:sz w:val="20"/>
            <w:szCs w:val="20"/>
            <w:u w:val="none"/>
          </w:rPr>
          <w:t xml:space="preserve"> https://doi.org/10.62986/rps2025.03</w:t>
        </w:r>
      </w:hyperlink>
    </w:p>
    <w:p w14:paraId="40444010"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Bayudan-Dacuycuy, C., Vargas, A. R. P., &amp; Luzon, P. E. D. (2025b). </w:t>
      </w:r>
      <w:r>
        <w:rPr>
          <w:rFonts w:ascii="Arial" w:hAnsi="Arial" w:cs="Arial"/>
          <w:i/>
          <w:iCs/>
          <w:color w:val="000000"/>
          <w:sz w:val="20"/>
          <w:szCs w:val="20"/>
        </w:rPr>
        <w:t>Returns to professional licenses and education-occupation (mis)matching</w:t>
      </w:r>
      <w:r>
        <w:rPr>
          <w:rFonts w:ascii="Arial" w:hAnsi="Arial" w:cs="Arial"/>
          <w:color w:val="000000"/>
          <w:sz w:val="20"/>
          <w:szCs w:val="20"/>
        </w:rPr>
        <w:t xml:space="preserve"> (Discussion Paper No. 2025-32). Philippine Institute for Development Studies.</w:t>
      </w:r>
      <w:hyperlink r:id="rId22" w:history="1">
        <w:r>
          <w:rPr>
            <w:rStyle w:val="Hyperlink"/>
            <w:rFonts w:ascii="Arial" w:hAnsi="Arial" w:cs="Arial"/>
            <w:color w:val="000000"/>
            <w:sz w:val="20"/>
            <w:szCs w:val="20"/>
            <w:u w:val="none"/>
          </w:rPr>
          <w:t xml:space="preserve"> https://doi.org/10.62986/dp2025.32</w:t>
        </w:r>
      </w:hyperlink>
    </w:p>
    <w:p w14:paraId="155A8B32"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Becker, G. S. (1964). </w:t>
      </w:r>
      <w:r>
        <w:rPr>
          <w:rFonts w:ascii="Arial" w:hAnsi="Arial" w:cs="Arial"/>
          <w:i/>
          <w:iCs/>
          <w:color w:val="000000"/>
          <w:sz w:val="20"/>
          <w:szCs w:val="20"/>
        </w:rPr>
        <w:t>Human capital: A theoretical and empirical analysis, with special reference to education</w:t>
      </w:r>
      <w:r>
        <w:rPr>
          <w:rFonts w:ascii="Arial" w:hAnsi="Arial" w:cs="Arial"/>
          <w:color w:val="000000"/>
          <w:sz w:val="20"/>
          <w:szCs w:val="20"/>
        </w:rPr>
        <w:t>. Columbia University Press.</w:t>
      </w:r>
    </w:p>
    <w:p w14:paraId="4D9AA76C"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Bilderback, S., &amp; Thompson, C. B. (2025). Developing global leadership competence: Redefining higher education for interconnected economies. </w:t>
      </w:r>
      <w:r>
        <w:rPr>
          <w:rFonts w:ascii="Arial" w:hAnsi="Arial" w:cs="Arial"/>
          <w:i/>
          <w:iCs/>
          <w:color w:val="000000"/>
          <w:sz w:val="20"/>
          <w:szCs w:val="20"/>
        </w:rPr>
        <w:t>Higher Education, Skills and Work-Based Learning, 15</w:t>
      </w:r>
      <w:r>
        <w:rPr>
          <w:rFonts w:ascii="Arial" w:hAnsi="Arial" w:cs="Arial"/>
          <w:color w:val="000000"/>
          <w:sz w:val="20"/>
          <w:szCs w:val="20"/>
        </w:rPr>
        <w:t>(4), 724–739.</w:t>
      </w:r>
      <w:hyperlink r:id="rId23" w:history="1">
        <w:r>
          <w:rPr>
            <w:rStyle w:val="Hyperlink"/>
            <w:rFonts w:ascii="Arial" w:hAnsi="Arial" w:cs="Arial"/>
            <w:color w:val="000000"/>
            <w:sz w:val="20"/>
            <w:szCs w:val="20"/>
            <w:u w:val="none"/>
          </w:rPr>
          <w:t xml:space="preserve"> https://doi.org/10.1108/HESWBL-10-2024-0301</w:t>
        </w:r>
      </w:hyperlink>
    </w:p>
    <w:p w14:paraId="4115C528" w14:textId="77777777" w:rsidR="007253F3" w:rsidRDefault="007253F3" w:rsidP="007253F3">
      <w:pPr>
        <w:pStyle w:val="NormalWeb"/>
        <w:spacing w:before="0" w:beforeAutospacing="0" w:after="0" w:afterAutospacing="0"/>
        <w:ind w:left="360" w:hanging="360"/>
      </w:pPr>
      <w:proofErr w:type="spellStart"/>
      <w:r>
        <w:rPr>
          <w:rFonts w:ascii="Arial" w:hAnsi="Arial" w:cs="Arial"/>
          <w:color w:val="000000"/>
          <w:sz w:val="20"/>
          <w:szCs w:val="20"/>
        </w:rPr>
        <w:t>Boshkoska</w:t>
      </w:r>
      <w:proofErr w:type="spellEnd"/>
      <w:r>
        <w:rPr>
          <w:rFonts w:ascii="Arial" w:hAnsi="Arial" w:cs="Arial"/>
          <w:color w:val="000000"/>
          <w:sz w:val="20"/>
          <w:szCs w:val="20"/>
        </w:rPr>
        <w:t xml:space="preserve">, B. M., Sen, S., &amp; </w:t>
      </w:r>
      <w:proofErr w:type="spellStart"/>
      <w:r>
        <w:rPr>
          <w:rFonts w:ascii="Arial" w:hAnsi="Arial" w:cs="Arial"/>
          <w:color w:val="000000"/>
          <w:sz w:val="20"/>
          <w:szCs w:val="20"/>
        </w:rPr>
        <w:t>Boškoski</w:t>
      </w:r>
      <w:proofErr w:type="spellEnd"/>
      <w:r>
        <w:rPr>
          <w:rFonts w:ascii="Arial" w:hAnsi="Arial" w:cs="Arial"/>
          <w:color w:val="000000"/>
          <w:sz w:val="20"/>
          <w:szCs w:val="20"/>
        </w:rPr>
        <w:t xml:space="preserve">, P. (2024). A market driven identification of current and emerging skills requiring an MBA degree: A topic modelling approach. </w:t>
      </w:r>
      <w:r>
        <w:rPr>
          <w:rFonts w:ascii="Arial" w:hAnsi="Arial" w:cs="Arial"/>
          <w:i/>
          <w:iCs/>
          <w:color w:val="000000"/>
          <w:sz w:val="20"/>
          <w:szCs w:val="20"/>
        </w:rPr>
        <w:t>Journal of Decision Systems, 33</w:t>
      </w:r>
      <w:r>
        <w:rPr>
          <w:rFonts w:ascii="Arial" w:hAnsi="Arial" w:cs="Arial"/>
          <w:color w:val="000000"/>
          <w:sz w:val="20"/>
          <w:szCs w:val="20"/>
        </w:rPr>
        <w:t>(Suppl. 1), 297–310.</w:t>
      </w:r>
      <w:hyperlink r:id="rId24" w:history="1">
        <w:r>
          <w:rPr>
            <w:rStyle w:val="Hyperlink"/>
            <w:rFonts w:ascii="Arial" w:hAnsi="Arial" w:cs="Arial"/>
            <w:color w:val="000000"/>
            <w:sz w:val="20"/>
            <w:szCs w:val="20"/>
            <w:u w:val="none"/>
          </w:rPr>
          <w:t xml:space="preserve"> https://doi.org/10.1080/12460125.2024.2348932</w:t>
        </w:r>
      </w:hyperlink>
    </w:p>
    <w:p w14:paraId="7B397116"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Brattin, R. (2025). The process deficit in data analytics education: Addressing workforce readiness gaps. </w:t>
      </w:r>
      <w:r>
        <w:rPr>
          <w:rFonts w:ascii="Arial" w:hAnsi="Arial" w:cs="Arial"/>
          <w:i/>
          <w:iCs/>
          <w:color w:val="000000"/>
          <w:sz w:val="20"/>
          <w:szCs w:val="20"/>
        </w:rPr>
        <w:t>Higher Education, Skills and Work-Based Learning, 15</w:t>
      </w:r>
      <w:r>
        <w:rPr>
          <w:rFonts w:ascii="Arial" w:hAnsi="Arial" w:cs="Arial"/>
          <w:color w:val="000000"/>
          <w:sz w:val="20"/>
          <w:szCs w:val="20"/>
        </w:rPr>
        <w:t>(5), 1129–1145.</w:t>
      </w:r>
      <w:hyperlink r:id="rId25" w:history="1">
        <w:r>
          <w:rPr>
            <w:rStyle w:val="Hyperlink"/>
            <w:rFonts w:ascii="Arial" w:hAnsi="Arial" w:cs="Arial"/>
            <w:color w:val="000000"/>
            <w:sz w:val="20"/>
            <w:szCs w:val="20"/>
            <w:u w:val="none"/>
          </w:rPr>
          <w:t xml:space="preserve"> https://doi.org/10.1108/HESWBL-03-2025-0101</w:t>
        </w:r>
      </w:hyperlink>
    </w:p>
    <w:p w14:paraId="6AD1DC91" w14:textId="05D31AA2" w:rsidR="001159FD" w:rsidRPr="001159FD" w:rsidRDefault="001159FD" w:rsidP="007253F3">
      <w:pPr>
        <w:pStyle w:val="NormalWeb"/>
        <w:spacing w:before="0" w:beforeAutospacing="0" w:after="0" w:afterAutospacing="0"/>
        <w:ind w:left="360" w:hanging="360"/>
        <w:rPr>
          <w:rFonts w:ascii="Arial" w:hAnsi="Arial" w:cs="Arial"/>
          <w:sz w:val="20"/>
          <w:szCs w:val="20"/>
        </w:rPr>
      </w:pPr>
      <w:r w:rsidRPr="001159FD">
        <w:rPr>
          <w:rFonts w:ascii="Arial" w:hAnsi="Arial" w:cs="Arial"/>
          <w:sz w:val="20"/>
          <w:szCs w:val="20"/>
        </w:rPr>
        <w:t xml:space="preserve">Bustos, R. (2024). Bridging the gap: Aligning higher education priorities with the shifting job landscape in the Philippines. </w:t>
      </w:r>
      <w:proofErr w:type="spellStart"/>
      <w:r w:rsidRPr="001159FD">
        <w:rPr>
          <w:rStyle w:val="Emphasis"/>
          <w:rFonts w:ascii="Arial" w:hAnsi="Arial" w:cs="Arial"/>
          <w:sz w:val="20"/>
          <w:szCs w:val="20"/>
        </w:rPr>
        <w:t>Recoletos</w:t>
      </w:r>
      <w:proofErr w:type="spellEnd"/>
      <w:r w:rsidRPr="001159FD">
        <w:rPr>
          <w:rStyle w:val="Emphasis"/>
          <w:rFonts w:ascii="Arial" w:hAnsi="Arial" w:cs="Arial"/>
          <w:sz w:val="20"/>
          <w:szCs w:val="20"/>
        </w:rPr>
        <w:t xml:space="preserve"> Multidisciplinary Research Journal, 12</w:t>
      </w:r>
      <w:r w:rsidRPr="001159FD">
        <w:rPr>
          <w:rFonts w:ascii="Arial" w:hAnsi="Arial" w:cs="Arial"/>
          <w:sz w:val="20"/>
          <w:szCs w:val="20"/>
        </w:rPr>
        <w:t>(1), 9–24. https://doi.org/10.32871/rmrj2412.01.02</w:t>
      </w:r>
    </w:p>
    <w:p w14:paraId="4FE90647" w14:textId="77777777" w:rsidR="007253F3" w:rsidRDefault="007253F3" w:rsidP="007253F3">
      <w:pPr>
        <w:pStyle w:val="NormalWeb"/>
        <w:spacing w:before="0" w:beforeAutospacing="0" w:after="0" w:afterAutospacing="0"/>
        <w:ind w:left="360" w:hanging="360"/>
      </w:pPr>
      <w:r w:rsidRPr="001159FD">
        <w:rPr>
          <w:rFonts w:ascii="Arial" w:hAnsi="Arial" w:cs="Arial"/>
          <w:color w:val="000000"/>
          <w:sz w:val="20"/>
          <w:szCs w:val="20"/>
        </w:rPr>
        <w:t>Chand, S. P. (2025). Methods of data collection in qualitative research: Interviews</w:t>
      </w:r>
      <w:r>
        <w:rPr>
          <w:rFonts w:ascii="Arial" w:hAnsi="Arial" w:cs="Arial"/>
          <w:color w:val="000000"/>
          <w:sz w:val="20"/>
          <w:szCs w:val="20"/>
        </w:rPr>
        <w:t xml:space="preserve">, focus groups, observations, and document analysis. </w:t>
      </w:r>
      <w:r>
        <w:rPr>
          <w:rFonts w:ascii="Arial" w:hAnsi="Arial" w:cs="Arial"/>
          <w:i/>
          <w:iCs/>
          <w:color w:val="000000"/>
          <w:sz w:val="20"/>
          <w:szCs w:val="20"/>
        </w:rPr>
        <w:t>Advances in Educational Research and Evaluation, 6</w:t>
      </w:r>
      <w:r>
        <w:rPr>
          <w:rFonts w:ascii="Arial" w:hAnsi="Arial" w:cs="Arial"/>
          <w:color w:val="000000"/>
          <w:sz w:val="20"/>
          <w:szCs w:val="20"/>
        </w:rPr>
        <w:t>(1).</w:t>
      </w:r>
      <w:hyperlink r:id="rId26" w:history="1">
        <w:r>
          <w:rPr>
            <w:rStyle w:val="Hyperlink"/>
            <w:rFonts w:ascii="Arial" w:hAnsi="Arial" w:cs="Arial"/>
            <w:color w:val="000000"/>
            <w:sz w:val="20"/>
            <w:szCs w:val="20"/>
            <w:u w:val="none"/>
          </w:rPr>
          <w:t xml:space="preserve"> https://doi.org/10.25082/AERE.2025.01.001</w:t>
        </w:r>
      </w:hyperlink>
    </w:p>
    <w:p w14:paraId="39A2A736"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Cheung, K. S., </w:t>
      </w:r>
      <w:proofErr w:type="spellStart"/>
      <w:r>
        <w:rPr>
          <w:rFonts w:ascii="Arial" w:hAnsi="Arial" w:cs="Arial"/>
          <w:color w:val="000000"/>
          <w:sz w:val="20"/>
          <w:szCs w:val="20"/>
        </w:rPr>
        <w:t>Geertshuis</w:t>
      </w:r>
      <w:proofErr w:type="spellEnd"/>
      <w:r>
        <w:rPr>
          <w:rFonts w:ascii="Arial" w:hAnsi="Arial" w:cs="Arial"/>
          <w:color w:val="000000"/>
          <w:sz w:val="20"/>
          <w:szCs w:val="20"/>
        </w:rPr>
        <w:t xml:space="preserve">, S., Liu, Q., &amp; </w:t>
      </w:r>
      <w:proofErr w:type="spellStart"/>
      <w:r>
        <w:rPr>
          <w:rFonts w:ascii="Arial" w:hAnsi="Arial" w:cs="Arial"/>
          <w:color w:val="000000"/>
          <w:sz w:val="20"/>
          <w:szCs w:val="20"/>
        </w:rPr>
        <w:t>Albashiry</w:t>
      </w:r>
      <w:proofErr w:type="spellEnd"/>
      <w:r>
        <w:rPr>
          <w:rFonts w:ascii="Arial" w:hAnsi="Arial" w:cs="Arial"/>
          <w:color w:val="000000"/>
          <w:sz w:val="20"/>
          <w:szCs w:val="20"/>
        </w:rPr>
        <w:t xml:space="preserve">, N. (2026). A systematic curriculum intervention: Embedding employability through constructive alignment to enhance student learning. </w:t>
      </w:r>
      <w:r>
        <w:rPr>
          <w:rFonts w:ascii="Arial" w:hAnsi="Arial" w:cs="Arial"/>
          <w:i/>
          <w:iCs/>
          <w:color w:val="000000"/>
          <w:sz w:val="20"/>
          <w:szCs w:val="20"/>
        </w:rPr>
        <w:t>The Curriculum Journal, 37</w:t>
      </w:r>
      <w:r>
        <w:rPr>
          <w:rFonts w:ascii="Arial" w:hAnsi="Arial" w:cs="Arial"/>
          <w:color w:val="000000"/>
          <w:sz w:val="20"/>
          <w:szCs w:val="20"/>
        </w:rPr>
        <w:t>(2), 465–483.</w:t>
      </w:r>
      <w:hyperlink r:id="rId27" w:history="1">
        <w:r>
          <w:rPr>
            <w:rStyle w:val="Hyperlink"/>
            <w:rFonts w:ascii="Arial" w:hAnsi="Arial" w:cs="Arial"/>
            <w:color w:val="000000"/>
            <w:sz w:val="20"/>
            <w:szCs w:val="20"/>
            <w:u w:val="none"/>
          </w:rPr>
          <w:t xml:space="preserve"> https://doi.org/10.1002/curj.70016</w:t>
        </w:r>
      </w:hyperlink>
    </w:p>
    <w:p w14:paraId="2FF59F28"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Commission on Higher Education. (2017). </w:t>
      </w:r>
      <w:r>
        <w:rPr>
          <w:rFonts w:ascii="Arial" w:hAnsi="Arial" w:cs="Arial"/>
          <w:i/>
          <w:iCs/>
          <w:color w:val="000000"/>
          <w:sz w:val="20"/>
          <w:szCs w:val="20"/>
        </w:rPr>
        <w:t>Revised policies, standards and guidelines for Bachelor of Science in Business Administration</w:t>
      </w:r>
      <w:r>
        <w:rPr>
          <w:rFonts w:ascii="Arial" w:hAnsi="Arial" w:cs="Arial"/>
          <w:color w:val="000000"/>
          <w:sz w:val="20"/>
          <w:szCs w:val="20"/>
        </w:rPr>
        <w:t xml:space="preserve"> (CHED Memorandum Order No. 17, s. 2017). Commission on Higher Education.</w:t>
      </w:r>
      <w:hyperlink r:id="rId28" w:history="1">
        <w:r>
          <w:rPr>
            <w:rStyle w:val="Hyperlink"/>
            <w:rFonts w:ascii="Arial" w:hAnsi="Arial" w:cs="Arial"/>
            <w:color w:val="000000"/>
            <w:sz w:val="20"/>
            <w:szCs w:val="20"/>
            <w:u w:val="none"/>
          </w:rPr>
          <w:t xml:space="preserve"> </w:t>
        </w:r>
      </w:hyperlink>
      <w:r>
        <w:rPr>
          <w:rFonts w:ascii="Arial" w:hAnsi="Arial" w:cs="Arial"/>
          <w:color w:val="000000"/>
          <w:sz w:val="20"/>
          <w:szCs w:val="20"/>
        </w:rPr>
        <w:t>https://legacy.ched.gov.ph/wp-content/uploads/2017/10/CMO-17-s-2017.pdf</w:t>
      </w:r>
    </w:p>
    <w:p w14:paraId="7CE78184"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Dara, D., Nguyen, T. T., &amp; Putra, D. M. (2026). Beyond digital skills: Work-integrated learning, adaptability, and the thresholds for graduate work readiness. </w:t>
      </w:r>
      <w:r>
        <w:rPr>
          <w:rFonts w:ascii="Arial" w:hAnsi="Arial" w:cs="Arial"/>
          <w:i/>
          <w:iCs/>
          <w:color w:val="000000"/>
          <w:sz w:val="20"/>
          <w:szCs w:val="20"/>
        </w:rPr>
        <w:t>Higher Education, Skills and Work-Based Learning, 16</w:t>
      </w:r>
      <w:r>
        <w:rPr>
          <w:rFonts w:ascii="Arial" w:hAnsi="Arial" w:cs="Arial"/>
          <w:color w:val="000000"/>
          <w:sz w:val="20"/>
          <w:szCs w:val="20"/>
        </w:rPr>
        <w:t>(3), 616–630.</w:t>
      </w:r>
      <w:hyperlink r:id="rId29" w:history="1">
        <w:r>
          <w:rPr>
            <w:rStyle w:val="Hyperlink"/>
            <w:rFonts w:ascii="Arial" w:hAnsi="Arial" w:cs="Arial"/>
            <w:color w:val="000000"/>
            <w:sz w:val="20"/>
            <w:szCs w:val="20"/>
            <w:u w:val="none"/>
          </w:rPr>
          <w:t xml:space="preserve"> https://doi.org/10.1108/HESWBL-10-2025-0446</w:t>
        </w:r>
      </w:hyperlink>
    </w:p>
    <w:p w14:paraId="5860A9CD"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Deja, M., Bobkowski, P., Huvila, I., &amp; </w:t>
      </w:r>
      <w:proofErr w:type="spellStart"/>
      <w:r>
        <w:rPr>
          <w:rFonts w:ascii="Arial" w:hAnsi="Arial" w:cs="Arial"/>
          <w:color w:val="000000"/>
          <w:sz w:val="20"/>
          <w:szCs w:val="20"/>
        </w:rPr>
        <w:t>Mierzecka</w:t>
      </w:r>
      <w:proofErr w:type="spellEnd"/>
      <w:r>
        <w:rPr>
          <w:rFonts w:ascii="Arial" w:hAnsi="Arial" w:cs="Arial"/>
          <w:color w:val="000000"/>
          <w:sz w:val="20"/>
          <w:szCs w:val="20"/>
        </w:rPr>
        <w:t xml:space="preserve">, A. (2024). Empowering through digital skills: A case of alumni in the business services sector. </w:t>
      </w:r>
      <w:r>
        <w:rPr>
          <w:rFonts w:ascii="Arial" w:hAnsi="Arial" w:cs="Arial"/>
          <w:i/>
          <w:iCs/>
          <w:color w:val="000000"/>
          <w:sz w:val="20"/>
          <w:szCs w:val="20"/>
        </w:rPr>
        <w:t>Journal of the Association for Information Science and Technology</w:t>
      </w:r>
      <w:r>
        <w:rPr>
          <w:rFonts w:ascii="Arial" w:hAnsi="Arial" w:cs="Arial"/>
          <w:color w:val="000000"/>
          <w:sz w:val="20"/>
          <w:szCs w:val="20"/>
        </w:rPr>
        <w:t xml:space="preserve">, </w:t>
      </w:r>
      <w:r>
        <w:rPr>
          <w:rFonts w:ascii="Arial" w:hAnsi="Arial" w:cs="Arial"/>
          <w:i/>
          <w:iCs/>
          <w:color w:val="000000"/>
          <w:sz w:val="20"/>
          <w:szCs w:val="20"/>
        </w:rPr>
        <w:t>75</w:t>
      </w:r>
      <w:r>
        <w:rPr>
          <w:rFonts w:ascii="Arial" w:hAnsi="Arial" w:cs="Arial"/>
          <w:color w:val="000000"/>
          <w:sz w:val="20"/>
          <w:szCs w:val="20"/>
        </w:rPr>
        <w:t xml:space="preserve">(11), 1288–1303. </w:t>
      </w:r>
      <w:hyperlink r:id="rId30" w:history="1">
        <w:r>
          <w:rPr>
            <w:rStyle w:val="Hyperlink"/>
            <w:rFonts w:ascii="Arial" w:hAnsi="Arial" w:cs="Arial"/>
            <w:color w:val="000000"/>
            <w:sz w:val="20"/>
            <w:szCs w:val="20"/>
            <w:u w:val="none"/>
          </w:rPr>
          <w:t>https://doi.org/10.1002/asi.24890</w:t>
        </w:r>
      </w:hyperlink>
    </w:p>
    <w:p w14:paraId="0F5EF943"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Deming, D., &amp; Silliman, M. (2025). Skills and human capital in the labor market. In C. </w:t>
      </w:r>
      <w:proofErr w:type="spellStart"/>
      <w:r>
        <w:rPr>
          <w:rFonts w:ascii="Arial" w:hAnsi="Arial" w:cs="Arial"/>
          <w:color w:val="000000"/>
          <w:sz w:val="20"/>
          <w:szCs w:val="20"/>
        </w:rPr>
        <w:t>Dustmann</w:t>
      </w:r>
      <w:proofErr w:type="spellEnd"/>
      <w:r>
        <w:rPr>
          <w:rFonts w:ascii="Arial" w:hAnsi="Arial" w:cs="Arial"/>
          <w:color w:val="000000"/>
          <w:sz w:val="20"/>
          <w:szCs w:val="20"/>
        </w:rPr>
        <w:t xml:space="preserve"> &amp; T. Lemieux (Eds.), </w:t>
      </w:r>
      <w:r>
        <w:rPr>
          <w:rFonts w:ascii="Arial" w:hAnsi="Arial" w:cs="Arial"/>
          <w:i/>
          <w:iCs/>
          <w:color w:val="000000"/>
          <w:sz w:val="20"/>
          <w:szCs w:val="20"/>
        </w:rPr>
        <w:t>Handbook of labor economics</w:t>
      </w:r>
      <w:r>
        <w:rPr>
          <w:rFonts w:ascii="Arial" w:hAnsi="Arial" w:cs="Arial"/>
          <w:color w:val="000000"/>
          <w:sz w:val="20"/>
          <w:szCs w:val="20"/>
        </w:rPr>
        <w:t xml:space="preserve"> (Vol. 6, pp. 115–157). Elsevier.</w:t>
      </w:r>
      <w:hyperlink r:id="rId31" w:history="1">
        <w:r>
          <w:rPr>
            <w:rStyle w:val="Hyperlink"/>
            <w:rFonts w:ascii="Arial" w:hAnsi="Arial" w:cs="Arial"/>
            <w:color w:val="000000"/>
            <w:sz w:val="20"/>
            <w:szCs w:val="20"/>
            <w:u w:val="none"/>
          </w:rPr>
          <w:t xml:space="preserve"> https://doi.org/10.1016/bs.heslab.2025.07.001</w:t>
        </w:r>
      </w:hyperlink>
    </w:p>
    <w:p w14:paraId="498D465F"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Felby, L., Nielsen, J., Roesen, A., Mathiasen, M., &amp; Müller, S. (2024). Evaluating </w:t>
      </w:r>
      <w:proofErr w:type="spellStart"/>
      <w:r>
        <w:rPr>
          <w:rFonts w:ascii="Arial" w:hAnsi="Arial" w:cs="Arial"/>
          <w:color w:val="000000"/>
          <w:sz w:val="20"/>
          <w:szCs w:val="20"/>
        </w:rPr>
        <w:t>labour</w:t>
      </w:r>
      <w:proofErr w:type="spellEnd"/>
      <w:r>
        <w:rPr>
          <w:rFonts w:ascii="Arial" w:hAnsi="Arial" w:cs="Arial"/>
          <w:color w:val="000000"/>
          <w:sz w:val="20"/>
          <w:szCs w:val="20"/>
        </w:rPr>
        <w:t xml:space="preserve"> market–educational </w:t>
      </w:r>
      <w:proofErr w:type="spellStart"/>
      <w:r>
        <w:rPr>
          <w:rFonts w:ascii="Arial" w:hAnsi="Arial" w:cs="Arial"/>
          <w:color w:val="000000"/>
          <w:sz w:val="20"/>
          <w:szCs w:val="20"/>
        </w:rPr>
        <w:t>programme</w:t>
      </w:r>
      <w:proofErr w:type="spellEnd"/>
      <w:r>
        <w:rPr>
          <w:rFonts w:ascii="Arial" w:hAnsi="Arial" w:cs="Arial"/>
          <w:color w:val="000000"/>
          <w:sz w:val="20"/>
          <w:szCs w:val="20"/>
        </w:rPr>
        <w:t xml:space="preserve"> fit: A case study on aligning supply and demand for competences using a generic approach: . </w:t>
      </w:r>
      <w:r>
        <w:rPr>
          <w:rFonts w:ascii="Arial" w:hAnsi="Arial" w:cs="Arial"/>
          <w:i/>
          <w:iCs/>
          <w:color w:val="000000"/>
          <w:sz w:val="20"/>
          <w:szCs w:val="20"/>
        </w:rPr>
        <w:t>Nordic Journal of Vocational Education and Training</w:t>
      </w:r>
      <w:r>
        <w:rPr>
          <w:rFonts w:ascii="Arial" w:hAnsi="Arial" w:cs="Arial"/>
          <w:color w:val="000000"/>
          <w:sz w:val="20"/>
          <w:szCs w:val="20"/>
        </w:rPr>
        <w:t xml:space="preserve">, </w:t>
      </w:r>
      <w:r>
        <w:rPr>
          <w:rFonts w:ascii="Arial" w:hAnsi="Arial" w:cs="Arial"/>
          <w:i/>
          <w:iCs/>
          <w:color w:val="000000"/>
          <w:sz w:val="20"/>
          <w:szCs w:val="20"/>
        </w:rPr>
        <w:t>14</w:t>
      </w:r>
      <w:r>
        <w:rPr>
          <w:rFonts w:ascii="Arial" w:hAnsi="Arial" w:cs="Arial"/>
          <w:color w:val="000000"/>
          <w:sz w:val="20"/>
          <w:szCs w:val="20"/>
        </w:rPr>
        <w:t xml:space="preserve">(4), 1–23. </w:t>
      </w:r>
      <w:hyperlink r:id="rId32" w:history="1">
        <w:r>
          <w:rPr>
            <w:rStyle w:val="Hyperlink"/>
            <w:rFonts w:ascii="Arial" w:hAnsi="Arial" w:cs="Arial"/>
            <w:color w:val="000000"/>
            <w:sz w:val="20"/>
            <w:szCs w:val="20"/>
            <w:u w:val="none"/>
          </w:rPr>
          <w:t>https://doi.org/10.3384/njvet.2242-458X.241441</w:t>
        </w:r>
      </w:hyperlink>
      <w:r>
        <w:rPr>
          <w:rFonts w:ascii="Arial" w:hAnsi="Arial" w:cs="Arial"/>
          <w:color w:val="000000"/>
          <w:sz w:val="20"/>
          <w:szCs w:val="20"/>
        </w:rPr>
        <w:t> </w:t>
      </w:r>
    </w:p>
    <w:p w14:paraId="4BD18BD8"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lastRenderedPageBreak/>
        <w:t xml:space="preserve">Hruby, J. (2026). Work-integrated learning (WIL) and universal employability global leadership skills: Evidence for curriculum integration over functional specialization. </w:t>
      </w:r>
      <w:r>
        <w:rPr>
          <w:rFonts w:ascii="Arial" w:hAnsi="Arial" w:cs="Arial"/>
          <w:i/>
          <w:iCs/>
          <w:color w:val="000000"/>
          <w:sz w:val="20"/>
          <w:szCs w:val="20"/>
        </w:rPr>
        <w:t>Higher Education, Skills and Work-Based Learning, 16</w:t>
      </w:r>
      <w:r>
        <w:rPr>
          <w:rFonts w:ascii="Arial" w:hAnsi="Arial" w:cs="Arial"/>
          <w:color w:val="000000"/>
          <w:sz w:val="20"/>
          <w:szCs w:val="20"/>
        </w:rPr>
        <w:t>(2), 376–392.</w:t>
      </w:r>
      <w:hyperlink r:id="rId33" w:history="1">
        <w:r>
          <w:rPr>
            <w:rStyle w:val="Hyperlink"/>
            <w:rFonts w:ascii="Arial" w:hAnsi="Arial" w:cs="Arial"/>
            <w:color w:val="000000"/>
            <w:sz w:val="20"/>
            <w:szCs w:val="20"/>
            <w:u w:val="none"/>
          </w:rPr>
          <w:t xml:space="preserve"> https://doi.org/10.1108/HESWBL-09-2025-0425</w:t>
        </w:r>
      </w:hyperlink>
    </w:p>
    <w:p w14:paraId="40EEB56F"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Jackson, D. (2024). Work-integrated learning: Opportunities and challenges in Australia. </w:t>
      </w:r>
      <w:r>
        <w:rPr>
          <w:rFonts w:ascii="Arial" w:hAnsi="Arial" w:cs="Arial"/>
          <w:i/>
          <w:iCs/>
          <w:color w:val="000000"/>
          <w:sz w:val="20"/>
          <w:szCs w:val="20"/>
        </w:rPr>
        <w:t>Higher Education Research &amp; Development, 43</w:t>
      </w:r>
      <w:r>
        <w:rPr>
          <w:rFonts w:ascii="Arial" w:hAnsi="Arial" w:cs="Arial"/>
          <w:color w:val="000000"/>
          <w:sz w:val="20"/>
          <w:szCs w:val="20"/>
        </w:rPr>
        <w:t xml:space="preserve">(3), 767–773. </w:t>
      </w:r>
      <w:hyperlink r:id="rId34" w:history="1">
        <w:r>
          <w:rPr>
            <w:rStyle w:val="Hyperlink"/>
            <w:rFonts w:ascii="Arial" w:hAnsi="Arial" w:cs="Arial"/>
            <w:color w:val="000000"/>
            <w:sz w:val="20"/>
            <w:szCs w:val="20"/>
            <w:u w:val="none"/>
          </w:rPr>
          <w:t>https://doi.org/10.1080/07294360.2024.2307929</w:t>
        </w:r>
      </w:hyperlink>
    </w:p>
    <w:p w14:paraId="20B3469B" w14:textId="77777777" w:rsidR="007253F3" w:rsidRDefault="007253F3" w:rsidP="007253F3">
      <w:pPr>
        <w:pStyle w:val="NormalWeb"/>
        <w:spacing w:before="0" w:beforeAutospacing="0" w:after="0" w:afterAutospacing="0"/>
        <w:ind w:left="360" w:hanging="360"/>
      </w:pPr>
      <w:proofErr w:type="spellStart"/>
      <w:r>
        <w:rPr>
          <w:rFonts w:ascii="Arial" w:hAnsi="Arial" w:cs="Arial"/>
          <w:color w:val="000000"/>
          <w:sz w:val="20"/>
          <w:szCs w:val="20"/>
        </w:rPr>
        <w:t>Javadian</w:t>
      </w:r>
      <w:proofErr w:type="spellEnd"/>
      <w:r>
        <w:rPr>
          <w:rFonts w:ascii="Arial" w:hAnsi="Arial" w:cs="Arial"/>
          <w:color w:val="000000"/>
          <w:sz w:val="20"/>
          <w:szCs w:val="20"/>
        </w:rPr>
        <w:t xml:space="preserve"> Sabet, A., Bana, S. H., Yu, R., &amp; Frank, M. R. (2024). Course-Skill Atlas: A national longitudinal dataset of skills taught in U.S. higher education curricula. </w:t>
      </w:r>
      <w:r>
        <w:rPr>
          <w:rFonts w:ascii="Arial" w:hAnsi="Arial" w:cs="Arial"/>
          <w:i/>
          <w:iCs/>
          <w:color w:val="000000"/>
          <w:sz w:val="20"/>
          <w:szCs w:val="20"/>
        </w:rPr>
        <w:t>Scientific Data, 11</w:t>
      </w:r>
      <w:r>
        <w:rPr>
          <w:rFonts w:ascii="Arial" w:hAnsi="Arial" w:cs="Arial"/>
          <w:color w:val="000000"/>
          <w:sz w:val="20"/>
          <w:szCs w:val="20"/>
        </w:rPr>
        <w:t>, 1086.</w:t>
      </w:r>
      <w:hyperlink r:id="rId35" w:history="1">
        <w:r>
          <w:rPr>
            <w:rStyle w:val="Hyperlink"/>
            <w:rFonts w:ascii="Arial" w:hAnsi="Arial" w:cs="Arial"/>
            <w:color w:val="000000"/>
            <w:sz w:val="20"/>
            <w:szCs w:val="20"/>
            <w:u w:val="none"/>
          </w:rPr>
          <w:t xml:space="preserve"> https://doi.org/10.1038/s41597-024-03931-8</w:t>
        </w:r>
      </w:hyperlink>
    </w:p>
    <w:p w14:paraId="18A875A3"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Jha, S., &amp; Doshi, V. (2025). Integrating experiential learning with technology-enhanced curriculum to address employability skill gaps in higher education. </w:t>
      </w:r>
      <w:r>
        <w:rPr>
          <w:rFonts w:ascii="Arial" w:hAnsi="Arial" w:cs="Arial"/>
          <w:i/>
          <w:iCs/>
          <w:color w:val="000000"/>
          <w:sz w:val="20"/>
          <w:szCs w:val="20"/>
        </w:rPr>
        <w:t>Journal of Information Systems Engineering and Management, 10</w:t>
      </w:r>
      <w:r>
        <w:rPr>
          <w:rFonts w:ascii="Arial" w:hAnsi="Arial" w:cs="Arial"/>
          <w:color w:val="000000"/>
          <w:sz w:val="20"/>
          <w:szCs w:val="20"/>
        </w:rPr>
        <w:t>(45s), 8717.</w:t>
      </w:r>
      <w:hyperlink r:id="rId36" w:history="1">
        <w:r>
          <w:rPr>
            <w:rStyle w:val="Hyperlink"/>
            <w:rFonts w:ascii="Arial" w:hAnsi="Arial" w:cs="Arial"/>
            <w:color w:val="000000"/>
            <w:sz w:val="20"/>
            <w:szCs w:val="20"/>
            <w:u w:val="none"/>
          </w:rPr>
          <w:t xml:space="preserve"> https://doi.org/10.52783/jisem.v10i45s.8717</w:t>
        </w:r>
      </w:hyperlink>
    </w:p>
    <w:p w14:paraId="11B5B314"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Juma, A. A. (2025). Bridging skills gaps: Evaluating VET reskilling and curriculum reforms for enhancing graduate employability in Tanzania. </w:t>
      </w:r>
      <w:r>
        <w:rPr>
          <w:rFonts w:ascii="Arial" w:hAnsi="Arial" w:cs="Arial"/>
          <w:i/>
          <w:iCs/>
          <w:color w:val="000000"/>
          <w:sz w:val="20"/>
          <w:szCs w:val="20"/>
        </w:rPr>
        <w:t>International Journal of Training Research</w:t>
      </w:r>
      <w:r>
        <w:rPr>
          <w:rFonts w:ascii="Arial" w:hAnsi="Arial" w:cs="Arial"/>
          <w:color w:val="000000"/>
          <w:sz w:val="20"/>
          <w:szCs w:val="20"/>
        </w:rPr>
        <w:t>.</w:t>
      </w:r>
      <w:hyperlink r:id="rId37" w:history="1">
        <w:r>
          <w:rPr>
            <w:rStyle w:val="Hyperlink"/>
            <w:rFonts w:ascii="Arial" w:hAnsi="Arial" w:cs="Arial"/>
            <w:color w:val="000000"/>
            <w:sz w:val="20"/>
            <w:szCs w:val="20"/>
            <w:u w:val="none"/>
          </w:rPr>
          <w:t xml:space="preserve"> https://doi.org/10.1080/14480220.2025.2566044</w:t>
        </w:r>
      </w:hyperlink>
    </w:p>
    <w:p w14:paraId="02A3B6F9"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Kmiotek-Meier, E., </w:t>
      </w:r>
      <w:proofErr w:type="spellStart"/>
      <w:r>
        <w:rPr>
          <w:rFonts w:ascii="Arial" w:hAnsi="Arial" w:cs="Arial"/>
          <w:color w:val="000000"/>
          <w:sz w:val="20"/>
          <w:szCs w:val="20"/>
        </w:rPr>
        <w:t>Rossié</w:t>
      </w:r>
      <w:proofErr w:type="spellEnd"/>
      <w:r>
        <w:rPr>
          <w:rFonts w:ascii="Arial" w:hAnsi="Arial" w:cs="Arial"/>
          <w:color w:val="000000"/>
          <w:sz w:val="20"/>
          <w:szCs w:val="20"/>
        </w:rPr>
        <w:t xml:space="preserve">, T., &amp; Canora, K. (2024). All good things come in threes—required skill sets in the graduate </w:t>
      </w:r>
      <w:proofErr w:type="spellStart"/>
      <w:r>
        <w:rPr>
          <w:rFonts w:ascii="Arial" w:hAnsi="Arial" w:cs="Arial"/>
          <w:color w:val="000000"/>
          <w:sz w:val="20"/>
          <w:szCs w:val="20"/>
        </w:rPr>
        <w:t>labour</w:t>
      </w:r>
      <w:proofErr w:type="spellEnd"/>
      <w:r>
        <w:rPr>
          <w:rFonts w:ascii="Arial" w:hAnsi="Arial" w:cs="Arial"/>
          <w:color w:val="000000"/>
          <w:sz w:val="20"/>
          <w:szCs w:val="20"/>
        </w:rPr>
        <w:t xml:space="preserve"> market in Germany. </w:t>
      </w:r>
      <w:r>
        <w:rPr>
          <w:rFonts w:ascii="Arial" w:hAnsi="Arial" w:cs="Arial"/>
          <w:i/>
          <w:iCs/>
          <w:color w:val="000000"/>
          <w:sz w:val="20"/>
          <w:szCs w:val="20"/>
        </w:rPr>
        <w:t>Education + Training, 66</w:t>
      </w:r>
      <w:r>
        <w:rPr>
          <w:rFonts w:ascii="Arial" w:hAnsi="Arial" w:cs="Arial"/>
          <w:color w:val="000000"/>
          <w:sz w:val="20"/>
          <w:szCs w:val="20"/>
        </w:rPr>
        <w:t>(10), 42–57.</w:t>
      </w:r>
      <w:hyperlink r:id="rId38" w:history="1">
        <w:r>
          <w:rPr>
            <w:rStyle w:val="Hyperlink"/>
            <w:rFonts w:ascii="Arial" w:hAnsi="Arial" w:cs="Arial"/>
            <w:color w:val="000000"/>
            <w:sz w:val="20"/>
            <w:szCs w:val="20"/>
            <w:u w:val="none"/>
          </w:rPr>
          <w:t xml:space="preserve"> https://doi.org/10.1108/ET-04-2023-0122</w:t>
        </w:r>
      </w:hyperlink>
    </w:p>
    <w:p w14:paraId="5DAF247B" w14:textId="77777777" w:rsidR="007253F3" w:rsidRDefault="007253F3" w:rsidP="007253F3">
      <w:pPr>
        <w:pStyle w:val="NormalWeb"/>
        <w:spacing w:before="0" w:beforeAutospacing="0" w:after="0" w:afterAutospacing="0"/>
        <w:ind w:left="360" w:hanging="360"/>
      </w:pPr>
      <w:proofErr w:type="spellStart"/>
      <w:r>
        <w:rPr>
          <w:rFonts w:ascii="Arial" w:hAnsi="Arial" w:cs="Arial"/>
          <w:color w:val="000000"/>
          <w:sz w:val="20"/>
          <w:szCs w:val="20"/>
        </w:rPr>
        <w:t>Mabungela</w:t>
      </w:r>
      <w:proofErr w:type="spellEnd"/>
      <w:r>
        <w:rPr>
          <w:rFonts w:ascii="Arial" w:hAnsi="Arial" w:cs="Arial"/>
          <w:color w:val="000000"/>
          <w:sz w:val="20"/>
          <w:szCs w:val="20"/>
        </w:rPr>
        <w:t xml:space="preserve">, M., &amp; </w:t>
      </w:r>
      <w:proofErr w:type="spellStart"/>
      <w:r>
        <w:rPr>
          <w:rFonts w:ascii="Arial" w:hAnsi="Arial" w:cs="Arial"/>
          <w:color w:val="000000"/>
          <w:sz w:val="20"/>
          <w:szCs w:val="20"/>
        </w:rPr>
        <w:t>Mtiki</w:t>
      </w:r>
      <w:proofErr w:type="spellEnd"/>
      <w:r>
        <w:rPr>
          <w:rFonts w:ascii="Arial" w:hAnsi="Arial" w:cs="Arial"/>
          <w:color w:val="000000"/>
          <w:sz w:val="20"/>
          <w:szCs w:val="20"/>
        </w:rPr>
        <w:t xml:space="preserve">, V. (2024). Accelerating Graduate Employability through Work-Integrated Learning. </w:t>
      </w:r>
      <w:r>
        <w:rPr>
          <w:rFonts w:ascii="Arial" w:hAnsi="Arial" w:cs="Arial"/>
          <w:i/>
          <w:iCs/>
          <w:color w:val="000000"/>
          <w:sz w:val="20"/>
          <w:szCs w:val="20"/>
        </w:rPr>
        <w:t>Research in Social Sciences and Technology</w:t>
      </w:r>
      <w:r>
        <w:rPr>
          <w:rFonts w:ascii="Arial" w:hAnsi="Arial" w:cs="Arial"/>
          <w:color w:val="000000"/>
          <w:sz w:val="20"/>
          <w:szCs w:val="20"/>
        </w:rPr>
        <w:t xml:space="preserve">, </w:t>
      </w:r>
      <w:r>
        <w:rPr>
          <w:rFonts w:ascii="Arial" w:hAnsi="Arial" w:cs="Arial"/>
          <w:i/>
          <w:iCs/>
          <w:color w:val="000000"/>
          <w:sz w:val="20"/>
          <w:szCs w:val="20"/>
        </w:rPr>
        <w:t>9</w:t>
      </w:r>
      <w:r>
        <w:rPr>
          <w:rFonts w:ascii="Arial" w:hAnsi="Arial" w:cs="Arial"/>
          <w:color w:val="000000"/>
          <w:sz w:val="20"/>
          <w:szCs w:val="20"/>
        </w:rPr>
        <w:t xml:space="preserve">(1), 291-304. </w:t>
      </w:r>
      <w:hyperlink r:id="rId39" w:history="1">
        <w:r>
          <w:rPr>
            <w:rStyle w:val="Hyperlink"/>
            <w:rFonts w:ascii="Arial" w:hAnsi="Arial" w:cs="Arial"/>
            <w:color w:val="000000"/>
            <w:sz w:val="20"/>
            <w:szCs w:val="20"/>
            <w:u w:val="none"/>
          </w:rPr>
          <w:t>https://doi.org/10.46303/ressat.2024.17</w:t>
        </w:r>
      </w:hyperlink>
    </w:p>
    <w:p w14:paraId="23175B1A"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Monteverde, R. P., Mejia, I. P., Dasas, L. B., &amp; Bazer, S. C. (2025). </w:t>
      </w:r>
      <w:r>
        <w:rPr>
          <w:rFonts w:ascii="Arial" w:hAnsi="Arial" w:cs="Arial"/>
          <w:i/>
          <w:iCs/>
          <w:color w:val="000000"/>
          <w:sz w:val="20"/>
          <w:szCs w:val="20"/>
        </w:rPr>
        <w:t>Building a strong and sustainable pathway for middle-skilled workers</w:t>
      </w:r>
      <w:r>
        <w:rPr>
          <w:rFonts w:ascii="Arial" w:hAnsi="Arial" w:cs="Arial"/>
          <w:color w:val="000000"/>
          <w:sz w:val="20"/>
          <w:szCs w:val="20"/>
        </w:rPr>
        <w:t xml:space="preserve"> (Policy Note No. 2025-15). Philippine Institute for Development Studies.</w:t>
      </w:r>
      <w:hyperlink r:id="rId40" w:history="1">
        <w:r>
          <w:rPr>
            <w:rStyle w:val="Hyperlink"/>
            <w:rFonts w:ascii="Arial" w:hAnsi="Arial" w:cs="Arial"/>
            <w:color w:val="000000"/>
            <w:sz w:val="20"/>
            <w:szCs w:val="20"/>
            <w:u w:val="none"/>
          </w:rPr>
          <w:t xml:space="preserve"> https://doi.org/10.62986/pn2025.15</w:t>
        </w:r>
      </w:hyperlink>
    </w:p>
    <w:p w14:paraId="520ECBD0"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Murillo Huertas, I. P., &amp; Raymond, J. L. (2024). Education, educational mismatch and occupational status: An analysis using PIAAC data. </w:t>
      </w:r>
      <w:r>
        <w:rPr>
          <w:rFonts w:ascii="Arial" w:hAnsi="Arial" w:cs="Arial"/>
          <w:i/>
          <w:iCs/>
          <w:color w:val="000000"/>
          <w:sz w:val="20"/>
          <w:szCs w:val="20"/>
        </w:rPr>
        <w:t xml:space="preserve">Economia </w:t>
      </w:r>
      <w:proofErr w:type="spellStart"/>
      <w:r>
        <w:rPr>
          <w:rFonts w:ascii="Arial" w:hAnsi="Arial" w:cs="Arial"/>
          <w:i/>
          <w:iCs/>
          <w:color w:val="000000"/>
          <w:sz w:val="20"/>
          <w:szCs w:val="20"/>
        </w:rPr>
        <w:t>Politica</w:t>
      </w:r>
      <w:proofErr w:type="spellEnd"/>
      <w:r>
        <w:rPr>
          <w:rFonts w:ascii="Arial" w:hAnsi="Arial" w:cs="Arial"/>
          <w:i/>
          <w:iCs/>
          <w:color w:val="000000"/>
          <w:sz w:val="20"/>
          <w:szCs w:val="20"/>
        </w:rPr>
        <w:t>, 41</w:t>
      </w:r>
      <w:r>
        <w:rPr>
          <w:rFonts w:ascii="Arial" w:hAnsi="Arial" w:cs="Arial"/>
          <w:color w:val="000000"/>
          <w:sz w:val="20"/>
          <w:szCs w:val="20"/>
        </w:rPr>
        <w:t>, 717–738.</w:t>
      </w:r>
      <w:hyperlink r:id="rId41" w:history="1">
        <w:r>
          <w:rPr>
            <w:rStyle w:val="Hyperlink"/>
            <w:rFonts w:ascii="Arial" w:hAnsi="Arial" w:cs="Arial"/>
            <w:color w:val="000000"/>
            <w:sz w:val="20"/>
            <w:szCs w:val="20"/>
            <w:u w:val="none"/>
          </w:rPr>
          <w:t xml:space="preserve"> https://doi.org/10.1007/s40888-024-00328-z</w:t>
        </w:r>
      </w:hyperlink>
    </w:p>
    <w:p w14:paraId="1CADBC76"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Nelson, A., Ivarsson, A., &amp; Lydell, M. (2025). Employability and long-term work life outcomes from studying at a Swedish university college: Problematizing the notion of mismatch. </w:t>
      </w:r>
      <w:r>
        <w:rPr>
          <w:rFonts w:ascii="Arial" w:hAnsi="Arial" w:cs="Arial"/>
          <w:i/>
          <w:iCs/>
          <w:color w:val="000000"/>
          <w:sz w:val="20"/>
          <w:szCs w:val="20"/>
        </w:rPr>
        <w:t>Higher Education, Skills and Work-Based Learning, 15</w:t>
      </w:r>
      <w:r>
        <w:rPr>
          <w:rFonts w:ascii="Arial" w:hAnsi="Arial" w:cs="Arial"/>
          <w:color w:val="000000"/>
          <w:sz w:val="20"/>
          <w:szCs w:val="20"/>
        </w:rPr>
        <w:t>(7), 48–65.</w:t>
      </w:r>
      <w:hyperlink r:id="rId42" w:history="1">
        <w:r>
          <w:rPr>
            <w:rStyle w:val="Hyperlink"/>
            <w:rFonts w:ascii="Arial" w:hAnsi="Arial" w:cs="Arial"/>
            <w:color w:val="000000"/>
            <w:sz w:val="20"/>
            <w:szCs w:val="20"/>
            <w:u w:val="none"/>
          </w:rPr>
          <w:t xml:space="preserve"> https://doi.org/10.1108/HESWBL-11-2023-0327</w:t>
        </w:r>
      </w:hyperlink>
    </w:p>
    <w:p w14:paraId="5023C2CC"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Nyale, D., Karume, S., </w:t>
      </w:r>
      <w:proofErr w:type="spellStart"/>
      <w:r>
        <w:rPr>
          <w:rFonts w:ascii="Arial" w:hAnsi="Arial" w:cs="Arial"/>
          <w:color w:val="000000"/>
          <w:sz w:val="20"/>
          <w:szCs w:val="20"/>
        </w:rPr>
        <w:t>Kipkebut</w:t>
      </w:r>
      <w:proofErr w:type="spellEnd"/>
      <w:r>
        <w:rPr>
          <w:rFonts w:ascii="Arial" w:hAnsi="Arial" w:cs="Arial"/>
          <w:color w:val="000000"/>
          <w:sz w:val="20"/>
          <w:szCs w:val="20"/>
        </w:rPr>
        <w:t xml:space="preserve">, A., </w:t>
      </w:r>
      <w:proofErr w:type="spellStart"/>
      <w:r>
        <w:rPr>
          <w:rFonts w:ascii="Arial" w:hAnsi="Arial" w:cs="Arial"/>
          <w:color w:val="000000"/>
          <w:sz w:val="20"/>
          <w:szCs w:val="20"/>
        </w:rPr>
        <w:t>Mukudi</w:t>
      </w:r>
      <w:proofErr w:type="spellEnd"/>
      <w:r>
        <w:rPr>
          <w:rFonts w:ascii="Arial" w:hAnsi="Arial" w:cs="Arial"/>
          <w:color w:val="000000"/>
          <w:sz w:val="20"/>
          <w:szCs w:val="20"/>
        </w:rPr>
        <w:t xml:space="preserve">, F., &amp; Sharafat, A. (2026). An intelligent curriculum alignment model for digital skills integration in higher education: A data-driven approach to bridge academia-industry gaps. </w:t>
      </w:r>
      <w:r>
        <w:rPr>
          <w:rFonts w:ascii="Arial" w:hAnsi="Arial" w:cs="Arial"/>
          <w:i/>
          <w:iCs/>
          <w:color w:val="000000"/>
          <w:sz w:val="20"/>
          <w:szCs w:val="20"/>
        </w:rPr>
        <w:t>Discover Education, 5</w:t>
      </w:r>
      <w:r>
        <w:rPr>
          <w:rFonts w:ascii="Arial" w:hAnsi="Arial" w:cs="Arial"/>
          <w:color w:val="000000"/>
          <w:sz w:val="20"/>
          <w:szCs w:val="20"/>
        </w:rPr>
        <w:t>, Article 151.</w:t>
      </w:r>
      <w:hyperlink r:id="rId43" w:history="1">
        <w:r>
          <w:rPr>
            <w:rStyle w:val="Hyperlink"/>
            <w:rFonts w:ascii="Arial" w:hAnsi="Arial" w:cs="Arial"/>
            <w:color w:val="000000"/>
            <w:sz w:val="20"/>
            <w:szCs w:val="20"/>
            <w:u w:val="none"/>
          </w:rPr>
          <w:t xml:space="preserve"> </w:t>
        </w:r>
      </w:hyperlink>
      <w:hyperlink r:id="rId44" w:history="1">
        <w:r>
          <w:rPr>
            <w:rStyle w:val="Hyperlink"/>
            <w:rFonts w:ascii="Arial" w:hAnsi="Arial" w:cs="Arial"/>
            <w:color w:val="000000"/>
            <w:sz w:val="20"/>
            <w:szCs w:val="20"/>
            <w:u w:val="none"/>
          </w:rPr>
          <w:t>https://doi.org/10.1007/s44217-026-01180-y</w:t>
        </w:r>
      </w:hyperlink>
    </w:p>
    <w:p w14:paraId="6C43F943" w14:textId="6470C515" w:rsidR="00934061" w:rsidRPr="00934061" w:rsidRDefault="00934061" w:rsidP="007253F3">
      <w:pPr>
        <w:pStyle w:val="NormalWeb"/>
        <w:spacing w:before="0" w:beforeAutospacing="0" w:after="0" w:afterAutospacing="0"/>
        <w:ind w:left="360" w:hanging="360"/>
        <w:rPr>
          <w:rFonts w:ascii="Arial" w:hAnsi="Arial" w:cs="Arial"/>
          <w:sz w:val="20"/>
          <w:szCs w:val="20"/>
        </w:rPr>
      </w:pPr>
      <w:r w:rsidRPr="00934061">
        <w:rPr>
          <w:rFonts w:ascii="Arial" w:hAnsi="Arial" w:cs="Arial"/>
          <w:sz w:val="20"/>
          <w:szCs w:val="20"/>
        </w:rPr>
        <w:t xml:space="preserve">Pervez, N., Mahmood, W., Akram, M., &amp; Waqas, M. (2024). Analyzing the alignment between university curriculum and job market requirements in Pakistan: Challenges and opportunities. </w:t>
      </w:r>
      <w:r w:rsidRPr="00934061">
        <w:rPr>
          <w:rStyle w:val="Emphasis"/>
          <w:rFonts w:ascii="Arial" w:hAnsi="Arial" w:cs="Arial"/>
          <w:sz w:val="20"/>
          <w:szCs w:val="20"/>
        </w:rPr>
        <w:t>Indus Journal of Social Sciences, 2</w:t>
      </w:r>
      <w:r w:rsidRPr="00934061">
        <w:rPr>
          <w:rFonts w:ascii="Arial" w:hAnsi="Arial" w:cs="Arial"/>
          <w:sz w:val="20"/>
          <w:szCs w:val="20"/>
        </w:rPr>
        <w:t>(2), 397–410. https://doi.org/10.59075/ijss.v2i2.269</w:t>
      </w:r>
    </w:p>
    <w:p w14:paraId="7E4E541D" w14:textId="77777777" w:rsidR="007253F3" w:rsidRDefault="007253F3" w:rsidP="007253F3">
      <w:pPr>
        <w:pStyle w:val="NormalWeb"/>
        <w:spacing w:before="0" w:beforeAutospacing="0" w:after="0" w:afterAutospacing="0"/>
        <w:ind w:left="360" w:hanging="360"/>
      </w:pPr>
      <w:r w:rsidRPr="00934061">
        <w:rPr>
          <w:rFonts w:ascii="Arial" w:hAnsi="Arial" w:cs="Arial"/>
          <w:color w:val="000000"/>
          <w:sz w:val="20"/>
          <w:szCs w:val="20"/>
        </w:rPr>
        <w:t xml:space="preserve">Poniman, </w:t>
      </w:r>
      <w:proofErr w:type="spellStart"/>
      <w:r w:rsidRPr="00934061">
        <w:rPr>
          <w:rFonts w:ascii="Arial" w:hAnsi="Arial" w:cs="Arial"/>
          <w:color w:val="000000"/>
          <w:sz w:val="20"/>
          <w:szCs w:val="20"/>
        </w:rPr>
        <w:t>Aditia</w:t>
      </w:r>
      <w:proofErr w:type="spellEnd"/>
      <w:r w:rsidRPr="00934061">
        <w:rPr>
          <w:rFonts w:ascii="Arial" w:hAnsi="Arial" w:cs="Arial"/>
          <w:color w:val="000000"/>
          <w:sz w:val="20"/>
          <w:szCs w:val="20"/>
        </w:rPr>
        <w:t xml:space="preserve"> Novaldi, R., Intan Desiga, H., &amp; Natasha. (2026). Skill Gap Analysis</w:t>
      </w:r>
      <w:r>
        <w:rPr>
          <w:rFonts w:ascii="Arial" w:hAnsi="Arial" w:cs="Arial"/>
          <w:color w:val="000000"/>
          <w:sz w:val="20"/>
          <w:szCs w:val="20"/>
        </w:rPr>
        <w:t xml:space="preserve"> of Human Resources Between Higher Education and the Workforce in Bangka Belitung Province. </w:t>
      </w:r>
      <w:r>
        <w:rPr>
          <w:rFonts w:ascii="Arial" w:hAnsi="Arial" w:cs="Arial"/>
          <w:i/>
          <w:iCs/>
          <w:color w:val="000000"/>
          <w:sz w:val="20"/>
          <w:szCs w:val="20"/>
        </w:rPr>
        <w:t>Psychological Research and Intervention</w:t>
      </w:r>
      <w:r>
        <w:rPr>
          <w:rFonts w:ascii="Arial" w:hAnsi="Arial" w:cs="Arial"/>
          <w:color w:val="000000"/>
          <w:sz w:val="20"/>
          <w:szCs w:val="20"/>
        </w:rPr>
        <w:t xml:space="preserve">, </w:t>
      </w:r>
      <w:r>
        <w:rPr>
          <w:rFonts w:ascii="Arial" w:hAnsi="Arial" w:cs="Arial"/>
          <w:i/>
          <w:iCs/>
          <w:color w:val="000000"/>
          <w:sz w:val="20"/>
          <w:szCs w:val="20"/>
        </w:rPr>
        <w:t>8</w:t>
      </w:r>
      <w:r>
        <w:rPr>
          <w:rFonts w:ascii="Arial" w:hAnsi="Arial" w:cs="Arial"/>
          <w:color w:val="000000"/>
          <w:sz w:val="20"/>
          <w:szCs w:val="20"/>
        </w:rPr>
        <w:t xml:space="preserve">(1), 47–55. </w:t>
      </w:r>
      <w:hyperlink r:id="rId45" w:history="1">
        <w:r>
          <w:rPr>
            <w:rStyle w:val="Hyperlink"/>
            <w:rFonts w:ascii="Arial" w:hAnsi="Arial" w:cs="Arial"/>
            <w:color w:val="000000"/>
            <w:sz w:val="20"/>
            <w:szCs w:val="20"/>
            <w:u w:val="none"/>
          </w:rPr>
          <w:t>https://doi.org/10.21831/pri.v8i1.91008</w:t>
        </w:r>
      </w:hyperlink>
    </w:p>
    <w:p w14:paraId="1DFDEAAD" w14:textId="77777777" w:rsidR="007253F3" w:rsidRDefault="007253F3" w:rsidP="007253F3">
      <w:pPr>
        <w:pStyle w:val="NormalWeb"/>
        <w:spacing w:before="0" w:beforeAutospacing="0" w:after="0" w:afterAutospacing="0"/>
        <w:ind w:left="360" w:hanging="360"/>
      </w:pPr>
      <w:proofErr w:type="spellStart"/>
      <w:r>
        <w:rPr>
          <w:rFonts w:ascii="Arial" w:hAnsi="Arial" w:cs="Arial"/>
          <w:color w:val="000000"/>
          <w:sz w:val="20"/>
          <w:szCs w:val="20"/>
        </w:rPr>
        <w:t>Rathee</w:t>
      </w:r>
      <w:proofErr w:type="spellEnd"/>
      <w:r>
        <w:rPr>
          <w:rFonts w:ascii="Arial" w:hAnsi="Arial" w:cs="Arial"/>
          <w:color w:val="000000"/>
          <w:sz w:val="20"/>
          <w:szCs w:val="20"/>
        </w:rPr>
        <w:t xml:space="preserve">, V., &amp; Mittal, P. (2024). Employability skills among work ready professionals in higher education: Mapping the field through bibliometric analysis with R studio. </w:t>
      </w:r>
      <w:r>
        <w:rPr>
          <w:rFonts w:ascii="Arial" w:hAnsi="Arial" w:cs="Arial"/>
          <w:i/>
          <w:iCs/>
          <w:color w:val="000000"/>
          <w:sz w:val="20"/>
          <w:szCs w:val="20"/>
        </w:rPr>
        <w:t>Higher Education, Skills and Work-Based Learning, 14</w:t>
      </w:r>
      <w:r>
        <w:rPr>
          <w:rFonts w:ascii="Arial" w:hAnsi="Arial" w:cs="Arial"/>
          <w:color w:val="000000"/>
          <w:sz w:val="20"/>
          <w:szCs w:val="20"/>
        </w:rPr>
        <w:t xml:space="preserve">(6), 1314–1339. </w:t>
      </w:r>
      <w:hyperlink r:id="rId46" w:history="1">
        <w:r>
          <w:rPr>
            <w:rStyle w:val="Hyperlink"/>
            <w:rFonts w:ascii="Arial" w:hAnsi="Arial" w:cs="Arial"/>
            <w:color w:val="000000"/>
            <w:sz w:val="20"/>
            <w:szCs w:val="20"/>
            <w:u w:val="none"/>
          </w:rPr>
          <w:t>https://doi.org/10.1108/HESWBL-10-2023-0279</w:t>
        </w:r>
      </w:hyperlink>
    </w:p>
    <w:p w14:paraId="3120B85B"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Salhab, R. (2024). AI Literacy across Curriculum Design: Investigating College Instructor’s Perspectives. </w:t>
      </w:r>
      <w:r>
        <w:rPr>
          <w:rFonts w:ascii="Arial" w:hAnsi="Arial" w:cs="Arial"/>
          <w:i/>
          <w:iCs/>
          <w:color w:val="000000"/>
          <w:sz w:val="20"/>
          <w:szCs w:val="20"/>
        </w:rPr>
        <w:t>Online Learning</w:t>
      </w:r>
      <w:r>
        <w:rPr>
          <w:rFonts w:ascii="Arial" w:hAnsi="Arial" w:cs="Arial"/>
          <w:color w:val="000000"/>
          <w:sz w:val="20"/>
          <w:szCs w:val="20"/>
        </w:rPr>
        <w:t xml:space="preserve">, </w:t>
      </w:r>
      <w:r>
        <w:rPr>
          <w:rFonts w:ascii="Arial" w:hAnsi="Arial" w:cs="Arial"/>
          <w:i/>
          <w:iCs/>
          <w:color w:val="000000"/>
          <w:sz w:val="20"/>
          <w:szCs w:val="20"/>
        </w:rPr>
        <w:t>28</w:t>
      </w:r>
      <w:r>
        <w:rPr>
          <w:rFonts w:ascii="Arial" w:hAnsi="Arial" w:cs="Arial"/>
          <w:color w:val="000000"/>
          <w:sz w:val="20"/>
          <w:szCs w:val="20"/>
        </w:rPr>
        <w:t xml:space="preserve">(2). </w:t>
      </w:r>
      <w:hyperlink r:id="rId47" w:history="1">
        <w:r>
          <w:rPr>
            <w:rStyle w:val="Hyperlink"/>
            <w:rFonts w:ascii="Arial" w:hAnsi="Arial" w:cs="Arial"/>
            <w:color w:val="000000"/>
            <w:sz w:val="20"/>
            <w:szCs w:val="20"/>
            <w:u w:val="none"/>
          </w:rPr>
          <w:t>https://doi.org/10.24059/olj.v28i2.4426</w:t>
        </w:r>
      </w:hyperlink>
    </w:p>
    <w:p w14:paraId="4F4D35CD"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Tee, P. K., Wong, L. C., Dada, M., Song, B. L., &amp; Ng, C. P. (2024). Demand for digital skills, skill gaps and graduate employability: Evidence from employers in Malaysia. </w:t>
      </w:r>
      <w:r>
        <w:rPr>
          <w:rFonts w:ascii="Arial" w:hAnsi="Arial" w:cs="Arial"/>
          <w:i/>
          <w:iCs/>
          <w:color w:val="000000"/>
          <w:sz w:val="20"/>
          <w:szCs w:val="20"/>
        </w:rPr>
        <w:t>F1000Research, 13</w:t>
      </w:r>
      <w:r>
        <w:rPr>
          <w:rFonts w:ascii="Arial" w:hAnsi="Arial" w:cs="Arial"/>
          <w:color w:val="000000"/>
          <w:sz w:val="20"/>
          <w:szCs w:val="20"/>
        </w:rPr>
        <w:t>, 389.</w:t>
      </w:r>
      <w:hyperlink r:id="rId48" w:history="1">
        <w:r>
          <w:rPr>
            <w:rStyle w:val="Hyperlink"/>
            <w:rFonts w:ascii="Arial" w:hAnsi="Arial" w:cs="Arial"/>
            <w:color w:val="000000"/>
            <w:sz w:val="20"/>
            <w:szCs w:val="20"/>
            <w:u w:val="none"/>
          </w:rPr>
          <w:t xml:space="preserve"> https://doi.org/10.12688/f1000research.148514.1</w:t>
        </w:r>
      </w:hyperlink>
    </w:p>
    <w:p w14:paraId="6015E2E5"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lastRenderedPageBreak/>
        <w:t xml:space="preserve">Tzirides, A. O., Zapata, G., </w:t>
      </w:r>
      <w:proofErr w:type="spellStart"/>
      <w:r>
        <w:rPr>
          <w:rFonts w:ascii="Arial" w:hAnsi="Arial" w:cs="Arial"/>
          <w:color w:val="000000"/>
          <w:sz w:val="20"/>
          <w:szCs w:val="20"/>
        </w:rPr>
        <w:t>Kastania</w:t>
      </w:r>
      <w:proofErr w:type="spellEnd"/>
      <w:r>
        <w:rPr>
          <w:rFonts w:ascii="Arial" w:hAnsi="Arial" w:cs="Arial"/>
          <w:color w:val="000000"/>
          <w:sz w:val="20"/>
          <w:szCs w:val="20"/>
        </w:rPr>
        <w:t xml:space="preserve">, N. P., Saini, A. K., Castro, V., Ismael, S. A. R., You, Y.-l., Santos, T. A. dos, </w:t>
      </w:r>
      <w:proofErr w:type="spellStart"/>
      <w:r>
        <w:rPr>
          <w:rFonts w:ascii="Arial" w:hAnsi="Arial" w:cs="Arial"/>
          <w:color w:val="000000"/>
          <w:sz w:val="20"/>
          <w:szCs w:val="20"/>
        </w:rPr>
        <w:t>Searsmith</w:t>
      </w:r>
      <w:proofErr w:type="spellEnd"/>
      <w:r>
        <w:rPr>
          <w:rFonts w:ascii="Arial" w:hAnsi="Arial" w:cs="Arial"/>
          <w:color w:val="000000"/>
          <w:sz w:val="20"/>
          <w:szCs w:val="20"/>
        </w:rPr>
        <w:t xml:space="preserve">, D., O'Brien, C., Cope, B., &amp; Kalantzis, M. (2024). Combining human and artificial intelligence for enhanced AI literacy in higher education. </w:t>
      </w:r>
      <w:r>
        <w:rPr>
          <w:rFonts w:ascii="Arial" w:hAnsi="Arial" w:cs="Arial"/>
          <w:i/>
          <w:iCs/>
          <w:color w:val="000000"/>
          <w:sz w:val="20"/>
          <w:szCs w:val="20"/>
        </w:rPr>
        <w:t>Computers and Education Open, 6</w:t>
      </w:r>
      <w:r>
        <w:rPr>
          <w:rFonts w:ascii="Arial" w:hAnsi="Arial" w:cs="Arial"/>
          <w:color w:val="000000"/>
          <w:sz w:val="20"/>
          <w:szCs w:val="20"/>
        </w:rPr>
        <w:t xml:space="preserve">, Article 100184. </w:t>
      </w:r>
      <w:hyperlink r:id="rId49" w:history="1">
        <w:r>
          <w:rPr>
            <w:rStyle w:val="Hyperlink"/>
            <w:rFonts w:ascii="Arial" w:hAnsi="Arial" w:cs="Arial"/>
            <w:color w:val="000000"/>
            <w:sz w:val="20"/>
            <w:szCs w:val="20"/>
            <w:u w:val="none"/>
          </w:rPr>
          <w:t>https://doi.org/10.1016/j.caeo.2024.100184</w:t>
        </w:r>
      </w:hyperlink>
    </w:p>
    <w:p w14:paraId="42AE5AD6" w14:textId="77777777" w:rsidR="007253F3" w:rsidRDefault="007253F3" w:rsidP="007253F3">
      <w:pPr>
        <w:pStyle w:val="NormalWeb"/>
        <w:spacing w:before="0" w:beforeAutospacing="0" w:after="0" w:afterAutospacing="0"/>
        <w:ind w:left="360" w:hanging="360"/>
      </w:pPr>
      <w:r>
        <w:rPr>
          <w:rFonts w:ascii="Arial" w:hAnsi="Arial" w:cs="Arial"/>
          <w:color w:val="000000"/>
          <w:sz w:val="20"/>
          <w:szCs w:val="20"/>
        </w:rPr>
        <w:t xml:space="preserve">Woessmann, L. (2025). Skills and earnings: A multidimensional perspective on human capital. </w:t>
      </w:r>
      <w:r>
        <w:rPr>
          <w:rFonts w:ascii="Arial" w:hAnsi="Arial" w:cs="Arial"/>
          <w:i/>
          <w:iCs/>
          <w:color w:val="000000"/>
          <w:sz w:val="20"/>
          <w:szCs w:val="20"/>
        </w:rPr>
        <w:t>Annual Review of Economics, 17</w:t>
      </w:r>
      <w:r>
        <w:rPr>
          <w:rFonts w:ascii="Arial" w:hAnsi="Arial" w:cs="Arial"/>
          <w:color w:val="000000"/>
          <w:sz w:val="20"/>
          <w:szCs w:val="20"/>
        </w:rPr>
        <w:t>, 397–425.</w:t>
      </w:r>
      <w:hyperlink r:id="rId50" w:history="1">
        <w:r>
          <w:rPr>
            <w:rStyle w:val="Hyperlink"/>
            <w:rFonts w:ascii="Arial" w:hAnsi="Arial" w:cs="Arial"/>
            <w:color w:val="000000"/>
            <w:sz w:val="20"/>
            <w:szCs w:val="20"/>
            <w:u w:val="none"/>
          </w:rPr>
          <w:t xml:space="preserve"> https://doi.org/10.1146/annurev-economics-081324-081733</w:t>
        </w:r>
      </w:hyperlink>
    </w:p>
    <w:p w14:paraId="5579A78C" w14:textId="4FDF8710" w:rsidR="00333201" w:rsidRDefault="007253F3" w:rsidP="007253F3">
      <w:pPr>
        <w:pStyle w:val="NormalWeb"/>
        <w:spacing w:before="0" w:beforeAutospacing="0" w:after="0" w:afterAutospacing="0"/>
        <w:ind w:left="360" w:hanging="360"/>
      </w:pPr>
      <w:r>
        <w:rPr>
          <w:rFonts w:ascii="Arial" w:hAnsi="Arial" w:cs="Arial"/>
          <w:color w:val="000000"/>
          <w:sz w:val="20"/>
          <w:szCs w:val="20"/>
        </w:rPr>
        <w:t xml:space="preserve">World Economic Forum. (2025). </w:t>
      </w:r>
      <w:r>
        <w:rPr>
          <w:rFonts w:ascii="Arial" w:hAnsi="Arial" w:cs="Arial"/>
          <w:i/>
          <w:iCs/>
          <w:color w:val="000000"/>
          <w:sz w:val="20"/>
          <w:szCs w:val="20"/>
        </w:rPr>
        <w:t>The future of jobs report 2025</w:t>
      </w:r>
      <w:r>
        <w:rPr>
          <w:rFonts w:ascii="Arial" w:hAnsi="Arial" w:cs="Arial"/>
          <w:color w:val="000000"/>
          <w:sz w:val="20"/>
          <w:szCs w:val="20"/>
        </w:rPr>
        <w:t>.</w:t>
      </w:r>
      <w:hyperlink r:id="rId51" w:history="1">
        <w:r>
          <w:rPr>
            <w:rStyle w:val="Hyperlink"/>
            <w:rFonts w:ascii="Arial" w:hAnsi="Arial" w:cs="Arial"/>
            <w:color w:val="000000"/>
            <w:sz w:val="20"/>
            <w:szCs w:val="20"/>
            <w:u w:val="none"/>
          </w:rPr>
          <w:t xml:space="preserve"> https://www.weforum.org/publications/the-future-of-jobs-report-2025/</w:t>
        </w:r>
      </w:hyperlink>
    </w:p>
    <w:sectPr w:rsidR="00333201" w:rsidSect="00D7083A">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AFE50" w14:textId="77777777" w:rsidR="003A65AF" w:rsidRDefault="003A65AF" w:rsidP="00C37E61">
      <w:r>
        <w:separator/>
      </w:r>
    </w:p>
  </w:endnote>
  <w:endnote w:type="continuationSeparator" w:id="0">
    <w:p w14:paraId="495C31C7" w14:textId="77777777" w:rsidR="003A65AF" w:rsidRDefault="003A65AF"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47B64" w14:textId="77777777" w:rsidR="00D7083A" w:rsidRDefault="00D708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B788" w14:textId="77777777" w:rsidR="00D7083A" w:rsidRDefault="00D70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61195" w14:textId="6F953CE0" w:rsidR="00754C9A" w:rsidRPr="00D7083A" w:rsidRDefault="00754C9A" w:rsidP="00D708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2B2E"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71799" w14:textId="77777777" w:rsidR="003A65AF" w:rsidRDefault="003A65AF" w:rsidP="00C37E61">
      <w:r>
        <w:separator/>
      </w:r>
    </w:p>
  </w:footnote>
  <w:footnote w:type="continuationSeparator" w:id="0">
    <w:p w14:paraId="6FCB0B12" w14:textId="77777777" w:rsidR="003A65AF" w:rsidRDefault="003A65AF"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0749D" w14:textId="4C29DA88" w:rsidR="00D7083A" w:rsidRDefault="00D7083A">
    <w:pPr>
      <w:pStyle w:val="Header"/>
    </w:pPr>
    <w:r>
      <w:rPr>
        <w:noProof/>
      </w:rPr>
      <w:pict w14:anchorId="6592CF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573188"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6090" w14:textId="77F1FC64" w:rsidR="00D7083A" w:rsidRDefault="00D7083A">
    <w:pPr>
      <w:pStyle w:val="Header"/>
    </w:pPr>
    <w:r>
      <w:rPr>
        <w:noProof/>
      </w:rPr>
      <w:pict w14:anchorId="5A39D6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573189"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9D0D1" w14:textId="6C39DFE6" w:rsidR="00296529" w:rsidRPr="00296529" w:rsidRDefault="00D7083A" w:rsidP="00296529">
    <w:pPr>
      <w:ind w:left="2160"/>
      <w:jc w:val="center"/>
      <w:rPr>
        <w:rFonts w:eastAsia="Calibri"/>
        <w:i/>
        <w:sz w:val="18"/>
        <w:szCs w:val="22"/>
      </w:rPr>
    </w:pPr>
    <w:r>
      <w:rPr>
        <w:noProof/>
      </w:rPr>
      <w:pict w14:anchorId="1C6BBC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573187"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p w14:paraId="7F4CF0E3"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45C2242F" w14:textId="77777777" w:rsidR="00296529" w:rsidRPr="00296529" w:rsidRDefault="00754C9A" w:rsidP="00296529">
    <w:pPr>
      <w:jc w:val="center"/>
      <w:rPr>
        <w:rFonts w:eastAsia="Calibri"/>
        <w:i/>
        <w:sz w:val="18"/>
        <w:szCs w:val="22"/>
      </w:rPr>
    </w:pPr>
    <w:r>
      <w:rPr>
        <w:rFonts w:eastAsia="Calibri"/>
        <w:i/>
        <w:sz w:val="18"/>
        <w:szCs w:val="22"/>
      </w:rPr>
      <w:t>.</w:t>
    </w:r>
  </w:p>
  <w:p w14:paraId="43F2F252"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5A47060F"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71C05838"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7B05565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BC67E" w14:textId="593305D8" w:rsidR="00D7083A" w:rsidRDefault="00D7083A">
    <w:pPr>
      <w:pStyle w:val="Header"/>
    </w:pPr>
    <w:r>
      <w:rPr>
        <w:noProof/>
      </w:rPr>
      <w:pict w14:anchorId="73D1F8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573191"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DA42E29">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F749F" w14:textId="6C801E61" w:rsidR="00D7083A" w:rsidRDefault="00D7083A">
    <w:pPr>
      <w:pStyle w:val="Header"/>
    </w:pPr>
    <w:r>
      <w:rPr>
        <w:noProof/>
      </w:rPr>
      <w:pict w14:anchorId="10AD89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573192"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572359D">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3AFF" w14:textId="1235D782" w:rsidR="00D7083A" w:rsidRPr="00296529" w:rsidRDefault="00D7083A" w:rsidP="00296529">
    <w:pPr>
      <w:ind w:left="2160"/>
      <w:jc w:val="center"/>
      <w:rPr>
        <w:rFonts w:eastAsia="Calibri"/>
        <w:i/>
        <w:sz w:val="18"/>
        <w:szCs w:val="22"/>
      </w:rPr>
    </w:pPr>
    <w:r>
      <w:rPr>
        <w:noProof/>
      </w:rPr>
      <w:pict w14:anchorId="3010DE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573190"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7530A9E">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p w14:paraId="2AA31C2F" w14:textId="77777777" w:rsidR="00D7083A" w:rsidRPr="00296529" w:rsidRDefault="00D7083A"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4E7CFEDB" w14:textId="77777777" w:rsidR="00D7083A" w:rsidRPr="00296529" w:rsidRDefault="00D7083A" w:rsidP="00296529">
    <w:pPr>
      <w:jc w:val="center"/>
      <w:rPr>
        <w:rFonts w:eastAsia="Calibri"/>
        <w:i/>
        <w:sz w:val="18"/>
        <w:szCs w:val="22"/>
      </w:rPr>
    </w:pPr>
    <w:r>
      <w:rPr>
        <w:rFonts w:eastAsia="Calibri"/>
        <w:i/>
        <w:sz w:val="18"/>
        <w:szCs w:val="22"/>
      </w:rPr>
      <w:t>.</w:t>
    </w:r>
  </w:p>
  <w:p w14:paraId="2C49F1D9" w14:textId="77777777" w:rsidR="00D7083A" w:rsidRPr="00296529" w:rsidRDefault="00D7083A"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2BCFE6F4" w14:textId="77777777" w:rsidR="00D7083A" w:rsidRDefault="00D7083A" w:rsidP="00296529">
    <w:pPr>
      <w:jc w:val="center"/>
      <w:rPr>
        <w:rFonts w:eastAsia="Calibri"/>
        <w:i/>
        <w:sz w:val="18"/>
        <w:szCs w:val="22"/>
      </w:rPr>
    </w:pPr>
    <w:r w:rsidRPr="00296529">
      <w:rPr>
        <w:rFonts w:eastAsia="Calibri"/>
        <w:i/>
        <w:sz w:val="18"/>
        <w:szCs w:val="22"/>
      </w:rPr>
      <w:t xml:space="preserve">                     </w:t>
    </w:r>
  </w:p>
  <w:p w14:paraId="61DBDF4D" w14:textId="77777777" w:rsidR="00D7083A" w:rsidRDefault="00D7083A" w:rsidP="00296529">
    <w:pPr>
      <w:tabs>
        <w:tab w:val="left" w:pos="2145"/>
      </w:tabs>
      <w:rPr>
        <w:rFonts w:eastAsia="Calibri"/>
        <w:i/>
        <w:sz w:val="18"/>
        <w:szCs w:val="22"/>
      </w:rPr>
    </w:pPr>
    <w:r>
      <w:rPr>
        <w:rFonts w:eastAsia="Calibri"/>
        <w:i/>
        <w:sz w:val="18"/>
        <w:szCs w:val="22"/>
      </w:rPr>
      <w:tab/>
      <w:t>.</w:t>
    </w:r>
  </w:p>
  <w:p w14:paraId="4B1283CF" w14:textId="77777777" w:rsidR="00D7083A" w:rsidRDefault="00D7083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D3717E8"/>
    <w:multiLevelType w:val="multilevel"/>
    <w:tmpl w:val="AF144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09B605B"/>
    <w:multiLevelType w:val="multilevel"/>
    <w:tmpl w:val="9C4C9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1"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19"/>
  </w:num>
  <w:num w:numId="3" w16cid:durableId="25179208">
    <w:abstractNumId w:val="27"/>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8"/>
  </w:num>
  <w:num w:numId="6" w16cid:durableId="541678199">
    <w:abstractNumId w:val="7"/>
  </w:num>
  <w:num w:numId="7" w16cid:durableId="1753699232">
    <w:abstractNumId w:val="1"/>
  </w:num>
  <w:num w:numId="8" w16cid:durableId="592710641">
    <w:abstractNumId w:val="15"/>
  </w:num>
  <w:num w:numId="9" w16cid:durableId="976835453">
    <w:abstractNumId w:val="30"/>
  </w:num>
  <w:num w:numId="10" w16cid:durableId="249659283">
    <w:abstractNumId w:val="2"/>
  </w:num>
  <w:num w:numId="11" w16cid:durableId="1732656361">
    <w:abstractNumId w:val="22"/>
  </w:num>
  <w:num w:numId="12" w16cid:durableId="1657537769">
    <w:abstractNumId w:val="3"/>
  </w:num>
  <w:num w:numId="13" w16cid:durableId="1538161017">
    <w:abstractNumId w:val="21"/>
  </w:num>
  <w:num w:numId="14" w16cid:durableId="1156144008">
    <w:abstractNumId w:val="9"/>
  </w:num>
  <w:num w:numId="15" w16cid:durableId="283007475">
    <w:abstractNumId w:val="25"/>
  </w:num>
  <w:num w:numId="16" w16cid:durableId="1659307781">
    <w:abstractNumId w:val="5"/>
  </w:num>
  <w:num w:numId="17" w16cid:durableId="1898470046">
    <w:abstractNumId w:val="26"/>
  </w:num>
  <w:num w:numId="18" w16cid:durableId="73864778">
    <w:abstractNumId w:val="18"/>
  </w:num>
  <w:num w:numId="19" w16cid:durableId="713584812">
    <w:abstractNumId w:val="33"/>
  </w:num>
  <w:num w:numId="20" w16cid:durableId="453714349">
    <w:abstractNumId w:val="14"/>
  </w:num>
  <w:num w:numId="21" w16cid:durableId="1178041074">
    <w:abstractNumId w:val="11"/>
  </w:num>
  <w:num w:numId="22" w16cid:durableId="359479019">
    <w:abstractNumId w:val="16"/>
  </w:num>
  <w:num w:numId="23" w16cid:durableId="644360971">
    <w:abstractNumId w:val="23"/>
  </w:num>
  <w:num w:numId="24" w16cid:durableId="874537813">
    <w:abstractNumId w:val="31"/>
  </w:num>
  <w:num w:numId="25" w16cid:durableId="1393698916">
    <w:abstractNumId w:val="4"/>
  </w:num>
  <w:num w:numId="26" w16cid:durableId="629020859">
    <w:abstractNumId w:val="20"/>
  </w:num>
  <w:num w:numId="27" w16cid:durableId="1995836081">
    <w:abstractNumId w:val="24"/>
  </w:num>
  <w:num w:numId="28" w16cid:durableId="493186585">
    <w:abstractNumId w:val="32"/>
  </w:num>
  <w:num w:numId="29" w16cid:durableId="1522937024">
    <w:abstractNumId w:val="29"/>
  </w:num>
  <w:num w:numId="30" w16cid:durableId="319311731">
    <w:abstractNumId w:val="12"/>
  </w:num>
  <w:num w:numId="31" w16cid:durableId="855971305">
    <w:abstractNumId w:val="10"/>
  </w:num>
  <w:num w:numId="32" w16cid:durableId="206531686">
    <w:abstractNumId w:val="28"/>
  </w:num>
  <w:num w:numId="33" w16cid:durableId="1325476200">
    <w:abstractNumId w:val="13"/>
  </w:num>
  <w:num w:numId="34" w16cid:durableId="1941376900">
    <w:abstractNumId w:val="17"/>
  </w:num>
  <w:num w:numId="35" w16cid:durableId="8849534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45C72"/>
    <w:rsid w:val="00057DA5"/>
    <w:rsid w:val="000A47FA"/>
    <w:rsid w:val="000A65D3"/>
    <w:rsid w:val="000B1E33"/>
    <w:rsid w:val="000B5B2A"/>
    <w:rsid w:val="000D689F"/>
    <w:rsid w:val="000E7B7B"/>
    <w:rsid w:val="000E7D62"/>
    <w:rsid w:val="000F64E0"/>
    <w:rsid w:val="00103357"/>
    <w:rsid w:val="001064A5"/>
    <w:rsid w:val="001159FD"/>
    <w:rsid w:val="00123C9F"/>
    <w:rsid w:val="00126190"/>
    <w:rsid w:val="00130F17"/>
    <w:rsid w:val="001320BF"/>
    <w:rsid w:val="00163BC4"/>
    <w:rsid w:val="001739B2"/>
    <w:rsid w:val="00191062"/>
    <w:rsid w:val="00192B72"/>
    <w:rsid w:val="001A29D8"/>
    <w:rsid w:val="001A5CAA"/>
    <w:rsid w:val="001B0427"/>
    <w:rsid w:val="001C0AC9"/>
    <w:rsid w:val="001D3A51"/>
    <w:rsid w:val="001E10D2"/>
    <w:rsid w:val="001E25B4"/>
    <w:rsid w:val="001E44FE"/>
    <w:rsid w:val="001E4A64"/>
    <w:rsid w:val="00200595"/>
    <w:rsid w:val="0020183E"/>
    <w:rsid w:val="00204835"/>
    <w:rsid w:val="00231920"/>
    <w:rsid w:val="0023195C"/>
    <w:rsid w:val="0024282C"/>
    <w:rsid w:val="00244F25"/>
    <w:rsid w:val="002460DC"/>
    <w:rsid w:val="00250985"/>
    <w:rsid w:val="002556F6"/>
    <w:rsid w:val="0026707F"/>
    <w:rsid w:val="002815E6"/>
    <w:rsid w:val="00283105"/>
    <w:rsid w:val="00284C4C"/>
    <w:rsid w:val="00287E68"/>
    <w:rsid w:val="00296529"/>
    <w:rsid w:val="002B27FB"/>
    <w:rsid w:val="002B685A"/>
    <w:rsid w:val="002C57D2"/>
    <w:rsid w:val="002E0D56"/>
    <w:rsid w:val="002F00C7"/>
    <w:rsid w:val="00312CEB"/>
    <w:rsid w:val="00315186"/>
    <w:rsid w:val="00333201"/>
    <w:rsid w:val="0033343E"/>
    <w:rsid w:val="003512C2"/>
    <w:rsid w:val="00360E33"/>
    <w:rsid w:val="00371FB6"/>
    <w:rsid w:val="003763C1"/>
    <w:rsid w:val="00376BBE"/>
    <w:rsid w:val="00386261"/>
    <w:rsid w:val="0039224F"/>
    <w:rsid w:val="003A43A4"/>
    <w:rsid w:val="003A65AF"/>
    <w:rsid w:val="003A7E18"/>
    <w:rsid w:val="003C4C86"/>
    <w:rsid w:val="003C6258"/>
    <w:rsid w:val="003E2904"/>
    <w:rsid w:val="00401927"/>
    <w:rsid w:val="0041027F"/>
    <w:rsid w:val="00412475"/>
    <w:rsid w:val="00423789"/>
    <w:rsid w:val="00432CC1"/>
    <w:rsid w:val="00440F43"/>
    <w:rsid w:val="00441B6F"/>
    <w:rsid w:val="00446221"/>
    <w:rsid w:val="00450E62"/>
    <w:rsid w:val="004539DB"/>
    <w:rsid w:val="00471A80"/>
    <w:rsid w:val="00472000"/>
    <w:rsid w:val="004C2541"/>
    <w:rsid w:val="004C6910"/>
    <w:rsid w:val="004D305E"/>
    <w:rsid w:val="004D3E28"/>
    <w:rsid w:val="004D4277"/>
    <w:rsid w:val="005014AD"/>
    <w:rsid w:val="00502516"/>
    <w:rsid w:val="00505F06"/>
    <w:rsid w:val="00506828"/>
    <w:rsid w:val="00512C96"/>
    <w:rsid w:val="0053056E"/>
    <w:rsid w:val="00543FD6"/>
    <w:rsid w:val="00554FDA"/>
    <w:rsid w:val="005C49F2"/>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09DC"/>
    <w:rsid w:val="006967F7"/>
    <w:rsid w:val="006A250C"/>
    <w:rsid w:val="006B21D3"/>
    <w:rsid w:val="006B57D0"/>
    <w:rsid w:val="006C0363"/>
    <w:rsid w:val="006D30FF"/>
    <w:rsid w:val="006D6940"/>
    <w:rsid w:val="006F11EC"/>
    <w:rsid w:val="0070082C"/>
    <w:rsid w:val="00725077"/>
    <w:rsid w:val="007253F3"/>
    <w:rsid w:val="007369E6"/>
    <w:rsid w:val="00746E59"/>
    <w:rsid w:val="00754C9A"/>
    <w:rsid w:val="0075599A"/>
    <w:rsid w:val="00761D52"/>
    <w:rsid w:val="0077749E"/>
    <w:rsid w:val="00790ADA"/>
    <w:rsid w:val="007A6430"/>
    <w:rsid w:val="007D2288"/>
    <w:rsid w:val="007E088F"/>
    <w:rsid w:val="007F7B32"/>
    <w:rsid w:val="00803527"/>
    <w:rsid w:val="00804BC2"/>
    <w:rsid w:val="0081431A"/>
    <w:rsid w:val="0083216F"/>
    <w:rsid w:val="00860000"/>
    <w:rsid w:val="00863BD3"/>
    <w:rsid w:val="008641ED"/>
    <w:rsid w:val="00866D66"/>
    <w:rsid w:val="008671C6"/>
    <w:rsid w:val="00875803"/>
    <w:rsid w:val="008A5658"/>
    <w:rsid w:val="008B3F0D"/>
    <w:rsid w:val="008B459E"/>
    <w:rsid w:val="008E13AE"/>
    <w:rsid w:val="008E1506"/>
    <w:rsid w:val="008E368C"/>
    <w:rsid w:val="008E710C"/>
    <w:rsid w:val="008F69D6"/>
    <w:rsid w:val="00902823"/>
    <w:rsid w:val="00915CA6"/>
    <w:rsid w:val="00927834"/>
    <w:rsid w:val="00934061"/>
    <w:rsid w:val="009500A6"/>
    <w:rsid w:val="00957C18"/>
    <w:rsid w:val="00964D0D"/>
    <w:rsid w:val="009659BA"/>
    <w:rsid w:val="00983040"/>
    <w:rsid w:val="009B3FB9"/>
    <w:rsid w:val="009B6B47"/>
    <w:rsid w:val="009C2465"/>
    <w:rsid w:val="009D35A0"/>
    <w:rsid w:val="009D7EB7"/>
    <w:rsid w:val="009E048A"/>
    <w:rsid w:val="009E08E9"/>
    <w:rsid w:val="009E3DB9"/>
    <w:rsid w:val="009E6E35"/>
    <w:rsid w:val="009F0EDA"/>
    <w:rsid w:val="00A03B96"/>
    <w:rsid w:val="00A05B19"/>
    <w:rsid w:val="00A1134E"/>
    <w:rsid w:val="00A12423"/>
    <w:rsid w:val="00A24E7E"/>
    <w:rsid w:val="00A258C3"/>
    <w:rsid w:val="00A347C0"/>
    <w:rsid w:val="00A51431"/>
    <w:rsid w:val="00A539AD"/>
    <w:rsid w:val="00A643A7"/>
    <w:rsid w:val="00A94063"/>
    <w:rsid w:val="00AA6219"/>
    <w:rsid w:val="00AA74E0"/>
    <w:rsid w:val="00AB703F"/>
    <w:rsid w:val="00AC6BB8"/>
    <w:rsid w:val="00AE008F"/>
    <w:rsid w:val="00B01FCD"/>
    <w:rsid w:val="00B1776C"/>
    <w:rsid w:val="00B2615A"/>
    <w:rsid w:val="00B379FA"/>
    <w:rsid w:val="00B52583"/>
    <w:rsid w:val="00B52896"/>
    <w:rsid w:val="00B57BC1"/>
    <w:rsid w:val="00B937BD"/>
    <w:rsid w:val="00B95236"/>
    <w:rsid w:val="00B96BD9"/>
    <w:rsid w:val="00BA1B01"/>
    <w:rsid w:val="00BA2641"/>
    <w:rsid w:val="00BB37AA"/>
    <w:rsid w:val="00BC53A0"/>
    <w:rsid w:val="00BE20E1"/>
    <w:rsid w:val="00BE62AD"/>
    <w:rsid w:val="00BF121F"/>
    <w:rsid w:val="00BF1F80"/>
    <w:rsid w:val="00BF5421"/>
    <w:rsid w:val="00C166EF"/>
    <w:rsid w:val="00C17EB0"/>
    <w:rsid w:val="00C27F5F"/>
    <w:rsid w:val="00C30A0F"/>
    <w:rsid w:val="00C37E61"/>
    <w:rsid w:val="00C42725"/>
    <w:rsid w:val="00C70F1B"/>
    <w:rsid w:val="00C71A47"/>
    <w:rsid w:val="00C7464C"/>
    <w:rsid w:val="00C85588"/>
    <w:rsid w:val="00CA36B7"/>
    <w:rsid w:val="00CD6755"/>
    <w:rsid w:val="00CD6856"/>
    <w:rsid w:val="00CE0089"/>
    <w:rsid w:val="00CE793C"/>
    <w:rsid w:val="00CF193C"/>
    <w:rsid w:val="00D173F1"/>
    <w:rsid w:val="00D2014E"/>
    <w:rsid w:val="00D240C9"/>
    <w:rsid w:val="00D348E9"/>
    <w:rsid w:val="00D43A6E"/>
    <w:rsid w:val="00D7083A"/>
    <w:rsid w:val="00D74CB0"/>
    <w:rsid w:val="00D8295D"/>
    <w:rsid w:val="00D848F2"/>
    <w:rsid w:val="00DA05CD"/>
    <w:rsid w:val="00DC2A65"/>
    <w:rsid w:val="00DE15F0"/>
    <w:rsid w:val="00DE5663"/>
    <w:rsid w:val="00DE78AA"/>
    <w:rsid w:val="00E053D0"/>
    <w:rsid w:val="00E11D8C"/>
    <w:rsid w:val="00E15994"/>
    <w:rsid w:val="00E16642"/>
    <w:rsid w:val="00E24FB2"/>
    <w:rsid w:val="00E3114E"/>
    <w:rsid w:val="00E31A70"/>
    <w:rsid w:val="00E35B02"/>
    <w:rsid w:val="00E379DE"/>
    <w:rsid w:val="00E57BDA"/>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469F0"/>
    <w:rsid w:val="00F53273"/>
    <w:rsid w:val="00F755E4"/>
    <w:rsid w:val="00F77D02"/>
    <w:rsid w:val="00F85EC4"/>
    <w:rsid w:val="00FB3A86"/>
    <w:rsid w:val="00FC4AE7"/>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F4AE36"/>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201"/>
    <w:rPr>
      <w:sz w:val="24"/>
      <w:szCs w:val="24"/>
      <w:lang w:val="en-PH"/>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432C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Heading3Char">
    <w:name w:val="Heading 3 Char"/>
    <w:basedOn w:val="DefaultParagraphFont"/>
    <w:link w:val="Heading3"/>
    <w:uiPriority w:val="9"/>
    <w:rsid w:val="00B57BC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64D0D"/>
    <w:rPr>
      <w:rFonts w:ascii="Arial" w:hAnsi="Arial"/>
      <w:b/>
      <w:kern w:val="28"/>
      <w:sz w:val="28"/>
    </w:rPr>
  </w:style>
  <w:style w:type="character" w:styleId="Strong">
    <w:name w:val="Strong"/>
    <w:basedOn w:val="DefaultParagraphFont"/>
    <w:uiPriority w:val="22"/>
    <w:qFormat/>
    <w:rsid w:val="004C2541"/>
    <w:rPr>
      <w:b/>
      <w:bCs/>
    </w:rPr>
  </w:style>
  <w:style w:type="character" w:customStyle="1" w:styleId="contents">
    <w:name w:val="contents"/>
    <w:basedOn w:val="DefaultParagraphFont"/>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DefaultParagraphFont"/>
    <w:rsid w:val="004D3E28"/>
  </w:style>
  <w:style w:type="paragraph" w:customStyle="1" w:styleId="py-0">
    <w:name w:val="py-0"/>
    <w:basedOn w:val="Normal"/>
    <w:rsid w:val="00E24FB2"/>
    <w:pPr>
      <w:spacing w:before="100" w:beforeAutospacing="1" w:after="100" w:afterAutospacing="1"/>
    </w:pPr>
  </w:style>
  <w:style w:type="character" w:styleId="HTMLCode">
    <w:name w:val="HTML Code"/>
    <w:basedOn w:val="DefaultParagraphFont"/>
    <w:uiPriority w:val="99"/>
    <w:semiHidden/>
    <w:unhideWhenUsed/>
    <w:rsid w:val="00E24FB2"/>
    <w:rPr>
      <w:rFonts w:ascii="Courier New" w:eastAsia="Times New Roman" w:hAnsi="Courier New" w:cs="Courier New"/>
      <w:sz w:val="20"/>
      <w:szCs w:val="20"/>
    </w:rPr>
  </w:style>
  <w:style w:type="character" w:customStyle="1" w:styleId="Heading2Char">
    <w:name w:val="Heading 2 Char"/>
    <w:basedOn w:val="DefaultParagraphFont"/>
    <w:link w:val="Heading2"/>
    <w:semiHidden/>
    <w:rsid w:val="00432CC1"/>
    <w:rPr>
      <w:rFonts w:asciiTheme="majorHAnsi" w:eastAsiaTheme="majorEastAsia" w:hAnsiTheme="majorHAnsi" w:cstheme="majorBidi"/>
      <w:color w:val="365F91" w:themeColor="accent1" w:themeShade="BF"/>
      <w:sz w:val="26"/>
      <w:szCs w:val="26"/>
      <w:lang w:val="en-PH"/>
    </w:rPr>
  </w:style>
  <w:style w:type="paragraph" w:customStyle="1" w:styleId="pdq2pgselectionanchorcontainer">
    <w:name w:val="pdq2pg_selectionanchorcontainer"/>
    <w:basedOn w:val="Normal"/>
    <w:rsid w:val="00D43A6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j.ijme.2024.101037" TargetMode="External"/><Relationship Id="rId26" Type="http://schemas.openxmlformats.org/officeDocument/2006/relationships/hyperlink" Target="https://doi.org/10.25082/AERE.2025.01.001" TargetMode="External"/><Relationship Id="rId39" Type="http://schemas.openxmlformats.org/officeDocument/2006/relationships/hyperlink" Target="https://doi.org/10.46303/ressat.2024.17" TargetMode="External"/><Relationship Id="rId21" Type="http://schemas.openxmlformats.org/officeDocument/2006/relationships/hyperlink" Target="https://doi.org/10.62986/rps2025.03" TargetMode="External"/><Relationship Id="rId34" Type="http://schemas.openxmlformats.org/officeDocument/2006/relationships/hyperlink" Target="https://doi.org/10.1080/07294360.2024.2307929" TargetMode="External"/><Relationship Id="rId42" Type="http://schemas.openxmlformats.org/officeDocument/2006/relationships/hyperlink" Target="https://doi.org/10.1108/HESWBL-11-2023-0327" TargetMode="External"/><Relationship Id="rId47" Type="http://schemas.openxmlformats.org/officeDocument/2006/relationships/hyperlink" Target="https://doi.org/10.24059/olj.v28i2.4426" TargetMode="External"/><Relationship Id="rId50" Type="http://schemas.openxmlformats.org/officeDocument/2006/relationships/hyperlink" Target="https://doi.org/10.1146/annurev-economics-081324-08173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1108/HESWBL-10-2025-0446" TargetMode="External"/><Relationship Id="rId11" Type="http://schemas.openxmlformats.org/officeDocument/2006/relationships/footer" Target="footer2.xml"/><Relationship Id="rId24" Type="http://schemas.openxmlformats.org/officeDocument/2006/relationships/hyperlink" Target="https://doi.org/10.1080/12460125.2024.2348932" TargetMode="External"/><Relationship Id="rId32" Type="http://schemas.openxmlformats.org/officeDocument/2006/relationships/hyperlink" Target="https://doi.org/10.3384/njvet.2242-458X.241441" TargetMode="External"/><Relationship Id="rId37" Type="http://schemas.openxmlformats.org/officeDocument/2006/relationships/hyperlink" Target="https://doi.org/10.1080/14480220.2025.2566044" TargetMode="External"/><Relationship Id="rId40" Type="http://schemas.openxmlformats.org/officeDocument/2006/relationships/hyperlink" Target="https://doi.org/10.62986/pn2025.15" TargetMode="External"/><Relationship Id="rId45" Type="http://schemas.openxmlformats.org/officeDocument/2006/relationships/hyperlink" Target="https://doi.org/10.21831/pri.v8i1.91008"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doi.org/10.1080/12460125.2024.2354587" TargetMode="External"/><Relationship Id="rId31" Type="http://schemas.openxmlformats.org/officeDocument/2006/relationships/hyperlink" Target="https://doi.org/10.1016/bs.heslab.2025.07.001" TargetMode="External"/><Relationship Id="rId44" Type="http://schemas.openxmlformats.org/officeDocument/2006/relationships/hyperlink" Target="https://doi.org/10.1007/s44217-026-01180-y"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62986/dp2025.32" TargetMode="External"/><Relationship Id="rId27" Type="http://schemas.openxmlformats.org/officeDocument/2006/relationships/hyperlink" Target="https://doi.org/10.1002/curj.70016" TargetMode="External"/><Relationship Id="rId30" Type="http://schemas.openxmlformats.org/officeDocument/2006/relationships/hyperlink" Target="https://doi.org/10.1002/asi.24890" TargetMode="External"/><Relationship Id="rId35" Type="http://schemas.openxmlformats.org/officeDocument/2006/relationships/hyperlink" Target="https://doi.org/10.1038/s41597-024-03931-8" TargetMode="External"/><Relationship Id="rId43" Type="http://schemas.openxmlformats.org/officeDocument/2006/relationships/hyperlink" Target="https://doi.org/10.1007/s44217-026-01180-y?utm_source=chatgpt.com" TargetMode="External"/><Relationship Id="rId48" Type="http://schemas.openxmlformats.org/officeDocument/2006/relationships/hyperlink" Target="https://doi.org/10.12688/f1000research.148514.1" TargetMode="External"/><Relationship Id="rId8" Type="http://schemas.openxmlformats.org/officeDocument/2006/relationships/header" Target="header1.xml"/><Relationship Id="rId51" Type="http://schemas.openxmlformats.org/officeDocument/2006/relationships/hyperlink" Target="https://www.weforum.org/publications/the-future-of-jobs-report-2025/"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doi.org/10.1108/HESWBL-03-2025-0101" TargetMode="External"/><Relationship Id="rId33" Type="http://schemas.openxmlformats.org/officeDocument/2006/relationships/hyperlink" Target="https://doi.org/10.1108/HESWBL-09-2025-0425" TargetMode="External"/><Relationship Id="rId38" Type="http://schemas.openxmlformats.org/officeDocument/2006/relationships/hyperlink" Target="https://doi.org/10.1108/ET-04-2023-0122" TargetMode="External"/><Relationship Id="rId46" Type="http://schemas.openxmlformats.org/officeDocument/2006/relationships/hyperlink" Target="https://doi.org/10.1108/HESWBL-10-2023-0279" TargetMode="External"/><Relationship Id="rId20" Type="http://schemas.openxmlformats.org/officeDocument/2006/relationships/hyperlink" Target="https://doi.org/10.62986/dp2024.06" TargetMode="External"/><Relationship Id="rId41" Type="http://schemas.openxmlformats.org/officeDocument/2006/relationships/hyperlink" Target="https://doi.org/10.1007/s40888-024-00328-z"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doi.org/10.1108/HESWBL-10-2024-0301" TargetMode="External"/><Relationship Id="rId28" Type="http://schemas.openxmlformats.org/officeDocument/2006/relationships/hyperlink" Target="https://ched.gov.ph/wp-content/uploads/2017/10/CMO-17-s-2017.pdf" TargetMode="External"/><Relationship Id="rId36" Type="http://schemas.openxmlformats.org/officeDocument/2006/relationships/hyperlink" Target="https://doi.org/10.52783/jisem.v10i45s.8717" TargetMode="External"/><Relationship Id="rId49" Type="http://schemas.openxmlformats.org/officeDocument/2006/relationships/hyperlink" Target="https://doi.org/10.1016/j.caeo.2024.1001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25</TotalTime>
  <Pages>16</Pages>
  <Words>8516</Words>
  <Characters>48545</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56948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18</cp:revision>
  <cp:lastPrinted>1999-07-06T11:00:00Z</cp:lastPrinted>
  <dcterms:created xsi:type="dcterms:W3CDTF">2026-09-02T15:55:00Z</dcterms:created>
  <dcterms:modified xsi:type="dcterms:W3CDTF">2026-09-03T09:48:00Z</dcterms:modified>
</cp:coreProperties>
</file>