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7B3B1" w14:textId="77777777" w:rsidR="002C7690" w:rsidRPr="002C7690" w:rsidRDefault="002C7690" w:rsidP="002C7690">
      <w:pPr>
        <w:spacing w:after="360"/>
        <w:jc w:val="center"/>
        <w:rPr>
          <w:b/>
          <w:bCs/>
          <w:i/>
          <w:iCs/>
          <w:sz w:val="32"/>
          <w:u w:val="single"/>
        </w:rPr>
      </w:pPr>
      <w:r w:rsidRPr="002C7690">
        <w:rPr>
          <w:b/>
          <w:bCs/>
          <w:i/>
          <w:iCs/>
          <w:sz w:val="32"/>
          <w:u w:val="single"/>
        </w:rPr>
        <w:t>Review Article</w:t>
      </w:r>
    </w:p>
    <w:p w14:paraId="78F1423B" w14:textId="77777777" w:rsidR="00417AF0" w:rsidRPr="00417AF0" w:rsidRDefault="00417AF0">
      <w:pPr>
        <w:spacing w:after="360"/>
        <w:jc w:val="center"/>
        <w:rPr>
          <w:b/>
          <w:sz w:val="32"/>
        </w:rPr>
      </w:pPr>
      <w:r w:rsidRPr="00417AF0">
        <w:rPr>
          <w:b/>
          <w:sz w:val="32"/>
        </w:rPr>
        <w:t>Mapping the Global Knowledge Structure of Foreign Direct Investment and Economic Growth: A Bibliometric Analysis and Thematic Evolution</w:t>
      </w:r>
    </w:p>
    <w:p w14:paraId="4544BD85" w14:textId="77777777" w:rsidR="00E36DCD" w:rsidRPr="00417AF0" w:rsidRDefault="00000000">
      <w:pPr>
        <w:pStyle w:val="Heading1"/>
        <w:rPr>
          <w:color w:val="auto"/>
        </w:rPr>
      </w:pPr>
      <w:r w:rsidRPr="00417AF0">
        <w:rPr>
          <w:color w:val="auto"/>
        </w:rPr>
        <w:t>Abstract</w:t>
      </w:r>
    </w:p>
    <w:p w14:paraId="79276DA1" w14:textId="77777777" w:rsidR="00E36DCD" w:rsidRPr="00417AF0" w:rsidRDefault="00000000">
      <w:r w:rsidRPr="00417AF0">
        <w:t>Foreign direct investment (FDI) and economic growth constitute one of the most persistent research interfaces in international economics, development studies and international business. Yet the knowledge structure of this literature is difficult to interpret because highly cited growth models, firm-level spillover studies, institutional analyses and newer sustainability and geopolitical research are often mapped separately. This critical bibliometric review synthesises the published science-mapping evidence on the FDI–growth relationship and connects it with verified empirical and theoretical literature through 8 July 2026. Searches across multidisciplinary and economics-oriented scholarly discovery sources were combined with citation chaining, DOI verification and critical appraisal. Rather than treating citation prominence as proof of economic effect, the review distinguishes intellectual influence from evidential strength and uses published bibliometric maps to reconstruct the field’s conceptual, geographical and thematic evolution. The literature developed from early capital-accumulation and technology-transfer explanations towards conditional models centred on human capital, financial development, institutions and absorptive capacity. Subsequent work increasingly confronted endogeneity, heterogeneous spillovers and sectoral composition, while recent research has shifted towards green transition, digital infrastructure, geopolitical risk and the quality rather than the volume of FDI. Published bibliometric studies consistently identify a dense core around FDI, economic growth, technology and development, but their corpus definitions and database dependence materially affect rankings and trend claims. Empirical evidence likewise rejects a universal growth dividend: positive associations are common, but their magnitude and direction depend on host-country capabilities, linkage structures, investment type, policy regimes and identification strategy. The most defensible interpretation is therefore conditional and bidirectional. Future bibliometric work should integrate transparent open-data corpora with causal-evidence coding, distinguish greenfield investment from mergers and acquisitions, measure sectoral and technological composition, and connect science mapping to development outcomes. Such integration would shift the literature from asking whether FDI raises growth in the abstract towards identifying which forms of FDI generate durable productivity and welfare gains, where, and under what institutional conditions.</w:t>
      </w:r>
    </w:p>
    <w:p w14:paraId="78A5C347" w14:textId="77777777" w:rsidR="00E36DCD" w:rsidRPr="00417AF0" w:rsidRDefault="00000000">
      <w:r w:rsidRPr="00417AF0">
        <w:rPr>
          <w:b/>
        </w:rPr>
        <w:t xml:space="preserve">Keywords: </w:t>
      </w:r>
      <w:r w:rsidRPr="00417AF0">
        <w:t>foreign direct investment; economic growth; bibliometrics; science mapping; thematic evolution; absorptive capacity; technology spillovers; geopolitical risk</w:t>
      </w:r>
    </w:p>
    <w:p w14:paraId="0A417C7F" w14:textId="77777777" w:rsidR="00E36DCD" w:rsidRPr="00417AF0" w:rsidRDefault="00000000">
      <w:pPr>
        <w:pStyle w:val="Heading1"/>
        <w:rPr>
          <w:color w:val="auto"/>
        </w:rPr>
      </w:pPr>
      <w:r w:rsidRPr="00417AF0">
        <w:rPr>
          <w:color w:val="auto"/>
        </w:rPr>
        <w:t>1. Introduction</w:t>
      </w:r>
    </w:p>
    <w:p w14:paraId="0D51D7CD" w14:textId="77777777" w:rsidR="00E36DCD" w:rsidRPr="00417AF0" w:rsidRDefault="00000000">
      <w:pPr>
        <w:ind w:firstLine="317"/>
      </w:pPr>
      <w:r w:rsidRPr="00417AF0">
        <w:t xml:space="preserve">Foreign direct investment (FDI) occupies an unusual position in development economics. It is simultaneously a cross-border financial flow, a mode of multinational-enterprise control, a vehicle for transferring technology and organisational practices, and a potential source of competition or displacement for domestic firms. Economic growth, by contrast, is an aggregate outcome produced through capital accumulation, productivity change, labour-force dynamics and institutional conditions. The intellectual attraction of the FDI–growth nexus arises from the possibility that a single international flow can influence several of these channels at once. The difficulty is that the same multiplicity of channels makes simple causal </w:t>
      </w:r>
      <w:r w:rsidRPr="00417AF0">
        <w:lastRenderedPageBreak/>
        <w:t>claims fragile. A positive correlation between inward FDI and output growth may represent productive spillovers, but it can also arise because rapidly growing economies attract investors, because reforms simultaneously improve growth and investment conditions, or because FDI is concentrated in sectors that were already expanding (Ghazalian, 2024; Li &amp; Liu, 2005; Nupehewa et al., 2022).</w:t>
      </w:r>
    </w:p>
    <w:p w14:paraId="17D087C6" w14:textId="77777777" w:rsidR="00E36DCD" w:rsidRPr="00417AF0" w:rsidRDefault="00000000">
      <w:pPr>
        <w:ind w:firstLine="317"/>
      </w:pPr>
      <w:r w:rsidRPr="00417AF0">
        <w:t>Theoretical arguments for a growth-enhancing role of FDI developed from both international-production theory and endogenous-growth logic. Dunning’s eclectic paradigm located foreign production in the interaction of ownership, location and internalisation advantages, while Findlay modelled technological diffusion from foreign firms to relatively backward host economies (Dunning, 1988; Findlay, 1978). Endogenous-growth theory subsequently strengthened the analytical role of knowledge, innovation and human capital as persistent sources of productivity improvement rather than transient additions to the capital stock (Romer, 1990). These ideas help explain why FDI may have effects beyond the financing of fixed investment. They also imply that the effect should vary across host economies because the capacity to learn from foreign firms, supply them, finance complementary investment and enforce contracts is unevenly distributed.</w:t>
      </w:r>
    </w:p>
    <w:p w14:paraId="35F58887" w14:textId="77777777" w:rsidR="00E36DCD" w:rsidRPr="00417AF0" w:rsidRDefault="00000000">
      <w:pPr>
        <w:ind w:firstLine="317"/>
      </w:pPr>
      <w:r w:rsidRPr="00417AF0">
        <w:t>A large empirical literature has accordingly moved from unconditional to conditional models. Seminal cross-country work found that the growth contribution of FDI was stronger where human-capital stocks were sufficient to absorb advanced technology, while later research emphasised domestic financial-market development and broader absorptive capacity (Alfaro et al., 2004; Borensztein et al., 1998; Durham, 2004). Evidence from institutional threshold models now extends this logic: political stability and wider institutional quality can alter whether inward FDI is associated with positive growth outcomes (Li et al., 2023; Nguyen &amp; Ho, 2025). These studies undermine a policy narrative in which attracting more FDI is intrinsically equivalent to generating more development. The relevant question is increasingly whether investment is embedded in a domestic system capable of converting foreign capital and knowledge into persistent productivity gains.</w:t>
      </w:r>
    </w:p>
    <w:p w14:paraId="27837577" w14:textId="77777777" w:rsidR="00E36DCD" w:rsidRPr="00417AF0" w:rsidRDefault="00000000">
      <w:pPr>
        <w:ind w:firstLine="317"/>
      </w:pPr>
      <w:r w:rsidRPr="00417AF0">
        <w:t>The literature is also characterised by important negative and null findings. Firm-level studies have documented cases in which foreign entry raises productivity within foreign-owned plants without generating horizontal spillovers to domestic competitors, and in some cases competitive pressure can reduce the productivity of locally owned firms (Aitken &amp; Harrison, 1999). Meta-analytical work finds that spillover estimates are heterogeneous and strongly conditioned by host development, research design and measurement choices (Meyer &amp; Sinani, 2009; Wooster &amp; Diebel, 2010). Macro-level synthesis reaches a similar conclusion. Iamsiraroj and Ulubaşoğlu (2015) reported wide dispersion among prior estimates before finding a positive average relationship in a broad cross-country specification, whereas Gunby et al. (2017) showed that the apparent FDI–growth effect in China becomes substantially weaker once publication selection and preferred specifications are considered. The accumulated evidence therefore supports conditionality more strongly than universality.</w:t>
      </w:r>
    </w:p>
    <w:p w14:paraId="793E2893" w14:textId="77777777" w:rsidR="00E36DCD" w:rsidRPr="00417AF0" w:rsidRDefault="00000000">
      <w:pPr>
        <w:ind w:firstLine="317"/>
      </w:pPr>
      <w:r w:rsidRPr="00417AF0">
        <w:t xml:space="preserve">Bibliometric analysis offers a different perspective on this debate. It does not estimate the economic effect of FDI; instead, it maps how the scientific community has organised, cited and connected concepts, authors, journals, countries and research fronts. Cicea and Marinescu (2021) analysed 2,281 Scopus-indexed documents and observed a shift from general economic questions towards ecological and environmental concerns. Wang et al. (2022) examined 1,075 Web of Science records and reconstructed a thematic sequence in which technology, firm performance, modelling and theoretical inquiry formed prominent strands. Broader FDI mappings likewise show the rise of emerging-economy perspectives and differentiated inward and outward investment agendas (da Silva-Oliveira et al., 2021; Paul &amp; Feliciano-Cestero, 2021). These studies establish that the literature has a discernible knowledge structure, but they also expose a methodological </w:t>
      </w:r>
      <w:r w:rsidRPr="00417AF0">
        <w:lastRenderedPageBreak/>
        <w:t>problem: different search fields, databases, periods and document filters generate substantially different corpora and therefore different rankings.</w:t>
      </w:r>
    </w:p>
    <w:p w14:paraId="60A78124" w14:textId="77777777" w:rsidR="00E36DCD" w:rsidRPr="00417AF0" w:rsidRDefault="00000000">
      <w:pPr>
        <w:ind w:firstLine="317"/>
      </w:pPr>
      <w:r w:rsidRPr="00417AF0">
        <w:t>The newest research fronts make a fresh synthesis necessary. Sustainability-oriented bibliometric work shows that economic and environmental dimensions dominate the study of FDI and sustainable development, with social outcomes receiving less attention (Rodríguez-Chávez et al., 2024). Geopolitical-risk research has also expanded quickly, with a 2026 bibliometric review identifying geopolitical uncertainty and FDI as a rapidly consolidating thematic cluster (Farzam &amp; Dhume-Shinkre, 2026). At the same time, the global investment landscape has become more concentrated in strategic sectors and large projects, particularly digital infrastructure, while the development value of these flows continues to depend on productive capacity, jobs, skills and technology transfer (United Nations Conference on Trade and Development [UNCTAD], 2026). Consequently, the intellectual architecture of FDI–growth research can no longer be understood solely through the classic question of whether aggregate FDI inflows are positively associated with gross domestic product growth.</w:t>
      </w:r>
    </w:p>
    <w:p w14:paraId="15123818" w14:textId="77777777" w:rsidR="00E36DCD" w:rsidRPr="00417AF0" w:rsidRDefault="00000000">
      <w:pPr>
        <w:ind w:firstLine="317"/>
      </w:pPr>
      <w:r w:rsidRPr="00417AF0">
        <w:t>A critical bibliometric review is therefore useful for two reasons. First, it can distinguish scientific visibility from empirical credibility. Highly cited papers may be foundational because they framed a mechanism or methodology, not because every later study confirmed their estimated effect. Second, it can connect changes in keyword and citation structure to changes in the causal problem itself. The movement from capital and technology towards absorptive capacity, institutions, sustainability and geopolitical risk is not merely terminological; it reflects progressively richer attempts to explain why similar magnitudes of FDI can produce different domestic outcomes. Bibliometric interpretation is strongest when it is used as a map of intellectual attention and then checked against the design quality and conclusions of the underlying empirical evidence (Donthu et al., 2021; Zupic &amp; Čater, 2015).</w:t>
      </w:r>
    </w:p>
    <w:p w14:paraId="76FEA76A" w14:textId="77777777" w:rsidR="00E36DCD" w:rsidRPr="00417AF0" w:rsidRDefault="00000000">
      <w:pPr>
        <w:pStyle w:val="Heading2"/>
        <w:rPr>
          <w:color w:val="auto"/>
        </w:rPr>
      </w:pPr>
      <w:r w:rsidRPr="00417AF0">
        <w:rPr>
          <w:color w:val="auto"/>
        </w:rPr>
        <w:t>1.1 Scope, Research Gap and Objectives</w:t>
      </w:r>
    </w:p>
    <w:p w14:paraId="22697E47" w14:textId="77777777" w:rsidR="00E36DCD" w:rsidRPr="00417AF0" w:rsidRDefault="00000000">
      <w:pPr>
        <w:ind w:firstLine="317"/>
      </w:pPr>
      <w:r w:rsidRPr="00417AF0">
        <w:t>This review examines the global knowledge structure linking inward foreign direct investment and economic growth, with emphasis on the intellectual foundations, bibliometric architecture, thematic evolution and methodological controversies that shape interpretation of the field. It gives priority to peer-reviewed economics, development and international-business research, while drawing on sustainability and geopolitical-investment scholarship where these strands have become material to the contemporary FDI–growth agenda. Outward FDI is discussed only where it informs the broader evolution of FDI scholarship; portfolio investment, short-term capital flows and purely firm-internationalisation questions without a growth or development connection fall outside the central scope. The principal gap addressed is the separation between bibliometric mapping and causal evidence appraisal. Existing maps identify influential authors, outlets, countries and keywords, but citation networks alone cannot determine whether the underlying empirical relationship is positive, causal or generalisable. The objectives are therefore to reconstruct the field’s knowledge structure from verified bibliometric studies; trace major thematic shifts; critically evaluate the empirical claims associated with those themes; explain why findings diverge across methods and contexts; and identify research priorities that integrate transparent science mapping with stronger causal and development-outcome analysis.</w:t>
      </w:r>
    </w:p>
    <w:p w14:paraId="441E2B81" w14:textId="77777777" w:rsidR="00E36DCD" w:rsidRPr="00417AF0" w:rsidRDefault="00000000">
      <w:pPr>
        <w:pStyle w:val="Heading1"/>
        <w:rPr>
          <w:color w:val="auto"/>
        </w:rPr>
      </w:pPr>
      <w:r w:rsidRPr="00417AF0">
        <w:rPr>
          <w:color w:val="auto"/>
        </w:rPr>
        <w:t>2. Methods for Literature Selection</w:t>
      </w:r>
    </w:p>
    <w:p w14:paraId="5477D92A" w14:textId="77777777" w:rsidR="00E36DCD" w:rsidRPr="00417AF0" w:rsidRDefault="00000000">
      <w:pPr>
        <w:ind w:firstLine="317"/>
      </w:pPr>
      <w:r w:rsidRPr="00417AF0">
        <w:t xml:space="preserve">The review was designed as a critical narrative synthesis with a bibliometric orientation rather than as a new database census or meta-analysis. This distinction is important because the objective was not to report a fresh proprietary-index record count, but to integrate verified published bibliometric mappings with the theoretical and empirical literature needed to interpret them. Narrative reviews can be rigorous when the </w:t>
      </w:r>
      <w:r w:rsidRPr="00417AF0">
        <w:lastRenderedPageBreak/>
        <w:t>rationale, information sources, selection logic and critical appraisal are made explicit; SANRA was used as a methodological reference point for the expected transparency and analytical quality of narrative synthesis (Baethge et al., 2019). Bibliometric methods were interpreted according to established guidance on performance analysis, co-citation, bibliographic coupling, co-word analysis and science mapping (Donthu et al., 2021; Zupic &amp; Čater, 2015).</w:t>
      </w:r>
    </w:p>
    <w:p w14:paraId="14D31047" w14:textId="77777777" w:rsidR="00E36DCD" w:rsidRPr="00417AF0" w:rsidRDefault="00000000">
      <w:pPr>
        <w:pStyle w:val="Heading2"/>
        <w:rPr>
          <w:color w:val="auto"/>
        </w:rPr>
      </w:pPr>
      <w:r w:rsidRPr="00417AF0">
        <w:rPr>
          <w:color w:val="auto"/>
        </w:rPr>
        <w:t>2.1 Review Design and Rationale</w:t>
      </w:r>
    </w:p>
    <w:p w14:paraId="00243C7A" w14:textId="77777777" w:rsidR="00E36DCD" w:rsidRPr="00417AF0" w:rsidRDefault="00000000">
      <w:pPr>
        <w:ind w:firstLine="317"/>
      </w:pPr>
      <w:r w:rsidRPr="00417AF0">
        <w:t>A conventional systematic review would be appropriate for a narrowly defined effect question with comparable outcomes and a prespecified study-design hierarchy. The present topic instead combines three layers: the scientific structure of FDI–growth research, the evolution of its concepts, and the credibility of competing causal interpretations. These layers include bibliometric studies, theory papers, cross-country panels, country studies, firm-level spillover analyses, meta-analyses and institutional reports that cannot be reduced to one common effect metric. A critical narrative design was therefore selected to allow structured comparison across evidence types while retaining methodological scrutiny. Published bibliometric analyses were treated as evidence about the structure of scholarship, not as evidence that FDI causes growth. Empirical studies were separately appraised for identification, measurement, temporal coverage, representativeness and treatment of endogeneity.</w:t>
      </w:r>
    </w:p>
    <w:p w14:paraId="0930CF25" w14:textId="77777777" w:rsidR="00E36DCD" w:rsidRPr="00417AF0" w:rsidRDefault="00000000">
      <w:pPr>
        <w:ind w:firstLine="317"/>
      </w:pPr>
      <w:r w:rsidRPr="00417AF0">
        <w:t>Science-mapping tools can summarise large intellectual spaces, but their outputs are sensitive to database coverage, field normalisation, author disambiguation and keyword cleaning. Co-citation tends to reveal established intellectual foundations because citations accumulate over time, whereas bibliographic coupling and keyword co-occurrence are more responsive to emerging fronts (Donthu et al., 2021; Zupic &amp; Čater, 2015). Software environments such as CiteSpace, SciMAT and bibliometrix provide complementary approaches to temporal and conceptual mapping, but the visual sophistication of a network does not remove the need to interrogate the query that generated the corpus (Aria &amp; Cuccurullo, 2017; Chen, 2006; Cobo et al., 2012). This review consequently focuses on reproducible characteristics of published mappings and avoids treating differences in database-specific counts as substantive contradictions.</w:t>
      </w:r>
    </w:p>
    <w:p w14:paraId="3087621C" w14:textId="77777777" w:rsidR="00E36DCD" w:rsidRPr="00417AF0" w:rsidRDefault="00000000">
      <w:pPr>
        <w:pStyle w:val="Heading2"/>
        <w:rPr>
          <w:color w:val="auto"/>
        </w:rPr>
      </w:pPr>
      <w:r w:rsidRPr="00417AF0">
        <w:rPr>
          <w:color w:val="auto"/>
        </w:rPr>
        <w:t>2.2 Information Sources</w:t>
      </w:r>
    </w:p>
    <w:p w14:paraId="54CB9FB5" w14:textId="77777777" w:rsidR="00E36DCD" w:rsidRPr="00417AF0" w:rsidRDefault="00000000">
      <w:pPr>
        <w:ind w:firstLine="317"/>
      </w:pPr>
      <w:r w:rsidRPr="00417AF0">
        <w:t>Literature discovery was conducted across EconBiz, OpenAIRE, OpenAlex, DOAJ, Semantic Scholar and Google Scholar, with supplementary searches of DOI-linked records and authoritative institutional sources. Citation chaining from verified bibliometric reviews and influential empirical articles was used to identify seminal and corrective studies. The search also examined recent FDI reviews dealing with emerging economies, sustainability, digital and strategic investment, and geopolitical risk in order to capture thematic developments that post-date the main 2021–2022 FDI–growth bibliometric maps. Bibliographic metadata and DOIs were checked against DOI landing records, journal metadata and stable scholarly records before inclusion. Where metadata were incomplete or inconsistent and could not be resolved confidently, the source was not used.</w:t>
      </w:r>
    </w:p>
    <w:p w14:paraId="22BAC1A7" w14:textId="77777777" w:rsidR="00E36DCD" w:rsidRPr="00417AF0" w:rsidRDefault="00000000">
      <w:pPr>
        <w:pStyle w:val="Heading2"/>
        <w:rPr>
          <w:color w:val="auto"/>
        </w:rPr>
      </w:pPr>
      <w:r w:rsidRPr="00417AF0">
        <w:rPr>
          <w:color w:val="auto"/>
        </w:rPr>
        <w:t>2.3 Search Strategy and Search Period</w:t>
      </w:r>
    </w:p>
    <w:p w14:paraId="71A3EC32" w14:textId="77777777" w:rsidR="00E36DCD" w:rsidRPr="00417AF0" w:rsidRDefault="00000000">
      <w:pPr>
        <w:ind w:firstLine="317"/>
      </w:pPr>
      <w:r w:rsidRPr="00417AF0">
        <w:t xml:space="preserve">The core search combined the concepts “foreign direct investment” or “FDI” with “economic growth”, “GDP growth”, “productivity”, “technology spillover”, “absorptive capacity”, “human capital”, “financial development”, “institutional quality”, “bibliometric”, “science mapping”, “co-citation”, “co-word”, “thematic evolution”, “sustainable development”, “green investment”, “digital economy” and “geopolitical risk”. Representative combinations included (“foreign direct investment” AND “economic growth” AND bibliometric*), (“foreign direct investment” AND growth AND (“absorptive capacity” OR “financial development” OR institution*)), and (“foreign direct investment” AND (“sustainable development” OR </w:t>
      </w:r>
      <w:r w:rsidRPr="00417AF0">
        <w:lastRenderedPageBreak/>
        <w:t>“geopolitical risk” OR digital*) AND (growth OR productivity)). Searches prioritised literature from 1992 onwards because the Web of Science corpus analysed by Wang et al. (2022) identified 1992 as the first indexed year of the directly defined FDI–growth research stream, while earlier foundational theory and empirical work were retained when necessary. The final search date was 8 July 2026.</w:t>
      </w:r>
    </w:p>
    <w:p w14:paraId="38A933C6" w14:textId="77777777" w:rsidR="00E36DCD" w:rsidRPr="00417AF0" w:rsidRDefault="00000000">
      <w:pPr>
        <w:pStyle w:val="Heading2"/>
        <w:rPr>
          <w:color w:val="auto"/>
        </w:rPr>
      </w:pPr>
      <w:r w:rsidRPr="00417AF0">
        <w:rPr>
          <w:color w:val="auto"/>
        </w:rPr>
        <w:t>2.4 Eligibility Criteria</w:t>
      </w:r>
    </w:p>
    <w:p w14:paraId="4E340546" w14:textId="77777777" w:rsidR="00E36DCD" w:rsidRPr="00417AF0" w:rsidRDefault="00000000">
      <w:pPr>
        <w:ind w:firstLine="317"/>
      </w:pPr>
      <w:r w:rsidRPr="00417AF0">
        <w:t>Eligible journal literature had to make a substantive contribution to at least one of four questions: how FDI may affect growth or productivity; how host-country conditions modify that relationship; how the field has been bibliometrically structured or thematically classified; or how newer sustainability, digital and geopolitical conditions are changing the research agenda. Priority was given to peer-reviewed articles, meta-analyses and high-quality reviews with traceable methods and complete bibliographic identities. Seminal theory papers were included where they remained necessary for interpreting later clusters. The UNCTAD World Investment Report 2026 was included as an authoritative institutional source for the contemporary composition and development relevance of global FDI. Sources were excluded when they were unverifiable, purely promotional, unrelated to growth or development outcomes, or dependent on claims that could not be traced to the cited work.</w:t>
      </w:r>
    </w:p>
    <w:p w14:paraId="3CBB402C" w14:textId="77777777" w:rsidR="00E36DCD" w:rsidRPr="00417AF0" w:rsidRDefault="00000000">
      <w:pPr>
        <w:pStyle w:val="Heading2"/>
        <w:rPr>
          <w:color w:val="auto"/>
        </w:rPr>
      </w:pPr>
      <w:r w:rsidRPr="00417AF0">
        <w:rPr>
          <w:color w:val="auto"/>
        </w:rPr>
        <w:t>2.5 Screening, Duplicate Handling and Study Selection</w:t>
      </w:r>
    </w:p>
    <w:p w14:paraId="7699A77B" w14:textId="77777777" w:rsidR="00E36DCD" w:rsidRPr="00417AF0" w:rsidRDefault="00000000">
      <w:pPr>
        <w:ind w:firstLine="317"/>
      </w:pPr>
      <w:r w:rsidRPr="00417AF0">
        <w:t>Titles and abstracts were assessed first for topical fit, followed by full-record or full-text checking where needed to confirm the study’s design, corpus definition, sample, principal result and bibliographic metadata. Duplicate records located through multiple discovery services were consolidated by DOI and title. No PRISMA-style record counts are reported because the review was not conducted as a prospectively registered systematic review with a frozen export and auditable screening ledger. English-language literature formed the analytical core because it dominated the accessible bibliometric mappings and the verified scholarly records used here. Studies were retained for conceptual importance, methodological contribution, capacity to test a prominent claim, representation of conflicting evidence or relevance to an emerging thematic front; citation frequency alone was not an inclusion criterion.</w:t>
      </w:r>
    </w:p>
    <w:p w14:paraId="7FBB0F2B" w14:textId="77777777" w:rsidR="00E36DCD" w:rsidRPr="00417AF0" w:rsidRDefault="00000000">
      <w:pPr>
        <w:pStyle w:val="Heading2"/>
        <w:rPr>
          <w:color w:val="auto"/>
        </w:rPr>
      </w:pPr>
      <w:r w:rsidRPr="00417AF0">
        <w:rPr>
          <w:color w:val="auto"/>
        </w:rPr>
        <w:t>2.6 Critical Appraisal and Evidence Synthesis</w:t>
      </w:r>
    </w:p>
    <w:p w14:paraId="4641DDA1" w14:textId="77777777" w:rsidR="00E36DCD" w:rsidRPr="00417AF0" w:rsidRDefault="00000000">
      <w:pPr>
        <w:ind w:firstLine="317"/>
      </w:pPr>
      <w:r w:rsidRPr="00417AF0">
        <w:t>Published bibliometric studies were appraised according to corpus transparency, database dependence, search-field specificity, time coverage, document-type filters, analytical techniques and the interpretability of reported clusters. Empirical growth studies were assessed for country and period coverage, treatment of reverse causality and unobserved heterogeneity, measurement of FDI and growth, moderator specification, sectoral or firm-level resolution, and the extent to which claims exceeded observational identification. Meta-analyses were valued for exposing heterogeneity and publication selection but were also interpreted in light of the quality of the primary studies they aggregated. Themes were developed iteratively by comparing established bibliometric clusters with the mechanisms and controversies in the substantive evidence. The synthesis gives greater weight to conclusions that recur across independent designs and contexts than to isolated statistically significant estimates.</w:t>
      </w:r>
    </w:p>
    <w:p w14:paraId="67E050D0" w14:textId="77777777" w:rsidR="00E36DCD" w:rsidRPr="00417AF0" w:rsidRDefault="00000000">
      <w:pPr>
        <w:pStyle w:val="Heading1"/>
        <w:rPr>
          <w:color w:val="auto"/>
        </w:rPr>
      </w:pPr>
      <w:r w:rsidRPr="00417AF0">
        <w:rPr>
          <w:color w:val="auto"/>
        </w:rPr>
        <w:t>3. Intellectual Foundations and the Causal Architecture of the FDI–Growth Nexus</w:t>
      </w:r>
    </w:p>
    <w:p w14:paraId="238927E9" w14:textId="77777777" w:rsidR="00E36DCD" w:rsidRPr="00417AF0" w:rsidRDefault="00000000">
      <w:pPr>
        <w:ind w:firstLine="317"/>
      </w:pPr>
      <w:r w:rsidRPr="00417AF0">
        <w:t xml:space="preserve">The intellectual foundation of the field can be organised around a sequence of increasingly conditional propositions. The earliest and simplest proposition is that FDI augments the host economy’s capital stock. If domestic savings are constrained, foreign capital can finance additional productive capacity and thereby raise output. Yet FDI differs from a passive capital transfer because the investor normally retains ownership and control. The transaction may therefore introduce technologies, managerial practices, market access and </w:t>
      </w:r>
      <w:r w:rsidRPr="00417AF0">
        <w:lastRenderedPageBreak/>
        <w:t>production networks that are not available through domestic investment alone. Findlay’s (1978) technological-diffusion model captured this possibility, while Dunning’s (1988) eclectic paradigm explained why multinational enterprises possess firm-specific advantages worth exploiting abroad. These ideas remain central to the citation base because they supplied mechanisms that later empirical studies could test.</w:t>
      </w:r>
    </w:p>
    <w:p w14:paraId="5FCCE225" w14:textId="77777777" w:rsidR="00E36DCD" w:rsidRPr="00417AF0" w:rsidRDefault="00000000">
      <w:pPr>
        <w:ind w:firstLine="317"/>
      </w:pPr>
      <w:r w:rsidRPr="00417AF0">
        <w:t>The second proposition is that productivity effects depend on knowledge absorption rather than foreign presence alone. Borensztein et al. (1998) found that FDI’s contribution to growth in developing countries depended on a minimum threshold of human capital, providing an influential empirical bridge between endogenous-growth theory and multinational investment. The implication is not merely that education is “good for growth”; it is that the marginal productivity of foreign technology may be low where local firms and workers cannot adapt, imitate or complement it. Durham (2004) broadened this logic by showing that the effects of FDI and equity portfolio investment were contingent on absorptive capacity and institutional development. Conditionality thus moved from an auxiliary explanation to a core theoretical expectation.</w:t>
      </w:r>
    </w:p>
    <w:p w14:paraId="520C90BD" w14:textId="77777777" w:rsidR="00E36DCD" w:rsidRPr="00417AF0" w:rsidRDefault="00000000">
      <w:pPr>
        <w:ind w:firstLine="317"/>
      </w:pPr>
      <w:r w:rsidRPr="00417AF0">
        <w:t>A third proposition concerns domestic finance. Foreign affiliates may be able to fund their own projects, but the domestic firms that supply them, compete with them or imitate their technology often require local credit. Alfaro et al. (2004) showed that the growth benefits associated with FDI were stronger in economies with more developed financial markets. Later studies have complicated the relationship rather than simply confirming a monotonic threshold. Nguyen (2022) and Asamoah and Alagidede (2023) report financial-development interactions that differ across samples and real sectors, while Osei and Kim (2023) find evidence of both “kick-in” and “vanishing” effects across convergence clubs. The literature has consequently shifted from asking whether finance matters to asking which forms and levels of financial development allow productive linkages without creating misallocation or diminishing marginal gains.</w:t>
      </w:r>
    </w:p>
    <w:p w14:paraId="471980B2" w14:textId="77777777" w:rsidR="00E36DCD" w:rsidRPr="00417AF0" w:rsidRDefault="00000000">
      <w:pPr>
        <w:ind w:firstLine="317"/>
      </w:pPr>
      <w:r w:rsidRPr="00417AF0">
        <w:t>Institutions constitute a fourth layer. Contract enforcement, political stability, regulatory predictability and governance quality influence whether foreign investors undertake long-horizon productive activity and whether domestic firms can form linkages with them. Li et al. (2023) identify political stability as a particularly robust condition in a threshold analysis spanning developed and developing economies. Nguyen and Ho (2025) similarly report nonlinear institutional thresholds in ASEAN economies, with FDI associated with negative growth below the estimated institutional-quality threshold and positive growth above it. Such findings should not be interpreted as universal threshold constants. Their deeper contribution is to reinforce the conceptual shift from FDI quantity towards host-system compatibility.</w:t>
      </w:r>
    </w:p>
    <w:p w14:paraId="386B04EE" w14:textId="77777777" w:rsidR="00E36DCD" w:rsidRPr="00417AF0" w:rsidRDefault="00000000">
      <w:pPr>
        <w:ind w:firstLine="317"/>
      </w:pPr>
      <w:r w:rsidRPr="00417AF0">
        <w:t>The fifth proposition is that spillovers are not automatic and need not occur through direct competition. Aitken and Harrison (1999) found no general horizontal productivity gain for domestically owned Venezuelan firms and documented adverse competitive effects in some cases. Javorcik (2004), by contrast, provided influential evidence of productivity spillovers through backward linkages from foreign firms to local suppliers. This distinction became crucial: horizontal proximity may expose domestic firms to knowledge but also intensify competition, whereas vertical relationships can create incentives for multinational affiliates to transfer know-how, improve quality control and stabilise demand among suppliers. Görg and Greenaway (2004) therefore cautioned against broad claims that foreign presence necessarily benefits domestic firms, and subsequent meta-analyses have confirmed substantial heterogeneity across settings (Meyer &amp; Sinani, 2009; Wooster &amp; Diebel, 2010).</w:t>
      </w:r>
    </w:p>
    <w:p w14:paraId="7CA8F73F" w14:textId="77777777" w:rsidR="00E36DCD" w:rsidRPr="00417AF0" w:rsidRDefault="00000000">
      <w:pPr>
        <w:ind w:firstLine="317"/>
      </w:pPr>
      <w:r w:rsidRPr="00417AF0">
        <w:t xml:space="preserve">A sixth proposition concerns industrial development and market structure. Markusen and Venables (1999) modelled FDI as a possible catalyst for industrial development through linkages and demand effects, but foreign entry can also displace domestic investment. Adams (2009) found evidence consistent with crowding-out in Sub-Saharan Africa, illustrating why aggregate inflows can conceal opposing mechanisms. More recent work on Asian investment approvals similarly shows that committed and realised FDI are not </w:t>
      </w:r>
      <w:r w:rsidRPr="00417AF0">
        <w:lastRenderedPageBreak/>
        <w:t>equivalent: Hornstein (2024) reports that unrealised commitments and investment gaps can have adverse growth implications. These findings add a neglected temporal dimension. The developmental effect of FDI depends not only on announced inflows, but on implementation, domestic responses and the persistence of productive assets.</w:t>
      </w:r>
    </w:p>
    <w:p w14:paraId="79223574" w14:textId="77777777" w:rsidR="00E36DCD" w:rsidRPr="00417AF0" w:rsidRDefault="00000000">
      <w:pPr>
        <w:ind w:firstLine="317"/>
      </w:pPr>
      <w:r w:rsidRPr="00417AF0">
        <w:t>The final causal challenge is bidirectionality. Growth itself can attract FDI by enlarging markets, improving expected returns and signalling macroeconomic stability. Li and Liu (2005) described an increasingly endogenous relationship, and recent dynamic evidence confirms that growth can exert significant positive effects on subsequent FDI inflows (Ghazalian, 2024). Nupehewa et al. (2022) found bidirectional predictive relationships globally and in some regions but not uniformly across all regional groupings. These results make static regressions especially vulnerable to overinterpretation. A bibliometric literature built around “FDI and growth” may therefore contain two partly overlapping causal programmes: one asks what FDI does to growth, and the other asks what growth does to FDI. The most credible contemporary work treats the nexus as a dynamic system rather than a single one-way coefficient.</w:t>
      </w:r>
    </w:p>
    <w:p w14:paraId="30698FDD" w14:textId="77777777" w:rsidR="00E36DCD" w:rsidRPr="00417AF0" w:rsidRDefault="00000000">
      <w:pPr>
        <w:ind w:firstLine="317"/>
      </w:pPr>
      <w:r w:rsidRPr="00417AF0">
        <w:t>Taken together, these mechanisms explain why the field’s conceptual vocabulary has expanded. “FDI” and “economic growth” remain the core nodes, but they are surrounded by increasingly important terms such as human capital, financial development, institutions, technology transfer, productivity, environmental quality and geopolitical risk. The knowledge structure is not simply becoming larger; it is becoming more conditional. Table 1 summarises the principal mechanisms and the empirical risks associated with interpreting them. The table also illustrates why apparently contradictory studies can be simultaneously informative: they may be estimating different mechanisms at different levels of aggregation.</w:t>
      </w:r>
    </w:p>
    <w:p w14:paraId="5CC0DA57" w14:textId="77777777" w:rsidR="00E36DCD" w:rsidRPr="00417AF0" w:rsidRDefault="00000000">
      <w:pPr>
        <w:spacing w:before="120" w:after="80"/>
      </w:pPr>
      <w:r w:rsidRPr="00417AF0">
        <w:rPr>
          <w:b/>
        </w:rPr>
        <w:t>Table 1. Conceptual mechanisms linking foreign direct investment to economic growth and major interpretive risks</w:t>
      </w:r>
    </w:p>
    <w:tbl>
      <w:tblPr>
        <w:tblW w:w="0" w:type="auto"/>
        <w:jc w:val="center"/>
        <w:tblLayout w:type="fixed"/>
        <w:tblLook w:val="04A0" w:firstRow="1" w:lastRow="0" w:firstColumn="1" w:lastColumn="0" w:noHBand="0" w:noVBand="1"/>
      </w:tblPr>
      <w:tblGrid>
        <w:gridCol w:w="1656"/>
        <w:gridCol w:w="1944"/>
        <w:gridCol w:w="1944"/>
        <w:gridCol w:w="2232"/>
        <w:gridCol w:w="1944"/>
      </w:tblGrid>
      <w:tr w:rsidR="00417AF0" w:rsidRPr="00417AF0" w14:paraId="72782BF9" w14:textId="77777777">
        <w:trPr>
          <w:cantSplit/>
          <w:tblHeader/>
          <w:jc w:val="center"/>
        </w:trPr>
        <w:tc>
          <w:tcPr>
            <w:tcW w:w="1656" w:type="dxa"/>
            <w:shd w:val="clear" w:color="auto" w:fill="D9E2F3"/>
            <w:tcMar>
              <w:top w:w="80" w:type="dxa"/>
              <w:left w:w="80" w:type="dxa"/>
              <w:bottom w:w="80" w:type="dxa"/>
              <w:right w:w="80" w:type="dxa"/>
            </w:tcMar>
            <w:vAlign w:val="center"/>
          </w:tcPr>
          <w:p w14:paraId="6D851943" w14:textId="77777777" w:rsidR="00E36DCD" w:rsidRPr="00417AF0" w:rsidRDefault="00000000">
            <w:pPr>
              <w:spacing w:after="20" w:line="240" w:lineRule="auto"/>
              <w:jc w:val="left"/>
            </w:pPr>
            <w:r w:rsidRPr="00417AF0">
              <w:rPr>
                <w:b/>
                <w:sz w:val="16"/>
              </w:rPr>
              <w:t>Mechanism / proposition</w:t>
            </w:r>
          </w:p>
        </w:tc>
        <w:tc>
          <w:tcPr>
            <w:tcW w:w="1944" w:type="dxa"/>
            <w:shd w:val="clear" w:color="auto" w:fill="D9E2F3"/>
            <w:tcMar>
              <w:top w:w="80" w:type="dxa"/>
              <w:left w:w="80" w:type="dxa"/>
              <w:bottom w:w="80" w:type="dxa"/>
              <w:right w:w="80" w:type="dxa"/>
            </w:tcMar>
            <w:vAlign w:val="center"/>
          </w:tcPr>
          <w:p w14:paraId="2627217E" w14:textId="77777777" w:rsidR="00E36DCD" w:rsidRPr="00417AF0" w:rsidRDefault="00000000">
            <w:pPr>
              <w:spacing w:after="20" w:line="240" w:lineRule="auto"/>
              <w:jc w:val="left"/>
            </w:pPr>
            <w:r w:rsidRPr="00417AF0">
              <w:rPr>
                <w:b/>
                <w:sz w:val="16"/>
              </w:rPr>
              <w:t>Expected growth pathway</w:t>
            </w:r>
          </w:p>
        </w:tc>
        <w:tc>
          <w:tcPr>
            <w:tcW w:w="1944" w:type="dxa"/>
            <w:shd w:val="clear" w:color="auto" w:fill="D9E2F3"/>
            <w:tcMar>
              <w:top w:w="80" w:type="dxa"/>
              <w:left w:w="80" w:type="dxa"/>
              <w:bottom w:w="80" w:type="dxa"/>
              <w:right w:w="80" w:type="dxa"/>
            </w:tcMar>
            <w:vAlign w:val="center"/>
          </w:tcPr>
          <w:p w14:paraId="463CA5E1" w14:textId="77777777" w:rsidR="00E36DCD" w:rsidRPr="00417AF0" w:rsidRDefault="00000000">
            <w:pPr>
              <w:spacing w:after="20" w:line="240" w:lineRule="auto"/>
              <w:jc w:val="left"/>
            </w:pPr>
            <w:r w:rsidRPr="00417AF0">
              <w:rPr>
                <w:b/>
                <w:sz w:val="16"/>
              </w:rPr>
              <w:t>Conditions that may strengthen the pathway</w:t>
            </w:r>
          </w:p>
        </w:tc>
        <w:tc>
          <w:tcPr>
            <w:tcW w:w="2232" w:type="dxa"/>
            <w:shd w:val="clear" w:color="auto" w:fill="D9E2F3"/>
            <w:tcMar>
              <w:top w:w="80" w:type="dxa"/>
              <w:left w:w="80" w:type="dxa"/>
              <w:bottom w:w="80" w:type="dxa"/>
              <w:right w:w="80" w:type="dxa"/>
            </w:tcMar>
            <w:vAlign w:val="center"/>
          </w:tcPr>
          <w:p w14:paraId="1FB4910A" w14:textId="77777777" w:rsidR="00E36DCD" w:rsidRPr="00417AF0" w:rsidRDefault="00000000">
            <w:pPr>
              <w:spacing w:after="20" w:line="240" w:lineRule="auto"/>
              <w:jc w:val="left"/>
            </w:pPr>
            <w:r w:rsidRPr="00417AF0">
              <w:rPr>
                <w:b/>
                <w:sz w:val="16"/>
              </w:rPr>
              <w:t>Principal empirical threat</w:t>
            </w:r>
          </w:p>
        </w:tc>
        <w:tc>
          <w:tcPr>
            <w:tcW w:w="1944" w:type="dxa"/>
            <w:shd w:val="clear" w:color="auto" w:fill="D9E2F3"/>
            <w:tcMar>
              <w:top w:w="80" w:type="dxa"/>
              <w:left w:w="80" w:type="dxa"/>
              <w:bottom w:w="80" w:type="dxa"/>
              <w:right w:w="80" w:type="dxa"/>
            </w:tcMar>
            <w:vAlign w:val="center"/>
          </w:tcPr>
          <w:p w14:paraId="6D2D007A" w14:textId="77777777" w:rsidR="00E36DCD" w:rsidRPr="00417AF0" w:rsidRDefault="00000000">
            <w:pPr>
              <w:spacing w:after="20" w:line="240" w:lineRule="auto"/>
              <w:jc w:val="left"/>
            </w:pPr>
            <w:r w:rsidRPr="00417AF0">
              <w:rPr>
                <w:b/>
                <w:sz w:val="16"/>
              </w:rPr>
              <w:t>Supporting references</w:t>
            </w:r>
          </w:p>
        </w:tc>
      </w:tr>
      <w:tr w:rsidR="00417AF0" w:rsidRPr="00417AF0" w14:paraId="73A85FAA" w14:textId="77777777">
        <w:trPr>
          <w:cantSplit/>
          <w:jc w:val="center"/>
        </w:trPr>
        <w:tc>
          <w:tcPr>
            <w:tcW w:w="1656" w:type="dxa"/>
            <w:tcMar>
              <w:top w:w="80" w:type="dxa"/>
              <w:left w:w="80" w:type="dxa"/>
              <w:bottom w:w="80" w:type="dxa"/>
              <w:right w:w="80" w:type="dxa"/>
            </w:tcMar>
            <w:vAlign w:val="center"/>
          </w:tcPr>
          <w:p w14:paraId="073BDFC7" w14:textId="77777777" w:rsidR="00E36DCD" w:rsidRPr="00417AF0" w:rsidRDefault="00000000">
            <w:pPr>
              <w:spacing w:after="20" w:line="240" w:lineRule="auto"/>
              <w:jc w:val="left"/>
            </w:pPr>
            <w:r w:rsidRPr="00417AF0">
              <w:rPr>
                <w:sz w:val="16"/>
              </w:rPr>
              <w:t>Capital augmentation</w:t>
            </w:r>
          </w:p>
        </w:tc>
        <w:tc>
          <w:tcPr>
            <w:tcW w:w="1944" w:type="dxa"/>
            <w:tcMar>
              <w:top w:w="80" w:type="dxa"/>
              <w:left w:w="80" w:type="dxa"/>
              <w:bottom w:w="80" w:type="dxa"/>
              <w:right w:w="80" w:type="dxa"/>
            </w:tcMar>
            <w:vAlign w:val="center"/>
          </w:tcPr>
          <w:p w14:paraId="1F049390" w14:textId="77777777" w:rsidR="00E36DCD" w:rsidRPr="00417AF0" w:rsidRDefault="00000000">
            <w:pPr>
              <w:spacing w:after="20" w:line="240" w:lineRule="auto"/>
              <w:jc w:val="left"/>
            </w:pPr>
            <w:r w:rsidRPr="00417AF0">
              <w:rPr>
                <w:sz w:val="16"/>
              </w:rPr>
              <w:t>Foreign investment expands productive assets and can relax domestic savings constraints.</w:t>
            </w:r>
          </w:p>
        </w:tc>
        <w:tc>
          <w:tcPr>
            <w:tcW w:w="1944" w:type="dxa"/>
            <w:tcMar>
              <w:top w:w="80" w:type="dxa"/>
              <w:left w:w="80" w:type="dxa"/>
              <w:bottom w:w="80" w:type="dxa"/>
              <w:right w:w="80" w:type="dxa"/>
            </w:tcMar>
            <w:vAlign w:val="center"/>
          </w:tcPr>
          <w:p w14:paraId="0D9DAC9E" w14:textId="77777777" w:rsidR="00E36DCD" w:rsidRPr="00417AF0" w:rsidRDefault="00000000">
            <w:pPr>
              <w:spacing w:after="20" w:line="240" w:lineRule="auto"/>
              <w:jc w:val="left"/>
            </w:pPr>
            <w:r w:rsidRPr="00417AF0">
              <w:rPr>
                <w:sz w:val="16"/>
              </w:rPr>
              <w:t>Project realisation; complementary infrastructure; limited displacement of domestic investment.</w:t>
            </w:r>
          </w:p>
        </w:tc>
        <w:tc>
          <w:tcPr>
            <w:tcW w:w="2232" w:type="dxa"/>
            <w:tcMar>
              <w:top w:w="80" w:type="dxa"/>
              <w:left w:w="80" w:type="dxa"/>
              <w:bottom w:w="80" w:type="dxa"/>
              <w:right w:w="80" w:type="dxa"/>
            </w:tcMar>
            <w:vAlign w:val="center"/>
          </w:tcPr>
          <w:p w14:paraId="74F3F0CD" w14:textId="77777777" w:rsidR="00E36DCD" w:rsidRPr="00417AF0" w:rsidRDefault="00000000">
            <w:pPr>
              <w:spacing w:after="20" w:line="240" w:lineRule="auto"/>
              <w:jc w:val="left"/>
            </w:pPr>
            <w:r w:rsidRPr="00417AF0">
              <w:rPr>
                <w:sz w:val="16"/>
              </w:rPr>
              <w:t>FDI inflow measures may not equal realised productive capital; crowding-out can offset gross inflows.</w:t>
            </w:r>
          </w:p>
        </w:tc>
        <w:tc>
          <w:tcPr>
            <w:tcW w:w="1944" w:type="dxa"/>
            <w:tcMar>
              <w:top w:w="80" w:type="dxa"/>
              <w:left w:w="80" w:type="dxa"/>
              <w:bottom w:w="80" w:type="dxa"/>
              <w:right w:w="80" w:type="dxa"/>
            </w:tcMar>
            <w:vAlign w:val="center"/>
          </w:tcPr>
          <w:p w14:paraId="4D69ECA5" w14:textId="77777777" w:rsidR="00E36DCD" w:rsidRPr="00417AF0" w:rsidRDefault="00000000">
            <w:pPr>
              <w:spacing w:after="20" w:line="240" w:lineRule="auto"/>
              <w:jc w:val="left"/>
            </w:pPr>
            <w:r w:rsidRPr="00417AF0">
              <w:rPr>
                <w:sz w:val="16"/>
              </w:rPr>
              <w:t>Adams (2009); Hornstein (2024)</w:t>
            </w:r>
          </w:p>
        </w:tc>
      </w:tr>
      <w:tr w:rsidR="00417AF0" w:rsidRPr="00417AF0" w14:paraId="05710222" w14:textId="77777777">
        <w:trPr>
          <w:cantSplit/>
          <w:jc w:val="center"/>
        </w:trPr>
        <w:tc>
          <w:tcPr>
            <w:tcW w:w="1656" w:type="dxa"/>
            <w:tcMar>
              <w:top w:w="80" w:type="dxa"/>
              <w:left w:w="80" w:type="dxa"/>
              <w:bottom w:w="80" w:type="dxa"/>
              <w:right w:w="80" w:type="dxa"/>
            </w:tcMar>
            <w:vAlign w:val="center"/>
          </w:tcPr>
          <w:p w14:paraId="1D6AE1EA" w14:textId="77777777" w:rsidR="00E36DCD" w:rsidRPr="00417AF0" w:rsidRDefault="00000000">
            <w:pPr>
              <w:spacing w:after="20" w:line="240" w:lineRule="auto"/>
              <w:jc w:val="left"/>
            </w:pPr>
            <w:r w:rsidRPr="00417AF0">
              <w:rPr>
                <w:sz w:val="16"/>
              </w:rPr>
              <w:t>Technology and knowledge transfer</w:t>
            </w:r>
          </w:p>
        </w:tc>
        <w:tc>
          <w:tcPr>
            <w:tcW w:w="1944" w:type="dxa"/>
            <w:tcMar>
              <w:top w:w="80" w:type="dxa"/>
              <w:left w:w="80" w:type="dxa"/>
              <w:bottom w:w="80" w:type="dxa"/>
              <w:right w:w="80" w:type="dxa"/>
            </w:tcMar>
            <w:vAlign w:val="center"/>
          </w:tcPr>
          <w:p w14:paraId="286989E1" w14:textId="77777777" w:rsidR="00E36DCD" w:rsidRPr="00417AF0" w:rsidRDefault="00000000">
            <w:pPr>
              <w:spacing w:after="20" w:line="240" w:lineRule="auto"/>
              <w:jc w:val="left"/>
            </w:pPr>
            <w:r w:rsidRPr="00417AF0">
              <w:rPr>
                <w:sz w:val="16"/>
              </w:rPr>
              <w:t>Foreign affiliates introduce technology, management and organisational knowledge.</w:t>
            </w:r>
          </w:p>
        </w:tc>
        <w:tc>
          <w:tcPr>
            <w:tcW w:w="1944" w:type="dxa"/>
            <w:tcMar>
              <w:top w:w="80" w:type="dxa"/>
              <w:left w:w="80" w:type="dxa"/>
              <w:bottom w:w="80" w:type="dxa"/>
              <w:right w:w="80" w:type="dxa"/>
            </w:tcMar>
            <w:vAlign w:val="center"/>
          </w:tcPr>
          <w:p w14:paraId="73DB353B" w14:textId="77777777" w:rsidR="00E36DCD" w:rsidRPr="00417AF0" w:rsidRDefault="00000000">
            <w:pPr>
              <w:spacing w:after="20" w:line="240" w:lineRule="auto"/>
              <w:jc w:val="left"/>
            </w:pPr>
            <w:r w:rsidRPr="00417AF0">
              <w:rPr>
                <w:sz w:val="16"/>
              </w:rPr>
              <w:t>Human capital; learning capacity; domestic R&amp;D and supplier capability.</w:t>
            </w:r>
          </w:p>
        </w:tc>
        <w:tc>
          <w:tcPr>
            <w:tcW w:w="2232" w:type="dxa"/>
            <w:tcMar>
              <w:top w:w="80" w:type="dxa"/>
              <w:left w:w="80" w:type="dxa"/>
              <w:bottom w:w="80" w:type="dxa"/>
              <w:right w:w="80" w:type="dxa"/>
            </w:tcMar>
            <w:vAlign w:val="center"/>
          </w:tcPr>
          <w:p w14:paraId="3B9616FD" w14:textId="77777777" w:rsidR="00E36DCD" w:rsidRPr="00417AF0" w:rsidRDefault="00000000">
            <w:pPr>
              <w:spacing w:after="20" w:line="240" w:lineRule="auto"/>
              <w:jc w:val="left"/>
            </w:pPr>
            <w:r w:rsidRPr="00417AF0">
              <w:rPr>
                <w:sz w:val="16"/>
              </w:rPr>
              <w:t>Productivity gains inside foreign firms may be mistaken for economy-wide spillovers.</w:t>
            </w:r>
          </w:p>
        </w:tc>
        <w:tc>
          <w:tcPr>
            <w:tcW w:w="1944" w:type="dxa"/>
            <w:tcMar>
              <w:top w:w="80" w:type="dxa"/>
              <w:left w:w="80" w:type="dxa"/>
              <w:bottom w:w="80" w:type="dxa"/>
              <w:right w:w="80" w:type="dxa"/>
            </w:tcMar>
            <w:vAlign w:val="center"/>
          </w:tcPr>
          <w:p w14:paraId="07FCB9CF" w14:textId="77777777" w:rsidR="00E36DCD" w:rsidRPr="00417AF0" w:rsidRDefault="00000000">
            <w:pPr>
              <w:spacing w:after="20" w:line="240" w:lineRule="auto"/>
              <w:jc w:val="left"/>
            </w:pPr>
            <w:r w:rsidRPr="00417AF0">
              <w:rPr>
                <w:sz w:val="16"/>
              </w:rPr>
              <w:t>Borensztein et al. (1998); Findlay (1978); Javorcik (2004)</w:t>
            </w:r>
          </w:p>
        </w:tc>
      </w:tr>
      <w:tr w:rsidR="00417AF0" w:rsidRPr="00417AF0" w14:paraId="0CF8B84F" w14:textId="77777777">
        <w:trPr>
          <w:cantSplit/>
          <w:jc w:val="center"/>
        </w:trPr>
        <w:tc>
          <w:tcPr>
            <w:tcW w:w="1656" w:type="dxa"/>
            <w:tcMar>
              <w:top w:w="80" w:type="dxa"/>
              <w:left w:w="80" w:type="dxa"/>
              <w:bottom w:w="80" w:type="dxa"/>
              <w:right w:w="80" w:type="dxa"/>
            </w:tcMar>
            <w:vAlign w:val="center"/>
          </w:tcPr>
          <w:p w14:paraId="5B6B9436" w14:textId="77777777" w:rsidR="00E36DCD" w:rsidRPr="00417AF0" w:rsidRDefault="00000000">
            <w:pPr>
              <w:spacing w:after="20" w:line="240" w:lineRule="auto"/>
              <w:jc w:val="left"/>
            </w:pPr>
            <w:r w:rsidRPr="00417AF0">
              <w:rPr>
                <w:sz w:val="16"/>
              </w:rPr>
              <w:t>Financial intermediation</w:t>
            </w:r>
          </w:p>
        </w:tc>
        <w:tc>
          <w:tcPr>
            <w:tcW w:w="1944" w:type="dxa"/>
            <w:tcMar>
              <w:top w:w="80" w:type="dxa"/>
              <w:left w:w="80" w:type="dxa"/>
              <w:bottom w:w="80" w:type="dxa"/>
              <w:right w:w="80" w:type="dxa"/>
            </w:tcMar>
            <w:vAlign w:val="center"/>
          </w:tcPr>
          <w:p w14:paraId="4921CEDB" w14:textId="77777777" w:rsidR="00E36DCD" w:rsidRPr="00417AF0" w:rsidRDefault="00000000">
            <w:pPr>
              <w:spacing w:after="20" w:line="240" w:lineRule="auto"/>
              <w:jc w:val="left"/>
            </w:pPr>
            <w:r w:rsidRPr="00417AF0">
              <w:rPr>
                <w:sz w:val="16"/>
              </w:rPr>
              <w:t>Domestic finance enables suppliers and local firms to respond to FDI opportunities.</w:t>
            </w:r>
          </w:p>
        </w:tc>
        <w:tc>
          <w:tcPr>
            <w:tcW w:w="1944" w:type="dxa"/>
            <w:tcMar>
              <w:top w:w="80" w:type="dxa"/>
              <w:left w:w="80" w:type="dxa"/>
              <w:bottom w:w="80" w:type="dxa"/>
              <w:right w:w="80" w:type="dxa"/>
            </w:tcMar>
            <w:vAlign w:val="center"/>
          </w:tcPr>
          <w:p w14:paraId="31098F56" w14:textId="77777777" w:rsidR="00E36DCD" w:rsidRPr="00417AF0" w:rsidRDefault="00000000">
            <w:pPr>
              <w:spacing w:after="20" w:line="240" w:lineRule="auto"/>
              <w:jc w:val="left"/>
            </w:pPr>
            <w:r w:rsidRPr="00417AF0">
              <w:rPr>
                <w:sz w:val="16"/>
              </w:rPr>
              <w:t>Accessible and efficiently allocated credit; financial depth matched to productive demand.</w:t>
            </w:r>
          </w:p>
        </w:tc>
        <w:tc>
          <w:tcPr>
            <w:tcW w:w="2232" w:type="dxa"/>
            <w:tcMar>
              <w:top w:w="80" w:type="dxa"/>
              <w:left w:w="80" w:type="dxa"/>
              <w:bottom w:w="80" w:type="dxa"/>
              <w:right w:w="80" w:type="dxa"/>
            </w:tcMar>
            <w:vAlign w:val="center"/>
          </w:tcPr>
          <w:p w14:paraId="56CC9FAC" w14:textId="77777777" w:rsidR="00E36DCD" w:rsidRPr="00417AF0" w:rsidRDefault="00000000">
            <w:pPr>
              <w:spacing w:after="20" w:line="240" w:lineRule="auto"/>
              <w:jc w:val="left"/>
            </w:pPr>
            <w:r w:rsidRPr="00417AF0">
              <w:rPr>
                <w:sz w:val="16"/>
              </w:rPr>
              <w:t>Nonlinear thresholds and endogeneity between finance, investment and growth.</w:t>
            </w:r>
          </w:p>
        </w:tc>
        <w:tc>
          <w:tcPr>
            <w:tcW w:w="1944" w:type="dxa"/>
            <w:tcMar>
              <w:top w:w="80" w:type="dxa"/>
              <w:left w:w="80" w:type="dxa"/>
              <w:bottom w:w="80" w:type="dxa"/>
              <w:right w:w="80" w:type="dxa"/>
            </w:tcMar>
            <w:vAlign w:val="center"/>
          </w:tcPr>
          <w:p w14:paraId="031663A1" w14:textId="77777777" w:rsidR="00E36DCD" w:rsidRPr="00417AF0" w:rsidRDefault="00000000">
            <w:pPr>
              <w:spacing w:after="20" w:line="240" w:lineRule="auto"/>
              <w:jc w:val="left"/>
            </w:pPr>
            <w:r w:rsidRPr="00417AF0">
              <w:rPr>
                <w:sz w:val="16"/>
              </w:rPr>
              <w:t>Alfaro et al. (2004); Nguyen (2022); Osei &amp; Kim (2023)</w:t>
            </w:r>
          </w:p>
        </w:tc>
      </w:tr>
      <w:tr w:rsidR="00417AF0" w:rsidRPr="00417AF0" w14:paraId="44FD3131" w14:textId="77777777">
        <w:trPr>
          <w:cantSplit/>
          <w:jc w:val="center"/>
        </w:trPr>
        <w:tc>
          <w:tcPr>
            <w:tcW w:w="1656" w:type="dxa"/>
            <w:tcMar>
              <w:top w:w="80" w:type="dxa"/>
              <w:left w:w="80" w:type="dxa"/>
              <w:bottom w:w="80" w:type="dxa"/>
              <w:right w:w="80" w:type="dxa"/>
            </w:tcMar>
            <w:vAlign w:val="center"/>
          </w:tcPr>
          <w:p w14:paraId="3CC3779B" w14:textId="77777777" w:rsidR="00E36DCD" w:rsidRPr="00417AF0" w:rsidRDefault="00000000">
            <w:pPr>
              <w:spacing w:after="20" w:line="240" w:lineRule="auto"/>
              <w:jc w:val="left"/>
            </w:pPr>
            <w:r w:rsidRPr="00417AF0">
              <w:rPr>
                <w:sz w:val="16"/>
              </w:rPr>
              <w:t>Institutional conditioning</w:t>
            </w:r>
          </w:p>
        </w:tc>
        <w:tc>
          <w:tcPr>
            <w:tcW w:w="1944" w:type="dxa"/>
            <w:tcMar>
              <w:top w:w="80" w:type="dxa"/>
              <w:left w:w="80" w:type="dxa"/>
              <w:bottom w:w="80" w:type="dxa"/>
              <w:right w:w="80" w:type="dxa"/>
            </w:tcMar>
            <w:vAlign w:val="center"/>
          </w:tcPr>
          <w:p w14:paraId="31D05C07" w14:textId="77777777" w:rsidR="00E36DCD" w:rsidRPr="00417AF0" w:rsidRDefault="00000000">
            <w:pPr>
              <w:spacing w:after="20" w:line="240" w:lineRule="auto"/>
              <w:jc w:val="left"/>
            </w:pPr>
            <w:r w:rsidRPr="00417AF0">
              <w:rPr>
                <w:sz w:val="16"/>
              </w:rPr>
              <w:t>Stable and credible institutions reduce transaction costs and improve linkage formation.</w:t>
            </w:r>
          </w:p>
        </w:tc>
        <w:tc>
          <w:tcPr>
            <w:tcW w:w="1944" w:type="dxa"/>
            <w:tcMar>
              <w:top w:w="80" w:type="dxa"/>
              <w:left w:w="80" w:type="dxa"/>
              <w:bottom w:w="80" w:type="dxa"/>
              <w:right w:w="80" w:type="dxa"/>
            </w:tcMar>
            <w:vAlign w:val="center"/>
          </w:tcPr>
          <w:p w14:paraId="21674439" w14:textId="77777777" w:rsidR="00E36DCD" w:rsidRPr="00417AF0" w:rsidRDefault="00000000">
            <w:pPr>
              <w:spacing w:after="20" w:line="240" w:lineRule="auto"/>
              <w:jc w:val="left"/>
            </w:pPr>
            <w:r w:rsidRPr="00417AF0">
              <w:rPr>
                <w:sz w:val="16"/>
              </w:rPr>
              <w:t>Political stability; regulatory predictability; effective governance.</w:t>
            </w:r>
          </w:p>
        </w:tc>
        <w:tc>
          <w:tcPr>
            <w:tcW w:w="2232" w:type="dxa"/>
            <w:tcMar>
              <w:top w:w="80" w:type="dxa"/>
              <w:left w:w="80" w:type="dxa"/>
              <w:bottom w:w="80" w:type="dxa"/>
              <w:right w:w="80" w:type="dxa"/>
            </w:tcMar>
            <w:vAlign w:val="center"/>
          </w:tcPr>
          <w:p w14:paraId="11B103B8" w14:textId="77777777" w:rsidR="00E36DCD" w:rsidRPr="00417AF0" w:rsidRDefault="00000000">
            <w:pPr>
              <w:spacing w:after="20" w:line="240" w:lineRule="auto"/>
              <w:jc w:val="left"/>
            </w:pPr>
            <w:r w:rsidRPr="00417AF0">
              <w:rPr>
                <w:sz w:val="16"/>
              </w:rPr>
              <w:t>Institutional proxies are correlated with unobserved development characteristics.</w:t>
            </w:r>
          </w:p>
        </w:tc>
        <w:tc>
          <w:tcPr>
            <w:tcW w:w="1944" w:type="dxa"/>
            <w:tcMar>
              <w:top w:w="80" w:type="dxa"/>
              <w:left w:w="80" w:type="dxa"/>
              <w:bottom w:w="80" w:type="dxa"/>
              <w:right w:w="80" w:type="dxa"/>
            </w:tcMar>
            <w:vAlign w:val="center"/>
          </w:tcPr>
          <w:p w14:paraId="4EE8687C" w14:textId="77777777" w:rsidR="00E36DCD" w:rsidRPr="00417AF0" w:rsidRDefault="00000000">
            <w:pPr>
              <w:spacing w:after="20" w:line="240" w:lineRule="auto"/>
              <w:jc w:val="left"/>
            </w:pPr>
            <w:r w:rsidRPr="00417AF0">
              <w:rPr>
                <w:sz w:val="16"/>
              </w:rPr>
              <w:t>Li et al. (2023); Nguyen &amp; Ho (2025)</w:t>
            </w:r>
          </w:p>
        </w:tc>
      </w:tr>
      <w:tr w:rsidR="00417AF0" w:rsidRPr="00417AF0" w14:paraId="02EBC8D4" w14:textId="77777777">
        <w:trPr>
          <w:cantSplit/>
          <w:jc w:val="center"/>
        </w:trPr>
        <w:tc>
          <w:tcPr>
            <w:tcW w:w="1656" w:type="dxa"/>
            <w:tcMar>
              <w:top w:w="80" w:type="dxa"/>
              <w:left w:w="80" w:type="dxa"/>
              <w:bottom w:w="80" w:type="dxa"/>
              <w:right w:w="80" w:type="dxa"/>
            </w:tcMar>
            <w:vAlign w:val="center"/>
          </w:tcPr>
          <w:p w14:paraId="4054FDF7" w14:textId="77777777" w:rsidR="00E36DCD" w:rsidRPr="00417AF0" w:rsidRDefault="00000000">
            <w:pPr>
              <w:spacing w:after="20" w:line="240" w:lineRule="auto"/>
              <w:jc w:val="left"/>
            </w:pPr>
            <w:r w:rsidRPr="00417AF0">
              <w:rPr>
                <w:sz w:val="16"/>
              </w:rPr>
              <w:t>Horizontal and vertical spillovers</w:t>
            </w:r>
          </w:p>
        </w:tc>
        <w:tc>
          <w:tcPr>
            <w:tcW w:w="1944" w:type="dxa"/>
            <w:tcMar>
              <w:top w:w="80" w:type="dxa"/>
              <w:left w:w="80" w:type="dxa"/>
              <w:bottom w:w="80" w:type="dxa"/>
              <w:right w:w="80" w:type="dxa"/>
            </w:tcMar>
            <w:vAlign w:val="center"/>
          </w:tcPr>
          <w:p w14:paraId="179FCC6B" w14:textId="77777777" w:rsidR="00E36DCD" w:rsidRPr="00417AF0" w:rsidRDefault="00000000">
            <w:pPr>
              <w:spacing w:after="20" w:line="240" w:lineRule="auto"/>
              <w:jc w:val="left"/>
            </w:pPr>
            <w:r w:rsidRPr="00417AF0">
              <w:rPr>
                <w:sz w:val="16"/>
              </w:rPr>
              <w:t>Knowledge diffuses to competitors or suppliers; supplier upgrading can raise domestic productivity.</w:t>
            </w:r>
          </w:p>
        </w:tc>
        <w:tc>
          <w:tcPr>
            <w:tcW w:w="1944" w:type="dxa"/>
            <w:tcMar>
              <w:top w:w="80" w:type="dxa"/>
              <w:left w:w="80" w:type="dxa"/>
              <w:bottom w:w="80" w:type="dxa"/>
              <w:right w:w="80" w:type="dxa"/>
            </w:tcMar>
            <w:vAlign w:val="center"/>
          </w:tcPr>
          <w:p w14:paraId="6871D69F" w14:textId="77777777" w:rsidR="00E36DCD" w:rsidRPr="00417AF0" w:rsidRDefault="00000000">
            <w:pPr>
              <w:spacing w:after="20" w:line="240" w:lineRule="auto"/>
              <w:jc w:val="left"/>
            </w:pPr>
            <w:r w:rsidRPr="00417AF0">
              <w:rPr>
                <w:sz w:val="16"/>
              </w:rPr>
              <w:t>Backward linkages; absorptive capacity; local sourcing; competitive but not destructive market structure.</w:t>
            </w:r>
          </w:p>
        </w:tc>
        <w:tc>
          <w:tcPr>
            <w:tcW w:w="2232" w:type="dxa"/>
            <w:tcMar>
              <w:top w:w="80" w:type="dxa"/>
              <w:left w:w="80" w:type="dxa"/>
              <w:bottom w:w="80" w:type="dxa"/>
              <w:right w:w="80" w:type="dxa"/>
            </w:tcMar>
            <w:vAlign w:val="center"/>
          </w:tcPr>
          <w:p w14:paraId="724382FA" w14:textId="77777777" w:rsidR="00E36DCD" w:rsidRPr="00417AF0" w:rsidRDefault="00000000">
            <w:pPr>
              <w:spacing w:after="20" w:line="240" w:lineRule="auto"/>
              <w:jc w:val="left"/>
            </w:pPr>
            <w:r w:rsidRPr="00417AF0">
              <w:rPr>
                <w:sz w:val="16"/>
              </w:rPr>
              <w:t>Selection of productive firms and simultaneous competitive displacement.</w:t>
            </w:r>
          </w:p>
        </w:tc>
        <w:tc>
          <w:tcPr>
            <w:tcW w:w="1944" w:type="dxa"/>
            <w:tcMar>
              <w:top w:w="80" w:type="dxa"/>
              <w:left w:w="80" w:type="dxa"/>
              <w:bottom w:w="80" w:type="dxa"/>
              <w:right w:w="80" w:type="dxa"/>
            </w:tcMar>
            <w:vAlign w:val="center"/>
          </w:tcPr>
          <w:p w14:paraId="23049C45" w14:textId="77777777" w:rsidR="00E36DCD" w:rsidRPr="00417AF0" w:rsidRDefault="00000000">
            <w:pPr>
              <w:spacing w:after="20" w:line="240" w:lineRule="auto"/>
              <w:jc w:val="left"/>
            </w:pPr>
            <w:r w:rsidRPr="00417AF0">
              <w:rPr>
                <w:sz w:val="16"/>
              </w:rPr>
              <w:t>Aitken &amp; Harrison (1999); Görg &amp; Greenaway (2004); Javorcik (2004)</w:t>
            </w:r>
          </w:p>
        </w:tc>
      </w:tr>
      <w:tr w:rsidR="00417AF0" w:rsidRPr="00417AF0" w14:paraId="57AB1FC1" w14:textId="77777777">
        <w:trPr>
          <w:cantSplit/>
          <w:jc w:val="center"/>
        </w:trPr>
        <w:tc>
          <w:tcPr>
            <w:tcW w:w="1656" w:type="dxa"/>
            <w:tcMar>
              <w:top w:w="80" w:type="dxa"/>
              <w:left w:w="80" w:type="dxa"/>
              <w:bottom w:w="80" w:type="dxa"/>
              <w:right w:w="80" w:type="dxa"/>
            </w:tcMar>
            <w:vAlign w:val="center"/>
          </w:tcPr>
          <w:p w14:paraId="2A84249D" w14:textId="77777777" w:rsidR="00E36DCD" w:rsidRPr="00417AF0" w:rsidRDefault="00000000">
            <w:pPr>
              <w:spacing w:after="20" w:line="240" w:lineRule="auto"/>
              <w:jc w:val="left"/>
            </w:pPr>
            <w:r w:rsidRPr="00417AF0">
              <w:rPr>
                <w:sz w:val="16"/>
              </w:rPr>
              <w:t>Bidirectional dynamics</w:t>
            </w:r>
          </w:p>
        </w:tc>
        <w:tc>
          <w:tcPr>
            <w:tcW w:w="1944" w:type="dxa"/>
            <w:tcMar>
              <w:top w:w="80" w:type="dxa"/>
              <w:left w:w="80" w:type="dxa"/>
              <w:bottom w:w="80" w:type="dxa"/>
              <w:right w:w="80" w:type="dxa"/>
            </w:tcMar>
            <w:vAlign w:val="center"/>
          </w:tcPr>
          <w:p w14:paraId="2A7D6C56" w14:textId="77777777" w:rsidR="00E36DCD" w:rsidRPr="00417AF0" w:rsidRDefault="00000000">
            <w:pPr>
              <w:spacing w:after="20" w:line="240" w:lineRule="auto"/>
              <w:jc w:val="left"/>
            </w:pPr>
            <w:r w:rsidRPr="00417AF0">
              <w:rPr>
                <w:sz w:val="16"/>
              </w:rPr>
              <w:t>FDI may raise growth, while growth also increases location attractiveness and expected returns.</w:t>
            </w:r>
          </w:p>
        </w:tc>
        <w:tc>
          <w:tcPr>
            <w:tcW w:w="1944" w:type="dxa"/>
            <w:tcMar>
              <w:top w:w="80" w:type="dxa"/>
              <w:left w:w="80" w:type="dxa"/>
              <w:bottom w:w="80" w:type="dxa"/>
              <w:right w:w="80" w:type="dxa"/>
            </w:tcMar>
            <w:vAlign w:val="center"/>
          </w:tcPr>
          <w:p w14:paraId="28B1ECCB" w14:textId="77777777" w:rsidR="00E36DCD" w:rsidRPr="00417AF0" w:rsidRDefault="00000000">
            <w:pPr>
              <w:spacing w:after="20" w:line="240" w:lineRule="auto"/>
              <w:jc w:val="left"/>
            </w:pPr>
            <w:r w:rsidRPr="00417AF0">
              <w:rPr>
                <w:sz w:val="16"/>
              </w:rPr>
              <w:t>Dynamic modelling; credible instruments; temporal ordering.</w:t>
            </w:r>
          </w:p>
        </w:tc>
        <w:tc>
          <w:tcPr>
            <w:tcW w:w="2232" w:type="dxa"/>
            <w:tcMar>
              <w:top w:w="80" w:type="dxa"/>
              <w:left w:w="80" w:type="dxa"/>
              <w:bottom w:w="80" w:type="dxa"/>
              <w:right w:w="80" w:type="dxa"/>
            </w:tcMar>
            <w:vAlign w:val="center"/>
          </w:tcPr>
          <w:p w14:paraId="4CD60182" w14:textId="77777777" w:rsidR="00E36DCD" w:rsidRPr="00417AF0" w:rsidRDefault="00000000">
            <w:pPr>
              <w:spacing w:after="20" w:line="240" w:lineRule="auto"/>
              <w:jc w:val="left"/>
            </w:pPr>
            <w:r w:rsidRPr="00417AF0">
              <w:rPr>
                <w:sz w:val="16"/>
              </w:rPr>
              <w:t>Reverse causality and omitted reforms can create spurious one-way effects.</w:t>
            </w:r>
          </w:p>
        </w:tc>
        <w:tc>
          <w:tcPr>
            <w:tcW w:w="1944" w:type="dxa"/>
            <w:tcMar>
              <w:top w:w="80" w:type="dxa"/>
              <w:left w:w="80" w:type="dxa"/>
              <w:bottom w:w="80" w:type="dxa"/>
              <w:right w:w="80" w:type="dxa"/>
            </w:tcMar>
            <w:vAlign w:val="center"/>
          </w:tcPr>
          <w:p w14:paraId="4904C94B" w14:textId="77777777" w:rsidR="00E36DCD" w:rsidRPr="00417AF0" w:rsidRDefault="00000000">
            <w:pPr>
              <w:spacing w:after="20" w:line="240" w:lineRule="auto"/>
              <w:jc w:val="left"/>
            </w:pPr>
            <w:r w:rsidRPr="00417AF0">
              <w:rPr>
                <w:sz w:val="16"/>
              </w:rPr>
              <w:t>Ghazalian (2024); Li &amp; Liu (2005); Nupehewa et al. (2022)</w:t>
            </w:r>
          </w:p>
        </w:tc>
      </w:tr>
    </w:tbl>
    <w:p w14:paraId="5AEE2353" w14:textId="77777777" w:rsidR="00E36DCD" w:rsidRPr="00417AF0" w:rsidRDefault="00000000">
      <w:pPr>
        <w:spacing w:before="60" w:after="120"/>
      </w:pPr>
      <w:r w:rsidRPr="00417AF0">
        <w:rPr>
          <w:b/>
          <w:sz w:val="17"/>
        </w:rPr>
        <w:t xml:space="preserve">Note. </w:t>
      </w:r>
      <w:r w:rsidRPr="00417AF0">
        <w:rPr>
          <w:sz w:val="17"/>
        </w:rPr>
        <w:t>FDI = foreign direct investment. Entries are representative rather than exhaustive.</w:t>
      </w:r>
    </w:p>
    <w:p w14:paraId="7CCE1CC9" w14:textId="77777777" w:rsidR="00E36DCD" w:rsidRPr="00417AF0" w:rsidRDefault="00000000">
      <w:pPr>
        <w:pStyle w:val="Heading1"/>
        <w:rPr>
          <w:color w:val="auto"/>
        </w:rPr>
      </w:pPr>
      <w:r w:rsidRPr="00417AF0">
        <w:rPr>
          <w:color w:val="auto"/>
        </w:rPr>
        <w:lastRenderedPageBreak/>
        <w:t>4. Mapping the Established Bibliometric Knowledge Structure</w:t>
      </w:r>
    </w:p>
    <w:p w14:paraId="0A3351F8" w14:textId="77777777" w:rsidR="00E36DCD" w:rsidRPr="00417AF0" w:rsidRDefault="00000000">
      <w:pPr>
        <w:ind w:firstLine="317"/>
      </w:pPr>
      <w:r w:rsidRPr="00417AF0">
        <w:t>The bibliometric literature provides two particularly useful direct maps of the FDI–growth domain. Cicea and Marinescu (2021) analysed 2,281 Scopus documents, combining database indicators with VOSviewer and CiteSpace. Wang et al. (2022) analysed 1,075 Web of Science documents with Bibliometrix and complementary content review. The large difference in corpus size should not be read as evidence that one study was more complete. It reflects different databases, search designs and inclusion fields. Wang et al. deliberately used a more restrictive configuration centred on “foreign direct investment” and “economic growth”, whereas Cicea and Marinescu constructed a broader Scopus-based knowledge map. The correct inference is that bibliometric structure is query-dependent: country rankings, outlet prominence and keyword frequencies are conditional on the corpus boundary.</w:t>
      </w:r>
    </w:p>
    <w:p w14:paraId="6DDC4FD0" w14:textId="77777777" w:rsidR="00E36DCD" w:rsidRPr="00417AF0" w:rsidRDefault="00000000">
      <w:pPr>
        <w:ind w:firstLine="317"/>
      </w:pPr>
      <w:r w:rsidRPr="00417AF0">
        <w:t>Despite those corpus differences, the studies converge on several features. First, the field experienced sustained publication growth after the 1990s, consistent with the maturation of cross-country data, panel econometrics and international-business research. Second, the intellectual centre is strongly interdisciplinary, connecting development economics, international economics, energy and environmental research, finance and international business. Third, the conceptual core is stable enough to produce recurring clusters around FDI, growth, technology, productivity and development, while peripheral themes change with policy concerns. This combination of a stable core and changing periphery is typical of an established research domain: foundational causal questions persist, but the conditions and outcomes attached to them evolve.</w:t>
      </w:r>
    </w:p>
    <w:p w14:paraId="37EECBA9" w14:textId="77777777" w:rsidR="00E36DCD" w:rsidRPr="00417AF0" w:rsidRDefault="00000000">
      <w:pPr>
        <w:ind w:firstLine="317"/>
      </w:pPr>
      <w:r w:rsidRPr="00417AF0">
        <w:t>Broader bibliometric reviews reinforce this pattern. Paul and Feliciano-Cestero (2021) synthesised 500 FDI articles across five decades and showed that the field’s theoretical and empirical scope extends well beyond the FDI–growth dyad, including multinational-enterprise strategy, entry mode and subsidiary questions. The study by da Silva-Oliveira et al. (2021), using 806 articles from 1994–2019, identified distinctive inward- and outward-FDI themes in emerging economies, including innovation, capital flows, institutional environments and location choice. These broader maps matter because FDI–growth research borrows its mechanisms from the wider international-business literature. A growth model may treat FDI as an aggregate ratio, but the underlying investments arise from firm choices about ownership, location, knowledge transfer and risk.</w:t>
      </w:r>
    </w:p>
    <w:p w14:paraId="5F07D7DA" w14:textId="77777777" w:rsidR="00E36DCD" w:rsidRPr="00417AF0" w:rsidRDefault="00000000">
      <w:pPr>
        <w:ind w:firstLine="317"/>
      </w:pPr>
      <w:r w:rsidRPr="00417AF0">
        <w:t>The direct FDI–growth map produced by Wang et al. (2022) also reveals a clear geographical asymmetry. Their corpus covered 100 countries or regions. The United States was the most highly cited country in their co-authorship analysis, while China generated the largest number of documents and the highest reported collaboration link strength. England, Australia, France and several emerging economies also occupied visible positions. These patterns reflect both research capacity and substantive interest: large recipients or sources of FDI, countries with strong international-economics communities, and rapidly transforming emerging economies naturally generate more scholarship. Yet bibliometric country prominence cannot be equated with the geographical distribution of evidence quality. A country can be highly connected in authorship networks while the underlying empirical data remain concentrated elsewhere.</w:t>
      </w:r>
    </w:p>
    <w:p w14:paraId="4AF0AEA5" w14:textId="77777777" w:rsidR="00E36DCD" w:rsidRPr="00417AF0" w:rsidRDefault="00000000">
      <w:pPr>
        <w:ind w:firstLine="317"/>
      </w:pPr>
      <w:r w:rsidRPr="00417AF0">
        <w:t>Outlet and citation structures show similar concentration. Wang et al. (2022) identified the Journal of International Economics as the most influential source in their citation network, with World Development also prominent. This is unsurprising because several canonical FDI–growth and spillover papers appeared in these outlets, including Borensztein et al. (1998), Alfaro et al. (2004), Javorcik (2004), Li and Liu (2005), and Markusen and Venables (1999) in closely related economics journals. Citation networks thus recover a recognisable intellectual spine. However, citation counts partly measure the durability of old questions and the age of articles. They are best interpreted as indicators of intellectual anchoring, not as a hierarchy of current causal reliability.</w:t>
      </w:r>
    </w:p>
    <w:p w14:paraId="0E68D1BA" w14:textId="77777777" w:rsidR="00E36DCD" w:rsidRPr="00417AF0" w:rsidRDefault="00000000">
      <w:pPr>
        <w:ind w:firstLine="317"/>
      </w:pPr>
      <w:r w:rsidRPr="00417AF0">
        <w:lastRenderedPageBreak/>
        <w:t>The methodology used by bibliometric studies also shapes the “knowledge structure” they reveal. Co-citation analysis is backward-looking because two papers must be cited together before a cluster becomes visible. Bibliographic coupling links newer papers more quickly because they can share references immediately after publication. Co-word analysis is sensitive to author keyword choices and cleaning rules, while thematic maps depend on how centrality and density thresholds are selected (Aria &amp; Cuccurullo, 2017; Cobo et al., 2012; Zupic &amp; Čater, 2015). Citation-burst methods such as those implemented in CiteSpace are useful for identifying periods of rapid attention but can privilege transient popularity (Chen, 2006). A robust interpretation therefore triangulates methods rather than presenting a single network as an objective representation of the field.</w:t>
      </w:r>
    </w:p>
    <w:p w14:paraId="6642819E" w14:textId="77777777" w:rsidR="00E36DCD" w:rsidRPr="00417AF0" w:rsidRDefault="00000000">
      <w:pPr>
        <w:ind w:firstLine="317"/>
      </w:pPr>
      <w:r w:rsidRPr="00417AF0">
        <w:t>Table 2 compares the main verified bibliometric and large-scale review mappings that inform this synthesis. The studies differ substantially in database, time window and topical boundary, but together they show how the field has widened from an aggregate FDI–growth relation to emerging-economy internationalisation, sustainability and geopolitical risk. The comparison also highlights a recurring methodological limitation: the most influential maps are often database-specific, so raw publication and citation counts should not be pooled across studies.</w:t>
      </w:r>
    </w:p>
    <w:p w14:paraId="20737B51" w14:textId="77777777" w:rsidR="00E36DCD" w:rsidRPr="00417AF0" w:rsidRDefault="00000000">
      <w:pPr>
        <w:spacing w:before="120" w:after="80"/>
      </w:pPr>
      <w:r w:rsidRPr="00417AF0">
        <w:rPr>
          <w:b/>
        </w:rPr>
        <w:t>Table 2. Representative bibliometric and large-scale mappings of the foreign direct investment knowledge base</w:t>
      </w:r>
    </w:p>
    <w:tbl>
      <w:tblPr>
        <w:tblW w:w="0" w:type="auto"/>
        <w:jc w:val="center"/>
        <w:tblLayout w:type="fixed"/>
        <w:tblLook w:val="04A0" w:firstRow="1" w:lastRow="0" w:firstColumn="1" w:lastColumn="0" w:noHBand="0" w:noVBand="1"/>
      </w:tblPr>
      <w:tblGrid>
        <w:gridCol w:w="1440"/>
        <w:gridCol w:w="1440"/>
        <w:gridCol w:w="1440"/>
        <w:gridCol w:w="1440"/>
        <w:gridCol w:w="1440"/>
        <w:gridCol w:w="1440"/>
      </w:tblGrid>
      <w:tr w:rsidR="00417AF0" w:rsidRPr="00417AF0" w14:paraId="51B245BA" w14:textId="77777777">
        <w:trPr>
          <w:cantSplit/>
          <w:tblHeader/>
          <w:jc w:val="center"/>
        </w:trPr>
        <w:tc>
          <w:tcPr>
            <w:tcW w:w="1440" w:type="dxa"/>
            <w:shd w:val="clear" w:color="auto" w:fill="D9E2F3"/>
            <w:tcMar>
              <w:top w:w="80" w:type="dxa"/>
              <w:left w:w="80" w:type="dxa"/>
              <w:bottom w:w="80" w:type="dxa"/>
              <w:right w:w="80" w:type="dxa"/>
            </w:tcMar>
            <w:vAlign w:val="center"/>
          </w:tcPr>
          <w:p w14:paraId="094EA201" w14:textId="77777777" w:rsidR="00E36DCD" w:rsidRPr="00417AF0" w:rsidRDefault="00000000">
            <w:pPr>
              <w:spacing w:after="20" w:line="240" w:lineRule="auto"/>
              <w:jc w:val="left"/>
            </w:pPr>
            <w:r w:rsidRPr="00417AF0">
              <w:rPr>
                <w:b/>
                <w:sz w:val="15"/>
              </w:rPr>
              <w:t>Study</w:t>
            </w:r>
          </w:p>
        </w:tc>
        <w:tc>
          <w:tcPr>
            <w:tcW w:w="1440" w:type="dxa"/>
            <w:shd w:val="clear" w:color="auto" w:fill="D9E2F3"/>
            <w:tcMar>
              <w:top w:w="80" w:type="dxa"/>
              <w:left w:w="80" w:type="dxa"/>
              <w:bottom w:w="80" w:type="dxa"/>
              <w:right w:w="80" w:type="dxa"/>
            </w:tcMar>
            <w:vAlign w:val="center"/>
          </w:tcPr>
          <w:p w14:paraId="28A9B018" w14:textId="77777777" w:rsidR="00E36DCD" w:rsidRPr="00417AF0" w:rsidRDefault="00000000">
            <w:pPr>
              <w:spacing w:after="20" w:line="240" w:lineRule="auto"/>
              <w:jc w:val="left"/>
            </w:pPr>
            <w:r w:rsidRPr="00417AF0">
              <w:rPr>
                <w:b/>
                <w:sz w:val="15"/>
              </w:rPr>
              <w:t>Corpus / coverage</w:t>
            </w:r>
          </w:p>
        </w:tc>
        <w:tc>
          <w:tcPr>
            <w:tcW w:w="1440" w:type="dxa"/>
            <w:shd w:val="clear" w:color="auto" w:fill="D9E2F3"/>
            <w:tcMar>
              <w:top w:w="80" w:type="dxa"/>
              <w:left w:w="80" w:type="dxa"/>
              <w:bottom w:w="80" w:type="dxa"/>
              <w:right w:w="80" w:type="dxa"/>
            </w:tcMar>
            <w:vAlign w:val="center"/>
          </w:tcPr>
          <w:p w14:paraId="10D5573F" w14:textId="77777777" w:rsidR="00E36DCD" w:rsidRPr="00417AF0" w:rsidRDefault="00000000">
            <w:pPr>
              <w:spacing w:after="20" w:line="240" w:lineRule="auto"/>
              <w:jc w:val="left"/>
            </w:pPr>
            <w:r w:rsidRPr="00417AF0">
              <w:rPr>
                <w:b/>
                <w:sz w:val="15"/>
              </w:rPr>
              <w:t>Mapping approach</w:t>
            </w:r>
          </w:p>
        </w:tc>
        <w:tc>
          <w:tcPr>
            <w:tcW w:w="1440" w:type="dxa"/>
            <w:shd w:val="clear" w:color="auto" w:fill="D9E2F3"/>
            <w:tcMar>
              <w:top w:w="80" w:type="dxa"/>
              <w:left w:w="80" w:type="dxa"/>
              <w:bottom w:w="80" w:type="dxa"/>
              <w:right w:w="80" w:type="dxa"/>
            </w:tcMar>
            <w:vAlign w:val="center"/>
          </w:tcPr>
          <w:p w14:paraId="6380CD26" w14:textId="77777777" w:rsidR="00E36DCD" w:rsidRPr="00417AF0" w:rsidRDefault="00000000">
            <w:pPr>
              <w:spacing w:after="20" w:line="240" w:lineRule="auto"/>
              <w:jc w:val="left"/>
            </w:pPr>
            <w:r w:rsidRPr="00417AF0">
              <w:rPr>
                <w:b/>
                <w:sz w:val="15"/>
              </w:rPr>
              <w:t>Principal structural finding</w:t>
            </w:r>
          </w:p>
        </w:tc>
        <w:tc>
          <w:tcPr>
            <w:tcW w:w="1440" w:type="dxa"/>
            <w:shd w:val="clear" w:color="auto" w:fill="D9E2F3"/>
            <w:tcMar>
              <w:top w:w="80" w:type="dxa"/>
              <w:left w:w="80" w:type="dxa"/>
              <w:bottom w:w="80" w:type="dxa"/>
              <w:right w:w="80" w:type="dxa"/>
            </w:tcMar>
            <w:vAlign w:val="center"/>
          </w:tcPr>
          <w:p w14:paraId="5F4B0CA9" w14:textId="77777777" w:rsidR="00E36DCD" w:rsidRPr="00417AF0" w:rsidRDefault="00000000">
            <w:pPr>
              <w:spacing w:after="20" w:line="240" w:lineRule="auto"/>
              <w:jc w:val="left"/>
            </w:pPr>
            <w:r w:rsidRPr="00417AF0">
              <w:rPr>
                <w:b/>
                <w:sz w:val="15"/>
              </w:rPr>
              <w:t>Critical limitation</w:t>
            </w:r>
          </w:p>
        </w:tc>
        <w:tc>
          <w:tcPr>
            <w:tcW w:w="1440" w:type="dxa"/>
            <w:shd w:val="clear" w:color="auto" w:fill="D9E2F3"/>
            <w:tcMar>
              <w:top w:w="80" w:type="dxa"/>
              <w:left w:w="80" w:type="dxa"/>
              <w:bottom w:w="80" w:type="dxa"/>
              <w:right w:w="80" w:type="dxa"/>
            </w:tcMar>
            <w:vAlign w:val="center"/>
          </w:tcPr>
          <w:p w14:paraId="5D3191C6" w14:textId="77777777" w:rsidR="00E36DCD" w:rsidRPr="00417AF0" w:rsidRDefault="00000000">
            <w:pPr>
              <w:spacing w:after="20" w:line="240" w:lineRule="auto"/>
              <w:jc w:val="left"/>
            </w:pPr>
            <w:r w:rsidRPr="00417AF0">
              <w:rPr>
                <w:b/>
                <w:sz w:val="15"/>
              </w:rPr>
              <w:t>Supporting references</w:t>
            </w:r>
          </w:p>
        </w:tc>
      </w:tr>
      <w:tr w:rsidR="00417AF0" w:rsidRPr="00417AF0" w14:paraId="29370843" w14:textId="77777777">
        <w:trPr>
          <w:cantSplit/>
          <w:jc w:val="center"/>
        </w:trPr>
        <w:tc>
          <w:tcPr>
            <w:tcW w:w="1440" w:type="dxa"/>
            <w:tcMar>
              <w:top w:w="80" w:type="dxa"/>
              <w:left w:w="80" w:type="dxa"/>
              <w:bottom w:w="80" w:type="dxa"/>
              <w:right w:w="80" w:type="dxa"/>
            </w:tcMar>
            <w:vAlign w:val="center"/>
          </w:tcPr>
          <w:p w14:paraId="3F29C085" w14:textId="77777777" w:rsidR="00E36DCD" w:rsidRPr="00417AF0" w:rsidRDefault="00000000">
            <w:pPr>
              <w:spacing w:after="20" w:line="240" w:lineRule="auto"/>
              <w:jc w:val="left"/>
            </w:pPr>
            <w:r w:rsidRPr="00417AF0">
              <w:rPr>
                <w:sz w:val="15"/>
              </w:rPr>
              <w:t>Cicea &amp; Marinescu (2021)</w:t>
            </w:r>
          </w:p>
        </w:tc>
        <w:tc>
          <w:tcPr>
            <w:tcW w:w="1440" w:type="dxa"/>
            <w:tcMar>
              <w:top w:w="80" w:type="dxa"/>
              <w:left w:w="80" w:type="dxa"/>
              <w:bottom w:w="80" w:type="dxa"/>
              <w:right w:w="80" w:type="dxa"/>
            </w:tcMar>
            <w:vAlign w:val="center"/>
          </w:tcPr>
          <w:p w14:paraId="3FCB80E3" w14:textId="77777777" w:rsidR="00E36DCD" w:rsidRPr="00417AF0" w:rsidRDefault="00000000">
            <w:pPr>
              <w:spacing w:after="20" w:line="240" w:lineRule="auto"/>
              <w:jc w:val="left"/>
            </w:pPr>
            <w:r w:rsidRPr="00417AF0">
              <w:rPr>
                <w:sz w:val="15"/>
              </w:rPr>
              <w:t>2,281 Scopus documents on FDI and economic growth.</w:t>
            </w:r>
          </w:p>
        </w:tc>
        <w:tc>
          <w:tcPr>
            <w:tcW w:w="1440" w:type="dxa"/>
            <w:tcMar>
              <w:top w:w="80" w:type="dxa"/>
              <w:left w:w="80" w:type="dxa"/>
              <w:bottom w:w="80" w:type="dxa"/>
              <w:right w:w="80" w:type="dxa"/>
            </w:tcMar>
            <w:vAlign w:val="center"/>
          </w:tcPr>
          <w:p w14:paraId="7D1C64BF" w14:textId="77777777" w:rsidR="00E36DCD" w:rsidRPr="00417AF0" w:rsidRDefault="00000000">
            <w:pPr>
              <w:spacing w:after="20" w:line="240" w:lineRule="auto"/>
              <w:jc w:val="left"/>
            </w:pPr>
            <w:r w:rsidRPr="00417AF0">
              <w:rPr>
                <w:sz w:val="15"/>
              </w:rPr>
              <w:t>VOSviewer, CiteSpace and text mining.</w:t>
            </w:r>
          </w:p>
        </w:tc>
        <w:tc>
          <w:tcPr>
            <w:tcW w:w="1440" w:type="dxa"/>
            <w:tcMar>
              <w:top w:w="80" w:type="dxa"/>
              <w:left w:w="80" w:type="dxa"/>
              <w:bottom w:w="80" w:type="dxa"/>
              <w:right w:w="80" w:type="dxa"/>
            </w:tcMar>
            <w:vAlign w:val="center"/>
          </w:tcPr>
          <w:p w14:paraId="4551DCE3" w14:textId="77777777" w:rsidR="00E36DCD" w:rsidRPr="00417AF0" w:rsidRDefault="00000000">
            <w:pPr>
              <w:spacing w:after="20" w:line="240" w:lineRule="auto"/>
              <w:jc w:val="left"/>
            </w:pPr>
            <w:r w:rsidRPr="00417AF0">
              <w:rPr>
                <w:sz w:val="15"/>
              </w:rPr>
              <w:t>Strong FDI–growth cluster; attention shifted towards ecology and environmental protection.</w:t>
            </w:r>
          </w:p>
        </w:tc>
        <w:tc>
          <w:tcPr>
            <w:tcW w:w="1440" w:type="dxa"/>
            <w:tcMar>
              <w:top w:w="80" w:type="dxa"/>
              <w:left w:w="80" w:type="dxa"/>
              <w:bottom w:w="80" w:type="dxa"/>
              <w:right w:w="80" w:type="dxa"/>
            </w:tcMar>
            <w:vAlign w:val="center"/>
          </w:tcPr>
          <w:p w14:paraId="7093C0B6" w14:textId="77777777" w:rsidR="00E36DCD" w:rsidRPr="00417AF0" w:rsidRDefault="00000000">
            <w:pPr>
              <w:spacing w:after="20" w:line="240" w:lineRule="auto"/>
              <w:jc w:val="left"/>
            </w:pPr>
            <w:r w:rsidRPr="00417AF0">
              <w:rPr>
                <w:sz w:val="15"/>
              </w:rPr>
              <w:t>Single-database coverage and broad corpus definition affect rankings.</w:t>
            </w:r>
          </w:p>
        </w:tc>
        <w:tc>
          <w:tcPr>
            <w:tcW w:w="1440" w:type="dxa"/>
            <w:tcMar>
              <w:top w:w="80" w:type="dxa"/>
              <w:left w:w="80" w:type="dxa"/>
              <w:bottom w:w="80" w:type="dxa"/>
              <w:right w:w="80" w:type="dxa"/>
            </w:tcMar>
            <w:vAlign w:val="center"/>
          </w:tcPr>
          <w:p w14:paraId="6F54F48F" w14:textId="77777777" w:rsidR="00E36DCD" w:rsidRPr="00417AF0" w:rsidRDefault="00000000">
            <w:pPr>
              <w:spacing w:after="20" w:line="240" w:lineRule="auto"/>
              <w:jc w:val="left"/>
            </w:pPr>
            <w:r w:rsidRPr="00417AF0">
              <w:rPr>
                <w:sz w:val="15"/>
              </w:rPr>
              <w:t>Cicea &amp; Marinescu (2021)</w:t>
            </w:r>
          </w:p>
        </w:tc>
      </w:tr>
      <w:tr w:rsidR="00417AF0" w:rsidRPr="00417AF0" w14:paraId="538E49E9" w14:textId="77777777">
        <w:trPr>
          <w:cantSplit/>
          <w:jc w:val="center"/>
        </w:trPr>
        <w:tc>
          <w:tcPr>
            <w:tcW w:w="1440" w:type="dxa"/>
            <w:tcMar>
              <w:top w:w="80" w:type="dxa"/>
              <w:left w:w="80" w:type="dxa"/>
              <w:bottom w:w="80" w:type="dxa"/>
              <w:right w:w="80" w:type="dxa"/>
            </w:tcMar>
            <w:vAlign w:val="center"/>
          </w:tcPr>
          <w:p w14:paraId="3F44C4FC" w14:textId="77777777" w:rsidR="00E36DCD" w:rsidRPr="00417AF0" w:rsidRDefault="00000000">
            <w:pPr>
              <w:spacing w:after="20" w:line="240" w:lineRule="auto"/>
              <w:jc w:val="left"/>
            </w:pPr>
            <w:r w:rsidRPr="00417AF0">
              <w:rPr>
                <w:sz w:val="15"/>
              </w:rPr>
              <w:t>Wang et al. (2022)</w:t>
            </w:r>
          </w:p>
        </w:tc>
        <w:tc>
          <w:tcPr>
            <w:tcW w:w="1440" w:type="dxa"/>
            <w:tcMar>
              <w:top w:w="80" w:type="dxa"/>
              <w:left w:w="80" w:type="dxa"/>
              <w:bottom w:w="80" w:type="dxa"/>
              <w:right w:w="80" w:type="dxa"/>
            </w:tcMar>
            <w:vAlign w:val="center"/>
          </w:tcPr>
          <w:p w14:paraId="4C45DECC" w14:textId="77777777" w:rsidR="00E36DCD" w:rsidRPr="00417AF0" w:rsidRDefault="00000000">
            <w:pPr>
              <w:spacing w:after="20" w:line="240" w:lineRule="auto"/>
              <w:jc w:val="left"/>
            </w:pPr>
            <w:r w:rsidRPr="00417AF0">
              <w:rPr>
                <w:sz w:val="15"/>
              </w:rPr>
              <w:t>1,075 Web of Science documents; directly defined stream from 1992 to 2021.</w:t>
            </w:r>
          </w:p>
        </w:tc>
        <w:tc>
          <w:tcPr>
            <w:tcW w:w="1440" w:type="dxa"/>
            <w:tcMar>
              <w:top w:w="80" w:type="dxa"/>
              <w:left w:w="80" w:type="dxa"/>
              <w:bottom w:w="80" w:type="dxa"/>
              <w:right w:w="80" w:type="dxa"/>
            </w:tcMar>
            <w:vAlign w:val="center"/>
          </w:tcPr>
          <w:p w14:paraId="2F811D7D" w14:textId="77777777" w:rsidR="00E36DCD" w:rsidRPr="00417AF0" w:rsidRDefault="00000000">
            <w:pPr>
              <w:spacing w:after="20" w:line="240" w:lineRule="auto"/>
              <w:jc w:val="left"/>
            </w:pPr>
            <w:r w:rsidRPr="00417AF0">
              <w:rPr>
                <w:sz w:val="15"/>
              </w:rPr>
              <w:t>Bibliometrix; co-authorship; citation/co-citation; thematic evolution.</w:t>
            </w:r>
          </w:p>
        </w:tc>
        <w:tc>
          <w:tcPr>
            <w:tcW w:w="1440" w:type="dxa"/>
            <w:tcMar>
              <w:top w:w="80" w:type="dxa"/>
              <w:left w:w="80" w:type="dxa"/>
              <w:bottom w:w="80" w:type="dxa"/>
              <w:right w:w="80" w:type="dxa"/>
            </w:tcMar>
            <w:vAlign w:val="center"/>
          </w:tcPr>
          <w:p w14:paraId="07551509" w14:textId="77777777" w:rsidR="00E36DCD" w:rsidRPr="00417AF0" w:rsidRDefault="00000000">
            <w:pPr>
              <w:spacing w:after="20" w:line="240" w:lineRule="auto"/>
              <w:jc w:val="left"/>
            </w:pPr>
            <w:r w:rsidRPr="00417AF0">
              <w:rPr>
                <w:sz w:val="15"/>
              </w:rPr>
              <w:t>Technology, firm performance, modelling and theory were prominent; USA highly cited and China highly productive.</w:t>
            </w:r>
          </w:p>
        </w:tc>
        <w:tc>
          <w:tcPr>
            <w:tcW w:w="1440" w:type="dxa"/>
            <w:tcMar>
              <w:top w:w="80" w:type="dxa"/>
              <w:left w:w="80" w:type="dxa"/>
              <w:bottom w:w="80" w:type="dxa"/>
              <w:right w:w="80" w:type="dxa"/>
            </w:tcMar>
            <w:vAlign w:val="center"/>
          </w:tcPr>
          <w:p w14:paraId="6614BED4" w14:textId="77777777" w:rsidR="00E36DCD" w:rsidRPr="00417AF0" w:rsidRDefault="00000000">
            <w:pPr>
              <w:spacing w:after="20" w:line="240" w:lineRule="auto"/>
              <w:jc w:val="left"/>
            </w:pPr>
            <w:r w:rsidRPr="00417AF0">
              <w:rPr>
                <w:sz w:val="15"/>
              </w:rPr>
              <w:t>Restrictive searching improves precision but can omit variant terminology.</w:t>
            </w:r>
          </w:p>
        </w:tc>
        <w:tc>
          <w:tcPr>
            <w:tcW w:w="1440" w:type="dxa"/>
            <w:tcMar>
              <w:top w:w="80" w:type="dxa"/>
              <w:left w:w="80" w:type="dxa"/>
              <w:bottom w:w="80" w:type="dxa"/>
              <w:right w:w="80" w:type="dxa"/>
            </w:tcMar>
            <w:vAlign w:val="center"/>
          </w:tcPr>
          <w:p w14:paraId="44E9AC93" w14:textId="77777777" w:rsidR="00E36DCD" w:rsidRPr="00417AF0" w:rsidRDefault="00000000">
            <w:pPr>
              <w:spacing w:after="20" w:line="240" w:lineRule="auto"/>
              <w:jc w:val="left"/>
            </w:pPr>
            <w:r w:rsidRPr="00417AF0">
              <w:rPr>
                <w:sz w:val="15"/>
              </w:rPr>
              <w:t>Wang et al. (2022)</w:t>
            </w:r>
          </w:p>
        </w:tc>
      </w:tr>
      <w:tr w:rsidR="00417AF0" w:rsidRPr="00417AF0" w14:paraId="0A97AF69" w14:textId="77777777">
        <w:trPr>
          <w:cantSplit/>
          <w:jc w:val="center"/>
        </w:trPr>
        <w:tc>
          <w:tcPr>
            <w:tcW w:w="1440" w:type="dxa"/>
            <w:tcMar>
              <w:top w:w="80" w:type="dxa"/>
              <w:left w:w="80" w:type="dxa"/>
              <w:bottom w:w="80" w:type="dxa"/>
              <w:right w:w="80" w:type="dxa"/>
            </w:tcMar>
            <w:vAlign w:val="center"/>
          </w:tcPr>
          <w:p w14:paraId="14B64690" w14:textId="77777777" w:rsidR="00E36DCD" w:rsidRPr="00417AF0" w:rsidRDefault="00000000">
            <w:pPr>
              <w:spacing w:after="20" w:line="240" w:lineRule="auto"/>
              <w:jc w:val="left"/>
            </w:pPr>
            <w:r w:rsidRPr="00417AF0">
              <w:rPr>
                <w:sz w:val="15"/>
              </w:rPr>
              <w:t>da Silva-Oliveira et al. (2021)</w:t>
            </w:r>
          </w:p>
        </w:tc>
        <w:tc>
          <w:tcPr>
            <w:tcW w:w="1440" w:type="dxa"/>
            <w:tcMar>
              <w:top w:w="80" w:type="dxa"/>
              <w:left w:w="80" w:type="dxa"/>
              <w:bottom w:w="80" w:type="dxa"/>
              <w:right w:w="80" w:type="dxa"/>
            </w:tcMar>
            <w:vAlign w:val="center"/>
          </w:tcPr>
          <w:p w14:paraId="2FBDD0C4" w14:textId="77777777" w:rsidR="00E36DCD" w:rsidRPr="00417AF0" w:rsidRDefault="00000000">
            <w:pPr>
              <w:spacing w:after="20" w:line="240" w:lineRule="auto"/>
              <w:jc w:val="left"/>
            </w:pPr>
            <w:r w:rsidRPr="00417AF0">
              <w:rPr>
                <w:sz w:val="15"/>
              </w:rPr>
              <w:t>806 emerging-economy inward/outward FDI articles, 1994–2019.</w:t>
            </w:r>
          </w:p>
        </w:tc>
        <w:tc>
          <w:tcPr>
            <w:tcW w:w="1440" w:type="dxa"/>
            <w:tcMar>
              <w:top w:w="80" w:type="dxa"/>
              <w:left w:w="80" w:type="dxa"/>
              <w:bottom w:w="80" w:type="dxa"/>
              <w:right w:w="80" w:type="dxa"/>
            </w:tcMar>
            <w:vAlign w:val="center"/>
          </w:tcPr>
          <w:p w14:paraId="1FFEA980" w14:textId="77777777" w:rsidR="00E36DCD" w:rsidRPr="00417AF0" w:rsidRDefault="00000000">
            <w:pPr>
              <w:spacing w:after="20" w:line="240" w:lineRule="auto"/>
              <w:jc w:val="left"/>
            </w:pPr>
            <w:r w:rsidRPr="00417AF0">
              <w:rPr>
                <w:sz w:val="15"/>
              </w:rPr>
              <w:t>Performance and thematic content analysis.</w:t>
            </w:r>
          </w:p>
        </w:tc>
        <w:tc>
          <w:tcPr>
            <w:tcW w:w="1440" w:type="dxa"/>
            <w:tcMar>
              <w:top w:w="80" w:type="dxa"/>
              <w:left w:w="80" w:type="dxa"/>
              <w:bottom w:w="80" w:type="dxa"/>
              <w:right w:w="80" w:type="dxa"/>
            </w:tcMar>
            <w:vAlign w:val="center"/>
          </w:tcPr>
          <w:p w14:paraId="07B9531E" w14:textId="77777777" w:rsidR="00E36DCD" w:rsidRPr="00417AF0" w:rsidRDefault="00000000">
            <w:pPr>
              <w:spacing w:after="20" w:line="240" w:lineRule="auto"/>
              <w:jc w:val="left"/>
            </w:pPr>
            <w:r w:rsidRPr="00417AF0">
              <w:rPr>
                <w:sz w:val="15"/>
              </w:rPr>
              <w:t>Themes included innovative FDI, capital flows, institutions, theory and location choice.</w:t>
            </w:r>
          </w:p>
        </w:tc>
        <w:tc>
          <w:tcPr>
            <w:tcW w:w="1440" w:type="dxa"/>
            <w:tcMar>
              <w:top w:w="80" w:type="dxa"/>
              <w:left w:w="80" w:type="dxa"/>
              <w:bottom w:w="80" w:type="dxa"/>
              <w:right w:w="80" w:type="dxa"/>
            </w:tcMar>
            <w:vAlign w:val="center"/>
          </w:tcPr>
          <w:p w14:paraId="6BB6618A" w14:textId="77777777" w:rsidR="00E36DCD" w:rsidRPr="00417AF0" w:rsidRDefault="00000000">
            <w:pPr>
              <w:spacing w:after="20" w:line="240" w:lineRule="auto"/>
              <w:jc w:val="left"/>
            </w:pPr>
            <w:r w:rsidRPr="00417AF0">
              <w:rPr>
                <w:sz w:val="15"/>
              </w:rPr>
              <w:t>Broader FDI scope; growth is not the exclusive outcome.</w:t>
            </w:r>
          </w:p>
        </w:tc>
        <w:tc>
          <w:tcPr>
            <w:tcW w:w="1440" w:type="dxa"/>
            <w:tcMar>
              <w:top w:w="80" w:type="dxa"/>
              <w:left w:w="80" w:type="dxa"/>
              <w:bottom w:w="80" w:type="dxa"/>
              <w:right w:w="80" w:type="dxa"/>
            </w:tcMar>
            <w:vAlign w:val="center"/>
          </w:tcPr>
          <w:p w14:paraId="4EC8DB73" w14:textId="77777777" w:rsidR="00E36DCD" w:rsidRPr="00417AF0" w:rsidRDefault="00000000">
            <w:pPr>
              <w:spacing w:after="20" w:line="240" w:lineRule="auto"/>
              <w:jc w:val="left"/>
            </w:pPr>
            <w:r w:rsidRPr="00417AF0">
              <w:rPr>
                <w:sz w:val="15"/>
              </w:rPr>
              <w:t>da Silva-Oliveira et al. (2021)</w:t>
            </w:r>
          </w:p>
        </w:tc>
      </w:tr>
      <w:tr w:rsidR="00417AF0" w:rsidRPr="00417AF0" w14:paraId="609F8CA9" w14:textId="77777777">
        <w:trPr>
          <w:cantSplit/>
          <w:jc w:val="center"/>
        </w:trPr>
        <w:tc>
          <w:tcPr>
            <w:tcW w:w="1440" w:type="dxa"/>
            <w:tcMar>
              <w:top w:w="80" w:type="dxa"/>
              <w:left w:w="80" w:type="dxa"/>
              <w:bottom w:w="80" w:type="dxa"/>
              <w:right w:w="80" w:type="dxa"/>
            </w:tcMar>
            <w:vAlign w:val="center"/>
          </w:tcPr>
          <w:p w14:paraId="78310072" w14:textId="77777777" w:rsidR="00E36DCD" w:rsidRPr="00417AF0" w:rsidRDefault="00000000">
            <w:pPr>
              <w:spacing w:after="20" w:line="240" w:lineRule="auto"/>
              <w:jc w:val="left"/>
            </w:pPr>
            <w:r w:rsidRPr="00417AF0">
              <w:rPr>
                <w:sz w:val="15"/>
              </w:rPr>
              <w:t>Paul &amp; Feliciano-Cestero (2021)</w:t>
            </w:r>
          </w:p>
        </w:tc>
        <w:tc>
          <w:tcPr>
            <w:tcW w:w="1440" w:type="dxa"/>
            <w:tcMar>
              <w:top w:w="80" w:type="dxa"/>
              <w:left w:w="80" w:type="dxa"/>
              <w:bottom w:w="80" w:type="dxa"/>
              <w:right w:w="80" w:type="dxa"/>
            </w:tcMar>
            <w:vAlign w:val="center"/>
          </w:tcPr>
          <w:p w14:paraId="0AEB0330" w14:textId="77777777" w:rsidR="00E36DCD" w:rsidRPr="00417AF0" w:rsidRDefault="00000000">
            <w:pPr>
              <w:spacing w:after="20" w:line="240" w:lineRule="auto"/>
              <w:jc w:val="left"/>
            </w:pPr>
            <w:r w:rsidRPr="00417AF0">
              <w:rPr>
                <w:sz w:val="15"/>
              </w:rPr>
              <w:t>500 FDI articles across five decades.</w:t>
            </w:r>
          </w:p>
        </w:tc>
        <w:tc>
          <w:tcPr>
            <w:tcW w:w="1440" w:type="dxa"/>
            <w:tcMar>
              <w:top w:w="80" w:type="dxa"/>
              <w:left w:w="80" w:type="dxa"/>
              <w:bottom w:w="80" w:type="dxa"/>
              <w:right w:w="80" w:type="dxa"/>
            </w:tcMar>
            <w:vAlign w:val="center"/>
          </w:tcPr>
          <w:p w14:paraId="74E5FFF5" w14:textId="77777777" w:rsidR="00E36DCD" w:rsidRPr="00417AF0" w:rsidRDefault="00000000">
            <w:pPr>
              <w:spacing w:after="20" w:line="240" w:lineRule="auto"/>
              <w:jc w:val="left"/>
            </w:pPr>
            <w:r w:rsidRPr="00417AF0">
              <w:rPr>
                <w:sz w:val="15"/>
              </w:rPr>
              <w:t>Structured theoretical and empirical review.</w:t>
            </w:r>
          </w:p>
        </w:tc>
        <w:tc>
          <w:tcPr>
            <w:tcW w:w="1440" w:type="dxa"/>
            <w:tcMar>
              <w:top w:w="80" w:type="dxa"/>
              <w:left w:w="80" w:type="dxa"/>
              <w:bottom w:w="80" w:type="dxa"/>
              <w:right w:w="80" w:type="dxa"/>
            </w:tcMar>
            <w:vAlign w:val="center"/>
          </w:tcPr>
          <w:p w14:paraId="36994AB2" w14:textId="77777777" w:rsidR="00E36DCD" w:rsidRPr="00417AF0" w:rsidRDefault="00000000">
            <w:pPr>
              <w:spacing w:after="20" w:line="240" w:lineRule="auto"/>
              <w:jc w:val="left"/>
            </w:pPr>
            <w:r w:rsidRPr="00417AF0">
              <w:rPr>
                <w:sz w:val="15"/>
              </w:rPr>
              <w:t>Mapped FDI theories, methods and contexts beyond macro growth studies.</w:t>
            </w:r>
          </w:p>
        </w:tc>
        <w:tc>
          <w:tcPr>
            <w:tcW w:w="1440" w:type="dxa"/>
            <w:tcMar>
              <w:top w:w="80" w:type="dxa"/>
              <w:left w:w="80" w:type="dxa"/>
              <w:bottom w:w="80" w:type="dxa"/>
              <w:right w:w="80" w:type="dxa"/>
            </w:tcMar>
            <w:vAlign w:val="center"/>
          </w:tcPr>
          <w:p w14:paraId="31D36FB3" w14:textId="77777777" w:rsidR="00E36DCD" w:rsidRPr="00417AF0" w:rsidRDefault="00000000">
            <w:pPr>
              <w:spacing w:after="20" w:line="240" w:lineRule="auto"/>
              <w:jc w:val="left"/>
            </w:pPr>
            <w:r w:rsidRPr="00417AF0">
              <w:rPr>
                <w:sz w:val="15"/>
              </w:rPr>
              <w:t>Not a network-based census; selection differs from science mapping.</w:t>
            </w:r>
          </w:p>
        </w:tc>
        <w:tc>
          <w:tcPr>
            <w:tcW w:w="1440" w:type="dxa"/>
            <w:tcMar>
              <w:top w:w="80" w:type="dxa"/>
              <w:left w:w="80" w:type="dxa"/>
              <w:bottom w:w="80" w:type="dxa"/>
              <w:right w:w="80" w:type="dxa"/>
            </w:tcMar>
            <w:vAlign w:val="center"/>
          </w:tcPr>
          <w:p w14:paraId="1770E21F" w14:textId="77777777" w:rsidR="00E36DCD" w:rsidRPr="00417AF0" w:rsidRDefault="00000000">
            <w:pPr>
              <w:spacing w:after="20" w:line="240" w:lineRule="auto"/>
              <w:jc w:val="left"/>
            </w:pPr>
            <w:r w:rsidRPr="00417AF0">
              <w:rPr>
                <w:sz w:val="15"/>
              </w:rPr>
              <w:t>Paul &amp; Feliciano-Cestero (2021)</w:t>
            </w:r>
          </w:p>
        </w:tc>
      </w:tr>
      <w:tr w:rsidR="00417AF0" w:rsidRPr="00417AF0" w14:paraId="121CA14E" w14:textId="77777777">
        <w:trPr>
          <w:cantSplit/>
          <w:jc w:val="center"/>
        </w:trPr>
        <w:tc>
          <w:tcPr>
            <w:tcW w:w="1440" w:type="dxa"/>
            <w:tcMar>
              <w:top w:w="80" w:type="dxa"/>
              <w:left w:w="80" w:type="dxa"/>
              <w:bottom w:w="80" w:type="dxa"/>
              <w:right w:w="80" w:type="dxa"/>
            </w:tcMar>
            <w:vAlign w:val="center"/>
          </w:tcPr>
          <w:p w14:paraId="63E42195" w14:textId="77777777" w:rsidR="00E36DCD" w:rsidRPr="00417AF0" w:rsidRDefault="00000000">
            <w:pPr>
              <w:spacing w:after="20" w:line="240" w:lineRule="auto"/>
              <w:jc w:val="left"/>
            </w:pPr>
            <w:r w:rsidRPr="00417AF0">
              <w:rPr>
                <w:sz w:val="15"/>
              </w:rPr>
              <w:t>Rodríguez-Chávez et al. (2024)</w:t>
            </w:r>
          </w:p>
        </w:tc>
        <w:tc>
          <w:tcPr>
            <w:tcW w:w="1440" w:type="dxa"/>
            <w:tcMar>
              <w:top w:w="80" w:type="dxa"/>
              <w:left w:w="80" w:type="dxa"/>
              <w:bottom w:w="80" w:type="dxa"/>
              <w:right w:w="80" w:type="dxa"/>
            </w:tcMar>
            <w:vAlign w:val="center"/>
          </w:tcPr>
          <w:p w14:paraId="41E94A70" w14:textId="77777777" w:rsidR="00E36DCD" w:rsidRPr="00417AF0" w:rsidRDefault="00000000">
            <w:pPr>
              <w:spacing w:after="20" w:line="240" w:lineRule="auto"/>
              <w:jc w:val="left"/>
            </w:pPr>
            <w:r w:rsidRPr="00417AF0">
              <w:rPr>
                <w:sz w:val="15"/>
              </w:rPr>
              <w:t>Asian FDI/sustainable-development literature; systematic review of 48 studies.</w:t>
            </w:r>
          </w:p>
        </w:tc>
        <w:tc>
          <w:tcPr>
            <w:tcW w:w="1440" w:type="dxa"/>
            <w:tcMar>
              <w:top w:w="80" w:type="dxa"/>
              <w:left w:w="80" w:type="dxa"/>
              <w:bottom w:w="80" w:type="dxa"/>
              <w:right w:w="80" w:type="dxa"/>
            </w:tcMar>
            <w:vAlign w:val="center"/>
          </w:tcPr>
          <w:p w14:paraId="2DD98773" w14:textId="77777777" w:rsidR="00E36DCD" w:rsidRPr="00417AF0" w:rsidRDefault="00000000">
            <w:pPr>
              <w:spacing w:after="20" w:line="240" w:lineRule="auto"/>
              <w:jc w:val="left"/>
            </w:pPr>
            <w:r w:rsidRPr="00417AF0">
              <w:rPr>
                <w:sz w:val="15"/>
              </w:rPr>
              <w:t>Bibliometric analysis plus systematic review.</w:t>
            </w:r>
          </w:p>
        </w:tc>
        <w:tc>
          <w:tcPr>
            <w:tcW w:w="1440" w:type="dxa"/>
            <w:tcMar>
              <w:top w:w="80" w:type="dxa"/>
              <w:left w:w="80" w:type="dxa"/>
              <w:bottom w:w="80" w:type="dxa"/>
              <w:right w:w="80" w:type="dxa"/>
            </w:tcMar>
            <w:vAlign w:val="center"/>
          </w:tcPr>
          <w:p w14:paraId="0D2E1BAD" w14:textId="77777777" w:rsidR="00E36DCD" w:rsidRPr="00417AF0" w:rsidRDefault="00000000">
            <w:pPr>
              <w:spacing w:after="20" w:line="240" w:lineRule="auto"/>
              <w:jc w:val="left"/>
            </w:pPr>
            <w:r w:rsidRPr="00417AF0">
              <w:rPr>
                <w:sz w:val="15"/>
              </w:rPr>
              <w:t>Economic and environmental dimensions dominate; social outcomes are less developed.</w:t>
            </w:r>
          </w:p>
        </w:tc>
        <w:tc>
          <w:tcPr>
            <w:tcW w:w="1440" w:type="dxa"/>
            <w:tcMar>
              <w:top w:w="80" w:type="dxa"/>
              <w:left w:w="80" w:type="dxa"/>
              <w:bottom w:w="80" w:type="dxa"/>
              <w:right w:w="80" w:type="dxa"/>
            </w:tcMar>
            <w:vAlign w:val="center"/>
          </w:tcPr>
          <w:p w14:paraId="3CE8679B" w14:textId="77777777" w:rsidR="00E36DCD" w:rsidRPr="00417AF0" w:rsidRDefault="00000000">
            <w:pPr>
              <w:spacing w:after="20" w:line="240" w:lineRule="auto"/>
              <w:jc w:val="left"/>
            </w:pPr>
            <w:r w:rsidRPr="00417AF0">
              <w:rPr>
                <w:sz w:val="15"/>
              </w:rPr>
              <w:t>Regional sustainability scope limits direct comparison with global FDI–growth maps.</w:t>
            </w:r>
          </w:p>
        </w:tc>
        <w:tc>
          <w:tcPr>
            <w:tcW w:w="1440" w:type="dxa"/>
            <w:tcMar>
              <w:top w:w="80" w:type="dxa"/>
              <w:left w:w="80" w:type="dxa"/>
              <w:bottom w:w="80" w:type="dxa"/>
              <w:right w:w="80" w:type="dxa"/>
            </w:tcMar>
            <w:vAlign w:val="center"/>
          </w:tcPr>
          <w:p w14:paraId="3ADB8225" w14:textId="77777777" w:rsidR="00E36DCD" w:rsidRPr="00417AF0" w:rsidRDefault="00000000">
            <w:pPr>
              <w:spacing w:after="20" w:line="240" w:lineRule="auto"/>
              <w:jc w:val="left"/>
            </w:pPr>
            <w:r w:rsidRPr="00417AF0">
              <w:rPr>
                <w:sz w:val="15"/>
              </w:rPr>
              <w:t>Rodríguez-Chávez et al. (2024)</w:t>
            </w:r>
          </w:p>
        </w:tc>
      </w:tr>
      <w:tr w:rsidR="00417AF0" w:rsidRPr="00417AF0" w14:paraId="421A931B" w14:textId="77777777">
        <w:trPr>
          <w:cantSplit/>
          <w:jc w:val="center"/>
        </w:trPr>
        <w:tc>
          <w:tcPr>
            <w:tcW w:w="1440" w:type="dxa"/>
            <w:tcMar>
              <w:top w:w="80" w:type="dxa"/>
              <w:left w:w="80" w:type="dxa"/>
              <w:bottom w:w="80" w:type="dxa"/>
              <w:right w:w="80" w:type="dxa"/>
            </w:tcMar>
            <w:vAlign w:val="center"/>
          </w:tcPr>
          <w:p w14:paraId="6F64FB55" w14:textId="77777777" w:rsidR="00E36DCD" w:rsidRPr="00417AF0" w:rsidRDefault="00000000">
            <w:pPr>
              <w:spacing w:after="20" w:line="240" w:lineRule="auto"/>
              <w:jc w:val="left"/>
            </w:pPr>
            <w:r w:rsidRPr="00417AF0">
              <w:rPr>
                <w:sz w:val="15"/>
              </w:rPr>
              <w:t>Farzam &amp; Dhume-Shinkre (2026)</w:t>
            </w:r>
          </w:p>
        </w:tc>
        <w:tc>
          <w:tcPr>
            <w:tcW w:w="1440" w:type="dxa"/>
            <w:tcMar>
              <w:top w:w="80" w:type="dxa"/>
              <w:left w:w="80" w:type="dxa"/>
              <w:bottom w:w="80" w:type="dxa"/>
              <w:right w:w="80" w:type="dxa"/>
            </w:tcMar>
            <w:vAlign w:val="center"/>
          </w:tcPr>
          <w:p w14:paraId="100AEF75" w14:textId="77777777" w:rsidR="00E36DCD" w:rsidRPr="00417AF0" w:rsidRDefault="00000000">
            <w:pPr>
              <w:spacing w:after="20" w:line="240" w:lineRule="auto"/>
              <w:jc w:val="left"/>
            </w:pPr>
            <w:r w:rsidRPr="00417AF0">
              <w:rPr>
                <w:sz w:val="15"/>
              </w:rPr>
              <w:t>124 peer-reviewed studies on geopolitical risk and FDI.</w:t>
            </w:r>
          </w:p>
        </w:tc>
        <w:tc>
          <w:tcPr>
            <w:tcW w:w="1440" w:type="dxa"/>
            <w:tcMar>
              <w:top w:w="80" w:type="dxa"/>
              <w:left w:w="80" w:type="dxa"/>
              <w:bottom w:w="80" w:type="dxa"/>
              <w:right w:w="80" w:type="dxa"/>
            </w:tcMar>
            <w:vAlign w:val="center"/>
          </w:tcPr>
          <w:p w14:paraId="0E910D7C" w14:textId="77777777" w:rsidR="00E36DCD" w:rsidRPr="00417AF0" w:rsidRDefault="00000000">
            <w:pPr>
              <w:spacing w:after="20" w:line="240" w:lineRule="auto"/>
              <w:jc w:val="left"/>
            </w:pPr>
            <w:r w:rsidRPr="00417AF0">
              <w:rPr>
                <w:sz w:val="15"/>
              </w:rPr>
              <w:t>Bibliometric analysis plus TCCM-guided review.</w:t>
            </w:r>
          </w:p>
        </w:tc>
        <w:tc>
          <w:tcPr>
            <w:tcW w:w="1440" w:type="dxa"/>
            <w:tcMar>
              <w:top w:w="80" w:type="dxa"/>
              <w:left w:w="80" w:type="dxa"/>
              <w:bottom w:w="80" w:type="dxa"/>
              <w:right w:w="80" w:type="dxa"/>
            </w:tcMar>
            <w:vAlign w:val="center"/>
          </w:tcPr>
          <w:p w14:paraId="6DBF0771" w14:textId="77777777" w:rsidR="00E36DCD" w:rsidRPr="00417AF0" w:rsidRDefault="00000000">
            <w:pPr>
              <w:spacing w:after="20" w:line="240" w:lineRule="auto"/>
              <w:jc w:val="left"/>
            </w:pPr>
            <w:r w:rsidRPr="00417AF0">
              <w:rPr>
                <w:sz w:val="15"/>
              </w:rPr>
              <w:t>Geopolitical risk/uncertainty and FDI form a rapidly expanding front.</w:t>
            </w:r>
          </w:p>
        </w:tc>
        <w:tc>
          <w:tcPr>
            <w:tcW w:w="1440" w:type="dxa"/>
            <w:tcMar>
              <w:top w:w="80" w:type="dxa"/>
              <w:left w:w="80" w:type="dxa"/>
              <w:bottom w:w="80" w:type="dxa"/>
              <w:right w:w="80" w:type="dxa"/>
            </w:tcMar>
            <w:vAlign w:val="center"/>
          </w:tcPr>
          <w:p w14:paraId="548D5922" w14:textId="77777777" w:rsidR="00E36DCD" w:rsidRPr="00417AF0" w:rsidRDefault="00000000">
            <w:pPr>
              <w:spacing w:after="20" w:line="240" w:lineRule="auto"/>
              <w:jc w:val="left"/>
            </w:pPr>
            <w:r w:rsidRPr="00417AF0">
              <w:rPr>
                <w:sz w:val="15"/>
              </w:rPr>
              <w:t>Maps an FDI determinant rather than the growth outcome itself.</w:t>
            </w:r>
          </w:p>
        </w:tc>
        <w:tc>
          <w:tcPr>
            <w:tcW w:w="1440" w:type="dxa"/>
            <w:tcMar>
              <w:top w:w="80" w:type="dxa"/>
              <w:left w:w="80" w:type="dxa"/>
              <w:bottom w:w="80" w:type="dxa"/>
              <w:right w:w="80" w:type="dxa"/>
            </w:tcMar>
            <w:vAlign w:val="center"/>
          </w:tcPr>
          <w:p w14:paraId="4DA15A86" w14:textId="77777777" w:rsidR="00E36DCD" w:rsidRPr="00417AF0" w:rsidRDefault="00000000">
            <w:pPr>
              <w:spacing w:after="20" w:line="240" w:lineRule="auto"/>
              <w:jc w:val="left"/>
            </w:pPr>
            <w:r w:rsidRPr="00417AF0">
              <w:rPr>
                <w:sz w:val="15"/>
              </w:rPr>
              <w:t>Farzam &amp; Dhume-Shinkre (2026)</w:t>
            </w:r>
          </w:p>
        </w:tc>
      </w:tr>
    </w:tbl>
    <w:p w14:paraId="108A5724" w14:textId="77777777" w:rsidR="00E36DCD" w:rsidRPr="00417AF0" w:rsidRDefault="00000000">
      <w:pPr>
        <w:spacing w:before="60" w:after="120"/>
      </w:pPr>
      <w:r w:rsidRPr="00417AF0">
        <w:rPr>
          <w:b/>
          <w:sz w:val="17"/>
        </w:rPr>
        <w:t xml:space="preserve">Note. </w:t>
      </w:r>
      <w:r w:rsidRPr="00417AF0">
        <w:rPr>
          <w:sz w:val="17"/>
        </w:rPr>
        <w:t>FDI = foreign direct investment; TCCM = theory, context, characteristics and methodology. Corpus sizes are not directly comparable across databases or query designs.</w:t>
      </w:r>
    </w:p>
    <w:p w14:paraId="263DBBDF" w14:textId="77777777" w:rsidR="00E36DCD" w:rsidRPr="00417AF0" w:rsidRDefault="00000000">
      <w:pPr>
        <w:pStyle w:val="Heading2"/>
        <w:rPr>
          <w:color w:val="auto"/>
        </w:rPr>
      </w:pPr>
      <w:r w:rsidRPr="00417AF0">
        <w:rPr>
          <w:color w:val="auto"/>
        </w:rPr>
        <w:lastRenderedPageBreak/>
        <w:t>4.1 Publication Growth, Collaboration and Geographic Concentration</w:t>
      </w:r>
    </w:p>
    <w:p w14:paraId="295D31E8" w14:textId="77777777" w:rsidR="00E36DCD" w:rsidRPr="00417AF0" w:rsidRDefault="00000000">
      <w:pPr>
        <w:ind w:firstLine="317"/>
      </w:pPr>
      <w:r w:rsidRPr="00417AF0">
        <w:t>The temporal growth of the field is partly a consequence of improved data availability. Early studies relied on relatively small cross-country panels and aggregate FDI statistics. Subsequent access to longer time series, firm-level production data and governance indicators expanded the number of testable mechanisms. The rise of dynamic panel estimators and nonlinear threshold models also encouraged re-estimation of familiar questions with new specifications. Bibliometric publication growth therefore reflects both substantive interest and methodological replication. An increase in article counts should not automatically be read as a proportional increase in settled knowledge. Where researchers repeatedly estimate variants of the same aggregate model, the literature can become denser without becoming more causally decisive.</w:t>
      </w:r>
    </w:p>
    <w:p w14:paraId="7750473A" w14:textId="77777777" w:rsidR="00E36DCD" w:rsidRPr="00417AF0" w:rsidRDefault="00000000">
      <w:pPr>
        <w:ind w:firstLine="317"/>
      </w:pPr>
      <w:r w:rsidRPr="00417AF0">
        <w:t>International collaboration patterns are equally ambiguous. Wang et al. (2022) documented extensive cross-country authorship links, with China exhibiting strong collaborative connectivity and the United States high citation influence. International co-authorship can broaden datasets and theoretical perspectives, but it does not by itself remove geographical bias. Research on Sub-Saharan Africa, ASEAN, China and transition economies often uses region-specific institutional histories and sector structures that limit direct generalisation. The bibliometric network therefore contains a productive tension: scholarship is globally connected at the author level while empirical treatment effects remain locally conditioned. Future mapping should distinguish the geography of authors, samples and FDI projects rather than using author affiliation as a proxy for evidence coverage.</w:t>
      </w:r>
    </w:p>
    <w:p w14:paraId="5DC973E1" w14:textId="77777777" w:rsidR="00E36DCD" w:rsidRPr="00417AF0" w:rsidRDefault="00000000">
      <w:pPr>
        <w:pStyle w:val="Heading2"/>
        <w:rPr>
          <w:color w:val="auto"/>
        </w:rPr>
      </w:pPr>
      <w:r w:rsidRPr="00417AF0">
        <w:rPr>
          <w:color w:val="auto"/>
        </w:rPr>
        <w:t>4.2 Intellectual Bases and Highly Influential Research Traditions</w:t>
      </w:r>
    </w:p>
    <w:p w14:paraId="146F69AA" w14:textId="77777777" w:rsidR="00E36DCD" w:rsidRPr="00417AF0" w:rsidRDefault="00000000">
      <w:pPr>
        <w:ind w:firstLine="317"/>
      </w:pPr>
      <w:r w:rsidRPr="00417AF0">
        <w:t>The citation base of FDI–growth research can be interpreted as three overlapping traditions. The first is international-production theory, represented by Dunning (1988), which explains why firms internalise cross-border production. The second is growth and technology diffusion, represented by Findlay (1978), Romer (1990), Borensztein et al. (1998) and de Mello (1999). The third is empirical spillover and host-capacity research, represented by Aitken and Harrison (1999), Alfaro et al. (2004), Javorcik (2004), Durham (2004) and later meta-analyses. These traditions answer different questions: why FDI occurs, how knowledge could alter growth, and whether observable host outcomes are consistent with those mechanisms. Their co-presence in citation networks is intellectually coherent but can encourage category errors if a theoretical mechanism is cited as if it were empirical proof.</w:t>
      </w:r>
    </w:p>
    <w:p w14:paraId="113559F4" w14:textId="77777777" w:rsidR="00E36DCD" w:rsidRPr="00417AF0" w:rsidRDefault="00000000">
      <w:pPr>
        <w:ind w:firstLine="317"/>
      </w:pPr>
      <w:r w:rsidRPr="00417AF0">
        <w:t>The field’s influential empirical tradition also reveals an evolution in identification. De Mello (1999) combined time-series and panel evidence and emphasised heterogeneity. Li and Liu (2005) treated the FDI–growth relationship as increasingly endogenous. Makiela and Ouattara (2018) explored transmission channels and found stronger evidence for input-related mechanisms than for a robust total-factor-productivity channel. Recent work continues this disaggregation: Le et al. (2024) directly examines FDI, total factor productivity and growth in middle-income countries, while Hornstein (2024) distinguishes approved from realised investment. The intellectual trajectory is thus moving away from a single aggregate coefficient and towards mechanisms, timing and investment quality.</w:t>
      </w:r>
    </w:p>
    <w:p w14:paraId="46C8AC26" w14:textId="77777777" w:rsidR="00E36DCD" w:rsidRPr="00417AF0" w:rsidRDefault="00000000">
      <w:pPr>
        <w:pStyle w:val="Heading1"/>
        <w:rPr>
          <w:color w:val="auto"/>
        </w:rPr>
      </w:pPr>
      <w:r w:rsidRPr="00417AF0">
        <w:rPr>
          <w:color w:val="auto"/>
        </w:rPr>
        <w:t>5. Thematic Evolution of FDI–Growth Research</w:t>
      </w:r>
    </w:p>
    <w:p w14:paraId="1B8104B9" w14:textId="77777777" w:rsidR="00E36DCD" w:rsidRPr="00417AF0" w:rsidRDefault="00000000">
      <w:pPr>
        <w:ind w:firstLine="317"/>
      </w:pPr>
      <w:r w:rsidRPr="00417AF0">
        <w:t xml:space="preserve">The thematic evolution identified in published bibliometric studies can be divided into analytically useful phases, while recognising that boundaries overlap. Wang et al. (2022) used 2012, 2016 and 2019 as cut points in their thematic evolution analysis, producing periods of 1992–2012, 2013–2016, 2017–2019 and 2020–2021. Extending the interpretation through 8 July 2026 reveals that the post-2020 period has itself differentiated into sustainability, digital-infrastructure and geopolitical-risk strands. These phases should be </w:t>
      </w:r>
      <w:r w:rsidRPr="00417AF0">
        <w:lastRenderedPageBreak/>
        <w:t>read as changes in emphasis rather than replacements. Classical growth, technology and human-capital questions remain active even when environmental or strategic-investment keywords become more visible.</w:t>
      </w:r>
    </w:p>
    <w:p w14:paraId="3F9EFBA8" w14:textId="77777777" w:rsidR="00E36DCD" w:rsidRPr="00417AF0" w:rsidRDefault="00000000">
      <w:pPr>
        <w:pStyle w:val="Heading2"/>
        <w:rPr>
          <w:color w:val="auto"/>
        </w:rPr>
      </w:pPr>
      <w:r w:rsidRPr="00417AF0">
        <w:rPr>
          <w:color w:val="auto"/>
        </w:rPr>
        <w:t>5.1 1992–2012: From Capital Inflows to Technology, Human Capital and Spillovers</w:t>
      </w:r>
    </w:p>
    <w:p w14:paraId="51293CB0" w14:textId="77777777" w:rsidR="00E36DCD" w:rsidRPr="00417AF0" w:rsidRDefault="00000000">
      <w:pPr>
        <w:ind w:firstLine="317"/>
      </w:pPr>
      <w:r w:rsidRPr="00417AF0">
        <w:t>The first phase consolidated the idea that FDI could have effects beyond capital accumulation. Balasubramanyam et al. (1996) linked the growth contribution of FDI to outward-oriented trade regimes, while Borensztein et al. (1998) placed human-capital thresholds at the centre of the technology-transfer argument. De Mello (1999) emphasised the difficulty of deriving a uniform effect from heterogeneous time-series and panel evidence. Firm-level work then complicated the optimistic macro narrative: Aitken and Harrison (1999) showed that foreign presence did not automatically generate horizontal gains for domestic competitors, whereas Javorcik (2004) demonstrated the importance of backward linkages. The conceptual vocabulary consequently widened from “capital” and “growth” to “spillovers”, “technology transfer”, “human capital” and “linkages”.</w:t>
      </w:r>
    </w:p>
    <w:p w14:paraId="360A11EA" w14:textId="77777777" w:rsidR="00E36DCD" w:rsidRPr="00417AF0" w:rsidRDefault="00000000">
      <w:pPr>
        <w:ind w:firstLine="317"/>
      </w:pPr>
      <w:r w:rsidRPr="00417AF0">
        <w:t>By the mid-2000s, absorptive capacity and finance became central moderators. Alfaro et al. (2004) found that the growth effect of FDI depended on local financial-market development, and Durham (2004) argued that absorptive capacity conditioned the benefits from both direct and portfolio investment. Li and Liu (2005) placed endogeneity more explicitly within the empirical debate. Meta-analytical and review work then demonstrated that spillover effects varied substantially by host development and study design (Görg &amp; Greenaway, 2004; Meyer &amp; Sinani, 2009). The first phase therefore established the intellectual grammar of conditionality that later thematic maps would recover.</w:t>
      </w:r>
    </w:p>
    <w:p w14:paraId="3B5E2004" w14:textId="77777777" w:rsidR="00E36DCD" w:rsidRPr="00417AF0" w:rsidRDefault="00000000">
      <w:pPr>
        <w:pStyle w:val="Heading2"/>
        <w:rPr>
          <w:color w:val="auto"/>
        </w:rPr>
      </w:pPr>
      <w:r w:rsidRPr="00417AF0">
        <w:rPr>
          <w:color w:val="auto"/>
        </w:rPr>
        <w:t>5.2 2013–2019: Heterogeneity, Nonlinearity and Methodological Self-Critique</w:t>
      </w:r>
    </w:p>
    <w:p w14:paraId="24FF0369" w14:textId="77777777" w:rsidR="00E36DCD" w:rsidRPr="00417AF0" w:rsidRDefault="00000000">
      <w:pPr>
        <w:ind w:firstLine="317"/>
      </w:pPr>
      <w:r w:rsidRPr="00417AF0">
        <w:t>The second broad phase was marked less by a new causal mechanism than by methodological reassessment. Iamsiraroj and Ulubaşoğlu (2015) reviewed 108 empirical studies and 880 estimates, showing that the published evidence included positive significant, positive insignificant, negative significant and negative insignificant results. Their subsequent cross-country analysis supported a positive average relationship, but the preceding distribution of estimates demonstrated that the literature could not be reduced to a consensus coefficient. Su and Liu (2016) reinforced the human-capital interaction in Chinese cities, while Gunby et al. (2017) used meta-analysis to challenge strong causal interpretations of the Chinese evidence after accounting for publication bias and specification choice.</w:t>
      </w:r>
    </w:p>
    <w:p w14:paraId="66329155" w14:textId="77777777" w:rsidR="00E36DCD" w:rsidRPr="00417AF0" w:rsidRDefault="00000000">
      <w:pPr>
        <w:ind w:firstLine="317"/>
      </w:pPr>
      <w:r w:rsidRPr="00417AF0">
        <w:t>Environmental themes also became structurally visible. Lee (2013) examined FDI together with clean energy use, emissions and growth, moving the literature beyond a purely output-centred welfare criterion. Zhu et al. (2016) used panel quantile regression for ASEAN-5 to show that the relationships among FDI, energy consumption, growth and carbon emissions differ across the emissions distribution. Abdouli and Hammami (2017) investigated causal links among environmental quality, FDI and growth in MENA economies. These studies anticipated the ecological turn identified bibliometrically by Cicea and Marinescu (2021): once FDI is viewed as a carrier of production technology and sector composition, its environmental consequences become inseparable from its developmental evaluation.</w:t>
      </w:r>
    </w:p>
    <w:p w14:paraId="3CFE60F1" w14:textId="77777777" w:rsidR="00E36DCD" w:rsidRPr="00417AF0" w:rsidRDefault="00000000">
      <w:pPr>
        <w:ind w:firstLine="317"/>
      </w:pPr>
      <w:r w:rsidRPr="00417AF0">
        <w:t>The period also saw deeper interest in channels. Makiela and Ouattara (2018) decomposed the relationship and found that FDI’s growth transmission operated more convincingly through changes in factor inputs than through a strong productivity channel. This matters for the interpretation of knowledge spillovers. If output rises because foreign investment expands the effective capital stock or labour demand, the welfare and convergence implications differ from a case in which domestic total factor productivity increases. Thematic evolution therefore corresponded to a conceptual refinement: “growth effect” was progressively divided into capital, productivity, technology, financial and environmental components.</w:t>
      </w:r>
    </w:p>
    <w:p w14:paraId="05D9C915" w14:textId="77777777" w:rsidR="00E36DCD" w:rsidRPr="00417AF0" w:rsidRDefault="00000000">
      <w:pPr>
        <w:pStyle w:val="Heading2"/>
        <w:rPr>
          <w:color w:val="auto"/>
        </w:rPr>
      </w:pPr>
      <w:r w:rsidRPr="00417AF0">
        <w:rPr>
          <w:color w:val="auto"/>
        </w:rPr>
        <w:lastRenderedPageBreak/>
        <w:t>5.3 2020–2023: Institutions, Financial Thresholds and the Quality of Absorption</w:t>
      </w:r>
    </w:p>
    <w:p w14:paraId="0F03E1B4" w14:textId="77777777" w:rsidR="00E36DCD" w:rsidRPr="00417AF0" w:rsidRDefault="00000000">
      <w:pPr>
        <w:ind w:firstLine="317"/>
      </w:pPr>
      <w:r w:rsidRPr="00417AF0">
        <w:t>The early 2020s intensified the move towards nonlinear host-country conditions. Nguyen (2022) revisited the interaction between financial development and FDI, while Asamoah and Alagidede (2023) examined the relationship across real sectors and financial conditions. Osei and Kim (2023) showed that financial development can generate heterogeneous threshold effects across country clubs rather than a single monotonic enhancement of FDI’s growth contribution. Li et al. (2023) similarly found that political stability was a robust institutional condition in their panel threshold analysis. Collectively, these papers replaced the vague idea of an “enabling environment” with testable moderators, although threshold estimates remain specification- and sample-dependent.</w:t>
      </w:r>
    </w:p>
    <w:p w14:paraId="22F67D46" w14:textId="77777777" w:rsidR="00E36DCD" w:rsidRPr="00417AF0" w:rsidRDefault="00000000">
      <w:pPr>
        <w:ind w:firstLine="317"/>
      </w:pPr>
      <w:r w:rsidRPr="00417AF0">
        <w:t>This period also strengthened the bidirectional perspective. Nupehewa et al. (2022), using regional panels and multiple time-series techniques, found that causal direction differed across geographical groupings. Such results are consistent with the idea that FDI and growth co-evolve through market size, profitability, reforms and investment feedback. Bibliometrically, this increases the importance of terms such as “causality”, “dynamic panel”, “institutions” and “financial development”. Conceptually, it weakens studies that identify an FDI coefficient without modelling the location-attractiveness effect of prior growth.</w:t>
      </w:r>
    </w:p>
    <w:p w14:paraId="6530B9D3" w14:textId="77777777" w:rsidR="00E36DCD" w:rsidRPr="00417AF0" w:rsidRDefault="00000000">
      <w:pPr>
        <w:pStyle w:val="Heading2"/>
        <w:rPr>
          <w:color w:val="auto"/>
        </w:rPr>
      </w:pPr>
      <w:r w:rsidRPr="00417AF0">
        <w:rPr>
          <w:color w:val="auto"/>
        </w:rPr>
        <w:t>5.4 2024–2026: Sustainability, Productive Capacity, Digital Infrastructure and Geopolitical Risk</w:t>
      </w:r>
    </w:p>
    <w:p w14:paraId="1955B3DD" w14:textId="77777777" w:rsidR="00E36DCD" w:rsidRPr="00417AF0" w:rsidRDefault="00000000">
      <w:pPr>
        <w:ind w:firstLine="317"/>
      </w:pPr>
      <w:r w:rsidRPr="00417AF0">
        <w:t>The newest phase is characterised by a shift from aggregate inflow volume towards the composition and resilience of FDI. Rodríguez-Chávez et al. (2024) show that FDI–sustainable-development research in Asia concentrates heavily on economic and environmental dimensions while social outcomes are less developed. Le et al. (2024) returns to total factor productivity in middle-income countries, indicating renewed interest in whether FDI changes the efficiency of production rather than merely its scale. Nguyen and Ho (2025) extend institutional threshold analysis in ASEAN, and Chornyi and Chorna (2026) provide recent comparative evidence across Poland, Ukraine and Vietnam. These studies differ widely in design and generalisability, but they share a concern with context-specific transmission rather than a universal global elasticity.</w:t>
      </w:r>
    </w:p>
    <w:p w14:paraId="07E1E175" w14:textId="77777777" w:rsidR="00E36DCD" w:rsidRPr="00417AF0" w:rsidRDefault="00000000">
      <w:pPr>
        <w:ind w:firstLine="317"/>
      </w:pPr>
      <w:r w:rsidRPr="00417AF0">
        <w:t>Geopolitical uncertainty has become a distinct research front. Farzam and Dhume-Shinkre (2026) reviewed 124 peer-reviewed studies and identified geopolitical risk, geopolitical uncertainty and FDI as dominant, evolving themes. This development is economically important because fragmentation can alter both the location and the type of investment. Firms may accept higher costs to reduce supply-chain exposure, governments may screen strategic sectors, and investment may be redirected towards politically aligned locations. Under these conditions, a project can be privately rational yet contribute less to host-country technology diffusion if production networks become more segmented. The growth literature therefore needs to incorporate resilience and strategic alignment without assuming that all rerouted FDI has equivalent development value.</w:t>
      </w:r>
    </w:p>
    <w:p w14:paraId="7F92F382" w14:textId="77777777" w:rsidR="00E36DCD" w:rsidRPr="00417AF0" w:rsidRDefault="00000000">
      <w:pPr>
        <w:ind w:firstLine="317"/>
      </w:pPr>
      <w:r w:rsidRPr="00417AF0">
        <w:t>The 2026 global investment picture reinforces this compositional turn. UNCTAD (2026) reported that global FDI rose to US$1.6 trillion in 2025, but the recovery was uneven and concentrated, with a small number of megaprojects—particularly in artificial-intelligence-related digital infrastructure—playing a substantial role. Strategic sectors accounted for a much larger share of global greenfield project values than in 2020, while the top 20 host economies captured more than four-fifths of global FDI. These facts make the traditional FDI-to-GDP ratio increasingly blunt. A data-centre megaproject, a labour-intensive manufacturing plant, a resource-extraction project and a cross-border acquisition can generate very different employment, domestic-linkage, energy and productivity effects despite appearing within the same aggregate flow.</w:t>
      </w:r>
    </w:p>
    <w:p w14:paraId="4394B04C" w14:textId="77777777" w:rsidR="00E36DCD" w:rsidRPr="00417AF0" w:rsidRDefault="00000000">
      <w:pPr>
        <w:ind w:firstLine="317"/>
      </w:pPr>
      <w:r w:rsidRPr="00417AF0">
        <w:t xml:space="preserve">Table 3 summarises the thematic evolution of the field. The key pattern is cumulative conditionality. Technology-transfer theories were not displaced by institutional or environmental research; instead, later </w:t>
      </w:r>
      <w:r w:rsidRPr="00417AF0">
        <w:lastRenderedPageBreak/>
        <w:t>themes specify the circumstances under which earlier mechanisms are likely to operate. The field’s contemporary frontier is therefore best understood as a layered model in which FDI type, host capabilities, domestic linkages, sectoral composition and global risk jointly shape the growth outcome.</w:t>
      </w:r>
    </w:p>
    <w:p w14:paraId="3A3C2701" w14:textId="77777777" w:rsidR="00E36DCD" w:rsidRPr="00417AF0" w:rsidRDefault="00000000">
      <w:pPr>
        <w:spacing w:before="120" w:after="80"/>
      </w:pPr>
      <w:r w:rsidRPr="00417AF0">
        <w:rPr>
          <w:b/>
        </w:rPr>
        <w:t>Table 3. Thematic evolution of foreign direct investment and economic growth research</w:t>
      </w:r>
    </w:p>
    <w:tbl>
      <w:tblPr>
        <w:tblW w:w="0" w:type="auto"/>
        <w:jc w:val="center"/>
        <w:tblLayout w:type="fixed"/>
        <w:tblLook w:val="04A0" w:firstRow="1" w:lastRow="0" w:firstColumn="1" w:lastColumn="0" w:noHBand="0" w:noVBand="1"/>
      </w:tblPr>
      <w:tblGrid>
        <w:gridCol w:w="1656"/>
        <w:gridCol w:w="1944"/>
        <w:gridCol w:w="1944"/>
        <w:gridCol w:w="2232"/>
        <w:gridCol w:w="1944"/>
      </w:tblGrid>
      <w:tr w:rsidR="00417AF0" w:rsidRPr="00417AF0" w14:paraId="28675B32" w14:textId="77777777">
        <w:trPr>
          <w:cantSplit/>
          <w:tblHeader/>
          <w:jc w:val="center"/>
        </w:trPr>
        <w:tc>
          <w:tcPr>
            <w:tcW w:w="1656" w:type="dxa"/>
            <w:shd w:val="clear" w:color="auto" w:fill="D9E2F3"/>
            <w:tcMar>
              <w:top w:w="80" w:type="dxa"/>
              <w:left w:w="80" w:type="dxa"/>
              <w:bottom w:w="80" w:type="dxa"/>
              <w:right w:w="80" w:type="dxa"/>
            </w:tcMar>
            <w:vAlign w:val="center"/>
          </w:tcPr>
          <w:p w14:paraId="30B13193" w14:textId="77777777" w:rsidR="00E36DCD" w:rsidRPr="00417AF0" w:rsidRDefault="00000000">
            <w:pPr>
              <w:spacing w:after="20" w:line="240" w:lineRule="auto"/>
              <w:jc w:val="left"/>
            </w:pPr>
            <w:r w:rsidRPr="00417AF0">
              <w:rPr>
                <w:b/>
                <w:sz w:val="16"/>
              </w:rPr>
              <w:t>Phase</w:t>
            </w:r>
          </w:p>
        </w:tc>
        <w:tc>
          <w:tcPr>
            <w:tcW w:w="1944" w:type="dxa"/>
            <w:shd w:val="clear" w:color="auto" w:fill="D9E2F3"/>
            <w:tcMar>
              <w:top w:w="80" w:type="dxa"/>
              <w:left w:w="80" w:type="dxa"/>
              <w:bottom w:w="80" w:type="dxa"/>
              <w:right w:w="80" w:type="dxa"/>
            </w:tcMar>
            <w:vAlign w:val="center"/>
          </w:tcPr>
          <w:p w14:paraId="18C79093" w14:textId="77777777" w:rsidR="00E36DCD" w:rsidRPr="00417AF0" w:rsidRDefault="00000000">
            <w:pPr>
              <w:spacing w:after="20" w:line="240" w:lineRule="auto"/>
              <w:jc w:val="left"/>
            </w:pPr>
            <w:r w:rsidRPr="00417AF0">
              <w:rPr>
                <w:b/>
                <w:sz w:val="16"/>
              </w:rPr>
              <w:t>Dominant questions</w:t>
            </w:r>
          </w:p>
        </w:tc>
        <w:tc>
          <w:tcPr>
            <w:tcW w:w="1944" w:type="dxa"/>
            <w:shd w:val="clear" w:color="auto" w:fill="D9E2F3"/>
            <w:tcMar>
              <w:top w:w="80" w:type="dxa"/>
              <w:left w:w="80" w:type="dxa"/>
              <w:bottom w:w="80" w:type="dxa"/>
              <w:right w:w="80" w:type="dxa"/>
            </w:tcMar>
            <w:vAlign w:val="center"/>
          </w:tcPr>
          <w:p w14:paraId="3B020569" w14:textId="77777777" w:rsidR="00E36DCD" w:rsidRPr="00417AF0" w:rsidRDefault="00000000">
            <w:pPr>
              <w:spacing w:after="20" w:line="240" w:lineRule="auto"/>
              <w:jc w:val="left"/>
            </w:pPr>
            <w:r w:rsidRPr="00417AF0">
              <w:rPr>
                <w:b/>
                <w:sz w:val="16"/>
              </w:rPr>
              <w:t>Representative methods / concepts</w:t>
            </w:r>
          </w:p>
        </w:tc>
        <w:tc>
          <w:tcPr>
            <w:tcW w:w="2232" w:type="dxa"/>
            <w:shd w:val="clear" w:color="auto" w:fill="D9E2F3"/>
            <w:tcMar>
              <w:top w:w="80" w:type="dxa"/>
              <w:left w:w="80" w:type="dxa"/>
              <w:bottom w:w="80" w:type="dxa"/>
              <w:right w:w="80" w:type="dxa"/>
            </w:tcMar>
            <w:vAlign w:val="center"/>
          </w:tcPr>
          <w:p w14:paraId="579654DA" w14:textId="77777777" w:rsidR="00E36DCD" w:rsidRPr="00417AF0" w:rsidRDefault="00000000">
            <w:pPr>
              <w:spacing w:after="20" w:line="240" w:lineRule="auto"/>
              <w:jc w:val="left"/>
            </w:pPr>
            <w:r w:rsidRPr="00417AF0">
              <w:rPr>
                <w:b/>
                <w:sz w:val="16"/>
              </w:rPr>
              <w:t>Interpretive shift</w:t>
            </w:r>
          </w:p>
        </w:tc>
        <w:tc>
          <w:tcPr>
            <w:tcW w:w="1944" w:type="dxa"/>
            <w:shd w:val="clear" w:color="auto" w:fill="D9E2F3"/>
            <w:tcMar>
              <w:top w:w="80" w:type="dxa"/>
              <w:left w:w="80" w:type="dxa"/>
              <w:bottom w:w="80" w:type="dxa"/>
              <w:right w:w="80" w:type="dxa"/>
            </w:tcMar>
            <w:vAlign w:val="center"/>
          </w:tcPr>
          <w:p w14:paraId="3D420284" w14:textId="77777777" w:rsidR="00E36DCD" w:rsidRPr="00417AF0" w:rsidRDefault="00000000">
            <w:pPr>
              <w:spacing w:after="20" w:line="240" w:lineRule="auto"/>
              <w:jc w:val="left"/>
            </w:pPr>
            <w:r w:rsidRPr="00417AF0">
              <w:rPr>
                <w:b/>
                <w:sz w:val="16"/>
              </w:rPr>
              <w:t>Supporting references</w:t>
            </w:r>
          </w:p>
        </w:tc>
      </w:tr>
      <w:tr w:rsidR="00417AF0" w:rsidRPr="00417AF0" w14:paraId="3453CDB5" w14:textId="77777777">
        <w:trPr>
          <w:cantSplit/>
          <w:jc w:val="center"/>
        </w:trPr>
        <w:tc>
          <w:tcPr>
            <w:tcW w:w="1656" w:type="dxa"/>
            <w:tcMar>
              <w:top w:w="80" w:type="dxa"/>
              <w:left w:w="80" w:type="dxa"/>
              <w:bottom w:w="80" w:type="dxa"/>
              <w:right w:w="80" w:type="dxa"/>
            </w:tcMar>
            <w:vAlign w:val="center"/>
          </w:tcPr>
          <w:p w14:paraId="20224D74" w14:textId="77777777" w:rsidR="00E36DCD" w:rsidRPr="00417AF0" w:rsidRDefault="00000000">
            <w:pPr>
              <w:spacing w:after="20" w:line="240" w:lineRule="auto"/>
              <w:jc w:val="left"/>
            </w:pPr>
            <w:r w:rsidRPr="00417AF0">
              <w:rPr>
                <w:sz w:val="16"/>
              </w:rPr>
              <w:t>1992–2012</w:t>
            </w:r>
          </w:p>
        </w:tc>
        <w:tc>
          <w:tcPr>
            <w:tcW w:w="1944" w:type="dxa"/>
            <w:tcMar>
              <w:top w:w="80" w:type="dxa"/>
              <w:left w:w="80" w:type="dxa"/>
              <w:bottom w:w="80" w:type="dxa"/>
              <w:right w:w="80" w:type="dxa"/>
            </w:tcMar>
            <w:vAlign w:val="center"/>
          </w:tcPr>
          <w:p w14:paraId="5F022F22" w14:textId="77777777" w:rsidR="00E36DCD" w:rsidRPr="00417AF0" w:rsidRDefault="00000000">
            <w:pPr>
              <w:spacing w:after="20" w:line="240" w:lineRule="auto"/>
              <w:jc w:val="left"/>
            </w:pPr>
            <w:r w:rsidRPr="00417AF0">
              <w:rPr>
                <w:sz w:val="16"/>
              </w:rPr>
              <w:t>Does FDI raise growth, and through what technology or capital channel?</w:t>
            </w:r>
          </w:p>
        </w:tc>
        <w:tc>
          <w:tcPr>
            <w:tcW w:w="1944" w:type="dxa"/>
            <w:tcMar>
              <w:top w:w="80" w:type="dxa"/>
              <w:left w:w="80" w:type="dxa"/>
              <w:bottom w:w="80" w:type="dxa"/>
              <w:right w:w="80" w:type="dxa"/>
            </w:tcMar>
            <w:vAlign w:val="center"/>
          </w:tcPr>
          <w:p w14:paraId="71D71CF1" w14:textId="77777777" w:rsidR="00E36DCD" w:rsidRPr="00417AF0" w:rsidRDefault="00000000">
            <w:pPr>
              <w:spacing w:after="20" w:line="240" w:lineRule="auto"/>
              <w:jc w:val="left"/>
            </w:pPr>
            <w:r w:rsidRPr="00417AF0">
              <w:rPr>
                <w:sz w:val="16"/>
              </w:rPr>
              <w:t>Cross-country panels; time series; human-capital thresholds; horizontal and backward spillovers.</w:t>
            </w:r>
          </w:p>
        </w:tc>
        <w:tc>
          <w:tcPr>
            <w:tcW w:w="2232" w:type="dxa"/>
            <w:tcMar>
              <w:top w:w="80" w:type="dxa"/>
              <w:left w:w="80" w:type="dxa"/>
              <w:bottom w:w="80" w:type="dxa"/>
              <w:right w:w="80" w:type="dxa"/>
            </w:tcMar>
            <w:vAlign w:val="center"/>
          </w:tcPr>
          <w:p w14:paraId="647E3179" w14:textId="77777777" w:rsidR="00E36DCD" w:rsidRPr="00417AF0" w:rsidRDefault="00000000">
            <w:pPr>
              <w:spacing w:after="20" w:line="240" w:lineRule="auto"/>
              <w:jc w:val="left"/>
            </w:pPr>
            <w:r w:rsidRPr="00417AF0">
              <w:rPr>
                <w:sz w:val="16"/>
              </w:rPr>
              <w:t>From capital inflow to technology transfer, absorptive capacity and linkage structure.</w:t>
            </w:r>
          </w:p>
        </w:tc>
        <w:tc>
          <w:tcPr>
            <w:tcW w:w="1944" w:type="dxa"/>
            <w:tcMar>
              <w:top w:w="80" w:type="dxa"/>
              <w:left w:w="80" w:type="dxa"/>
              <w:bottom w:w="80" w:type="dxa"/>
              <w:right w:w="80" w:type="dxa"/>
            </w:tcMar>
            <w:vAlign w:val="center"/>
          </w:tcPr>
          <w:p w14:paraId="583CECC3" w14:textId="77777777" w:rsidR="00E36DCD" w:rsidRPr="00417AF0" w:rsidRDefault="00000000">
            <w:pPr>
              <w:spacing w:after="20" w:line="240" w:lineRule="auto"/>
              <w:jc w:val="left"/>
            </w:pPr>
            <w:r w:rsidRPr="00417AF0">
              <w:rPr>
                <w:sz w:val="16"/>
              </w:rPr>
              <w:t>Borensztein et al. (1998); de Mello (1999); Javorcik (2004); Alfaro et al. (2004)</w:t>
            </w:r>
          </w:p>
        </w:tc>
      </w:tr>
      <w:tr w:rsidR="00417AF0" w:rsidRPr="00417AF0" w14:paraId="2847D53B" w14:textId="77777777">
        <w:trPr>
          <w:cantSplit/>
          <w:jc w:val="center"/>
        </w:trPr>
        <w:tc>
          <w:tcPr>
            <w:tcW w:w="1656" w:type="dxa"/>
            <w:tcMar>
              <w:top w:w="80" w:type="dxa"/>
              <w:left w:w="80" w:type="dxa"/>
              <w:bottom w:w="80" w:type="dxa"/>
              <w:right w:w="80" w:type="dxa"/>
            </w:tcMar>
            <w:vAlign w:val="center"/>
          </w:tcPr>
          <w:p w14:paraId="0E075C91" w14:textId="77777777" w:rsidR="00E36DCD" w:rsidRPr="00417AF0" w:rsidRDefault="00000000">
            <w:pPr>
              <w:spacing w:after="20" w:line="240" w:lineRule="auto"/>
              <w:jc w:val="left"/>
            </w:pPr>
            <w:r w:rsidRPr="00417AF0">
              <w:rPr>
                <w:sz w:val="16"/>
              </w:rPr>
              <w:t>2013–2016</w:t>
            </w:r>
          </w:p>
        </w:tc>
        <w:tc>
          <w:tcPr>
            <w:tcW w:w="1944" w:type="dxa"/>
            <w:tcMar>
              <w:top w:w="80" w:type="dxa"/>
              <w:left w:w="80" w:type="dxa"/>
              <w:bottom w:w="80" w:type="dxa"/>
              <w:right w:w="80" w:type="dxa"/>
            </w:tcMar>
            <w:vAlign w:val="center"/>
          </w:tcPr>
          <w:p w14:paraId="4B76E8E9" w14:textId="77777777" w:rsidR="00E36DCD" w:rsidRPr="00417AF0" w:rsidRDefault="00000000">
            <w:pPr>
              <w:spacing w:after="20" w:line="240" w:lineRule="auto"/>
              <w:jc w:val="left"/>
            </w:pPr>
            <w:r w:rsidRPr="00417AF0">
              <w:rPr>
                <w:sz w:val="16"/>
              </w:rPr>
              <w:t>Why do estimates differ across countries and studies?</w:t>
            </w:r>
          </w:p>
        </w:tc>
        <w:tc>
          <w:tcPr>
            <w:tcW w:w="1944" w:type="dxa"/>
            <w:tcMar>
              <w:top w:w="80" w:type="dxa"/>
              <w:left w:w="80" w:type="dxa"/>
              <w:bottom w:w="80" w:type="dxa"/>
              <w:right w:w="80" w:type="dxa"/>
            </w:tcMar>
            <w:vAlign w:val="center"/>
          </w:tcPr>
          <w:p w14:paraId="2BD2225D" w14:textId="77777777" w:rsidR="00E36DCD" w:rsidRPr="00417AF0" w:rsidRDefault="00000000">
            <w:pPr>
              <w:spacing w:after="20" w:line="240" w:lineRule="auto"/>
              <w:jc w:val="left"/>
            </w:pPr>
            <w:r w:rsidRPr="00417AF0">
              <w:rPr>
                <w:sz w:val="16"/>
              </w:rPr>
              <w:t>Meta-analysis; dynamic panels; quantile methods; environmental linkages.</w:t>
            </w:r>
          </w:p>
        </w:tc>
        <w:tc>
          <w:tcPr>
            <w:tcW w:w="2232" w:type="dxa"/>
            <w:tcMar>
              <w:top w:w="80" w:type="dxa"/>
              <w:left w:w="80" w:type="dxa"/>
              <w:bottom w:w="80" w:type="dxa"/>
              <w:right w:w="80" w:type="dxa"/>
            </w:tcMar>
            <w:vAlign w:val="center"/>
          </w:tcPr>
          <w:p w14:paraId="377D1CF5" w14:textId="77777777" w:rsidR="00E36DCD" w:rsidRPr="00417AF0" w:rsidRDefault="00000000">
            <w:pPr>
              <w:spacing w:after="20" w:line="240" w:lineRule="auto"/>
              <w:jc w:val="left"/>
            </w:pPr>
            <w:r w:rsidRPr="00417AF0">
              <w:rPr>
                <w:sz w:val="16"/>
              </w:rPr>
              <w:t>Average effects give way to heterogeneity, publication bias and environmental externalities.</w:t>
            </w:r>
          </w:p>
        </w:tc>
        <w:tc>
          <w:tcPr>
            <w:tcW w:w="1944" w:type="dxa"/>
            <w:tcMar>
              <w:top w:w="80" w:type="dxa"/>
              <w:left w:w="80" w:type="dxa"/>
              <w:bottom w:w="80" w:type="dxa"/>
              <w:right w:w="80" w:type="dxa"/>
            </w:tcMar>
            <w:vAlign w:val="center"/>
          </w:tcPr>
          <w:p w14:paraId="55CCAE4E" w14:textId="77777777" w:rsidR="00E36DCD" w:rsidRPr="00417AF0" w:rsidRDefault="00000000">
            <w:pPr>
              <w:spacing w:after="20" w:line="240" w:lineRule="auto"/>
              <w:jc w:val="left"/>
            </w:pPr>
            <w:r w:rsidRPr="00417AF0">
              <w:rPr>
                <w:sz w:val="16"/>
              </w:rPr>
              <w:t>Iamsiraroj &amp; Ulubaşoğlu (2015); Su &amp; Liu (2016); Zhu et al. (2016)</w:t>
            </w:r>
          </w:p>
        </w:tc>
      </w:tr>
      <w:tr w:rsidR="00417AF0" w:rsidRPr="00417AF0" w14:paraId="3421481E" w14:textId="77777777">
        <w:trPr>
          <w:cantSplit/>
          <w:jc w:val="center"/>
        </w:trPr>
        <w:tc>
          <w:tcPr>
            <w:tcW w:w="1656" w:type="dxa"/>
            <w:tcMar>
              <w:top w:w="80" w:type="dxa"/>
              <w:left w:w="80" w:type="dxa"/>
              <w:bottom w:w="80" w:type="dxa"/>
              <w:right w:w="80" w:type="dxa"/>
            </w:tcMar>
            <w:vAlign w:val="center"/>
          </w:tcPr>
          <w:p w14:paraId="66CC0BAD" w14:textId="77777777" w:rsidR="00E36DCD" w:rsidRPr="00417AF0" w:rsidRDefault="00000000">
            <w:pPr>
              <w:spacing w:after="20" w:line="240" w:lineRule="auto"/>
              <w:jc w:val="left"/>
            </w:pPr>
            <w:r w:rsidRPr="00417AF0">
              <w:rPr>
                <w:sz w:val="16"/>
              </w:rPr>
              <w:t>2017–2019</w:t>
            </w:r>
          </w:p>
        </w:tc>
        <w:tc>
          <w:tcPr>
            <w:tcW w:w="1944" w:type="dxa"/>
            <w:tcMar>
              <w:top w:w="80" w:type="dxa"/>
              <w:left w:w="80" w:type="dxa"/>
              <w:bottom w:w="80" w:type="dxa"/>
              <w:right w:w="80" w:type="dxa"/>
            </w:tcMar>
            <w:vAlign w:val="center"/>
          </w:tcPr>
          <w:p w14:paraId="3CE8E47C" w14:textId="77777777" w:rsidR="00E36DCD" w:rsidRPr="00417AF0" w:rsidRDefault="00000000">
            <w:pPr>
              <w:spacing w:after="20" w:line="240" w:lineRule="auto"/>
              <w:jc w:val="left"/>
            </w:pPr>
            <w:r w:rsidRPr="00417AF0">
              <w:rPr>
                <w:sz w:val="16"/>
              </w:rPr>
              <w:t>Which channels are genuinely productive and which are input-driven?</w:t>
            </w:r>
          </w:p>
        </w:tc>
        <w:tc>
          <w:tcPr>
            <w:tcW w:w="1944" w:type="dxa"/>
            <w:tcMar>
              <w:top w:w="80" w:type="dxa"/>
              <w:left w:w="80" w:type="dxa"/>
              <w:bottom w:w="80" w:type="dxa"/>
              <w:right w:w="80" w:type="dxa"/>
            </w:tcMar>
            <w:vAlign w:val="center"/>
          </w:tcPr>
          <w:p w14:paraId="4D922D75" w14:textId="77777777" w:rsidR="00E36DCD" w:rsidRPr="00417AF0" w:rsidRDefault="00000000">
            <w:pPr>
              <w:spacing w:after="20" w:line="240" w:lineRule="auto"/>
              <w:jc w:val="left"/>
            </w:pPr>
            <w:r w:rsidRPr="00417AF0">
              <w:rPr>
                <w:sz w:val="16"/>
              </w:rPr>
              <w:t>Transmission-channel decomposition; publication-bias correction; sectoral analysis.</w:t>
            </w:r>
          </w:p>
        </w:tc>
        <w:tc>
          <w:tcPr>
            <w:tcW w:w="2232" w:type="dxa"/>
            <w:tcMar>
              <w:top w:w="80" w:type="dxa"/>
              <w:left w:w="80" w:type="dxa"/>
              <w:bottom w:w="80" w:type="dxa"/>
              <w:right w:w="80" w:type="dxa"/>
            </w:tcMar>
            <w:vAlign w:val="center"/>
          </w:tcPr>
          <w:p w14:paraId="7BE6B51F" w14:textId="77777777" w:rsidR="00E36DCD" w:rsidRPr="00417AF0" w:rsidRDefault="00000000">
            <w:pPr>
              <w:spacing w:after="20" w:line="240" w:lineRule="auto"/>
              <w:jc w:val="left"/>
            </w:pPr>
            <w:r w:rsidRPr="00417AF0">
              <w:rPr>
                <w:sz w:val="16"/>
              </w:rPr>
              <w:t>Greater scepticism about automatic productivity spillovers.</w:t>
            </w:r>
          </w:p>
        </w:tc>
        <w:tc>
          <w:tcPr>
            <w:tcW w:w="1944" w:type="dxa"/>
            <w:tcMar>
              <w:top w:w="80" w:type="dxa"/>
              <w:left w:w="80" w:type="dxa"/>
              <w:bottom w:w="80" w:type="dxa"/>
              <w:right w:w="80" w:type="dxa"/>
            </w:tcMar>
            <w:vAlign w:val="center"/>
          </w:tcPr>
          <w:p w14:paraId="5CBF5B60" w14:textId="77777777" w:rsidR="00E36DCD" w:rsidRPr="00417AF0" w:rsidRDefault="00000000">
            <w:pPr>
              <w:spacing w:after="20" w:line="240" w:lineRule="auto"/>
              <w:jc w:val="left"/>
            </w:pPr>
            <w:r w:rsidRPr="00417AF0">
              <w:rPr>
                <w:sz w:val="16"/>
              </w:rPr>
              <w:t>Gunby et al. (2017); Makiela &amp; Ouattara (2018)</w:t>
            </w:r>
          </w:p>
        </w:tc>
      </w:tr>
      <w:tr w:rsidR="00417AF0" w:rsidRPr="00417AF0" w14:paraId="6A1365E7" w14:textId="77777777">
        <w:trPr>
          <w:cantSplit/>
          <w:jc w:val="center"/>
        </w:trPr>
        <w:tc>
          <w:tcPr>
            <w:tcW w:w="1656" w:type="dxa"/>
            <w:tcMar>
              <w:top w:w="80" w:type="dxa"/>
              <w:left w:w="80" w:type="dxa"/>
              <w:bottom w:w="80" w:type="dxa"/>
              <w:right w:w="80" w:type="dxa"/>
            </w:tcMar>
            <w:vAlign w:val="center"/>
          </w:tcPr>
          <w:p w14:paraId="7BD8835B" w14:textId="77777777" w:rsidR="00E36DCD" w:rsidRPr="00417AF0" w:rsidRDefault="00000000">
            <w:pPr>
              <w:spacing w:after="20" w:line="240" w:lineRule="auto"/>
              <w:jc w:val="left"/>
            </w:pPr>
            <w:r w:rsidRPr="00417AF0">
              <w:rPr>
                <w:sz w:val="16"/>
              </w:rPr>
              <w:t>2020–2023</w:t>
            </w:r>
          </w:p>
        </w:tc>
        <w:tc>
          <w:tcPr>
            <w:tcW w:w="1944" w:type="dxa"/>
            <w:tcMar>
              <w:top w:w="80" w:type="dxa"/>
              <w:left w:w="80" w:type="dxa"/>
              <w:bottom w:w="80" w:type="dxa"/>
              <w:right w:w="80" w:type="dxa"/>
            </w:tcMar>
            <w:vAlign w:val="center"/>
          </w:tcPr>
          <w:p w14:paraId="3C343FCE" w14:textId="77777777" w:rsidR="00E36DCD" w:rsidRPr="00417AF0" w:rsidRDefault="00000000">
            <w:pPr>
              <w:spacing w:after="20" w:line="240" w:lineRule="auto"/>
              <w:jc w:val="left"/>
            </w:pPr>
            <w:r w:rsidRPr="00417AF0">
              <w:rPr>
                <w:sz w:val="16"/>
              </w:rPr>
              <w:t>Which host capacities and institutions activate FDI benefits?</w:t>
            </w:r>
          </w:p>
        </w:tc>
        <w:tc>
          <w:tcPr>
            <w:tcW w:w="1944" w:type="dxa"/>
            <w:tcMar>
              <w:top w:w="80" w:type="dxa"/>
              <w:left w:w="80" w:type="dxa"/>
              <w:bottom w:w="80" w:type="dxa"/>
              <w:right w:w="80" w:type="dxa"/>
            </w:tcMar>
            <w:vAlign w:val="center"/>
          </w:tcPr>
          <w:p w14:paraId="3B80A484" w14:textId="77777777" w:rsidR="00E36DCD" w:rsidRPr="00417AF0" w:rsidRDefault="00000000">
            <w:pPr>
              <w:spacing w:after="20" w:line="240" w:lineRule="auto"/>
              <w:jc w:val="left"/>
            </w:pPr>
            <w:r w:rsidRPr="00417AF0">
              <w:rPr>
                <w:sz w:val="16"/>
              </w:rPr>
              <w:t>Threshold models; institutional moderators; financial-development clubs; dynamic causality.</w:t>
            </w:r>
          </w:p>
        </w:tc>
        <w:tc>
          <w:tcPr>
            <w:tcW w:w="2232" w:type="dxa"/>
            <w:tcMar>
              <w:top w:w="80" w:type="dxa"/>
              <w:left w:w="80" w:type="dxa"/>
              <w:bottom w:w="80" w:type="dxa"/>
              <w:right w:w="80" w:type="dxa"/>
            </w:tcMar>
            <w:vAlign w:val="center"/>
          </w:tcPr>
          <w:p w14:paraId="51343E42" w14:textId="77777777" w:rsidR="00E36DCD" w:rsidRPr="00417AF0" w:rsidRDefault="00000000">
            <w:pPr>
              <w:spacing w:after="20" w:line="240" w:lineRule="auto"/>
              <w:jc w:val="left"/>
            </w:pPr>
            <w:r w:rsidRPr="00417AF0">
              <w:rPr>
                <w:sz w:val="16"/>
              </w:rPr>
              <w:t>Conditionality becomes nonlinear and explicitly institutional.</w:t>
            </w:r>
          </w:p>
        </w:tc>
        <w:tc>
          <w:tcPr>
            <w:tcW w:w="1944" w:type="dxa"/>
            <w:tcMar>
              <w:top w:w="80" w:type="dxa"/>
              <w:left w:w="80" w:type="dxa"/>
              <w:bottom w:w="80" w:type="dxa"/>
              <w:right w:w="80" w:type="dxa"/>
            </w:tcMar>
            <w:vAlign w:val="center"/>
          </w:tcPr>
          <w:p w14:paraId="5C454FCD" w14:textId="77777777" w:rsidR="00E36DCD" w:rsidRPr="00417AF0" w:rsidRDefault="00000000">
            <w:pPr>
              <w:spacing w:after="20" w:line="240" w:lineRule="auto"/>
              <w:jc w:val="left"/>
            </w:pPr>
            <w:r w:rsidRPr="00417AF0">
              <w:rPr>
                <w:sz w:val="16"/>
              </w:rPr>
              <w:t>Nguyen (2022); Nupehewa et al. (2022); Li et al. (2023); Osei &amp; Kim (2023)</w:t>
            </w:r>
          </w:p>
        </w:tc>
      </w:tr>
      <w:tr w:rsidR="00417AF0" w:rsidRPr="00417AF0" w14:paraId="1892FC55" w14:textId="77777777">
        <w:trPr>
          <w:cantSplit/>
          <w:jc w:val="center"/>
        </w:trPr>
        <w:tc>
          <w:tcPr>
            <w:tcW w:w="1656" w:type="dxa"/>
            <w:tcMar>
              <w:top w:w="80" w:type="dxa"/>
              <w:left w:w="80" w:type="dxa"/>
              <w:bottom w:w="80" w:type="dxa"/>
              <w:right w:w="80" w:type="dxa"/>
            </w:tcMar>
            <w:vAlign w:val="center"/>
          </w:tcPr>
          <w:p w14:paraId="0539477B" w14:textId="77777777" w:rsidR="00E36DCD" w:rsidRPr="00417AF0" w:rsidRDefault="00000000">
            <w:pPr>
              <w:spacing w:after="20" w:line="240" w:lineRule="auto"/>
              <w:jc w:val="left"/>
            </w:pPr>
            <w:r w:rsidRPr="00417AF0">
              <w:rPr>
                <w:sz w:val="16"/>
              </w:rPr>
              <w:t>2024–8 July 2026</w:t>
            </w:r>
          </w:p>
        </w:tc>
        <w:tc>
          <w:tcPr>
            <w:tcW w:w="1944" w:type="dxa"/>
            <w:tcMar>
              <w:top w:w="80" w:type="dxa"/>
              <w:left w:w="80" w:type="dxa"/>
              <w:bottom w:w="80" w:type="dxa"/>
              <w:right w:w="80" w:type="dxa"/>
            </w:tcMar>
            <w:vAlign w:val="center"/>
          </w:tcPr>
          <w:p w14:paraId="0177F721" w14:textId="77777777" w:rsidR="00E36DCD" w:rsidRPr="00417AF0" w:rsidRDefault="00000000">
            <w:pPr>
              <w:spacing w:after="20" w:line="240" w:lineRule="auto"/>
              <w:jc w:val="left"/>
            </w:pPr>
            <w:r w:rsidRPr="00417AF0">
              <w:rPr>
                <w:sz w:val="16"/>
              </w:rPr>
              <w:t>What kind of FDI supports sustainable, resilient and productivity-enhancing growth?</w:t>
            </w:r>
          </w:p>
        </w:tc>
        <w:tc>
          <w:tcPr>
            <w:tcW w:w="1944" w:type="dxa"/>
            <w:tcMar>
              <w:top w:w="80" w:type="dxa"/>
              <w:left w:w="80" w:type="dxa"/>
              <w:bottom w:w="80" w:type="dxa"/>
              <w:right w:w="80" w:type="dxa"/>
            </w:tcMar>
            <w:vAlign w:val="center"/>
          </w:tcPr>
          <w:p w14:paraId="72505E5D" w14:textId="77777777" w:rsidR="00E36DCD" w:rsidRPr="00417AF0" w:rsidRDefault="00000000">
            <w:pPr>
              <w:spacing w:after="20" w:line="240" w:lineRule="auto"/>
              <w:jc w:val="left"/>
            </w:pPr>
            <w:r w:rsidRPr="00417AF0">
              <w:rPr>
                <w:sz w:val="16"/>
              </w:rPr>
              <w:t>Sustainability bibliometrics; TFP analysis; geopolitical-risk mapping; project-composition analysis.</w:t>
            </w:r>
          </w:p>
        </w:tc>
        <w:tc>
          <w:tcPr>
            <w:tcW w:w="2232" w:type="dxa"/>
            <w:tcMar>
              <w:top w:w="80" w:type="dxa"/>
              <w:left w:w="80" w:type="dxa"/>
              <w:bottom w:w="80" w:type="dxa"/>
              <w:right w:w="80" w:type="dxa"/>
            </w:tcMar>
            <w:vAlign w:val="center"/>
          </w:tcPr>
          <w:p w14:paraId="10410A87" w14:textId="77777777" w:rsidR="00E36DCD" w:rsidRPr="00417AF0" w:rsidRDefault="00000000">
            <w:pPr>
              <w:spacing w:after="20" w:line="240" w:lineRule="auto"/>
              <w:jc w:val="left"/>
            </w:pPr>
            <w:r w:rsidRPr="00417AF0">
              <w:rPr>
                <w:sz w:val="16"/>
              </w:rPr>
              <w:t>Focus moves from FDI volume to quality, sector, resilience and development additionality.</w:t>
            </w:r>
          </w:p>
        </w:tc>
        <w:tc>
          <w:tcPr>
            <w:tcW w:w="1944" w:type="dxa"/>
            <w:tcMar>
              <w:top w:w="80" w:type="dxa"/>
              <w:left w:w="80" w:type="dxa"/>
              <w:bottom w:w="80" w:type="dxa"/>
              <w:right w:w="80" w:type="dxa"/>
            </w:tcMar>
            <w:vAlign w:val="center"/>
          </w:tcPr>
          <w:p w14:paraId="2A3D9BE9" w14:textId="77777777" w:rsidR="00E36DCD" w:rsidRPr="00417AF0" w:rsidRDefault="00000000">
            <w:pPr>
              <w:spacing w:after="20" w:line="240" w:lineRule="auto"/>
              <w:jc w:val="left"/>
            </w:pPr>
            <w:r w:rsidRPr="00417AF0">
              <w:rPr>
                <w:sz w:val="16"/>
              </w:rPr>
              <w:t>Le et al. (2024); Rodríguez-Chávez et al. (2024); Farzam &amp; Dhume-Shinkre (2026); UNCTAD (2026)</w:t>
            </w:r>
          </w:p>
        </w:tc>
      </w:tr>
    </w:tbl>
    <w:p w14:paraId="59E715AE" w14:textId="77777777" w:rsidR="00E36DCD" w:rsidRPr="00417AF0" w:rsidRDefault="00000000">
      <w:pPr>
        <w:spacing w:before="60" w:after="120"/>
      </w:pPr>
      <w:r w:rsidRPr="00417AF0">
        <w:rPr>
          <w:b/>
          <w:sz w:val="17"/>
        </w:rPr>
        <w:t xml:space="preserve">Note. </w:t>
      </w:r>
      <w:r w:rsidRPr="00417AF0">
        <w:rPr>
          <w:sz w:val="17"/>
        </w:rPr>
        <w:t>FDI = foreign direct investment; TFP = total factor productivity. Periods are analytical phases and themes overlap.</w:t>
      </w:r>
    </w:p>
    <w:p w14:paraId="11379505" w14:textId="77777777" w:rsidR="00E36DCD" w:rsidRPr="00417AF0" w:rsidRDefault="00000000">
      <w:pPr>
        <w:pStyle w:val="Heading1"/>
        <w:rPr>
          <w:color w:val="auto"/>
        </w:rPr>
      </w:pPr>
      <w:r w:rsidRPr="00417AF0">
        <w:rPr>
          <w:color w:val="auto"/>
        </w:rPr>
        <w:t>6. What Has the Bibliometric Core Actually Established?</w:t>
      </w:r>
    </w:p>
    <w:p w14:paraId="1C5CAE5F" w14:textId="77777777" w:rsidR="00E36DCD" w:rsidRPr="00417AF0" w:rsidRDefault="00000000">
      <w:pPr>
        <w:ind w:firstLine="317"/>
      </w:pPr>
      <w:r w:rsidRPr="00417AF0">
        <w:t>Bibliometric centrality and empirical truth are not the same object. The persistent co-occurrence of “foreign direct investment” and “economic growth” establishes that scholars repeatedly study the relationship, not that they have agreed on its sign or causal magnitude. Citation dominance of Borensztein et al. (1998) or Alfaro et al. (2004) shows that human capital and financial development became influential explanatory frameworks. It does not mean that every host economy must satisfy a universal human-capital or finance threshold. A critical synthesis must therefore translate bibliometric prominence into testable propositions and then evaluate the underlying evidence.</w:t>
      </w:r>
    </w:p>
    <w:p w14:paraId="2A9A25EA" w14:textId="77777777" w:rsidR="00E36DCD" w:rsidRPr="00417AF0" w:rsidRDefault="00000000">
      <w:pPr>
        <w:pStyle w:val="Heading2"/>
        <w:rPr>
          <w:color w:val="auto"/>
        </w:rPr>
      </w:pPr>
      <w:r w:rsidRPr="00417AF0">
        <w:rPr>
          <w:color w:val="auto"/>
        </w:rPr>
        <w:t>6.1 The Average Growth Effect Is Positive in Some Syntheses but Not Universal</w:t>
      </w:r>
    </w:p>
    <w:p w14:paraId="76AD4CB5" w14:textId="77777777" w:rsidR="00E36DCD" w:rsidRPr="00417AF0" w:rsidRDefault="00000000">
      <w:pPr>
        <w:ind w:firstLine="317"/>
      </w:pPr>
      <w:r w:rsidRPr="00417AF0">
        <w:t>The strongest argument for a positive average effect comes from broad cross-country syntheses and panel models. Iamsiraroj and Ulubaşoğlu (2015) found a positive relationship in a global sample after reviewing the heterogeneous prior literature. Li and Liu (2005) also reported a positive long-run association while emphasising increasing endogeneity between FDI and growth. More recent middle-income-country evidence continues to report positive associations between FDI, productivity and growth (Le et al., 2024). These results make it unreasonable to claim that FDI is generally unrelated to growth. Yet they do not justify the stronger claim that an additional unit of FDI will reliably cause a similar increase in growth across contexts.</w:t>
      </w:r>
    </w:p>
    <w:p w14:paraId="7164BFA0" w14:textId="77777777" w:rsidR="00E36DCD" w:rsidRPr="00417AF0" w:rsidRDefault="00000000">
      <w:pPr>
        <w:ind w:firstLine="317"/>
      </w:pPr>
      <w:r w:rsidRPr="00417AF0">
        <w:t xml:space="preserve">Three reasons limit universality. First, model estimates are sensitive to how FDI is scaled—by GDP, population or fixed capital formation—and to whether contemporaneous or lagged values are used. Second, unobserved reforms can raise both FDI and growth, creating upward bias. Third, FDI itself is heterogeneous: greenfield investment, mergers and acquisitions, reinvested earnings and intra-company financing can have </w:t>
      </w:r>
      <w:r w:rsidRPr="00417AF0">
        <w:lastRenderedPageBreak/>
        <w:t>different domestic effects. The historical literature often treats these components as one variable because data constraints made finer decomposition difficult. In a global investment system increasingly dominated by strategic megaprojects and sector-specific shocks, that aggregation is becoming less defensible (UNCTAD, 2026).</w:t>
      </w:r>
    </w:p>
    <w:p w14:paraId="41185157" w14:textId="77777777" w:rsidR="00E36DCD" w:rsidRPr="00417AF0" w:rsidRDefault="00000000">
      <w:pPr>
        <w:pStyle w:val="Heading2"/>
        <w:rPr>
          <w:color w:val="auto"/>
        </w:rPr>
      </w:pPr>
      <w:r w:rsidRPr="00417AF0">
        <w:rPr>
          <w:color w:val="auto"/>
        </w:rPr>
        <w:t>6.2 Spillovers Are More Credible Through Linkages Than Through Mere Foreign Presence</w:t>
      </w:r>
    </w:p>
    <w:p w14:paraId="5CF545F4" w14:textId="77777777" w:rsidR="00E36DCD" w:rsidRPr="00417AF0" w:rsidRDefault="00000000">
      <w:pPr>
        <w:ind w:firstLine="317"/>
      </w:pPr>
      <w:r w:rsidRPr="00417AF0">
        <w:t>Firm-level evidence provides one of the clearest explanations for mixed macro results. Aitken and Harrison (1999) found that domestic firms did not automatically gain from foreign presence in their industry, while Javorcik (2004) identified productivity benefits through backward linkages to local suppliers. The distinction is important because multinational firms may have incentives to prevent knowledge leakage to direct competitors while actively assisting suppliers to meet quality, timing and technical standards. In that sense, “spillover” is not a single externality but a family of mechanisms with different incentive structures.</w:t>
      </w:r>
    </w:p>
    <w:p w14:paraId="48898931" w14:textId="77777777" w:rsidR="00E36DCD" w:rsidRPr="00417AF0" w:rsidRDefault="00000000">
      <w:pPr>
        <w:ind w:firstLine="317"/>
      </w:pPr>
      <w:r w:rsidRPr="00417AF0">
        <w:t>Meta-analyses reinforce this conditional interpretation. Meyer and Sinani (2009) show that the relationship between foreign presence and spillovers varies with the host economy’s level of development and institutional characteristics, while Wooster and Diebel (2010) find that reported productivity spillovers in developing countries differ by region and study design. Görg and Greenaway (2004) similarly conclude that robust domestic-firm benefits are less pervasive than the optimistic policy narrative suggests. These findings imply that the most policy-relevant object is not the stock of foreign firms but the architecture of domestic linkages: supplier development, labour mobility, collaborative innovation and competitive upgrading.</w:t>
      </w:r>
    </w:p>
    <w:p w14:paraId="5F60F7B0" w14:textId="77777777" w:rsidR="00E36DCD" w:rsidRPr="00417AF0" w:rsidRDefault="00000000">
      <w:pPr>
        <w:pStyle w:val="Heading2"/>
        <w:rPr>
          <w:color w:val="auto"/>
        </w:rPr>
      </w:pPr>
      <w:r w:rsidRPr="00417AF0">
        <w:rPr>
          <w:color w:val="auto"/>
        </w:rPr>
        <w:t>6.3 Financial Development and Institutions Are Moderators, Not Simple Prerequisites</w:t>
      </w:r>
    </w:p>
    <w:p w14:paraId="260B0171" w14:textId="77777777" w:rsidR="00E36DCD" w:rsidRPr="00417AF0" w:rsidRDefault="00000000">
      <w:pPr>
        <w:ind w:firstLine="317"/>
      </w:pPr>
      <w:r w:rsidRPr="00417AF0">
        <w:t>The bibliometric rise of financial-development and institutional keywords reflects substantial empirical support, but simple threshold stories can still be misleading. Alfaro et al. (2004) established that local financial markets condition FDI’s growth contribution. Later work shows that the interaction may be nonlinear and sector-specific. Osei and Kim (2023) find heterogeneity across convergence clubs, and Asamoah and Alagidede (2023) show that financial development interacts differently with FDI across real sectors. The policy implication is more nuanced than “deepen finance first”. Financial systems must allocate credit towards firms that can exploit foreign linkages; excessive or poorly allocated credit can coexist with weak productivity transmission.</w:t>
      </w:r>
    </w:p>
    <w:p w14:paraId="0F43121D" w14:textId="77777777" w:rsidR="00E36DCD" w:rsidRPr="00417AF0" w:rsidRDefault="00000000">
      <w:pPr>
        <w:ind w:firstLine="317"/>
      </w:pPr>
      <w:r w:rsidRPr="00417AF0">
        <w:t>Institutional quality exhibits the same problem. Li et al. (2023) identify political stability as especially important for FDI-related growth effects, while Nguyen and Ho (2025) report institutional thresholds in ASEAN. These results are theoretically plausible because instability shortens investment horizons and undermines contracting. However, institutional measures are highly correlated with income, state capacity, education and financial depth. Threshold coefficients can therefore combine several latent dimensions of development. Strong causal claims require designs that exploit exogenous institutional changes or credible natural experiments rather than relying exclusively on cross-country indices.</w:t>
      </w:r>
    </w:p>
    <w:p w14:paraId="1B1A8FA5" w14:textId="77777777" w:rsidR="00E36DCD" w:rsidRPr="00417AF0" w:rsidRDefault="00000000">
      <w:pPr>
        <w:ind w:firstLine="317"/>
      </w:pPr>
      <w:r w:rsidRPr="00417AF0">
        <w:t xml:space="preserve">Earlier international evidence on economic freedom points in the same direction but also illustrates the risks of broad composite moderators. Azman-Saini et al. (2010) found that the growth contribution associated with FDI was conditional on the host economy's degree of economic freedom. Such measures combine elements of regulation, property rights, trade policy and market institutions, so a significant interaction does not reveal which institutional mechanism is decisive. The result is best read as evidence against an unconditional FDI dividend rather than as a licence to rank countries by a single institutional score. A more mature research programme would connect specific institutional functions to specific transmission channels: contract enforcement to supplier relationships, competition policy to horizontal </w:t>
      </w:r>
      <w:r w:rsidRPr="00417AF0">
        <w:lastRenderedPageBreak/>
        <w:t>spillovers, customs efficiency to imported intermediate inputs, and political stability to the time horizon of irreversible investment.</w:t>
      </w:r>
    </w:p>
    <w:p w14:paraId="65056DC1" w14:textId="77777777" w:rsidR="00E36DCD" w:rsidRPr="00417AF0" w:rsidRDefault="00000000">
      <w:pPr>
        <w:pStyle w:val="Heading2"/>
        <w:rPr>
          <w:color w:val="auto"/>
        </w:rPr>
      </w:pPr>
      <w:r w:rsidRPr="00417AF0">
        <w:rPr>
          <w:color w:val="auto"/>
        </w:rPr>
        <w:t>6.4 Endogeneity, Publication Selection and Measurement Explain Much of the Disagreement</w:t>
      </w:r>
    </w:p>
    <w:p w14:paraId="1C506387" w14:textId="77777777" w:rsidR="00E36DCD" w:rsidRPr="00417AF0" w:rsidRDefault="00000000">
      <w:pPr>
        <w:ind w:firstLine="317"/>
      </w:pPr>
      <w:r w:rsidRPr="00417AF0">
        <w:t>Endogeneity is the central methodological fault line. Rapid growth attracts FDI, as Ghazalian (2024) demonstrates directly, while policy liberalisation can simultaneously increase both variables. Dynamic panel estimators, instrumental variables and vector autoregressions attempt to address this problem, but their validity depends on instrument strength, lag structure and identifying assumptions. When studies use internal lags as instruments in persistent panels, instrument proliferation can itself weaken inference. The literature’s move towards system generalised method of moments and other dynamic estimators therefore improves temporal modelling without automatically guaranteeing causal identification.</w:t>
      </w:r>
    </w:p>
    <w:p w14:paraId="5306E06C" w14:textId="77777777" w:rsidR="00E36DCD" w:rsidRPr="00417AF0" w:rsidRDefault="00000000">
      <w:pPr>
        <w:ind w:firstLine="317"/>
      </w:pPr>
      <w:r w:rsidRPr="00417AF0">
        <w:t>Publication selection adds another layer. Gunby et al. (2017) found that the apparent growth effect of FDI in China became small and statistically weak after adjusting for publication bias and preferred specifications. Iamsiraroj and Ulubaşoğlu’s (2015) review similarly revealed a highly dispersed distribution of published estimates. These patterns suggest that a bibliometric map dominated by positively framed influential papers may overstate the consistency of the underlying evidence. Citation systems reward clear findings and influential mechanisms; they do not ensure that null estimates receive proportional visibility.</w:t>
      </w:r>
    </w:p>
    <w:p w14:paraId="49DC79C8" w14:textId="77777777" w:rsidR="00E36DCD" w:rsidRPr="00417AF0" w:rsidRDefault="00000000">
      <w:pPr>
        <w:ind w:firstLine="317"/>
      </w:pPr>
      <w:r w:rsidRPr="00417AF0">
        <w:t>Measurement is equally consequential. Aggregate FDI flows do not reveal whether capital entered through greenfield establishment or acquisition, whether the project was implemented, whether profits were reinvested, or whether domestic value added increased. Hornstein (2024) shows the importance of distinguishing approved from realised FDI in Asian economies. Environmental studies further demonstrate that the same growth-enhancing investment can alter energy use or emissions, so gross domestic product alone may be an incomplete welfare metric (Abdouli &amp; Hammami, 2017; Lee, 2013; Zhu et al., 2016). The contemporary literature is therefore converging on a broader measurement principle: assess the composition, implementation and externalities of FDI, not only its nominal inflow.</w:t>
      </w:r>
    </w:p>
    <w:p w14:paraId="2A38D2BC" w14:textId="77777777" w:rsidR="00E36DCD" w:rsidRPr="00417AF0" w:rsidRDefault="00000000">
      <w:pPr>
        <w:ind w:firstLine="317"/>
      </w:pPr>
      <w:r w:rsidRPr="00417AF0">
        <w:t>Table 4 brings together the main convergent and conflicting findings. The disagreements are not random. They cluster around level of analysis, moderator choice, identification strategy and outcome definition. This structure supports a conditional synthesis rather than either an optimistic or pessimistic verdict on FDI.</w:t>
      </w:r>
    </w:p>
    <w:p w14:paraId="60F95168" w14:textId="77777777" w:rsidR="00E36DCD" w:rsidRPr="00417AF0" w:rsidRDefault="00000000">
      <w:pPr>
        <w:spacing w:before="120" w:after="80"/>
      </w:pPr>
      <w:r w:rsidRPr="00417AF0">
        <w:rPr>
          <w:b/>
        </w:rPr>
        <w:t>Table 4. Convergent and conflicting evidence in the foreign direct investment–growth literature</w:t>
      </w:r>
    </w:p>
    <w:tbl>
      <w:tblPr>
        <w:tblW w:w="0" w:type="auto"/>
        <w:jc w:val="center"/>
        <w:tblLayout w:type="fixed"/>
        <w:tblLook w:val="04A0" w:firstRow="1" w:lastRow="0" w:firstColumn="1" w:lastColumn="0" w:noHBand="0" w:noVBand="1"/>
      </w:tblPr>
      <w:tblGrid>
        <w:gridCol w:w="1656"/>
        <w:gridCol w:w="1944"/>
        <w:gridCol w:w="1944"/>
        <w:gridCol w:w="2232"/>
        <w:gridCol w:w="1944"/>
      </w:tblGrid>
      <w:tr w:rsidR="00417AF0" w:rsidRPr="00417AF0" w14:paraId="67D80E4A" w14:textId="77777777">
        <w:trPr>
          <w:cantSplit/>
          <w:tblHeader/>
          <w:jc w:val="center"/>
        </w:trPr>
        <w:tc>
          <w:tcPr>
            <w:tcW w:w="1656" w:type="dxa"/>
            <w:shd w:val="clear" w:color="auto" w:fill="D9E2F3"/>
            <w:tcMar>
              <w:top w:w="80" w:type="dxa"/>
              <w:left w:w="80" w:type="dxa"/>
              <w:bottom w:w="80" w:type="dxa"/>
              <w:right w:w="80" w:type="dxa"/>
            </w:tcMar>
            <w:vAlign w:val="center"/>
          </w:tcPr>
          <w:p w14:paraId="57B4FE30" w14:textId="77777777" w:rsidR="00E36DCD" w:rsidRPr="00417AF0" w:rsidRDefault="00000000">
            <w:pPr>
              <w:spacing w:after="20" w:line="240" w:lineRule="auto"/>
              <w:jc w:val="left"/>
            </w:pPr>
            <w:r w:rsidRPr="00417AF0">
              <w:rPr>
                <w:b/>
                <w:sz w:val="16"/>
              </w:rPr>
              <w:t>Claim</w:t>
            </w:r>
          </w:p>
        </w:tc>
        <w:tc>
          <w:tcPr>
            <w:tcW w:w="1944" w:type="dxa"/>
            <w:shd w:val="clear" w:color="auto" w:fill="D9E2F3"/>
            <w:tcMar>
              <w:top w:w="80" w:type="dxa"/>
              <w:left w:w="80" w:type="dxa"/>
              <w:bottom w:w="80" w:type="dxa"/>
              <w:right w:w="80" w:type="dxa"/>
            </w:tcMar>
            <w:vAlign w:val="center"/>
          </w:tcPr>
          <w:p w14:paraId="5588577F" w14:textId="77777777" w:rsidR="00E36DCD" w:rsidRPr="00417AF0" w:rsidRDefault="00000000">
            <w:pPr>
              <w:spacing w:after="20" w:line="240" w:lineRule="auto"/>
              <w:jc w:val="left"/>
            </w:pPr>
            <w:r w:rsidRPr="00417AF0">
              <w:rPr>
                <w:b/>
                <w:sz w:val="16"/>
              </w:rPr>
              <w:t>Evidence supporting the claim</w:t>
            </w:r>
          </w:p>
        </w:tc>
        <w:tc>
          <w:tcPr>
            <w:tcW w:w="1944" w:type="dxa"/>
            <w:shd w:val="clear" w:color="auto" w:fill="D9E2F3"/>
            <w:tcMar>
              <w:top w:w="80" w:type="dxa"/>
              <w:left w:w="80" w:type="dxa"/>
              <w:bottom w:w="80" w:type="dxa"/>
              <w:right w:w="80" w:type="dxa"/>
            </w:tcMar>
            <w:vAlign w:val="center"/>
          </w:tcPr>
          <w:p w14:paraId="6A9177BA" w14:textId="77777777" w:rsidR="00E36DCD" w:rsidRPr="00417AF0" w:rsidRDefault="00000000">
            <w:pPr>
              <w:spacing w:after="20" w:line="240" w:lineRule="auto"/>
              <w:jc w:val="left"/>
            </w:pPr>
            <w:r w:rsidRPr="00417AF0">
              <w:rPr>
                <w:b/>
                <w:sz w:val="16"/>
              </w:rPr>
              <w:t>Counter-evidence / qualification</w:t>
            </w:r>
          </w:p>
        </w:tc>
        <w:tc>
          <w:tcPr>
            <w:tcW w:w="2232" w:type="dxa"/>
            <w:shd w:val="clear" w:color="auto" w:fill="D9E2F3"/>
            <w:tcMar>
              <w:top w:w="80" w:type="dxa"/>
              <w:left w:w="80" w:type="dxa"/>
              <w:bottom w:w="80" w:type="dxa"/>
              <w:right w:w="80" w:type="dxa"/>
            </w:tcMar>
            <w:vAlign w:val="center"/>
          </w:tcPr>
          <w:p w14:paraId="69AB1D8B" w14:textId="77777777" w:rsidR="00E36DCD" w:rsidRPr="00417AF0" w:rsidRDefault="00000000">
            <w:pPr>
              <w:spacing w:after="20" w:line="240" w:lineRule="auto"/>
              <w:jc w:val="left"/>
            </w:pPr>
            <w:r w:rsidRPr="00417AF0">
              <w:rPr>
                <w:b/>
                <w:sz w:val="16"/>
              </w:rPr>
              <w:t>Most plausible reconciliation</w:t>
            </w:r>
          </w:p>
        </w:tc>
        <w:tc>
          <w:tcPr>
            <w:tcW w:w="1944" w:type="dxa"/>
            <w:shd w:val="clear" w:color="auto" w:fill="D9E2F3"/>
            <w:tcMar>
              <w:top w:w="80" w:type="dxa"/>
              <w:left w:w="80" w:type="dxa"/>
              <w:bottom w:w="80" w:type="dxa"/>
              <w:right w:w="80" w:type="dxa"/>
            </w:tcMar>
            <w:vAlign w:val="center"/>
          </w:tcPr>
          <w:p w14:paraId="64994AD1" w14:textId="77777777" w:rsidR="00E36DCD" w:rsidRPr="00417AF0" w:rsidRDefault="00000000">
            <w:pPr>
              <w:spacing w:after="20" w:line="240" w:lineRule="auto"/>
              <w:jc w:val="left"/>
            </w:pPr>
            <w:r w:rsidRPr="00417AF0">
              <w:rPr>
                <w:b/>
                <w:sz w:val="16"/>
              </w:rPr>
              <w:t>Supporting references</w:t>
            </w:r>
          </w:p>
        </w:tc>
      </w:tr>
      <w:tr w:rsidR="00417AF0" w:rsidRPr="00417AF0" w14:paraId="7DC74B81" w14:textId="77777777">
        <w:trPr>
          <w:cantSplit/>
          <w:jc w:val="center"/>
        </w:trPr>
        <w:tc>
          <w:tcPr>
            <w:tcW w:w="1656" w:type="dxa"/>
            <w:tcMar>
              <w:top w:w="80" w:type="dxa"/>
              <w:left w:w="80" w:type="dxa"/>
              <w:bottom w:w="80" w:type="dxa"/>
              <w:right w:w="80" w:type="dxa"/>
            </w:tcMar>
            <w:vAlign w:val="center"/>
          </w:tcPr>
          <w:p w14:paraId="66A908F8" w14:textId="77777777" w:rsidR="00E36DCD" w:rsidRPr="00417AF0" w:rsidRDefault="00000000">
            <w:pPr>
              <w:spacing w:after="20" w:line="240" w:lineRule="auto"/>
              <w:jc w:val="left"/>
            </w:pPr>
            <w:r w:rsidRPr="00417AF0">
              <w:rPr>
                <w:sz w:val="16"/>
              </w:rPr>
              <w:t>FDI raises economic growth.</w:t>
            </w:r>
          </w:p>
        </w:tc>
        <w:tc>
          <w:tcPr>
            <w:tcW w:w="1944" w:type="dxa"/>
            <w:tcMar>
              <w:top w:w="80" w:type="dxa"/>
              <w:left w:w="80" w:type="dxa"/>
              <w:bottom w:w="80" w:type="dxa"/>
              <w:right w:w="80" w:type="dxa"/>
            </w:tcMar>
            <w:vAlign w:val="center"/>
          </w:tcPr>
          <w:p w14:paraId="7DC9F4FF" w14:textId="77777777" w:rsidR="00E36DCD" w:rsidRPr="00417AF0" w:rsidRDefault="00000000">
            <w:pPr>
              <w:spacing w:after="20" w:line="240" w:lineRule="auto"/>
              <w:jc w:val="left"/>
            </w:pPr>
            <w:r w:rsidRPr="00417AF0">
              <w:rPr>
                <w:sz w:val="16"/>
              </w:rPr>
              <w:t>Positive average associations in broad panels and some global syntheses.</w:t>
            </w:r>
          </w:p>
        </w:tc>
        <w:tc>
          <w:tcPr>
            <w:tcW w:w="1944" w:type="dxa"/>
            <w:tcMar>
              <w:top w:w="80" w:type="dxa"/>
              <w:left w:w="80" w:type="dxa"/>
              <w:bottom w:w="80" w:type="dxa"/>
              <w:right w:w="80" w:type="dxa"/>
            </w:tcMar>
            <w:vAlign w:val="center"/>
          </w:tcPr>
          <w:p w14:paraId="47C8D1D9" w14:textId="77777777" w:rsidR="00E36DCD" w:rsidRPr="00417AF0" w:rsidRDefault="00000000">
            <w:pPr>
              <w:spacing w:after="20" w:line="240" w:lineRule="auto"/>
              <w:jc w:val="left"/>
            </w:pPr>
            <w:r w:rsidRPr="00417AF0">
              <w:rPr>
                <w:sz w:val="16"/>
              </w:rPr>
              <w:t>Null or negative estimates occur; publication selection and endogeneity can inflate effects.</w:t>
            </w:r>
          </w:p>
        </w:tc>
        <w:tc>
          <w:tcPr>
            <w:tcW w:w="2232" w:type="dxa"/>
            <w:tcMar>
              <w:top w:w="80" w:type="dxa"/>
              <w:left w:w="80" w:type="dxa"/>
              <w:bottom w:w="80" w:type="dxa"/>
              <w:right w:w="80" w:type="dxa"/>
            </w:tcMar>
            <w:vAlign w:val="center"/>
          </w:tcPr>
          <w:p w14:paraId="7E274B5E" w14:textId="77777777" w:rsidR="00E36DCD" w:rsidRPr="00417AF0" w:rsidRDefault="00000000">
            <w:pPr>
              <w:spacing w:after="20" w:line="240" w:lineRule="auto"/>
              <w:jc w:val="left"/>
            </w:pPr>
            <w:r w:rsidRPr="00417AF0">
              <w:rPr>
                <w:sz w:val="16"/>
              </w:rPr>
              <w:t>Average effects may be positive while country- and period-specific effects vary substantially.</w:t>
            </w:r>
          </w:p>
        </w:tc>
        <w:tc>
          <w:tcPr>
            <w:tcW w:w="1944" w:type="dxa"/>
            <w:tcMar>
              <w:top w:w="80" w:type="dxa"/>
              <w:left w:w="80" w:type="dxa"/>
              <w:bottom w:w="80" w:type="dxa"/>
              <w:right w:w="80" w:type="dxa"/>
            </w:tcMar>
            <w:vAlign w:val="center"/>
          </w:tcPr>
          <w:p w14:paraId="448357AC" w14:textId="77777777" w:rsidR="00E36DCD" w:rsidRPr="00417AF0" w:rsidRDefault="00000000">
            <w:pPr>
              <w:spacing w:after="20" w:line="240" w:lineRule="auto"/>
              <w:jc w:val="left"/>
            </w:pPr>
            <w:r w:rsidRPr="00417AF0">
              <w:rPr>
                <w:sz w:val="16"/>
              </w:rPr>
              <w:t>Li &amp; Liu (2005); Iamsiraroj &amp; Ulubaşoğlu (2015); Gunby et al. (2017)</w:t>
            </w:r>
          </w:p>
        </w:tc>
      </w:tr>
      <w:tr w:rsidR="00417AF0" w:rsidRPr="00417AF0" w14:paraId="315E2A75" w14:textId="77777777">
        <w:trPr>
          <w:cantSplit/>
          <w:jc w:val="center"/>
        </w:trPr>
        <w:tc>
          <w:tcPr>
            <w:tcW w:w="1656" w:type="dxa"/>
            <w:tcMar>
              <w:top w:w="80" w:type="dxa"/>
              <w:left w:w="80" w:type="dxa"/>
              <w:bottom w:w="80" w:type="dxa"/>
              <w:right w:w="80" w:type="dxa"/>
            </w:tcMar>
            <w:vAlign w:val="center"/>
          </w:tcPr>
          <w:p w14:paraId="61A894E3" w14:textId="77777777" w:rsidR="00E36DCD" w:rsidRPr="00417AF0" w:rsidRDefault="00000000">
            <w:pPr>
              <w:spacing w:after="20" w:line="240" w:lineRule="auto"/>
              <w:jc w:val="left"/>
            </w:pPr>
            <w:r w:rsidRPr="00417AF0">
              <w:rPr>
                <w:sz w:val="16"/>
              </w:rPr>
              <w:t>FDI generates technology spillovers to domestic firms.</w:t>
            </w:r>
          </w:p>
        </w:tc>
        <w:tc>
          <w:tcPr>
            <w:tcW w:w="1944" w:type="dxa"/>
            <w:tcMar>
              <w:top w:w="80" w:type="dxa"/>
              <w:left w:w="80" w:type="dxa"/>
              <w:bottom w:w="80" w:type="dxa"/>
              <w:right w:w="80" w:type="dxa"/>
            </w:tcMar>
            <w:vAlign w:val="center"/>
          </w:tcPr>
          <w:p w14:paraId="1B64C094" w14:textId="77777777" w:rsidR="00E36DCD" w:rsidRPr="00417AF0" w:rsidRDefault="00000000">
            <w:pPr>
              <w:spacing w:after="20" w:line="240" w:lineRule="auto"/>
              <w:jc w:val="left"/>
            </w:pPr>
            <w:r w:rsidRPr="00417AF0">
              <w:rPr>
                <w:sz w:val="16"/>
              </w:rPr>
              <w:t>Backward-linkage evidence shows supplier productivity gains.</w:t>
            </w:r>
          </w:p>
        </w:tc>
        <w:tc>
          <w:tcPr>
            <w:tcW w:w="1944" w:type="dxa"/>
            <w:tcMar>
              <w:top w:w="80" w:type="dxa"/>
              <w:left w:w="80" w:type="dxa"/>
              <w:bottom w:w="80" w:type="dxa"/>
              <w:right w:w="80" w:type="dxa"/>
            </w:tcMar>
            <w:vAlign w:val="center"/>
          </w:tcPr>
          <w:p w14:paraId="033CA7C4" w14:textId="77777777" w:rsidR="00E36DCD" w:rsidRPr="00417AF0" w:rsidRDefault="00000000">
            <w:pPr>
              <w:spacing w:after="20" w:line="240" w:lineRule="auto"/>
              <w:jc w:val="left"/>
            </w:pPr>
            <w:r w:rsidRPr="00417AF0">
              <w:rPr>
                <w:sz w:val="16"/>
              </w:rPr>
              <w:t>Horizontal spillovers to competitors are often weak or negative.</w:t>
            </w:r>
          </w:p>
        </w:tc>
        <w:tc>
          <w:tcPr>
            <w:tcW w:w="2232" w:type="dxa"/>
            <w:tcMar>
              <w:top w:w="80" w:type="dxa"/>
              <w:left w:w="80" w:type="dxa"/>
              <w:bottom w:w="80" w:type="dxa"/>
              <w:right w:w="80" w:type="dxa"/>
            </w:tcMar>
            <w:vAlign w:val="center"/>
          </w:tcPr>
          <w:p w14:paraId="48FCADF2" w14:textId="77777777" w:rsidR="00E36DCD" w:rsidRPr="00417AF0" w:rsidRDefault="00000000">
            <w:pPr>
              <w:spacing w:after="20" w:line="240" w:lineRule="auto"/>
              <w:jc w:val="left"/>
            </w:pPr>
            <w:r w:rsidRPr="00417AF0">
              <w:rPr>
                <w:sz w:val="16"/>
              </w:rPr>
              <w:t>Incentives favour vertical knowledge transfer more than leakage to direct rivals.</w:t>
            </w:r>
          </w:p>
        </w:tc>
        <w:tc>
          <w:tcPr>
            <w:tcW w:w="1944" w:type="dxa"/>
            <w:tcMar>
              <w:top w:w="80" w:type="dxa"/>
              <w:left w:w="80" w:type="dxa"/>
              <w:bottom w:w="80" w:type="dxa"/>
              <w:right w:w="80" w:type="dxa"/>
            </w:tcMar>
            <w:vAlign w:val="center"/>
          </w:tcPr>
          <w:p w14:paraId="20A9E90C" w14:textId="77777777" w:rsidR="00E36DCD" w:rsidRPr="00417AF0" w:rsidRDefault="00000000">
            <w:pPr>
              <w:spacing w:after="20" w:line="240" w:lineRule="auto"/>
              <w:jc w:val="left"/>
            </w:pPr>
            <w:r w:rsidRPr="00417AF0">
              <w:rPr>
                <w:sz w:val="16"/>
              </w:rPr>
              <w:t>Aitken &amp; Harrison (1999); Javorcik (2004); Görg &amp; Greenaway (2004)</w:t>
            </w:r>
          </w:p>
        </w:tc>
      </w:tr>
      <w:tr w:rsidR="00417AF0" w:rsidRPr="00417AF0" w14:paraId="3634CCBB" w14:textId="77777777">
        <w:trPr>
          <w:cantSplit/>
          <w:jc w:val="center"/>
        </w:trPr>
        <w:tc>
          <w:tcPr>
            <w:tcW w:w="1656" w:type="dxa"/>
            <w:tcMar>
              <w:top w:w="80" w:type="dxa"/>
              <w:left w:w="80" w:type="dxa"/>
              <w:bottom w:w="80" w:type="dxa"/>
              <w:right w:w="80" w:type="dxa"/>
            </w:tcMar>
            <w:vAlign w:val="center"/>
          </w:tcPr>
          <w:p w14:paraId="048F8DB8" w14:textId="77777777" w:rsidR="00E36DCD" w:rsidRPr="00417AF0" w:rsidRDefault="00000000">
            <w:pPr>
              <w:spacing w:after="20" w:line="240" w:lineRule="auto"/>
              <w:jc w:val="left"/>
            </w:pPr>
            <w:r w:rsidRPr="00417AF0">
              <w:rPr>
                <w:sz w:val="16"/>
              </w:rPr>
              <w:t>Financial development enables FDI-led growth.</w:t>
            </w:r>
          </w:p>
        </w:tc>
        <w:tc>
          <w:tcPr>
            <w:tcW w:w="1944" w:type="dxa"/>
            <w:tcMar>
              <w:top w:w="80" w:type="dxa"/>
              <w:left w:w="80" w:type="dxa"/>
              <w:bottom w:w="80" w:type="dxa"/>
              <w:right w:w="80" w:type="dxa"/>
            </w:tcMar>
            <w:vAlign w:val="center"/>
          </w:tcPr>
          <w:p w14:paraId="123C7CB3" w14:textId="77777777" w:rsidR="00E36DCD" w:rsidRPr="00417AF0" w:rsidRDefault="00000000">
            <w:pPr>
              <w:spacing w:after="20" w:line="240" w:lineRule="auto"/>
              <w:jc w:val="left"/>
            </w:pPr>
            <w:r w:rsidRPr="00417AF0">
              <w:rPr>
                <w:sz w:val="16"/>
              </w:rPr>
              <w:t>Financial-market development strengthens FDI benefits in influential cross-country work.</w:t>
            </w:r>
          </w:p>
        </w:tc>
        <w:tc>
          <w:tcPr>
            <w:tcW w:w="1944" w:type="dxa"/>
            <w:tcMar>
              <w:top w:w="80" w:type="dxa"/>
              <w:left w:w="80" w:type="dxa"/>
              <w:bottom w:w="80" w:type="dxa"/>
              <w:right w:w="80" w:type="dxa"/>
            </w:tcMar>
            <w:vAlign w:val="center"/>
          </w:tcPr>
          <w:p w14:paraId="3588A2FD" w14:textId="77777777" w:rsidR="00E36DCD" w:rsidRPr="00417AF0" w:rsidRDefault="00000000">
            <w:pPr>
              <w:spacing w:after="20" w:line="240" w:lineRule="auto"/>
              <w:jc w:val="left"/>
            </w:pPr>
            <w:r w:rsidRPr="00417AF0">
              <w:rPr>
                <w:sz w:val="16"/>
              </w:rPr>
              <w:t>Later studies report nonlinear, club-specific and sector-specific effects.</w:t>
            </w:r>
          </w:p>
        </w:tc>
        <w:tc>
          <w:tcPr>
            <w:tcW w:w="2232" w:type="dxa"/>
            <w:tcMar>
              <w:top w:w="80" w:type="dxa"/>
              <w:left w:w="80" w:type="dxa"/>
              <w:bottom w:w="80" w:type="dxa"/>
              <w:right w:w="80" w:type="dxa"/>
            </w:tcMar>
            <w:vAlign w:val="center"/>
          </w:tcPr>
          <w:p w14:paraId="55E19415" w14:textId="77777777" w:rsidR="00E36DCD" w:rsidRPr="00417AF0" w:rsidRDefault="00000000">
            <w:pPr>
              <w:spacing w:after="20" w:line="240" w:lineRule="auto"/>
              <w:jc w:val="left"/>
            </w:pPr>
            <w:r w:rsidRPr="00417AF0">
              <w:rPr>
                <w:sz w:val="16"/>
              </w:rPr>
              <w:t>Finance is an allocation mechanism whose quality and stage of development matter as much as depth.</w:t>
            </w:r>
          </w:p>
        </w:tc>
        <w:tc>
          <w:tcPr>
            <w:tcW w:w="1944" w:type="dxa"/>
            <w:tcMar>
              <w:top w:w="80" w:type="dxa"/>
              <w:left w:w="80" w:type="dxa"/>
              <w:bottom w:w="80" w:type="dxa"/>
              <w:right w:w="80" w:type="dxa"/>
            </w:tcMar>
            <w:vAlign w:val="center"/>
          </w:tcPr>
          <w:p w14:paraId="49FAD11B" w14:textId="77777777" w:rsidR="00E36DCD" w:rsidRPr="00417AF0" w:rsidRDefault="00000000">
            <w:pPr>
              <w:spacing w:after="20" w:line="240" w:lineRule="auto"/>
              <w:jc w:val="left"/>
            </w:pPr>
            <w:r w:rsidRPr="00417AF0">
              <w:rPr>
                <w:sz w:val="16"/>
              </w:rPr>
              <w:t>Alfaro et al. (2004); Asamoah &amp; Alagidede (2023); Osei &amp; Kim (2023)</w:t>
            </w:r>
          </w:p>
        </w:tc>
      </w:tr>
      <w:tr w:rsidR="00417AF0" w:rsidRPr="00417AF0" w14:paraId="1EF92E42" w14:textId="77777777">
        <w:trPr>
          <w:cantSplit/>
          <w:jc w:val="center"/>
        </w:trPr>
        <w:tc>
          <w:tcPr>
            <w:tcW w:w="1656" w:type="dxa"/>
            <w:tcMar>
              <w:top w:w="80" w:type="dxa"/>
              <w:left w:w="80" w:type="dxa"/>
              <w:bottom w:w="80" w:type="dxa"/>
              <w:right w:w="80" w:type="dxa"/>
            </w:tcMar>
            <w:vAlign w:val="center"/>
          </w:tcPr>
          <w:p w14:paraId="229EE632" w14:textId="77777777" w:rsidR="00E36DCD" w:rsidRPr="00417AF0" w:rsidRDefault="00000000">
            <w:pPr>
              <w:spacing w:after="20" w:line="240" w:lineRule="auto"/>
              <w:jc w:val="left"/>
            </w:pPr>
            <w:r w:rsidRPr="00417AF0">
              <w:rPr>
                <w:sz w:val="16"/>
              </w:rPr>
              <w:t>Good institutions are required for positive effects.</w:t>
            </w:r>
          </w:p>
        </w:tc>
        <w:tc>
          <w:tcPr>
            <w:tcW w:w="1944" w:type="dxa"/>
            <w:tcMar>
              <w:top w:w="80" w:type="dxa"/>
              <w:left w:w="80" w:type="dxa"/>
              <w:bottom w:w="80" w:type="dxa"/>
              <w:right w:w="80" w:type="dxa"/>
            </w:tcMar>
            <w:vAlign w:val="center"/>
          </w:tcPr>
          <w:p w14:paraId="44F1D1D9" w14:textId="77777777" w:rsidR="00E36DCD" w:rsidRPr="00417AF0" w:rsidRDefault="00000000">
            <w:pPr>
              <w:spacing w:after="20" w:line="240" w:lineRule="auto"/>
              <w:jc w:val="left"/>
            </w:pPr>
            <w:r w:rsidRPr="00417AF0">
              <w:rPr>
                <w:sz w:val="16"/>
              </w:rPr>
              <w:t>Political stability and institutional thresholds are associated with stronger growth effects.</w:t>
            </w:r>
          </w:p>
        </w:tc>
        <w:tc>
          <w:tcPr>
            <w:tcW w:w="1944" w:type="dxa"/>
            <w:tcMar>
              <w:top w:w="80" w:type="dxa"/>
              <w:left w:w="80" w:type="dxa"/>
              <w:bottom w:w="80" w:type="dxa"/>
              <w:right w:w="80" w:type="dxa"/>
            </w:tcMar>
            <w:vAlign w:val="center"/>
          </w:tcPr>
          <w:p w14:paraId="0C0C48D4" w14:textId="77777777" w:rsidR="00E36DCD" w:rsidRPr="00417AF0" w:rsidRDefault="00000000">
            <w:pPr>
              <w:spacing w:after="20" w:line="240" w:lineRule="auto"/>
              <w:jc w:val="left"/>
            </w:pPr>
            <w:r w:rsidRPr="00417AF0">
              <w:rPr>
                <w:sz w:val="16"/>
              </w:rPr>
              <w:t>Institutional proxies overlap with broader development and may be endogenous.</w:t>
            </w:r>
          </w:p>
        </w:tc>
        <w:tc>
          <w:tcPr>
            <w:tcW w:w="2232" w:type="dxa"/>
            <w:tcMar>
              <w:top w:w="80" w:type="dxa"/>
              <w:left w:w="80" w:type="dxa"/>
              <w:bottom w:w="80" w:type="dxa"/>
              <w:right w:w="80" w:type="dxa"/>
            </w:tcMar>
            <w:vAlign w:val="center"/>
          </w:tcPr>
          <w:p w14:paraId="4E529C12" w14:textId="77777777" w:rsidR="00E36DCD" w:rsidRPr="00417AF0" w:rsidRDefault="00000000">
            <w:pPr>
              <w:spacing w:after="20" w:line="240" w:lineRule="auto"/>
              <w:jc w:val="left"/>
            </w:pPr>
            <w:r w:rsidRPr="00417AF0">
              <w:rPr>
                <w:sz w:val="16"/>
              </w:rPr>
              <w:t>Institutional capacity is likely important, but causal thresholds are context-specific rather than universal.</w:t>
            </w:r>
          </w:p>
        </w:tc>
        <w:tc>
          <w:tcPr>
            <w:tcW w:w="1944" w:type="dxa"/>
            <w:tcMar>
              <w:top w:w="80" w:type="dxa"/>
              <w:left w:w="80" w:type="dxa"/>
              <w:bottom w:w="80" w:type="dxa"/>
              <w:right w:w="80" w:type="dxa"/>
            </w:tcMar>
            <w:vAlign w:val="center"/>
          </w:tcPr>
          <w:p w14:paraId="523A3B13" w14:textId="77777777" w:rsidR="00E36DCD" w:rsidRPr="00417AF0" w:rsidRDefault="00000000">
            <w:pPr>
              <w:spacing w:after="20" w:line="240" w:lineRule="auto"/>
              <w:jc w:val="left"/>
            </w:pPr>
            <w:r w:rsidRPr="00417AF0">
              <w:rPr>
                <w:sz w:val="16"/>
              </w:rPr>
              <w:t>Li et al. (2023); Nguyen &amp; Ho (2025)</w:t>
            </w:r>
          </w:p>
        </w:tc>
      </w:tr>
      <w:tr w:rsidR="00417AF0" w:rsidRPr="00417AF0" w14:paraId="57D6CD56" w14:textId="77777777">
        <w:trPr>
          <w:cantSplit/>
          <w:jc w:val="center"/>
        </w:trPr>
        <w:tc>
          <w:tcPr>
            <w:tcW w:w="1656" w:type="dxa"/>
            <w:tcMar>
              <w:top w:w="80" w:type="dxa"/>
              <w:left w:w="80" w:type="dxa"/>
              <w:bottom w:w="80" w:type="dxa"/>
              <w:right w:w="80" w:type="dxa"/>
            </w:tcMar>
            <w:vAlign w:val="center"/>
          </w:tcPr>
          <w:p w14:paraId="58705219" w14:textId="77777777" w:rsidR="00E36DCD" w:rsidRPr="00417AF0" w:rsidRDefault="00000000">
            <w:pPr>
              <w:spacing w:after="20" w:line="240" w:lineRule="auto"/>
              <w:jc w:val="left"/>
            </w:pPr>
            <w:r w:rsidRPr="00417AF0">
              <w:rPr>
                <w:sz w:val="16"/>
              </w:rPr>
              <w:lastRenderedPageBreak/>
              <w:t>More FDI is better.</w:t>
            </w:r>
          </w:p>
        </w:tc>
        <w:tc>
          <w:tcPr>
            <w:tcW w:w="1944" w:type="dxa"/>
            <w:tcMar>
              <w:top w:w="80" w:type="dxa"/>
              <w:left w:w="80" w:type="dxa"/>
              <w:bottom w:w="80" w:type="dxa"/>
              <w:right w:w="80" w:type="dxa"/>
            </w:tcMar>
            <w:vAlign w:val="center"/>
          </w:tcPr>
          <w:p w14:paraId="680A64CB" w14:textId="77777777" w:rsidR="00E36DCD" w:rsidRPr="00417AF0" w:rsidRDefault="00000000">
            <w:pPr>
              <w:spacing w:after="20" w:line="240" w:lineRule="auto"/>
              <w:jc w:val="left"/>
            </w:pPr>
            <w:r w:rsidRPr="00417AF0">
              <w:rPr>
                <w:sz w:val="16"/>
              </w:rPr>
              <w:t>Higher realised investment can expand capital and market integration.</w:t>
            </w:r>
          </w:p>
        </w:tc>
        <w:tc>
          <w:tcPr>
            <w:tcW w:w="1944" w:type="dxa"/>
            <w:tcMar>
              <w:top w:w="80" w:type="dxa"/>
              <w:left w:w="80" w:type="dxa"/>
              <w:bottom w:w="80" w:type="dxa"/>
              <w:right w:w="80" w:type="dxa"/>
            </w:tcMar>
            <w:vAlign w:val="center"/>
          </w:tcPr>
          <w:p w14:paraId="71C9A62C" w14:textId="77777777" w:rsidR="00E36DCD" w:rsidRPr="00417AF0" w:rsidRDefault="00000000">
            <w:pPr>
              <w:spacing w:after="20" w:line="240" w:lineRule="auto"/>
              <w:jc w:val="left"/>
            </w:pPr>
            <w:r w:rsidRPr="00417AF0">
              <w:rPr>
                <w:sz w:val="16"/>
              </w:rPr>
              <w:t>Crowding-out, unrealised commitments, environmental costs and low-linkage projects can weaken benefits.</w:t>
            </w:r>
          </w:p>
        </w:tc>
        <w:tc>
          <w:tcPr>
            <w:tcW w:w="2232" w:type="dxa"/>
            <w:tcMar>
              <w:top w:w="80" w:type="dxa"/>
              <w:left w:w="80" w:type="dxa"/>
              <w:bottom w:w="80" w:type="dxa"/>
              <w:right w:w="80" w:type="dxa"/>
            </w:tcMar>
            <w:vAlign w:val="center"/>
          </w:tcPr>
          <w:p w14:paraId="5FF8CB70" w14:textId="77777777" w:rsidR="00E36DCD" w:rsidRPr="00417AF0" w:rsidRDefault="00000000">
            <w:pPr>
              <w:spacing w:after="20" w:line="240" w:lineRule="auto"/>
              <w:jc w:val="left"/>
            </w:pPr>
            <w:r w:rsidRPr="00417AF0">
              <w:rPr>
                <w:sz w:val="16"/>
              </w:rPr>
              <w:t>Composition, implementation and domestic additionality determine development value.</w:t>
            </w:r>
          </w:p>
        </w:tc>
        <w:tc>
          <w:tcPr>
            <w:tcW w:w="1944" w:type="dxa"/>
            <w:tcMar>
              <w:top w:w="80" w:type="dxa"/>
              <w:left w:w="80" w:type="dxa"/>
              <w:bottom w:w="80" w:type="dxa"/>
              <w:right w:w="80" w:type="dxa"/>
            </w:tcMar>
            <w:vAlign w:val="center"/>
          </w:tcPr>
          <w:p w14:paraId="66A15F6D" w14:textId="77777777" w:rsidR="00E36DCD" w:rsidRPr="00417AF0" w:rsidRDefault="00000000">
            <w:pPr>
              <w:spacing w:after="20" w:line="240" w:lineRule="auto"/>
              <w:jc w:val="left"/>
            </w:pPr>
            <w:r w:rsidRPr="00417AF0">
              <w:rPr>
                <w:sz w:val="16"/>
              </w:rPr>
              <w:t>Adams (2009); Hornstein (2024); UNCTAD (2026)</w:t>
            </w:r>
          </w:p>
        </w:tc>
      </w:tr>
      <w:tr w:rsidR="00417AF0" w:rsidRPr="00417AF0" w14:paraId="3F0EECA2" w14:textId="77777777">
        <w:trPr>
          <w:cantSplit/>
          <w:jc w:val="center"/>
        </w:trPr>
        <w:tc>
          <w:tcPr>
            <w:tcW w:w="1656" w:type="dxa"/>
            <w:tcMar>
              <w:top w:w="80" w:type="dxa"/>
              <w:left w:w="80" w:type="dxa"/>
              <w:bottom w:w="80" w:type="dxa"/>
              <w:right w:w="80" w:type="dxa"/>
            </w:tcMar>
            <w:vAlign w:val="center"/>
          </w:tcPr>
          <w:p w14:paraId="669035EE" w14:textId="77777777" w:rsidR="00E36DCD" w:rsidRPr="00417AF0" w:rsidRDefault="00000000">
            <w:pPr>
              <w:spacing w:after="20" w:line="240" w:lineRule="auto"/>
              <w:jc w:val="left"/>
            </w:pPr>
            <w:r w:rsidRPr="00417AF0">
              <w:rPr>
                <w:sz w:val="16"/>
              </w:rPr>
              <w:t>The causal direction is FDI → growth.</w:t>
            </w:r>
          </w:p>
        </w:tc>
        <w:tc>
          <w:tcPr>
            <w:tcW w:w="1944" w:type="dxa"/>
            <w:tcMar>
              <w:top w:w="80" w:type="dxa"/>
              <w:left w:w="80" w:type="dxa"/>
              <w:bottom w:w="80" w:type="dxa"/>
              <w:right w:w="80" w:type="dxa"/>
            </w:tcMar>
            <w:vAlign w:val="center"/>
          </w:tcPr>
          <w:p w14:paraId="4571D58F" w14:textId="77777777" w:rsidR="00E36DCD" w:rsidRPr="00417AF0" w:rsidRDefault="00000000">
            <w:pPr>
              <w:spacing w:after="20" w:line="240" w:lineRule="auto"/>
              <w:jc w:val="left"/>
            </w:pPr>
            <w:r w:rsidRPr="00417AF0">
              <w:rPr>
                <w:sz w:val="16"/>
              </w:rPr>
              <w:t>Technology and capital channels provide plausible one-way mechanisms.</w:t>
            </w:r>
          </w:p>
        </w:tc>
        <w:tc>
          <w:tcPr>
            <w:tcW w:w="1944" w:type="dxa"/>
            <w:tcMar>
              <w:top w:w="80" w:type="dxa"/>
              <w:left w:w="80" w:type="dxa"/>
              <w:bottom w:w="80" w:type="dxa"/>
              <w:right w:w="80" w:type="dxa"/>
            </w:tcMar>
            <w:vAlign w:val="center"/>
          </w:tcPr>
          <w:p w14:paraId="3B1AB095" w14:textId="77777777" w:rsidR="00E36DCD" w:rsidRPr="00417AF0" w:rsidRDefault="00000000">
            <w:pPr>
              <w:spacing w:after="20" w:line="240" w:lineRule="auto"/>
              <w:jc w:val="left"/>
            </w:pPr>
            <w:r w:rsidRPr="00417AF0">
              <w:rPr>
                <w:sz w:val="16"/>
              </w:rPr>
              <w:t>Growth also attracts FDI and regional causality patterns differ.</w:t>
            </w:r>
          </w:p>
        </w:tc>
        <w:tc>
          <w:tcPr>
            <w:tcW w:w="2232" w:type="dxa"/>
            <w:tcMar>
              <w:top w:w="80" w:type="dxa"/>
              <w:left w:w="80" w:type="dxa"/>
              <w:bottom w:w="80" w:type="dxa"/>
              <w:right w:w="80" w:type="dxa"/>
            </w:tcMar>
            <w:vAlign w:val="center"/>
          </w:tcPr>
          <w:p w14:paraId="09F5119C" w14:textId="77777777" w:rsidR="00E36DCD" w:rsidRPr="00417AF0" w:rsidRDefault="00000000">
            <w:pPr>
              <w:spacing w:after="20" w:line="240" w:lineRule="auto"/>
              <w:jc w:val="left"/>
            </w:pPr>
            <w:r w:rsidRPr="00417AF0">
              <w:rPr>
                <w:sz w:val="16"/>
              </w:rPr>
              <w:t>The nexus is dynamic and potentially bidirectional; designs must model both directions.</w:t>
            </w:r>
          </w:p>
        </w:tc>
        <w:tc>
          <w:tcPr>
            <w:tcW w:w="1944" w:type="dxa"/>
            <w:tcMar>
              <w:top w:w="80" w:type="dxa"/>
              <w:left w:w="80" w:type="dxa"/>
              <w:bottom w:w="80" w:type="dxa"/>
              <w:right w:w="80" w:type="dxa"/>
            </w:tcMar>
            <w:vAlign w:val="center"/>
          </w:tcPr>
          <w:p w14:paraId="19B13A1B" w14:textId="77777777" w:rsidR="00E36DCD" w:rsidRPr="00417AF0" w:rsidRDefault="00000000">
            <w:pPr>
              <w:spacing w:after="20" w:line="240" w:lineRule="auto"/>
              <w:jc w:val="left"/>
            </w:pPr>
            <w:r w:rsidRPr="00417AF0">
              <w:rPr>
                <w:sz w:val="16"/>
              </w:rPr>
              <w:t>Ghazalian (2024); Li &amp; Liu (2005); Nupehewa et al. (2022)</w:t>
            </w:r>
          </w:p>
        </w:tc>
      </w:tr>
    </w:tbl>
    <w:p w14:paraId="3A98DFFD" w14:textId="77777777" w:rsidR="00E36DCD" w:rsidRPr="00417AF0" w:rsidRDefault="00000000">
      <w:pPr>
        <w:spacing w:before="60" w:after="120"/>
      </w:pPr>
      <w:r w:rsidRPr="00417AF0">
        <w:rPr>
          <w:b/>
          <w:sz w:val="17"/>
        </w:rPr>
        <w:t xml:space="preserve">Note. </w:t>
      </w:r>
      <w:r w:rsidRPr="00417AF0">
        <w:rPr>
          <w:sz w:val="17"/>
        </w:rPr>
        <w:t>FDI = foreign direct investment. The table distinguishes recurring claims from context-dependent qualifications.</w:t>
      </w:r>
    </w:p>
    <w:p w14:paraId="15D5BE49" w14:textId="77777777" w:rsidR="00E36DCD" w:rsidRPr="00417AF0" w:rsidRDefault="00000000">
      <w:pPr>
        <w:pStyle w:val="Heading1"/>
        <w:rPr>
          <w:color w:val="auto"/>
        </w:rPr>
      </w:pPr>
      <w:r w:rsidRPr="00417AF0">
        <w:rPr>
          <w:color w:val="auto"/>
        </w:rPr>
        <w:t>7. Emerging Research Fronts and Policy-Relevant Reorientation</w:t>
      </w:r>
    </w:p>
    <w:p w14:paraId="43F1B409" w14:textId="77777777" w:rsidR="00E36DCD" w:rsidRPr="00417AF0" w:rsidRDefault="00000000">
      <w:pPr>
        <w:ind w:firstLine="317"/>
      </w:pPr>
      <w:r w:rsidRPr="00417AF0">
        <w:t>The next stage of FDI–growth research is likely to be organised less around the existence of a relationship and more around the quality of cross-border investment. This reorientation is already visible in bibliometric and policy evidence. Sustainability research asks whether foreign investment supports renewable energy, cleaner production and social development rather than simply increasing output. Geopolitical research asks how fragmentation and strategic risk redirect investment. Digital-economy research asks whether data centres, semiconductors and artificial-intelligence infrastructure create broad domestic productivity gains or enclave-like capital intensity. Each front requires the classic FDI–growth framework to incorporate new outcomes and moderators.</w:t>
      </w:r>
    </w:p>
    <w:p w14:paraId="2A949BFB" w14:textId="77777777" w:rsidR="00E36DCD" w:rsidRPr="00417AF0" w:rsidRDefault="00000000">
      <w:pPr>
        <w:pStyle w:val="Heading2"/>
        <w:rPr>
          <w:color w:val="auto"/>
        </w:rPr>
      </w:pPr>
      <w:r w:rsidRPr="00417AF0">
        <w:rPr>
          <w:color w:val="auto"/>
        </w:rPr>
        <w:t>7.1 Green FDI, Energy Transition and the Problem of Net Development Benefit</w:t>
      </w:r>
    </w:p>
    <w:p w14:paraId="2230B671" w14:textId="77777777" w:rsidR="00E36DCD" w:rsidRPr="00417AF0" w:rsidRDefault="00000000">
      <w:pPr>
        <w:ind w:firstLine="317"/>
      </w:pPr>
      <w:r w:rsidRPr="00417AF0">
        <w:t>Environmental research has changed the evaluative standard applied to FDI. Lee (2013) linked foreign investment with clean energy use, carbon emissions and growth, while Zhu et al. (2016) demonstrated heterogeneous emission effects across ASEAN-5. Abdouli and Hammami (2017) further examined causal relationships among environmental quality, FDI and growth in MENA economies. Fan and Hao (2020) connected renewable energy consumption, economic growth and FDI in China. These studies show that a project can contribute to output while imposing environmental costs, or support decarbonisation while generating limited local employment. The relevant policy variable is therefore net development benefit rather than gross investment volume.</w:t>
      </w:r>
    </w:p>
    <w:p w14:paraId="41D3C0C0" w14:textId="77777777" w:rsidR="00E36DCD" w:rsidRPr="00417AF0" w:rsidRDefault="00000000">
      <w:pPr>
        <w:ind w:firstLine="317"/>
      </w:pPr>
      <w:r w:rsidRPr="00417AF0">
        <w:t>The sustainability bibliometric literature confirms this widening outcome set. Rodríguez-Chávez et al. (2024) found that economic and environmental dimensions dominate the Asian FDI–sustainable-development literature, whereas social dimensions remain less studied. This imbalance is consequential. Employment quality, wage distribution, displacement, local procurement, community effects and skills formation determine whether FDI translates into inclusive development. Future thematic maps should therefore distinguish “green” or “sustainable” labels from measured environmental and social outcomes and avoid treating the presence of sustainability keywords as evidence of sustainable impact.</w:t>
      </w:r>
    </w:p>
    <w:p w14:paraId="73966C53" w14:textId="77777777" w:rsidR="00E36DCD" w:rsidRPr="00417AF0" w:rsidRDefault="00000000">
      <w:pPr>
        <w:pStyle w:val="Heading2"/>
        <w:rPr>
          <w:color w:val="auto"/>
        </w:rPr>
      </w:pPr>
      <w:r w:rsidRPr="00417AF0">
        <w:rPr>
          <w:color w:val="auto"/>
        </w:rPr>
        <w:t>7.2 Digital Infrastructure, Artificial Intelligence and Productive-Capacity Additionality</w:t>
      </w:r>
    </w:p>
    <w:p w14:paraId="6CC69F8A" w14:textId="77777777" w:rsidR="00E36DCD" w:rsidRPr="00417AF0" w:rsidRDefault="00000000">
      <w:pPr>
        <w:ind w:firstLine="317"/>
      </w:pPr>
      <w:r w:rsidRPr="00417AF0">
        <w:t xml:space="preserve">Digital infrastructure is becoming a major destination for strategic investment. UNCTAD (2026) identifies artificial-intelligence-related infrastructure as an important component of the recent recovery in global FDI. Such projects can create high-capacity data, cloud and computing infrastructure with potentially large productivity spillovers. Yet they may also be capital-intensive, energy-intensive and geographically concentrated, with limited direct employment. The traditional assumption that large FDI projects automatically deepen domestic industrialisation is therefore especially uncertain in the digital economy. </w:t>
      </w:r>
      <w:r w:rsidRPr="00417AF0">
        <w:lastRenderedPageBreak/>
        <w:t>Research must measure how foreign digital investment affects local suppliers, skills, electricity systems, data governance and downstream innovation.</w:t>
      </w:r>
    </w:p>
    <w:p w14:paraId="1AE366D9" w14:textId="77777777" w:rsidR="00E36DCD" w:rsidRPr="00417AF0" w:rsidRDefault="00000000">
      <w:pPr>
        <w:ind w:firstLine="317"/>
      </w:pPr>
      <w:r w:rsidRPr="00417AF0">
        <w:t>This front also exposes a bibliometric problem. “Digital economy”, “AI”, “data infrastructure” and “FDI” can form rapidly growing keyword clusters before long-run growth effects are measurable. Bibliographic coupling and keyword co-occurrence may detect the emergence of a front years before causal outcome studies mature. Science mapping should therefore label such clusters as attention signals rather than validated mechanisms. A useful next-generation bibliometric design would combine temporal keyword emergence with an evidence-maturity coding that distinguishes conceptual papers, investment-determinant studies, short-run project analyses and long-run productivity evaluations.</w:t>
      </w:r>
    </w:p>
    <w:p w14:paraId="20ED5419" w14:textId="77777777" w:rsidR="00E36DCD" w:rsidRPr="00417AF0" w:rsidRDefault="00000000">
      <w:pPr>
        <w:pStyle w:val="Heading2"/>
        <w:rPr>
          <w:color w:val="auto"/>
        </w:rPr>
      </w:pPr>
      <w:r w:rsidRPr="00417AF0">
        <w:rPr>
          <w:color w:val="auto"/>
        </w:rPr>
        <w:t>7.3 Geopolitical Fragmentation, Resilience and the Changing Geography of FDI</w:t>
      </w:r>
    </w:p>
    <w:p w14:paraId="4BBFFE93" w14:textId="77777777" w:rsidR="00E36DCD" w:rsidRPr="00417AF0" w:rsidRDefault="00000000">
      <w:pPr>
        <w:ind w:firstLine="317"/>
      </w:pPr>
      <w:r w:rsidRPr="00417AF0">
        <w:t>Geopolitical risk alters the FDI–growth nexus through both quantity and composition. Farzam and Dhume-Shinkre (2026) show that geopolitical uncertainty has become a rapidly developing FDI research front. Investment may be postponed under uncertainty, redirected towards politically aligned economies, or concentrated in strategic sectors subject to security screening. Such reallocation can benefit selected host economies through new manufacturing or infrastructure, but the growth effect depends on whether the relocated activity builds domestic capabilities or remains an externally controlled enclave. Friend-shoring and resilience-oriented investment should therefore not be assumed to replicate the spillovers of efficiency-seeking globalisation.</w:t>
      </w:r>
    </w:p>
    <w:p w14:paraId="1F962FC9" w14:textId="77777777" w:rsidR="00E36DCD" w:rsidRPr="00417AF0" w:rsidRDefault="00000000">
      <w:pPr>
        <w:ind w:firstLine="317"/>
      </w:pPr>
      <w:r w:rsidRPr="00417AF0">
        <w:t>The contemporary policy problem is also distributional. UNCTAD (2026) reports strong concentration of global FDI among leading host economies and strategic sectors. If geopolitical fragmentation reinforces this concentration, low-income economies may receive fewer large-scale projects even when their marginal development benefit would be high. Conversely, countries receiving strategic projects may gain bargaining power over local content, skills and infrastructure. The growth literature needs to integrate these political-economy mechanisms with its established absorptive-capacity framework.</w:t>
      </w:r>
    </w:p>
    <w:p w14:paraId="5FB3F873" w14:textId="77777777" w:rsidR="00E36DCD" w:rsidRPr="00417AF0" w:rsidRDefault="00000000">
      <w:pPr>
        <w:ind w:firstLine="317"/>
      </w:pPr>
      <w:r w:rsidRPr="00417AF0">
        <w:t>Table 5 summarises the emerging fronts and the evidence needed to move them from bibliometric visibility to defensible development conclusions. Across all fronts, the common requirement is to connect what scholars are discussing with what investment projects actually do in host economies.</w:t>
      </w:r>
    </w:p>
    <w:p w14:paraId="164F4A18" w14:textId="77777777" w:rsidR="00E36DCD" w:rsidRPr="00417AF0" w:rsidRDefault="00000000">
      <w:pPr>
        <w:spacing w:before="120" w:after="80"/>
      </w:pPr>
      <w:r w:rsidRPr="00417AF0">
        <w:rPr>
          <w:b/>
        </w:rPr>
        <w:t>Table 5. Emerging research fronts and evidence needs</w:t>
      </w:r>
    </w:p>
    <w:tbl>
      <w:tblPr>
        <w:tblW w:w="0" w:type="auto"/>
        <w:jc w:val="center"/>
        <w:tblLayout w:type="fixed"/>
        <w:tblLook w:val="04A0" w:firstRow="1" w:lastRow="0" w:firstColumn="1" w:lastColumn="0" w:noHBand="0" w:noVBand="1"/>
      </w:tblPr>
      <w:tblGrid>
        <w:gridCol w:w="1656"/>
        <w:gridCol w:w="1944"/>
        <w:gridCol w:w="1944"/>
        <w:gridCol w:w="2232"/>
        <w:gridCol w:w="1944"/>
      </w:tblGrid>
      <w:tr w:rsidR="00417AF0" w:rsidRPr="00417AF0" w14:paraId="7FCE6791" w14:textId="77777777">
        <w:trPr>
          <w:cantSplit/>
          <w:tblHeader/>
          <w:jc w:val="center"/>
        </w:trPr>
        <w:tc>
          <w:tcPr>
            <w:tcW w:w="1656" w:type="dxa"/>
            <w:shd w:val="clear" w:color="auto" w:fill="D9E2F3"/>
            <w:tcMar>
              <w:top w:w="80" w:type="dxa"/>
              <w:left w:w="80" w:type="dxa"/>
              <w:bottom w:w="80" w:type="dxa"/>
              <w:right w:w="80" w:type="dxa"/>
            </w:tcMar>
            <w:vAlign w:val="center"/>
          </w:tcPr>
          <w:p w14:paraId="7ADA26EC" w14:textId="77777777" w:rsidR="00E36DCD" w:rsidRPr="00417AF0" w:rsidRDefault="00000000">
            <w:pPr>
              <w:spacing w:after="20" w:line="240" w:lineRule="auto"/>
              <w:jc w:val="left"/>
            </w:pPr>
            <w:r w:rsidRPr="00417AF0">
              <w:rPr>
                <w:b/>
                <w:sz w:val="16"/>
              </w:rPr>
              <w:t>Emerging front</w:t>
            </w:r>
          </w:p>
        </w:tc>
        <w:tc>
          <w:tcPr>
            <w:tcW w:w="1944" w:type="dxa"/>
            <w:shd w:val="clear" w:color="auto" w:fill="D9E2F3"/>
            <w:tcMar>
              <w:top w:w="80" w:type="dxa"/>
              <w:left w:w="80" w:type="dxa"/>
              <w:bottom w:w="80" w:type="dxa"/>
              <w:right w:w="80" w:type="dxa"/>
            </w:tcMar>
            <w:vAlign w:val="center"/>
          </w:tcPr>
          <w:p w14:paraId="1E143262" w14:textId="77777777" w:rsidR="00E36DCD" w:rsidRPr="00417AF0" w:rsidRDefault="00000000">
            <w:pPr>
              <w:spacing w:after="20" w:line="240" w:lineRule="auto"/>
              <w:jc w:val="left"/>
            </w:pPr>
            <w:r w:rsidRPr="00417AF0">
              <w:rPr>
                <w:b/>
                <w:sz w:val="16"/>
              </w:rPr>
              <w:t>Why it is expanding</w:t>
            </w:r>
          </w:p>
        </w:tc>
        <w:tc>
          <w:tcPr>
            <w:tcW w:w="1944" w:type="dxa"/>
            <w:shd w:val="clear" w:color="auto" w:fill="D9E2F3"/>
            <w:tcMar>
              <w:top w:w="80" w:type="dxa"/>
              <w:left w:w="80" w:type="dxa"/>
              <w:bottom w:w="80" w:type="dxa"/>
              <w:right w:w="80" w:type="dxa"/>
            </w:tcMar>
            <w:vAlign w:val="center"/>
          </w:tcPr>
          <w:p w14:paraId="07DD9CD1" w14:textId="77777777" w:rsidR="00E36DCD" w:rsidRPr="00417AF0" w:rsidRDefault="00000000">
            <w:pPr>
              <w:spacing w:after="20" w:line="240" w:lineRule="auto"/>
              <w:jc w:val="left"/>
            </w:pPr>
            <w:r w:rsidRPr="00417AF0">
              <w:rPr>
                <w:b/>
                <w:sz w:val="16"/>
              </w:rPr>
              <w:t>Current evidence status</w:t>
            </w:r>
          </w:p>
        </w:tc>
        <w:tc>
          <w:tcPr>
            <w:tcW w:w="2232" w:type="dxa"/>
            <w:shd w:val="clear" w:color="auto" w:fill="D9E2F3"/>
            <w:tcMar>
              <w:top w:w="80" w:type="dxa"/>
              <w:left w:w="80" w:type="dxa"/>
              <w:bottom w:w="80" w:type="dxa"/>
              <w:right w:w="80" w:type="dxa"/>
            </w:tcMar>
            <w:vAlign w:val="center"/>
          </w:tcPr>
          <w:p w14:paraId="5BD5AEC7" w14:textId="77777777" w:rsidR="00E36DCD" w:rsidRPr="00417AF0" w:rsidRDefault="00000000">
            <w:pPr>
              <w:spacing w:after="20" w:line="240" w:lineRule="auto"/>
              <w:jc w:val="left"/>
            </w:pPr>
            <w:r w:rsidRPr="00417AF0">
              <w:rPr>
                <w:b/>
                <w:sz w:val="16"/>
              </w:rPr>
              <w:t>Priority measurement / design need</w:t>
            </w:r>
          </w:p>
        </w:tc>
        <w:tc>
          <w:tcPr>
            <w:tcW w:w="1944" w:type="dxa"/>
            <w:shd w:val="clear" w:color="auto" w:fill="D9E2F3"/>
            <w:tcMar>
              <w:top w:w="80" w:type="dxa"/>
              <w:left w:w="80" w:type="dxa"/>
              <w:bottom w:w="80" w:type="dxa"/>
              <w:right w:w="80" w:type="dxa"/>
            </w:tcMar>
            <w:vAlign w:val="center"/>
          </w:tcPr>
          <w:p w14:paraId="2F9EF29E" w14:textId="77777777" w:rsidR="00E36DCD" w:rsidRPr="00417AF0" w:rsidRDefault="00000000">
            <w:pPr>
              <w:spacing w:after="20" w:line="240" w:lineRule="auto"/>
              <w:jc w:val="left"/>
            </w:pPr>
            <w:r w:rsidRPr="00417AF0">
              <w:rPr>
                <w:b/>
                <w:sz w:val="16"/>
              </w:rPr>
              <w:t>Supporting references</w:t>
            </w:r>
          </w:p>
        </w:tc>
      </w:tr>
      <w:tr w:rsidR="00417AF0" w:rsidRPr="00417AF0" w14:paraId="54DAAAA5" w14:textId="77777777">
        <w:trPr>
          <w:cantSplit/>
          <w:jc w:val="center"/>
        </w:trPr>
        <w:tc>
          <w:tcPr>
            <w:tcW w:w="1656" w:type="dxa"/>
            <w:tcMar>
              <w:top w:w="80" w:type="dxa"/>
              <w:left w:w="80" w:type="dxa"/>
              <w:bottom w:w="80" w:type="dxa"/>
              <w:right w:w="80" w:type="dxa"/>
            </w:tcMar>
            <w:vAlign w:val="center"/>
          </w:tcPr>
          <w:p w14:paraId="2C683384" w14:textId="77777777" w:rsidR="00E36DCD" w:rsidRPr="00417AF0" w:rsidRDefault="00000000">
            <w:pPr>
              <w:spacing w:after="20" w:line="240" w:lineRule="auto"/>
              <w:jc w:val="left"/>
            </w:pPr>
            <w:r w:rsidRPr="00417AF0">
              <w:rPr>
                <w:sz w:val="16"/>
              </w:rPr>
              <w:t>Green and sustainable FDI</w:t>
            </w:r>
          </w:p>
        </w:tc>
        <w:tc>
          <w:tcPr>
            <w:tcW w:w="1944" w:type="dxa"/>
            <w:tcMar>
              <w:top w:w="80" w:type="dxa"/>
              <w:left w:w="80" w:type="dxa"/>
              <w:bottom w:w="80" w:type="dxa"/>
              <w:right w:w="80" w:type="dxa"/>
            </w:tcMar>
            <w:vAlign w:val="center"/>
          </w:tcPr>
          <w:p w14:paraId="348D22F3" w14:textId="77777777" w:rsidR="00E36DCD" w:rsidRPr="00417AF0" w:rsidRDefault="00000000">
            <w:pPr>
              <w:spacing w:after="20" w:line="240" w:lineRule="auto"/>
              <w:jc w:val="left"/>
            </w:pPr>
            <w:r w:rsidRPr="00417AF0">
              <w:rPr>
                <w:sz w:val="16"/>
              </w:rPr>
              <w:t>Climate policy and energy transition make environmental consequences central to investment appraisal.</w:t>
            </w:r>
          </w:p>
        </w:tc>
        <w:tc>
          <w:tcPr>
            <w:tcW w:w="1944" w:type="dxa"/>
            <w:tcMar>
              <w:top w:w="80" w:type="dxa"/>
              <w:left w:w="80" w:type="dxa"/>
              <w:bottom w:w="80" w:type="dxa"/>
              <w:right w:w="80" w:type="dxa"/>
            </w:tcMar>
            <w:vAlign w:val="center"/>
          </w:tcPr>
          <w:p w14:paraId="25828F82" w14:textId="77777777" w:rsidR="00E36DCD" w:rsidRPr="00417AF0" w:rsidRDefault="00000000">
            <w:pPr>
              <w:spacing w:after="20" w:line="240" w:lineRule="auto"/>
              <w:jc w:val="left"/>
            </w:pPr>
            <w:r w:rsidRPr="00417AF0">
              <w:rPr>
                <w:sz w:val="16"/>
              </w:rPr>
              <w:t>Evidence links FDI with energy use, emissions and sustainable-development themes, but effects vary by country and technology.</w:t>
            </w:r>
          </w:p>
        </w:tc>
        <w:tc>
          <w:tcPr>
            <w:tcW w:w="2232" w:type="dxa"/>
            <w:tcMar>
              <w:top w:w="80" w:type="dxa"/>
              <w:left w:w="80" w:type="dxa"/>
              <w:bottom w:w="80" w:type="dxa"/>
              <w:right w:w="80" w:type="dxa"/>
            </w:tcMar>
            <w:vAlign w:val="center"/>
          </w:tcPr>
          <w:p w14:paraId="1CC82FCB" w14:textId="77777777" w:rsidR="00E36DCD" w:rsidRPr="00417AF0" w:rsidRDefault="00000000">
            <w:pPr>
              <w:spacing w:after="20" w:line="240" w:lineRule="auto"/>
              <w:jc w:val="left"/>
            </w:pPr>
            <w:r w:rsidRPr="00417AF0">
              <w:rPr>
                <w:sz w:val="16"/>
              </w:rPr>
              <w:t>Project-level emissions, renewable capacity, local value added, employment quality and lifecycle outcomes.</w:t>
            </w:r>
          </w:p>
        </w:tc>
        <w:tc>
          <w:tcPr>
            <w:tcW w:w="1944" w:type="dxa"/>
            <w:tcMar>
              <w:top w:w="80" w:type="dxa"/>
              <w:left w:w="80" w:type="dxa"/>
              <w:bottom w:w="80" w:type="dxa"/>
              <w:right w:w="80" w:type="dxa"/>
            </w:tcMar>
            <w:vAlign w:val="center"/>
          </w:tcPr>
          <w:p w14:paraId="46DE2FC0" w14:textId="77777777" w:rsidR="00E36DCD" w:rsidRPr="00417AF0" w:rsidRDefault="00000000">
            <w:pPr>
              <w:spacing w:after="20" w:line="240" w:lineRule="auto"/>
              <w:jc w:val="left"/>
            </w:pPr>
            <w:r w:rsidRPr="00417AF0">
              <w:rPr>
                <w:sz w:val="16"/>
              </w:rPr>
              <w:t>Lee (2013); Zhu et al. (2016); Rodríguez-Chávez et al. (2024)</w:t>
            </w:r>
          </w:p>
        </w:tc>
      </w:tr>
      <w:tr w:rsidR="00417AF0" w:rsidRPr="00417AF0" w14:paraId="28B16C8D" w14:textId="77777777">
        <w:trPr>
          <w:cantSplit/>
          <w:jc w:val="center"/>
        </w:trPr>
        <w:tc>
          <w:tcPr>
            <w:tcW w:w="1656" w:type="dxa"/>
            <w:tcMar>
              <w:top w:w="80" w:type="dxa"/>
              <w:left w:w="80" w:type="dxa"/>
              <w:bottom w:w="80" w:type="dxa"/>
              <w:right w:w="80" w:type="dxa"/>
            </w:tcMar>
            <w:vAlign w:val="center"/>
          </w:tcPr>
          <w:p w14:paraId="63D16A3C" w14:textId="77777777" w:rsidR="00E36DCD" w:rsidRPr="00417AF0" w:rsidRDefault="00000000">
            <w:pPr>
              <w:spacing w:after="20" w:line="240" w:lineRule="auto"/>
              <w:jc w:val="left"/>
            </w:pPr>
            <w:r w:rsidRPr="00417AF0">
              <w:rPr>
                <w:sz w:val="16"/>
              </w:rPr>
              <w:t>Digital and AI infrastructure</w:t>
            </w:r>
          </w:p>
        </w:tc>
        <w:tc>
          <w:tcPr>
            <w:tcW w:w="1944" w:type="dxa"/>
            <w:tcMar>
              <w:top w:w="80" w:type="dxa"/>
              <w:left w:w="80" w:type="dxa"/>
              <w:bottom w:w="80" w:type="dxa"/>
              <w:right w:w="80" w:type="dxa"/>
            </w:tcMar>
            <w:vAlign w:val="center"/>
          </w:tcPr>
          <w:p w14:paraId="73E56805" w14:textId="77777777" w:rsidR="00E36DCD" w:rsidRPr="00417AF0" w:rsidRDefault="00000000">
            <w:pPr>
              <w:spacing w:after="20" w:line="240" w:lineRule="auto"/>
              <w:jc w:val="left"/>
            </w:pPr>
            <w:r w:rsidRPr="00417AF0">
              <w:rPr>
                <w:sz w:val="16"/>
              </w:rPr>
              <w:t>Large digital megaprojects are increasing the strategic share of global FDI.</w:t>
            </w:r>
          </w:p>
        </w:tc>
        <w:tc>
          <w:tcPr>
            <w:tcW w:w="1944" w:type="dxa"/>
            <w:tcMar>
              <w:top w:w="80" w:type="dxa"/>
              <w:left w:w="80" w:type="dxa"/>
              <w:bottom w:w="80" w:type="dxa"/>
              <w:right w:w="80" w:type="dxa"/>
            </w:tcMar>
            <w:vAlign w:val="center"/>
          </w:tcPr>
          <w:p w14:paraId="42D47B0E" w14:textId="77777777" w:rsidR="00E36DCD" w:rsidRPr="00417AF0" w:rsidRDefault="00000000">
            <w:pPr>
              <w:spacing w:after="20" w:line="240" w:lineRule="auto"/>
              <w:jc w:val="left"/>
            </w:pPr>
            <w:r w:rsidRPr="00417AF0">
              <w:rPr>
                <w:sz w:val="16"/>
              </w:rPr>
              <w:t>Policy evidence shows growing investment concentration; long-run spillover evidence is still immature.</w:t>
            </w:r>
          </w:p>
        </w:tc>
        <w:tc>
          <w:tcPr>
            <w:tcW w:w="2232" w:type="dxa"/>
            <w:tcMar>
              <w:top w:w="80" w:type="dxa"/>
              <w:left w:w="80" w:type="dxa"/>
              <w:bottom w:w="80" w:type="dxa"/>
              <w:right w:w="80" w:type="dxa"/>
            </w:tcMar>
            <w:vAlign w:val="center"/>
          </w:tcPr>
          <w:p w14:paraId="6C81B002" w14:textId="77777777" w:rsidR="00E36DCD" w:rsidRPr="00417AF0" w:rsidRDefault="00000000">
            <w:pPr>
              <w:spacing w:after="20" w:line="240" w:lineRule="auto"/>
              <w:jc w:val="left"/>
            </w:pPr>
            <w:r w:rsidRPr="00417AF0">
              <w:rPr>
                <w:sz w:val="16"/>
              </w:rPr>
              <w:t>Local supplier links, skills transfer, energy demand, data governance and downstream productivity using longitudinal designs.</w:t>
            </w:r>
          </w:p>
        </w:tc>
        <w:tc>
          <w:tcPr>
            <w:tcW w:w="1944" w:type="dxa"/>
            <w:tcMar>
              <w:top w:w="80" w:type="dxa"/>
              <w:left w:w="80" w:type="dxa"/>
              <w:bottom w:w="80" w:type="dxa"/>
              <w:right w:w="80" w:type="dxa"/>
            </w:tcMar>
            <w:vAlign w:val="center"/>
          </w:tcPr>
          <w:p w14:paraId="464A3A75" w14:textId="77777777" w:rsidR="00E36DCD" w:rsidRPr="00417AF0" w:rsidRDefault="00000000">
            <w:pPr>
              <w:spacing w:after="20" w:line="240" w:lineRule="auto"/>
              <w:jc w:val="left"/>
            </w:pPr>
            <w:r w:rsidRPr="00417AF0">
              <w:rPr>
                <w:sz w:val="16"/>
              </w:rPr>
              <w:t>UNCTAD (2026)</w:t>
            </w:r>
          </w:p>
        </w:tc>
      </w:tr>
      <w:tr w:rsidR="00417AF0" w:rsidRPr="00417AF0" w14:paraId="64FBB4A5" w14:textId="77777777">
        <w:trPr>
          <w:cantSplit/>
          <w:jc w:val="center"/>
        </w:trPr>
        <w:tc>
          <w:tcPr>
            <w:tcW w:w="1656" w:type="dxa"/>
            <w:tcMar>
              <w:top w:w="80" w:type="dxa"/>
              <w:left w:w="80" w:type="dxa"/>
              <w:bottom w:w="80" w:type="dxa"/>
              <w:right w:w="80" w:type="dxa"/>
            </w:tcMar>
            <w:vAlign w:val="center"/>
          </w:tcPr>
          <w:p w14:paraId="399E3317" w14:textId="77777777" w:rsidR="00E36DCD" w:rsidRPr="00417AF0" w:rsidRDefault="00000000">
            <w:pPr>
              <w:spacing w:after="20" w:line="240" w:lineRule="auto"/>
              <w:jc w:val="left"/>
            </w:pPr>
            <w:r w:rsidRPr="00417AF0">
              <w:rPr>
                <w:sz w:val="16"/>
              </w:rPr>
              <w:t>Geopolitical risk and fragmentation</w:t>
            </w:r>
          </w:p>
        </w:tc>
        <w:tc>
          <w:tcPr>
            <w:tcW w:w="1944" w:type="dxa"/>
            <w:tcMar>
              <w:top w:w="80" w:type="dxa"/>
              <w:left w:w="80" w:type="dxa"/>
              <w:bottom w:w="80" w:type="dxa"/>
              <w:right w:w="80" w:type="dxa"/>
            </w:tcMar>
            <w:vAlign w:val="center"/>
          </w:tcPr>
          <w:p w14:paraId="051AD958" w14:textId="77777777" w:rsidR="00E36DCD" w:rsidRPr="00417AF0" w:rsidRDefault="00000000">
            <w:pPr>
              <w:spacing w:after="20" w:line="240" w:lineRule="auto"/>
              <w:jc w:val="left"/>
            </w:pPr>
            <w:r w:rsidRPr="00417AF0">
              <w:rPr>
                <w:sz w:val="16"/>
              </w:rPr>
              <w:t>Trade conflict, security screening and supply-chain resilience reshape location choice.</w:t>
            </w:r>
          </w:p>
        </w:tc>
        <w:tc>
          <w:tcPr>
            <w:tcW w:w="1944" w:type="dxa"/>
            <w:tcMar>
              <w:top w:w="80" w:type="dxa"/>
              <w:left w:w="80" w:type="dxa"/>
              <w:bottom w:w="80" w:type="dxa"/>
              <w:right w:w="80" w:type="dxa"/>
            </w:tcMar>
            <w:vAlign w:val="center"/>
          </w:tcPr>
          <w:p w14:paraId="7210AC3A" w14:textId="77777777" w:rsidR="00E36DCD" w:rsidRPr="00417AF0" w:rsidRDefault="00000000">
            <w:pPr>
              <w:spacing w:after="20" w:line="240" w:lineRule="auto"/>
              <w:jc w:val="left"/>
            </w:pPr>
            <w:r w:rsidRPr="00417AF0">
              <w:rPr>
                <w:sz w:val="16"/>
              </w:rPr>
              <w:t>A rapidly consolidating bibliometric research front, but growth consequences of rerouting remain under-tested.</w:t>
            </w:r>
          </w:p>
        </w:tc>
        <w:tc>
          <w:tcPr>
            <w:tcW w:w="2232" w:type="dxa"/>
            <w:tcMar>
              <w:top w:w="80" w:type="dxa"/>
              <w:left w:w="80" w:type="dxa"/>
              <w:bottom w:w="80" w:type="dxa"/>
              <w:right w:w="80" w:type="dxa"/>
            </w:tcMar>
            <w:vAlign w:val="center"/>
          </w:tcPr>
          <w:p w14:paraId="04AC342C" w14:textId="77777777" w:rsidR="00E36DCD" w:rsidRPr="00417AF0" w:rsidRDefault="00000000">
            <w:pPr>
              <w:spacing w:after="20" w:line="240" w:lineRule="auto"/>
              <w:jc w:val="left"/>
            </w:pPr>
            <w:r w:rsidRPr="00417AF0">
              <w:rPr>
                <w:sz w:val="16"/>
              </w:rPr>
              <w:t>Quasi-experimental shocks, firm-level relocation data and host-country capability measures.</w:t>
            </w:r>
          </w:p>
        </w:tc>
        <w:tc>
          <w:tcPr>
            <w:tcW w:w="1944" w:type="dxa"/>
            <w:tcMar>
              <w:top w:w="80" w:type="dxa"/>
              <w:left w:w="80" w:type="dxa"/>
              <w:bottom w:w="80" w:type="dxa"/>
              <w:right w:w="80" w:type="dxa"/>
            </w:tcMar>
            <w:vAlign w:val="center"/>
          </w:tcPr>
          <w:p w14:paraId="5D5A1C47" w14:textId="77777777" w:rsidR="00E36DCD" w:rsidRPr="00417AF0" w:rsidRDefault="00000000">
            <w:pPr>
              <w:spacing w:after="20" w:line="240" w:lineRule="auto"/>
              <w:jc w:val="left"/>
            </w:pPr>
            <w:r w:rsidRPr="00417AF0">
              <w:rPr>
                <w:sz w:val="16"/>
              </w:rPr>
              <w:t>Farzam &amp; Dhume-Shinkre (2026)</w:t>
            </w:r>
          </w:p>
        </w:tc>
      </w:tr>
      <w:tr w:rsidR="00417AF0" w:rsidRPr="00417AF0" w14:paraId="5694F9A9" w14:textId="77777777">
        <w:trPr>
          <w:cantSplit/>
          <w:jc w:val="center"/>
        </w:trPr>
        <w:tc>
          <w:tcPr>
            <w:tcW w:w="1656" w:type="dxa"/>
            <w:tcMar>
              <w:top w:w="80" w:type="dxa"/>
              <w:left w:w="80" w:type="dxa"/>
              <w:bottom w:w="80" w:type="dxa"/>
              <w:right w:w="80" w:type="dxa"/>
            </w:tcMar>
            <w:vAlign w:val="center"/>
          </w:tcPr>
          <w:p w14:paraId="274E0A84" w14:textId="77777777" w:rsidR="00E36DCD" w:rsidRPr="00417AF0" w:rsidRDefault="00000000">
            <w:pPr>
              <w:spacing w:after="20" w:line="240" w:lineRule="auto"/>
              <w:jc w:val="left"/>
            </w:pPr>
            <w:r w:rsidRPr="00417AF0">
              <w:rPr>
                <w:sz w:val="16"/>
              </w:rPr>
              <w:lastRenderedPageBreak/>
              <w:t>FDI quality and implementation</w:t>
            </w:r>
          </w:p>
        </w:tc>
        <w:tc>
          <w:tcPr>
            <w:tcW w:w="1944" w:type="dxa"/>
            <w:tcMar>
              <w:top w:w="80" w:type="dxa"/>
              <w:left w:w="80" w:type="dxa"/>
              <w:bottom w:w="80" w:type="dxa"/>
              <w:right w:w="80" w:type="dxa"/>
            </w:tcMar>
            <w:vAlign w:val="center"/>
          </w:tcPr>
          <w:p w14:paraId="77F624FE" w14:textId="77777777" w:rsidR="00E36DCD" w:rsidRPr="00417AF0" w:rsidRDefault="00000000">
            <w:pPr>
              <w:spacing w:after="20" w:line="240" w:lineRule="auto"/>
              <w:jc w:val="left"/>
            </w:pPr>
            <w:r w:rsidRPr="00417AF0">
              <w:rPr>
                <w:sz w:val="16"/>
              </w:rPr>
              <w:t>Nominal inflows conceal project type, completion and domestic additionality.</w:t>
            </w:r>
          </w:p>
        </w:tc>
        <w:tc>
          <w:tcPr>
            <w:tcW w:w="1944" w:type="dxa"/>
            <w:tcMar>
              <w:top w:w="80" w:type="dxa"/>
              <w:left w:w="80" w:type="dxa"/>
              <w:bottom w:w="80" w:type="dxa"/>
              <w:right w:w="80" w:type="dxa"/>
            </w:tcMar>
            <w:vAlign w:val="center"/>
          </w:tcPr>
          <w:p w14:paraId="38F62992" w14:textId="77777777" w:rsidR="00E36DCD" w:rsidRPr="00417AF0" w:rsidRDefault="00000000">
            <w:pPr>
              <w:spacing w:after="20" w:line="240" w:lineRule="auto"/>
              <w:jc w:val="left"/>
            </w:pPr>
            <w:r w:rsidRPr="00417AF0">
              <w:rPr>
                <w:sz w:val="16"/>
              </w:rPr>
              <w:t>Evidence shows gaps between approvals and realisation and possible crowding-out.</w:t>
            </w:r>
          </w:p>
        </w:tc>
        <w:tc>
          <w:tcPr>
            <w:tcW w:w="2232" w:type="dxa"/>
            <w:tcMar>
              <w:top w:w="80" w:type="dxa"/>
              <w:left w:w="80" w:type="dxa"/>
              <w:bottom w:w="80" w:type="dxa"/>
              <w:right w:w="80" w:type="dxa"/>
            </w:tcMar>
            <w:vAlign w:val="center"/>
          </w:tcPr>
          <w:p w14:paraId="56A5A546" w14:textId="77777777" w:rsidR="00E36DCD" w:rsidRPr="00417AF0" w:rsidRDefault="00000000">
            <w:pPr>
              <w:spacing w:after="20" w:line="240" w:lineRule="auto"/>
              <w:jc w:val="left"/>
            </w:pPr>
            <w:r w:rsidRPr="00417AF0">
              <w:rPr>
                <w:sz w:val="16"/>
              </w:rPr>
              <w:t>Separate greenfield, acquisition, reinvested earnings and intra-company finance; track implementation and domestic investment response.</w:t>
            </w:r>
          </w:p>
        </w:tc>
        <w:tc>
          <w:tcPr>
            <w:tcW w:w="1944" w:type="dxa"/>
            <w:tcMar>
              <w:top w:w="80" w:type="dxa"/>
              <w:left w:w="80" w:type="dxa"/>
              <w:bottom w:w="80" w:type="dxa"/>
              <w:right w:w="80" w:type="dxa"/>
            </w:tcMar>
            <w:vAlign w:val="center"/>
          </w:tcPr>
          <w:p w14:paraId="2BC2431A" w14:textId="77777777" w:rsidR="00E36DCD" w:rsidRPr="00417AF0" w:rsidRDefault="00000000">
            <w:pPr>
              <w:spacing w:after="20" w:line="240" w:lineRule="auto"/>
              <w:jc w:val="left"/>
            </w:pPr>
            <w:r w:rsidRPr="00417AF0">
              <w:rPr>
                <w:sz w:val="16"/>
              </w:rPr>
              <w:t>Adams (2009); Hornstein (2024)</w:t>
            </w:r>
          </w:p>
        </w:tc>
      </w:tr>
      <w:tr w:rsidR="00417AF0" w:rsidRPr="00417AF0" w14:paraId="5973CA5F" w14:textId="77777777">
        <w:trPr>
          <w:cantSplit/>
          <w:jc w:val="center"/>
        </w:trPr>
        <w:tc>
          <w:tcPr>
            <w:tcW w:w="1656" w:type="dxa"/>
            <w:tcMar>
              <w:top w:w="80" w:type="dxa"/>
              <w:left w:w="80" w:type="dxa"/>
              <w:bottom w:w="80" w:type="dxa"/>
              <w:right w:w="80" w:type="dxa"/>
            </w:tcMar>
            <w:vAlign w:val="center"/>
          </w:tcPr>
          <w:p w14:paraId="2C3AB198" w14:textId="77777777" w:rsidR="00E36DCD" w:rsidRPr="00417AF0" w:rsidRDefault="00000000">
            <w:pPr>
              <w:spacing w:after="20" w:line="240" w:lineRule="auto"/>
              <w:jc w:val="left"/>
            </w:pPr>
            <w:r w:rsidRPr="00417AF0">
              <w:rPr>
                <w:sz w:val="16"/>
              </w:rPr>
              <w:t>Open and reproducible bibliometrics</w:t>
            </w:r>
          </w:p>
        </w:tc>
        <w:tc>
          <w:tcPr>
            <w:tcW w:w="1944" w:type="dxa"/>
            <w:tcMar>
              <w:top w:w="80" w:type="dxa"/>
              <w:left w:w="80" w:type="dxa"/>
              <w:bottom w:w="80" w:type="dxa"/>
              <w:right w:w="80" w:type="dxa"/>
            </w:tcMar>
            <w:vAlign w:val="center"/>
          </w:tcPr>
          <w:p w14:paraId="62BBEEF5" w14:textId="77777777" w:rsidR="00E36DCD" w:rsidRPr="00417AF0" w:rsidRDefault="00000000">
            <w:pPr>
              <w:spacing w:after="20" w:line="240" w:lineRule="auto"/>
              <w:jc w:val="left"/>
            </w:pPr>
            <w:r w:rsidRPr="00417AF0">
              <w:rPr>
                <w:sz w:val="16"/>
              </w:rPr>
              <w:t>Database-specific maps produce non-comparable counts and rankings.</w:t>
            </w:r>
          </w:p>
        </w:tc>
        <w:tc>
          <w:tcPr>
            <w:tcW w:w="1944" w:type="dxa"/>
            <w:tcMar>
              <w:top w:w="80" w:type="dxa"/>
              <w:left w:w="80" w:type="dxa"/>
              <w:bottom w:w="80" w:type="dxa"/>
              <w:right w:w="80" w:type="dxa"/>
            </w:tcMar>
            <w:vAlign w:val="center"/>
          </w:tcPr>
          <w:p w14:paraId="5ECB0591" w14:textId="77777777" w:rsidR="00E36DCD" w:rsidRPr="00417AF0" w:rsidRDefault="00000000">
            <w:pPr>
              <w:spacing w:after="20" w:line="240" w:lineRule="auto"/>
              <w:jc w:val="left"/>
            </w:pPr>
            <w:r w:rsidRPr="00417AF0">
              <w:rPr>
                <w:sz w:val="16"/>
              </w:rPr>
              <w:t>Published maps are informative but depend on proprietary coverage, query fields and cleaning choices.</w:t>
            </w:r>
          </w:p>
        </w:tc>
        <w:tc>
          <w:tcPr>
            <w:tcW w:w="2232" w:type="dxa"/>
            <w:tcMar>
              <w:top w:w="80" w:type="dxa"/>
              <w:left w:w="80" w:type="dxa"/>
              <w:bottom w:w="80" w:type="dxa"/>
              <w:right w:w="80" w:type="dxa"/>
            </w:tcMar>
            <w:vAlign w:val="center"/>
          </w:tcPr>
          <w:p w14:paraId="2DA18057" w14:textId="77777777" w:rsidR="00E36DCD" w:rsidRPr="00417AF0" w:rsidRDefault="00000000">
            <w:pPr>
              <w:spacing w:after="20" w:line="240" w:lineRule="auto"/>
              <w:jc w:val="left"/>
            </w:pPr>
            <w:r w:rsidRPr="00417AF0">
              <w:rPr>
                <w:sz w:val="16"/>
              </w:rPr>
              <w:t>Open corpora, published search code, entity disambiguation, sensitivity analysis and evidence-strength coding.</w:t>
            </w:r>
          </w:p>
        </w:tc>
        <w:tc>
          <w:tcPr>
            <w:tcW w:w="1944" w:type="dxa"/>
            <w:tcMar>
              <w:top w:w="80" w:type="dxa"/>
              <w:left w:w="80" w:type="dxa"/>
              <w:bottom w:w="80" w:type="dxa"/>
              <w:right w:w="80" w:type="dxa"/>
            </w:tcMar>
            <w:vAlign w:val="center"/>
          </w:tcPr>
          <w:p w14:paraId="27C55C54" w14:textId="77777777" w:rsidR="00E36DCD" w:rsidRPr="00417AF0" w:rsidRDefault="00000000">
            <w:pPr>
              <w:spacing w:after="20" w:line="240" w:lineRule="auto"/>
              <w:jc w:val="left"/>
            </w:pPr>
            <w:r w:rsidRPr="00417AF0">
              <w:rPr>
                <w:sz w:val="16"/>
              </w:rPr>
              <w:t>Aria &amp; Cuccurullo (2017); Donthu et al. (2021); Wang et al. (2022)</w:t>
            </w:r>
          </w:p>
        </w:tc>
      </w:tr>
    </w:tbl>
    <w:p w14:paraId="4A277FC5" w14:textId="77777777" w:rsidR="00E36DCD" w:rsidRPr="00417AF0" w:rsidRDefault="00000000">
      <w:pPr>
        <w:spacing w:before="60" w:after="120"/>
      </w:pPr>
      <w:r w:rsidRPr="00417AF0">
        <w:rPr>
          <w:b/>
          <w:sz w:val="17"/>
        </w:rPr>
        <w:t xml:space="preserve">Note. </w:t>
      </w:r>
      <w:r w:rsidRPr="00417AF0">
        <w:rPr>
          <w:sz w:val="17"/>
        </w:rPr>
        <w:t>FDI = foreign direct investment; AI = artificial intelligence.</w:t>
      </w:r>
    </w:p>
    <w:p w14:paraId="685D7990" w14:textId="77777777" w:rsidR="00E36DCD" w:rsidRPr="00417AF0" w:rsidRDefault="00000000">
      <w:pPr>
        <w:pStyle w:val="Heading1"/>
        <w:rPr>
          <w:color w:val="auto"/>
        </w:rPr>
      </w:pPr>
      <w:r w:rsidRPr="00417AF0">
        <w:rPr>
          <w:color w:val="auto"/>
        </w:rPr>
        <w:t>8. Future Directions</w:t>
      </w:r>
    </w:p>
    <w:p w14:paraId="650D70B6" w14:textId="77777777" w:rsidR="00E36DCD" w:rsidRPr="00417AF0" w:rsidRDefault="00000000">
      <w:pPr>
        <w:ind w:firstLine="317"/>
      </w:pPr>
      <w:r w:rsidRPr="00417AF0">
        <w:t>The immediate priority is to integrate bibliometric mapping with explicit evidence grading. Current maps efficiently identify influential authors, countries, outlets and themes, but they rarely distinguish a cited theoretical proposition from a replicated causal finding. Future studies should code the design of highly connected papers—cross-sectional, dynamic panel, firm-level, quasi-experimental, meta-analytic or theoretical—and display this information alongside citation and keyword networks. Such integration would prevent a dense citation cluster from being mistaken for empirical consensus and would allow thematic evolution to be interpreted in terms of changing evidence quality as well as changing vocabulary.</w:t>
      </w:r>
    </w:p>
    <w:p w14:paraId="4FA9E96E" w14:textId="77777777" w:rsidR="00E36DCD" w:rsidRPr="00417AF0" w:rsidRDefault="00000000">
      <w:pPr>
        <w:ind w:firstLine="317"/>
      </w:pPr>
      <w:r w:rsidRPr="00417AF0">
        <w:t>A second priority is to build transparent, reproducible bibliometric corpora. Published FDI–growth maps are valuable, but the large difference between the 2,281-document Scopus corpus of Cicea and Marinescu and the 1,075-document Web of Science corpus of Wang et al. demonstrates how strongly results depend on database and query design. Future studies should publish complete search strings, search fields, date boundaries, deduplication rules, author-name disambiguation procedures and keyword thesauri. Where licensing permits, processed metadata and analysis code should be deposited in reusable formats. Sensitivity analyses across at least one open bibliographic source and one curated index would show whether country, author and theme rankings are robust to coverage.</w:t>
      </w:r>
    </w:p>
    <w:p w14:paraId="446D0FB4" w14:textId="77777777" w:rsidR="00E36DCD" w:rsidRPr="00417AF0" w:rsidRDefault="00000000">
      <w:pPr>
        <w:ind w:firstLine="317"/>
      </w:pPr>
      <w:r w:rsidRPr="00417AF0">
        <w:t>Third, the field should replace aggregate FDI with investment-type and sector-specific measures wherever possible. Greenfield projects, cross-border mergers and acquisitions, reinvested earnings and intra-company loans are economically different transactions. Their effects on employment, domestic competition, fixed-capital formation and technology transfer are unlikely to be identical. Research should link project databases to firm-level productivity, supplier and labour-market data, and follow outcomes for sufficiently long periods to detect capability accumulation. The recent prominence of digital and strategic infrastructure makes this decomposition urgent because a few large projects can materially change national FDI statistics without producing proportionate domestic spillovers.</w:t>
      </w:r>
    </w:p>
    <w:p w14:paraId="27005810" w14:textId="77777777" w:rsidR="00E36DCD" w:rsidRPr="00417AF0" w:rsidRDefault="00000000">
      <w:pPr>
        <w:ind w:firstLine="317"/>
      </w:pPr>
      <w:r w:rsidRPr="00417AF0">
        <w:t>Fourth, causal identification should move beyond increasingly complex versions of the same country-panel model. Dynamic generalised method of moments estimators remain useful, but stronger inference can come from plausibly exogenous policy changes, investment-screening reforms, treaty shocks, tax changes, sudden geopolitical events, infrastructure openings or phased investment incentives. Difference-in-differences, synthetic controls, matched firm-supplier designs and event studies can help isolate mechanisms when assumptions are defensible. These methods should be combined with explicit tests of pre-trends, treatment timing and spillover contamination rather than presented as automatic solutions to endogeneity.</w:t>
      </w:r>
    </w:p>
    <w:p w14:paraId="533F3853" w14:textId="77777777" w:rsidR="00E36DCD" w:rsidRPr="00417AF0" w:rsidRDefault="00000000">
      <w:pPr>
        <w:ind w:firstLine="317"/>
      </w:pPr>
      <w:r w:rsidRPr="00417AF0">
        <w:t xml:space="preserve">Fifth, future research should treat absorptive capacity as multidimensional. Human capital, financial depth and institutional quality are often entered separately, even though they interact. A host economy may have high tertiary education but weak supplier finance, or strong institutions but limited technical labour. </w:t>
      </w:r>
      <w:r w:rsidRPr="00417AF0">
        <w:lastRenderedPageBreak/>
        <w:t>Studies should construct mechanism-specific capability measures tied to the sector receiving FDI. For manufacturing, supplier certification, engineering skills and logistics may matter; for digital infrastructure, grid reliability, cloud ecosystems and data skills may be more relevant; for renewable energy, transmission capacity, project finance and permitting institutions become central. This would transform absorptive capacity from a generic moderator into a testable production-system concept.</w:t>
      </w:r>
    </w:p>
    <w:p w14:paraId="3B60B22D" w14:textId="77777777" w:rsidR="00E36DCD" w:rsidRPr="00417AF0" w:rsidRDefault="00000000">
      <w:pPr>
        <w:ind w:firstLine="317"/>
      </w:pPr>
      <w:r w:rsidRPr="00417AF0">
        <w:t>Sixth, development outcomes should extend beyond gross domestic product. Productivity and income remain essential, but a contemporary evaluation of FDI should include domestic value added, wage and employment quality, supplier upgrading, innovation, energy use, carbon intensity, regional inequality and fiscal effects. Sustainability research has already begun this expansion, yet the social dimension remains underrepresented. Distributional outcomes are particularly important because aggregate growth can coexist with weak local linkage or concentrated gains. Multi-level designs connecting project, firm, worker and regional data would provide a more credible account of who benefits from FDI.</w:t>
      </w:r>
    </w:p>
    <w:p w14:paraId="07A04304" w14:textId="77777777" w:rsidR="00E36DCD" w:rsidRPr="00417AF0" w:rsidRDefault="00000000">
      <w:pPr>
        <w:ind w:firstLine="317"/>
      </w:pPr>
      <w:r w:rsidRPr="00417AF0">
        <w:t>Seventh, geopolitical fragmentation should be analysed as a structural break rather than a conventional control variable. The growth consequences of investment rerouting depend on why firms move, what functions are relocated and whether host economies can embed those activities. Future research should compare efficiency-seeking, market-seeking, resource-seeking and resilience-seeking projects under comparable host conditions. Event studies around major geopolitical shocks and policy restrictions can help identify relocation effects, while bibliometric mapping can trace whether scholarship is keeping pace with the changing geography of investment.</w:t>
      </w:r>
    </w:p>
    <w:p w14:paraId="2A379BB0" w14:textId="77777777" w:rsidR="00E36DCD" w:rsidRPr="00417AF0" w:rsidRDefault="00000000">
      <w:pPr>
        <w:ind w:firstLine="317"/>
      </w:pPr>
      <w:r w:rsidRPr="00417AF0">
        <w:t>Finally, bibliometric studies should become more explicit about temporal inference. Emerging-theme maps are valuable precisely because they detect changing scholarly attention, but early keyword growth often precedes outcome evidence. Future work should classify themes by maturity: nascent attention, mechanism testing, multi-country replication, meta-analytic consolidation and policy translation. Such a framework would make thematic evolution more analytically useful by showing not only what is fashionable, but how far a research front has progressed towards credible cumulative knowledge.</w:t>
      </w:r>
    </w:p>
    <w:p w14:paraId="325C815C" w14:textId="77777777" w:rsidR="00E36DCD" w:rsidRPr="00417AF0" w:rsidRDefault="00000000">
      <w:pPr>
        <w:ind w:firstLine="317"/>
      </w:pPr>
      <w:r w:rsidRPr="00417AF0">
        <w:t>A complementary priority is to connect the geography of scholarship with the geography of the underlying evidence. Author-affiliation maps can overstate global representativeness when highly connected research teams repeatedly analyse the same internationally available macro datasets. Future bibliometric datasets should code the countries, regions and sectors actually observed in each empirical study and compare those evidence geographies with authorship and citation networks. This would reveal whether low-income economies, fragile states and small markets are under-represented in causal evidence even when they appear in policy discourse. It would also make collaboration metrics more substantively meaningful by distinguishing international co-authorship from genuinely comparative data coverage. For policy-oriented FDI research, such evidence maps could identify where recommendations are being extrapolated from institutionally dissimilar settings and where targeted primary data collection would add the greatest informational value.</w:t>
      </w:r>
    </w:p>
    <w:p w14:paraId="21DB78C5" w14:textId="77777777" w:rsidR="00E36DCD" w:rsidRPr="00417AF0" w:rsidRDefault="00000000">
      <w:pPr>
        <w:pStyle w:val="Heading1"/>
        <w:rPr>
          <w:color w:val="auto"/>
        </w:rPr>
      </w:pPr>
      <w:r w:rsidRPr="00417AF0">
        <w:rPr>
          <w:color w:val="auto"/>
        </w:rPr>
        <w:t>9. Conclusions</w:t>
      </w:r>
    </w:p>
    <w:p w14:paraId="7BB4E8F1" w14:textId="77777777" w:rsidR="00E36DCD" w:rsidRPr="00417AF0" w:rsidRDefault="00000000">
      <w:pPr>
        <w:ind w:firstLine="317"/>
      </w:pPr>
      <w:r w:rsidRPr="00417AF0">
        <w:t xml:space="preserve">The global knowledge structure of foreign direct investment and economic growth is best characterised as a stable conceptual core surrounded by progressively richer conditions. The foundational literature established plausible channels through capital accumulation, technology transfer and multinational-enterprise advantages. Subsequent research showed that these channels depend on human capital, financial systems, institutions, supplier linkages and competitive structure. Bibliometric studies recover this intellectual progression, but their publication counts, rankings and thematic maps are sensitive to database coverage and </w:t>
      </w:r>
      <w:r w:rsidRPr="00417AF0">
        <w:lastRenderedPageBreak/>
        <w:t>corpus design. Citation prominence is therefore evidence of influence rather than proof of a universal growth mechanism.</w:t>
      </w:r>
    </w:p>
    <w:p w14:paraId="66595B69" w14:textId="77777777" w:rsidR="00E36DCD" w:rsidRPr="00417AF0" w:rsidRDefault="00000000">
      <w:pPr>
        <w:ind w:firstLine="317"/>
      </w:pPr>
      <w:r w:rsidRPr="00417AF0">
        <w:t>Across the substantive evidence, the most defensible conclusion is conditional and bidirectional. FDI can support economic growth and productivity, particularly when projects are realised, domestic firms can form productive linkages, complementary finance and skills are available, and institutions sustain long-term investment. Yet foreign presence can also displace domestic activity, fail to diffuse knowledge, generate environmental costs or simply follow growth rather than cause it. The disagreement in the literature is consequently not a sign that the field has learned nothing. It reflects meaningful heterogeneity in investment type, host capability, outcome measurement and identification strategy.</w:t>
      </w:r>
    </w:p>
    <w:p w14:paraId="0D14C0B6" w14:textId="77777777" w:rsidR="00E36DCD" w:rsidRPr="00417AF0" w:rsidRDefault="00000000">
      <w:pPr>
        <w:ind w:firstLine="317"/>
      </w:pPr>
      <w:r w:rsidRPr="00417AF0">
        <w:t>Thematic evolution now points towards a more demanding development question. Sustainability, digital infrastructure, geopolitical fragmentation and investment concentration have shifted attention from the volume of FDI towards its composition and domestic additionality. The next generation of research should combine transparent and reproducible bibliometric mapping with stronger causal designs and project-level measures of productivity, linkages, distribution and environmental performance. Progress will come less from another estimate of an aggregate FDI coefficient than from identifying which forms of cross-border investment generate durable capability accumulation in particular institutional and technological settings.</w:t>
      </w:r>
    </w:p>
    <w:p w14:paraId="7031B95E" w14:textId="77777777" w:rsidR="00E36DCD" w:rsidRPr="00417AF0" w:rsidRDefault="00000000">
      <w:pPr>
        <w:pStyle w:val="Heading1"/>
        <w:rPr>
          <w:color w:val="auto"/>
        </w:rPr>
      </w:pPr>
      <w:r w:rsidRPr="00417AF0">
        <w:rPr>
          <w:color w:val="auto"/>
        </w:rPr>
        <w:t>10. Limitations</w:t>
      </w:r>
    </w:p>
    <w:p w14:paraId="3EA12E47" w14:textId="77777777" w:rsidR="00E36DCD" w:rsidRPr="00417AF0" w:rsidRDefault="00000000">
      <w:pPr>
        <w:ind w:firstLine="317"/>
      </w:pPr>
      <w:r w:rsidRPr="00417AF0">
        <w:t>As a critical narrative review, this synthesis is intrinsically vulnerable to selection and interpretive bias despite the use of transparent search concepts, multiple discovery sources, citation chaining and explicit appraisal criteria. It does not present a newly exported census of all bibliographic records and therefore cannot independently reproduce every author, country or keyword network reported in proprietary-database studies. Instead, it critically triangulates published bibliometric mappings with verified empirical literature. This approach is appropriate for interpreting the knowledge structure but limits claims about absolute publication counts or real-time network centrality.</w:t>
      </w:r>
    </w:p>
    <w:p w14:paraId="48793F9F" w14:textId="77777777" w:rsidR="00E36DCD" w:rsidRPr="00417AF0" w:rsidRDefault="00000000">
      <w:pPr>
        <w:ind w:firstLine="317"/>
      </w:pPr>
      <w:r w:rsidRPr="00417AF0">
        <w:t>The evidence base is also heterogeneous in unit of analysis, country coverage, period, FDI measure, growth outcome and econometric design. Cross-country macro estimates cannot be directly equated with firm-level productivity spillovers, and many observational studies remain exposed to reverse causality and unmeasured policy changes. English-language and internationally indexed scholarship is more visible in accessible bibliometric records, creating potential geographical and language bias. Citation-based indicators favour older publications, while emerging themes such as artificial-intelligence infrastructure and geopolitical relocation have had insufficient time to accumulate citations or long-run outcome evidence. These limitations preclude quantitative pooling and require the conclusions to remain conditional rather than universal.</w:t>
      </w:r>
    </w:p>
    <w:p w14:paraId="6E8A8AD4" w14:textId="77777777" w:rsidR="00E36DCD" w:rsidRDefault="00000000">
      <w:r w:rsidRPr="00417AF0">
        <w:br w:type="page"/>
      </w:r>
    </w:p>
    <w:p w14:paraId="6A750134" w14:textId="77777777" w:rsidR="002C7690" w:rsidRDefault="002C7690" w:rsidP="002C7690">
      <w:pPr>
        <w:spacing w:after="0" w:line="240" w:lineRule="auto"/>
        <w:rPr>
          <w:rFonts w:cs="Times New Roman"/>
          <w:b/>
        </w:rPr>
      </w:pPr>
      <w:r w:rsidRPr="000839CE">
        <w:rPr>
          <w:rFonts w:cs="Times New Roman"/>
          <w:b/>
        </w:rPr>
        <w:lastRenderedPageBreak/>
        <w:t>Declaration of AI Use</w:t>
      </w:r>
    </w:p>
    <w:p w14:paraId="25BC20E7" w14:textId="77777777" w:rsidR="002C7690" w:rsidRDefault="002C7690" w:rsidP="002C7690">
      <w:pPr>
        <w:spacing w:after="0" w:line="240" w:lineRule="auto"/>
        <w:rPr>
          <w:rFonts w:cs="Times New Roman"/>
          <w:b/>
        </w:rPr>
      </w:pPr>
    </w:p>
    <w:p w14:paraId="3D46FECE" w14:textId="77777777" w:rsidR="002C7690" w:rsidRDefault="002C7690" w:rsidP="002C7690">
      <w:pPr>
        <w:spacing w:after="0" w:line="240" w:lineRule="auto"/>
        <w:rPr>
          <w:rFonts w:cs="Times New Roman"/>
          <w:b/>
        </w:rPr>
      </w:pPr>
    </w:p>
    <w:p w14:paraId="67AA0A36" w14:textId="77777777" w:rsidR="002C7690" w:rsidRDefault="002C7690" w:rsidP="002C7690">
      <w:pPr>
        <w:spacing w:after="0" w:line="240" w:lineRule="auto"/>
        <w:rPr>
          <w:rFonts w:cs="Times New Roman"/>
          <w:b/>
        </w:rPr>
      </w:pPr>
    </w:p>
    <w:p w14:paraId="0156B09C" w14:textId="77777777" w:rsidR="002C7690" w:rsidRPr="002D08AC" w:rsidRDefault="002C7690" w:rsidP="002C7690">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5690F19" w14:textId="77777777" w:rsidR="002C7690" w:rsidRPr="00417AF0" w:rsidRDefault="002C7690"/>
    <w:p w14:paraId="53FCDF93" w14:textId="77777777" w:rsidR="00E36DCD" w:rsidRPr="00417AF0" w:rsidRDefault="00000000">
      <w:pPr>
        <w:pStyle w:val="Heading1"/>
        <w:rPr>
          <w:color w:val="auto"/>
        </w:rPr>
      </w:pPr>
      <w:r w:rsidRPr="00417AF0">
        <w:rPr>
          <w:color w:val="auto"/>
        </w:rPr>
        <w:t>References</w:t>
      </w:r>
    </w:p>
    <w:p w14:paraId="7C991F73" w14:textId="77777777" w:rsidR="00417AF0" w:rsidRPr="00417AF0" w:rsidRDefault="00417AF0" w:rsidP="00417AF0">
      <w:r w:rsidRPr="00417AF0">
        <w:t>Abdouli, M., &amp; Hammami, S. (2017). Investigating the causality links between environmental quality, foreign direct investment and economic growth in MENA countries. International Business Review, 26(2), 264–278. https://doi.org/10.1016/j.ibusrev.2016.07.004</w:t>
      </w:r>
    </w:p>
    <w:p w14:paraId="19587DA2" w14:textId="77777777" w:rsidR="00417AF0" w:rsidRPr="00417AF0" w:rsidRDefault="00417AF0" w:rsidP="00417AF0">
      <w:r w:rsidRPr="00417AF0">
        <w:t>Adams, S. (2009). Foreign direct investment, domestic investment, and economic growth in Sub-Saharan Africa. Journal of Policy Modeling, 31(6), 939–949. https://doi.org/10.1016/j.jpolmod.2009.03.003</w:t>
      </w:r>
    </w:p>
    <w:p w14:paraId="72D87741" w14:textId="77777777" w:rsidR="00417AF0" w:rsidRPr="00417AF0" w:rsidRDefault="00417AF0" w:rsidP="00417AF0">
      <w:r w:rsidRPr="00417AF0">
        <w:t>Aitken, B. J., &amp; Harrison, A. E. (1999). Do domestic firms benefit from direct foreign investment? Evidence from Venezuela. American Economic Review, 89(3), 605–618. https://doi.org/10.1257/aer.89.3.605</w:t>
      </w:r>
    </w:p>
    <w:p w14:paraId="7563FCC9" w14:textId="77777777" w:rsidR="00417AF0" w:rsidRPr="00417AF0" w:rsidRDefault="00417AF0" w:rsidP="00417AF0">
      <w:r w:rsidRPr="00417AF0">
        <w:t>Alfaro, L., Chanda, A., Kalemli-Ozcan, S., &amp; Sayek, S. (2004). FDI and economic growth: The role of local financial markets. Journal of International Economics, 64(1), 89–112. https://doi.org/10.1016/S0022-1996(03)00081-3</w:t>
      </w:r>
    </w:p>
    <w:p w14:paraId="17E594BF" w14:textId="77777777" w:rsidR="00417AF0" w:rsidRPr="00417AF0" w:rsidRDefault="00417AF0" w:rsidP="00417AF0">
      <w:r w:rsidRPr="00417AF0">
        <w:t>Aria, M., &amp; Cuccurullo, C. (2017). bibliometrix: An R-tool for comprehensive science mapping analysis. Journal of Informetrics, 11(4), 959–975. https://doi.org/10.1016/j.joi.2017.08.007</w:t>
      </w:r>
    </w:p>
    <w:p w14:paraId="5D882240" w14:textId="77777777" w:rsidR="00417AF0" w:rsidRPr="00417AF0" w:rsidRDefault="00417AF0" w:rsidP="00417AF0">
      <w:r w:rsidRPr="00417AF0">
        <w:t>Asamoah, M. E., &amp; Alagidede, I. P. (2023). Foreign direct investment, real sector growth and financial development. International Journal of Finance &amp; Economics, 28(1), 626–643. https://doi.org/10.1002/ijfe.2440</w:t>
      </w:r>
    </w:p>
    <w:p w14:paraId="4A96DA4D" w14:textId="77777777" w:rsidR="00417AF0" w:rsidRPr="00417AF0" w:rsidRDefault="00417AF0" w:rsidP="00417AF0">
      <w:r w:rsidRPr="00417AF0">
        <w:t>Azman-Saini, W. N. W., Baharumshah, A. Z., &amp; Law, S. H. (2010). Foreign direct investment, economic freedom and economic growth: International evidence. Economic Modelling, 27(5), 1079–1089. https://doi.org/10.1016/j.econmod.2010.04.001</w:t>
      </w:r>
    </w:p>
    <w:p w14:paraId="184188C7" w14:textId="77777777" w:rsidR="00417AF0" w:rsidRPr="00417AF0" w:rsidRDefault="00417AF0" w:rsidP="00417AF0">
      <w:r w:rsidRPr="00417AF0">
        <w:t>Baethge, C., Goldbeck-Wood, S., &amp; Mertens, S. (2019). SANRA—a scale for the quality assessment of narrative review articles. Research Integrity and Peer Review, 4, 5. https://doi.org/10.1186/s41073-019-0064-8</w:t>
      </w:r>
    </w:p>
    <w:p w14:paraId="2528F4BD" w14:textId="77777777" w:rsidR="00417AF0" w:rsidRPr="00417AF0" w:rsidRDefault="00417AF0" w:rsidP="00417AF0">
      <w:r w:rsidRPr="00417AF0">
        <w:t>Balasubramanyam, V. N., Salisu, M., &amp; Sapsford, D. (1996). Foreign direct investment and growth in EP and IS countries. The Economic Journal, 106(434), 92–105. https://doi.org/10.2307/2234933</w:t>
      </w:r>
    </w:p>
    <w:p w14:paraId="2F41C436" w14:textId="77777777" w:rsidR="00417AF0" w:rsidRPr="00417AF0" w:rsidRDefault="00417AF0" w:rsidP="00417AF0">
      <w:r w:rsidRPr="00417AF0">
        <w:t>Borensztein, E., De Gregorio, J., &amp; Lee, J.-W. (1998). How does foreign direct investment affect economic growth? Journal of International Economics, 45(1), 115–135. https://doi.org/10.1016/S0022-1996(97)00033-0</w:t>
      </w:r>
    </w:p>
    <w:p w14:paraId="09112563" w14:textId="77777777" w:rsidR="00417AF0" w:rsidRPr="00417AF0" w:rsidRDefault="00417AF0" w:rsidP="00417AF0">
      <w:r w:rsidRPr="00417AF0">
        <w:t>Chen, C. (2006). CiteSpace II: Detecting and visualizing emerging trends and transient patterns in scientific literature. Journal of the American Society for Information Science and Technology, 57(3), 359–377. https://doi.org/10.1002/asi.20317</w:t>
      </w:r>
    </w:p>
    <w:p w14:paraId="71D3EB4D" w14:textId="77777777" w:rsidR="00417AF0" w:rsidRPr="00417AF0" w:rsidRDefault="00417AF0" w:rsidP="00417AF0">
      <w:r w:rsidRPr="00417AF0">
        <w:t>Chornyi, R., &amp; Chorna, N. (2026). The role of foreign direct investment in promoting economic growth: Evidence from Poland, Ukraine, and Vietnam (2004–2024). Research in Globalization, 12, 100337. https://doi.org/10.1016/j.resglo.2026.100337</w:t>
      </w:r>
    </w:p>
    <w:p w14:paraId="69F6ECD8" w14:textId="77777777" w:rsidR="00417AF0" w:rsidRPr="00417AF0" w:rsidRDefault="00417AF0" w:rsidP="00417AF0">
      <w:r w:rsidRPr="00417AF0">
        <w:lastRenderedPageBreak/>
        <w:t>Cicea, C., &amp; Marinescu, C. (2021). Bibliometric analysis of foreign direct investment and economic growth relationship: A research agenda. Journal of Business Economics and Management, 22(2), 445–466. https://doi.org/10.3846/jbem.2020.14018</w:t>
      </w:r>
    </w:p>
    <w:p w14:paraId="40E90EAF" w14:textId="77777777" w:rsidR="00417AF0" w:rsidRPr="00417AF0" w:rsidRDefault="00417AF0" w:rsidP="00417AF0">
      <w:r w:rsidRPr="00417AF0">
        <w:t>Cobo, M. J., López-Herrera, A. G., Herrera-Viedma, E., &amp; Herrera, F. (2012). SciMAT: A new science mapping analysis software tool. Journal of the American Society for Information Science and Technology, 63(8), 1609–1630. https://doi.org/10.1002/asi.22688</w:t>
      </w:r>
    </w:p>
    <w:p w14:paraId="47E51ED9" w14:textId="77777777" w:rsidR="00417AF0" w:rsidRPr="00417AF0" w:rsidRDefault="00417AF0" w:rsidP="00417AF0">
      <w:r w:rsidRPr="00417AF0">
        <w:t>da Silva-Oliveira, K. D., de Miranda Kubo, E. K., Morley, M. J., &amp; Cândido, R. M. (2021). Emerging economy inward and outward foreign direct investment: A bibliometric and thematic content analysis. Management International Review, 61(5), 643–679. https://doi.org/10.1007/s11575-021-00448-9</w:t>
      </w:r>
    </w:p>
    <w:p w14:paraId="3BDD4B6A" w14:textId="77777777" w:rsidR="00417AF0" w:rsidRPr="00417AF0" w:rsidRDefault="00417AF0" w:rsidP="00417AF0">
      <w:r w:rsidRPr="00417AF0">
        <w:t>de Mello, L. R. (1999). Foreign direct investment-led growth: Evidence from time series and panel data. Oxford Economic Papers, 51(1), 133–151. https://doi.org/10.1093/oep/51.1.133</w:t>
      </w:r>
    </w:p>
    <w:p w14:paraId="33A30085" w14:textId="77777777" w:rsidR="00417AF0" w:rsidRPr="00417AF0" w:rsidRDefault="00417AF0" w:rsidP="00417AF0">
      <w:r w:rsidRPr="00417AF0">
        <w:t>Donthu, N., Kumar, S., Mukherjee, D., Pandey, N., &amp; Lim, W. M. (2021). How to conduct a bibliometric analysis: An overview and guidelines. Journal of Business Research, 133, 285–296. https://doi.org/10.1016/j.jbusres.2021.04.070</w:t>
      </w:r>
    </w:p>
    <w:p w14:paraId="0F57AE15" w14:textId="77777777" w:rsidR="00417AF0" w:rsidRPr="00417AF0" w:rsidRDefault="00417AF0" w:rsidP="00417AF0">
      <w:r w:rsidRPr="00417AF0">
        <w:t>Dunning, J. H. (1988). The eclectic paradigm of international production: A restatement and some possible extensions. Journal of International Business Studies, 19(1), 1–31. https://doi.org/10.1057/palgrave.jibs.8490372</w:t>
      </w:r>
    </w:p>
    <w:p w14:paraId="31BE2536" w14:textId="77777777" w:rsidR="00417AF0" w:rsidRPr="00417AF0" w:rsidRDefault="00417AF0" w:rsidP="00417AF0">
      <w:r w:rsidRPr="00417AF0">
        <w:t>Durham, J. B. (2004). Absorptive capacity and the effects of foreign direct investment and equity foreign portfolio investment on economic growth. European Economic Review, 48(2), 285–306. https://doi.org/10.1016/S0014-2921(02)00264-7</w:t>
      </w:r>
    </w:p>
    <w:p w14:paraId="66A64A54" w14:textId="77777777" w:rsidR="00417AF0" w:rsidRPr="00417AF0" w:rsidRDefault="00417AF0" w:rsidP="00417AF0">
      <w:r w:rsidRPr="00417AF0">
        <w:t>Fan, W., &amp; Hao, Y. (2020). An empirical research on the relationship amongst renewable energy consumption, economic growth and foreign direct investment in China. Renewable Energy, 146, 598–609. https://doi.org/10.1016/j.renene.2019.06.170</w:t>
      </w:r>
    </w:p>
    <w:p w14:paraId="147E5DD2" w14:textId="77777777" w:rsidR="00417AF0" w:rsidRPr="00417AF0" w:rsidRDefault="00417AF0" w:rsidP="00417AF0">
      <w:r w:rsidRPr="00417AF0">
        <w:t>Farzam, Z., &amp; Dhume-Shinkre, P. (2026). Global geopolitical risk and foreign direct investment: A bibliometric and TCCM-guided systematic review. Journal of Economic Surveys. https://doi.org/10.1111/joes.70113</w:t>
      </w:r>
    </w:p>
    <w:p w14:paraId="4EE20AF1" w14:textId="77777777" w:rsidR="00417AF0" w:rsidRPr="00417AF0" w:rsidRDefault="00417AF0" w:rsidP="00417AF0">
      <w:r w:rsidRPr="00417AF0">
        <w:t>Findlay, R. (1978). Relative backwardness, direct foreign investment, and the transfer of technology: A simple dynamic model. The Quarterly Journal of Economics, 92(1), 1–16. https://doi.org/10.2307/1885996</w:t>
      </w:r>
    </w:p>
    <w:p w14:paraId="50CAAE98" w14:textId="77777777" w:rsidR="00417AF0" w:rsidRPr="00417AF0" w:rsidRDefault="00417AF0" w:rsidP="00417AF0">
      <w:r w:rsidRPr="00417AF0">
        <w:t>Ghazalian, P. L. (2024). Does economic growth attract FDI inflows? A dynamic panel analysis. Economies, 12(1), 1. https://doi.org/10.3390/economies12010001</w:t>
      </w:r>
    </w:p>
    <w:p w14:paraId="0A98DE68" w14:textId="77777777" w:rsidR="00417AF0" w:rsidRPr="00417AF0" w:rsidRDefault="00417AF0" w:rsidP="00417AF0">
      <w:r w:rsidRPr="00417AF0">
        <w:t>Görg, H., &amp; Greenaway, D. (2004). Much ado about nothing? Do domestic firms really benefit from foreign direct investment? The World Bank Research Observer, 19(2), 171–197. https://doi.org/10.1093/wbro/lkh019</w:t>
      </w:r>
    </w:p>
    <w:p w14:paraId="2598DF73" w14:textId="77777777" w:rsidR="00417AF0" w:rsidRPr="00417AF0" w:rsidRDefault="00417AF0" w:rsidP="00417AF0">
      <w:r w:rsidRPr="00417AF0">
        <w:t>Gunby, P., Jin, Y., &amp; Reed, W. R. (2017). Did FDI really cause Chinese economic growth? A meta-analysis. World Development, 90, 242–255. https://doi.org/10.1016/j.worlddev.2016.10.001</w:t>
      </w:r>
    </w:p>
    <w:p w14:paraId="74C103EF" w14:textId="77777777" w:rsidR="00417AF0" w:rsidRPr="00417AF0" w:rsidRDefault="00417AF0" w:rsidP="00417AF0">
      <w:r w:rsidRPr="00417AF0">
        <w:t>Hornstein, A. S. (2024). Economic growth and foreign direct investment in Asia: When investors imperfectly fulfil approved investment plans. Asia and the Global Economy, 4(2), 100093. https://doi.org/10.1016/j.aglobe.2024.100093</w:t>
      </w:r>
    </w:p>
    <w:p w14:paraId="2BC0DAC4" w14:textId="77777777" w:rsidR="00417AF0" w:rsidRPr="00417AF0" w:rsidRDefault="00417AF0" w:rsidP="00417AF0">
      <w:r w:rsidRPr="00417AF0">
        <w:t>Iamsiraroj, S., &amp; Ulubaşoğlu, M. A. (2015). Foreign direct investment and economic growth: A real relationship or wishful thinking? Economic Modelling, 51, 200–213. https://doi.org/10.1016/j.econmod.2015.08.009</w:t>
      </w:r>
    </w:p>
    <w:p w14:paraId="20955D42" w14:textId="77777777" w:rsidR="00417AF0" w:rsidRPr="00417AF0" w:rsidRDefault="00417AF0" w:rsidP="00417AF0">
      <w:r w:rsidRPr="00417AF0">
        <w:lastRenderedPageBreak/>
        <w:t>Javorcik, B. S. (2004). Does foreign direct investment increase the productivity of domestic firms? In search of spillovers through backward linkages. American Economic Review, 94(3), 605–627. https://doi.org/10.1257/0002828041464605</w:t>
      </w:r>
    </w:p>
    <w:p w14:paraId="1D276E77" w14:textId="77777777" w:rsidR="00417AF0" w:rsidRPr="00417AF0" w:rsidRDefault="00417AF0" w:rsidP="00417AF0">
      <w:r w:rsidRPr="00417AF0">
        <w:t>Lee, J. W. (2013). The contribution of foreign direct investment to clean energy use, carbon emissions and economic growth. Energy Policy, 55, 483–489. https://doi.org/10.1016/j.enpol.2012.12.039</w:t>
      </w:r>
    </w:p>
    <w:p w14:paraId="0CC59BA2" w14:textId="77777777" w:rsidR="00417AF0" w:rsidRPr="00417AF0" w:rsidRDefault="00417AF0" w:rsidP="00417AF0">
      <w:r w:rsidRPr="00417AF0">
        <w:t>Le, H. T. P., Pham, H., Do, N. T. T., &amp; Duong, K. D. (2024). Foreign direct investment, total factor productivity, and economic growth: Evidence in middle-income countries. Humanities and Social Sciences Communications, 11(1), 1388. https://doi.org/10.1057/s41599-024-03462-y</w:t>
      </w:r>
    </w:p>
    <w:p w14:paraId="13F04582" w14:textId="77777777" w:rsidR="00417AF0" w:rsidRPr="00417AF0" w:rsidRDefault="00417AF0" w:rsidP="00417AF0">
      <w:r w:rsidRPr="00417AF0">
        <w:t>Li, C., Tanna, S., &amp; Nissah, B. (2023). The effect of institutions on the foreign direct investment-growth nexus: What matters most? The World Economy, 46(7), 1999–2031. https://doi.org/10.1111/twec.13349</w:t>
      </w:r>
    </w:p>
    <w:p w14:paraId="03A753C9" w14:textId="77777777" w:rsidR="00417AF0" w:rsidRPr="00417AF0" w:rsidRDefault="00417AF0" w:rsidP="00417AF0">
      <w:r w:rsidRPr="00417AF0">
        <w:t>Li, X., &amp; Liu, X. (2005). Foreign direct investment and economic growth: An increasingly endogenous relationship. World Development, 33(3), 393–407. https://doi.org/10.1016/j.worlddev.2004.11.001</w:t>
      </w:r>
    </w:p>
    <w:p w14:paraId="45460B67" w14:textId="77777777" w:rsidR="00417AF0" w:rsidRPr="00417AF0" w:rsidRDefault="00417AF0" w:rsidP="00417AF0">
      <w:r w:rsidRPr="00417AF0">
        <w:t>Makiela, K., &amp; Ouattara, B. (2018). Foreign direct investment and economic growth: Exploring the transmission channels. Economic Modelling, 72, 296–305. https://doi.org/10.1016/j.econmod.2018.02.007</w:t>
      </w:r>
    </w:p>
    <w:p w14:paraId="2B304FE7" w14:textId="77777777" w:rsidR="00417AF0" w:rsidRPr="00417AF0" w:rsidRDefault="00417AF0" w:rsidP="00417AF0">
      <w:r w:rsidRPr="00417AF0">
        <w:t>Markusen, J. R., &amp; Venables, A. J. (1999). Foreign direct investment as a catalyst for industrial development. European Economic Review, 43(2), 335–356. https://doi.org/10.1016/S0014-2921(98)00048-8</w:t>
      </w:r>
    </w:p>
    <w:p w14:paraId="77761074" w14:textId="77777777" w:rsidR="00417AF0" w:rsidRPr="00417AF0" w:rsidRDefault="00417AF0" w:rsidP="00417AF0">
      <w:r w:rsidRPr="00417AF0">
        <w:t>Meyer, K. E., &amp; Sinani, E. (2009). When and where does foreign direct investment generate positive spillovers? A meta-analysis. Journal of International Business Studies, 40(7), 1075–1094. https://doi.org/10.1057/jibs.2008.111</w:t>
      </w:r>
    </w:p>
    <w:p w14:paraId="0762338C" w14:textId="77777777" w:rsidR="00417AF0" w:rsidRPr="00417AF0" w:rsidRDefault="00417AF0" w:rsidP="00417AF0">
      <w:r w:rsidRPr="00417AF0">
        <w:t>Nguyen, B.-C. X., &amp; Ho, T. L. (2025). Growth effect of foreign direct investment in ASEAN economies: Does institutional quality matter? Organizations and Markets in Emerging Economies, 16(1), 217–238. https://doi.org/10.15388/omee.2025.16.9</w:t>
      </w:r>
    </w:p>
    <w:p w14:paraId="5D6029A5" w14:textId="77777777" w:rsidR="00417AF0" w:rsidRPr="00417AF0" w:rsidRDefault="00417AF0" w:rsidP="00417AF0">
      <w:r w:rsidRPr="00417AF0">
        <w:t>Nguyen, M.-L. T. (2022). Foreign direct investment and economic growth: The role of financial development. Cogent Business &amp; Management, 9(1), 2127193. https://doi.org/10.1080/23311975.2022.2127193</w:t>
      </w:r>
    </w:p>
    <w:p w14:paraId="4D2A8A17" w14:textId="77777777" w:rsidR="00417AF0" w:rsidRPr="00417AF0" w:rsidRDefault="00417AF0" w:rsidP="00417AF0">
      <w:r w:rsidRPr="00417AF0">
        <w:t>Nupehewa, S., Liyanage, S., Polkotuwa, D., Thiyagarajah, M., Jayathilaka, R., &amp; Lokeshwara, A. (2022). More than just investment: Causality analysis between foreign direct investment and economic growth. PLOS ONE, 17(11), e0276621. https://doi.org/10.1371/journal.pone.0276621</w:t>
      </w:r>
    </w:p>
    <w:p w14:paraId="74006473" w14:textId="77777777" w:rsidR="00417AF0" w:rsidRPr="00417AF0" w:rsidRDefault="00417AF0" w:rsidP="00417AF0">
      <w:r w:rsidRPr="00417AF0">
        <w:t>Osei, M. J., &amp; Kim, J. (2023). Financial development and the growth effect of foreign direct investment: Does one size fit all? International Economics, 173, 276–283. https://doi.org/10.1016/j.inteco.2023.01.001</w:t>
      </w:r>
    </w:p>
    <w:p w14:paraId="4E1A96A6" w14:textId="77777777" w:rsidR="00417AF0" w:rsidRPr="00417AF0" w:rsidRDefault="00417AF0" w:rsidP="00417AF0">
      <w:r w:rsidRPr="00417AF0">
        <w:t>Paul, J., &amp; Feliciano-Cestero, M. M. (2021). Five decades of research on foreign direct investment by MNEs: An overview and research agenda. Journal of Business Research, 124, 800–812. https://doi.org/10.1016/j.jbusres.2020.04.017</w:t>
      </w:r>
    </w:p>
    <w:p w14:paraId="6D123658" w14:textId="77777777" w:rsidR="00417AF0" w:rsidRPr="00417AF0" w:rsidRDefault="00417AF0" w:rsidP="00417AF0">
      <w:r w:rsidRPr="00417AF0">
        <w:t>Rodríguez-Chávez, C. A., Oré-Evanán, L. M., Zapata-Sánchez, G. G., Toribio-Lopez, A., &amp; Eguiguren-Eguigurem, G. R. (2024). Foreign direct investment and sustainable development in Asia: Bibliometric analysis and systematic literature review. Sustainability, 16(23), 10718. https://doi.org/10.3390/su162310718</w:t>
      </w:r>
    </w:p>
    <w:p w14:paraId="6EBBB837" w14:textId="77777777" w:rsidR="00417AF0" w:rsidRPr="00417AF0" w:rsidRDefault="00417AF0" w:rsidP="00417AF0">
      <w:r w:rsidRPr="00417AF0">
        <w:t>Romer, P. M. (1990). Endogenous technological change. Journal of Political Economy, 98(5, Part 2), S71–S102. https://doi.org/10.1086/261725</w:t>
      </w:r>
    </w:p>
    <w:p w14:paraId="329705B3" w14:textId="77777777" w:rsidR="00417AF0" w:rsidRPr="00417AF0" w:rsidRDefault="00417AF0" w:rsidP="00417AF0">
      <w:r w:rsidRPr="00417AF0">
        <w:t>Su, Y., &amp; Liu, Z. (2016). The impact of foreign direct investment and human capital on economic growth: Evidence from Chinese cities. China Economic Review, 37, 97–109. https://doi.org/10.1016/j.chieco.2015.12.007</w:t>
      </w:r>
    </w:p>
    <w:p w14:paraId="66C27745" w14:textId="77777777" w:rsidR="00417AF0" w:rsidRPr="00417AF0" w:rsidRDefault="00417AF0" w:rsidP="00417AF0">
      <w:r w:rsidRPr="00417AF0">
        <w:lastRenderedPageBreak/>
        <w:t>United Nations Conference on Trade and Development. (2026). World investment report 2026: International investment in a turbulent era. https://investmentpolicy.unctad.org/publications/1324/world-investment-report-2026-international-investment-in-a-turbulent-era</w:t>
      </w:r>
    </w:p>
    <w:p w14:paraId="4D668AB3" w14:textId="77777777" w:rsidR="00417AF0" w:rsidRPr="00417AF0" w:rsidRDefault="00417AF0" w:rsidP="00417AF0">
      <w:r w:rsidRPr="00417AF0">
        <w:t>Wang, X., Xu, Z., Qin, Y., &amp; Skare, M. (2022). Foreign direct investment and economic growth: A dynamic study of measurement approaches and results. Economic Research-Ekonomska Istraživanja, 35(1), 1011–1034. https://doi.org/10.1080/1331677X.2021.1952090</w:t>
      </w:r>
    </w:p>
    <w:p w14:paraId="71E3DFCC" w14:textId="77777777" w:rsidR="00417AF0" w:rsidRPr="00417AF0" w:rsidRDefault="00417AF0" w:rsidP="00417AF0">
      <w:r w:rsidRPr="00417AF0">
        <w:t>Wooster, R. B., &amp; Diebel, D. S. (2010). Productivity spillovers from foreign direct investment in developing countries: A meta-regression analysis. Review of Development Economics, 14(3), 640–655. https://doi.org/10.1111/j.1467-9361.2010.00579.x</w:t>
      </w:r>
    </w:p>
    <w:p w14:paraId="4E0D8F18" w14:textId="77777777" w:rsidR="00417AF0" w:rsidRPr="00417AF0" w:rsidRDefault="00417AF0" w:rsidP="00417AF0">
      <w:r w:rsidRPr="00417AF0">
        <w:t>Zhu, H., Duan, L., Guo, Y., &amp; Yu, K. (2016). The effects of FDI, economic growth and energy consumption on carbon emissions in ASEAN-5: Evidence from panel quantile regression. Economic Modelling, 58, 237–248. https://doi.org/10.1016/j.econmod.2016.05.003</w:t>
      </w:r>
    </w:p>
    <w:p w14:paraId="2BB07030" w14:textId="79375A77" w:rsidR="00417AF0" w:rsidRPr="00417AF0" w:rsidRDefault="00417AF0" w:rsidP="00417AF0">
      <w:r w:rsidRPr="00417AF0">
        <w:t>Zupic, I., &amp; Čater, T. (2015). Bibliometric methods in management and organization. Organizational Research Methods, 18(3), 429–472. https://doi.org/10.1177/1094428114562629</w:t>
      </w:r>
    </w:p>
    <w:sectPr w:rsidR="00417AF0" w:rsidRPr="00417AF0" w:rsidSect="00034616">
      <w:headerReference w:type="even" r:id="rId8"/>
      <w:headerReference w:type="default" r:id="rId9"/>
      <w:footerReference w:type="even" r:id="rId10"/>
      <w:footerReference w:type="default" r:id="rId11"/>
      <w:headerReference w:type="first" r:id="rId12"/>
      <w:footerReference w:type="first" r:id="rId13"/>
      <w:pgSz w:w="12240" w:h="15840"/>
      <w:pgMar w:top="1152" w:right="1296" w:bottom="1152"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90039" w14:textId="77777777" w:rsidR="00267751" w:rsidRDefault="00267751">
      <w:pPr>
        <w:spacing w:after="0" w:line="240" w:lineRule="auto"/>
      </w:pPr>
      <w:r>
        <w:separator/>
      </w:r>
    </w:p>
  </w:endnote>
  <w:endnote w:type="continuationSeparator" w:id="0">
    <w:p w14:paraId="388A0585" w14:textId="77777777" w:rsidR="00267751" w:rsidRDefault="002677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55A38" w14:textId="77777777" w:rsidR="00061073" w:rsidRDefault="000610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FB387" w14:textId="77777777" w:rsidR="00E36DCD" w:rsidRDefault="00000000">
    <w:pPr>
      <w:pStyle w:val="Footer"/>
      <w:jc w:val="center"/>
    </w:pPr>
    <w:r>
      <w:rPr>
        <w:color w:val="646464"/>
        <w:sz w:val="18"/>
      </w:rPr>
      <w:t xml:space="preserve">Page </w:t>
    </w:r>
    <w:r>
      <w:rPr>
        <w:color w:val="646464"/>
        <w:sz w:val="18"/>
      </w:rPr>
      <w:fldChar w:fldCharType="begin"/>
    </w:r>
    <w:r>
      <w:rPr>
        <w:color w:val="646464"/>
        <w:sz w:val="18"/>
      </w:rPr>
      <w:instrText xml:space="preserve"> PAGE </w:instrText>
    </w:r>
    <w:r>
      <w:rPr>
        <w:color w:val="646464"/>
        <w:sz w:val="18"/>
      </w:rPr>
      <w:fldChar w:fldCharType="separate"/>
    </w:r>
    <w:r w:rsidR="00417AF0">
      <w:rPr>
        <w:noProof/>
        <w:color w:val="646464"/>
        <w:sz w:val="18"/>
      </w:rPr>
      <w:t>1</w:t>
    </w:r>
    <w:r>
      <w:rPr>
        <w:color w:val="646464"/>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378C2" w14:textId="77777777" w:rsidR="00061073" w:rsidRDefault="000610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03922" w14:textId="77777777" w:rsidR="00267751" w:rsidRDefault="00267751">
      <w:pPr>
        <w:spacing w:after="0" w:line="240" w:lineRule="auto"/>
      </w:pPr>
      <w:r>
        <w:separator/>
      </w:r>
    </w:p>
  </w:footnote>
  <w:footnote w:type="continuationSeparator" w:id="0">
    <w:p w14:paraId="46292D90" w14:textId="77777777" w:rsidR="00267751" w:rsidRDefault="002677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79C19" w14:textId="0A0E2BF4" w:rsidR="00061073" w:rsidRDefault="00061073">
    <w:pPr>
      <w:pStyle w:val="Header"/>
    </w:pPr>
    <w:r>
      <w:rPr>
        <w:noProof/>
      </w:rPr>
      <w:pict w14:anchorId="79DF64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559141" o:spid="_x0000_s1026" type="#_x0000_t136" style="position:absolute;left:0;text-align:left;margin-left:0;margin-top:0;width:612.05pt;height:68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6C865" w14:textId="4ECD3B53" w:rsidR="00061073" w:rsidRDefault="00061073">
    <w:pPr>
      <w:pStyle w:val="Header"/>
    </w:pPr>
    <w:r>
      <w:rPr>
        <w:noProof/>
      </w:rPr>
      <w:pict w14:anchorId="490137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559142" o:spid="_x0000_s1027" type="#_x0000_t136" style="position:absolute;left:0;text-align:left;margin-left:0;margin-top:0;width:612.05pt;height:68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E543F" w14:textId="4359DAB8" w:rsidR="00061073" w:rsidRDefault="00061073">
    <w:pPr>
      <w:pStyle w:val="Header"/>
    </w:pPr>
    <w:r>
      <w:rPr>
        <w:noProof/>
      </w:rPr>
      <w:pict w14:anchorId="1CE2C9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559140" o:spid="_x0000_s1025" type="#_x0000_t136" style="position:absolute;left:0;text-align:left;margin-left:0;margin-top:0;width:612.05pt;height:68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81087670">
    <w:abstractNumId w:val="8"/>
  </w:num>
  <w:num w:numId="2" w16cid:durableId="2053923405">
    <w:abstractNumId w:val="6"/>
  </w:num>
  <w:num w:numId="3" w16cid:durableId="400298596">
    <w:abstractNumId w:val="5"/>
  </w:num>
  <w:num w:numId="4" w16cid:durableId="1142575500">
    <w:abstractNumId w:val="4"/>
  </w:num>
  <w:num w:numId="5" w16cid:durableId="627970901">
    <w:abstractNumId w:val="7"/>
  </w:num>
  <w:num w:numId="6" w16cid:durableId="253438271">
    <w:abstractNumId w:val="3"/>
  </w:num>
  <w:num w:numId="7" w16cid:durableId="1903171006">
    <w:abstractNumId w:val="2"/>
  </w:num>
  <w:num w:numId="8" w16cid:durableId="844049455">
    <w:abstractNumId w:val="1"/>
  </w:num>
  <w:num w:numId="9" w16cid:durableId="752777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1073"/>
    <w:rsid w:val="0015074B"/>
    <w:rsid w:val="00267751"/>
    <w:rsid w:val="0029639D"/>
    <w:rsid w:val="002C7690"/>
    <w:rsid w:val="00326F90"/>
    <w:rsid w:val="00417AF0"/>
    <w:rsid w:val="006E0AED"/>
    <w:rsid w:val="00947104"/>
    <w:rsid w:val="00AA1D8D"/>
    <w:rsid w:val="00B47730"/>
    <w:rsid w:val="00CB0664"/>
    <w:rsid w:val="00D1789E"/>
    <w:rsid w:val="00E144A2"/>
    <w:rsid w:val="00E36DCD"/>
    <w:rsid w:val="00F83FF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DDDC82"/>
  <w14:defaultImageDpi w14:val="300"/>
  <w15:docId w15:val="{AFBAD11A-40EF-4854-A2BF-5BD7E391A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jc w:val="both"/>
    </w:pPr>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2F559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13800</Words>
  <Characters>78664</Characters>
  <Application>Microsoft Office Word</Application>
  <DocSecurity>0</DocSecurity>
  <Lines>655</Lines>
  <Paragraphs>184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92280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1084</cp:lastModifiedBy>
  <cp:revision>4</cp:revision>
  <dcterms:created xsi:type="dcterms:W3CDTF">2013-12-23T23:15:00Z</dcterms:created>
  <dcterms:modified xsi:type="dcterms:W3CDTF">2026-09-15T13:45:00Z</dcterms:modified>
  <cp:category/>
</cp:coreProperties>
</file>