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79B25" w14:textId="77777777" w:rsidR="00E825B8" w:rsidRDefault="00000000">
      <w:pPr>
        <w:spacing w:after="60"/>
        <w:jc w:val="center"/>
        <w:rPr>
          <w:rFonts w:cs="Times New Roman"/>
          <w:b/>
          <w:szCs w:val="24"/>
        </w:rPr>
      </w:pPr>
      <w:r w:rsidRPr="00E825B8">
        <w:rPr>
          <w:rFonts w:cs="Times New Roman"/>
          <w:b/>
          <w:szCs w:val="24"/>
        </w:rPr>
        <w:t xml:space="preserve">Economic Performance and Investment Recovery of Conventional, Container Gardening, Kratky, and Nutrient Film Technique Systems for Lettuce </w:t>
      </w:r>
    </w:p>
    <w:p w14:paraId="62C0867F" w14:textId="77777777" w:rsidR="00E825B8" w:rsidRDefault="00000000">
      <w:pPr>
        <w:spacing w:after="60"/>
        <w:jc w:val="center"/>
        <w:rPr>
          <w:rFonts w:cs="Times New Roman"/>
          <w:b/>
          <w:szCs w:val="24"/>
        </w:rPr>
      </w:pPr>
      <w:r w:rsidRPr="00E825B8">
        <w:rPr>
          <w:rFonts w:cs="Times New Roman"/>
          <w:b/>
          <w:szCs w:val="24"/>
        </w:rPr>
        <w:t>(</w:t>
      </w:r>
      <w:r w:rsidRPr="00EE1E62">
        <w:rPr>
          <w:rFonts w:cs="Times New Roman"/>
          <w:b/>
          <w:i/>
          <w:iCs/>
          <w:szCs w:val="24"/>
        </w:rPr>
        <w:t>Lactuca sativa</w:t>
      </w:r>
      <w:r w:rsidRPr="00E825B8">
        <w:rPr>
          <w:rFonts w:cs="Times New Roman"/>
          <w:b/>
          <w:szCs w:val="24"/>
        </w:rPr>
        <w:t xml:space="preserve"> L. cv. Olmetie RZ 1000 Batavia) </w:t>
      </w:r>
    </w:p>
    <w:p w14:paraId="7574AEBA" w14:textId="79879DE0" w:rsidR="00FC4B7F" w:rsidRPr="00E825B8" w:rsidRDefault="00000000">
      <w:pPr>
        <w:spacing w:after="60"/>
        <w:jc w:val="center"/>
        <w:rPr>
          <w:rFonts w:cs="Times New Roman"/>
          <w:szCs w:val="24"/>
        </w:rPr>
      </w:pPr>
      <w:r w:rsidRPr="00E825B8">
        <w:rPr>
          <w:rFonts w:cs="Times New Roman"/>
          <w:b/>
          <w:szCs w:val="24"/>
        </w:rPr>
        <w:t>Production Under Tropical Conditions</w:t>
      </w:r>
    </w:p>
    <w:p w14:paraId="57E53440" w14:textId="77777777" w:rsidR="00E825B8" w:rsidRDefault="00E825B8">
      <w:pPr>
        <w:spacing w:after="60"/>
        <w:jc w:val="center"/>
        <w:rPr>
          <w:rFonts w:cs="Times New Roman"/>
          <w:b/>
          <w:szCs w:val="24"/>
        </w:rPr>
      </w:pPr>
    </w:p>
    <w:p w14:paraId="62ADFF96" w14:textId="77777777" w:rsidR="00A21E19" w:rsidRDefault="00A21E19">
      <w:pPr>
        <w:spacing w:after="60"/>
        <w:jc w:val="center"/>
        <w:rPr>
          <w:rFonts w:cs="Times New Roman"/>
          <w:b/>
          <w:szCs w:val="24"/>
        </w:rPr>
      </w:pPr>
    </w:p>
    <w:p w14:paraId="4633121A" w14:textId="77777777" w:rsidR="00A21E19" w:rsidRPr="00E825B8" w:rsidRDefault="00A21E19">
      <w:pPr>
        <w:spacing w:after="60"/>
        <w:jc w:val="center"/>
        <w:rPr>
          <w:rFonts w:cs="Times New Roman"/>
          <w:szCs w:val="24"/>
        </w:rPr>
      </w:pPr>
    </w:p>
    <w:p w14:paraId="5D2C1502" w14:textId="2EC7569D" w:rsidR="00FC4B7F"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Abstract</w:t>
      </w:r>
    </w:p>
    <w:p w14:paraId="30528061" w14:textId="77777777" w:rsidR="000345A6" w:rsidRPr="000345A6" w:rsidRDefault="000345A6" w:rsidP="000345A6"/>
    <w:p w14:paraId="7F2ED280" w14:textId="7D58D1BA" w:rsidR="00FC4B7F" w:rsidRPr="00E825B8" w:rsidRDefault="00000000">
      <w:pPr>
        <w:spacing w:after="60"/>
        <w:jc w:val="both"/>
        <w:rPr>
          <w:rFonts w:cs="Times New Roman"/>
          <w:szCs w:val="24"/>
        </w:rPr>
      </w:pPr>
      <w:r w:rsidRPr="00E825B8">
        <w:rPr>
          <w:rFonts w:cs="Times New Roman"/>
          <w:szCs w:val="24"/>
        </w:rPr>
        <w:t>This study evaluated the economic performance and investment recovery of four lettuce (</w:t>
      </w:r>
      <w:r w:rsidRPr="00EE1E62">
        <w:rPr>
          <w:rFonts w:cs="Times New Roman"/>
          <w:i/>
          <w:iCs/>
          <w:szCs w:val="24"/>
        </w:rPr>
        <w:t>Lactuca sativa</w:t>
      </w:r>
      <w:r w:rsidRPr="00E825B8">
        <w:rPr>
          <w:rFonts w:cs="Times New Roman"/>
          <w:szCs w:val="24"/>
        </w:rPr>
        <w:t xml:space="preserve"> L.</w:t>
      </w:r>
      <w:r w:rsidR="00EE1E62">
        <w:rPr>
          <w:rFonts w:cs="Times New Roman"/>
          <w:szCs w:val="24"/>
        </w:rPr>
        <w:t xml:space="preserve"> </w:t>
      </w:r>
      <w:r w:rsidR="00EE1E62" w:rsidRPr="00EE1E62">
        <w:rPr>
          <w:rFonts w:cs="Times New Roman"/>
          <w:bCs/>
          <w:szCs w:val="24"/>
        </w:rPr>
        <w:t>cv. Olmetie RZ 1000 Batavia</w:t>
      </w:r>
      <w:r w:rsidRPr="00E825B8">
        <w:rPr>
          <w:rFonts w:cs="Times New Roman"/>
          <w:szCs w:val="24"/>
        </w:rPr>
        <w:t>) production systems—conventional open-field farming, container gardening, Kratky hydroponics, and Nutrient Film Technique (NFT)—under tropical conditions. A randomized complete block design with four treatments and three replications was used, with a 28-day production cycle. Fresh biomass, measured water use, electricity requirement, production cost, gross income, first-cycle net income, ROI, and investment recovery were evaluated. NFT produced the highest fresh biomass (133.04 g plant⁻¹), followed by container gardening (74.77 g plant⁻¹), Kratky (58.17 g plant⁻¹), and conventional farming (31.60 g plant⁻¹). The two soil-based systems used 56.00 L plant⁻¹, compared with 2.00 L for Kratky and 2.08 L for NFT. NFT electricity cost was approximately ₱2.99 plant⁻¹. At a selling price of ₱350 kg⁻¹, gross income ranged from ₱11.06 plant⁻¹ in conventional production to ₱46.56 plant⁻¹ in NFT. All systems had negative first-cycle net income because the complete unit cost basis was charged against the first harvest. Using the study-specific gross-revenue capital-recovery indicator, investment recovery ranged from 1.14 cycles for container gardening to 5.87 cycles for NFT. The results demonstrate that higher biomass and water efficiency can coexist with substantially higher capital requirements, making economic evaluation essential when selecting lettuce production technologies.</w:t>
      </w:r>
    </w:p>
    <w:p w14:paraId="7BCB7A35" w14:textId="77777777" w:rsidR="00E825B8" w:rsidRDefault="00E825B8">
      <w:pPr>
        <w:spacing w:after="60"/>
        <w:rPr>
          <w:rFonts w:cs="Times New Roman"/>
          <w:b/>
          <w:szCs w:val="24"/>
        </w:rPr>
      </w:pPr>
    </w:p>
    <w:p w14:paraId="424E8477" w14:textId="6813DDAE" w:rsidR="00FC4B7F" w:rsidRDefault="00000000" w:rsidP="00E825B8">
      <w:pPr>
        <w:spacing w:after="60"/>
        <w:ind w:left="1134" w:hanging="1134"/>
        <w:rPr>
          <w:rFonts w:cs="Times New Roman"/>
          <w:szCs w:val="24"/>
        </w:rPr>
      </w:pPr>
      <w:r w:rsidRPr="00E825B8">
        <w:rPr>
          <w:rFonts w:cs="Times New Roman"/>
          <w:b/>
          <w:szCs w:val="24"/>
        </w:rPr>
        <w:t xml:space="preserve">Keywords: </w:t>
      </w:r>
      <w:r w:rsidRPr="00E825B8">
        <w:rPr>
          <w:rFonts w:cs="Times New Roman"/>
          <w:szCs w:val="24"/>
        </w:rPr>
        <w:t>lettuce production; hydroponics; Kratky method; Nutrient Film Technique; economic performance; investment recovery; capital budgeting</w:t>
      </w:r>
    </w:p>
    <w:p w14:paraId="5D2C513F" w14:textId="77777777" w:rsidR="000345A6" w:rsidRPr="00E825B8" w:rsidRDefault="000345A6" w:rsidP="00E825B8">
      <w:pPr>
        <w:spacing w:after="60"/>
        <w:ind w:left="1134" w:hanging="1134"/>
        <w:rPr>
          <w:rFonts w:cs="Times New Roman"/>
          <w:szCs w:val="24"/>
        </w:rPr>
      </w:pPr>
    </w:p>
    <w:p w14:paraId="593CAEC2"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1. Introduction</w:t>
      </w:r>
    </w:p>
    <w:p w14:paraId="0809270A" w14:textId="42831A53" w:rsidR="00FC4B7F" w:rsidRPr="00E825B8" w:rsidRDefault="00E825B8">
      <w:pPr>
        <w:spacing w:after="60"/>
        <w:jc w:val="both"/>
        <w:rPr>
          <w:rFonts w:cs="Times New Roman"/>
          <w:szCs w:val="24"/>
        </w:rPr>
      </w:pPr>
      <w:r>
        <w:rPr>
          <w:rFonts w:cs="Times New Roman"/>
          <w:szCs w:val="24"/>
        </w:rPr>
        <w:tab/>
      </w:r>
      <w:r w:rsidRPr="00E825B8">
        <w:rPr>
          <w:rFonts w:cs="Times New Roman"/>
          <w:szCs w:val="24"/>
        </w:rPr>
        <w:t>Lettuce (</w:t>
      </w:r>
      <w:r w:rsidRPr="00E825B8">
        <w:rPr>
          <w:rFonts w:cs="Times New Roman"/>
          <w:i/>
          <w:iCs/>
          <w:szCs w:val="24"/>
        </w:rPr>
        <w:t>Lactuca sativa</w:t>
      </w:r>
      <w:r w:rsidRPr="00E825B8">
        <w:rPr>
          <w:rFonts w:cs="Times New Roman"/>
          <w:szCs w:val="24"/>
        </w:rPr>
        <w:t xml:space="preserve"> L.) is a high-value leafy vegetable with a short production cycle and strong demand in households, restaurants, hotels, and institutional food services. However, lettuce is sensitive to high </w:t>
      </w:r>
      <w:r>
        <w:rPr>
          <w:rFonts w:cs="Times New Roman"/>
          <w:szCs w:val="24"/>
        </w:rPr>
        <w:t>temperatures</w:t>
      </w:r>
      <w:r w:rsidRPr="00E825B8">
        <w:rPr>
          <w:rFonts w:cs="Times New Roman"/>
          <w:szCs w:val="24"/>
        </w:rPr>
        <w:t>, and hot tropical conditions can reduce growth and marketable quality. Studies of tropical-adapted lettuce production show that temperature management is an important determinant of crop performance under warm conditions, while recent reviews emphasize the role of soilless systems in production environments affected by climate variability, land constraints, and urbanization (</w:t>
      </w:r>
      <w:proofErr w:type="spellStart"/>
      <w:r w:rsidRPr="00E825B8">
        <w:rPr>
          <w:rFonts w:cs="Times New Roman"/>
          <w:szCs w:val="24"/>
        </w:rPr>
        <w:t>Kumsong</w:t>
      </w:r>
      <w:proofErr w:type="spellEnd"/>
      <w:r w:rsidRPr="00E825B8">
        <w:rPr>
          <w:rFonts w:cs="Times New Roman"/>
          <w:szCs w:val="24"/>
        </w:rPr>
        <w:t xml:space="preserve"> et al., 2023; </w:t>
      </w:r>
      <w:proofErr w:type="spellStart"/>
      <w:r w:rsidRPr="00E825B8">
        <w:rPr>
          <w:rFonts w:cs="Times New Roman"/>
          <w:szCs w:val="24"/>
        </w:rPr>
        <w:t>Lakhiar</w:t>
      </w:r>
      <w:proofErr w:type="spellEnd"/>
      <w:r w:rsidRPr="00E825B8">
        <w:rPr>
          <w:rFonts w:cs="Times New Roman"/>
          <w:szCs w:val="24"/>
        </w:rPr>
        <w:t xml:space="preserve"> et al., 2025). These constraints make production technologies that improve control of water, nutrients, and the crop root environment increasingly relevant.</w:t>
      </w:r>
    </w:p>
    <w:p w14:paraId="622B66F3" w14:textId="3A95C1D6"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Conventional open-field production remains relatively simple and requires less specialized infrastructure, but crop performance depends on soil condition, water availability, drainage, and nutrient distribution. Container gardening provides greater control over the immediate root environment by allowing the grower to select the growing medium and manage water and drainage. Soilless systems extend this control by delivering water and nutrients directly to the root zone (Chowdhury et al., 2024; Gruda, 2019; Savvas &amp; Gruda, 2018). Comparative lettuce studies have also shown that substrate-based and hydroponic configurations can differ substantially in water productivity and crop response, indicating that </w:t>
      </w:r>
      <w:r w:rsidRPr="00E825B8">
        <w:rPr>
          <w:rFonts w:cs="Times New Roman"/>
          <w:szCs w:val="24"/>
        </w:rPr>
        <w:lastRenderedPageBreak/>
        <w:t>system design is an important component of production performance (</w:t>
      </w:r>
      <w:proofErr w:type="spellStart"/>
      <w:r w:rsidRPr="00E825B8">
        <w:rPr>
          <w:rFonts w:cs="Times New Roman"/>
          <w:szCs w:val="24"/>
        </w:rPr>
        <w:t>Shtaya</w:t>
      </w:r>
      <w:proofErr w:type="spellEnd"/>
      <w:r w:rsidRPr="00E825B8">
        <w:rPr>
          <w:rFonts w:cs="Times New Roman"/>
          <w:szCs w:val="24"/>
        </w:rPr>
        <w:t xml:space="preserve"> &amp; </w:t>
      </w:r>
      <w:proofErr w:type="spellStart"/>
      <w:r w:rsidRPr="00E825B8">
        <w:rPr>
          <w:rFonts w:cs="Times New Roman"/>
          <w:szCs w:val="24"/>
        </w:rPr>
        <w:t>Qubbaj</w:t>
      </w:r>
      <w:proofErr w:type="spellEnd"/>
      <w:r w:rsidRPr="00E825B8">
        <w:rPr>
          <w:rFonts w:cs="Times New Roman"/>
          <w:szCs w:val="24"/>
        </w:rPr>
        <w:t>, 2022; Yang et al., 2024).</w:t>
      </w:r>
    </w:p>
    <w:p w14:paraId="36195A96" w14:textId="1E3A06DC"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Hydroponic systems differ in their level of technical and energy requirements. The Kratky method is a passive, non-circulating system in which the nutrient solution remains in a reservoir while the solution level declines as the crop takes up water and nutrients. The resulting air space supplies oxygen to the roots without continuous pumping (Kratky, 2005). Recent work on low-cost non-circulating hydroponics likewise demonstrates the potential of passive systems for small-scale lettuce production where access to electricity or capital is limited (Gumisiriza et al., 2022). In contrast, the Nutrient Film Technique (NFT) is an active recirculating system that uses a pump to move nutrient solution through growing channels. Hydroponics can reduce water requirements, but active systems can require additional energy and infrastructure (Barbosa et al., 2015; Niu &amp; </w:t>
      </w:r>
      <w:proofErr w:type="spellStart"/>
      <w:r w:rsidRPr="00E825B8">
        <w:rPr>
          <w:rFonts w:cs="Times New Roman"/>
          <w:szCs w:val="24"/>
        </w:rPr>
        <w:t>Masabni</w:t>
      </w:r>
      <w:proofErr w:type="spellEnd"/>
      <w:r w:rsidRPr="00E825B8">
        <w:rPr>
          <w:rFonts w:cs="Times New Roman"/>
          <w:szCs w:val="24"/>
        </w:rPr>
        <w:t>, 2022; Resh, 2013; Sharma et al., 2018).</w:t>
      </w:r>
    </w:p>
    <w:p w14:paraId="05B4EBF6" w14:textId="36E6D963"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Economic performance is especially important when </w:t>
      </w:r>
      <w:r w:rsidR="00EE1E62">
        <w:rPr>
          <w:rFonts w:cs="Times New Roman"/>
          <w:szCs w:val="24"/>
        </w:rPr>
        <w:t>comparing technologies with very different capital requirements</w:t>
      </w:r>
      <w:r w:rsidRPr="00E825B8">
        <w:rPr>
          <w:rFonts w:cs="Times New Roman"/>
          <w:szCs w:val="24"/>
        </w:rPr>
        <w:t xml:space="preserve">. A system that produces more biomass may also require substantially more infrastructure and operating </w:t>
      </w:r>
      <w:r w:rsidR="00EE1E62">
        <w:rPr>
          <w:rFonts w:cs="Times New Roman"/>
          <w:szCs w:val="24"/>
        </w:rPr>
        <w:t>costs</w:t>
      </w:r>
      <w:r w:rsidRPr="00E825B8">
        <w:rPr>
          <w:rFonts w:cs="Times New Roman"/>
          <w:szCs w:val="24"/>
        </w:rPr>
        <w:t xml:space="preserve">. Maestre-Valero et al. (2018) demonstrated this trade-off in lettuce production by comparing soil-based and NFT systems, while Sace and Natividad (2015) showed that hydroponic lettuce production can be evaluated using investment, operating cost, income, and payback indicators. More recent comparative research likewise reports that hydroponic systems can have higher initial investment and operating costs while producing higher yield, water productivity, or revenue under some production conditions (Wang et al., 2023). Capital-budgeting studies of small-scale hydroponic lettuce production further show the value of considering payback, profitability, and sensitivity to price and production assumptions (Gumisiriza et al., 2022; </w:t>
      </w:r>
      <w:proofErr w:type="spellStart"/>
      <w:r w:rsidRPr="00E825B8">
        <w:rPr>
          <w:rFonts w:cs="Times New Roman"/>
          <w:szCs w:val="24"/>
        </w:rPr>
        <w:t>Afriyanti</w:t>
      </w:r>
      <w:proofErr w:type="spellEnd"/>
      <w:r w:rsidRPr="00E825B8">
        <w:rPr>
          <w:rFonts w:cs="Times New Roman"/>
          <w:szCs w:val="24"/>
        </w:rPr>
        <w:t xml:space="preserve"> et al., 2024). Thus, yield alone is not sufficient for evaluating a production system intended for commercial or small-scale investment.</w:t>
      </w:r>
    </w:p>
    <w:p w14:paraId="08CCEA14" w14:textId="7637C41D"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The present study addresses this need by comparing conventional open-field farming, container gardening, Kratky hydroponics, and NFT hydroponics </w:t>
      </w:r>
      <w:r w:rsidR="00EE1E62">
        <w:rPr>
          <w:rFonts w:cs="Times New Roman"/>
          <w:szCs w:val="24"/>
        </w:rPr>
        <w:t>in a shared</w:t>
      </w:r>
      <w:r w:rsidRPr="00E825B8">
        <w:rPr>
          <w:rFonts w:cs="Times New Roman"/>
          <w:szCs w:val="24"/>
        </w:rPr>
        <w:t xml:space="preserve"> tropical production setting. The study focuses on fresh biomass yield, measured water use, electricity requirement, production cost, gross income, first-cycle net income, ROI, and a clearly defined investment recovery period. For the soil-based treatments, the fermented bamboo shoot and Japanese snail liquid fertilizer previously evaluated by </w:t>
      </w:r>
      <w:proofErr w:type="spellStart"/>
      <w:r w:rsidRPr="00E825B8">
        <w:rPr>
          <w:rFonts w:cs="Times New Roman"/>
          <w:szCs w:val="24"/>
        </w:rPr>
        <w:t>Carabio</w:t>
      </w:r>
      <w:proofErr w:type="spellEnd"/>
      <w:r w:rsidRPr="00E825B8">
        <w:rPr>
          <w:rFonts w:cs="Times New Roman"/>
          <w:szCs w:val="24"/>
        </w:rPr>
        <w:t xml:space="preserve"> et al. (2021) was used as part of the production protocol. Philippine studies have also examined non-circulating hydroponic lettuce and profitability, providing a useful local context for evaluating hydroponic nutrient management under Philippine production conditions (Ramos et al., 2024).</w:t>
      </w:r>
    </w:p>
    <w:p w14:paraId="383CAD19" w14:textId="0835D374" w:rsidR="00FC4B7F" w:rsidRDefault="00E825B8">
      <w:pPr>
        <w:spacing w:after="60"/>
        <w:jc w:val="both"/>
        <w:rPr>
          <w:rFonts w:cs="Times New Roman"/>
          <w:b/>
          <w:szCs w:val="24"/>
        </w:rPr>
      </w:pPr>
      <w:r>
        <w:rPr>
          <w:rFonts w:cs="Times New Roman"/>
          <w:b/>
          <w:szCs w:val="24"/>
        </w:rPr>
        <w:tab/>
      </w:r>
      <w:r w:rsidRPr="00E825B8">
        <w:rPr>
          <w:rFonts w:cs="Times New Roman"/>
          <w:b/>
          <w:szCs w:val="24"/>
        </w:rPr>
        <w:t>The study aimed to evaluate the economic performance and investment recovery of four lettuce production systems under tropical conditions. Specifically, it compared their production yield, measured water requirement, electricity cost, production-cost basis, gross income, first-cycle net income, ROI, and investment recovery period.</w:t>
      </w:r>
    </w:p>
    <w:p w14:paraId="13FDBC65" w14:textId="08312B76" w:rsidR="000345A6" w:rsidRDefault="000345A6">
      <w:pPr>
        <w:spacing w:after="60"/>
        <w:jc w:val="both"/>
        <w:rPr>
          <w:rFonts w:cs="Times New Roman"/>
          <w:b/>
          <w:szCs w:val="24"/>
        </w:rPr>
      </w:pPr>
    </w:p>
    <w:p w14:paraId="615D0D41" w14:textId="49D26A14" w:rsidR="000345A6" w:rsidRDefault="000345A6">
      <w:pPr>
        <w:spacing w:after="60"/>
        <w:jc w:val="both"/>
        <w:rPr>
          <w:rFonts w:cs="Times New Roman"/>
          <w:b/>
          <w:szCs w:val="24"/>
        </w:rPr>
      </w:pPr>
    </w:p>
    <w:p w14:paraId="039B0267" w14:textId="6CB7D865" w:rsidR="000345A6" w:rsidRDefault="000345A6">
      <w:pPr>
        <w:spacing w:after="60"/>
        <w:jc w:val="both"/>
        <w:rPr>
          <w:rFonts w:cs="Times New Roman"/>
          <w:b/>
          <w:szCs w:val="24"/>
        </w:rPr>
      </w:pPr>
    </w:p>
    <w:p w14:paraId="63F5969F" w14:textId="5FA03C62" w:rsidR="000345A6" w:rsidRDefault="000345A6">
      <w:pPr>
        <w:spacing w:after="60"/>
        <w:jc w:val="both"/>
        <w:rPr>
          <w:rFonts w:cs="Times New Roman"/>
          <w:b/>
          <w:szCs w:val="24"/>
        </w:rPr>
      </w:pPr>
    </w:p>
    <w:p w14:paraId="213967A6" w14:textId="324A224C" w:rsidR="000345A6" w:rsidRDefault="000345A6">
      <w:pPr>
        <w:spacing w:after="60"/>
        <w:jc w:val="both"/>
        <w:rPr>
          <w:rFonts w:cs="Times New Roman"/>
          <w:b/>
          <w:szCs w:val="24"/>
        </w:rPr>
      </w:pPr>
    </w:p>
    <w:p w14:paraId="61129307" w14:textId="77777777" w:rsidR="000345A6" w:rsidRPr="00E825B8" w:rsidRDefault="000345A6">
      <w:pPr>
        <w:spacing w:after="60"/>
        <w:jc w:val="both"/>
        <w:rPr>
          <w:rFonts w:cs="Times New Roman"/>
          <w:szCs w:val="24"/>
        </w:rPr>
      </w:pPr>
    </w:p>
    <w:p w14:paraId="0AC97BE4"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2. Materials and Methods</w:t>
      </w:r>
    </w:p>
    <w:p w14:paraId="6EA28B34" w14:textId="2079501A"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2.1 Research design</w:t>
      </w:r>
    </w:p>
    <w:p w14:paraId="6CC33EA0" w14:textId="63D5E9DB" w:rsidR="00FC4B7F" w:rsidRPr="00E825B8" w:rsidRDefault="00E825B8">
      <w:pPr>
        <w:spacing w:after="60"/>
        <w:jc w:val="both"/>
        <w:rPr>
          <w:rFonts w:cs="Times New Roman"/>
          <w:szCs w:val="24"/>
        </w:rPr>
      </w:pPr>
      <w:r>
        <w:rPr>
          <w:rFonts w:cs="Times New Roman"/>
          <w:szCs w:val="24"/>
        </w:rPr>
        <w:tab/>
      </w:r>
      <w:r w:rsidRPr="00E825B8">
        <w:rPr>
          <w:rFonts w:cs="Times New Roman"/>
          <w:szCs w:val="24"/>
        </w:rPr>
        <w:t>The study used an experimental design arranged as a Randomized Complete Block Design (RCBD) with four treatments and three replications. The same lettuce cultivar, seedling age, and 28-day production period were used across the treatments to reduce variation associated with crop genotype and crop age. The four systems were: T</w:t>
      </w:r>
      <w:r w:rsidRPr="00A02C15">
        <w:rPr>
          <w:rFonts w:cs="Times New Roman"/>
          <w:szCs w:val="24"/>
          <w:vertAlign w:val="subscript"/>
        </w:rPr>
        <w:t>1</w:t>
      </w:r>
      <w:r w:rsidRPr="00E825B8">
        <w:rPr>
          <w:rFonts w:cs="Times New Roman"/>
          <w:szCs w:val="24"/>
        </w:rPr>
        <w:t>, conventional open-</w:t>
      </w:r>
      <w:r w:rsidRPr="00E825B8">
        <w:rPr>
          <w:rFonts w:cs="Times New Roman"/>
          <w:szCs w:val="24"/>
        </w:rPr>
        <w:lastRenderedPageBreak/>
        <w:t>field farming; T</w:t>
      </w:r>
      <w:r w:rsidRPr="00A02C15">
        <w:rPr>
          <w:rFonts w:cs="Times New Roman"/>
          <w:szCs w:val="24"/>
          <w:vertAlign w:val="subscript"/>
        </w:rPr>
        <w:t>2</w:t>
      </w:r>
      <w:r w:rsidRPr="00E825B8">
        <w:rPr>
          <w:rFonts w:cs="Times New Roman"/>
          <w:szCs w:val="24"/>
        </w:rPr>
        <w:t>, container gardening using soft plastic pots; T</w:t>
      </w:r>
      <w:r w:rsidRPr="00A02C15">
        <w:rPr>
          <w:rFonts w:cs="Times New Roman"/>
          <w:szCs w:val="24"/>
          <w:vertAlign w:val="subscript"/>
        </w:rPr>
        <w:t>3</w:t>
      </w:r>
      <w:r w:rsidRPr="00E825B8">
        <w:rPr>
          <w:rFonts w:cs="Times New Roman"/>
          <w:szCs w:val="24"/>
        </w:rPr>
        <w:t>, static Kratky hydroponics; and T</w:t>
      </w:r>
      <w:r w:rsidRPr="00A02C15">
        <w:rPr>
          <w:rFonts w:cs="Times New Roman"/>
          <w:szCs w:val="24"/>
          <w:vertAlign w:val="subscript"/>
        </w:rPr>
        <w:t>4</w:t>
      </w:r>
      <w:r w:rsidRPr="00E825B8">
        <w:rPr>
          <w:rFonts w:cs="Times New Roman"/>
          <w:szCs w:val="24"/>
        </w:rPr>
        <w:t>, Nutrient Film Technique (NFT) hydroponics.</w:t>
      </w:r>
    </w:p>
    <w:p w14:paraId="19468054" w14:textId="6902AB3E"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2.2 Study area</w:t>
      </w:r>
    </w:p>
    <w:p w14:paraId="40B5E843" w14:textId="26705366"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The experiment was conducted at Cebu Technological University–Barili Campus in </w:t>
      </w:r>
      <w:proofErr w:type="spellStart"/>
      <w:r w:rsidRPr="00E825B8">
        <w:rPr>
          <w:rFonts w:cs="Times New Roman"/>
          <w:szCs w:val="24"/>
        </w:rPr>
        <w:t>Cagay</w:t>
      </w:r>
      <w:proofErr w:type="spellEnd"/>
      <w:r w:rsidRPr="00E825B8">
        <w:rPr>
          <w:rFonts w:cs="Times New Roman"/>
          <w:szCs w:val="24"/>
        </w:rPr>
        <w:t>, Barili, Cebu, Philippines (approximately 10°06′N, 123°30′E). The experimental site experienced tropical conditions, with ambient temperatures generally ranging from 27 to 30 °C and relative humidity of approximately 75% to 85% during the experimental period.</w:t>
      </w:r>
    </w:p>
    <w:p w14:paraId="1D9C32B3" w14:textId="3E3C3CC8"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2.3 Plant material and treatments</w:t>
      </w:r>
    </w:p>
    <w:p w14:paraId="0C51C723" w14:textId="27F49E7F"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The lettuce cultivar used was </w:t>
      </w:r>
      <w:r w:rsidRPr="00EE1E62">
        <w:rPr>
          <w:rFonts w:cs="Times New Roman"/>
          <w:i/>
          <w:iCs/>
          <w:szCs w:val="24"/>
        </w:rPr>
        <w:t>Lactuca sativa</w:t>
      </w:r>
      <w:r w:rsidRPr="00E825B8">
        <w:rPr>
          <w:rFonts w:cs="Times New Roman"/>
          <w:szCs w:val="24"/>
        </w:rPr>
        <w:t xml:space="preserve"> L. cv. ‘</w:t>
      </w:r>
      <w:proofErr w:type="spellStart"/>
      <w:r w:rsidRPr="00E825B8">
        <w:rPr>
          <w:rFonts w:cs="Times New Roman"/>
          <w:szCs w:val="24"/>
        </w:rPr>
        <w:t>Olmetie</w:t>
      </w:r>
      <w:proofErr w:type="spellEnd"/>
      <w:r w:rsidRPr="00E825B8">
        <w:rPr>
          <w:rFonts w:cs="Times New Roman"/>
          <w:szCs w:val="24"/>
        </w:rPr>
        <w:t xml:space="preserve"> RZ 1000 Batavia’. Seedlings were raised in trays and transplanted at 15 days after sowing when they had approximately two to three true leaves. Treatments T</w:t>
      </w:r>
      <w:r w:rsidRPr="00A02C15">
        <w:rPr>
          <w:rFonts w:cs="Times New Roman"/>
          <w:szCs w:val="24"/>
          <w:vertAlign w:val="subscript"/>
        </w:rPr>
        <w:t>1</w:t>
      </w:r>
      <w:r w:rsidRPr="00E825B8">
        <w:rPr>
          <w:rFonts w:cs="Times New Roman"/>
          <w:szCs w:val="24"/>
        </w:rPr>
        <w:t>, T</w:t>
      </w:r>
      <w:r w:rsidRPr="00A02C15">
        <w:rPr>
          <w:rFonts w:cs="Times New Roman"/>
          <w:szCs w:val="24"/>
          <w:vertAlign w:val="subscript"/>
        </w:rPr>
        <w:t>2</w:t>
      </w:r>
      <w:r w:rsidRPr="00E825B8">
        <w:rPr>
          <w:rFonts w:cs="Times New Roman"/>
          <w:szCs w:val="24"/>
        </w:rPr>
        <w:t>, and T</w:t>
      </w:r>
      <w:r w:rsidRPr="00A02C15">
        <w:rPr>
          <w:rFonts w:cs="Times New Roman"/>
          <w:szCs w:val="24"/>
          <w:vertAlign w:val="subscript"/>
        </w:rPr>
        <w:t>3</w:t>
      </w:r>
      <w:r w:rsidRPr="00E825B8">
        <w:rPr>
          <w:rFonts w:cs="Times New Roman"/>
          <w:szCs w:val="24"/>
        </w:rPr>
        <w:t xml:space="preserve"> each contained 45 plants across three replications, or 15 plants per experimental unit. The NFT structure contained 192 planting positions distributed among eight channels.</w:t>
      </w:r>
    </w:p>
    <w:p w14:paraId="38512F7B"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2.4 Conventional farming system</w:t>
      </w:r>
    </w:p>
    <w:p w14:paraId="1D974A24" w14:textId="1A092CD8" w:rsidR="00FC4B7F" w:rsidRPr="00E825B8" w:rsidRDefault="00E825B8">
      <w:pPr>
        <w:spacing w:after="60"/>
        <w:jc w:val="both"/>
        <w:rPr>
          <w:rFonts w:cs="Times New Roman"/>
          <w:szCs w:val="24"/>
        </w:rPr>
      </w:pPr>
      <w:r>
        <w:rPr>
          <w:rFonts w:cs="Times New Roman"/>
          <w:szCs w:val="24"/>
        </w:rPr>
        <w:tab/>
      </w:r>
      <w:r w:rsidR="00EE1E62">
        <w:rPr>
          <w:rFonts w:cs="Times New Roman"/>
          <w:szCs w:val="24"/>
        </w:rPr>
        <w:t>Treatment 1</w:t>
      </w:r>
      <w:r w:rsidRPr="00E825B8">
        <w:rPr>
          <w:rFonts w:cs="Times New Roman"/>
          <w:szCs w:val="24"/>
        </w:rPr>
        <w:t xml:space="preserve"> was established in an outdoor area of approximately 15 m². The soil was prepared and divided into three independent 1 m × 1 m plots, with 15 plants per plot. Plants were spaced approximately 25 cm within rows and 35 cm between rows. Microbial compost was applied as a basal nutrient source, and the crop was supplemented with a liquid fertilizer </w:t>
      </w:r>
      <w:r>
        <w:rPr>
          <w:rFonts w:cs="Times New Roman"/>
          <w:szCs w:val="24"/>
        </w:rPr>
        <w:t>derived from fermented extracts of Japanese snail (</w:t>
      </w:r>
      <w:r w:rsidRPr="00E825B8">
        <w:rPr>
          <w:rFonts w:cs="Times New Roman"/>
          <w:i/>
          <w:iCs/>
          <w:szCs w:val="24"/>
        </w:rPr>
        <w:t>Achatina fulica</w:t>
      </w:r>
      <w:r>
        <w:rPr>
          <w:rFonts w:cs="Times New Roman"/>
          <w:szCs w:val="24"/>
        </w:rPr>
        <w:t>) and bamboo shoot (</w:t>
      </w:r>
      <w:r w:rsidRPr="00E825B8">
        <w:rPr>
          <w:rFonts w:cs="Times New Roman"/>
          <w:i/>
          <w:iCs/>
          <w:szCs w:val="24"/>
        </w:rPr>
        <w:t>Bambusa spinosa</w:t>
      </w:r>
      <w:r>
        <w:rPr>
          <w:rFonts w:cs="Times New Roman"/>
          <w:szCs w:val="24"/>
        </w:rPr>
        <w:t>)</w:t>
      </w:r>
      <w:r w:rsidRPr="00E825B8">
        <w:rPr>
          <w:rFonts w:cs="Times New Roman"/>
          <w:szCs w:val="24"/>
        </w:rPr>
        <w:t>.</w:t>
      </w:r>
    </w:p>
    <w:p w14:paraId="5004135B"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2.5 Container gardening system</w:t>
      </w:r>
    </w:p>
    <w:p w14:paraId="47676073" w14:textId="5CD1F97D" w:rsidR="00FC4B7F" w:rsidRPr="00E825B8" w:rsidRDefault="00E825B8">
      <w:pPr>
        <w:spacing w:after="60"/>
        <w:jc w:val="both"/>
        <w:rPr>
          <w:rFonts w:cs="Times New Roman"/>
          <w:szCs w:val="24"/>
        </w:rPr>
      </w:pPr>
      <w:r>
        <w:rPr>
          <w:rFonts w:cs="Times New Roman"/>
          <w:szCs w:val="24"/>
        </w:rPr>
        <w:tab/>
      </w:r>
      <w:r w:rsidR="00EE1E62">
        <w:rPr>
          <w:rFonts w:cs="Times New Roman"/>
          <w:szCs w:val="24"/>
        </w:rPr>
        <w:t xml:space="preserve">Treatment </w:t>
      </w:r>
      <w:r w:rsidRPr="00E825B8">
        <w:rPr>
          <w:rFonts w:cs="Times New Roman"/>
          <w:szCs w:val="24"/>
        </w:rPr>
        <w:t>2 was established in a protective greenhouse using 45 soft plastic pots distributed among three replications. Each pot had an approximate upper diameter of 18 cm, height of 14 cm, and bottom diameter of 13 cm. Each pot contained approximately 1.5 kg of growing medium composed of microbial compost, carbonized rice hull, and garden soil mixed at a 1:1:2 ratio, with one plant per container.</w:t>
      </w:r>
    </w:p>
    <w:p w14:paraId="63EC062C"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2.6 Kratky hydroponic system</w:t>
      </w:r>
    </w:p>
    <w:p w14:paraId="70B5C37D" w14:textId="2991C788" w:rsidR="00FC4B7F" w:rsidRPr="00E825B8" w:rsidRDefault="00E825B8">
      <w:pPr>
        <w:spacing w:after="60"/>
        <w:jc w:val="both"/>
        <w:rPr>
          <w:rFonts w:cs="Times New Roman"/>
          <w:szCs w:val="24"/>
        </w:rPr>
      </w:pPr>
      <w:r>
        <w:rPr>
          <w:rFonts w:cs="Times New Roman"/>
          <w:szCs w:val="24"/>
        </w:rPr>
        <w:tab/>
      </w:r>
      <w:r w:rsidR="000345A6">
        <w:t xml:space="preserve">Treatment 3 used the passive Kratky method. Three 30-L insulated plastic tuna boxes served as nutrient-solution reservoirs, with one reservoir assigned to each replication. Each tuna box lid contained 15 planting holes, corresponding to 15 lettuce plants per replication. The nutrient solution was prepared by adding </w:t>
      </w:r>
      <w:r w:rsidR="000345A6" w:rsidRPr="000345A6">
        <w:rPr>
          <w:rStyle w:val="Strong"/>
          <w:b w:val="0"/>
          <w:bCs w:val="0"/>
        </w:rPr>
        <w:t xml:space="preserve">2 mL of Solution A and 2 mL of Solution B </w:t>
      </w:r>
      <w:r w:rsidR="000345A6">
        <w:rPr>
          <w:rStyle w:val="Strong"/>
          <w:b w:val="0"/>
          <w:bCs w:val="0"/>
        </w:rPr>
        <w:t>to 1 L</w:t>
      </w:r>
      <w:r w:rsidR="000345A6" w:rsidRPr="000345A6">
        <w:rPr>
          <w:rStyle w:val="Strong"/>
          <w:b w:val="0"/>
          <w:bCs w:val="0"/>
        </w:rPr>
        <w:t xml:space="preserve"> of water</w:t>
      </w:r>
      <w:r w:rsidR="000345A6">
        <w:t xml:space="preserve">. Accordingly, a 30-L volume of nutrient solution required </w:t>
      </w:r>
      <w:r w:rsidR="000345A6" w:rsidRPr="000345A6">
        <w:rPr>
          <w:rStyle w:val="Strong"/>
          <w:b w:val="0"/>
          <w:bCs w:val="0"/>
        </w:rPr>
        <w:t>60 mL of Solution A and 60 mL of Solution B</w:t>
      </w:r>
      <w:r w:rsidR="000345A6">
        <w:t xml:space="preserve">. The system operated without mechanical circulation or forced aeration. Approximately </w:t>
      </w:r>
      <w:r w:rsidR="000345A6" w:rsidRPr="000345A6">
        <w:rPr>
          <w:rStyle w:val="Strong"/>
          <w:b w:val="0"/>
          <w:bCs w:val="0"/>
        </w:rPr>
        <w:t>2 L of nutrient solution per plant</w:t>
      </w:r>
      <w:r w:rsidR="000345A6">
        <w:t xml:space="preserve"> was provided at the beginning of the 28-day production cycle, with no routine replenishment during the growing period.</w:t>
      </w:r>
    </w:p>
    <w:p w14:paraId="081975C5"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2.7 Nutrient Film Technique system</w:t>
      </w:r>
    </w:p>
    <w:p w14:paraId="53C7B4A5" w14:textId="7E14C543" w:rsidR="00FC4B7F" w:rsidRPr="00E825B8" w:rsidRDefault="00E825B8">
      <w:pPr>
        <w:spacing w:after="60"/>
        <w:jc w:val="both"/>
        <w:rPr>
          <w:rFonts w:cs="Times New Roman"/>
          <w:szCs w:val="24"/>
        </w:rPr>
      </w:pPr>
      <w:r>
        <w:rPr>
          <w:rFonts w:cs="Times New Roman"/>
          <w:szCs w:val="24"/>
        </w:rPr>
        <w:tab/>
      </w:r>
      <w:r w:rsidR="00EE1E62">
        <w:rPr>
          <w:rFonts w:cs="Times New Roman"/>
          <w:szCs w:val="24"/>
        </w:rPr>
        <w:t xml:space="preserve">Treatment </w:t>
      </w:r>
      <w:r w:rsidRPr="00E825B8">
        <w:rPr>
          <w:rFonts w:cs="Times New Roman"/>
          <w:szCs w:val="24"/>
        </w:rPr>
        <w:t>4 was an active recirculating NFT system established in a separate greenhouse. The system consisted of eight white PVC growing channels</w:t>
      </w:r>
      <w:r>
        <w:rPr>
          <w:rFonts w:cs="Times New Roman"/>
          <w:szCs w:val="24"/>
        </w:rPr>
        <w:t>, each measuring approximately 3 in × 4 in in cross-section,</w:t>
      </w:r>
      <w:r w:rsidRPr="00E825B8">
        <w:rPr>
          <w:rFonts w:cs="Times New Roman"/>
          <w:szCs w:val="24"/>
        </w:rPr>
        <w:t xml:space="preserve"> assembled into channels approximately 16 ft long. Planting sites were spaced approximately 25 cm apart. Nutrient solution was held in a 200-L reservoir and continuously recirculated using a submersible pump. Electricity used for pumping and monitoring was included in the economic evaluation.</w:t>
      </w:r>
    </w:p>
    <w:p w14:paraId="2F6A12FB"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2.8 Nutrient and fertilizer management</w:t>
      </w:r>
    </w:p>
    <w:p w14:paraId="1366F663" w14:textId="2980CC90" w:rsidR="00FC4B7F" w:rsidRPr="00E825B8" w:rsidRDefault="00E825B8">
      <w:pPr>
        <w:spacing w:after="60"/>
        <w:jc w:val="both"/>
        <w:rPr>
          <w:rFonts w:cs="Times New Roman"/>
          <w:szCs w:val="24"/>
        </w:rPr>
      </w:pPr>
      <w:r>
        <w:rPr>
          <w:rFonts w:cs="Times New Roman"/>
          <w:szCs w:val="24"/>
        </w:rPr>
        <w:tab/>
      </w:r>
      <w:r w:rsidRPr="00E825B8">
        <w:rPr>
          <w:rFonts w:cs="Times New Roman"/>
          <w:szCs w:val="24"/>
        </w:rPr>
        <w:t>For T</w:t>
      </w:r>
      <w:r w:rsidRPr="000345A6">
        <w:rPr>
          <w:rFonts w:cs="Times New Roman"/>
          <w:szCs w:val="24"/>
          <w:vertAlign w:val="subscript"/>
        </w:rPr>
        <w:t>1</w:t>
      </w:r>
      <w:r w:rsidRPr="00E825B8">
        <w:rPr>
          <w:rFonts w:cs="Times New Roman"/>
          <w:szCs w:val="24"/>
        </w:rPr>
        <w:t xml:space="preserve"> and T</w:t>
      </w:r>
      <w:r w:rsidRPr="000345A6">
        <w:rPr>
          <w:rFonts w:cs="Times New Roman"/>
          <w:szCs w:val="24"/>
          <w:vertAlign w:val="subscript"/>
        </w:rPr>
        <w:t>2</w:t>
      </w:r>
      <w:r w:rsidRPr="00E825B8">
        <w:rPr>
          <w:rFonts w:cs="Times New Roman"/>
          <w:szCs w:val="24"/>
        </w:rPr>
        <w:t xml:space="preserve">, microbial compost </w:t>
      </w:r>
      <w:r>
        <w:rPr>
          <w:rFonts w:cs="Times New Roman"/>
          <w:szCs w:val="24"/>
        </w:rPr>
        <w:t>served as the</w:t>
      </w:r>
      <w:r w:rsidRPr="00E825B8">
        <w:rPr>
          <w:rFonts w:cs="Times New Roman"/>
          <w:szCs w:val="24"/>
        </w:rPr>
        <w:t xml:space="preserve"> basal nutrient source. In T</w:t>
      </w:r>
      <w:r w:rsidRPr="000345A6">
        <w:rPr>
          <w:rFonts w:cs="Times New Roman"/>
          <w:szCs w:val="24"/>
          <w:vertAlign w:val="subscript"/>
        </w:rPr>
        <w:t>1</w:t>
      </w:r>
      <w:r w:rsidRPr="00E825B8">
        <w:rPr>
          <w:rFonts w:cs="Times New Roman"/>
          <w:szCs w:val="24"/>
        </w:rPr>
        <w:t xml:space="preserve">, 500 g of microbial compost was applied to each plot before planting. The fermented Japanese snail and bamboo shoot extracts were combined at a 1:1 ratio and diluted at 10 mL L⁻¹ of water. The solution was applied using a manual trigger sprayer at 5-day intervals beginning 5 days after transplanting, following </w:t>
      </w:r>
      <w:proofErr w:type="spellStart"/>
      <w:r w:rsidRPr="00E825B8">
        <w:rPr>
          <w:rFonts w:cs="Times New Roman"/>
          <w:szCs w:val="24"/>
        </w:rPr>
        <w:t>Carabio</w:t>
      </w:r>
      <w:proofErr w:type="spellEnd"/>
      <w:r w:rsidRPr="00E825B8">
        <w:rPr>
          <w:rFonts w:cs="Times New Roman"/>
          <w:szCs w:val="24"/>
        </w:rPr>
        <w:t xml:space="preserve"> et al. (2021). For T</w:t>
      </w:r>
      <w:r w:rsidRPr="000345A6">
        <w:rPr>
          <w:rFonts w:cs="Times New Roman"/>
          <w:szCs w:val="24"/>
          <w:vertAlign w:val="subscript"/>
        </w:rPr>
        <w:t>3</w:t>
      </w:r>
      <w:r w:rsidRPr="00E825B8">
        <w:rPr>
          <w:rFonts w:cs="Times New Roman"/>
          <w:szCs w:val="24"/>
        </w:rPr>
        <w:t xml:space="preserve"> and T</w:t>
      </w:r>
      <w:r w:rsidRPr="000345A6">
        <w:rPr>
          <w:rFonts w:cs="Times New Roman"/>
          <w:szCs w:val="24"/>
          <w:vertAlign w:val="subscript"/>
        </w:rPr>
        <w:t>4</w:t>
      </w:r>
      <w:r w:rsidRPr="00E825B8">
        <w:rPr>
          <w:rFonts w:cs="Times New Roman"/>
          <w:szCs w:val="24"/>
        </w:rPr>
        <w:t xml:space="preserve">, commercial </w:t>
      </w:r>
      <w:proofErr w:type="spellStart"/>
      <w:r w:rsidRPr="00E825B8">
        <w:rPr>
          <w:rFonts w:cs="Times New Roman"/>
          <w:szCs w:val="24"/>
        </w:rPr>
        <w:t>NutSol</w:t>
      </w:r>
      <w:proofErr w:type="spellEnd"/>
      <w:r w:rsidRPr="00E825B8">
        <w:rPr>
          <w:rFonts w:cs="Times New Roman"/>
          <w:szCs w:val="24"/>
        </w:rPr>
        <w:t xml:space="preserve"> A and </w:t>
      </w:r>
      <w:proofErr w:type="spellStart"/>
      <w:r w:rsidRPr="00E825B8">
        <w:rPr>
          <w:rFonts w:cs="Times New Roman"/>
          <w:szCs w:val="24"/>
        </w:rPr>
        <w:t>NutSol</w:t>
      </w:r>
      <w:proofErr w:type="spellEnd"/>
      <w:r w:rsidRPr="00E825B8">
        <w:rPr>
          <w:rFonts w:cs="Times New Roman"/>
          <w:szCs w:val="24"/>
        </w:rPr>
        <w:t xml:space="preserve"> </w:t>
      </w:r>
      <w:r w:rsidRPr="00E825B8">
        <w:rPr>
          <w:rFonts w:cs="Times New Roman"/>
          <w:szCs w:val="24"/>
        </w:rPr>
        <w:lastRenderedPageBreak/>
        <w:t xml:space="preserve">B were </w:t>
      </w:r>
      <w:r w:rsidR="000345A6">
        <w:rPr>
          <w:rFonts w:cs="Times New Roman"/>
          <w:szCs w:val="24"/>
        </w:rPr>
        <w:t>each diluted to</w:t>
      </w:r>
      <w:r w:rsidRPr="00E825B8">
        <w:rPr>
          <w:rFonts w:cs="Times New Roman"/>
          <w:szCs w:val="24"/>
        </w:rPr>
        <w:t xml:space="preserve"> 2 mL L⁻¹ before being combined in the nutrient solution. Nutrient-solution pH and electrical conductivity were monitored using digital instruments.</w:t>
      </w:r>
    </w:p>
    <w:p w14:paraId="7006E737"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2.9 Water and utility measurement</w:t>
      </w:r>
    </w:p>
    <w:p w14:paraId="53E10C1C" w14:textId="0B0B1561" w:rsidR="00FC4B7F" w:rsidRPr="00E825B8" w:rsidRDefault="00E825B8">
      <w:pPr>
        <w:spacing w:after="60"/>
        <w:jc w:val="both"/>
        <w:rPr>
          <w:rFonts w:cs="Times New Roman"/>
          <w:szCs w:val="24"/>
        </w:rPr>
      </w:pPr>
      <w:r>
        <w:rPr>
          <w:rFonts w:cs="Times New Roman"/>
          <w:szCs w:val="24"/>
        </w:rPr>
        <w:tab/>
      </w:r>
      <w:r w:rsidRPr="00E825B8">
        <w:rPr>
          <w:rFonts w:cs="Times New Roman"/>
          <w:szCs w:val="24"/>
        </w:rPr>
        <w:t>Water application was recorded throughout the 28-day crop cycle. T</w:t>
      </w:r>
      <w:r w:rsidRPr="000345A6">
        <w:rPr>
          <w:rFonts w:cs="Times New Roman"/>
          <w:szCs w:val="24"/>
          <w:vertAlign w:val="subscript"/>
        </w:rPr>
        <w:t>1</w:t>
      </w:r>
      <w:r w:rsidRPr="00E825B8">
        <w:rPr>
          <w:rFonts w:cs="Times New Roman"/>
          <w:szCs w:val="24"/>
        </w:rPr>
        <w:t xml:space="preserve"> and T</w:t>
      </w:r>
      <w:r w:rsidRPr="000345A6">
        <w:rPr>
          <w:rFonts w:cs="Times New Roman"/>
          <w:szCs w:val="24"/>
          <w:vertAlign w:val="subscript"/>
        </w:rPr>
        <w:t>2</w:t>
      </w:r>
      <w:r w:rsidRPr="00E825B8">
        <w:rPr>
          <w:rFonts w:cs="Times New Roman"/>
          <w:szCs w:val="24"/>
        </w:rPr>
        <w:t xml:space="preserve"> were manually irrigated twice daily according to the predetermined schedule. T</w:t>
      </w:r>
      <w:r w:rsidRPr="000345A6">
        <w:rPr>
          <w:rFonts w:cs="Times New Roman"/>
          <w:szCs w:val="24"/>
          <w:vertAlign w:val="subscript"/>
        </w:rPr>
        <w:t>3</w:t>
      </w:r>
      <w:r w:rsidRPr="00E825B8">
        <w:rPr>
          <w:rFonts w:cs="Times New Roman"/>
          <w:szCs w:val="24"/>
        </w:rPr>
        <w:t xml:space="preserve"> received approximately 2 L plant⁻¹ of nutrient solution at the start of the cycle and no routine top-up. For T</w:t>
      </w:r>
      <w:r w:rsidRPr="000345A6">
        <w:rPr>
          <w:rFonts w:cs="Times New Roman"/>
          <w:szCs w:val="24"/>
          <w:vertAlign w:val="subscript"/>
        </w:rPr>
        <w:t>4</w:t>
      </w:r>
      <w:r w:rsidRPr="00E825B8">
        <w:rPr>
          <w:rFonts w:cs="Times New Roman"/>
          <w:szCs w:val="24"/>
        </w:rPr>
        <w:t>, water losses from the 200-L recirculating reservoir were compensated during the experiment, and the documented replenishment volume was used as the measured water-use indicator. NFT electricity use was based on the operation of the pump and monitoring equipment and was valued at ₱13.00 kWh⁻¹.</w:t>
      </w:r>
    </w:p>
    <w:p w14:paraId="7B9A73FF"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2.10 Harvest and yield measurement</w:t>
      </w:r>
    </w:p>
    <w:p w14:paraId="6F60F811" w14:textId="562A2AC1" w:rsidR="00FC4B7F" w:rsidRPr="00E825B8" w:rsidRDefault="00E825B8">
      <w:pPr>
        <w:spacing w:after="60"/>
        <w:jc w:val="both"/>
        <w:rPr>
          <w:rFonts w:cs="Times New Roman"/>
          <w:szCs w:val="24"/>
        </w:rPr>
      </w:pPr>
      <w:r>
        <w:rPr>
          <w:rFonts w:cs="Times New Roman"/>
          <w:szCs w:val="24"/>
        </w:rPr>
        <w:tab/>
      </w:r>
      <w:r w:rsidRPr="00E825B8">
        <w:rPr>
          <w:rFonts w:cs="Times New Roman"/>
          <w:szCs w:val="24"/>
        </w:rPr>
        <w:t>All treatments were harvested 28 days after transplanting. Above-ground fresh weight was measured per sampled plant and expressed in grams per plant. The mean fresh weight was converted to kilograms per plant for income calculations.</w:t>
      </w:r>
    </w:p>
    <w:p w14:paraId="76199CE2"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2.11 Economic evaluation</w:t>
      </w:r>
    </w:p>
    <w:p w14:paraId="4FA47BEB" w14:textId="06966B39" w:rsidR="00FC4B7F" w:rsidRPr="00E825B8" w:rsidRDefault="00E825B8">
      <w:pPr>
        <w:spacing w:after="60"/>
        <w:jc w:val="both"/>
        <w:rPr>
          <w:rFonts w:cs="Times New Roman"/>
          <w:szCs w:val="24"/>
        </w:rPr>
      </w:pPr>
      <w:r>
        <w:rPr>
          <w:rFonts w:cs="Times New Roman"/>
          <w:szCs w:val="24"/>
        </w:rPr>
        <w:tab/>
      </w:r>
      <w:r w:rsidRPr="00E825B8">
        <w:rPr>
          <w:rFonts w:cs="Times New Roman"/>
          <w:szCs w:val="24"/>
        </w:rPr>
        <w:t>The economic analysis was standardized on a per-plant basis. The reference selling price was ₱350.00 kg⁻¹ of fresh lettuce. The production-cost basis was ₱32.03 plant⁻¹ for T</w:t>
      </w:r>
      <w:r w:rsidRPr="000345A6">
        <w:rPr>
          <w:rFonts w:cs="Times New Roman"/>
          <w:szCs w:val="24"/>
          <w:vertAlign w:val="subscript"/>
        </w:rPr>
        <w:t>1</w:t>
      </w:r>
      <w:r w:rsidRPr="00E825B8">
        <w:rPr>
          <w:rFonts w:cs="Times New Roman"/>
          <w:szCs w:val="24"/>
        </w:rPr>
        <w:t>, ₱29.75 for T</w:t>
      </w:r>
      <w:r w:rsidRPr="000345A6">
        <w:rPr>
          <w:rFonts w:cs="Times New Roman"/>
          <w:szCs w:val="24"/>
          <w:vertAlign w:val="subscript"/>
        </w:rPr>
        <w:t>2</w:t>
      </w:r>
      <w:r w:rsidRPr="00E825B8">
        <w:rPr>
          <w:rFonts w:cs="Times New Roman"/>
          <w:szCs w:val="24"/>
        </w:rPr>
        <w:t>, ₱59.92 for T</w:t>
      </w:r>
      <w:r w:rsidRPr="000345A6">
        <w:rPr>
          <w:rFonts w:cs="Times New Roman"/>
          <w:szCs w:val="24"/>
          <w:vertAlign w:val="subscript"/>
        </w:rPr>
        <w:t>3</w:t>
      </w:r>
      <w:r w:rsidRPr="00E825B8">
        <w:rPr>
          <w:rFonts w:cs="Times New Roman"/>
          <w:szCs w:val="24"/>
        </w:rPr>
        <w:t>, and ₱273.31 for T</w:t>
      </w:r>
      <w:r w:rsidRPr="000345A6">
        <w:rPr>
          <w:rFonts w:cs="Times New Roman"/>
          <w:szCs w:val="24"/>
          <w:vertAlign w:val="subscript"/>
        </w:rPr>
        <w:t>4</w:t>
      </w:r>
      <w:r w:rsidRPr="00E825B8">
        <w:rPr>
          <w:rFonts w:cs="Times New Roman"/>
          <w:szCs w:val="24"/>
        </w:rPr>
        <w:t>.</w:t>
      </w:r>
    </w:p>
    <w:p w14:paraId="7432BCE9" w14:textId="539C14F1"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2.11.1 Gross income</w:t>
      </w:r>
    </w:p>
    <w:p w14:paraId="59862EFA" w14:textId="25DC33F9" w:rsidR="00FC4B7F" w:rsidRPr="00E825B8" w:rsidRDefault="00E825B8">
      <w:pPr>
        <w:spacing w:after="60"/>
        <w:jc w:val="both"/>
        <w:rPr>
          <w:rFonts w:cs="Times New Roman"/>
          <w:szCs w:val="24"/>
        </w:rPr>
      </w:pPr>
      <w:r>
        <w:rPr>
          <w:rFonts w:cs="Times New Roman"/>
          <w:szCs w:val="24"/>
        </w:rPr>
        <w:tab/>
      </w:r>
      <w:r w:rsidRPr="00E825B8">
        <w:rPr>
          <w:rFonts w:cs="Times New Roman"/>
          <w:szCs w:val="24"/>
        </w:rPr>
        <w:t>Gross income (GI) was calculated as: GI = Y × P, where Y is marketable fresh yield (kg plant⁻¹) and P is the selling price (₱ kg⁻¹).</w:t>
      </w:r>
    </w:p>
    <w:p w14:paraId="0BC5223D" w14:textId="0BC2A9CF"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2.11.2 First-cycle net income</w:t>
      </w:r>
    </w:p>
    <w:p w14:paraId="24BF237A" w14:textId="1352BDD0" w:rsidR="00FC4B7F" w:rsidRPr="00E825B8" w:rsidRDefault="00E825B8">
      <w:pPr>
        <w:spacing w:after="60"/>
        <w:jc w:val="both"/>
        <w:rPr>
          <w:rFonts w:cs="Times New Roman"/>
          <w:szCs w:val="24"/>
        </w:rPr>
      </w:pPr>
      <w:r>
        <w:rPr>
          <w:rFonts w:cs="Times New Roman"/>
          <w:szCs w:val="24"/>
        </w:rPr>
        <w:tab/>
      </w:r>
      <w:r w:rsidRPr="00E825B8">
        <w:rPr>
          <w:rFonts w:cs="Times New Roman"/>
          <w:szCs w:val="24"/>
        </w:rPr>
        <w:t>First-cycle net income (NI) was calculated as</w:t>
      </w:r>
      <w:r>
        <w:rPr>
          <w:rFonts w:cs="Times New Roman"/>
          <w:szCs w:val="24"/>
        </w:rPr>
        <w:t xml:space="preserve"> NI = GI − TCP, where TCP is the total production cost</w:t>
      </w:r>
      <w:r w:rsidRPr="00E825B8">
        <w:rPr>
          <w:rFonts w:cs="Times New Roman"/>
          <w:szCs w:val="24"/>
        </w:rPr>
        <w:t xml:space="preserve"> per plant.</w:t>
      </w:r>
    </w:p>
    <w:p w14:paraId="53C0C454" w14:textId="684880D8"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2.11.3 Return on investment</w:t>
      </w:r>
    </w:p>
    <w:p w14:paraId="2538AF85" w14:textId="1A450939" w:rsidR="00FC4B7F" w:rsidRPr="00E825B8" w:rsidRDefault="00E825B8">
      <w:pPr>
        <w:spacing w:after="60"/>
        <w:jc w:val="both"/>
        <w:rPr>
          <w:rFonts w:cs="Times New Roman"/>
          <w:szCs w:val="24"/>
        </w:rPr>
      </w:pPr>
      <w:r>
        <w:rPr>
          <w:rFonts w:cs="Times New Roman"/>
          <w:szCs w:val="24"/>
        </w:rPr>
        <w:tab/>
      </w:r>
      <w:r w:rsidRPr="00E825B8">
        <w:rPr>
          <w:rFonts w:cs="Times New Roman"/>
          <w:szCs w:val="24"/>
        </w:rPr>
        <w:t>First-cycle ROI was calculated as: ROI (%) = (NI / TCP) × 100.</w:t>
      </w:r>
    </w:p>
    <w:p w14:paraId="0AB25577" w14:textId="4083C5B8"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2.11.4 Investment recovery period</w:t>
      </w:r>
    </w:p>
    <w:p w14:paraId="76856907" w14:textId="1F8E37D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The investment recovery period (IRP) was defined for this study as the number of 28-day cropping cycles required for cumulative gross crop revenue to equal the initial unit cost basis: IRP = ICI / GI. ICI is the initial unit cost or capital cost basis per plant, and GI is gross income per plant per cropping cycle. This is a study-specific </w:t>
      </w:r>
      <w:r>
        <w:rPr>
          <w:rFonts w:cs="Times New Roman"/>
          <w:szCs w:val="24"/>
        </w:rPr>
        <w:t>gross revenue capital recovery</w:t>
      </w:r>
      <w:r w:rsidRPr="00E825B8">
        <w:rPr>
          <w:rFonts w:cs="Times New Roman"/>
          <w:szCs w:val="24"/>
        </w:rPr>
        <w:t xml:space="preserve"> indicator. It differs from conventional payback calculations, which generally use cumulative net cash flow or net returns after operating costs (Gumisiriza et al., 2022; </w:t>
      </w:r>
      <w:proofErr w:type="spellStart"/>
      <w:r w:rsidRPr="00E825B8">
        <w:rPr>
          <w:rFonts w:cs="Times New Roman"/>
          <w:szCs w:val="24"/>
        </w:rPr>
        <w:t>Afriyanti</w:t>
      </w:r>
      <w:proofErr w:type="spellEnd"/>
      <w:r w:rsidRPr="00E825B8">
        <w:rPr>
          <w:rFonts w:cs="Times New Roman"/>
          <w:szCs w:val="24"/>
        </w:rPr>
        <w:t xml:space="preserve"> et al., 2024). The distinction is maintained throughout the Results and Discussion </w:t>
      </w:r>
      <w:r w:rsidR="000345A6">
        <w:rPr>
          <w:rFonts w:cs="Times New Roman"/>
          <w:szCs w:val="24"/>
        </w:rPr>
        <w:t>sections to avoid interpreting the reported IRP values as guaranteed net cash-flow</w:t>
      </w:r>
      <w:r w:rsidRPr="00E825B8">
        <w:rPr>
          <w:rFonts w:cs="Times New Roman"/>
          <w:szCs w:val="24"/>
        </w:rPr>
        <w:t xml:space="preserve"> payback periods.</w:t>
      </w:r>
    </w:p>
    <w:p w14:paraId="771B3796"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2.12 Statistical analysis</w:t>
      </w:r>
    </w:p>
    <w:p w14:paraId="6A30740B" w14:textId="6C36A170" w:rsidR="00FC4B7F" w:rsidRPr="00E825B8" w:rsidRDefault="00E825B8">
      <w:pPr>
        <w:spacing w:after="60"/>
        <w:jc w:val="both"/>
        <w:rPr>
          <w:rFonts w:cs="Times New Roman"/>
          <w:szCs w:val="24"/>
        </w:rPr>
      </w:pPr>
      <w:r>
        <w:rPr>
          <w:rFonts w:cs="Times New Roman"/>
          <w:szCs w:val="24"/>
        </w:rPr>
        <w:tab/>
      </w:r>
      <w:r w:rsidRPr="00E825B8">
        <w:rPr>
          <w:rFonts w:cs="Times New Roman"/>
          <w:szCs w:val="24"/>
        </w:rPr>
        <w:t>Yield and other measured response variables were analyzed using analysis of variance (ANOVA) in the Statistical Tool for Agricultural Research (STAR). Treatment means were compared using Tukey's Honest Significant Difference test at the 5% significance level (α = .05) when the ANOVA indicated a significant treatment effect. Statistical significance was declared at P &lt; .05.</w:t>
      </w:r>
    </w:p>
    <w:p w14:paraId="5FE0C241"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3. Results and Discussion</w:t>
      </w:r>
    </w:p>
    <w:p w14:paraId="4C8925E8" w14:textId="5868A453"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3.1 Fresh Biomass Yield</w:t>
      </w:r>
    </w:p>
    <w:p w14:paraId="44801D82" w14:textId="4174E316" w:rsidR="00FC4B7F" w:rsidRPr="00E825B8" w:rsidRDefault="00E825B8" w:rsidP="000345A6">
      <w:pPr>
        <w:spacing w:after="60"/>
        <w:jc w:val="both"/>
        <w:rPr>
          <w:rFonts w:cs="Times New Roman"/>
          <w:szCs w:val="24"/>
        </w:rPr>
      </w:pPr>
      <w:r>
        <w:rPr>
          <w:rFonts w:cs="Times New Roman"/>
          <w:szCs w:val="24"/>
        </w:rPr>
        <w:tab/>
      </w:r>
      <w:r w:rsidRPr="00E825B8">
        <w:rPr>
          <w:rFonts w:cs="Times New Roman"/>
          <w:szCs w:val="24"/>
        </w:rPr>
        <w:t>Above-ground fresh weight differed significantly among the four lettuce production systems (Figure 1). The NFT system (T</w:t>
      </w:r>
      <w:r w:rsidRPr="000345A6">
        <w:rPr>
          <w:rFonts w:cs="Times New Roman"/>
          <w:szCs w:val="24"/>
          <w:vertAlign w:val="subscript"/>
        </w:rPr>
        <w:t>4</w:t>
      </w:r>
      <w:r w:rsidRPr="00E825B8">
        <w:rPr>
          <w:rFonts w:cs="Times New Roman"/>
          <w:szCs w:val="24"/>
        </w:rPr>
        <w:t>) produced the highest fresh weight at 133.04 g plant⁻¹, followed by container gardening (T</w:t>
      </w:r>
      <w:r w:rsidRPr="000345A6">
        <w:rPr>
          <w:rFonts w:cs="Times New Roman"/>
          <w:szCs w:val="24"/>
          <w:vertAlign w:val="subscript"/>
        </w:rPr>
        <w:t>2</w:t>
      </w:r>
      <w:r w:rsidRPr="00E825B8">
        <w:rPr>
          <w:rFonts w:cs="Times New Roman"/>
          <w:szCs w:val="24"/>
        </w:rPr>
        <w:t>) at 74.77 g plant⁻¹, Kratky hydroponics (T</w:t>
      </w:r>
      <w:r w:rsidRPr="000345A6">
        <w:rPr>
          <w:rFonts w:cs="Times New Roman"/>
          <w:szCs w:val="24"/>
          <w:vertAlign w:val="subscript"/>
        </w:rPr>
        <w:t>3</w:t>
      </w:r>
      <w:r w:rsidRPr="00E825B8">
        <w:rPr>
          <w:rFonts w:cs="Times New Roman"/>
          <w:szCs w:val="24"/>
        </w:rPr>
        <w:t>) at 58.17 g plant⁻¹, and conventional production (T</w:t>
      </w:r>
      <w:r w:rsidRPr="000345A6">
        <w:rPr>
          <w:rFonts w:cs="Times New Roman"/>
          <w:szCs w:val="24"/>
          <w:vertAlign w:val="subscript"/>
        </w:rPr>
        <w:t>1</w:t>
      </w:r>
      <w:r w:rsidRPr="00E825B8">
        <w:rPr>
          <w:rFonts w:cs="Times New Roman"/>
          <w:szCs w:val="24"/>
        </w:rPr>
        <w:t xml:space="preserve">) at 31.60 g plant⁻¹. Based on Tukey’s HSD test at α = </w:t>
      </w:r>
      <w:r w:rsidRPr="00E825B8">
        <w:rPr>
          <w:rFonts w:cs="Times New Roman"/>
          <w:szCs w:val="24"/>
        </w:rPr>
        <w:lastRenderedPageBreak/>
        <w:t>0.05, NFT (T</w:t>
      </w:r>
      <w:r w:rsidRPr="000345A6">
        <w:rPr>
          <w:rFonts w:cs="Times New Roman"/>
          <w:szCs w:val="24"/>
          <w:vertAlign w:val="subscript"/>
        </w:rPr>
        <w:t>4</w:t>
      </w:r>
      <w:r w:rsidRPr="00E825B8">
        <w:rPr>
          <w:rFonts w:cs="Times New Roman"/>
          <w:szCs w:val="24"/>
        </w:rPr>
        <w:t>) was significantly different from all other treatments, while container gardening (T</w:t>
      </w:r>
      <w:r w:rsidRPr="000345A6">
        <w:rPr>
          <w:rFonts w:cs="Times New Roman"/>
          <w:szCs w:val="24"/>
          <w:vertAlign w:val="subscript"/>
        </w:rPr>
        <w:t>2</w:t>
      </w:r>
      <w:r w:rsidRPr="00E825B8">
        <w:rPr>
          <w:rFonts w:cs="Times New Roman"/>
          <w:szCs w:val="24"/>
        </w:rPr>
        <w:t>) and Kratky (T</w:t>
      </w:r>
      <w:r w:rsidRPr="000345A6">
        <w:rPr>
          <w:rFonts w:cs="Times New Roman"/>
          <w:szCs w:val="24"/>
          <w:vertAlign w:val="subscript"/>
        </w:rPr>
        <w:t>3</w:t>
      </w:r>
      <w:r w:rsidRPr="00E825B8">
        <w:rPr>
          <w:rFonts w:cs="Times New Roman"/>
          <w:szCs w:val="24"/>
        </w:rPr>
        <w:t>) did not differ significantly from each other. Conventional production (T</w:t>
      </w:r>
      <w:r w:rsidRPr="000345A6">
        <w:rPr>
          <w:rFonts w:cs="Times New Roman"/>
          <w:szCs w:val="24"/>
          <w:vertAlign w:val="subscript"/>
        </w:rPr>
        <w:t>1</w:t>
      </w:r>
      <w:r w:rsidRPr="00E825B8">
        <w:rPr>
          <w:rFonts w:cs="Times New Roman"/>
          <w:szCs w:val="24"/>
        </w:rPr>
        <w:t>) had significantly lower fresh biomass than the other three systems.</w:t>
      </w:r>
    </w:p>
    <w:p w14:paraId="417ABA39" w14:textId="77777777" w:rsidR="00FC4B7F" w:rsidRPr="00E825B8" w:rsidRDefault="00000000">
      <w:pPr>
        <w:spacing w:after="60"/>
        <w:jc w:val="center"/>
        <w:rPr>
          <w:rFonts w:cs="Times New Roman"/>
          <w:szCs w:val="24"/>
        </w:rPr>
      </w:pPr>
      <w:r w:rsidRPr="00E825B8">
        <w:rPr>
          <w:rFonts w:cs="Times New Roman"/>
          <w:noProof/>
          <w:szCs w:val="24"/>
        </w:rPr>
        <w:drawing>
          <wp:inline distT="0" distB="0" distL="0" distR="0" wp14:anchorId="29F7CE43" wp14:editId="3DD7351B">
            <wp:extent cx="4366488" cy="26554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60920-024653).png"/>
                    <pic:cNvPicPr/>
                  </pic:nvPicPr>
                  <pic:blipFill rotWithShape="1">
                    <a:blip r:embed="rId8"/>
                    <a:srcRect l="14063" r="13561" b="17314"/>
                    <a:stretch/>
                  </pic:blipFill>
                  <pic:spPr bwMode="auto">
                    <a:xfrm>
                      <a:off x="0" y="0"/>
                      <a:ext cx="4377627" cy="2662192"/>
                    </a:xfrm>
                    <a:prstGeom prst="rect">
                      <a:avLst/>
                    </a:prstGeom>
                    <a:ln>
                      <a:noFill/>
                    </a:ln>
                    <a:extLst>
                      <a:ext uri="{53640926-AAD7-44D8-BBD7-CCE9431645EC}">
                        <a14:shadowObscured xmlns:a14="http://schemas.microsoft.com/office/drawing/2010/main"/>
                      </a:ext>
                    </a:extLst>
                  </pic:spPr>
                </pic:pic>
              </a:graphicData>
            </a:graphic>
          </wp:inline>
        </w:drawing>
      </w:r>
    </w:p>
    <w:p w14:paraId="75DE46C7" w14:textId="5EC004B7" w:rsidR="00E825B8" w:rsidRPr="00E825B8" w:rsidRDefault="00E825B8" w:rsidP="00836FEF">
      <w:pPr>
        <w:spacing w:after="60"/>
        <w:ind w:left="851" w:hanging="851"/>
        <w:jc w:val="both"/>
        <w:rPr>
          <w:rFonts w:cs="Times New Roman"/>
          <w:iCs/>
          <w:szCs w:val="24"/>
        </w:rPr>
      </w:pPr>
      <w:r w:rsidRPr="00E825B8">
        <w:rPr>
          <w:rFonts w:cs="Times New Roman"/>
          <w:b/>
          <w:bCs/>
          <w:iCs/>
          <w:szCs w:val="24"/>
        </w:rPr>
        <w:t>Figure 1.</w:t>
      </w:r>
      <w:r w:rsidRPr="00E825B8">
        <w:rPr>
          <w:rFonts w:cs="Times New Roman"/>
          <w:iCs/>
          <w:szCs w:val="24"/>
        </w:rPr>
        <w:t xml:space="preserve"> Effects of four production systems on the above-ground fresh weight of lettuce (</w:t>
      </w:r>
      <w:r w:rsidRPr="00E825B8">
        <w:rPr>
          <w:rFonts w:cs="Times New Roman"/>
          <w:i/>
          <w:szCs w:val="24"/>
        </w:rPr>
        <w:t>Lactuca sativa</w:t>
      </w:r>
      <w:r w:rsidRPr="00E825B8">
        <w:rPr>
          <w:rFonts w:cs="Times New Roman"/>
          <w:iCs/>
          <w:szCs w:val="24"/>
        </w:rPr>
        <w:t xml:space="preserve"> L.</w:t>
      </w:r>
      <w:r w:rsidR="000345A6">
        <w:rPr>
          <w:rFonts w:cs="Times New Roman"/>
          <w:iCs/>
          <w:szCs w:val="24"/>
        </w:rPr>
        <w:t xml:space="preserve"> </w:t>
      </w:r>
      <w:r w:rsidR="000345A6" w:rsidRPr="00EE1E62">
        <w:rPr>
          <w:rFonts w:cs="Times New Roman"/>
          <w:bCs/>
          <w:szCs w:val="24"/>
        </w:rPr>
        <w:t>cv. Olmetie RZ 1000 Batavia</w:t>
      </w:r>
      <w:r w:rsidRPr="00E825B8">
        <w:rPr>
          <w:rFonts w:cs="Times New Roman"/>
          <w:iCs/>
          <w:szCs w:val="24"/>
        </w:rPr>
        <w:t>) at final harvest. Bars represent mean fresh weight per plant, and different lowercase letters indicate significant differences among treatments according to Tukey’s HSD test (α = 0.05).</w:t>
      </w:r>
    </w:p>
    <w:p w14:paraId="54AC6CFF" w14:textId="77777777" w:rsidR="00E825B8" w:rsidRDefault="00E825B8">
      <w:pPr>
        <w:spacing w:after="60"/>
        <w:rPr>
          <w:rFonts w:cs="Times New Roman"/>
          <w:szCs w:val="24"/>
        </w:rPr>
      </w:pPr>
    </w:p>
    <w:p w14:paraId="66F7BDDB" w14:textId="68929E73" w:rsidR="00FC4B7F" w:rsidRPr="00E825B8" w:rsidRDefault="00E825B8" w:rsidP="00E825B8">
      <w:pPr>
        <w:spacing w:after="60"/>
        <w:jc w:val="both"/>
        <w:rPr>
          <w:rFonts w:cs="Times New Roman"/>
          <w:szCs w:val="24"/>
        </w:rPr>
      </w:pPr>
      <w:r>
        <w:rPr>
          <w:rFonts w:cs="Times New Roman"/>
          <w:szCs w:val="24"/>
        </w:rPr>
        <w:tab/>
      </w:r>
      <w:r w:rsidRPr="00E825B8">
        <w:rPr>
          <w:rFonts w:cs="Times New Roman"/>
          <w:szCs w:val="24"/>
        </w:rPr>
        <w:t xml:space="preserve">The higher biomass </w:t>
      </w:r>
      <w:r w:rsidR="00836FEF">
        <w:rPr>
          <w:rFonts w:cs="Times New Roman"/>
          <w:szCs w:val="24"/>
        </w:rPr>
        <w:t>observed under NFT may be associated with the continuous recirculation of the nutrient solution through the root zone, providing relatively consistent access to water and dissolved nutrients throughout</w:t>
      </w:r>
      <w:r w:rsidRPr="00E825B8">
        <w:rPr>
          <w:rFonts w:cs="Times New Roman"/>
          <w:szCs w:val="24"/>
        </w:rPr>
        <w:t xml:space="preserve"> crop development. In contrast, the Kratky system relies on a non-circulating nutrient solution, while conventional production depends on soil-based water and nutrient availability. Previous studies have similarly reported differences in lettuce growth and productivity among hydroponic configurations, with system design, nutrient management, and environmental conditions influencing crop performance (Kratky, 2005; Sharma et al., 2018; Wang et al., 2023; Yang et al., 2024).</w:t>
      </w:r>
    </w:p>
    <w:p w14:paraId="493B5F0A" w14:textId="77777777" w:rsidR="00FC4B7F" w:rsidRPr="00E825B8" w:rsidRDefault="00FC4B7F">
      <w:pPr>
        <w:spacing w:after="60"/>
        <w:rPr>
          <w:rFonts w:cs="Times New Roman"/>
          <w:szCs w:val="24"/>
        </w:rPr>
      </w:pPr>
    </w:p>
    <w:p w14:paraId="05B9CC5E" w14:textId="0781BC0C" w:rsidR="00FC4B7F" w:rsidRPr="00E825B8" w:rsidRDefault="00E825B8" w:rsidP="00E825B8">
      <w:pPr>
        <w:spacing w:after="60"/>
        <w:jc w:val="both"/>
        <w:rPr>
          <w:rFonts w:cs="Times New Roman"/>
          <w:szCs w:val="24"/>
        </w:rPr>
      </w:pPr>
      <w:r>
        <w:rPr>
          <w:rFonts w:cs="Times New Roman"/>
          <w:szCs w:val="24"/>
        </w:rPr>
        <w:tab/>
      </w:r>
      <w:r w:rsidRPr="00E825B8">
        <w:rPr>
          <w:rFonts w:cs="Times New Roman"/>
          <w:szCs w:val="24"/>
        </w:rPr>
        <w:t xml:space="preserve">The fresh-weight advantage of NFT was substantial. Relative to conventional production, NFT produced approximately 4.21 times </w:t>
      </w:r>
      <w:r w:rsidR="00836FEF">
        <w:rPr>
          <w:rFonts w:cs="Times New Roman"/>
          <w:szCs w:val="24"/>
        </w:rPr>
        <w:t>as much fresh biomass per plant, while container and Kratky systems produced approximately 2.37 and 1.84 times as much</w:t>
      </w:r>
      <w:r w:rsidRPr="00E825B8">
        <w:rPr>
          <w:rFonts w:cs="Times New Roman"/>
          <w:szCs w:val="24"/>
        </w:rPr>
        <w:t xml:space="preserve">, respectively. This result demonstrates that greater biomass production was achievable through the controlled root-zone environment of the soilless systems used in the study. However, the production advantage of NFT must be </w:t>
      </w:r>
      <w:r w:rsidR="00836FEF">
        <w:rPr>
          <w:rFonts w:cs="Times New Roman"/>
          <w:szCs w:val="24"/>
        </w:rPr>
        <w:t>weighed against</w:t>
      </w:r>
      <w:r w:rsidRPr="00E825B8">
        <w:rPr>
          <w:rFonts w:cs="Times New Roman"/>
          <w:szCs w:val="24"/>
        </w:rPr>
        <w:t xml:space="preserve"> its substantially higher infrastructure and production </w:t>
      </w:r>
      <w:r w:rsidR="00836FEF">
        <w:rPr>
          <w:rFonts w:cs="Times New Roman"/>
          <w:szCs w:val="24"/>
        </w:rPr>
        <w:t>costs, which are</w:t>
      </w:r>
      <w:r w:rsidRPr="00E825B8">
        <w:rPr>
          <w:rFonts w:cs="Times New Roman"/>
          <w:szCs w:val="24"/>
        </w:rPr>
        <w:t xml:space="preserve"> examined in the subsequent economic analysis. Similar comparisons of soil-based and hydroponic lettuce production have emphasized that increased productivity may be accompanied by higher capital and operating requirements (Barbosa et al., 2015; Maestre-Valero et al., 2018; Wang et al., 2023).</w:t>
      </w:r>
    </w:p>
    <w:p w14:paraId="43E1DB6F" w14:textId="77777777" w:rsidR="00FC4B7F" w:rsidRPr="00E825B8" w:rsidRDefault="00FC4B7F">
      <w:pPr>
        <w:spacing w:after="60"/>
        <w:rPr>
          <w:rFonts w:cs="Times New Roman"/>
          <w:szCs w:val="24"/>
        </w:rPr>
      </w:pPr>
    </w:p>
    <w:p w14:paraId="4AAC0E63"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3.2 Water Use and Resource Efficiency</w:t>
      </w:r>
    </w:p>
    <w:p w14:paraId="45B0B65E" w14:textId="1FF6CDFE" w:rsidR="00FC4B7F" w:rsidRPr="00E825B8" w:rsidRDefault="00E825B8">
      <w:pPr>
        <w:spacing w:after="60"/>
        <w:jc w:val="both"/>
        <w:rPr>
          <w:rFonts w:cs="Times New Roman"/>
          <w:szCs w:val="24"/>
        </w:rPr>
      </w:pPr>
      <w:r>
        <w:rPr>
          <w:rFonts w:cs="Times New Roman"/>
          <w:szCs w:val="24"/>
        </w:rPr>
        <w:tab/>
      </w:r>
      <w:r w:rsidRPr="00E825B8">
        <w:rPr>
          <w:rFonts w:cs="Times New Roman"/>
          <w:szCs w:val="24"/>
        </w:rPr>
        <w:t>The two soil-based systems each used 56.00 L plant⁻¹ over the 28-day cycle. Kratky used 2.00 L plant⁻¹</w:t>
      </w:r>
      <w:r w:rsidR="00836FEF">
        <w:rPr>
          <w:rFonts w:cs="Times New Roman"/>
          <w:szCs w:val="24"/>
        </w:rPr>
        <w:t>,</w:t>
      </w:r>
      <w:r w:rsidRPr="00E825B8">
        <w:rPr>
          <w:rFonts w:cs="Times New Roman"/>
          <w:szCs w:val="24"/>
        </w:rPr>
        <w:t xml:space="preserve"> and NFT used 2.08 L plant⁻¹ of measured water or replenishment volume. Relative to the soil-based systems, these values correspond to reductions of approximately 96% in measured water use. The large difference is directionally consistent with published comparisons showing substantially higher water-use efficiency in soilless and hydroponic lettuce systems than in conventional production, although the magnitude of savings depends on how water inputs and system boundaries are defined (Barbosa et al., 2015; Jarrar et al., 2022; </w:t>
      </w:r>
      <w:proofErr w:type="spellStart"/>
      <w:r w:rsidRPr="00E825B8">
        <w:rPr>
          <w:rFonts w:cs="Times New Roman"/>
          <w:szCs w:val="24"/>
        </w:rPr>
        <w:lastRenderedPageBreak/>
        <w:t>Shtaya</w:t>
      </w:r>
      <w:proofErr w:type="spellEnd"/>
      <w:r w:rsidRPr="00E825B8">
        <w:rPr>
          <w:rFonts w:cs="Times New Roman"/>
          <w:szCs w:val="24"/>
        </w:rPr>
        <w:t xml:space="preserve"> &amp; </w:t>
      </w:r>
      <w:proofErr w:type="spellStart"/>
      <w:r w:rsidRPr="00E825B8">
        <w:rPr>
          <w:rFonts w:cs="Times New Roman"/>
          <w:szCs w:val="24"/>
        </w:rPr>
        <w:t>Qubbaj</w:t>
      </w:r>
      <w:proofErr w:type="spellEnd"/>
      <w:r w:rsidRPr="00E825B8">
        <w:rPr>
          <w:rFonts w:cs="Times New Roman"/>
          <w:szCs w:val="24"/>
        </w:rPr>
        <w:t xml:space="preserve">, 2022). Recent NFT research also emphasizes that water-use efficiency is </w:t>
      </w:r>
      <w:r w:rsidR="00836FEF">
        <w:rPr>
          <w:rFonts w:cs="Times New Roman"/>
          <w:szCs w:val="24"/>
        </w:rPr>
        <w:t>influenced by flow rate and nutrient management</w:t>
      </w:r>
      <w:r w:rsidRPr="00E825B8">
        <w:rPr>
          <w:rFonts w:cs="Times New Roman"/>
          <w:szCs w:val="24"/>
        </w:rPr>
        <w:t xml:space="preserve"> strategy rather than by system type alone (El-</w:t>
      </w:r>
      <w:proofErr w:type="spellStart"/>
      <w:r w:rsidRPr="00E825B8">
        <w:rPr>
          <w:rFonts w:cs="Times New Roman"/>
          <w:szCs w:val="24"/>
        </w:rPr>
        <w:t>Demerdash</w:t>
      </w:r>
      <w:proofErr w:type="spellEnd"/>
      <w:r w:rsidRPr="00E825B8">
        <w:rPr>
          <w:rFonts w:cs="Times New Roman"/>
          <w:szCs w:val="24"/>
        </w:rPr>
        <w:t xml:space="preserve"> et al., 2026).</w:t>
      </w:r>
    </w:p>
    <w:p w14:paraId="27511C27"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3.3 Electricity Requirement and Utility Cost</w:t>
      </w:r>
    </w:p>
    <w:p w14:paraId="6DB1BC23" w14:textId="113DDC6F"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Electricity was required continuously in NFT because the nutrient solution was recirculated by an electric pump. The resulting electricity cost was approximately ₱2.99 plant⁻¹. Kratky required no continuous electrical pumping. This difference illustrates an important distinction between passive and active hydroponic systems: passive systems can reduce dependence on electrical equipment, whereas recirculating systems require pumping and associated infrastructure. Published comparisons of hydroponic and soil-based lettuce production similarly identify energy and infrastructure as important components of system-level resource requirements (Barbosa et al., 2015; Niu &amp; </w:t>
      </w:r>
      <w:proofErr w:type="spellStart"/>
      <w:r w:rsidRPr="00E825B8">
        <w:rPr>
          <w:rFonts w:cs="Times New Roman"/>
          <w:szCs w:val="24"/>
        </w:rPr>
        <w:t>Masabni</w:t>
      </w:r>
      <w:proofErr w:type="spellEnd"/>
      <w:r w:rsidRPr="00E825B8">
        <w:rPr>
          <w:rFonts w:cs="Times New Roman"/>
          <w:szCs w:val="24"/>
        </w:rPr>
        <w:t>, 2022).</w:t>
      </w:r>
    </w:p>
    <w:p w14:paraId="568B7EDA"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3.4 Production Cost and Gross Income</w:t>
      </w:r>
    </w:p>
    <w:p w14:paraId="408E6004" w14:textId="1AE05BE6" w:rsidR="00FC4B7F" w:rsidRPr="00E825B8" w:rsidRDefault="00E825B8">
      <w:pPr>
        <w:spacing w:after="60"/>
        <w:jc w:val="both"/>
        <w:rPr>
          <w:rFonts w:cs="Times New Roman"/>
          <w:szCs w:val="24"/>
        </w:rPr>
      </w:pPr>
      <w:r>
        <w:rPr>
          <w:rFonts w:cs="Times New Roman"/>
          <w:szCs w:val="24"/>
        </w:rPr>
        <w:tab/>
      </w:r>
      <w:r w:rsidRPr="00E825B8">
        <w:rPr>
          <w:rFonts w:cs="Times New Roman"/>
          <w:szCs w:val="24"/>
        </w:rPr>
        <w:t>Table 1 summarizes the yield and economic indicators. NFT generated the highest gross income at ₱46.56 plant⁻¹</w:t>
      </w:r>
      <w:r w:rsidR="00836FEF">
        <w:rPr>
          <w:rFonts w:cs="Times New Roman"/>
          <w:szCs w:val="24"/>
        </w:rPr>
        <w:t>, due to</w:t>
      </w:r>
      <w:r w:rsidRPr="00E825B8">
        <w:rPr>
          <w:rFonts w:cs="Times New Roman"/>
          <w:szCs w:val="24"/>
        </w:rPr>
        <w:t xml:space="preserve"> its higher fresh weight. Container gardening generated ₱26.17 plant⁻¹, Kratky ₱20.36 plant⁻¹, and conventional farming ₱11.06 plant⁻¹. The corresponding production-cost bases were ₱273.31, ₱29.75, ₱59.92, and ₱32.03 plant⁻¹, respectively. The pattern illustrates the central economic trade-off observed in other lettuce comparisons: higher-output hydroponic systems can also involve greater infrastructure and operating requirements (Maestre-Valero et al., 2018; Wang et al., 2023). Recent economic studies of hydroponic lettuce likewise demonstrate that ROI and payback depend strongly on the relationship between initial investment, recurring costs, production volume, and selling price (</w:t>
      </w:r>
      <w:proofErr w:type="spellStart"/>
      <w:r w:rsidRPr="00E825B8">
        <w:rPr>
          <w:rFonts w:cs="Times New Roman"/>
          <w:szCs w:val="24"/>
        </w:rPr>
        <w:t>Afriyanti</w:t>
      </w:r>
      <w:proofErr w:type="spellEnd"/>
      <w:r w:rsidRPr="00E825B8">
        <w:rPr>
          <w:rFonts w:cs="Times New Roman"/>
          <w:szCs w:val="24"/>
        </w:rPr>
        <w:t xml:space="preserve"> et al., 2024).</w:t>
      </w:r>
    </w:p>
    <w:tbl>
      <w:tblPr>
        <w:tblStyle w:val="TableGrid"/>
        <w:tblW w:w="0" w:type="auto"/>
        <w:jc w:val="center"/>
        <w:tblLook w:val="04A0" w:firstRow="1" w:lastRow="0" w:firstColumn="1" w:lastColumn="0" w:noHBand="0" w:noVBand="1"/>
      </w:tblPr>
      <w:tblGrid>
        <w:gridCol w:w="2733"/>
        <w:gridCol w:w="1476"/>
        <w:gridCol w:w="1285"/>
        <w:gridCol w:w="1174"/>
        <w:gridCol w:w="1258"/>
        <w:gridCol w:w="1117"/>
      </w:tblGrid>
      <w:tr w:rsidR="00836FEF" w:rsidRPr="00E825B8" w14:paraId="1D693E9E" w14:textId="77777777" w:rsidTr="00836FEF">
        <w:trPr>
          <w:jc w:val="center"/>
        </w:trPr>
        <w:tc>
          <w:tcPr>
            <w:tcW w:w="2864" w:type="dxa"/>
            <w:vAlign w:val="center"/>
          </w:tcPr>
          <w:p w14:paraId="310645BB"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Indicator</w:t>
            </w:r>
          </w:p>
        </w:tc>
        <w:tc>
          <w:tcPr>
            <w:tcW w:w="1476" w:type="dxa"/>
            <w:vAlign w:val="center"/>
          </w:tcPr>
          <w:p w14:paraId="58ADED53"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T1 Conventional</w:t>
            </w:r>
          </w:p>
        </w:tc>
        <w:tc>
          <w:tcPr>
            <w:tcW w:w="1297" w:type="dxa"/>
            <w:vAlign w:val="center"/>
          </w:tcPr>
          <w:p w14:paraId="2376738D"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T2 Container</w:t>
            </w:r>
          </w:p>
        </w:tc>
        <w:tc>
          <w:tcPr>
            <w:tcW w:w="1203" w:type="dxa"/>
            <w:vAlign w:val="center"/>
          </w:tcPr>
          <w:p w14:paraId="313B6B3B" w14:textId="42C149F2" w:rsidR="00836FE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T3</w:t>
            </w:r>
          </w:p>
          <w:p w14:paraId="123BBF5E" w14:textId="733E1F15"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Kratky</w:t>
            </w:r>
          </w:p>
        </w:tc>
        <w:tc>
          <w:tcPr>
            <w:tcW w:w="1284" w:type="dxa"/>
            <w:vAlign w:val="center"/>
          </w:tcPr>
          <w:p w14:paraId="029A397D" w14:textId="0C3EA0BC" w:rsidR="00836FE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T4</w:t>
            </w:r>
          </w:p>
          <w:p w14:paraId="19293625" w14:textId="4F8D80FD"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NFT</w:t>
            </w:r>
          </w:p>
        </w:tc>
        <w:tc>
          <w:tcPr>
            <w:tcW w:w="1145" w:type="dxa"/>
            <w:vAlign w:val="center"/>
          </w:tcPr>
          <w:p w14:paraId="5D0ED75F"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Unit</w:t>
            </w:r>
          </w:p>
        </w:tc>
      </w:tr>
      <w:tr w:rsidR="00836FEF" w:rsidRPr="00E825B8" w14:paraId="36A28F2E" w14:textId="77777777" w:rsidTr="00836FEF">
        <w:trPr>
          <w:jc w:val="center"/>
        </w:trPr>
        <w:tc>
          <w:tcPr>
            <w:tcW w:w="2864" w:type="dxa"/>
          </w:tcPr>
          <w:p w14:paraId="6993E479" w14:textId="77777777" w:rsidR="00FC4B7F" w:rsidRPr="00E825B8" w:rsidRDefault="00000000">
            <w:pPr>
              <w:rPr>
                <w:rFonts w:cs="Times New Roman"/>
                <w:szCs w:val="24"/>
              </w:rPr>
            </w:pPr>
            <w:r w:rsidRPr="00E825B8">
              <w:rPr>
                <w:rFonts w:cs="Times New Roman"/>
                <w:szCs w:val="24"/>
              </w:rPr>
              <w:t>Fresh weight</w:t>
            </w:r>
          </w:p>
        </w:tc>
        <w:tc>
          <w:tcPr>
            <w:tcW w:w="1476" w:type="dxa"/>
            <w:vAlign w:val="center"/>
          </w:tcPr>
          <w:p w14:paraId="69B0F52F" w14:textId="77777777" w:rsidR="00FC4B7F" w:rsidRPr="00E825B8" w:rsidRDefault="00000000" w:rsidP="00836FEF">
            <w:pPr>
              <w:jc w:val="center"/>
              <w:rPr>
                <w:rFonts w:cs="Times New Roman"/>
                <w:szCs w:val="24"/>
              </w:rPr>
            </w:pPr>
            <w:r w:rsidRPr="00E825B8">
              <w:rPr>
                <w:rFonts w:cs="Times New Roman"/>
                <w:szCs w:val="24"/>
              </w:rPr>
              <w:t>31.60</w:t>
            </w:r>
          </w:p>
        </w:tc>
        <w:tc>
          <w:tcPr>
            <w:tcW w:w="1297" w:type="dxa"/>
            <w:vAlign w:val="center"/>
          </w:tcPr>
          <w:p w14:paraId="44BAF63F" w14:textId="77777777" w:rsidR="00FC4B7F" w:rsidRPr="00E825B8" w:rsidRDefault="00000000" w:rsidP="00836FEF">
            <w:pPr>
              <w:jc w:val="center"/>
              <w:rPr>
                <w:rFonts w:cs="Times New Roman"/>
                <w:szCs w:val="24"/>
              </w:rPr>
            </w:pPr>
            <w:r w:rsidRPr="00E825B8">
              <w:rPr>
                <w:rFonts w:cs="Times New Roman"/>
                <w:szCs w:val="24"/>
              </w:rPr>
              <w:t>74.77</w:t>
            </w:r>
          </w:p>
        </w:tc>
        <w:tc>
          <w:tcPr>
            <w:tcW w:w="1203" w:type="dxa"/>
            <w:vAlign w:val="center"/>
          </w:tcPr>
          <w:p w14:paraId="5385B77C" w14:textId="77777777" w:rsidR="00FC4B7F" w:rsidRPr="00E825B8" w:rsidRDefault="00000000" w:rsidP="00836FEF">
            <w:pPr>
              <w:jc w:val="center"/>
              <w:rPr>
                <w:rFonts w:cs="Times New Roman"/>
                <w:szCs w:val="24"/>
              </w:rPr>
            </w:pPr>
            <w:r w:rsidRPr="00E825B8">
              <w:rPr>
                <w:rFonts w:cs="Times New Roman"/>
                <w:szCs w:val="24"/>
              </w:rPr>
              <w:t>58.17</w:t>
            </w:r>
          </w:p>
        </w:tc>
        <w:tc>
          <w:tcPr>
            <w:tcW w:w="1284" w:type="dxa"/>
            <w:vAlign w:val="center"/>
          </w:tcPr>
          <w:p w14:paraId="4BDCFFC4" w14:textId="77777777" w:rsidR="00FC4B7F" w:rsidRPr="00E825B8" w:rsidRDefault="00000000" w:rsidP="00836FEF">
            <w:pPr>
              <w:jc w:val="center"/>
              <w:rPr>
                <w:rFonts w:cs="Times New Roman"/>
                <w:szCs w:val="24"/>
              </w:rPr>
            </w:pPr>
            <w:r w:rsidRPr="00E825B8">
              <w:rPr>
                <w:rFonts w:cs="Times New Roman"/>
                <w:szCs w:val="24"/>
              </w:rPr>
              <w:t>133.04</w:t>
            </w:r>
          </w:p>
        </w:tc>
        <w:tc>
          <w:tcPr>
            <w:tcW w:w="1145" w:type="dxa"/>
            <w:vAlign w:val="center"/>
          </w:tcPr>
          <w:p w14:paraId="784CD55F" w14:textId="77777777" w:rsidR="00FC4B7F" w:rsidRPr="00E825B8" w:rsidRDefault="00000000" w:rsidP="00836FEF">
            <w:pPr>
              <w:jc w:val="center"/>
              <w:rPr>
                <w:rFonts w:cs="Times New Roman"/>
                <w:szCs w:val="24"/>
              </w:rPr>
            </w:pPr>
            <w:r w:rsidRPr="00E825B8">
              <w:rPr>
                <w:rFonts w:cs="Times New Roman"/>
                <w:szCs w:val="24"/>
              </w:rPr>
              <w:t>g plant⁻¹</w:t>
            </w:r>
          </w:p>
        </w:tc>
      </w:tr>
      <w:tr w:rsidR="00836FEF" w:rsidRPr="00E825B8" w14:paraId="39390596" w14:textId="77777777" w:rsidTr="00836FEF">
        <w:trPr>
          <w:jc w:val="center"/>
        </w:trPr>
        <w:tc>
          <w:tcPr>
            <w:tcW w:w="2864" w:type="dxa"/>
          </w:tcPr>
          <w:p w14:paraId="155BA052" w14:textId="77777777" w:rsidR="00FC4B7F" w:rsidRPr="00E825B8" w:rsidRDefault="00000000">
            <w:pPr>
              <w:rPr>
                <w:rFonts w:cs="Times New Roman"/>
                <w:szCs w:val="24"/>
              </w:rPr>
            </w:pPr>
            <w:r w:rsidRPr="00E825B8">
              <w:rPr>
                <w:rFonts w:cs="Times New Roman"/>
                <w:szCs w:val="24"/>
              </w:rPr>
              <w:t>Gross income</w:t>
            </w:r>
          </w:p>
        </w:tc>
        <w:tc>
          <w:tcPr>
            <w:tcW w:w="1476" w:type="dxa"/>
            <w:vAlign w:val="center"/>
          </w:tcPr>
          <w:p w14:paraId="77221DA3" w14:textId="77777777" w:rsidR="00FC4B7F" w:rsidRPr="00E825B8" w:rsidRDefault="00000000" w:rsidP="00836FEF">
            <w:pPr>
              <w:jc w:val="center"/>
              <w:rPr>
                <w:rFonts w:cs="Times New Roman"/>
                <w:szCs w:val="24"/>
              </w:rPr>
            </w:pPr>
            <w:r w:rsidRPr="00E825B8">
              <w:rPr>
                <w:rFonts w:cs="Times New Roman"/>
                <w:szCs w:val="24"/>
              </w:rPr>
              <w:t>11.06</w:t>
            </w:r>
          </w:p>
        </w:tc>
        <w:tc>
          <w:tcPr>
            <w:tcW w:w="1297" w:type="dxa"/>
            <w:vAlign w:val="center"/>
          </w:tcPr>
          <w:p w14:paraId="72D7EABA" w14:textId="77777777" w:rsidR="00FC4B7F" w:rsidRPr="00E825B8" w:rsidRDefault="00000000" w:rsidP="00836FEF">
            <w:pPr>
              <w:jc w:val="center"/>
              <w:rPr>
                <w:rFonts w:cs="Times New Roman"/>
                <w:szCs w:val="24"/>
              </w:rPr>
            </w:pPr>
            <w:r w:rsidRPr="00E825B8">
              <w:rPr>
                <w:rFonts w:cs="Times New Roman"/>
                <w:szCs w:val="24"/>
              </w:rPr>
              <w:t>26.17</w:t>
            </w:r>
          </w:p>
        </w:tc>
        <w:tc>
          <w:tcPr>
            <w:tcW w:w="1203" w:type="dxa"/>
            <w:vAlign w:val="center"/>
          </w:tcPr>
          <w:p w14:paraId="6054CCCB" w14:textId="77777777" w:rsidR="00FC4B7F" w:rsidRPr="00E825B8" w:rsidRDefault="00000000" w:rsidP="00836FEF">
            <w:pPr>
              <w:jc w:val="center"/>
              <w:rPr>
                <w:rFonts w:cs="Times New Roman"/>
                <w:szCs w:val="24"/>
              </w:rPr>
            </w:pPr>
            <w:r w:rsidRPr="00E825B8">
              <w:rPr>
                <w:rFonts w:cs="Times New Roman"/>
                <w:szCs w:val="24"/>
              </w:rPr>
              <w:t>20.36</w:t>
            </w:r>
          </w:p>
        </w:tc>
        <w:tc>
          <w:tcPr>
            <w:tcW w:w="1284" w:type="dxa"/>
            <w:vAlign w:val="center"/>
          </w:tcPr>
          <w:p w14:paraId="30415EE4" w14:textId="77777777" w:rsidR="00FC4B7F" w:rsidRPr="00E825B8" w:rsidRDefault="00000000" w:rsidP="00836FEF">
            <w:pPr>
              <w:jc w:val="center"/>
              <w:rPr>
                <w:rFonts w:cs="Times New Roman"/>
                <w:szCs w:val="24"/>
              </w:rPr>
            </w:pPr>
            <w:r w:rsidRPr="00E825B8">
              <w:rPr>
                <w:rFonts w:cs="Times New Roman"/>
                <w:szCs w:val="24"/>
              </w:rPr>
              <w:t>46.56</w:t>
            </w:r>
          </w:p>
        </w:tc>
        <w:tc>
          <w:tcPr>
            <w:tcW w:w="1145" w:type="dxa"/>
            <w:vAlign w:val="center"/>
          </w:tcPr>
          <w:p w14:paraId="56E20DD2" w14:textId="77777777" w:rsidR="00FC4B7F" w:rsidRPr="00E825B8" w:rsidRDefault="00000000" w:rsidP="00836FEF">
            <w:pPr>
              <w:jc w:val="center"/>
              <w:rPr>
                <w:rFonts w:cs="Times New Roman"/>
                <w:szCs w:val="24"/>
              </w:rPr>
            </w:pPr>
            <w:r w:rsidRPr="00E825B8">
              <w:rPr>
                <w:rFonts w:cs="Times New Roman"/>
                <w:szCs w:val="24"/>
              </w:rPr>
              <w:t>₱ plant⁻¹</w:t>
            </w:r>
          </w:p>
        </w:tc>
      </w:tr>
      <w:tr w:rsidR="00836FEF" w:rsidRPr="00E825B8" w14:paraId="53A3A9F3" w14:textId="77777777" w:rsidTr="00836FEF">
        <w:trPr>
          <w:jc w:val="center"/>
        </w:trPr>
        <w:tc>
          <w:tcPr>
            <w:tcW w:w="2864" w:type="dxa"/>
          </w:tcPr>
          <w:p w14:paraId="5B980C3B" w14:textId="77777777" w:rsidR="00FC4B7F" w:rsidRPr="00E825B8" w:rsidRDefault="00000000">
            <w:pPr>
              <w:rPr>
                <w:rFonts w:cs="Times New Roman"/>
                <w:szCs w:val="24"/>
              </w:rPr>
            </w:pPr>
            <w:r w:rsidRPr="00E825B8">
              <w:rPr>
                <w:rFonts w:cs="Times New Roman"/>
                <w:szCs w:val="24"/>
              </w:rPr>
              <w:t>Production-cost basis</w:t>
            </w:r>
          </w:p>
        </w:tc>
        <w:tc>
          <w:tcPr>
            <w:tcW w:w="1476" w:type="dxa"/>
            <w:vAlign w:val="center"/>
          </w:tcPr>
          <w:p w14:paraId="731A0ADF" w14:textId="77777777" w:rsidR="00FC4B7F" w:rsidRPr="00E825B8" w:rsidRDefault="00000000" w:rsidP="00836FEF">
            <w:pPr>
              <w:jc w:val="center"/>
              <w:rPr>
                <w:rFonts w:cs="Times New Roman"/>
                <w:szCs w:val="24"/>
              </w:rPr>
            </w:pPr>
            <w:r w:rsidRPr="00E825B8">
              <w:rPr>
                <w:rFonts w:cs="Times New Roman"/>
                <w:szCs w:val="24"/>
              </w:rPr>
              <w:t>32.03</w:t>
            </w:r>
          </w:p>
        </w:tc>
        <w:tc>
          <w:tcPr>
            <w:tcW w:w="1297" w:type="dxa"/>
            <w:vAlign w:val="center"/>
          </w:tcPr>
          <w:p w14:paraId="49200C3D" w14:textId="77777777" w:rsidR="00FC4B7F" w:rsidRPr="00E825B8" w:rsidRDefault="00000000" w:rsidP="00836FEF">
            <w:pPr>
              <w:jc w:val="center"/>
              <w:rPr>
                <w:rFonts w:cs="Times New Roman"/>
                <w:szCs w:val="24"/>
              </w:rPr>
            </w:pPr>
            <w:r w:rsidRPr="00E825B8">
              <w:rPr>
                <w:rFonts w:cs="Times New Roman"/>
                <w:szCs w:val="24"/>
              </w:rPr>
              <w:t>29.75</w:t>
            </w:r>
          </w:p>
        </w:tc>
        <w:tc>
          <w:tcPr>
            <w:tcW w:w="1203" w:type="dxa"/>
            <w:vAlign w:val="center"/>
          </w:tcPr>
          <w:p w14:paraId="6D826A7B" w14:textId="77777777" w:rsidR="00FC4B7F" w:rsidRPr="00E825B8" w:rsidRDefault="00000000" w:rsidP="00836FEF">
            <w:pPr>
              <w:jc w:val="center"/>
              <w:rPr>
                <w:rFonts w:cs="Times New Roman"/>
                <w:szCs w:val="24"/>
              </w:rPr>
            </w:pPr>
            <w:r w:rsidRPr="00E825B8">
              <w:rPr>
                <w:rFonts w:cs="Times New Roman"/>
                <w:szCs w:val="24"/>
              </w:rPr>
              <w:t>59.92</w:t>
            </w:r>
          </w:p>
        </w:tc>
        <w:tc>
          <w:tcPr>
            <w:tcW w:w="1284" w:type="dxa"/>
            <w:vAlign w:val="center"/>
          </w:tcPr>
          <w:p w14:paraId="3F3BE738" w14:textId="77777777" w:rsidR="00FC4B7F" w:rsidRPr="00E825B8" w:rsidRDefault="00000000" w:rsidP="00836FEF">
            <w:pPr>
              <w:jc w:val="center"/>
              <w:rPr>
                <w:rFonts w:cs="Times New Roman"/>
                <w:szCs w:val="24"/>
              </w:rPr>
            </w:pPr>
            <w:r w:rsidRPr="00E825B8">
              <w:rPr>
                <w:rFonts w:cs="Times New Roman"/>
                <w:szCs w:val="24"/>
              </w:rPr>
              <w:t>273.31</w:t>
            </w:r>
          </w:p>
        </w:tc>
        <w:tc>
          <w:tcPr>
            <w:tcW w:w="1145" w:type="dxa"/>
            <w:vAlign w:val="center"/>
          </w:tcPr>
          <w:p w14:paraId="782236F7" w14:textId="77777777" w:rsidR="00FC4B7F" w:rsidRPr="00E825B8" w:rsidRDefault="00000000" w:rsidP="00836FEF">
            <w:pPr>
              <w:jc w:val="center"/>
              <w:rPr>
                <w:rFonts w:cs="Times New Roman"/>
                <w:szCs w:val="24"/>
              </w:rPr>
            </w:pPr>
            <w:r w:rsidRPr="00E825B8">
              <w:rPr>
                <w:rFonts w:cs="Times New Roman"/>
                <w:szCs w:val="24"/>
              </w:rPr>
              <w:t>₱ plant⁻¹</w:t>
            </w:r>
          </w:p>
        </w:tc>
      </w:tr>
      <w:tr w:rsidR="00836FEF" w:rsidRPr="00E825B8" w14:paraId="498BFE18" w14:textId="77777777" w:rsidTr="00836FEF">
        <w:trPr>
          <w:jc w:val="center"/>
        </w:trPr>
        <w:tc>
          <w:tcPr>
            <w:tcW w:w="2864" w:type="dxa"/>
          </w:tcPr>
          <w:p w14:paraId="48BBB1CF" w14:textId="77777777" w:rsidR="00FC4B7F" w:rsidRPr="00E825B8" w:rsidRDefault="00000000">
            <w:pPr>
              <w:rPr>
                <w:rFonts w:cs="Times New Roman"/>
                <w:szCs w:val="24"/>
              </w:rPr>
            </w:pPr>
            <w:r w:rsidRPr="00E825B8">
              <w:rPr>
                <w:rFonts w:cs="Times New Roman"/>
                <w:szCs w:val="24"/>
              </w:rPr>
              <w:t>First-cycle net income</w:t>
            </w:r>
          </w:p>
        </w:tc>
        <w:tc>
          <w:tcPr>
            <w:tcW w:w="1476" w:type="dxa"/>
            <w:vAlign w:val="center"/>
          </w:tcPr>
          <w:p w14:paraId="63A12691" w14:textId="77777777" w:rsidR="00FC4B7F" w:rsidRPr="00E825B8" w:rsidRDefault="00000000" w:rsidP="00836FEF">
            <w:pPr>
              <w:jc w:val="center"/>
              <w:rPr>
                <w:rFonts w:cs="Times New Roman"/>
                <w:szCs w:val="24"/>
              </w:rPr>
            </w:pPr>
            <w:r w:rsidRPr="00E825B8">
              <w:rPr>
                <w:rFonts w:cs="Times New Roman"/>
                <w:szCs w:val="24"/>
              </w:rPr>
              <w:t>−20.97</w:t>
            </w:r>
          </w:p>
        </w:tc>
        <w:tc>
          <w:tcPr>
            <w:tcW w:w="1297" w:type="dxa"/>
            <w:vAlign w:val="center"/>
          </w:tcPr>
          <w:p w14:paraId="385176BF" w14:textId="77777777" w:rsidR="00FC4B7F" w:rsidRPr="00E825B8" w:rsidRDefault="00000000" w:rsidP="00836FEF">
            <w:pPr>
              <w:jc w:val="center"/>
              <w:rPr>
                <w:rFonts w:cs="Times New Roman"/>
                <w:szCs w:val="24"/>
              </w:rPr>
            </w:pPr>
            <w:r w:rsidRPr="00E825B8">
              <w:rPr>
                <w:rFonts w:cs="Times New Roman"/>
                <w:szCs w:val="24"/>
              </w:rPr>
              <w:t>−3.58</w:t>
            </w:r>
          </w:p>
        </w:tc>
        <w:tc>
          <w:tcPr>
            <w:tcW w:w="1203" w:type="dxa"/>
            <w:vAlign w:val="center"/>
          </w:tcPr>
          <w:p w14:paraId="284550B5" w14:textId="77777777" w:rsidR="00FC4B7F" w:rsidRPr="00E825B8" w:rsidRDefault="00000000" w:rsidP="00836FEF">
            <w:pPr>
              <w:jc w:val="center"/>
              <w:rPr>
                <w:rFonts w:cs="Times New Roman"/>
                <w:szCs w:val="24"/>
              </w:rPr>
            </w:pPr>
            <w:r w:rsidRPr="00E825B8">
              <w:rPr>
                <w:rFonts w:cs="Times New Roman"/>
                <w:szCs w:val="24"/>
              </w:rPr>
              <w:t>−39.56</w:t>
            </w:r>
          </w:p>
        </w:tc>
        <w:tc>
          <w:tcPr>
            <w:tcW w:w="1284" w:type="dxa"/>
            <w:vAlign w:val="center"/>
          </w:tcPr>
          <w:p w14:paraId="063608FF" w14:textId="77777777" w:rsidR="00FC4B7F" w:rsidRPr="00E825B8" w:rsidRDefault="00000000" w:rsidP="00836FEF">
            <w:pPr>
              <w:jc w:val="center"/>
              <w:rPr>
                <w:rFonts w:cs="Times New Roman"/>
                <w:szCs w:val="24"/>
              </w:rPr>
            </w:pPr>
            <w:r w:rsidRPr="00E825B8">
              <w:rPr>
                <w:rFonts w:cs="Times New Roman"/>
                <w:szCs w:val="24"/>
              </w:rPr>
              <w:t>−226.75</w:t>
            </w:r>
          </w:p>
        </w:tc>
        <w:tc>
          <w:tcPr>
            <w:tcW w:w="1145" w:type="dxa"/>
            <w:vAlign w:val="center"/>
          </w:tcPr>
          <w:p w14:paraId="6203DEEC" w14:textId="77777777" w:rsidR="00FC4B7F" w:rsidRPr="00E825B8" w:rsidRDefault="00000000" w:rsidP="00836FEF">
            <w:pPr>
              <w:jc w:val="center"/>
              <w:rPr>
                <w:rFonts w:cs="Times New Roman"/>
                <w:szCs w:val="24"/>
              </w:rPr>
            </w:pPr>
            <w:r w:rsidRPr="00E825B8">
              <w:rPr>
                <w:rFonts w:cs="Times New Roman"/>
                <w:szCs w:val="24"/>
              </w:rPr>
              <w:t>₱ plant⁻¹</w:t>
            </w:r>
          </w:p>
        </w:tc>
      </w:tr>
      <w:tr w:rsidR="00836FEF" w:rsidRPr="00E825B8" w14:paraId="277B403D" w14:textId="77777777" w:rsidTr="00836FEF">
        <w:trPr>
          <w:jc w:val="center"/>
        </w:trPr>
        <w:tc>
          <w:tcPr>
            <w:tcW w:w="2864" w:type="dxa"/>
          </w:tcPr>
          <w:p w14:paraId="1A9FA9F3" w14:textId="77777777" w:rsidR="00FC4B7F" w:rsidRPr="00E825B8" w:rsidRDefault="00000000">
            <w:pPr>
              <w:rPr>
                <w:rFonts w:cs="Times New Roman"/>
                <w:szCs w:val="24"/>
              </w:rPr>
            </w:pPr>
            <w:r w:rsidRPr="00E825B8">
              <w:rPr>
                <w:rFonts w:cs="Times New Roman"/>
                <w:szCs w:val="24"/>
              </w:rPr>
              <w:t>First-cycle ROI</w:t>
            </w:r>
          </w:p>
        </w:tc>
        <w:tc>
          <w:tcPr>
            <w:tcW w:w="1476" w:type="dxa"/>
            <w:vAlign w:val="center"/>
          </w:tcPr>
          <w:p w14:paraId="7A4790D6" w14:textId="77777777" w:rsidR="00FC4B7F" w:rsidRPr="00E825B8" w:rsidRDefault="00000000" w:rsidP="00836FEF">
            <w:pPr>
              <w:jc w:val="center"/>
              <w:rPr>
                <w:rFonts w:cs="Times New Roman"/>
                <w:szCs w:val="24"/>
              </w:rPr>
            </w:pPr>
            <w:r w:rsidRPr="00E825B8">
              <w:rPr>
                <w:rFonts w:cs="Times New Roman"/>
                <w:szCs w:val="24"/>
              </w:rPr>
              <w:t>−65.47</w:t>
            </w:r>
          </w:p>
        </w:tc>
        <w:tc>
          <w:tcPr>
            <w:tcW w:w="1297" w:type="dxa"/>
            <w:vAlign w:val="center"/>
          </w:tcPr>
          <w:p w14:paraId="268C5F79" w14:textId="77777777" w:rsidR="00FC4B7F" w:rsidRPr="00E825B8" w:rsidRDefault="00000000" w:rsidP="00836FEF">
            <w:pPr>
              <w:jc w:val="center"/>
              <w:rPr>
                <w:rFonts w:cs="Times New Roman"/>
                <w:szCs w:val="24"/>
              </w:rPr>
            </w:pPr>
            <w:r w:rsidRPr="00E825B8">
              <w:rPr>
                <w:rFonts w:cs="Times New Roman"/>
                <w:szCs w:val="24"/>
              </w:rPr>
              <w:t>−12.03</w:t>
            </w:r>
          </w:p>
        </w:tc>
        <w:tc>
          <w:tcPr>
            <w:tcW w:w="1203" w:type="dxa"/>
            <w:vAlign w:val="center"/>
          </w:tcPr>
          <w:p w14:paraId="72377700" w14:textId="77777777" w:rsidR="00FC4B7F" w:rsidRPr="00E825B8" w:rsidRDefault="00000000" w:rsidP="00836FEF">
            <w:pPr>
              <w:jc w:val="center"/>
              <w:rPr>
                <w:rFonts w:cs="Times New Roman"/>
                <w:szCs w:val="24"/>
              </w:rPr>
            </w:pPr>
            <w:r w:rsidRPr="00E825B8">
              <w:rPr>
                <w:rFonts w:cs="Times New Roman"/>
                <w:szCs w:val="24"/>
              </w:rPr>
              <w:t>−66.02</w:t>
            </w:r>
          </w:p>
        </w:tc>
        <w:tc>
          <w:tcPr>
            <w:tcW w:w="1284" w:type="dxa"/>
            <w:vAlign w:val="center"/>
          </w:tcPr>
          <w:p w14:paraId="54DD373B" w14:textId="77777777" w:rsidR="00FC4B7F" w:rsidRPr="00E825B8" w:rsidRDefault="00000000" w:rsidP="00836FEF">
            <w:pPr>
              <w:jc w:val="center"/>
              <w:rPr>
                <w:rFonts w:cs="Times New Roman"/>
                <w:szCs w:val="24"/>
              </w:rPr>
            </w:pPr>
            <w:r w:rsidRPr="00E825B8">
              <w:rPr>
                <w:rFonts w:cs="Times New Roman"/>
                <w:szCs w:val="24"/>
              </w:rPr>
              <w:t>−82.96</w:t>
            </w:r>
          </w:p>
        </w:tc>
        <w:tc>
          <w:tcPr>
            <w:tcW w:w="1145" w:type="dxa"/>
            <w:vAlign w:val="center"/>
          </w:tcPr>
          <w:p w14:paraId="459CB291" w14:textId="77777777" w:rsidR="00FC4B7F" w:rsidRPr="00E825B8" w:rsidRDefault="00000000" w:rsidP="00836FEF">
            <w:pPr>
              <w:jc w:val="center"/>
              <w:rPr>
                <w:rFonts w:cs="Times New Roman"/>
                <w:szCs w:val="24"/>
              </w:rPr>
            </w:pPr>
            <w:r w:rsidRPr="00E825B8">
              <w:rPr>
                <w:rFonts w:cs="Times New Roman"/>
                <w:szCs w:val="24"/>
              </w:rPr>
              <w:t>%</w:t>
            </w:r>
          </w:p>
        </w:tc>
      </w:tr>
      <w:tr w:rsidR="00836FEF" w:rsidRPr="00E825B8" w14:paraId="4711A37C" w14:textId="77777777" w:rsidTr="00836FEF">
        <w:trPr>
          <w:jc w:val="center"/>
        </w:trPr>
        <w:tc>
          <w:tcPr>
            <w:tcW w:w="2864" w:type="dxa"/>
          </w:tcPr>
          <w:p w14:paraId="3E5C3CA7" w14:textId="77777777" w:rsidR="00FC4B7F" w:rsidRPr="00E825B8" w:rsidRDefault="00000000">
            <w:pPr>
              <w:rPr>
                <w:rFonts w:cs="Times New Roman"/>
                <w:szCs w:val="24"/>
              </w:rPr>
            </w:pPr>
            <w:r w:rsidRPr="00E825B8">
              <w:rPr>
                <w:rFonts w:cs="Times New Roman"/>
                <w:szCs w:val="24"/>
              </w:rPr>
              <w:t>Investment recovery period</w:t>
            </w:r>
          </w:p>
        </w:tc>
        <w:tc>
          <w:tcPr>
            <w:tcW w:w="1476" w:type="dxa"/>
            <w:vAlign w:val="center"/>
          </w:tcPr>
          <w:p w14:paraId="738F99FF" w14:textId="77777777" w:rsidR="00FC4B7F" w:rsidRPr="00E825B8" w:rsidRDefault="00000000" w:rsidP="00836FEF">
            <w:pPr>
              <w:jc w:val="center"/>
              <w:rPr>
                <w:rFonts w:cs="Times New Roman"/>
                <w:szCs w:val="24"/>
              </w:rPr>
            </w:pPr>
            <w:r w:rsidRPr="00E825B8">
              <w:rPr>
                <w:rFonts w:cs="Times New Roman"/>
                <w:szCs w:val="24"/>
              </w:rPr>
              <w:t>2.90</w:t>
            </w:r>
          </w:p>
        </w:tc>
        <w:tc>
          <w:tcPr>
            <w:tcW w:w="1297" w:type="dxa"/>
            <w:vAlign w:val="center"/>
          </w:tcPr>
          <w:p w14:paraId="6713C8D7" w14:textId="77777777" w:rsidR="00FC4B7F" w:rsidRPr="00E825B8" w:rsidRDefault="00000000" w:rsidP="00836FEF">
            <w:pPr>
              <w:jc w:val="center"/>
              <w:rPr>
                <w:rFonts w:cs="Times New Roman"/>
                <w:szCs w:val="24"/>
              </w:rPr>
            </w:pPr>
            <w:r w:rsidRPr="00E825B8">
              <w:rPr>
                <w:rFonts w:cs="Times New Roman"/>
                <w:szCs w:val="24"/>
              </w:rPr>
              <w:t>1.14</w:t>
            </w:r>
          </w:p>
        </w:tc>
        <w:tc>
          <w:tcPr>
            <w:tcW w:w="1203" w:type="dxa"/>
            <w:vAlign w:val="center"/>
          </w:tcPr>
          <w:p w14:paraId="7D0CCE06" w14:textId="77777777" w:rsidR="00FC4B7F" w:rsidRPr="00E825B8" w:rsidRDefault="00000000" w:rsidP="00836FEF">
            <w:pPr>
              <w:jc w:val="center"/>
              <w:rPr>
                <w:rFonts w:cs="Times New Roman"/>
                <w:szCs w:val="24"/>
              </w:rPr>
            </w:pPr>
            <w:r w:rsidRPr="00E825B8">
              <w:rPr>
                <w:rFonts w:cs="Times New Roman"/>
                <w:szCs w:val="24"/>
              </w:rPr>
              <w:t>2.94</w:t>
            </w:r>
          </w:p>
        </w:tc>
        <w:tc>
          <w:tcPr>
            <w:tcW w:w="1284" w:type="dxa"/>
            <w:vAlign w:val="center"/>
          </w:tcPr>
          <w:p w14:paraId="6F48A7ED" w14:textId="77777777" w:rsidR="00FC4B7F" w:rsidRPr="00E825B8" w:rsidRDefault="00000000" w:rsidP="00836FEF">
            <w:pPr>
              <w:jc w:val="center"/>
              <w:rPr>
                <w:rFonts w:cs="Times New Roman"/>
                <w:szCs w:val="24"/>
              </w:rPr>
            </w:pPr>
            <w:r w:rsidRPr="00E825B8">
              <w:rPr>
                <w:rFonts w:cs="Times New Roman"/>
                <w:szCs w:val="24"/>
              </w:rPr>
              <w:t>5.87</w:t>
            </w:r>
          </w:p>
        </w:tc>
        <w:tc>
          <w:tcPr>
            <w:tcW w:w="1145" w:type="dxa"/>
            <w:vAlign w:val="center"/>
          </w:tcPr>
          <w:p w14:paraId="515F10BA" w14:textId="77777777" w:rsidR="00FC4B7F" w:rsidRPr="00E825B8" w:rsidRDefault="00000000" w:rsidP="00836FEF">
            <w:pPr>
              <w:jc w:val="center"/>
              <w:rPr>
                <w:rFonts w:cs="Times New Roman"/>
                <w:szCs w:val="24"/>
              </w:rPr>
            </w:pPr>
            <w:r w:rsidRPr="00E825B8">
              <w:rPr>
                <w:rFonts w:cs="Times New Roman"/>
                <w:szCs w:val="24"/>
              </w:rPr>
              <w:t>cycles</w:t>
            </w:r>
          </w:p>
        </w:tc>
      </w:tr>
      <w:tr w:rsidR="00836FEF" w:rsidRPr="00E825B8" w14:paraId="269CAB01" w14:textId="77777777" w:rsidTr="00836FEF">
        <w:trPr>
          <w:jc w:val="center"/>
        </w:trPr>
        <w:tc>
          <w:tcPr>
            <w:tcW w:w="2864" w:type="dxa"/>
          </w:tcPr>
          <w:p w14:paraId="0AB9A5D1" w14:textId="77777777" w:rsidR="00FC4B7F" w:rsidRPr="00E825B8" w:rsidRDefault="00000000">
            <w:pPr>
              <w:rPr>
                <w:rFonts w:cs="Times New Roman"/>
                <w:szCs w:val="24"/>
              </w:rPr>
            </w:pPr>
            <w:r w:rsidRPr="00E825B8">
              <w:rPr>
                <w:rFonts w:cs="Times New Roman"/>
                <w:szCs w:val="24"/>
              </w:rPr>
              <w:t>Approximate recovery time</w:t>
            </w:r>
          </w:p>
        </w:tc>
        <w:tc>
          <w:tcPr>
            <w:tcW w:w="1476" w:type="dxa"/>
            <w:vAlign w:val="center"/>
          </w:tcPr>
          <w:p w14:paraId="0F1AE745" w14:textId="77777777" w:rsidR="00FC4B7F" w:rsidRPr="00E825B8" w:rsidRDefault="00000000" w:rsidP="00836FEF">
            <w:pPr>
              <w:jc w:val="center"/>
              <w:rPr>
                <w:rFonts w:cs="Times New Roman"/>
                <w:szCs w:val="24"/>
              </w:rPr>
            </w:pPr>
            <w:r w:rsidRPr="00E825B8">
              <w:rPr>
                <w:rFonts w:cs="Times New Roman"/>
                <w:szCs w:val="24"/>
              </w:rPr>
              <w:t>81</w:t>
            </w:r>
          </w:p>
        </w:tc>
        <w:tc>
          <w:tcPr>
            <w:tcW w:w="1297" w:type="dxa"/>
            <w:vAlign w:val="center"/>
          </w:tcPr>
          <w:p w14:paraId="1626F937" w14:textId="77777777" w:rsidR="00FC4B7F" w:rsidRPr="00E825B8" w:rsidRDefault="00000000" w:rsidP="00836FEF">
            <w:pPr>
              <w:jc w:val="center"/>
              <w:rPr>
                <w:rFonts w:cs="Times New Roman"/>
                <w:szCs w:val="24"/>
              </w:rPr>
            </w:pPr>
            <w:r w:rsidRPr="00E825B8">
              <w:rPr>
                <w:rFonts w:cs="Times New Roman"/>
                <w:szCs w:val="24"/>
              </w:rPr>
              <w:t>32</w:t>
            </w:r>
          </w:p>
        </w:tc>
        <w:tc>
          <w:tcPr>
            <w:tcW w:w="1203" w:type="dxa"/>
            <w:vAlign w:val="center"/>
          </w:tcPr>
          <w:p w14:paraId="703380D4" w14:textId="77777777" w:rsidR="00FC4B7F" w:rsidRPr="00E825B8" w:rsidRDefault="00000000" w:rsidP="00836FEF">
            <w:pPr>
              <w:jc w:val="center"/>
              <w:rPr>
                <w:rFonts w:cs="Times New Roman"/>
                <w:szCs w:val="24"/>
              </w:rPr>
            </w:pPr>
            <w:r w:rsidRPr="00E825B8">
              <w:rPr>
                <w:rFonts w:cs="Times New Roman"/>
                <w:szCs w:val="24"/>
              </w:rPr>
              <w:t>82</w:t>
            </w:r>
          </w:p>
        </w:tc>
        <w:tc>
          <w:tcPr>
            <w:tcW w:w="1284" w:type="dxa"/>
            <w:vAlign w:val="center"/>
          </w:tcPr>
          <w:p w14:paraId="02E23AA8" w14:textId="77777777" w:rsidR="00FC4B7F" w:rsidRPr="00E825B8" w:rsidRDefault="00000000" w:rsidP="00836FEF">
            <w:pPr>
              <w:jc w:val="center"/>
              <w:rPr>
                <w:rFonts w:cs="Times New Roman"/>
                <w:szCs w:val="24"/>
              </w:rPr>
            </w:pPr>
            <w:r w:rsidRPr="00E825B8">
              <w:rPr>
                <w:rFonts w:cs="Times New Roman"/>
                <w:szCs w:val="24"/>
              </w:rPr>
              <w:t>164</w:t>
            </w:r>
          </w:p>
        </w:tc>
        <w:tc>
          <w:tcPr>
            <w:tcW w:w="1145" w:type="dxa"/>
            <w:vAlign w:val="center"/>
          </w:tcPr>
          <w:p w14:paraId="3BF0F967" w14:textId="77777777" w:rsidR="00FC4B7F" w:rsidRPr="00E825B8" w:rsidRDefault="00000000" w:rsidP="00836FEF">
            <w:pPr>
              <w:jc w:val="center"/>
              <w:rPr>
                <w:rFonts w:cs="Times New Roman"/>
                <w:szCs w:val="24"/>
              </w:rPr>
            </w:pPr>
            <w:r w:rsidRPr="00E825B8">
              <w:rPr>
                <w:rFonts w:cs="Times New Roman"/>
                <w:szCs w:val="24"/>
              </w:rPr>
              <w:t>days</w:t>
            </w:r>
          </w:p>
        </w:tc>
      </w:tr>
    </w:tbl>
    <w:p w14:paraId="635913E3" w14:textId="6FE2D7AA" w:rsidR="00FC4B7F" w:rsidRDefault="00000000">
      <w:pPr>
        <w:spacing w:after="60"/>
        <w:jc w:val="center"/>
        <w:rPr>
          <w:rFonts w:cs="Times New Roman"/>
          <w:bCs/>
          <w:szCs w:val="24"/>
        </w:rPr>
      </w:pPr>
      <w:r w:rsidRPr="00E825B8">
        <w:rPr>
          <w:rFonts w:cs="Times New Roman"/>
          <w:b/>
          <w:szCs w:val="24"/>
        </w:rPr>
        <w:t xml:space="preserve">Table 1. </w:t>
      </w:r>
      <w:r w:rsidRPr="00E825B8">
        <w:rPr>
          <w:rFonts w:cs="Times New Roman"/>
          <w:bCs/>
          <w:szCs w:val="24"/>
        </w:rPr>
        <w:t>Production, economic, and investment-recovery indicators on a per-plant basis.</w:t>
      </w:r>
    </w:p>
    <w:p w14:paraId="6C7882E6" w14:textId="77777777" w:rsidR="00836FEF" w:rsidRPr="00E825B8" w:rsidRDefault="00836FEF">
      <w:pPr>
        <w:spacing w:after="60"/>
        <w:jc w:val="center"/>
        <w:rPr>
          <w:rFonts w:cs="Times New Roman"/>
          <w:szCs w:val="24"/>
        </w:rPr>
      </w:pPr>
    </w:p>
    <w:p w14:paraId="6B5CD317"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3.5 First-cycle net income and ROI</w:t>
      </w:r>
    </w:p>
    <w:p w14:paraId="631AFB36" w14:textId="28246A82"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When the complete unit cost basis was charged against the first 28-day harvest, all four systems produced negative first-cycle net income. The values were −₱20.97 plant⁻¹ for conventional farming, −₱3.58 for container gardening, −₱39.56 for Kratky, and −₱226.75 for NFT. The corresponding first-cycle ROI values were −65.47%, −12.03%, −66.02%, and −82.96%, respectively. These first-cycle results should be distinguished from longer-horizon investment feasibility, because capital-intensive production systems generally require multiple production cycles to distribute initial costs across subsequent harvests. Studies of hydroponic lettuce enterprises have therefore used multi-cycle or multi-year financial indicators such as payback period, NPV, IRR, and profitability indices to assess longer-term investment performance (Gumisiriza et al., 2022; </w:t>
      </w:r>
      <w:proofErr w:type="spellStart"/>
      <w:r w:rsidRPr="00E825B8">
        <w:rPr>
          <w:rFonts w:cs="Times New Roman"/>
          <w:szCs w:val="24"/>
        </w:rPr>
        <w:t>Afriyanti</w:t>
      </w:r>
      <w:proofErr w:type="spellEnd"/>
      <w:r w:rsidRPr="00E825B8">
        <w:rPr>
          <w:rFonts w:cs="Times New Roman"/>
          <w:szCs w:val="24"/>
        </w:rPr>
        <w:t xml:space="preserve"> et al., 2024).</w:t>
      </w:r>
    </w:p>
    <w:p w14:paraId="1D242926"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lastRenderedPageBreak/>
        <w:t>3.6 Investment Recovery Period</w:t>
      </w:r>
    </w:p>
    <w:p w14:paraId="0F4B6B2D" w14:textId="21E773F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Using the study's gross-revenue capital-recovery definition, container gardening reached the recovery threshold at 1.14 cycles, conventional farming at 2.90 cycles, Kratky at 2.94 cycles, and NFT at 5.87 cycles. These correspond to approximately 32, 81, 82, and 164 days, respectively, when multiplied by the 28-day production cycle. The pattern is consistent with the general principle that higher initial capital requirements </w:t>
      </w:r>
      <w:r w:rsidR="00836FEF">
        <w:rPr>
          <w:rFonts w:cs="Times New Roman"/>
          <w:szCs w:val="24"/>
        </w:rPr>
        <w:t>delay the time at which cumulative revenue equals</w:t>
      </w:r>
      <w:r w:rsidRPr="00E825B8">
        <w:rPr>
          <w:rFonts w:cs="Times New Roman"/>
          <w:szCs w:val="24"/>
        </w:rPr>
        <w:t xml:space="preserve"> the initial investment. However, conventional payback analyses normally use net cash flow rather than gross crop revenue; published hydroponic investment studies commonly calculate payback from investment cost relative to net cash flow or longer-term profitability measures (Gumisiriza et al., 2022; </w:t>
      </w:r>
      <w:proofErr w:type="spellStart"/>
      <w:r w:rsidRPr="00E825B8">
        <w:rPr>
          <w:rFonts w:cs="Times New Roman"/>
          <w:szCs w:val="24"/>
        </w:rPr>
        <w:t>Afriyanti</w:t>
      </w:r>
      <w:proofErr w:type="spellEnd"/>
      <w:r w:rsidRPr="00E825B8">
        <w:rPr>
          <w:rFonts w:cs="Times New Roman"/>
          <w:szCs w:val="24"/>
        </w:rPr>
        <w:t xml:space="preserve"> et al., 2024). Therefore, the recovery values reported here are intentionally retained as a gross-revenue capital-recovery indicator and should not be interpreted as conventional net-cash-flow payback periods.</w:t>
      </w:r>
    </w:p>
    <w:p w14:paraId="5B5B650D"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3.7 Economic Trade-offs Among Production Systems</w:t>
      </w:r>
    </w:p>
    <w:p w14:paraId="5C409D68" w14:textId="209F5015" w:rsidR="00FC4B7F" w:rsidRDefault="00E825B8">
      <w:pPr>
        <w:spacing w:after="60"/>
        <w:jc w:val="both"/>
        <w:rPr>
          <w:rFonts w:cs="Times New Roman"/>
          <w:szCs w:val="24"/>
        </w:rPr>
      </w:pPr>
      <w:r>
        <w:rPr>
          <w:rFonts w:cs="Times New Roman"/>
          <w:szCs w:val="24"/>
        </w:rPr>
        <w:tab/>
      </w:r>
      <w:r w:rsidRPr="00E825B8">
        <w:rPr>
          <w:rFonts w:cs="Times New Roman"/>
          <w:szCs w:val="24"/>
        </w:rPr>
        <w:t>The results show why production yield should not be considered in isolation when comparing technologies. NFT produced the highest biomass and gross income and used very little measured water, but its large initial cost basis resulted in the longest calculated recovery period. Container gardening required a much smaller cost basis and therefore reached the recovery threshold more quickly under the study assumptions. Kratky combined low measured water use with passive operation, while conventional farming required substantially more measured irrigation water. These trade-offs are consistent with broader literature showing that soilless systems can improve resource-use efficiency but may require greater infrastructure, technical management, or capital investment (</w:t>
      </w:r>
      <w:proofErr w:type="spellStart"/>
      <w:r w:rsidRPr="00E825B8">
        <w:rPr>
          <w:rFonts w:cs="Times New Roman"/>
          <w:szCs w:val="24"/>
        </w:rPr>
        <w:t>Lakhiar</w:t>
      </w:r>
      <w:proofErr w:type="spellEnd"/>
      <w:r w:rsidRPr="00E825B8">
        <w:rPr>
          <w:rFonts w:cs="Times New Roman"/>
          <w:szCs w:val="24"/>
        </w:rPr>
        <w:t xml:space="preserve"> et al., 2025; Wang et al., 2023). Recent research also shows that hydroponic profitability and resource efficiency are sensitive to system configuration, operating conditions, and nutrient or flow management (El-</w:t>
      </w:r>
      <w:proofErr w:type="spellStart"/>
      <w:r w:rsidRPr="00E825B8">
        <w:rPr>
          <w:rFonts w:cs="Times New Roman"/>
          <w:szCs w:val="24"/>
        </w:rPr>
        <w:t>Demerdash</w:t>
      </w:r>
      <w:proofErr w:type="spellEnd"/>
      <w:r w:rsidRPr="00E825B8">
        <w:rPr>
          <w:rFonts w:cs="Times New Roman"/>
          <w:szCs w:val="24"/>
        </w:rPr>
        <w:t xml:space="preserve"> et al., 2026).</w:t>
      </w:r>
    </w:p>
    <w:p w14:paraId="1ACFF59F" w14:textId="370E8CE2" w:rsidR="000345A6" w:rsidRDefault="000345A6">
      <w:pPr>
        <w:spacing w:after="60"/>
        <w:jc w:val="both"/>
        <w:rPr>
          <w:rFonts w:cs="Times New Roman"/>
          <w:szCs w:val="24"/>
        </w:rPr>
      </w:pPr>
    </w:p>
    <w:p w14:paraId="443F95D0" w14:textId="566332FD" w:rsidR="000345A6" w:rsidRDefault="000345A6">
      <w:pPr>
        <w:spacing w:after="60"/>
        <w:jc w:val="both"/>
        <w:rPr>
          <w:rFonts w:cs="Times New Roman"/>
          <w:szCs w:val="24"/>
        </w:rPr>
      </w:pPr>
    </w:p>
    <w:p w14:paraId="36A7F95D" w14:textId="65163C60" w:rsidR="000345A6" w:rsidRDefault="000345A6">
      <w:pPr>
        <w:spacing w:after="60"/>
        <w:jc w:val="both"/>
        <w:rPr>
          <w:rFonts w:cs="Times New Roman"/>
          <w:szCs w:val="24"/>
        </w:rPr>
      </w:pPr>
    </w:p>
    <w:p w14:paraId="211715AE" w14:textId="0DA76FC8" w:rsidR="000345A6" w:rsidRDefault="000345A6">
      <w:pPr>
        <w:spacing w:after="60"/>
        <w:jc w:val="both"/>
        <w:rPr>
          <w:rFonts w:cs="Times New Roman"/>
          <w:szCs w:val="24"/>
        </w:rPr>
      </w:pPr>
    </w:p>
    <w:p w14:paraId="6B780EA4" w14:textId="77D69240" w:rsidR="000345A6" w:rsidRDefault="000345A6">
      <w:pPr>
        <w:spacing w:after="60"/>
        <w:jc w:val="both"/>
        <w:rPr>
          <w:rFonts w:cs="Times New Roman"/>
          <w:szCs w:val="24"/>
        </w:rPr>
      </w:pPr>
    </w:p>
    <w:p w14:paraId="7DB59802" w14:textId="3A95812F" w:rsidR="000345A6" w:rsidRDefault="000345A6">
      <w:pPr>
        <w:spacing w:after="60"/>
        <w:jc w:val="both"/>
        <w:rPr>
          <w:rFonts w:cs="Times New Roman"/>
          <w:szCs w:val="24"/>
        </w:rPr>
      </w:pPr>
    </w:p>
    <w:p w14:paraId="1489B6AD" w14:textId="0231D315" w:rsidR="000345A6" w:rsidRDefault="000345A6">
      <w:pPr>
        <w:spacing w:after="60"/>
        <w:jc w:val="both"/>
        <w:rPr>
          <w:rFonts w:cs="Times New Roman"/>
          <w:szCs w:val="24"/>
        </w:rPr>
      </w:pPr>
    </w:p>
    <w:p w14:paraId="4C7B8400" w14:textId="3983D6C2" w:rsidR="000345A6" w:rsidRDefault="000345A6">
      <w:pPr>
        <w:spacing w:after="60"/>
        <w:jc w:val="both"/>
        <w:rPr>
          <w:rFonts w:cs="Times New Roman"/>
          <w:szCs w:val="24"/>
        </w:rPr>
      </w:pPr>
    </w:p>
    <w:p w14:paraId="11D2AA65" w14:textId="59DF96F8" w:rsidR="000345A6" w:rsidRDefault="000345A6">
      <w:pPr>
        <w:spacing w:after="60"/>
        <w:jc w:val="both"/>
        <w:rPr>
          <w:rFonts w:cs="Times New Roman"/>
          <w:szCs w:val="24"/>
        </w:rPr>
      </w:pPr>
    </w:p>
    <w:p w14:paraId="71AF7D5C" w14:textId="74692762" w:rsidR="000345A6" w:rsidRDefault="000345A6">
      <w:pPr>
        <w:spacing w:after="60"/>
        <w:jc w:val="both"/>
        <w:rPr>
          <w:rFonts w:cs="Times New Roman"/>
          <w:szCs w:val="24"/>
        </w:rPr>
      </w:pPr>
    </w:p>
    <w:p w14:paraId="0118C946" w14:textId="2EEE40D9" w:rsidR="000345A6" w:rsidRDefault="000345A6">
      <w:pPr>
        <w:spacing w:after="60"/>
        <w:jc w:val="both"/>
        <w:rPr>
          <w:rFonts w:cs="Times New Roman"/>
          <w:szCs w:val="24"/>
        </w:rPr>
      </w:pPr>
    </w:p>
    <w:p w14:paraId="053A8414" w14:textId="30E99792" w:rsidR="000345A6" w:rsidRDefault="000345A6">
      <w:pPr>
        <w:spacing w:after="60"/>
        <w:jc w:val="both"/>
        <w:rPr>
          <w:rFonts w:cs="Times New Roman"/>
          <w:szCs w:val="24"/>
        </w:rPr>
      </w:pPr>
    </w:p>
    <w:p w14:paraId="0C6882E3" w14:textId="2071FB32" w:rsidR="000345A6" w:rsidRDefault="000345A6">
      <w:pPr>
        <w:spacing w:after="60"/>
        <w:jc w:val="both"/>
        <w:rPr>
          <w:rFonts w:cs="Times New Roman"/>
          <w:szCs w:val="24"/>
        </w:rPr>
      </w:pPr>
    </w:p>
    <w:p w14:paraId="4FBE7C40" w14:textId="59B18598" w:rsidR="000345A6" w:rsidRDefault="000345A6">
      <w:pPr>
        <w:spacing w:after="60"/>
        <w:jc w:val="both"/>
        <w:rPr>
          <w:rFonts w:cs="Times New Roman"/>
          <w:szCs w:val="24"/>
        </w:rPr>
      </w:pPr>
    </w:p>
    <w:p w14:paraId="0A5EEE64" w14:textId="77777777" w:rsidR="000345A6" w:rsidRPr="00E825B8" w:rsidRDefault="000345A6">
      <w:pPr>
        <w:spacing w:after="60"/>
        <w:jc w:val="both"/>
        <w:rPr>
          <w:rFonts w:cs="Times New Roman"/>
          <w:szCs w:val="24"/>
        </w:rPr>
      </w:pPr>
    </w:p>
    <w:p w14:paraId="35E37806"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4. Conclusion</w:t>
      </w:r>
    </w:p>
    <w:p w14:paraId="72803E77" w14:textId="286BA278" w:rsidR="00FC4B7F" w:rsidRPr="00E825B8" w:rsidRDefault="00E825B8">
      <w:pPr>
        <w:spacing w:after="60"/>
        <w:jc w:val="both"/>
        <w:rPr>
          <w:rFonts w:cs="Times New Roman"/>
          <w:szCs w:val="24"/>
        </w:rPr>
      </w:pPr>
      <w:r>
        <w:rPr>
          <w:rFonts w:cs="Times New Roman"/>
          <w:szCs w:val="24"/>
        </w:rPr>
        <w:tab/>
      </w:r>
      <w:r w:rsidRPr="00E825B8">
        <w:rPr>
          <w:rFonts w:cs="Times New Roman"/>
          <w:szCs w:val="24"/>
        </w:rPr>
        <w:t>The four lettuce production systems differed in yield, measured water use, production cost, first-cycle economic return, and calculated investment recovery. NFT produced the highest fresh biomass at 133.04 g plant⁻¹ and the highest gross income at ₱46.56 plant⁻¹, but it also had the highest production-cost basis at ₱273.31 plant⁻¹ and the longest calculated recovery period at 5.87 cycles.</w:t>
      </w:r>
    </w:p>
    <w:p w14:paraId="3CE95597" w14:textId="1A36E5AC" w:rsidR="00FC4B7F" w:rsidRPr="00E825B8" w:rsidRDefault="00836FEF">
      <w:pPr>
        <w:spacing w:after="60"/>
        <w:jc w:val="both"/>
        <w:rPr>
          <w:rFonts w:cs="Times New Roman"/>
          <w:szCs w:val="24"/>
        </w:rPr>
      </w:pPr>
      <w:r>
        <w:rPr>
          <w:rFonts w:cs="Times New Roman"/>
          <w:szCs w:val="24"/>
        </w:rPr>
        <w:tab/>
      </w:r>
      <w:r w:rsidRPr="00E825B8">
        <w:rPr>
          <w:rFonts w:cs="Times New Roman"/>
          <w:szCs w:val="24"/>
        </w:rPr>
        <w:t xml:space="preserve">Container gardening had the lowest production-cost basis at ₱29.75 plant⁻¹ and the shortest calculated recovery period at 1.14 cycles. Kratky and NFT reduced measured water </w:t>
      </w:r>
      <w:r w:rsidRPr="00E825B8">
        <w:rPr>
          <w:rFonts w:cs="Times New Roman"/>
          <w:szCs w:val="24"/>
        </w:rPr>
        <w:lastRenderedPageBreak/>
        <w:t>use by approximately 96% compared with the soil-based systems, although NFT required continuous electrical pumping and incurred an estimated electricity cost of ₱2.99 plant⁻¹.</w:t>
      </w:r>
    </w:p>
    <w:p w14:paraId="5E854D28" w14:textId="76EC2174" w:rsidR="00FC4B7F" w:rsidRDefault="00836FEF">
      <w:pPr>
        <w:spacing w:after="60"/>
        <w:jc w:val="both"/>
        <w:rPr>
          <w:rFonts w:cs="Times New Roman"/>
          <w:szCs w:val="24"/>
        </w:rPr>
      </w:pPr>
      <w:r>
        <w:rPr>
          <w:rFonts w:cs="Times New Roman"/>
          <w:szCs w:val="24"/>
        </w:rPr>
        <w:tab/>
      </w:r>
      <w:r w:rsidRPr="00E825B8">
        <w:rPr>
          <w:rFonts w:cs="Times New Roman"/>
          <w:szCs w:val="24"/>
        </w:rPr>
        <w:t>All four systems produced negative first-cycle net income and ROI when the full unit cost basis was charged against the first harvest. Therefore, the reported recovery periods should be interpreted specifically as gross-revenue capital-recovery indicators rather than conventional net-profit or net-cash-flow payback periods. Actual economic performance over multiple cycles would depend on future yields, selling prices, labor, input costs, electricity, maintenance, and other operating conditions.</w:t>
      </w:r>
    </w:p>
    <w:p w14:paraId="5BCC6902" w14:textId="77777777" w:rsidR="000345A6" w:rsidRPr="00E825B8" w:rsidRDefault="000345A6">
      <w:pPr>
        <w:spacing w:after="60"/>
        <w:jc w:val="both"/>
        <w:rPr>
          <w:rFonts w:cs="Times New Roman"/>
          <w:szCs w:val="24"/>
        </w:rPr>
      </w:pPr>
    </w:p>
    <w:p w14:paraId="3AEDE66D"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5. Recommendations</w:t>
      </w:r>
    </w:p>
    <w:p w14:paraId="75A5DCF1" w14:textId="3F529BE5" w:rsidR="00FC4B7F" w:rsidRPr="00E825B8" w:rsidRDefault="00E825B8" w:rsidP="00E825B8">
      <w:pPr>
        <w:spacing w:after="60"/>
        <w:jc w:val="both"/>
        <w:rPr>
          <w:rFonts w:cs="Times New Roman"/>
          <w:szCs w:val="24"/>
        </w:rPr>
      </w:pPr>
      <w:r>
        <w:rPr>
          <w:rFonts w:cs="Times New Roman"/>
          <w:szCs w:val="24"/>
        </w:rPr>
        <w:tab/>
      </w:r>
      <w:r w:rsidRPr="00E825B8">
        <w:rPr>
          <w:rFonts w:cs="Times New Roman"/>
          <w:szCs w:val="24"/>
        </w:rPr>
        <w:t>Evaluate the four systems over several consecutive cropping cycles so that cumulative net income and actual capital recovery can be measured after initial establishment costs have been absorbed.</w:t>
      </w:r>
      <w:r>
        <w:rPr>
          <w:rFonts w:cs="Times New Roman"/>
          <w:szCs w:val="24"/>
        </w:rPr>
        <w:tab/>
        <w:t xml:space="preserve"> </w:t>
      </w:r>
      <w:r w:rsidRPr="00E825B8">
        <w:rPr>
          <w:rFonts w:cs="Times New Roman"/>
          <w:szCs w:val="24"/>
        </w:rPr>
        <w:t>Conduct sensitivity analyses using alternative lettuce selling prices, yields, labor rates, fertilizer and nutrient costs, electricity tariffs, and equipment costs.</w:t>
      </w:r>
      <w:r>
        <w:rPr>
          <w:rFonts w:cs="Times New Roman"/>
          <w:szCs w:val="24"/>
        </w:rPr>
        <w:t xml:space="preserve"> </w:t>
      </w:r>
      <w:r w:rsidRPr="00E825B8">
        <w:rPr>
          <w:rFonts w:cs="Times New Roman"/>
          <w:szCs w:val="24"/>
        </w:rPr>
        <w:t xml:space="preserve">For NFT systems, evaluate energy-efficient or </w:t>
      </w:r>
      <w:r>
        <w:rPr>
          <w:rFonts w:cs="Times New Roman"/>
          <w:szCs w:val="24"/>
        </w:rPr>
        <w:t>well-designed solar-powered pumping options and determine their impact on operating costs</w:t>
      </w:r>
      <w:r w:rsidRPr="00E825B8">
        <w:rPr>
          <w:rFonts w:cs="Times New Roman"/>
          <w:szCs w:val="24"/>
        </w:rPr>
        <w:t xml:space="preserve"> and investment recovery.</w:t>
      </w:r>
      <w:r>
        <w:rPr>
          <w:rFonts w:cs="Times New Roman"/>
          <w:szCs w:val="24"/>
        </w:rPr>
        <w:t xml:space="preserve"> </w:t>
      </w:r>
      <w:r w:rsidRPr="00E825B8">
        <w:rPr>
          <w:rFonts w:cs="Times New Roman"/>
          <w:szCs w:val="24"/>
        </w:rPr>
        <w:t>Repeat the comparison across additional seasons and production environments to determine how tropical temperature, rainfall, and greenhouse conditions affect system performance.</w:t>
      </w:r>
    </w:p>
    <w:p w14:paraId="5DC65A89" w14:textId="77777777" w:rsidR="00FC4B7F" w:rsidRPr="00E825B8" w:rsidRDefault="00000000">
      <w:pPr>
        <w:pStyle w:val="Heading1"/>
        <w:spacing w:after="60"/>
        <w:rPr>
          <w:rFonts w:ascii="Times New Roman" w:hAnsi="Times New Roman" w:cs="Times New Roman"/>
          <w:sz w:val="24"/>
          <w:szCs w:val="24"/>
        </w:rPr>
      </w:pPr>
      <w:r w:rsidRPr="00E825B8">
        <w:rPr>
          <w:rFonts w:ascii="Times New Roman" w:hAnsi="Times New Roman" w:cs="Times New Roman"/>
          <w:sz w:val="24"/>
          <w:szCs w:val="24"/>
        </w:rPr>
        <w:t>Competing Interests</w:t>
      </w:r>
    </w:p>
    <w:p w14:paraId="1D8C2020" w14:textId="49AD890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The author declares that no competing interests exist.</w:t>
      </w:r>
    </w:p>
    <w:p w14:paraId="500093AE" w14:textId="77777777" w:rsidR="00FC4B7F" w:rsidRPr="00E825B8" w:rsidRDefault="00000000">
      <w:pPr>
        <w:pStyle w:val="Heading1"/>
        <w:spacing w:after="60"/>
        <w:rPr>
          <w:rFonts w:ascii="Times New Roman" w:hAnsi="Times New Roman" w:cs="Times New Roman"/>
          <w:sz w:val="24"/>
          <w:szCs w:val="24"/>
        </w:rPr>
      </w:pPr>
      <w:r w:rsidRPr="00E825B8">
        <w:rPr>
          <w:rFonts w:ascii="Times New Roman" w:hAnsi="Times New Roman" w:cs="Times New Roman"/>
          <w:sz w:val="24"/>
          <w:szCs w:val="24"/>
        </w:rPr>
        <w:t>Ethical Approval</w:t>
      </w:r>
    </w:p>
    <w:p w14:paraId="412E51F4" w14:textId="66950BB4" w:rsidR="00FC4B7F" w:rsidRDefault="00E825B8">
      <w:pPr>
        <w:spacing w:after="60"/>
        <w:jc w:val="both"/>
        <w:rPr>
          <w:rFonts w:cs="Times New Roman"/>
          <w:szCs w:val="24"/>
        </w:rPr>
      </w:pPr>
      <w:r>
        <w:rPr>
          <w:rFonts w:cs="Times New Roman"/>
          <w:szCs w:val="24"/>
        </w:rPr>
        <w:tab/>
      </w:r>
      <w:r w:rsidRPr="00E825B8">
        <w:rPr>
          <w:rFonts w:cs="Times New Roman"/>
          <w:szCs w:val="24"/>
        </w:rPr>
        <w:t>Not applicable. The study involved plant production and did not involve human or animal subjects.</w:t>
      </w:r>
    </w:p>
    <w:p w14:paraId="6A9A4942" w14:textId="77777777" w:rsidR="00DF4E2C" w:rsidRDefault="00DF4E2C" w:rsidP="00DF4E2C">
      <w:pPr>
        <w:spacing w:after="0"/>
        <w:rPr>
          <w:rFonts w:cs="Times New Roman"/>
          <w:b/>
        </w:rPr>
      </w:pPr>
      <w:r w:rsidRPr="000839CE">
        <w:rPr>
          <w:rFonts w:cs="Times New Roman"/>
          <w:b/>
        </w:rPr>
        <w:t>Declaration of AI Use</w:t>
      </w:r>
    </w:p>
    <w:p w14:paraId="3BF95373" w14:textId="77777777" w:rsidR="00DF4E2C" w:rsidRDefault="00DF4E2C" w:rsidP="00DF4E2C">
      <w:pPr>
        <w:spacing w:after="0"/>
        <w:rPr>
          <w:rFonts w:cs="Times New Roman"/>
          <w:b/>
        </w:rPr>
      </w:pPr>
    </w:p>
    <w:p w14:paraId="670340E3" w14:textId="77777777" w:rsidR="00DF4E2C" w:rsidRDefault="00DF4E2C" w:rsidP="00DF4E2C">
      <w:pPr>
        <w:spacing w:after="0"/>
        <w:rPr>
          <w:rFonts w:cs="Times New Roman"/>
          <w:b/>
        </w:rPr>
      </w:pPr>
    </w:p>
    <w:p w14:paraId="02DD23B4" w14:textId="77777777" w:rsidR="00DF4E2C" w:rsidRDefault="00DF4E2C" w:rsidP="00DF4E2C">
      <w:pPr>
        <w:spacing w:after="0"/>
        <w:rPr>
          <w:rFonts w:cs="Times New Roman"/>
          <w:b/>
        </w:rPr>
      </w:pPr>
    </w:p>
    <w:p w14:paraId="78AF5EB1" w14:textId="77777777" w:rsidR="00DF4E2C" w:rsidRPr="002D08AC" w:rsidRDefault="00DF4E2C" w:rsidP="00DF4E2C">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EEED6CC" w14:textId="4BE553F5" w:rsidR="00E825B8" w:rsidRDefault="00E825B8">
      <w:pPr>
        <w:spacing w:after="60"/>
        <w:jc w:val="both"/>
        <w:rPr>
          <w:rFonts w:cs="Times New Roman"/>
          <w:szCs w:val="24"/>
        </w:rPr>
      </w:pPr>
    </w:p>
    <w:p w14:paraId="37D2BCDD" w14:textId="2AA4427A" w:rsidR="000345A6" w:rsidRDefault="000345A6">
      <w:pPr>
        <w:spacing w:after="60"/>
        <w:jc w:val="both"/>
        <w:rPr>
          <w:rFonts w:cs="Times New Roman"/>
          <w:szCs w:val="24"/>
        </w:rPr>
      </w:pPr>
    </w:p>
    <w:p w14:paraId="7A971424" w14:textId="10EC9068" w:rsidR="000345A6" w:rsidRDefault="000345A6">
      <w:pPr>
        <w:spacing w:after="60"/>
        <w:jc w:val="both"/>
        <w:rPr>
          <w:rFonts w:cs="Times New Roman"/>
          <w:szCs w:val="24"/>
        </w:rPr>
      </w:pPr>
    </w:p>
    <w:p w14:paraId="5E6CABD6" w14:textId="77777777" w:rsidR="000345A6" w:rsidRDefault="000345A6">
      <w:pPr>
        <w:spacing w:after="60"/>
        <w:jc w:val="both"/>
        <w:rPr>
          <w:rFonts w:cs="Times New Roman"/>
          <w:szCs w:val="24"/>
        </w:rPr>
      </w:pPr>
    </w:p>
    <w:p w14:paraId="290ACC04" w14:textId="0A092A94" w:rsidR="00FC4B7F"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References</w:t>
      </w:r>
    </w:p>
    <w:p w14:paraId="1CB33095" w14:textId="77777777" w:rsidR="000345A6" w:rsidRPr="000345A6" w:rsidRDefault="000345A6" w:rsidP="000345A6"/>
    <w:p w14:paraId="1E418F25" w14:textId="77777777" w:rsidR="00FC4B7F" w:rsidRPr="00E825B8" w:rsidRDefault="00000000" w:rsidP="00E825B8">
      <w:pPr>
        <w:spacing w:after="60"/>
        <w:ind w:left="432" w:hanging="432"/>
        <w:jc w:val="both"/>
        <w:rPr>
          <w:rFonts w:cs="Times New Roman"/>
          <w:szCs w:val="24"/>
        </w:rPr>
      </w:pPr>
      <w:proofErr w:type="spellStart"/>
      <w:r w:rsidRPr="00E825B8">
        <w:rPr>
          <w:rFonts w:cs="Times New Roman"/>
          <w:szCs w:val="24"/>
        </w:rPr>
        <w:t>Afriyanti</w:t>
      </w:r>
      <w:proofErr w:type="spellEnd"/>
      <w:r w:rsidRPr="00E825B8">
        <w:rPr>
          <w:rFonts w:cs="Times New Roman"/>
          <w:szCs w:val="24"/>
        </w:rPr>
        <w:t xml:space="preserve">, A., </w:t>
      </w:r>
      <w:proofErr w:type="spellStart"/>
      <w:r w:rsidRPr="00E825B8">
        <w:rPr>
          <w:rFonts w:cs="Times New Roman"/>
          <w:szCs w:val="24"/>
        </w:rPr>
        <w:t>Kurniati</w:t>
      </w:r>
      <w:proofErr w:type="spellEnd"/>
      <w:r w:rsidRPr="00E825B8">
        <w:rPr>
          <w:rFonts w:cs="Times New Roman"/>
          <w:szCs w:val="24"/>
        </w:rPr>
        <w:t xml:space="preserve">, N., </w:t>
      </w:r>
      <w:proofErr w:type="spellStart"/>
      <w:r w:rsidRPr="00E825B8">
        <w:rPr>
          <w:rFonts w:cs="Times New Roman"/>
          <w:szCs w:val="24"/>
        </w:rPr>
        <w:t>Efrita</w:t>
      </w:r>
      <w:proofErr w:type="spellEnd"/>
      <w:r w:rsidRPr="00E825B8">
        <w:rPr>
          <w:rFonts w:cs="Times New Roman"/>
          <w:szCs w:val="24"/>
        </w:rPr>
        <w:t xml:space="preserve">, E., &amp; Mutmainnah, E. (2024). </w:t>
      </w:r>
      <w:proofErr w:type="spellStart"/>
      <w:r w:rsidRPr="00E825B8">
        <w:rPr>
          <w:rFonts w:cs="Times New Roman"/>
          <w:szCs w:val="24"/>
        </w:rPr>
        <w:t>Pengembalian</w:t>
      </w:r>
      <w:proofErr w:type="spellEnd"/>
      <w:r w:rsidRPr="00E825B8">
        <w:rPr>
          <w:rFonts w:cs="Times New Roman"/>
          <w:szCs w:val="24"/>
        </w:rPr>
        <w:t xml:space="preserve"> </w:t>
      </w:r>
      <w:proofErr w:type="spellStart"/>
      <w:r w:rsidRPr="00E825B8">
        <w:rPr>
          <w:rFonts w:cs="Times New Roman"/>
          <w:szCs w:val="24"/>
        </w:rPr>
        <w:t>investasi</w:t>
      </w:r>
      <w:proofErr w:type="spellEnd"/>
      <w:r w:rsidRPr="00E825B8">
        <w:rPr>
          <w:rFonts w:cs="Times New Roman"/>
          <w:szCs w:val="24"/>
        </w:rPr>
        <w:t xml:space="preserve"> pada </w:t>
      </w:r>
      <w:proofErr w:type="spellStart"/>
      <w:r w:rsidRPr="00E825B8">
        <w:rPr>
          <w:rFonts w:cs="Times New Roman"/>
          <w:szCs w:val="24"/>
        </w:rPr>
        <w:t>usahatani</w:t>
      </w:r>
      <w:proofErr w:type="spellEnd"/>
      <w:r w:rsidRPr="00E825B8">
        <w:rPr>
          <w:rFonts w:cs="Times New Roman"/>
          <w:szCs w:val="24"/>
        </w:rPr>
        <w:t xml:space="preserve"> </w:t>
      </w:r>
      <w:proofErr w:type="spellStart"/>
      <w:r w:rsidRPr="00E825B8">
        <w:rPr>
          <w:rFonts w:cs="Times New Roman"/>
          <w:szCs w:val="24"/>
        </w:rPr>
        <w:t>selada</w:t>
      </w:r>
      <w:proofErr w:type="spellEnd"/>
      <w:r w:rsidRPr="00E825B8">
        <w:rPr>
          <w:rFonts w:cs="Times New Roman"/>
          <w:szCs w:val="24"/>
        </w:rPr>
        <w:t xml:space="preserve"> </w:t>
      </w:r>
      <w:proofErr w:type="spellStart"/>
      <w:r w:rsidRPr="00E825B8">
        <w:rPr>
          <w:rFonts w:cs="Times New Roman"/>
          <w:szCs w:val="24"/>
        </w:rPr>
        <w:t>hidroponik</w:t>
      </w:r>
      <w:proofErr w:type="spellEnd"/>
      <w:r w:rsidRPr="00E825B8">
        <w:rPr>
          <w:rFonts w:cs="Times New Roman"/>
          <w:szCs w:val="24"/>
        </w:rPr>
        <w:t xml:space="preserve"> </w:t>
      </w:r>
      <w:proofErr w:type="spellStart"/>
      <w:r w:rsidRPr="00E825B8">
        <w:rPr>
          <w:rFonts w:cs="Times New Roman"/>
          <w:szCs w:val="24"/>
        </w:rPr>
        <w:t>dengan</w:t>
      </w:r>
      <w:proofErr w:type="spellEnd"/>
      <w:r w:rsidRPr="00E825B8">
        <w:rPr>
          <w:rFonts w:cs="Times New Roman"/>
          <w:szCs w:val="24"/>
        </w:rPr>
        <w:t xml:space="preserve"> </w:t>
      </w:r>
      <w:proofErr w:type="spellStart"/>
      <w:r w:rsidRPr="00E825B8">
        <w:rPr>
          <w:rFonts w:cs="Times New Roman"/>
          <w:szCs w:val="24"/>
        </w:rPr>
        <w:t>metode</w:t>
      </w:r>
      <w:proofErr w:type="spellEnd"/>
      <w:r w:rsidRPr="00E825B8">
        <w:rPr>
          <w:rFonts w:cs="Times New Roman"/>
          <w:szCs w:val="24"/>
        </w:rPr>
        <w:t xml:space="preserve"> Deep Flow Technique (DFT) dan Nutrient Film Technique (NFT). JIA (</w:t>
      </w:r>
      <w:proofErr w:type="spellStart"/>
      <w:r w:rsidRPr="00E825B8">
        <w:rPr>
          <w:rFonts w:cs="Times New Roman"/>
          <w:szCs w:val="24"/>
        </w:rPr>
        <w:t>Jurnal</w:t>
      </w:r>
      <w:proofErr w:type="spellEnd"/>
      <w:r w:rsidRPr="00E825B8">
        <w:rPr>
          <w:rFonts w:cs="Times New Roman"/>
          <w:szCs w:val="24"/>
        </w:rPr>
        <w:t xml:space="preserve"> </w:t>
      </w:r>
      <w:proofErr w:type="spellStart"/>
      <w:r w:rsidRPr="00E825B8">
        <w:rPr>
          <w:rFonts w:cs="Times New Roman"/>
          <w:szCs w:val="24"/>
        </w:rPr>
        <w:t>Ilmiah</w:t>
      </w:r>
      <w:proofErr w:type="spellEnd"/>
      <w:r w:rsidRPr="00E825B8">
        <w:rPr>
          <w:rFonts w:cs="Times New Roman"/>
          <w:szCs w:val="24"/>
        </w:rPr>
        <w:t xml:space="preserve"> Agribisnis): </w:t>
      </w:r>
      <w:proofErr w:type="spellStart"/>
      <w:r w:rsidRPr="00E825B8">
        <w:rPr>
          <w:rFonts w:cs="Times New Roman"/>
          <w:szCs w:val="24"/>
        </w:rPr>
        <w:t>Jurnal</w:t>
      </w:r>
      <w:proofErr w:type="spellEnd"/>
      <w:r w:rsidRPr="00E825B8">
        <w:rPr>
          <w:rFonts w:cs="Times New Roman"/>
          <w:szCs w:val="24"/>
        </w:rPr>
        <w:t xml:space="preserve"> </w:t>
      </w:r>
      <w:proofErr w:type="spellStart"/>
      <w:r w:rsidRPr="00E825B8">
        <w:rPr>
          <w:rFonts w:cs="Times New Roman"/>
          <w:szCs w:val="24"/>
        </w:rPr>
        <w:t>Agribisnis</w:t>
      </w:r>
      <w:proofErr w:type="spellEnd"/>
      <w:r w:rsidRPr="00E825B8">
        <w:rPr>
          <w:rFonts w:cs="Times New Roman"/>
          <w:szCs w:val="24"/>
        </w:rPr>
        <w:t xml:space="preserve"> dan </w:t>
      </w:r>
      <w:proofErr w:type="spellStart"/>
      <w:r w:rsidRPr="00E825B8">
        <w:rPr>
          <w:rFonts w:cs="Times New Roman"/>
          <w:szCs w:val="24"/>
        </w:rPr>
        <w:t>Ilmu</w:t>
      </w:r>
      <w:proofErr w:type="spellEnd"/>
      <w:r w:rsidRPr="00E825B8">
        <w:rPr>
          <w:rFonts w:cs="Times New Roman"/>
          <w:szCs w:val="24"/>
        </w:rPr>
        <w:t xml:space="preserve"> </w:t>
      </w:r>
      <w:proofErr w:type="spellStart"/>
      <w:r w:rsidRPr="00E825B8">
        <w:rPr>
          <w:rFonts w:cs="Times New Roman"/>
          <w:szCs w:val="24"/>
        </w:rPr>
        <w:t>Sosial</w:t>
      </w:r>
      <w:proofErr w:type="spellEnd"/>
      <w:r w:rsidRPr="00E825B8">
        <w:rPr>
          <w:rFonts w:cs="Times New Roman"/>
          <w:szCs w:val="24"/>
        </w:rPr>
        <w:t xml:space="preserve"> Ekonomi Pertanian, 9(4), 381–390. https://doi.org/10.37149/jia.v9i4.1425</w:t>
      </w:r>
    </w:p>
    <w:p w14:paraId="541D422D" w14:textId="77777777" w:rsidR="00FC4B7F" w:rsidRPr="00E825B8" w:rsidRDefault="00000000" w:rsidP="00E825B8">
      <w:pPr>
        <w:spacing w:after="60"/>
        <w:ind w:left="432" w:hanging="432"/>
        <w:jc w:val="both"/>
        <w:rPr>
          <w:rFonts w:cs="Times New Roman"/>
          <w:szCs w:val="24"/>
        </w:rPr>
      </w:pPr>
      <w:r w:rsidRPr="00E825B8">
        <w:rPr>
          <w:rFonts w:cs="Times New Roman"/>
          <w:szCs w:val="24"/>
        </w:rPr>
        <w:t xml:space="preserve">Barbosa, G. L., Gadelha, F. D. A., </w:t>
      </w:r>
      <w:proofErr w:type="spellStart"/>
      <w:r w:rsidRPr="00E825B8">
        <w:rPr>
          <w:rFonts w:cs="Times New Roman"/>
          <w:szCs w:val="24"/>
        </w:rPr>
        <w:t>Kublik</w:t>
      </w:r>
      <w:proofErr w:type="spellEnd"/>
      <w:r w:rsidRPr="00E825B8">
        <w:rPr>
          <w:rFonts w:cs="Times New Roman"/>
          <w:szCs w:val="24"/>
        </w:rPr>
        <w:t xml:space="preserve">, N., Proctor, A., </w:t>
      </w:r>
      <w:proofErr w:type="spellStart"/>
      <w:r w:rsidRPr="00E825B8">
        <w:rPr>
          <w:rFonts w:cs="Times New Roman"/>
          <w:szCs w:val="24"/>
        </w:rPr>
        <w:t>Reichelm</w:t>
      </w:r>
      <w:proofErr w:type="spellEnd"/>
      <w:r w:rsidRPr="00E825B8">
        <w:rPr>
          <w:rFonts w:cs="Times New Roman"/>
          <w:szCs w:val="24"/>
        </w:rPr>
        <w:t>, L., Weissinger, E., et al. (2015). Comparison of land, water, and energy requirements of lettuce grown using hydroponic vs. conventional agricultural methods. International Journal of Environmental Research and Public Health, 12(6), 6879–6891. https://doi.org/10.3390/ijerph120606879</w:t>
      </w:r>
    </w:p>
    <w:p w14:paraId="018099FC" w14:textId="77777777" w:rsidR="00FC4B7F" w:rsidRPr="00E825B8" w:rsidRDefault="00000000" w:rsidP="00E825B8">
      <w:pPr>
        <w:spacing w:after="60"/>
        <w:ind w:left="432" w:hanging="432"/>
        <w:jc w:val="both"/>
        <w:rPr>
          <w:rFonts w:cs="Times New Roman"/>
          <w:szCs w:val="24"/>
        </w:rPr>
      </w:pPr>
      <w:proofErr w:type="spellStart"/>
      <w:r w:rsidRPr="00E825B8">
        <w:rPr>
          <w:rFonts w:cs="Times New Roman"/>
          <w:szCs w:val="24"/>
        </w:rPr>
        <w:t>Carabio</w:t>
      </w:r>
      <w:proofErr w:type="spellEnd"/>
      <w:r w:rsidRPr="00E825B8">
        <w:rPr>
          <w:rFonts w:cs="Times New Roman"/>
          <w:szCs w:val="24"/>
        </w:rPr>
        <w:t>, D. E., Pascual, V. U., Abello, N. F. H., Rondina, M. E., &amp; Pascual, P. R. L. (2021). Combined application of fermented bamboo (</w:t>
      </w:r>
      <w:r w:rsidRPr="00836FEF">
        <w:rPr>
          <w:rFonts w:cs="Times New Roman"/>
          <w:i/>
          <w:iCs/>
          <w:szCs w:val="24"/>
        </w:rPr>
        <w:t>Bambusa spinosa</w:t>
      </w:r>
      <w:r w:rsidRPr="00E825B8">
        <w:rPr>
          <w:rFonts w:cs="Times New Roman"/>
          <w:szCs w:val="24"/>
        </w:rPr>
        <w:t>) and mollusk (</w:t>
      </w:r>
      <w:r w:rsidRPr="00E825B8">
        <w:rPr>
          <w:rFonts w:cs="Times New Roman"/>
          <w:i/>
          <w:iCs/>
          <w:szCs w:val="24"/>
        </w:rPr>
        <w:t>Achatina fulica</w:t>
      </w:r>
      <w:r w:rsidRPr="00E825B8">
        <w:rPr>
          <w:rFonts w:cs="Times New Roman"/>
          <w:szCs w:val="24"/>
        </w:rPr>
        <w:t xml:space="preserve">) liquid fertilizer can </w:t>
      </w:r>
      <w:proofErr w:type="gramStart"/>
      <w:r w:rsidRPr="00E825B8">
        <w:rPr>
          <w:rFonts w:cs="Times New Roman"/>
          <w:szCs w:val="24"/>
        </w:rPr>
        <w:t>improved</w:t>
      </w:r>
      <w:proofErr w:type="gramEnd"/>
      <w:r w:rsidRPr="00E825B8">
        <w:rPr>
          <w:rFonts w:cs="Times New Roman"/>
          <w:szCs w:val="24"/>
        </w:rPr>
        <w:t xml:space="preserve"> lettuce (</w:t>
      </w:r>
      <w:r w:rsidRPr="00E825B8">
        <w:rPr>
          <w:rFonts w:cs="Times New Roman"/>
          <w:i/>
          <w:iCs/>
          <w:szCs w:val="24"/>
        </w:rPr>
        <w:t>Lactuca sativa</w:t>
      </w:r>
      <w:r w:rsidRPr="00E825B8">
        <w:rPr>
          <w:rFonts w:cs="Times New Roman"/>
          <w:szCs w:val="24"/>
        </w:rPr>
        <w:t xml:space="preserve"> var. Curly Green) production. </w:t>
      </w:r>
      <w:r w:rsidRPr="00E825B8">
        <w:rPr>
          <w:rFonts w:cs="Times New Roman"/>
          <w:szCs w:val="24"/>
        </w:rPr>
        <w:lastRenderedPageBreak/>
        <w:t>Plant Cell Biotechnology and Molecular Biology, 22(3–4), 56–64. https://ikprress.org/index.php/PCBMB/article/view/5855</w:t>
      </w:r>
    </w:p>
    <w:p w14:paraId="3D9FFFA9" w14:textId="2740C317" w:rsidR="00FC4B7F" w:rsidRPr="00E825B8" w:rsidRDefault="00000000" w:rsidP="00E825B8">
      <w:pPr>
        <w:spacing w:after="60"/>
        <w:ind w:left="432" w:hanging="432"/>
        <w:jc w:val="both"/>
        <w:rPr>
          <w:rFonts w:cs="Times New Roman"/>
          <w:szCs w:val="24"/>
        </w:rPr>
      </w:pPr>
      <w:r w:rsidRPr="00E825B8">
        <w:rPr>
          <w:rFonts w:cs="Times New Roman"/>
          <w:szCs w:val="24"/>
        </w:rPr>
        <w:t xml:space="preserve">Chowdhury, M., Samarakoon, U. C., &amp; Altland, J. E. (2024). Evaluation of hydroponic systems for organic lettuce production in </w:t>
      </w:r>
      <w:r w:rsidR="00E825B8">
        <w:rPr>
          <w:rFonts w:cs="Times New Roman"/>
          <w:szCs w:val="24"/>
        </w:rPr>
        <w:t xml:space="preserve">a </w:t>
      </w:r>
      <w:r w:rsidRPr="00E825B8">
        <w:rPr>
          <w:rFonts w:cs="Times New Roman"/>
          <w:szCs w:val="24"/>
        </w:rPr>
        <w:t>controlled environment. Frontiers in Plant Science, 15, 1401089. https://doi.org/10.3389/fpls.2024.1401089</w:t>
      </w:r>
    </w:p>
    <w:p w14:paraId="3E1FC931" w14:textId="77777777" w:rsidR="00FC4B7F" w:rsidRPr="00E825B8" w:rsidRDefault="00000000" w:rsidP="00E825B8">
      <w:pPr>
        <w:spacing w:after="60"/>
        <w:ind w:left="432" w:hanging="432"/>
        <w:jc w:val="both"/>
        <w:rPr>
          <w:rFonts w:cs="Times New Roman"/>
          <w:szCs w:val="24"/>
        </w:rPr>
      </w:pPr>
      <w:r w:rsidRPr="00E825B8">
        <w:rPr>
          <w:rFonts w:cs="Times New Roman"/>
          <w:szCs w:val="24"/>
        </w:rPr>
        <w:t>El-</w:t>
      </w:r>
      <w:proofErr w:type="spellStart"/>
      <w:r w:rsidRPr="00E825B8">
        <w:rPr>
          <w:rFonts w:cs="Times New Roman"/>
          <w:szCs w:val="24"/>
        </w:rPr>
        <w:t>Demerdash</w:t>
      </w:r>
      <w:proofErr w:type="spellEnd"/>
      <w:r w:rsidRPr="00E825B8">
        <w:rPr>
          <w:rFonts w:cs="Times New Roman"/>
          <w:szCs w:val="24"/>
        </w:rPr>
        <w:t xml:space="preserve">, D. I., Morad, M. M., </w:t>
      </w:r>
      <w:proofErr w:type="spellStart"/>
      <w:r w:rsidRPr="00E825B8">
        <w:rPr>
          <w:rFonts w:cs="Times New Roman"/>
          <w:szCs w:val="24"/>
        </w:rPr>
        <w:t>Wasfy</w:t>
      </w:r>
      <w:proofErr w:type="spellEnd"/>
      <w:r w:rsidRPr="00E825B8">
        <w:rPr>
          <w:rFonts w:cs="Times New Roman"/>
          <w:szCs w:val="24"/>
        </w:rPr>
        <w:t xml:space="preserve">, K. I., Hamed, L. M. M., &amp; </w:t>
      </w:r>
      <w:proofErr w:type="spellStart"/>
      <w:r w:rsidRPr="00E825B8">
        <w:rPr>
          <w:rFonts w:cs="Times New Roman"/>
          <w:szCs w:val="24"/>
        </w:rPr>
        <w:t>Moursy</w:t>
      </w:r>
      <w:proofErr w:type="spellEnd"/>
      <w:r w:rsidRPr="00E825B8">
        <w:rPr>
          <w:rFonts w:cs="Times New Roman"/>
          <w:szCs w:val="24"/>
        </w:rPr>
        <w:t>, M. A. M. (2026). Aeroponic and NFT system optimization for lettuce: Effects of flow rate and nutrient source on water use efficiency, growth, and profitability. Scientific Reports, 16, 14292. https://doi.org/10.1038/s41598-026-41347-z</w:t>
      </w:r>
    </w:p>
    <w:p w14:paraId="64763716" w14:textId="70B844F6" w:rsidR="00FC4B7F" w:rsidRPr="00E825B8" w:rsidRDefault="00000000" w:rsidP="00E825B8">
      <w:pPr>
        <w:spacing w:after="60"/>
        <w:ind w:left="432" w:hanging="432"/>
        <w:jc w:val="both"/>
        <w:rPr>
          <w:rFonts w:cs="Times New Roman"/>
          <w:szCs w:val="24"/>
        </w:rPr>
      </w:pPr>
      <w:r w:rsidRPr="00E825B8">
        <w:rPr>
          <w:rFonts w:cs="Times New Roman"/>
          <w:szCs w:val="24"/>
        </w:rPr>
        <w:t xml:space="preserve">Gruda, N. (2019). Increasing </w:t>
      </w:r>
      <w:r w:rsidR="00E825B8">
        <w:rPr>
          <w:rFonts w:cs="Times New Roman"/>
          <w:szCs w:val="24"/>
        </w:rPr>
        <w:t xml:space="preserve">the </w:t>
      </w:r>
      <w:r w:rsidRPr="00E825B8">
        <w:rPr>
          <w:rFonts w:cs="Times New Roman"/>
          <w:szCs w:val="24"/>
        </w:rPr>
        <w:t>sustainability of growing media constituents and stand-alone substrates in soilless culture systems. Agronomy, 9(6), 298. https://doi.org/10.3390/agronomy9060298</w:t>
      </w:r>
    </w:p>
    <w:p w14:paraId="262C427A" w14:textId="77777777" w:rsidR="00FC4B7F" w:rsidRPr="00E825B8" w:rsidRDefault="00000000" w:rsidP="00E825B8">
      <w:pPr>
        <w:spacing w:after="60"/>
        <w:ind w:left="432" w:hanging="432"/>
        <w:jc w:val="both"/>
        <w:rPr>
          <w:rFonts w:cs="Times New Roman"/>
          <w:szCs w:val="24"/>
        </w:rPr>
      </w:pPr>
      <w:r w:rsidRPr="00E825B8">
        <w:rPr>
          <w:rFonts w:cs="Times New Roman"/>
          <w:szCs w:val="24"/>
        </w:rPr>
        <w:t xml:space="preserve">Gumisiriza, M. S., </w:t>
      </w:r>
      <w:proofErr w:type="spellStart"/>
      <w:r w:rsidRPr="00E825B8">
        <w:rPr>
          <w:rFonts w:cs="Times New Roman"/>
          <w:szCs w:val="24"/>
        </w:rPr>
        <w:t>Ndakidemi</w:t>
      </w:r>
      <w:proofErr w:type="spellEnd"/>
      <w:r w:rsidRPr="00E825B8">
        <w:rPr>
          <w:rFonts w:cs="Times New Roman"/>
          <w:szCs w:val="24"/>
        </w:rPr>
        <w:t xml:space="preserve">, P. A., &amp; </w:t>
      </w:r>
      <w:proofErr w:type="spellStart"/>
      <w:r w:rsidRPr="00E825B8">
        <w:rPr>
          <w:rFonts w:cs="Times New Roman"/>
          <w:szCs w:val="24"/>
        </w:rPr>
        <w:t>Mbega</w:t>
      </w:r>
      <w:proofErr w:type="spellEnd"/>
      <w:r w:rsidRPr="00E825B8">
        <w:rPr>
          <w:rFonts w:cs="Times New Roman"/>
          <w:szCs w:val="24"/>
        </w:rPr>
        <w:t xml:space="preserve">, E. R. (2022). A simplified non-greenhouse hydroponic system for small-scale soilless urban vegetable farming. </w:t>
      </w:r>
      <w:proofErr w:type="spellStart"/>
      <w:r w:rsidRPr="00E825B8">
        <w:rPr>
          <w:rFonts w:cs="Times New Roman"/>
          <w:szCs w:val="24"/>
        </w:rPr>
        <w:t>MethodsX</w:t>
      </w:r>
      <w:proofErr w:type="spellEnd"/>
      <w:r w:rsidRPr="00E825B8">
        <w:rPr>
          <w:rFonts w:cs="Times New Roman"/>
          <w:szCs w:val="24"/>
        </w:rPr>
        <w:t>, 9, 101882. https://doi.org/10.1016/j.mex.2022.101882</w:t>
      </w:r>
    </w:p>
    <w:p w14:paraId="0AFF02FD" w14:textId="77777777" w:rsidR="00FC4B7F" w:rsidRPr="00E825B8" w:rsidRDefault="00000000" w:rsidP="00E825B8">
      <w:pPr>
        <w:spacing w:after="60"/>
        <w:ind w:left="432" w:hanging="432"/>
        <w:jc w:val="both"/>
        <w:rPr>
          <w:rFonts w:cs="Times New Roman"/>
          <w:szCs w:val="24"/>
        </w:rPr>
      </w:pPr>
      <w:r w:rsidRPr="00E825B8">
        <w:rPr>
          <w:rFonts w:cs="Times New Roman"/>
          <w:szCs w:val="24"/>
        </w:rPr>
        <w:t xml:space="preserve">Jarrar, E., Hasan, A. R., </w:t>
      </w:r>
      <w:proofErr w:type="spellStart"/>
      <w:r w:rsidRPr="00E825B8">
        <w:rPr>
          <w:rFonts w:cs="Times New Roman"/>
          <w:szCs w:val="24"/>
        </w:rPr>
        <w:t>Alimari</w:t>
      </w:r>
      <w:proofErr w:type="spellEnd"/>
      <w:r w:rsidRPr="00E825B8">
        <w:rPr>
          <w:rFonts w:cs="Times New Roman"/>
          <w:szCs w:val="24"/>
        </w:rPr>
        <w:t>, A., &amp; Saleh, M. (2022). Water and fertilizer use efficiency of lettuce plants cultivated in soilless conditions under different irrigation systems. Desalination and Water Treatment, 275, 184–195. https://doi.org/10.5004/dwt.2022.28868</w:t>
      </w:r>
    </w:p>
    <w:p w14:paraId="74224E04" w14:textId="77777777" w:rsidR="00FC4B7F" w:rsidRPr="00E825B8" w:rsidRDefault="00000000" w:rsidP="00E825B8">
      <w:pPr>
        <w:spacing w:after="60"/>
        <w:ind w:left="432" w:hanging="432"/>
        <w:jc w:val="both"/>
        <w:rPr>
          <w:rFonts w:cs="Times New Roman"/>
          <w:szCs w:val="24"/>
        </w:rPr>
      </w:pPr>
      <w:r w:rsidRPr="00E825B8">
        <w:rPr>
          <w:rFonts w:cs="Times New Roman"/>
          <w:szCs w:val="24"/>
        </w:rPr>
        <w:t>Kratky, B. A. (2005). Growing lettuce in non-aerated, non-circulated hydroponic systems. Journal of Vegetable Science, 11(2), 35–42. https://doi.org/10.1300/J484v11n02_04</w:t>
      </w:r>
    </w:p>
    <w:p w14:paraId="6317F2CD" w14:textId="77777777" w:rsidR="00FC4B7F" w:rsidRPr="00E825B8" w:rsidRDefault="00000000" w:rsidP="00E825B8">
      <w:pPr>
        <w:spacing w:after="60"/>
        <w:ind w:left="432" w:hanging="432"/>
        <w:jc w:val="both"/>
        <w:rPr>
          <w:rFonts w:cs="Times New Roman"/>
          <w:szCs w:val="24"/>
        </w:rPr>
      </w:pPr>
      <w:proofErr w:type="spellStart"/>
      <w:r w:rsidRPr="00E825B8">
        <w:rPr>
          <w:rFonts w:cs="Times New Roman"/>
          <w:szCs w:val="24"/>
        </w:rPr>
        <w:t>Kumsong</w:t>
      </w:r>
      <w:proofErr w:type="spellEnd"/>
      <w:r w:rsidRPr="00E825B8">
        <w:rPr>
          <w:rFonts w:cs="Times New Roman"/>
          <w:szCs w:val="24"/>
        </w:rPr>
        <w:t xml:space="preserve">, N., </w:t>
      </w:r>
      <w:proofErr w:type="spellStart"/>
      <w:r w:rsidRPr="00E825B8">
        <w:rPr>
          <w:rFonts w:cs="Times New Roman"/>
          <w:szCs w:val="24"/>
        </w:rPr>
        <w:t>Thepsilvisut</w:t>
      </w:r>
      <w:proofErr w:type="spellEnd"/>
      <w:r w:rsidRPr="00E825B8">
        <w:rPr>
          <w:rFonts w:cs="Times New Roman"/>
          <w:szCs w:val="24"/>
        </w:rPr>
        <w:t xml:space="preserve">, O., </w:t>
      </w:r>
      <w:proofErr w:type="spellStart"/>
      <w:r w:rsidRPr="00E825B8">
        <w:rPr>
          <w:rFonts w:cs="Times New Roman"/>
          <w:szCs w:val="24"/>
        </w:rPr>
        <w:t>Imorachorn</w:t>
      </w:r>
      <w:proofErr w:type="spellEnd"/>
      <w:r w:rsidRPr="00E825B8">
        <w:rPr>
          <w:rFonts w:cs="Times New Roman"/>
          <w:szCs w:val="24"/>
        </w:rPr>
        <w:t xml:space="preserve">, P., </w:t>
      </w:r>
      <w:proofErr w:type="spellStart"/>
      <w:r w:rsidRPr="00E825B8">
        <w:rPr>
          <w:rFonts w:cs="Times New Roman"/>
          <w:szCs w:val="24"/>
        </w:rPr>
        <w:t>Chutimanukul</w:t>
      </w:r>
      <w:proofErr w:type="spellEnd"/>
      <w:r w:rsidRPr="00E825B8">
        <w:rPr>
          <w:rFonts w:cs="Times New Roman"/>
          <w:szCs w:val="24"/>
        </w:rPr>
        <w:t xml:space="preserve">, P., </w:t>
      </w:r>
      <w:proofErr w:type="spellStart"/>
      <w:r w:rsidRPr="00E825B8">
        <w:rPr>
          <w:rFonts w:cs="Times New Roman"/>
          <w:szCs w:val="24"/>
        </w:rPr>
        <w:t>Pimpha</w:t>
      </w:r>
      <w:proofErr w:type="spellEnd"/>
      <w:r w:rsidRPr="00E825B8">
        <w:rPr>
          <w:rFonts w:cs="Times New Roman"/>
          <w:szCs w:val="24"/>
        </w:rPr>
        <w:t xml:space="preserve">, N., </w:t>
      </w:r>
      <w:proofErr w:type="spellStart"/>
      <w:r w:rsidRPr="00E825B8">
        <w:rPr>
          <w:rFonts w:cs="Times New Roman"/>
          <w:szCs w:val="24"/>
        </w:rPr>
        <w:t>Toojinda</w:t>
      </w:r>
      <w:proofErr w:type="spellEnd"/>
      <w:r w:rsidRPr="00E825B8">
        <w:rPr>
          <w:rFonts w:cs="Times New Roman"/>
          <w:szCs w:val="24"/>
        </w:rPr>
        <w:t xml:space="preserve">, T., et al. (2023). Comparison of different temperature control systems in tropical-adapted greenhouses for green romaine lettuce production. </w:t>
      </w:r>
      <w:proofErr w:type="spellStart"/>
      <w:r w:rsidRPr="00E825B8">
        <w:rPr>
          <w:rFonts w:cs="Times New Roman"/>
          <w:szCs w:val="24"/>
        </w:rPr>
        <w:t>Horticulturae</w:t>
      </w:r>
      <w:proofErr w:type="spellEnd"/>
      <w:r w:rsidRPr="00E825B8">
        <w:rPr>
          <w:rFonts w:cs="Times New Roman"/>
          <w:szCs w:val="24"/>
        </w:rPr>
        <w:t>, 9(12), 1255. https://doi.org/10.3390/horticulturae9121255</w:t>
      </w:r>
    </w:p>
    <w:p w14:paraId="28CA8C59" w14:textId="4AF4CE89" w:rsidR="00FC4B7F" w:rsidRPr="00E825B8" w:rsidRDefault="00D671A7" w:rsidP="00E825B8">
      <w:pPr>
        <w:spacing w:after="60"/>
        <w:ind w:left="432" w:hanging="432"/>
        <w:jc w:val="both"/>
        <w:rPr>
          <w:rFonts w:cs="Times New Roman"/>
          <w:szCs w:val="24"/>
        </w:rPr>
      </w:pPr>
      <w:proofErr w:type="spellStart"/>
      <w:r w:rsidRPr="00E825B8">
        <w:rPr>
          <w:rFonts w:cs="Times New Roman"/>
          <w:szCs w:val="24"/>
        </w:rPr>
        <w:t>Lakhiar</w:t>
      </w:r>
      <w:proofErr w:type="spellEnd"/>
      <w:r w:rsidRPr="00E825B8">
        <w:rPr>
          <w:rFonts w:cs="Times New Roman"/>
          <w:szCs w:val="24"/>
        </w:rPr>
        <w:t xml:space="preserve">, I. A., Yan, H., Syed, T. N., Zhang, C., Shaikh, S. A., </w:t>
      </w:r>
      <w:proofErr w:type="spellStart"/>
      <w:r w:rsidRPr="00E825B8">
        <w:rPr>
          <w:rFonts w:cs="Times New Roman"/>
          <w:szCs w:val="24"/>
        </w:rPr>
        <w:t>Rakibuzzaman</w:t>
      </w:r>
      <w:proofErr w:type="spellEnd"/>
      <w:r w:rsidRPr="00E825B8">
        <w:rPr>
          <w:rFonts w:cs="Times New Roman"/>
          <w:szCs w:val="24"/>
        </w:rPr>
        <w:t xml:space="preserve">, M., et al. (2025). Soilless agricultural systems: Opportunities, challenges, and applications for enhancing horticultural resilience to climate change and urbanization. </w:t>
      </w:r>
      <w:proofErr w:type="spellStart"/>
      <w:r w:rsidRPr="00E825B8">
        <w:rPr>
          <w:rFonts w:cs="Times New Roman"/>
          <w:szCs w:val="24"/>
        </w:rPr>
        <w:t>Horticulturae</w:t>
      </w:r>
      <w:proofErr w:type="spellEnd"/>
      <w:r w:rsidRPr="00E825B8">
        <w:rPr>
          <w:rFonts w:cs="Times New Roman"/>
          <w:szCs w:val="24"/>
        </w:rPr>
        <w:t>, 11(6), 568. https://doi.org/10.3390/horticulturae11060568</w:t>
      </w:r>
    </w:p>
    <w:p w14:paraId="7D76FF0E" w14:textId="77777777" w:rsidR="00FC4B7F" w:rsidRPr="00E825B8" w:rsidRDefault="00000000" w:rsidP="00E825B8">
      <w:pPr>
        <w:spacing w:after="60"/>
        <w:ind w:left="432" w:hanging="432"/>
        <w:jc w:val="both"/>
        <w:rPr>
          <w:rFonts w:cs="Times New Roman"/>
          <w:szCs w:val="24"/>
        </w:rPr>
      </w:pPr>
      <w:r w:rsidRPr="00E825B8">
        <w:rPr>
          <w:rFonts w:cs="Times New Roman"/>
          <w:szCs w:val="24"/>
        </w:rPr>
        <w:t>Maestre-Valero, J. F., Martin-Gorriz, B., Soto-García, M., Martinez-Mate, M. A., &amp; Martinez-Alvarez, V. (2018). Producing lettuce in soil-based or in soilless outdoor systems. Which is more economically profitable? Agricultural Water Management, 206, 48–55. https://doi.org/10.1016/j.agwat.2018.04.022</w:t>
      </w:r>
    </w:p>
    <w:p w14:paraId="5923BC49" w14:textId="77777777" w:rsidR="00FC4B7F" w:rsidRPr="00E825B8" w:rsidRDefault="00000000" w:rsidP="00E825B8">
      <w:pPr>
        <w:spacing w:after="60"/>
        <w:ind w:left="432" w:hanging="432"/>
        <w:jc w:val="both"/>
        <w:rPr>
          <w:rFonts w:cs="Times New Roman"/>
          <w:szCs w:val="24"/>
        </w:rPr>
      </w:pPr>
      <w:r w:rsidRPr="00E825B8">
        <w:rPr>
          <w:rFonts w:cs="Times New Roman"/>
          <w:szCs w:val="24"/>
        </w:rPr>
        <w:t xml:space="preserve">Niu, G., &amp; </w:t>
      </w:r>
      <w:proofErr w:type="spellStart"/>
      <w:r w:rsidRPr="00E825B8">
        <w:rPr>
          <w:rFonts w:cs="Times New Roman"/>
          <w:szCs w:val="24"/>
        </w:rPr>
        <w:t>Masabni</w:t>
      </w:r>
      <w:proofErr w:type="spellEnd"/>
      <w:r w:rsidRPr="00E825B8">
        <w:rPr>
          <w:rFonts w:cs="Times New Roman"/>
          <w:szCs w:val="24"/>
        </w:rPr>
        <w:t xml:space="preserve">, J. (2022). Hydroponics. In T. </w:t>
      </w:r>
      <w:proofErr w:type="spellStart"/>
      <w:r w:rsidRPr="00E825B8">
        <w:rPr>
          <w:rFonts w:cs="Times New Roman"/>
          <w:szCs w:val="24"/>
        </w:rPr>
        <w:t>Kozai</w:t>
      </w:r>
      <w:proofErr w:type="spellEnd"/>
      <w:r w:rsidRPr="00E825B8">
        <w:rPr>
          <w:rFonts w:cs="Times New Roman"/>
          <w:szCs w:val="24"/>
        </w:rPr>
        <w:t xml:space="preserve">, G. Niu, &amp; J. G. </w:t>
      </w:r>
      <w:proofErr w:type="spellStart"/>
      <w:r w:rsidRPr="00E825B8">
        <w:rPr>
          <w:rFonts w:cs="Times New Roman"/>
          <w:szCs w:val="24"/>
        </w:rPr>
        <w:t>Masabni</w:t>
      </w:r>
      <w:proofErr w:type="spellEnd"/>
      <w:r w:rsidRPr="00E825B8">
        <w:rPr>
          <w:rFonts w:cs="Times New Roman"/>
          <w:szCs w:val="24"/>
        </w:rPr>
        <w:t xml:space="preserve"> (Eds.), Plant factory basics, applications and advances (pp. 153–166). Academic Press. https://doi.org/10.1016/B978-0-323-85152-7.00023-9</w:t>
      </w:r>
    </w:p>
    <w:p w14:paraId="4AFB34A1" w14:textId="097DB3D8" w:rsidR="00FC4B7F" w:rsidRPr="00E825B8" w:rsidRDefault="00000000" w:rsidP="00E825B8">
      <w:pPr>
        <w:spacing w:after="60"/>
        <w:ind w:left="432" w:hanging="432"/>
        <w:jc w:val="both"/>
        <w:rPr>
          <w:rFonts w:cs="Times New Roman"/>
          <w:szCs w:val="24"/>
        </w:rPr>
      </w:pPr>
      <w:r w:rsidRPr="00E825B8">
        <w:rPr>
          <w:rFonts w:cs="Times New Roman"/>
          <w:szCs w:val="24"/>
        </w:rPr>
        <w:t xml:space="preserve">Ramos, A. P., Rocha, L. V., Martin, A. A., Casco, V. V., &amp; Da Jose, B. O. (2024). Potential of </w:t>
      </w:r>
      <w:proofErr w:type="spellStart"/>
      <w:r w:rsidRPr="00E825B8">
        <w:rPr>
          <w:rFonts w:cs="Times New Roman"/>
          <w:szCs w:val="24"/>
        </w:rPr>
        <w:t>vermitea</w:t>
      </w:r>
      <w:proofErr w:type="spellEnd"/>
      <w:r w:rsidRPr="00E825B8">
        <w:rPr>
          <w:rFonts w:cs="Times New Roman"/>
          <w:szCs w:val="24"/>
        </w:rPr>
        <w:t xml:space="preserve"> and SNAP as nutrient solution for lettuce (</w:t>
      </w:r>
      <w:r w:rsidRPr="00E825B8">
        <w:rPr>
          <w:rFonts w:cs="Times New Roman"/>
          <w:i/>
          <w:iCs/>
          <w:szCs w:val="24"/>
        </w:rPr>
        <w:t>Lactuca sativa</w:t>
      </w:r>
      <w:r w:rsidRPr="00E825B8">
        <w:rPr>
          <w:rFonts w:cs="Times New Roman"/>
          <w:szCs w:val="24"/>
        </w:rPr>
        <w:t xml:space="preserve">) under </w:t>
      </w:r>
      <w:r w:rsidR="00E825B8">
        <w:rPr>
          <w:rFonts w:cs="Times New Roman"/>
          <w:szCs w:val="24"/>
        </w:rPr>
        <w:t xml:space="preserve">a </w:t>
      </w:r>
      <w:r w:rsidRPr="00E825B8">
        <w:rPr>
          <w:rFonts w:cs="Times New Roman"/>
          <w:szCs w:val="24"/>
        </w:rPr>
        <w:t>non-circulating hydroponics system. International Journal of Farm Sciences, 14(1–2), 40–44. https://doi.org/10.5958/2250-0499.2024.00022.8</w:t>
      </w:r>
    </w:p>
    <w:p w14:paraId="221EE4D9" w14:textId="77777777" w:rsidR="00FC4B7F" w:rsidRPr="00E825B8" w:rsidRDefault="00000000" w:rsidP="00E825B8">
      <w:pPr>
        <w:spacing w:after="60"/>
        <w:ind w:left="432" w:hanging="432"/>
        <w:jc w:val="both"/>
        <w:rPr>
          <w:rFonts w:cs="Times New Roman"/>
          <w:szCs w:val="24"/>
        </w:rPr>
      </w:pPr>
      <w:r w:rsidRPr="00E825B8">
        <w:rPr>
          <w:rFonts w:cs="Times New Roman"/>
          <w:szCs w:val="24"/>
        </w:rPr>
        <w:t>Resh, H. M. (2013). Hydroponic food production: A definitive guidebook for the advanced home gardener and the commercial hydroponic grower (7th ed.). CRC Press. https://search.worldcat.org/title/Hydroponic-food-production</w:t>
      </w:r>
    </w:p>
    <w:p w14:paraId="163E22F0" w14:textId="77777777" w:rsidR="00FC4B7F" w:rsidRPr="00E825B8" w:rsidRDefault="00000000" w:rsidP="00E825B8">
      <w:pPr>
        <w:spacing w:after="60"/>
        <w:ind w:left="432" w:hanging="432"/>
        <w:jc w:val="both"/>
        <w:rPr>
          <w:rFonts w:cs="Times New Roman"/>
          <w:szCs w:val="24"/>
        </w:rPr>
      </w:pPr>
      <w:r w:rsidRPr="00E825B8">
        <w:rPr>
          <w:rFonts w:cs="Times New Roman"/>
          <w:szCs w:val="24"/>
        </w:rPr>
        <w:t>Sace, C. F., &amp; Natividad, E. P., Jr. (2015). Economic analysis of an urban vertical garden for hydroponic production of lettuce (Lactuca sativa). International Journal of Contemporary Applied Sciences, 2(7), 42–56. https://www.researchgate.net/publication/348080201_Economic_Analysis_of_an_Urban_Vertical_Garden_for_Hydroponic_Production_of_Lettuce_Lactuca_sativa</w:t>
      </w:r>
    </w:p>
    <w:p w14:paraId="68CF1D50" w14:textId="77777777" w:rsidR="00FC4B7F" w:rsidRPr="00E825B8" w:rsidRDefault="00000000" w:rsidP="00E825B8">
      <w:pPr>
        <w:spacing w:after="60"/>
        <w:ind w:left="432" w:hanging="432"/>
        <w:jc w:val="both"/>
        <w:rPr>
          <w:rFonts w:cs="Times New Roman"/>
          <w:szCs w:val="24"/>
        </w:rPr>
      </w:pPr>
      <w:r w:rsidRPr="00E825B8">
        <w:rPr>
          <w:rFonts w:cs="Times New Roman"/>
          <w:szCs w:val="24"/>
        </w:rPr>
        <w:t>Savvas, D., &amp; Gruda, N. (2018). Application of soilless culture technologies in the modern greenhouse industry—A review. European Journal of Horticultural Science, 83(5), 280–293. https://doi.org/10.17660/eJHS.2018/83.5.2</w:t>
      </w:r>
    </w:p>
    <w:p w14:paraId="6CA474E1" w14:textId="77777777" w:rsidR="00FC4B7F" w:rsidRPr="00E825B8" w:rsidRDefault="00000000" w:rsidP="00E825B8">
      <w:pPr>
        <w:spacing w:after="60"/>
        <w:ind w:left="432" w:hanging="432"/>
        <w:jc w:val="both"/>
        <w:rPr>
          <w:rFonts w:cs="Times New Roman"/>
          <w:szCs w:val="24"/>
        </w:rPr>
      </w:pPr>
      <w:r w:rsidRPr="00E825B8">
        <w:rPr>
          <w:rFonts w:cs="Times New Roman"/>
          <w:szCs w:val="24"/>
        </w:rPr>
        <w:lastRenderedPageBreak/>
        <w:t>Sharma, N., Acharya, S., Kumar, K., Singh, N., &amp; Chaurasia, O. P. (2018). Hydroponics as an advanced technique for vegetable production: An overview. Journal of Soil and Water Conservation, 17(4), 364–371. https://doi.org/10.5958/2455-7145.2018.00056.5</w:t>
      </w:r>
    </w:p>
    <w:p w14:paraId="7C24CE60" w14:textId="475D6944" w:rsidR="00FC4B7F" w:rsidRPr="00E825B8" w:rsidRDefault="00000000" w:rsidP="00E825B8">
      <w:pPr>
        <w:spacing w:after="60"/>
        <w:ind w:left="432" w:hanging="432"/>
        <w:jc w:val="both"/>
        <w:rPr>
          <w:rFonts w:cs="Times New Roman"/>
          <w:szCs w:val="24"/>
        </w:rPr>
      </w:pPr>
      <w:proofErr w:type="spellStart"/>
      <w:r w:rsidRPr="00E825B8">
        <w:rPr>
          <w:rFonts w:cs="Times New Roman"/>
          <w:szCs w:val="24"/>
        </w:rPr>
        <w:t>Shtaya</w:t>
      </w:r>
      <w:proofErr w:type="spellEnd"/>
      <w:r w:rsidRPr="00E825B8">
        <w:rPr>
          <w:rFonts w:cs="Times New Roman"/>
          <w:szCs w:val="24"/>
        </w:rPr>
        <w:t xml:space="preserve">, M. J. Y., &amp; </w:t>
      </w:r>
      <w:proofErr w:type="spellStart"/>
      <w:r w:rsidRPr="00E825B8">
        <w:rPr>
          <w:rFonts w:cs="Times New Roman"/>
          <w:szCs w:val="24"/>
        </w:rPr>
        <w:t>Qubbaj</w:t>
      </w:r>
      <w:proofErr w:type="spellEnd"/>
      <w:r w:rsidRPr="00E825B8">
        <w:rPr>
          <w:rFonts w:cs="Times New Roman"/>
          <w:szCs w:val="24"/>
        </w:rPr>
        <w:t xml:space="preserve">, T. (2022). Effect of different soilless agriculture methods on irrigation water </w:t>
      </w:r>
      <w:r w:rsidR="00E825B8">
        <w:rPr>
          <w:rFonts w:cs="Times New Roman"/>
          <w:szCs w:val="24"/>
        </w:rPr>
        <w:t>savings and lettuce (</w:t>
      </w:r>
      <w:r w:rsidR="00E825B8" w:rsidRPr="00E825B8">
        <w:rPr>
          <w:rFonts w:cs="Times New Roman"/>
          <w:i/>
          <w:iCs/>
          <w:szCs w:val="24"/>
        </w:rPr>
        <w:t>Lactuca sativa</w:t>
      </w:r>
      <w:r w:rsidR="00E825B8">
        <w:rPr>
          <w:rFonts w:cs="Times New Roman"/>
          <w:szCs w:val="24"/>
        </w:rPr>
        <w:t>) growth</w:t>
      </w:r>
      <w:r w:rsidRPr="00E825B8">
        <w:rPr>
          <w:rFonts w:cs="Times New Roman"/>
          <w:szCs w:val="24"/>
        </w:rPr>
        <w:t>. Research on Crops, 23(1), 156–162. https://doi.org/10.31830/2348-7542.2022.022</w:t>
      </w:r>
    </w:p>
    <w:p w14:paraId="2B0E35C8" w14:textId="77777777" w:rsidR="00FC4B7F" w:rsidRPr="00E825B8" w:rsidRDefault="00000000" w:rsidP="00E825B8">
      <w:pPr>
        <w:spacing w:after="60"/>
        <w:ind w:left="432" w:hanging="432"/>
        <w:jc w:val="both"/>
        <w:rPr>
          <w:rFonts w:cs="Times New Roman"/>
          <w:szCs w:val="24"/>
        </w:rPr>
      </w:pPr>
      <w:r w:rsidRPr="00E825B8">
        <w:rPr>
          <w:rFonts w:cs="Times New Roman"/>
          <w:szCs w:val="24"/>
        </w:rPr>
        <w:t>Wang, L., Ning, S., Zheng, W., Guo, J., Li, Y., Li, Y., et al. (2023). Performance analysis of two typical greenhouse lettuce production systems: Commercial hydroponic production and traditional soil cultivation. Frontiers in Plant Science, 14, 1165856. https://doi.org/10.3389/fpls.2023.1165856</w:t>
      </w:r>
    </w:p>
    <w:p w14:paraId="5B320BB4" w14:textId="77777777" w:rsidR="00FC4B7F" w:rsidRPr="00E825B8" w:rsidRDefault="00000000" w:rsidP="00E825B8">
      <w:pPr>
        <w:spacing w:after="60"/>
        <w:ind w:left="432" w:hanging="432"/>
        <w:jc w:val="both"/>
        <w:rPr>
          <w:rFonts w:cs="Times New Roman"/>
          <w:szCs w:val="24"/>
        </w:rPr>
      </w:pPr>
      <w:r w:rsidRPr="00E825B8">
        <w:rPr>
          <w:rFonts w:cs="Times New Roman"/>
          <w:szCs w:val="24"/>
        </w:rPr>
        <w:t xml:space="preserve">Yang, T., Samarakoon, U., &amp; Altland, J. E. (2024). Growth, phytochemical concentration, nutrient uptake, and water consumption of butterhead lettuce in response to hydroponic system design and growing season. Scientia </w:t>
      </w:r>
      <w:proofErr w:type="spellStart"/>
      <w:r w:rsidRPr="00E825B8">
        <w:rPr>
          <w:rFonts w:cs="Times New Roman"/>
          <w:szCs w:val="24"/>
        </w:rPr>
        <w:t>Horticulturae</w:t>
      </w:r>
      <w:proofErr w:type="spellEnd"/>
      <w:r w:rsidRPr="00E825B8">
        <w:rPr>
          <w:rFonts w:cs="Times New Roman"/>
          <w:szCs w:val="24"/>
        </w:rPr>
        <w:t>, 332, 113201. https://doi.org/10.1016/j.scienta.2024.113201</w:t>
      </w:r>
    </w:p>
    <w:sectPr w:rsidR="00FC4B7F" w:rsidRPr="00E825B8" w:rsidSect="00E825B8">
      <w:headerReference w:type="even" r:id="rId9"/>
      <w:headerReference w:type="default" r:id="rId10"/>
      <w:footerReference w:type="even" r:id="rId11"/>
      <w:footerReference w:type="default" r:id="rId12"/>
      <w:headerReference w:type="first" r:id="rId13"/>
      <w:footerReference w:type="first" r:id="rId14"/>
      <w:pgSz w:w="11906" w:h="16838" w:code="9"/>
      <w:pgMar w:top="1008" w:right="1152" w:bottom="100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F3DB3" w14:textId="77777777" w:rsidR="00AB2DEA" w:rsidRDefault="00AB2DEA">
      <w:pPr>
        <w:spacing w:after="0"/>
      </w:pPr>
      <w:r>
        <w:separator/>
      </w:r>
    </w:p>
  </w:endnote>
  <w:endnote w:type="continuationSeparator" w:id="0">
    <w:p w14:paraId="5AE930CC" w14:textId="77777777" w:rsidR="00AB2DEA" w:rsidRDefault="00AB2D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139B" w14:textId="77777777" w:rsidR="00903726" w:rsidRDefault="009037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D8DE" w14:textId="77777777" w:rsidR="00FC4B7F" w:rsidRDefault="00000000">
    <w:pPr>
      <w:pStyle w:val="Footer"/>
      <w:jc w:val="center"/>
    </w:pPr>
    <w:r>
      <w:rPr>
        <w:sz w:val="20"/>
      </w:rPr>
      <w:fldChar w:fldCharType="begin"/>
    </w:r>
    <w:r>
      <w:rPr>
        <w:sz w:val="20"/>
      </w:rPr>
      <w:instrText>PAGE</w:instrText>
    </w:r>
    <w:r>
      <w:rPr>
        <w:sz w:val="20"/>
      </w:rPr>
      <w:fldChar w:fldCharType="separate"/>
    </w:r>
    <w:r w:rsidR="00E825B8">
      <w:rPr>
        <w:noProof/>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DB3BA" w14:textId="77777777" w:rsidR="00903726" w:rsidRDefault="00903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28A37" w14:textId="77777777" w:rsidR="00AB2DEA" w:rsidRDefault="00AB2DEA">
      <w:pPr>
        <w:spacing w:after="0"/>
      </w:pPr>
      <w:r>
        <w:separator/>
      </w:r>
    </w:p>
  </w:footnote>
  <w:footnote w:type="continuationSeparator" w:id="0">
    <w:p w14:paraId="79AEF165" w14:textId="77777777" w:rsidR="00AB2DEA" w:rsidRDefault="00AB2D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CB89" w14:textId="5AE7B5F6" w:rsidR="00903726" w:rsidRDefault="00903726">
    <w:pPr>
      <w:pStyle w:val="Header"/>
    </w:pPr>
    <w:r>
      <w:rPr>
        <w:noProof/>
      </w:rPr>
      <w:pict w14:anchorId="63875C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390344" o:spid="_x0000_s1026" type="#_x0000_t136" style="position:absolute;margin-left:0;margin-top:0;width:574.25pt;height:63.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62C6A" w14:textId="5C174CC9" w:rsidR="00903726" w:rsidRDefault="00903726">
    <w:pPr>
      <w:pStyle w:val="Header"/>
    </w:pPr>
    <w:r>
      <w:rPr>
        <w:noProof/>
      </w:rPr>
      <w:pict w14:anchorId="1A697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390345" o:spid="_x0000_s1027" type="#_x0000_t136" style="position:absolute;margin-left:0;margin-top:0;width:574.25pt;height:63.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A5C6F" w14:textId="040E89A4" w:rsidR="00903726" w:rsidRDefault="00903726">
    <w:pPr>
      <w:pStyle w:val="Header"/>
    </w:pPr>
    <w:r>
      <w:rPr>
        <w:noProof/>
      </w:rPr>
      <w:pict w14:anchorId="034188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390343" o:spid="_x0000_s1025" type="#_x0000_t136" style="position:absolute;margin-left:0;margin-top:0;width:574.25pt;height:63.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7187787">
    <w:abstractNumId w:val="8"/>
  </w:num>
  <w:num w:numId="2" w16cid:durableId="2007394798">
    <w:abstractNumId w:val="6"/>
  </w:num>
  <w:num w:numId="3" w16cid:durableId="1810592111">
    <w:abstractNumId w:val="5"/>
  </w:num>
  <w:num w:numId="4" w16cid:durableId="1557543672">
    <w:abstractNumId w:val="4"/>
  </w:num>
  <w:num w:numId="5" w16cid:durableId="120880443">
    <w:abstractNumId w:val="7"/>
  </w:num>
  <w:num w:numId="6" w16cid:durableId="404689489">
    <w:abstractNumId w:val="3"/>
  </w:num>
  <w:num w:numId="7" w16cid:durableId="849687428">
    <w:abstractNumId w:val="2"/>
  </w:num>
  <w:num w:numId="8" w16cid:durableId="859396469">
    <w:abstractNumId w:val="1"/>
  </w:num>
  <w:num w:numId="9" w16cid:durableId="761872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6A0"/>
    <w:rsid w:val="000345A6"/>
    <w:rsid w:val="00034616"/>
    <w:rsid w:val="00040F0B"/>
    <w:rsid w:val="0006063C"/>
    <w:rsid w:val="00092236"/>
    <w:rsid w:val="0015074B"/>
    <w:rsid w:val="0029639D"/>
    <w:rsid w:val="00326F90"/>
    <w:rsid w:val="003F18C1"/>
    <w:rsid w:val="00547BB4"/>
    <w:rsid w:val="00836FEF"/>
    <w:rsid w:val="00903726"/>
    <w:rsid w:val="009077C5"/>
    <w:rsid w:val="00A02C15"/>
    <w:rsid w:val="00A21E19"/>
    <w:rsid w:val="00AA1D8D"/>
    <w:rsid w:val="00AB167A"/>
    <w:rsid w:val="00AB2DEA"/>
    <w:rsid w:val="00B24C31"/>
    <w:rsid w:val="00B47730"/>
    <w:rsid w:val="00BB2A67"/>
    <w:rsid w:val="00BF0048"/>
    <w:rsid w:val="00CB0664"/>
    <w:rsid w:val="00CD5788"/>
    <w:rsid w:val="00D671A7"/>
    <w:rsid w:val="00D90FB4"/>
    <w:rsid w:val="00DF4E2C"/>
    <w:rsid w:val="00E150B7"/>
    <w:rsid w:val="00E825B8"/>
    <w:rsid w:val="00EE1E62"/>
    <w:rsid w:val="00FC4B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2B61E4"/>
  <w14:defaultImageDpi w14:val="300"/>
  <w15:docId w15:val="{09108BE4-BF9C-4127-89C5-9AC162D8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21E19"/>
    <w:rPr>
      <w:color w:val="0000FF" w:themeColor="hyperlink"/>
      <w:u w:val="single"/>
    </w:rPr>
  </w:style>
  <w:style w:type="character" w:styleId="UnresolvedMention">
    <w:name w:val="Unresolved Mention"/>
    <w:basedOn w:val="DefaultParagraphFont"/>
    <w:uiPriority w:val="99"/>
    <w:semiHidden/>
    <w:unhideWhenUsed/>
    <w:rsid w:val="00A21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6688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4570</Words>
  <Characters>26053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10</cp:revision>
  <dcterms:created xsi:type="dcterms:W3CDTF">2026-09-20T09:28:00Z</dcterms:created>
  <dcterms:modified xsi:type="dcterms:W3CDTF">2026-09-21T12:46:00Z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95f801b5-3909-448e-9592-efa1eff092a8</vt:lpwstr>
  </property>
</Properties>
</file>