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37CFD" w14:textId="5D22DE59" w:rsidR="00806D3A" w:rsidRPr="007924E9" w:rsidRDefault="00806D3A" w:rsidP="00806D3A">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Marketing Analytics for Gastrointestinal Cancer Prevention and Early Detection: Emerging Trends, Analytical Frameworks, and Research Directions</w:t>
      </w:r>
    </w:p>
    <w:p w14:paraId="4DBAF0A7" w14:textId="77777777" w:rsidR="00806D3A" w:rsidRDefault="00806D3A" w:rsidP="00806D3A">
      <w:pPr>
        <w:spacing w:line="360" w:lineRule="auto"/>
        <w:jc w:val="both"/>
        <w:rPr>
          <w:rFonts w:ascii="Times New Roman" w:hAnsi="Times New Roman" w:cs="Times New Roman"/>
          <w:b/>
          <w:bCs/>
          <w:sz w:val="24"/>
          <w:szCs w:val="24"/>
        </w:rPr>
      </w:pPr>
    </w:p>
    <w:p w14:paraId="6FD62FE8" w14:textId="77777777" w:rsidR="00AB3677" w:rsidRPr="007924E9" w:rsidRDefault="00AB3677" w:rsidP="00806D3A">
      <w:pPr>
        <w:spacing w:line="360" w:lineRule="auto"/>
        <w:jc w:val="both"/>
        <w:rPr>
          <w:rFonts w:ascii="Times New Roman" w:hAnsi="Times New Roman" w:cs="Times New Roman"/>
          <w:b/>
          <w:bCs/>
          <w:sz w:val="24"/>
          <w:szCs w:val="24"/>
        </w:rPr>
      </w:pPr>
    </w:p>
    <w:p w14:paraId="2AB70979" w14:textId="5BC6C0E8" w:rsidR="00806D3A" w:rsidRPr="007924E9" w:rsidRDefault="00806D3A" w:rsidP="00806D3A">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Abstract</w:t>
      </w:r>
    </w:p>
    <w:p w14:paraId="2D21583C" w14:textId="071463B8" w:rsidR="00806D3A" w:rsidRPr="007924E9" w:rsidRDefault="00DC7469" w:rsidP="00806D3A">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Gastrointestinal (GI) cancers, such as colorectal, gastric, liver, pancreatic, and </w:t>
      </w:r>
      <w:proofErr w:type="spellStart"/>
      <w:r w:rsidRPr="007924E9">
        <w:rPr>
          <w:rFonts w:ascii="Times New Roman" w:hAnsi="Times New Roman" w:cs="Times New Roman"/>
          <w:sz w:val="24"/>
          <w:szCs w:val="24"/>
        </w:rPr>
        <w:t>esophageal</w:t>
      </w:r>
      <w:proofErr w:type="spellEnd"/>
      <w:r w:rsidRPr="007924E9">
        <w:rPr>
          <w:rFonts w:ascii="Times New Roman" w:hAnsi="Times New Roman" w:cs="Times New Roman"/>
          <w:sz w:val="24"/>
          <w:szCs w:val="24"/>
        </w:rPr>
        <w:t xml:space="preserve"> cancers, continue to be a serious public health concern due to their high prevalence, mortality rate, and delayed diagnoses. New possibilities provided by the evolution of marketing analytics help to overcome existing barriers associated with prevention and early diagnosis through evidence-based decision making, tailored communication, and screening interventions. This narrative review </w:t>
      </w:r>
      <w:proofErr w:type="spellStart"/>
      <w:r w:rsidRPr="007924E9">
        <w:rPr>
          <w:rFonts w:ascii="Times New Roman" w:hAnsi="Times New Roman" w:cs="Times New Roman"/>
          <w:sz w:val="24"/>
          <w:szCs w:val="24"/>
        </w:rPr>
        <w:t>analyzes</w:t>
      </w:r>
      <w:proofErr w:type="spellEnd"/>
      <w:r w:rsidRPr="007924E9">
        <w:rPr>
          <w:rFonts w:ascii="Times New Roman" w:hAnsi="Times New Roman" w:cs="Times New Roman"/>
          <w:sz w:val="24"/>
          <w:szCs w:val="24"/>
        </w:rPr>
        <w:t xml:space="preserve"> the state of art of marketing analytics applications in GI cancer prevention and early detection with a focus on social marketing,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models, artificial intelligence (AI), digital health, and novel marketing analytics approaches. The epidemiological situation of GI cancers, prevention and screening methods, marketing analytics tools and analytical frameworks supporting patient engagement and screening adoption, and recent developments, including AI, big data, precision marketing, explainable AI, social media analytics, and real-time analytics, are reviewed in the context of current research challenges and gaps. The conclusion drawn from the analysis is that the integration of marketing analytics with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science and AI technologies helps in risk identification, resource allocation optimization, screening adoption improvement, and health equity increase.</w:t>
      </w:r>
    </w:p>
    <w:p w14:paraId="7AF25398" w14:textId="39149539" w:rsidR="00806D3A" w:rsidRPr="007924E9" w:rsidRDefault="00806D3A" w:rsidP="00806D3A">
      <w:pPr>
        <w:spacing w:line="360" w:lineRule="auto"/>
        <w:jc w:val="both"/>
        <w:rPr>
          <w:rFonts w:ascii="Times New Roman" w:hAnsi="Times New Roman" w:cs="Times New Roman"/>
          <w:sz w:val="24"/>
          <w:szCs w:val="24"/>
        </w:rPr>
      </w:pPr>
      <w:r w:rsidRPr="007924E9">
        <w:rPr>
          <w:rFonts w:ascii="Times New Roman" w:hAnsi="Times New Roman" w:cs="Times New Roman"/>
          <w:b/>
          <w:bCs/>
          <w:sz w:val="24"/>
          <w:szCs w:val="24"/>
        </w:rPr>
        <w:t xml:space="preserve">Keywords: </w:t>
      </w:r>
      <w:r w:rsidRPr="007924E9">
        <w:rPr>
          <w:rFonts w:ascii="Times New Roman" w:hAnsi="Times New Roman" w:cs="Times New Roman"/>
          <w:sz w:val="24"/>
          <w:szCs w:val="24"/>
        </w:rPr>
        <w:t>Marketing analytics; Gastrointestinal cancer; Early detection; Cancer screening; Artificial intelligence</w:t>
      </w:r>
    </w:p>
    <w:p w14:paraId="4BBE2AFB" w14:textId="77777777" w:rsidR="00806D3A" w:rsidRDefault="00806D3A" w:rsidP="00806D3A">
      <w:pPr>
        <w:spacing w:line="360" w:lineRule="auto"/>
        <w:jc w:val="both"/>
        <w:rPr>
          <w:rFonts w:ascii="Times New Roman" w:hAnsi="Times New Roman" w:cs="Times New Roman"/>
          <w:b/>
          <w:bCs/>
          <w:sz w:val="24"/>
          <w:szCs w:val="24"/>
        </w:rPr>
      </w:pPr>
    </w:p>
    <w:p w14:paraId="00CA35C2" w14:textId="77777777" w:rsidR="00377541" w:rsidRDefault="00377541" w:rsidP="00806D3A">
      <w:pPr>
        <w:spacing w:line="360" w:lineRule="auto"/>
        <w:jc w:val="both"/>
        <w:rPr>
          <w:rFonts w:ascii="Times New Roman" w:hAnsi="Times New Roman" w:cs="Times New Roman"/>
          <w:b/>
          <w:bCs/>
          <w:sz w:val="24"/>
          <w:szCs w:val="24"/>
        </w:rPr>
      </w:pPr>
    </w:p>
    <w:p w14:paraId="2035A82B" w14:textId="77777777" w:rsidR="00377541" w:rsidRDefault="00377541" w:rsidP="00806D3A">
      <w:pPr>
        <w:spacing w:line="360" w:lineRule="auto"/>
        <w:jc w:val="both"/>
        <w:rPr>
          <w:rFonts w:ascii="Times New Roman" w:hAnsi="Times New Roman" w:cs="Times New Roman"/>
          <w:b/>
          <w:bCs/>
          <w:sz w:val="24"/>
          <w:szCs w:val="24"/>
        </w:rPr>
      </w:pPr>
    </w:p>
    <w:p w14:paraId="0AA8875B" w14:textId="77777777" w:rsidR="00377541" w:rsidRPr="007924E9" w:rsidRDefault="00377541" w:rsidP="00806D3A">
      <w:pPr>
        <w:spacing w:line="360" w:lineRule="auto"/>
        <w:jc w:val="both"/>
        <w:rPr>
          <w:rFonts w:ascii="Times New Roman" w:hAnsi="Times New Roman" w:cs="Times New Roman"/>
          <w:b/>
          <w:bCs/>
          <w:sz w:val="24"/>
          <w:szCs w:val="24"/>
        </w:rPr>
      </w:pPr>
    </w:p>
    <w:p w14:paraId="1319190F" w14:textId="0B754694" w:rsidR="00E879CF" w:rsidRPr="007924E9" w:rsidRDefault="00E879CF" w:rsidP="00E879CF">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1. Introduction</w:t>
      </w:r>
    </w:p>
    <w:p w14:paraId="11F1AC71" w14:textId="77777777" w:rsidR="00B420FE" w:rsidRPr="007924E9" w:rsidRDefault="00B420FE" w:rsidP="00E879CF">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Cancers of the gastrointestinal tract, which include colon cancers, stomach cancers, liver cancers, pancreatic cancers, and </w:t>
      </w:r>
      <w:proofErr w:type="spellStart"/>
      <w:r w:rsidRPr="007924E9">
        <w:rPr>
          <w:rFonts w:ascii="Times New Roman" w:hAnsi="Times New Roman" w:cs="Times New Roman"/>
          <w:sz w:val="24"/>
          <w:szCs w:val="24"/>
        </w:rPr>
        <w:t>esophageal</w:t>
      </w:r>
      <w:proofErr w:type="spellEnd"/>
      <w:r w:rsidRPr="007924E9">
        <w:rPr>
          <w:rFonts w:ascii="Times New Roman" w:hAnsi="Times New Roman" w:cs="Times New Roman"/>
          <w:sz w:val="24"/>
          <w:szCs w:val="24"/>
        </w:rPr>
        <w:t xml:space="preserve"> cancers, constitute an important public health issue </w:t>
      </w:r>
      <w:r w:rsidRPr="007924E9">
        <w:rPr>
          <w:rFonts w:ascii="Times New Roman" w:hAnsi="Times New Roman" w:cs="Times New Roman"/>
          <w:sz w:val="24"/>
          <w:szCs w:val="24"/>
        </w:rPr>
        <w:lastRenderedPageBreak/>
        <w:t xml:space="preserve">globally owing to their relatively high incidences and deaths. Despite advancements in terms of screening methods and treatment options for these diseases, many cases of these gastrointestinal cancers are often detected at advanced stages, with the consequent poor outcomes (Gong et al., 2025; Dahiya et al., 2025). Colon cancers are among the most preventable forms of cancer through organized screening, whereas stomach cancers remain common in certain parts of Asia. Liver cancers, pancreatic cancers, and </w:t>
      </w:r>
      <w:proofErr w:type="spellStart"/>
      <w:r w:rsidRPr="007924E9">
        <w:rPr>
          <w:rFonts w:ascii="Times New Roman" w:hAnsi="Times New Roman" w:cs="Times New Roman"/>
          <w:sz w:val="24"/>
          <w:szCs w:val="24"/>
        </w:rPr>
        <w:t>esophageal</w:t>
      </w:r>
      <w:proofErr w:type="spellEnd"/>
      <w:r w:rsidRPr="007924E9">
        <w:rPr>
          <w:rFonts w:ascii="Times New Roman" w:hAnsi="Times New Roman" w:cs="Times New Roman"/>
          <w:sz w:val="24"/>
          <w:szCs w:val="24"/>
        </w:rPr>
        <w:t xml:space="preserve"> cancers continue to be important challenges in the medical world in the absence of screening opportunities and late detection (Beniwal et al., 2023; Matsubayashi et al., 2024).</w:t>
      </w:r>
    </w:p>
    <w:p w14:paraId="4444F0C9" w14:textId="5CB8F479" w:rsidR="00B420FE" w:rsidRPr="007924E9" w:rsidRDefault="00B420FE" w:rsidP="00E879CF">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Even though there are various measures to prevent cancer, several factors continue to hinder the adoption of the screening process. Some of the factors include low levels of participation in the cancer screening programs, delays in seeking healthcare, health disparities, lack of knowledge, transport challenges, and insufficient personalization of health information (Lee et al., 2023; </w:t>
      </w:r>
      <w:proofErr w:type="spellStart"/>
      <w:r w:rsidRPr="007924E9">
        <w:rPr>
          <w:rFonts w:ascii="Times New Roman" w:hAnsi="Times New Roman" w:cs="Times New Roman"/>
          <w:sz w:val="24"/>
          <w:szCs w:val="24"/>
        </w:rPr>
        <w:t>Orom</w:t>
      </w:r>
      <w:proofErr w:type="spellEnd"/>
      <w:r w:rsidRPr="007924E9">
        <w:rPr>
          <w:rFonts w:ascii="Times New Roman" w:hAnsi="Times New Roman" w:cs="Times New Roman"/>
          <w:sz w:val="24"/>
          <w:szCs w:val="24"/>
        </w:rPr>
        <w:t xml:space="preserve"> et al., 2024; Ewing et al., 2024; Alvarez-Lopez et al., 2025). As a result, the sector of healthcare has changed its focus from health promotion practices to marketing practices that utilize various data such as patient data, clinical data, and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data in order to develop targeted interventions</w:t>
      </w:r>
      <w:r w:rsidR="0067324B" w:rsidRPr="0067324B">
        <w:t xml:space="preserve"> </w:t>
      </w:r>
      <w:r w:rsidR="0067324B" w:rsidRPr="0067324B">
        <w:rPr>
          <w:rFonts w:ascii="Times New Roman" w:hAnsi="Times New Roman" w:cs="Times New Roman"/>
          <w:sz w:val="24"/>
          <w:szCs w:val="24"/>
        </w:rPr>
        <w:t>to develop targeted interventions</w:t>
      </w:r>
      <w:r w:rsidRPr="007924E9">
        <w:rPr>
          <w:rFonts w:ascii="Times New Roman" w:hAnsi="Times New Roman" w:cs="Times New Roman"/>
          <w:sz w:val="24"/>
          <w:szCs w:val="24"/>
        </w:rPr>
        <w:t>. Marketing analytics involves the systematic gathering and analysis of data that assists in enhancing audience segmentation, personalizing communication, optimizing campaigns, and making decisions based on evidence (Yap et al., 2023). Predictive analytics, which is a branch of artificial intelligence, has enhanced the ability of marketers to reach out to the right target audiences.</w:t>
      </w:r>
    </w:p>
    <w:p w14:paraId="13563A2F" w14:textId="448D2866" w:rsidR="00B420FE" w:rsidRPr="007924E9" w:rsidRDefault="00B420FE" w:rsidP="00E879CF">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Whereas there have been advancements made in fields like artificial intelligence, social marketing, and cancer screening, literature reviews on the integration of these aspects in gastrointestinal cancer prevention are scant. Additionally, there is a need for further exploration regarding some aspects, including AI validation, bias reduction, clinical data integrity, geospatial analysis, and data security that will guarantee proper and effective use of marketing analytics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et al., 2026;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2026; </w:t>
      </w:r>
      <w:proofErr w:type="spellStart"/>
      <w:r w:rsidRPr="007924E9">
        <w:rPr>
          <w:rFonts w:ascii="Times New Roman" w:hAnsi="Times New Roman" w:cs="Times New Roman"/>
          <w:sz w:val="24"/>
          <w:szCs w:val="24"/>
        </w:rPr>
        <w:t>Kubuafor</w:t>
      </w:r>
      <w:proofErr w:type="spellEnd"/>
      <w:r w:rsidRPr="007924E9">
        <w:rPr>
          <w:rFonts w:ascii="Times New Roman" w:hAnsi="Times New Roman" w:cs="Times New Roman"/>
          <w:sz w:val="24"/>
          <w:szCs w:val="24"/>
        </w:rPr>
        <w:t xml:space="preserve"> et al., 2025a; </w:t>
      </w:r>
      <w:proofErr w:type="spellStart"/>
      <w:r w:rsidRPr="007924E9">
        <w:rPr>
          <w:rFonts w:ascii="Times New Roman" w:hAnsi="Times New Roman" w:cs="Times New Roman"/>
          <w:sz w:val="24"/>
          <w:szCs w:val="24"/>
        </w:rPr>
        <w:t>Filani</w:t>
      </w:r>
      <w:proofErr w:type="spellEnd"/>
      <w:r w:rsidRPr="007924E9">
        <w:rPr>
          <w:rFonts w:ascii="Times New Roman" w:hAnsi="Times New Roman" w:cs="Times New Roman"/>
          <w:sz w:val="24"/>
          <w:szCs w:val="24"/>
        </w:rPr>
        <w:t xml:space="preserve"> &amp; Opoku, 2025; Silas &amp; Adjaottor, 2026). Thus, in this review paper, current literature pertaining to marketing analytics in gastrointestinal cancer prevention and screening, analytical trends and frameworks, and research gaps in this field have been discussed with suggested future direction of research. In the subsequent sections of this paper, the following topics will be addressed: concepts, GI cancer prevention and screening, applications of marketing analytics, analytical frameworks, trends, research gaps, and an integrated conceptual framework. Given the review's U.S. focus, </w:t>
      </w:r>
      <w:r w:rsidRPr="007924E9">
        <w:rPr>
          <w:rFonts w:ascii="Times New Roman" w:hAnsi="Times New Roman" w:cs="Times New Roman"/>
          <w:sz w:val="24"/>
          <w:szCs w:val="24"/>
        </w:rPr>
        <w:lastRenderedPageBreak/>
        <w:t>evidence drawn from other national contexts is identified explicitly and discussed as comparative background rather than as direct evidence for U.S. practice.</w:t>
      </w:r>
    </w:p>
    <w:p w14:paraId="70D6B87F" w14:textId="6B616B17" w:rsidR="00E879CF" w:rsidRPr="007924E9" w:rsidRDefault="00E879CF" w:rsidP="00E879CF">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1. Major Gastrointestinal Cancers, Prevention Strategies, Screening Availability, and Marketing Challenges</w:t>
      </w:r>
    </w:p>
    <w:tbl>
      <w:tblPr>
        <w:tblStyle w:val="TableGrid"/>
        <w:tblW w:w="0" w:type="auto"/>
        <w:tblLook w:val="04A0" w:firstRow="1" w:lastRow="0" w:firstColumn="1" w:lastColumn="0" w:noHBand="0" w:noVBand="1"/>
      </w:tblPr>
      <w:tblGrid>
        <w:gridCol w:w="1323"/>
        <w:gridCol w:w="1729"/>
        <w:gridCol w:w="2385"/>
        <w:gridCol w:w="1748"/>
        <w:gridCol w:w="1831"/>
      </w:tblGrid>
      <w:tr w:rsidR="00E879CF" w:rsidRPr="007924E9" w14:paraId="102FF0AB" w14:textId="77777777" w:rsidTr="00E879CF">
        <w:tc>
          <w:tcPr>
            <w:tcW w:w="0" w:type="auto"/>
            <w:hideMark/>
          </w:tcPr>
          <w:p w14:paraId="3F70684B"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Cancer</w:t>
            </w:r>
          </w:p>
        </w:tc>
        <w:tc>
          <w:tcPr>
            <w:tcW w:w="0" w:type="auto"/>
            <w:hideMark/>
          </w:tcPr>
          <w:p w14:paraId="565DE6CD"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Global Burden</w:t>
            </w:r>
          </w:p>
        </w:tc>
        <w:tc>
          <w:tcPr>
            <w:tcW w:w="0" w:type="auto"/>
            <w:hideMark/>
          </w:tcPr>
          <w:p w14:paraId="6B6C3357"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Main Prevention Strategies</w:t>
            </w:r>
          </w:p>
        </w:tc>
        <w:tc>
          <w:tcPr>
            <w:tcW w:w="0" w:type="auto"/>
            <w:hideMark/>
          </w:tcPr>
          <w:p w14:paraId="30FA8DE3"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Screening Availability</w:t>
            </w:r>
          </w:p>
        </w:tc>
        <w:tc>
          <w:tcPr>
            <w:tcW w:w="0" w:type="auto"/>
            <w:hideMark/>
          </w:tcPr>
          <w:p w14:paraId="17220BEB"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Major Marketing Challenge</w:t>
            </w:r>
          </w:p>
        </w:tc>
      </w:tr>
      <w:tr w:rsidR="00E879CF" w:rsidRPr="007924E9" w14:paraId="589E7C91" w14:textId="77777777" w:rsidTr="00E879CF">
        <w:tc>
          <w:tcPr>
            <w:tcW w:w="0" w:type="auto"/>
            <w:hideMark/>
          </w:tcPr>
          <w:p w14:paraId="1A308FBD"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Colorectal</w:t>
            </w:r>
          </w:p>
        </w:tc>
        <w:tc>
          <w:tcPr>
            <w:tcW w:w="0" w:type="auto"/>
            <w:hideMark/>
          </w:tcPr>
          <w:p w14:paraId="5407014D"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c>
          <w:tcPr>
            <w:tcW w:w="0" w:type="auto"/>
            <w:hideMark/>
          </w:tcPr>
          <w:p w14:paraId="2BC9D74B"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Healthy lifestyle, FIT, colonoscopy</w:t>
            </w:r>
          </w:p>
        </w:tc>
        <w:tc>
          <w:tcPr>
            <w:tcW w:w="0" w:type="auto"/>
            <w:hideMark/>
          </w:tcPr>
          <w:p w14:paraId="7955166F"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Yes</w:t>
            </w:r>
          </w:p>
        </w:tc>
        <w:tc>
          <w:tcPr>
            <w:tcW w:w="0" w:type="auto"/>
            <w:hideMark/>
          </w:tcPr>
          <w:p w14:paraId="504A9762"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Low screening participation</w:t>
            </w:r>
          </w:p>
        </w:tc>
      </w:tr>
      <w:tr w:rsidR="00E879CF" w:rsidRPr="007924E9" w14:paraId="0FB55905" w14:textId="77777777" w:rsidTr="00E879CF">
        <w:tc>
          <w:tcPr>
            <w:tcW w:w="0" w:type="auto"/>
            <w:hideMark/>
          </w:tcPr>
          <w:p w14:paraId="531DAB14"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Gastric</w:t>
            </w:r>
          </w:p>
        </w:tc>
        <w:tc>
          <w:tcPr>
            <w:tcW w:w="0" w:type="auto"/>
            <w:hideMark/>
          </w:tcPr>
          <w:p w14:paraId="34390764"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 (particularly in Asia)</w:t>
            </w:r>
          </w:p>
        </w:tc>
        <w:tc>
          <w:tcPr>
            <w:tcW w:w="0" w:type="auto"/>
            <w:hideMark/>
          </w:tcPr>
          <w:p w14:paraId="0ADD5B1A"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i/>
                <w:iCs/>
                <w:kern w:val="0"/>
                <w:sz w:val="24"/>
                <w:szCs w:val="24"/>
                <w:lang w:eastAsia="en-GB"/>
                <w14:ligatures w14:val="none"/>
              </w:rPr>
              <w:t>Helicobacter pylori</w:t>
            </w:r>
            <w:r w:rsidRPr="007924E9">
              <w:rPr>
                <w:rFonts w:ascii="Times New Roman" w:eastAsia="Times New Roman" w:hAnsi="Times New Roman" w:cs="Times New Roman"/>
                <w:kern w:val="0"/>
                <w:sz w:val="24"/>
                <w:szCs w:val="24"/>
                <w:lang w:eastAsia="en-GB"/>
                <w14:ligatures w14:val="none"/>
              </w:rPr>
              <w:t xml:space="preserve"> eradication, dietary modification</w:t>
            </w:r>
          </w:p>
        </w:tc>
        <w:tc>
          <w:tcPr>
            <w:tcW w:w="0" w:type="auto"/>
            <w:hideMark/>
          </w:tcPr>
          <w:p w14:paraId="68FCAAC4"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Limited</w:t>
            </w:r>
          </w:p>
        </w:tc>
        <w:tc>
          <w:tcPr>
            <w:tcW w:w="0" w:type="auto"/>
            <w:hideMark/>
          </w:tcPr>
          <w:p w14:paraId="4030157E"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Low awareness</w:t>
            </w:r>
          </w:p>
        </w:tc>
      </w:tr>
      <w:tr w:rsidR="00E879CF" w:rsidRPr="007924E9" w14:paraId="35759C2A" w14:textId="77777777" w:rsidTr="00E879CF">
        <w:tc>
          <w:tcPr>
            <w:tcW w:w="0" w:type="auto"/>
            <w:hideMark/>
          </w:tcPr>
          <w:p w14:paraId="3B24CAEA"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Liver</w:t>
            </w:r>
          </w:p>
        </w:tc>
        <w:tc>
          <w:tcPr>
            <w:tcW w:w="0" w:type="auto"/>
            <w:hideMark/>
          </w:tcPr>
          <w:p w14:paraId="0D895265"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Increasing</w:t>
            </w:r>
          </w:p>
        </w:tc>
        <w:tc>
          <w:tcPr>
            <w:tcW w:w="0" w:type="auto"/>
            <w:hideMark/>
          </w:tcPr>
          <w:p w14:paraId="682AA8EE"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Hepatitis B vaccination, hepatitis C treatment</w:t>
            </w:r>
          </w:p>
        </w:tc>
        <w:tc>
          <w:tcPr>
            <w:tcW w:w="0" w:type="auto"/>
            <w:hideMark/>
          </w:tcPr>
          <w:p w14:paraId="479FB429"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High-risk surveillance</w:t>
            </w:r>
          </w:p>
        </w:tc>
        <w:tc>
          <w:tcPr>
            <w:tcW w:w="0" w:type="auto"/>
            <w:hideMark/>
          </w:tcPr>
          <w:p w14:paraId="54CF72D8"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Poor adherence</w:t>
            </w:r>
          </w:p>
        </w:tc>
      </w:tr>
      <w:tr w:rsidR="00E879CF" w:rsidRPr="007924E9" w14:paraId="44283F63" w14:textId="77777777" w:rsidTr="00E879CF">
        <w:tc>
          <w:tcPr>
            <w:tcW w:w="0" w:type="auto"/>
            <w:hideMark/>
          </w:tcPr>
          <w:p w14:paraId="7BF4CCF9"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Pancreatic</w:t>
            </w:r>
          </w:p>
        </w:tc>
        <w:tc>
          <w:tcPr>
            <w:tcW w:w="0" w:type="auto"/>
            <w:hideMark/>
          </w:tcPr>
          <w:p w14:paraId="796864DD"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Rising</w:t>
            </w:r>
          </w:p>
        </w:tc>
        <w:tc>
          <w:tcPr>
            <w:tcW w:w="0" w:type="auto"/>
            <w:hideMark/>
          </w:tcPr>
          <w:p w14:paraId="34F26E98"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Risk-factor modification</w:t>
            </w:r>
          </w:p>
        </w:tc>
        <w:tc>
          <w:tcPr>
            <w:tcW w:w="0" w:type="auto"/>
            <w:hideMark/>
          </w:tcPr>
          <w:p w14:paraId="53897DE2"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High-risk populations only</w:t>
            </w:r>
          </w:p>
        </w:tc>
        <w:tc>
          <w:tcPr>
            <w:tcW w:w="0" w:type="auto"/>
            <w:hideMark/>
          </w:tcPr>
          <w:p w14:paraId="5CAF1793"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Difficult targeting</w:t>
            </w:r>
          </w:p>
        </w:tc>
      </w:tr>
      <w:tr w:rsidR="00E879CF" w:rsidRPr="007924E9" w14:paraId="6A50D0CA" w14:textId="77777777" w:rsidTr="00E879CF">
        <w:tc>
          <w:tcPr>
            <w:tcW w:w="0" w:type="auto"/>
            <w:hideMark/>
          </w:tcPr>
          <w:p w14:paraId="5714A2C3"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Esophageal</w:t>
            </w:r>
            <w:proofErr w:type="spellEnd"/>
          </w:p>
        </w:tc>
        <w:tc>
          <w:tcPr>
            <w:tcW w:w="0" w:type="auto"/>
            <w:hideMark/>
          </w:tcPr>
          <w:p w14:paraId="4DB4FEF6"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Regionally high</w:t>
            </w:r>
          </w:p>
        </w:tc>
        <w:tc>
          <w:tcPr>
            <w:tcW w:w="0" w:type="auto"/>
            <w:hideMark/>
          </w:tcPr>
          <w:p w14:paraId="33A60154"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Smoking cessation, alcohol reduction</w:t>
            </w:r>
          </w:p>
        </w:tc>
        <w:tc>
          <w:tcPr>
            <w:tcW w:w="0" w:type="auto"/>
            <w:hideMark/>
          </w:tcPr>
          <w:p w14:paraId="028DC4D1"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Limited</w:t>
            </w:r>
          </w:p>
        </w:tc>
        <w:tc>
          <w:tcPr>
            <w:tcW w:w="0" w:type="auto"/>
            <w:hideMark/>
          </w:tcPr>
          <w:p w14:paraId="13C43C7A"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Low awareness</w:t>
            </w:r>
          </w:p>
        </w:tc>
      </w:tr>
    </w:tbl>
    <w:p w14:paraId="1E46F0C0" w14:textId="77777777" w:rsidR="00E879CF" w:rsidRPr="007924E9" w:rsidRDefault="00E879CF" w:rsidP="00E879CF">
      <w:pPr>
        <w:spacing w:line="360" w:lineRule="auto"/>
        <w:jc w:val="both"/>
        <w:rPr>
          <w:rFonts w:ascii="Times New Roman" w:hAnsi="Times New Roman" w:cs="Times New Roman"/>
          <w:sz w:val="24"/>
          <w:szCs w:val="24"/>
        </w:rPr>
      </w:pPr>
    </w:p>
    <w:p w14:paraId="0A199E2B" w14:textId="6CA1BA6F" w:rsidR="00774C89" w:rsidRPr="007924E9" w:rsidRDefault="00774C89" w:rsidP="00774C89">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2. Conceptual Foundations of Marketing Analytics in Healthcare</w:t>
      </w:r>
    </w:p>
    <w:p w14:paraId="49B830A0" w14:textId="00ECFA98" w:rsidR="00B420FE" w:rsidRPr="007924E9" w:rsidRDefault="00B420FE" w:rsidP="00774C89">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Marketing analytics is the process that involves the systematic gathering, measuring, </w:t>
      </w:r>
      <w:proofErr w:type="spellStart"/>
      <w:r w:rsidRPr="007924E9">
        <w:rPr>
          <w:rFonts w:ascii="Times New Roman" w:hAnsi="Times New Roman" w:cs="Times New Roman"/>
          <w:sz w:val="24"/>
          <w:szCs w:val="24"/>
        </w:rPr>
        <w:t>analyzing</w:t>
      </w:r>
      <w:proofErr w:type="spellEnd"/>
      <w:r w:rsidRPr="007924E9">
        <w:rPr>
          <w:rFonts w:ascii="Times New Roman" w:hAnsi="Times New Roman" w:cs="Times New Roman"/>
          <w:sz w:val="24"/>
          <w:szCs w:val="24"/>
        </w:rPr>
        <w:t xml:space="preserve">, and interpretation of information in order to make sound marketing decisions and enhance the performance of an organization (Yap et al., 2023). Marketing analytics has changed significantly from being based mainly on conventional market research and demographics to being based on digital technology, artificial intelligence (AI), and predictive analytics (Sebastian &amp; Peter, 2022; </w:t>
      </w:r>
      <w:proofErr w:type="spellStart"/>
      <w:r w:rsidRPr="007924E9">
        <w:rPr>
          <w:rFonts w:ascii="Times New Roman" w:hAnsi="Times New Roman" w:cs="Times New Roman"/>
          <w:sz w:val="24"/>
          <w:szCs w:val="24"/>
        </w:rPr>
        <w:t>Huhulea</w:t>
      </w:r>
      <w:proofErr w:type="spellEnd"/>
      <w:r w:rsidRPr="007924E9">
        <w:rPr>
          <w:rFonts w:ascii="Times New Roman" w:hAnsi="Times New Roman" w:cs="Times New Roman"/>
          <w:sz w:val="24"/>
          <w:szCs w:val="24"/>
        </w:rPr>
        <w:t xml:space="preserve"> et al., 2025). Some of the important aspects of marketing analytics are data gathering, segmentation of customers, performance measurements, predictive models, and analysis of marketing metrics like reach, engagement, conversions, and retention. Whereas conventional marketing stresses mass communication and digital marketing emphasizes online and digital media, marketing analytics uses information gathered from various sources to get customer insights (Yap et al., 2023; Ogu et al., 2026).</w:t>
      </w:r>
    </w:p>
    <w:p w14:paraId="4DD71E31" w14:textId="23E44D9D" w:rsidR="00B420FE" w:rsidRPr="007924E9" w:rsidRDefault="00B420FE" w:rsidP="00774C89">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However, marketing analytics in the healthcare industry is not only about marketing healthcare services but also includes patient-centeredness and improvement of the health outcomes of the population. Specifically, patient-</w:t>
      </w:r>
      <w:proofErr w:type="spellStart"/>
      <w:r w:rsidRPr="007924E9">
        <w:rPr>
          <w:rFonts w:ascii="Times New Roman" w:hAnsi="Times New Roman" w:cs="Times New Roman"/>
          <w:sz w:val="24"/>
          <w:szCs w:val="24"/>
        </w:rPr>
        <w:t>centered</w:t>
      </w:r>
      <w:proofErr w:type="spellEnd"/>
      <w:r w:rsidRPr="007924E9">
        <w:rPr>
          <w:rFonts w:ascii="Times New Roman" w:hAnsi="Times New Roman" w:cs="Times New Roman"/>
          <w:sz w:val="24"/>
          <w:szCs w:val="24"/>
        </w:rPr>
        <w:t xml:space="preserve"> marketing is about understanding the needs and preferences of individuals to provide them with customized healthcare services and </w:t>
      </w:r>
      <w:r w:rsidRPr="007924E9">
        <w:rPr>
          <w:rFonts w:ascii="Times New Roman" w:hAnsi="Times New Roman" w:cs="Times New Roman"/>
          <w:sz w:val="24"/>
          <w:szCs w:val="24"/>
        </w:rPr>
        <w:lastRenderedPageBreak/>
        <w:t xml:space="preserve">communication, while population health marketing is targeted at certain communities or demographic groups to improve their health outcomes (Yap et al., 2023). Social marketing involves application of marketing techniques to influence people to engage in voluntary activities that benefit society, whereas precision marketing utilizes information from various aspects to provide personalized interventions for certain patients (Khaliq et al., 2022; </w:t>
      </w:r>
      <w:proofErr w:type="spellStart"/>
      <w:r w:rsidRPr="007924E9">
        <w:rPr>
          <w:rFonts w:ascii="Times New Roman" w:hAnsi="Times New Roman" w:cs="Times New Roman"/>
          <w:sz w:val="24"/>
          <w:szCs w:val="24"/>
        </w:rPr>
        <w:t>Domegan</w:t>
      </w:r>
      <w:proofErr w:type="spellEnd"/>
      <w:r w:rsidRPr="007924E9">
        <w:rPr>
          <w:rFonts w:ascii="Times New Roman" w:hAnsi="Times New Roman" w:cs="Times New Roman"/>
          <w:sz w:val="24"/>
          <w:szCs w:val="24"/>
        </w:rPr>
        <w:t>, 2021). Marketing in the healthcare sector differs from commercial marketing by the fact that it places more emphasis on such issues as health equity, ethics, engagement, and health outcomes than on sales and performance (</w:t>
      </w:r>
      <w:proofErr w:type="spellStart"/>
      <w:r w:rsidRPr="007924E9">
        <w:rPr>
          <w:rFonts w:ascii="Times New Roman" w:hAnsi="Times New Roman" w:cs="Times New Roman"/>
          <w:sz w:val="24"/>
          <w:szCs w:val="24"/>
        </w:rPr>
        <w:t>Biroscak</w:t>
      </w:r>
      <w:proofErr w:type="spellEnd"/>
      <w:r w:rsidRPr="007924E9">
        <w:rPr>
          <w:rFonts w:ascii="Times New Roman" w:hAnsi="Times New Roman" w:cs="Times New Roman"/>
          <w:sz w:val="24"/>
          <w:szCs w:val="24"/>
        </w:rPr>
        <w:t xml:space="preserve"> et al., 2025; </w:t>
      </w:r>
      <w:r w:rsidR="00523511" w:rsidRPr="00523511">
        <w:rPr>
          <w:rFonts w:ascii="Times New Roman" w:hAnsi="Times New Roman" w:cs="Times New Roman"/>
          <w:sz w:val="24"/>
          <w:szCs w:val="24"/>
        </w:rPr>
        <w:t>Engelhart et al., 2025</w:t>
      </w:r>
      <w:r w:rsidR="00650AFE">
        <w:rPr>
          <w:rFonts w:ascii="Times New Roman" w:hAnsi="Times New Roman" w:cs="Times New Roman"/>
          <w:sz w:val="24"/>
          <w:szCs w:val="24"/>
        </w:rPr>
        <w:t xml:space="preserve">; </w:t>
      </w:r>
      <w:r w:rsidRPr="007924E9">
        <w:rPr>
          <w:rFonts w:ascii="Times New Roman" w:hAnsi="Times New Roman" w:cs="Times New Roman"/>
          <w:sz w:val="24"/>
          <w:szCs w:val="24"/>
        </w:rPr>
        <w:t>Kwon et al., 2025).</w:t>
      </w:r>
    </w:p>
    <w:p w14:paraId="520D1310" w14:textId="372E014D" w:rsidR="00774C89" w:rsidRPr="007924E9" w:rsidRDefault="00B420FE" w:rsidP="00774C89">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Marketing analytics is crucial in the process of cancer prevention as it helps to facilitate proper risk communication, optimize the awareness campaigns, encourage screening participation, better allocate resources, and engage patients. By using marketing analytics tools, healthcare facilities are able to detect populations at higher risk, measure campaign effectiveness, tailor health communication materials and distribute their resources more efficiently to those populations that have the highest need (Ewing et al., 2023; Mizota &amp; Yamamoto, 2021). Moreover, recent developments in terms of AI and predictive analytics have made it possible to detect risks earlier and personalize screening programs as well as to make the prevention process more efficient (Matsubayashi et al., 2024;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et al., 2026;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2026). When considering GI cancers, marketing analytics offers a useful toolkit for bringing together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clinical and population data in order to promote awareness, encourage screening and eliminate disparities. It is this marketing analytics toolkit, rather than artificial intelligence or population health methods considered on their own, that forms the organizing lens for the remainder of this review.</w:t>
      </w:r>
    </w:p>
    <w:p w14:paraId="2A5801DE" w14:textId="77777777" w:rsidR="00B420FE" w:rsidRPr="007924E9" w:rsidRDefault="00B420FE" w:rsidP="00774C89">
      <w:pPr>
        <w:spacing w:line="360" w:lineRule="auto"/>
        <w:jc w:val="both"/>
        <w:rPr>
          <w:rFonts w:ascii="Times New Roman" w:hAnsi="Times New Roman" w:cs="Times New Roman"/>
          <w:sz w:val="24"/>
          <w:szCs w:val="24"/>
        </w:rPr>
      </w:pPr>
    </w:p>
    <w:p w14:paraId="1DE11C4D" w14:textId="4A83A413"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 Gastrointestinal Cancer Prevention and Early Detection Landscape</w:t>
      </w:r>
    </w:p>
    <w:p w14:paraId="1C393AD7" w14:textId="41C480D3"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3.1 Epidemiology of GI Cancers</w:t>
      </w:r>
    </w:p>
    <w:p w14:paraId="174A27D2" w14:textId="1E564E32" w:rsidR="00B420FE" w:rsidRPr="007924E9" w:rsidRDefault="00B420FE" w:rsidP="00B420FE">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GI cancers including colorectal cancer, gastric cancer, liver cancer, pancreatic cancer, and </w:t>
      </w:r>
      <w:proofErr w:type="spellStart"/>
      <w:r w:rsidRPr="007924E9">
        <w:rPr>
          <w:rFonts w:ascii="Times New Roman" w:hAnsi="Times New Roman" w:cs="Times New Roman"/>
          <w:sz w:val="24"/>
          <w:szCs w:val="24"/>
        </w:rPr>
        <w:t>esophageal</w:t>
      </w:r>
      <w:proofErr w:type="spellEnd"/>
      <w:r w:rsidRPr="007924E9">
        <w:rPr>
          <w:rFonts w:ascii="Times New Roman" w:hAnsi="Times New Roman" w:cs="Times New Roman"/>
          <w:sz w:val="24"/>
          <w:szCs w:val="24"/>
        </w:rPr>
        <w:t xml:space="preserve"> cancer, are responsible for a large portion of the cancer disease burden in the world. Recently discovered epidemiological data show the trend toward rising cancer incidence rates especially in young people who develop early-onset GI cancers (Gong et al., 2025). Colorectal cancer is one of the most common types of GI malignancies in the world while gastric cancer is still prevalent in Asian countries. Liver, pancreatic, and </w:t>
      </w:r>
      <w:proofErr w:type="spellStart"/>
      <w:r w:rsidRPr="007924E9">
        <w:rPr>
          <w:rFonts w:ascii="Times New Roman" w:hAnsi="Times New Roman" w:cs="Times New Roman"/>
          <w:sz w:val="24"/>
          <w:szCs w:val="24"/>
        </w:rPr>
        <w:t>esophageal</w:t>
      </w:r>
      <w:proofErr w:type="spellEnd"/>
      <w:r w:rsidRPr="007924E9">
        <w:rPr>
          <w:rFonts w:ascii="Times New Roman" w:hAnsi="Times New Roman" w:cs="Times New Roman"/>
          <w:sz w:val="24"/>
          <w:szCs w:val="24"/>
        </w:rPr>
        <w:t xml:space="preserve"> cancers are also </w:t>
      </w:r>
      <w:r w:rsidRPr="007924E9">
        <w:rPr>
          <w:rFonts w:ascii="Times New Roman" w:hAnsi="Times New Roman" w:cs="Times New Roman"/>
          <w:sz w:val="24"/>
          <w:szCs w:val="24"/>
        </w:rPr>
        <w:lastRenderedPageBreak/>
        <w:t>responsible for increased mortality rates since they are often detected at later stages of their development which means the limited possibilities of effective treatment (Beniwal et al., 2023; Dahiya et al., 2025).</w:t>
      </w:r>
    </w:p>
    <w:p w14:paraId="53D86B40" w14:textId="2BD49545" w:rsidR="00E42E95" w:rsidRPr="007924E9" w:rsidRDefault="00B420FE" w:rsidP="00B420FE">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There are great disparities between the cancer burden among different geographic areas which depend on different aspects such as lifestyles, environmental factors, healthcare conditions, the opportunities for prevention, and socioeconomic status (Gong et al., 2025). While high-income countries were able to establish organized screening for colorectal cancer, many low- and middle-income countries still have problems with late diagnoses and preventive services.</w:t>
      </w:r>
    </w:p>
    <w:p w14:paraId="30976A3E" w14:textId="77777777" w:rsidR="00E42E95" w:rsidRPr="007924E9" w:rsidRDefault="00E42E95" w:rsidP="00E42E95">
      <w:pPr>
        <w:spacing w:line="360" w:lineRule="auto"/>
        <w:jc w:val="both"/>
        <w:rPr>
          <w:rFonts w:ascii="Times New Roman" w:hAnsi="Times New Roman" w:cs="Times New Roman"/>
          <w:sz w:val="24"/>
          <w:szCs w:val="24"/>
        </w:rPr>
      </w:pPr>
    </w:p>
    <w:p w14:paraId="3CEAC5C6" w14:textId="1A46EE4A"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3.2 Prevention Strategies</w:t>
      </w:r>
    </w:p>
    <w:p w14:paraId="2B9CB6FF" w14:textId="77777777" w:rsidR="00B420FE" w:rsidRPr="007924E9" w:rsidRDefault="00B420FE" w:rsidP="00B420FE">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GI cancers' prevention includes primary and secondary interventions, both of which are designed to lower incidences and enhance early diagnosis. Prevention efforts of the primary type include avoiding exposures to preventable factors through maintaining healthy eating habits, physical exercise, quitting smoking, limiting alcohol intake, weight loss, and vaccinating against Hepatitis B to lower the risk of liver cancer (Dahiya et al., 2025). The removal of Helicobacter pylori infection is another crucial intervention when aiming at preventing gastric cancer. Public health campaigns play their part in spreading information about the need to adopt healthy lifestyles and knowledge of cancer risk factors (Beniwal et al., 2023).</w:t>
      </w:r>
    </w:p>
    <w:p w14:paraId="42261368" w14:textId="77777777" w:rsidR="00B420FE" w:rsidRPr="007924E9" w:rsidRDefault="00B420FE" w:rsidP="00B420FE">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Secondly, the main objective of secondary prevention is to detect any precancerous changes or early cancer through screening and surveillance programs. There is evidence of the efficacy of FIT, colonoscopy, and stool DNA for colorectal cancer, while endoscopy screening can be applied to gastric cancer cases in high-risk groups (Beniwal et al., 2023; Greene et al., 2024). Screening of high-risk patients for liver cancer and certain groups of pancreatic cancer adds to early detection, showing that combination of preventive healthcare measures and appropriate screening techniques greatly increases positive outcomes.</w:t>
      </w:r>
    </w:p>
    <w:p w14:paraId="6EB51C17" w14:textId="491EEAE4" w:rsidR="00E42E95" w:rsidRPr="007924E9" w:rsidRDefault="00E42E95" w:rsidP="00B420FE">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3.3 Early Detection and Screening</w:t>
      </w:r>
    </w:p>
    <w:p w14:paraId="654E780F" w14:textId="60B22B6B" w:rsidR="00E42E95" w:rsidRPr="007924E9" w:rsidRDefault="00B420FE" w:rsidP="00E42E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Early detection continues to be among the most efficacious approaches to lowering GI cancer deaths. Among the most developed are the colorectal cancer screening methods, including the FIT test, colonoscopy, and stool DNA test, which have proven to be efficient tools to identify pre-cancerous lesions and early stages of the disease (Beniwal et al., 2023; Greene et al., 2024). </w:t>
      </w:r>
      <w:r w:rsidRPr="007924E9">
        <w:rPr>
          <w:rFonts w:ascii="Times New Roman" w:hAnsi="Times New Roman" w:cs="Times New Roman"/>
          <w:sz w:val="24"/>
          <w:szCs w:val="24"/>
        </w:rPr>
        <w:lastRenderedPageBreak/>
        <w:t>Endoscopic examination is used mostly to screen for gastric cancer, especially in areas with a high incidence rate of the disease. In addition, AI technology is increasingly used to facilitate the diagnosis during endoscopic examination (Matsubayashi et al., 2024). Liver cancer screening includes imaging and biomarker analysis for patients at high risk of developing the disease. Pancreatic cancer surveillance involves only patients at high risk due to hereditary factors and others (Dahiya et al., 2025).</w:t>
      </w:r>
    </w:p>
    <w:p w14:paraId="30EDF97E" w14:textId="0B5959FE"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3.4 Barriers to Prevention and Screening</w:t>
      </w:r>
    </w:p>
    <w:p w14:paraId="7D97D398" w14:textId="7AF4A862" w:rsidR="00E42E95" w:rsidRPr="007924E9" w:rsidRDefault="00B420FE" w:rsidP="00E42E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In spite of existing evidence-based approaches to preventive care and screening, there are numerous obstacles preventing people from engaging in GI cancer prevention programs. Individual barriers consist of low awareness, fear of diagnoses, avoiding information, and lack of knowledge of how to get screened (</w:t>
      </w:r>
      <w:proofErr w:type="spellStart"/>
      <w:r w:rsidRPr="007924E9">
        <w:rPr>
          <w:rFonts w:ascii="Times New Roman" w:hAnsi="Times New Roman" w:cs="Times New Roman"/>
          <w:sz w:val="24"/>
          <w:szCs w:val="24"/>
        </w:rPr>
        <w:t>Orom</w:t>
      </w:r>
      <w:proofErr w:type="spellEnd"/>
      <w:r w:rsidRPr="007924E9">
        <w:rPr>
          <w:rFonts w:ascii="Times New Roman" w:hAnsi="Times New Roman" w:cs="Times New Roman"/>
          <w:sz w:val="24"/>
          <w:szCs w:val="24"/>
        </w:rPr>
        <w:t xml:space="preserve"> et al., 2024; Alvarez-Lopez et al., 2025). Provider barriers involve lack of consistency in recommendations and patient education. System barriers include poor accessibility, lack of transportation means, and financial problems (Lee et al., 2023; Ewing et al., 2024). Moreover, socioeconomic differences, cultural beliefs,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obstacles, and limited access to digital health technologies contribute to inequalities in screening (Jang et al., 2022; Kwon et al., 2025).</w:t>
      </w:r>
    </w:p>
    <w:p w14:paraId="134B575B" w14:textId="77777777" w:rsidR="00B420FE" w:rsidRPr="007924E9" w:rsidRDefault="00B420FE" w:rsidP="00E42E95">
      <w:pPr>
        <w:spacing w:line="360" w:lineRule="auto"/>
        <w:jc w:val="both"/>
        <w:rPr>
          <w:rFonts w:ascii="Times New Roman" w:hAnsi="Times New Roman" w:cs="Times New Roman"/>
          <w:sz w:val="24"/>
          <w:szCs w:val="24"/>
        </w:rPr>
      </w:pPr>
    </w:p>
    <w:p w14:paraId="23C20F81" w14:textId="29E3E85C"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 Marketing Analytics Applications in GI Cancer Prevention and Early Detection</w:t>
      </w:r>
    </w:p>
    <w:p w14:paraId="44C177B6" w14:textId="119375A0"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4.1 Data Sources</w:t>
      </w:r>
    </w:p>
    <w:p w14:paraId="11758BDD" w14:textId="4D0DC429" w:rsidR="00B420FE" w:rsidRPr="007924E9" w:rsidRDefault="00B420FE" w:rsidP="00B420FE">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Marketing analytics depend on various types of data that offer comprehensive data about patients' traits, their utilization of health services and screening practices. EHRs, health insurance claims, cancer registries and screening databases offer useful data about the target population's clinical and demographic information, helping to identify high-risk groups, monitor compliance with screening practices and determine the success of interventions (</w:t>
      </w:r>
      <w:proofErr w:type="spellStart"/>
      <w:r w:rsidRPr="007924E9">
        <w:rPr>
          <w:rFonts w:ascii="Times New Roman" w:hAnsi="Times New Roman" w:cs="Times New Roman"/>
          <w:sz w:val="24"/>
          <w:szCs w:val="24"/>
        </w:rPr>
        <w:t>Filani</w:t>
      </w:r>
      <w:proofErr w:type="spellEnd"/>
      <w:r w:rsidRPr="007924E9">
        <w:rPr>
          <w:rFonts w:ascii="Times New Roman" w:hAnsi="Times New Roman" w:cs="Times New Roman"/>
          <w:sz w:val="24"/>
          <w:szCs w:val="24"/>
        </w:rPr>
        <w:t xml:space="preserve"> &amp; Opoku, 2025; Silas &amp; Adjaottor, 2026). Structured data from the field of healthcare helps organizations to implement preventive campaigns and make decisions based on evidence.</w:t>
      </w:r>
    </w:p>
    <w:p w14:paraId="4B9938F7" w14:textId="2E389DE2" w:rsidR="00E42E95" w:rsidRPr="007924E9" w:rsidRDefault="00B420FE" w:rsidP="00B420FE">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However, there is an array of other sources of information that can be used in marketing analytics alongside clinical data. Wearable technology, social media, Google Trends, mHealth applications, consumer databases, and CRM systems provide organizations with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data to increase segmentation and personalize campaigns (Sebastian &amp; Peter, 2022; </w:t>
      </w:r>
      <w:proofErr w:type="spellStart"/>
      <w:r w:rsidRPr="007924E9">
        <w:rPr>
          <w:rFonts w:ascii="Times New Roman" w:hAnsi="Times New Roman" w:cs="Times New Roman"/>
          <w:sz w:val="24"/>
          <w:szCs w:val="24"/>
        </w:rPr>
        <w:t>Huhulea</w:t>
      </w:r>
      <w:proofErr w:type="spellEnd"/>
      <w:r w:rsidRPr="007924E9">
        <w:rPr>
          <w:rFonts w:ascii="Times New Roman" w:hAnsi="Times New Roman" w:cs="Times New Roman"/>
          <w:sz w:val="24"/>
          <w:szCs w:val="24"/>
        </w:rPr>
        <w:t xml:space="preserve"> et al., 2025; Yap et al., 2023). By combining data from all these sources, healthcare organizations </w:t>
      </w:r>
      <w:r w:rsidRPr="007924E9">
        <w:rPr>
          <w:rFonts w:ascii="Times New Roman" w:hAnsi="Times New Roman" w:cs="Times New Roman"/>
          <w:sz w:val="24"/>
          <w:szCs w:val="24"/>
        </w:rPr>
        <w:lastRenderedPageBreak/>
        <w:t xml:space="preserve">are able to know more about the needs of patients and predict their screening </w:t>
      </w:r>
      <w:proofErr w:type="spellStart"/>
      <w:r w:rsidRPr="007924E9">
        <w:rPr>
          <w:rFonts w:ascii="Times New Roman" w:hAnsi="Times New Roman" w:cs="Times New Roman"/>
          <w:sz w:val="24"/>
          <w:szCs w:val="24"/>
        </w:rPr>
        <w:t>behaviors</w:t>
      </w:r>
      <w:proofErr w:type="spellEnd"/>
      <w:r w:rsidRPr="007924E9">
        <w:rPr>
          <w:rFonts w:ascii="Times New Roman" w:hAnsi="Times New Roman" w:cs="Times New Roman"/>
          <w:sz w:val="24"/>
          <w:szCs w:val="24"/>
        </w:rPr>
        <w:t xml:space="preserve"> to plan interventions that help prevent gastrointestinal cancers.</w:t>
      </w:r>
    </w:p>
    <w:p w14:paraId="43C23C0D" w14:textId="77777777" w:rsidR="00B420FE" w:rsidRPr="007924E9" w:rsidRDefault="00B420FE" w:rsidP="00B420FE">
      <w:pPr>
        <w:spacing w:line="360" w:lineRule="auto"/>
        <w:jc w:val="both"/>
        <w:rPr>
          <w:rFonts w:ascii="Times New Roman" w:hAnsi="Times New Roman" w:cs="Times New Roman"/>
          <w:sz w:val="24"/>
          <w:szCs w:val="24"/>
        </w:rPr>
      </w:pPr>
    </w:p>
    <w:p w14:paraId="264B2159" w14:textId="368DD38F"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4.2 Marketing Analytics Techniques</w:t>
      </w:r>
    </w:p>
    <w:p w14:paraId="7D8B92A0" w14:textId="77777777" w:rsidR="00B420FE" w:rsidRPr="007924E9" w:rsidRDefault="00B420FE" w:rsidP="00E42E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Marketing analytics uses various analytical approaches that make healthcare data insightful. Classical statistical approaches play an essential role in defining screening patterns and assessing the results of interventions; on the other hand, the use of segmentation techniques is required to define populations based on certain demographic, geographic,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and clinical features for communicating effectively (Yap et al., 2023). In addition, predictive analytics and machine learning increase the opportunities for </w:t>
      </w:r>
      <w:proofErr w:type="spellStart"/>
      <w:r w:rsidRPr="007924E9">
        <w:rPr>
          <w:rFonts w:ascii="Times New Roman" w:hAnsi="Times New Roman" w:cs="Times New Roman"/>
          <w:sz w:val="24"/>
          <w:szCs w:val="24"/>
        </w:rPr>
        <w:t>analyzing</w:t>
      </w:r>
      <w:proofErr w:type="spellEnd"/>
      <w:r w:rsidRPr="007924E9">
        <w:rPr>
          <w:rFonts w:ascii="Times New Roman" w:hAnsi="Times New Roman" w:cs="Times New Roman"/>
          <w:sz w:val="24"/>
          <w:szCs w:val="24"/>
        </w:rPr>
        <w:t xml:space="preserve"> the risks of developing cancer and predict whether screening will be performed (Sebastian &amp; Peter, 2022;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et al., 2026). Recently, significant progress in AI technologies has been made in cancer diagnostics and risk analysis, especially in gastrointestinal cancer (Matsubayashi et al., 2024; </w:t>
      </w:r>
      <w:proofErr w:type="spellStart"/>
      <w:r w:rsidRPr="007924E9">
        <w:rPr>
          <w:rFonts w:ascii="Times New Roman" w:hAnsi="Times New Roman" w:cs="Times New Roman"/>
          <w:sz w:val="24"/>
          <w:szCs w:val="24"/>
        </w:rPr>
        <w:t>Huhulea</w:t>
      </w:r>
      <w:proofErr w:type="spellEnd"/>
      <w:r w:rsidRPr="007924E9">
        <w:rPr>
          <w:rFonts w:ascii="Times New Roman" w:hAnsi="Times New Roman" w:cs="Times New Roman"/>
          <w:sz w:val="24"/>
          <w:szCs w:val="24"/>
        </w:rPr>
        <w:t xml:space="preserve"> et al., 2025).</w:t>
      </w:r>
    </w:p>
    <w:p w14:paraId="0609013A" w14:textId="251DB7BF" w:rsidR="00C43DB8" w:rsidRPr="007924E9" w:rsidRDefault="00C43DB8" w:rsidP="00E42E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More analytical methods enhance the process of marketing decisions made during the patient experience. The customer journey analysis </w:t>
      </w:r>
      <w:proofErr w:type="spellStart"/>
      <w:r w:rsidRPr="007924E9">
        <w:rPr>
          <w:rFonts w:ascii="Times New Roman" w:hAnsi="Times New Roman" w:cs="Times New Roman"/>
          <w:sz w:val="24"/>
          <w:szCs w:val="24"/>
        </w:rPr>
        <w:t>analyzes</w:t>
      </w:r>
      <w:proofErr w:type="spellEnd"/>
      <w:r w:rsidRPr="007924E9">
        <w:rPr>
          <w:rFonts w:ascii="Times New Roman" w:hAnsi="Times New Roman" w:cs="Times New Roman"/>
          <w:sz w:val="24"/>
          <w:szCs w:val="24"/>
        </w:rPr>
        <w:t xml:space="preserve"> customer experiences at various stages of awareness, screening, diagnosis, and follow-up, while the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analysis reviews how patients respond to certain interventions and communication approaches. Geospatial analysis helps identify underserved populations and screening disparities, while the sentiment analysis </w:t>
      </w:r>
      <w:proofErr w:type="spellStart"/>
      <w:r w:rsidRPr="007924E9">
        <w:rPr>
          <w:rFonts w:ascii="Times New Roman" w:hAnsi="Times New Roman" w:cs="Times New Roman"/>
          <w:sz w:val="24"/>
          <w:szCs w:val="24"/>
        </w:rPr>
        <w:t>analyzes</w:t>
      </w:r>
      <w:proofErr w:type="spellEnd"/>
      <w:r w:rsidRPr="007924E9">
        <w:rPr>
          <w:rFonts w:ascii="Times New Roman" w:hAnsi="Times New Roman" w:cs="Times New Roman"/>
          <w:sz w:val="24"/>
          <w:szCs w:val="24"/>
        </w:rPr>
        <w:t xml:space="preserve"> attitudes held by the population about health issues in social media, and the network analysis is used to </w:t>
      </w:r>
      <w:proofErr w:type="spellStart"/>
      <w:r w:rsidRPr="007924E9">
        <w:rPr>
          <w:rFonts w:ascii="Times New Roman" w:hAnsi="Times New Roman" w:cs="Times New Roman"/>
          <w:sz w:val="24"/>
          <w:szCs w:val="24"/>
        </w:rPr>
        <w:t>analyze</w:t>
      </w:r>
      <w:proofErr w:type="spellEnd"/>
      <w:r w:rsidRPr="007924E9">
        <w:rPr>
          <w:rFonts w:ascii="Times New Roman" w:hAnsi="Times New Roman" w:cs="Times New Roman"/>
          <w:sz w:val="24"/>
          <w:szCs w:val="24"/>
        </w:rPr>
        <w:t xml:space="preserve"> the relationships that exist regarding the dissemination of health information in the community (</w:t>
      </w:r>
      <w:proofErr w:type="spellStart"/>
      <w:r w:rsidRPr="007924E9">
        <w:rPr>
          <w:rFonts w:ascii="Times New Roman" w:hAnsi="Times New Roman" w:cs="Times New Roman"/>
          <w:sz w:val="24"/>
          <w:szCs w:val="24"/>
        </w:rPr>
        <w:t>Ssemujju</w:t>
      </w:r>
      <w:proofErr w:type="spellEnd"/>
      <w:r w:rsidRPr="007924E9">
        <w:rPr>
          <w:rFonts w:ascii="Times New Roman" w:hAnsi="Times New Roman" w:cs="Times New Roman"/>
          <w:sz w:val="24"/>
          <w:szCs w:val="24"/>
        </w:rPr>
        <w:t xml:space="preserve"> &amp; Solomon, 2026;</w:t>
      </w:r>
      <w:r w:rsidR="00E90032">
        <w:rPr>
          <w:rFonts w:ascii="Times New Roman" w:hAnsi="Times New Roman" w:cs="Times New Roman"/>
          <w:sz w:val="24"/>
          <w:szCs w:val="24"/>
        </w:rPr>
        <w:t xml:space="preserve"> </w:t>
      </w:r>
      <w:r w:rsidR="00E90032" w:rsidRPr="00E90032">
        <w:rPr>
          <w:rFonts w:ascii="Times New Roman" w:hAnsi="Times New Roman" w:cs="Times New Roman"/>
          <w:sz w:val="24"/>
          <w:szCs w:val="24"/>
        </w:rPr>
        <w:t>Engelhart et al., 2025</w:t>
      </w:r>
      <w:r w:rsidR="00E90032">
        <w:rPr>
          <w:rFonts w:ascii="Times New Roman" w:hAnsi="Times New Roman" w:cs="Times New Roman"/>
          <w:sz w:val="24"/>
          <w:szCs w:val="24"/>
        </w:rPr>
        <w:t>;</w:t>
      </w:r>
      <w:r w:rsidRPr="007924E9">
        <w:rPr>
          <w:rFonts w:ascii="Times New Roman" w:hAnsi="Times New Roman" w:cs="Times New Roman"/>
          <w:sz w:val="24"/>
          <w:szCs w:val="24"/>
        </w:rPr>
        <w:t xml:space="preserve"> </w:t>
      </w:r>
      <w:proofErr w:type="spellStart"/>
      <w:r w:rsidRPr="007924E9">
        <w:rPr>
          <w:rFonts w:ascii="Times New Roman" w:hAnsi="Times New Roman" w:cs="Times New Roman"/>
          <w:sz w:val="24"/>
          <w:szCs w:val="24"/>
        </w:rPr>
        <w:t>Kubuafor</w:t>
      </w:r>
      <w:proofErr w:type="spellEnd"/>
      <w:r w:rsidRPr="007924E9">
        <w:rPr>
          <w:rFonts w:ascii="Times New Roman" w:hAnsi="Times New Roman" w:cs="Times New Roman"/>
          <w:sz w:val="24"/>
          <w:szCs w:val="24"/>
        </w:rPr>
        <w:t xml:space="preserve"> et al., 2025a; Ogu et al., 2026).</w:t>
      </w:r>
      <w:r w:rsidR="00A63B64">
        <w:rPr>
          <w:rFonts w:ascii="Times New Roman" w:hAnsi="Times New Roman" w:cs="Times New Roman"/>
          <w:sz w:val="24"/>
          <w:szCs w:val="24"/>
        </w:rPr>
        <w:t xml:space="preserve"> </w:t>
      </w:r>
      <w:r w:rsidR="00025E32" w:rsidRPr="00025E32">
        <w:rPr>
          <w:rFonts w:ascii="Times New Roman" w:hAnsi="Times New Roman" w:cs="Times New Roman"/>
          <w:sz w:val="24"/>
          <w:szCs w:val="24"/>
        </w:rPr>
        <w:t>Community-oriented approaches, including crowdsourcing, may provide additional opportunities to expand the reach of evidence-based health interventions (Ojo et al., 2024</w:t>
      </w:r>
      <w:r w:rsidR="00025E32">
        <w:rPr>
          <w:rFonts w:ascii="Times New Roman" w:hAnsi="Times New Roman" w:cs="Times New Roman"/>
          <w:sz w:val="24"/>
          <w:szCs w:val="24"/>
        </w:rPr>
        <w:t>b</w:t>
      </w:r>
      <w:r w:rsidR="00025E32" w:rsidRPr="00025E32">
        <w:rPr>
          <w:rFonts w:ascii="Times New Roman" w:hAnsi="Times New Roman" w:cs="Times New Roman"/>
          <w:sz w:val="24"/>
          <w:szCs w:val="24"/>
        </w:rPr>
        <w:t>).</w:t>
      </w:r>
      <w:r w:rsidR="00025E32">
        <w:rPr>
          <w:rFonts w:ascii="Times New Roman" w:hAnsi="Times New Roman" w:cs="Times New Roman"/>
          <w:sz w:val="24"/>
          <w:szCs w:val="24"/>
        </w:rPr>
        <w:t xml:space="preserve"> </w:t>
      </w:r>
      <w:r w:rsidR="00A63B64" w:rsidRPr="00A63B64">
        <w:rPr>
          <w:rFonts w:ascii="Times New Roman" w:hAnsi="Times New Roman" w:cs="Times New Roman"/>
          <w:sz w:val="24"/>
          <w:szCs w:val="24"/>
        </w:rPr>
        <w:t>Beyond identifying population needs and disparities, the development of appropriate health interventions may require strategies that are tailored to the specific contexts in which those interventions are implemented (Ojo et al., 2024</w:t>
      </w:r>
      <w:r w:rsidR="00A63B64">
        <w:rPr>
          <w:rFonts w:ascii="Times New Roman" w:hAnsi="Times New Roman" w:cs="Times New Roman"/>
          <w:sz w:val="24"/>
          <w:szCs w:val="24"/>
        </w:rPr>
        <w:t>a</w:t>
      </w:r>
      <w:r w:rsidR="00A63B64" w:rsidRPr="00A63B64">
        <w:rPr>
          <w:rFonts w:ascii="Times New Roman" w:hAnsi="Times New Roman" w:cs="Times New Roman"/>
          <w:sz w:val="24"/>
          <w:szCs w:val="24"/>
        </w:rPr>
        <w:t>).</w:t>
      </w:r>
    </w:p>
    <w:p w14:paraId="0DF1594F" w14:textId="568FEC92"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2. Marketing Analytics Techniques and Their Applications in GI Cancer Prevention</w:t>
      </w:r>
    </w:p>
    <w:tbl>
      <w:tblPr>
        <w:tblStyle w:val="TableGrid"/>
        <w:tblW w:w="0" w:type="auto"/>
        <w:tblLook w:val="04A0" w:firstRow="1" w:lastRow="0" w:firstColumn="1" w:lastColumn="0" w:noHBand="0" w:noVBand="1"/>
      </w:tblPr>
      <w:tblGrid>
        <w:gridCol w:w="2134"/>
        <w:gridCol w:w="3360"/>
        <w:gridCol w:w="3522"/>
      </w:tblGrid>
      <w:tr w:rsidR="00E42E95" w:rsidRPr="007924E9" w14:paraId="139D9DA6" w14:textId="77777777" w:rsidTr="00E42E95">
        <w:tc>
          <w:tcPr>
            <w:tcW w:w="0" w:type="auto"/>
            <w:hideMark/>
          </w:tcPr>
          <w:p w14:paraId="19057608" w14:textId="77777777" w:rsidR="00E42E95" w:rsidRPr="007924E9" w:rsidRDefault="00E42E95" w:rsidP="00E42E95">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Technique</w:t>
            </w:r>
          </w:p>
        </w:tc>
        <w:tc>
          <w:tcPr>
            <w:tcW w:w="0" w:type="auto"/>
            <w:hideMark/>
          </w:tcPr>
          <w:p w14:paraId="018DC1C3" w14:textId="77777777" w:rsidR="00E42E95" w:rsidRPr="007924E9" w:rsidRDefault="00E42E95" w:rsidP="00E42E95">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Purpose</w:t>
            </w:r>
          </w:p>
        </w:tc>
        <w:tc>
          <w:tcPr>
            <w:tcW w:w="0" w:type="auto"/>
            <w:hideMark/>
          </w:tcPr>
          <w:p w14:paraId="364F19CD" w14:textId="77777777" w:rsidR="00E42E95" w:rsidRPr="007924E9" w:rsidRDefault="00E42E95" w:rsidP="00E42E95">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Example Application</w:t>
            </w:r>
          </w:p>
        </w:tc>
      </w:tr>
      <w:tr w:rsidR="00E42E95" w:rsidRPr="007924E9" w14:paraId="45EA7F6F" w14:textId="77777777" w:rsidTr="00E42E95">
        <w:tc>
          <w:tcPr>
            <w:tcW w:w="0" w:type="auto"/>
            <w:hideMark/>
          </w:tcPr>
          <w:p w14:paraId="20B5B5E2"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Segmentation</w:t>
            </w:r>
          </w:p>
        </w:tc>
        <w:tc>
          <w:tcPr>
            <w:tcW w:w="0" w:type="auto"/>
            <w:hideMark/>
          </w:tcPr>
          <w:p w14:paraId="760F6B00"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Identify population groups based on demographic, clinical, or </w:t>
            </w:r>
            <w:proofErr w:type="spellStart"/>
            <w:r w:rsidRPr="007924E9">
              <w:rPr>
                <w:rFonts w:ascii="Times New Roman" w:eastAsia="Times New Roman" w:hAnsi="Times New Roman" w:cs="Times New Roman"/>
                <w:kern w:val="0"/>
                <w:sz w:val="24"/>
                <w:szCs w:val="24"/>
                <w:lang w:eastAsia="en-GB"/>
                <w14:ligatures w14:val="none"/>
              </w:rPr>
              <w:t>behavioral</w:t>
            </w:r>
            <w:proofErr w:type="spellEnd"/>
            <w:r w:rsidRPr="007924E9">
              <w:rPr>
                <w:rFonts w:ascii="Times New Roman" w:eastAsia="Times New Roman" w:hAnsi="Times New Roman" w:cs="Times New Roman"/>
                <w:kern w:val="0"/>
                <w:sz w:val="24"/>
                <w:szCs w:val="24"/>
                <w:lang w:eastAsia="en-GB"/>
                <w14:ligatures w14:val="none"/>
              </w:rPr>
              <w:t xml:space="preserve"> characteristics</w:t>
            </w:r>
          </w:p>
        </w:tc>
        <w:tc>
          <w:tcPr>
            <w:tcW w:w="0" w:type="auto"/>
            <w:hideMark/>
          </w:tcPr>
          <w:p w14:paraId="4888DF47"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Targeting high-risk adults for colorectal cancer screening</w:t>
            </w:r>
          </w:p>
        </w:tc>
      </w:tr>
      <w:tr w:rsidR="00E42E95" w:rsidRPr="007924E9" w14:paraId="39BB0B0D" w14:textId="77777777" w:rsidTr="00E42E95">
        <w:tc>
          <w:tcPr>
            <w:tcW w:w="0" w:type="auto"/>
            <w:hideMark/>
          </w:tcPr>
          <w:p w14:paraId="50279A98"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lastRenderedPageBreak/>
              <w:t>Predictive analytics</w:t>
            </w:r>
          </w:p>
        </w:tc>
        <w:tc>
          <w:tcPr>
            <w:tcW w:w="0" w:type="auto"/>
            <w:hideMark/>
          </w:tcPr>
          <w:p w14:paraId="1A6287D2"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Predict screening </w:t>
            </w:r>
            <w:proofErr w:type="spellStart"/>
            <w:r w:rsidRPr="007924E9">
              <w:rPr>
                <w:rFonts w:ascii="Times New Roman" w:eastAsia="Times New Roman" w:hAnsi="Times New Roman" w:cs="Times New Roman"/>
                <w:kern w:val="0"/>
                <w:sz w:val="24"/>
                <w:szCs w:val="24"/>
                <w:lang w:eastAsia="en-GB"/>
                <w14:ligatures w14:val="none"/>
              </w:rPr>
              <w:t>behavior</w:t>
            </w:r>
            <w:proofErr w:type="spellEnd"/>
            <w:r w:rsidRPr="007924E9">
              <w:rPr>
                <w:rFonts w:ascii="Times New Roman" w:eastAsia="Times New Roman" w:hAnsi="Times New Roman" w:cs="Times New Roman"/>
                <w:kern w:val="0"/>
                <w:sz w:val="24"/>
                <w:szCs w:val="24"/>
                <w:lang w:eastAsia="en-GB"/>
                <w14:ligatures w14:val="none"/>
              </w:rPr>
              <w:t xml:space="preserve"> and cancer risk</w:t>
            </w:r>
          </w:p>
        </w:tc>
        <w:tc>
          <w:tcPr>
            <w:tcW w:w="0" w:type="auto"/>
            <w:hideMark/>
          </w:tcPr>
          <w:p w14:paraId="51014B85"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Estimating participation in </w:t>
            </w:r>
            <w:proofErr w:type="spellStart"/>
            <w:r w:rsidRPr="007924E9">
              <w:rPr>
                <w:rFonts w:ascii="Times New Roman" w:eastAsia="Times New Roman" w:hAnsi="Times New Roman" w:cs="Times New Roman"/>
                <w:kern w:val="0"/>
                <w:sz w:val="24"/>
                <w:szCs w:val="24"/>
                <w:lang w:eastAsia="en-GB"/>
                <w14:ligatures w14:val="none"/>
              </w:rPr>
              <w:t>fecal</w:t>
            </w:r>
            <w:proofErr w:type="spellEnd"/>
            <w:r w:rsidRPr="007924E9">
              <w:rPr>
                <w:rFonts w:ascii="Times New Roman" w:eastAsia="Times New Roman" w:hAnsi="Times New Roman" w:cs="Times New Roman"/>
                <w:kern w:val="0"/>
                <w:sz w:val="24"/>
                <w:szCs w:val="24"/>
                <w:lang w:eastAsia="en-GB"/>
                <w14:ligatures w14:val="none"/>
              </w:rPr>
              <w:t xml:space="preserve"> immunochemical test (FIT) screening programs</w:t>
            </w:r>
          </w:p>
        </w:tc>
      </w:tr>
      <w:tr w:rsidR="00E42E95" w:rsidRPr="007924E9" w14:paraId="1391FD8B" w14:textId="77777777" w:rsidTr="00E42E95">
        <w:tc>
          <w:tcPr>
            <w:tcW w:w="0" w:type="auto"/>
            <w:hideMark/>
          </w:tcPr>
          <w:p w14:paraId="57A3D47A"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Machine learning</w:t>
            </w:r>
          </w:p>
        </w:tc>
        <w:tc>
          <w:tcPr>
            <w:tcW w:w="0" w:type="auto"/>
            <w:hideMark/>
          </w:tcPr>
          <w:p w14:paraId="431B3598"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Develop risk prediction and classification models</w:t>
            </w:r>
          </w:p>
        </w:tc>
        <w:tc>
          <w:tcPr>
            <w:tcW w:w="0" w:type="auto"/>
            <w:hideMark/>
          </w:tcPr>
          <w:p w14:paraId="05E3E9EE"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Predicting colorectal cancer (CRC) risk and identifying high-risk individuals</w:t>
            </w:r>
          </w:p>
        </w:tc>
      </w:tr>
      <w:tr w:rsidR="00E42E95" w:rsidRPr="007924E9" w14:paraId="527AB211" w14:textId="77777777" w:rsidTr="00E42E95">
        <w:tc>
          <w:tcPr>
            <w:tcW w:w="0" w:type="auto"/>
            <w:hideMark/>
          </w:tcPr>
          <w:p w14:paraId="62B88C2B"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Geospatial Information Systems (GIS)</w:t>
            </w:r>
          </w:p>
        </w:tc>
        <w:tc>
          <w:tcPr>
            <w:tcW w:w="0" w:type="auto"/>
            <w:hideMark/>
          </w:tcPr>
          <w:p w14:paraId="5CE6432F"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Map access to healthcare services and identify geographic disparities</w:t>
            </w:r>
          </w:p>
        </w:tc>
        <w:tc>
          <w:tcPr>
            <w:tcW w:w="0" w:type="auto"/>
            <w:hideMark/>
          </w:tcPr>
          <w:p w14:paraId="08AC3BB1"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Identifying screening deserts and underserved communities for targeted interventions</w:t>
            </w:r>
          </w:p>
        </w:tc>
      </w:tr>
      <w:tr w:rsidR="00E42E95" w:rsidRPr="007924E9" w14:paraId="2AA87BEB" w14:textId="77777777" w:rsidTr="00E42E95">
        <w:tc>
          <w:tcPr>
            <w:tcW w:w="0" w:type="auto"/>
            <w:hideMark/>
          </w:tcPr>
          <w:p w14:paraId="480E1BEE"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Sentiment analysis</w:t>
            </w:r>
          </w:p>
        </w:tc>
        <w:tc>
          <w:tcPr>
            <w:tcW w:w="0" w:type="auto"/>
            <w:hideMark/>
          </w:tcPr>
          <w:p w14:paraId="6052468F"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Assess public opinions, perceptions, and attitudes</w:t>
            </w:r>
          </w:p>
        </w:tc>
        <w:tc>
          <w:tcPr>
            <w:tcW w:w="0" w:type="auto"/>
            <w:hideMark/>
          </w:tcPr>
          <w:p w14:paraId="4F69D8A1"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Monitoring social media discussions and attitudes toward GI cancer screening</w:t>
            </w:r>
          </w:p>
        </w:tc>
      </w:tr>
      <w:tr w:rsidR="00E42E95" w:rsidRPr="007924E9" w14:paraId="5EC52081" w14:textId="77777777" w:rsidTr="00E42E95">
        <w:tc>
          <w:tcPr>
            <w:tcW w:w="0" w:type="auto"/>
            <w:hideMark/>
          </w:tcPr>
          <w:p w14:paraId="1CA6C1A3"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Customer journey analytics</w:t>
            </w:r>
          </w:p>
        </w:tc>
        <w:tc>
          <w:tcPr>
            <w:tcW w:w="0" w:type="auto"/>
            <w:hideMark/>
          </w:tcPr>
          <w:p w14:paraId="445F46D5"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Analyze</w:t>
            </w:r>
            <w:proofErr w:type="spellEnd"/>
            <w:r w:rsidRPr="007924E9">
              <w:rPr>
                <w:rFonts w:ascii="Times New Roman" w:eastAsia="Times New Roman" w:hAnsi="Times New Roman" w:cs="Times New Roman"/>
                <w:kern w:val="0"/>
                <w:sz w:val="24"/>
                <w:szCs w:val="24"/>
                <w:lang w:eastAsia="en-GB"/>
                <w14:ligatures w14:val="none"/>
              </w:rPr>
              <w:t xml:space="preserve"> patient interactions across the screening pathway</w:t>
            </w:r>
          </w:p>
        </w:tc>
        <w:tc>
          <w:tcPr>
            <w:tcW w:w="0" w:type="auto"/>
            <w:hideMark/>
          </w:tcPr>
          <w:p w14:paraId="162D3133"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Identifying missed screening opportunities and improving follow-up adherence</w:t>
            </w:r>
          </w:p>
        </w:tc>
      </w:tr>
    </w:tbl>
    <w:p w14:paraId="4C30A396" w14:textId="77777777" w:rsidR="00E42E95" w:rsidRPr="007924E9" w:rsidRDefault="00E42E95" w:rsidP="00E42E95">
      <w:pPr>
        <w:spacing w:line="360" w:lineRule="auto"/>
        <w:jc w:val="both"/>
        <w:rPr>
          <w:rFonts w:ascii="Times New Roman" w:hAnsi="Times New Roman" w:cs="Times New Roman"/>
          <w:sz w:val="24"/>
          <w:szCs w:val="24"/>
        </w:rPr>
      </w:pPr>
    </w:p>
    <w:p w14:paraId="0BC8DABF" w14:textId="02C8940B"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4.3 Digital Marketing Analytics</w:t>
      </w:r>
    </w:p>
    <w:p w14:paraId="4AB17314" w14:textId="5248A9F0" w:rsidR="00E42E95" w:rsidRPr="007924E9" w:rsidRDefault="00C43DB8" w:rsidP="00E42E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Digital marketing analytics has revolutionized cancer prevention through real-time analysis of the performance of an online engagement strategy. Search Engine Optimization (SEO), Google Analytics, campaign analytics, and Facebook analytics allow health institutions to gauge the scope and impact of any awareness campaigns that have been undertaken (Ewing et al., 2023; Greene et al., 2024). In addition, technologies such as email marketing, mobile apps, and SMS reminders ensure effective communication and motivate individuals to undergo screening (Ewing et al., 2023; Greene et al., 2024). </w:t>
      </w:r>
      <w:r w:rsidR="00C10784" w:rsidRPr="00C10784">
        <w:rPr>
          <w:rFonts w:ascii="Times New Roman" w:hAnsi="Times New Roman" w:cs="Times New Roman"/>
          <w:sz w:val="24"/>
          <w:szCs w:val="24"/>
        </w:rPr>
        <w:t>In addition to these communication technologies, participatory approaches such as crowdsourcing may provide opportunities to expand the reach of evidence-based health interventions among communities (Ojo et al., 2024</w:t>
      </w:r>
      <w:r w:rsidR="00A9304B">
        <w:rPr>
          <w:rFonts w:ascii="Times New Roman" w:hAnsi="Times New Roman" w:cs="Times New Roman"/>
          <w:sz w:val="24"/>
          <w:szCs w:val="24"/>
        </w:rPr>
        <w:t>b</w:t>
      </w:r>
      <w:r w:rsidR="00C10784" w:rsidRPr="00C10784">
        <w:rPr>
          <w:rFonts w:ascii="Times New Roman" w:hAnsi="Times New Roman" w:cs="Times New Roman"/>
          <w:sz w:val="24"/>
          <w:szCs w:val="24"/>
        </w:rPr>
        <w:t>).</w:t>
      </w:r>
      <w:r w:rsidR="00A9304B">
        <w:rPr>
          <w:rFonts w:ascii="Times New Roman" w:hAnsi="Times New Roman" w:cs="Times New Roman"/>
          <w:sz w:val="24"/>
          <w:szCs w:val="24"/>
        </w:rPr>
        <w:t xml:space="preserve"> </w:t>
      </w:r>
      <w:r w:rsidRPr="007924E9">
        <w:rPr>
          <w:rFonts w:ascii="Times New Roman" w:hAnsi="Times New Roman" w:cs="Times New Roman"/>
          <w:sz w:val="24"/>
          <w:szCs w:val="24"/>
        </w:rPr>
        <w:t xml:space="preserve">Digital marketing analytics allows for personalized communication since it sends health information to a person depending on his/her unique traits and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w:t>
      </w:r>
    </w:p>
    <w:p w14:paraId="1130FD3F" w14:textId="77777777" w:rsidR="00C43DB8" w:rsidRPr="007924E9" w:rsidRDefault="00C43DB8" w:rsidP="00E42E95">
      <w:pPr>
        <w:spacing w:line="360" w:lineRule="auto"/>
        <w:jc w:val="both"/>
        <w:rPr>
          <w:rFonts w:ascii="Times New Roman" w:hAnsi="Times New Roman" w:cs="Times New Roman"/>
          <w:sz w:val="24"/>
          <w:szCs w:val="24"/>
        </w:rPr>
      </w:pPr>
    </w:p>
    <w:p w14:paraId="406F347E" w14:textId="0F39FA3A"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4.4 AI and Advanced Analytics</w:t>
      </w:r>
    </w:p>
    <w:p w14:paraId="063ED369" w14:textId="6B8DE505" w:rsidR="00E42E95" w:rsidRPr="007924E9" w:rsidRDefault="00C43DB8" w:rsidP="00E42E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The integration of artificial intelligence technology has become a key part of marketing analytics due to its speed, accuracy, and personalization capabilities. The application of deep learning models has proven effective in identifying gastrointestinal anomalies using endoscopic examinations, and generative AI, as well as large language models, is useful for patient education, content creation, and personalized communication (Matsubayashi et al., 2024; </w:t>
      </w:r>
      <w:proofErr w:type="spellStart"/>
      <w:r w:rsidRPr="007924E9">
        <w:rPr>
          <w:rFonts w:ascii="Times New Roman" w:hAnsi="Times New Roman" w:cs="Times New Roman"/>
          <w:sz w:val="24"/>
          <w:szCs w:val="24"/>
        </w:rPr>
        <w:t>Huhulea</w:t>
      </w:r>
      <w:proofErr w:type="spellEnd"/>
      <w:r w:rsidRPr="007924E9">
        <w:rPr>
          <w:rFonts w:ascii="Times New Roman" w:hAnsi="Times New Roman" w:cs="Times New Roman"/>
          <w:sz w:val="24"/>
          <w:szCs w:val="24"/>
        </w:rPr>
        <w:t xml:space="preserve"> et al., 2025). Recommendation systems enable personalized reminders and </w:t>
      </w:r>
      <w:r w:rsidRPr="007924E9">
        <w:rPr>
          <w:rFonts w:ascii="Times New Roman" w:hAnsi="Times New Roman" w:cs="Times New Roman"/>
          <w:sz w:val="24"/>
          <w:szCs w:val="24"/>
        </w:rPr>
        <w:lastRenderedPageBreak/>
        <w:t xml:space="preserve">interventions for patients based on their risk level, and conversational AI is used to improve patient engagement via health chatbots (Sebastian &amp; Peter, 2022). In addition to this, there are real-time decision support systems which integrate clinical and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data to help healthcare providers in the timely delivery of interventions. However, the implementation of such systems is possible through the use of appropriate model validation and bias detection, clinical data, and data governance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2026; </w:t>
      </w:r>
      <w:proofErr w:type="spellStart"/>
      <w:r w:rsidRPr="007924E9">
        <w:rPr>
          <w:rFonts w:ascii="Times New Roman" w:hAnsi="Times New Roman" w:cs="Times New Roman"/>
          <w:sz w:val="24"/>
          <w:szCs w:val="24"/>
        </w:rPr>
        <w:t>Filani</w:t>
      </w:r>
      <w:proofErr w:type="spellEnd"/>
      <w:r w:rsidRPr="007924E9">
        <w:rPr>
          <w:rFonts w:ascii="Times New Roman" w:hAnsi="Times New Roman" w:cs="Times New Roman"/>
          <w:sz w:val="24"/>
          <w:szCs w:val="24"/>
        </w:rPr>
        <w:t xml:space="preserve"> &amp; Opoku, 2025; Silas &amp; Adjaottor, 2026).</w:t>
      </w:r>
    </w:p>
    <w:p w14:paraId="183291D1" w14:textId="77777777" w:rsidR="00C43DB8" w:rsidRPr="007924E9" w:rsidRDefault="00C43DB8" w:rsidP="00E42E95">
      <w:pPr>
        <w:spacing w:line="360" w:lineRule="auto"/>
        <w:jc w:val="both"/>
        <w:rPr>
          <w:rFonts w:ascii="Times New Roman" w:hAnsi="Times New Roman" w:cs="Times New Roman"/>
          <w:sz w:val="24"/>
          <w:szCs w:val="24"/>
        </w:rPr>
      </w:pPr>
    </w:p>
    <w:p w14:paraId="60E0BF09"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 Analytical Frameworks Used in Marketing Analytics Research</w:t>
      </w:r>
    </w:p>
    <w:p w14:paraId="0D665241" w14:textId="5B4C9FD2"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 xml:space="preserve">5.1 </w:t>
      </w:r>
      <w:proofErr w:type="spellStart"/>
      <w:r w:rsidRPr="007924E9">
        <w:rPr>
          <w:rFonts w:ascii="Times New Roman" w:hAnsi="Times New Roman" w:cs="Times New Roman"/>
          <w:b/>
          <w:bCs/>
          <w:sz w:val="24"/>
          <w:szCs w:val="24"/>
        </w:rPr>
        <w:t>Behavioral</w:t>
      </w:r>
      <w:proofErr w:type="spellEnd"/>
      <w:r w:rsidRPr="007924E9">
        <w:rPr>
          <w:rFonts w:ascii="Times New Roman" w:hAnsi="Times New Roman" w:cs="Times New Roman"/>
          <w:b/>
          <w:bCs/>
          <w:sz w:val="24"/>
          <w:szCs w:val="24"/>
        </w:rPr>
        <w:t xml:space="preserve"> Frameworks</w:t>
      </w:r>
    </w:p>
    <w:p w14:paraId="077E54C5" w14:textId="16ECA766" w:rsidR="00A02687" w:rsidRPr="007924E9" w:rsidRDefault="00C43DB8" w:rsidP="00A02687">
      <w:pPr>
        <w:spacing w:line="360" w:lineRule="auto"/>
        <w:jc w:val="both"/>
        <w:rPr>
          <w:rFonts w:ascii="Times New Roman" w:hAnsi="Times New Roman" w:cs="Times New Roman"/>
          <w:sz w:val="24"/>
          <w:szCs w:val="24"/>
        </w:rPr>
      </w:pP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theories offer the theoretical base for explaining why people practice or refrain from performing certain </w:t>
      </w:r>
      <w:proofErr w:type="spellStart"/>
      <w:r w:rsidRPr="007924E9">
        <w:rPr>
          <w:rFonts w:ascii="Times New Roman" w:hAnsi="Times New Roman" w:cs="Times New Roman"/>
          <w:sz w:val="24"/>
          <w:szCs w:val="24"/>
        </w:rPr>
        <w:t>behaviors</w:t>
      </w:r>
      <w:proofErr w:type="spellEnd"/>
      <w:r w:rsidRPr="007924E9">
        <w:rPr>
          <w:rFonts w:ascii="Times New Roman" w:hAnsi="Times New Roman" w:cs="Times New Roman"/>
          <w:sz w:val="24"/>
          <w:szCs w:val="24"/>
        </w:rPr>
        <w:t xml:space="preserve"> that can either help prevent or lead to the development of cancer. The Health Belief Model (HBM) suggests that screening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is associated with perceived susceptibility, perceived severity, perceived benefits, perceived barriers, cues to action, and self-efficacy, and it is considered to be one of the most commonly used models in cancer prevention (</w:t>
      </w:r>
      <w:proofErr w:type="spellStart"/>
      <w:r w:rsidRPr="007924E9">
        <w:rPr>
          <w:rFonts w:ascii="Times New Roman" w:hAnsi="Times New Roman" w:cs="Times New Roman"/>
          <w:sz w:val="24"/>
          <w:szCs w:val="24"/>
        </w:rPr>
        <w:t>Pungpop</w:t>
      </w:r>
      <w:proofErr w:type="spellEnd"/>
      <w:r w:rsidRPr="007924E9">
        <w:rPr>
          <w:rFonts w:ascii="Times New Roman" w:hAnsi="Times New Roman" w:cs="Times New Roman"/>
          <w:sz w:val="24"/>
          <w:szCs w:val="24"/>
        </w:rPr>
        <w:t xml:space="preserve"> et al., 2022). At the same time, the Theory of Planned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(TPB) suggests that the key elements affecting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intention are attitudes, subjective norms, and perceived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control, and the COM-B model suggests that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is caused by the combination of capability, opportunity, and motivation. On the contrary, the Transtheoretical Model (TTM) suggests that the change in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occurs gradually and includes several stages of readiness, and the Protection Motivation Theory (PMT) focuses on the processes of adopting a preventive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due to threats and coping skills.</w:t>
      </w:r>
    </w:p>
    <w:p w14:paraId="576B5CC1" w14:textId="77777777" w:rsidR="00C43DB8" w:rsidRPr="007924E9" w:rsidRDefault="00C43DB8" w:rsidP="00A02687">
      <w:pPr>
        <w:spacing w:line="360" w:lineRule="auto"/>
        <w:jc w:val="both"/>
        <w:rPr>
          <w:rFonts w:ascii="Times New Roman" w:hAnsi="Times New Roman" w:cs="Times New Roman"/>
          <w:sz w:val="24"/>
          <w:szCs w:val="24"/>
        </w:rPr>
      </w:pPr>
    </w:p>
    <w:p w14:paraId="0F34AA80" w14:textId="6FE5BB3A"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5.2 Marketing Frameworks</w:t>
      </w:r>
    </w:p>
    <w:p w14:paraId="59E8B567" w14:textId="682B083D" w:rsidR="00A02687" w:rsidRPr="007924E9" w:rsidRDefault="00C43DB8" w:rsidP="00A02687">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Marketing tools play an important role in planning, implementing, and evaluating interventions designed to alter health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Customer Journey is one of such marketing tools that outlines patient interactions starting from becoming aware to screening and follow-up. Healthcare providers can trace where in the process of screenings patients drop off. Customer Lifetime Value (CLV) focuses on continuous engagement with patients instead of one-time interactions, and Segmentation-Targeting-Positioning (STP) can help to find out priority populations and develop communication strategies for them (Yap et al., 2023). Relationship marketing creates </w:t>
      </w:r>
      <w:r w:rsidRPr="007924E9">
        <w:rPr>
          <w:rFonts w:ascii="Times New Roman" w:hAnsi="Times New Roman" w:cs="Times New Roman"/>
          <w:sz w:val="24"/>
          <w:szCs w:val="24"/>
        </w:rPr>
        <w:lastRenderedPageBreak/>
        <w:t xml:space="preserve">bonds of trust and continuity between health care institutions and the community, while Social Marketing Framework and the 4Ps/7Ps marketing mix outline approaches to intervention design for promoting positive health </w:t>
      </w:r>
      <w:proofErr w:type="spellStart"/>
      <w:r w:rsidRPr="007924E9">
        <w:rPr>
          <w:rFonts w:ascii="Times New Roman" w:hAnsi="Times New Roman" w:cs="Times New Roman"/>
          <w:sz w:val="24"/>
          <w:szCs w:val="24"/>
        </w:rPr>
        <w:t>behaviors</w:t>
      </w:r>
      <w:proofErr w:type="spellEnd"/>
      <w:r w:rsidRPr="007924E9">
        <w:rPr>
          <w:rFonts w:ascii="Times New Roman" w:hAnsi="Times New Roman" w:cs="Times New Roman"/>
          <w:sz w:val="24"/>
          <w:szCs w:val="24"/>
        </w:rPr>
        <w:t xml:space="preserve"> via appropriate product, pricing, promotion, place, people, processes, and physical evidence (Khaliq et al., 2022; </w:t>
      </w:r>
      <w:proofErr w:type="spellStart"/>
      <w:r w:rsidRPr="007924E9">
        <w:rPr>
          <w:rFonts w:ascii="Times New Roman" w:hAnsi="Times New Roman" w:cs="Times New Roman"/>
          <w:sz w:val="24"/>
          <w:szCs w:val="24"/>
        </w:rPr>
        <w:t>Domegan</w:t>
      </w:r>
      <w:proofErr w:type="spellEnd"/>
      <w:r w:rsidRPr="007924E9">
        <w:rPr>
          <w:rFonts w:ascii="Times New Roman" w:hAnsi="Times New Roman" w:cs="Times New Roman"/>
          <w:sz w:val="24"/>
          <w:szCs w:val="24"/>
        </w:rPr>
        <w:t xml:space="preserve">, 2021; </w:t>
      </w:r>
      <w:proofErr w:type="spellStart"/>
      <w:r w:rsidRPr="007924E9">
        <w:rPr>
          <w:rFonts w:ascii="Times New Roman" w:hAnsi="Times New Roman" w:cs="Times New Roman"/>
          <w:sz w:val="24"/>
          <w:szCs w:val="24"/>
        </w:rPr>
        <w:t>Biroscak</w:t>
      </w:r>
      <w:proofErr w:type="spellEnd"/>
      <w:r w:rsidRPr="007924E9">
        <w:rPr>
          <w:rFonts w:ascii="Times New Roman" w:hAnsi="Times New Roman" w:cs="Times New Roman"/>
          <w:sz w:val="24"/>
          <w:szCs w:val="24"/>
        </w:rPr>
        <w:t xml:space="preserve"> et al., 2025).</w:t>
      </w:r>
      <w:r w:rsidR="00AE019C">
        <w:rPr>
          <w:rFonts w:ascii="Times New Roman" w:hAnsi="Times New Roman" w:cs="Times New Roman"/>
          <w:sz w:val="24"/>
          <w:szCs w:val="24"/>
        </w:rPr>
        <w:t xml:space="preserve"> </w:t>
      </w:r>
      <w:r w:rsidR="00BC2ADA" w:rsidRPr="00BC2ADA">
        <w:rPr>
          <w:rFonts w:ascii="Times New Roman" w:hAnsi="Times New Roman" w:cs="Times New Roman"/>
          <w:sz w:val="24"/>
          <w:szCs w:val="24"/>
        </w:rPr>
        <w:t>Such community-oriented approaches may also be complemented by crowdsourcing strategies designed to expand the reach of evidence-based health interventions (Ojo et al., 2024</w:t>
      </w:r>
      <w:r w:rsidR="00A5430C">
        <w:rPr>
          <w:rFonts w:ascii="Times New Roman" w:hAnsi="Times New Roman" w:cs="Times New Roman"/>
          <w:sz w:val="24"/>
          <w:szCs w:val="24"/>
        </w:rPr>
        <w:t>b</w:t>
      </w:r>
      <w:r w:rsidR="00BC2ADA" w:rsidRPr="00BC2ADA">
        <w:rPr>
          <w:rFonts w:ascii="Times New Roman" w:hAnsi="Times New Roman" w:cs="Times New Roman"/>
          <w:sz w:val="24"/>
          <w:szCs w:val="24"/>
        </w:rPr>
        <w:t>).</w:t>
      </w:r>
      <w:r w:rsidR="00BC2ADA">
        <w:rPr>
          <w:rFonts w:ascii="Times New Roman" w:hAnsi="Times New Roman" w:cs="Times New Roman"/>
          <w:sz w:val="24"/>
          <w:szCs w:val="24"/>
        </w:rPr>
        <w:t xml:space="preserve"> </w:t>
      </w:r>
      <w:r w:rsidR="00AE019C" w:rsidRPr="00AE019C">
        <w:rPr>
          <w:rFonts w:ascii="Times New Roman" w:hAnsi="Times New Roman" w:cs="Times New Roman"/>
          <w:sz w:val="24"/>
          <w:szCs w:val="24"/>
        </w:rPr>
        <w:t>The design of such interventions may also incorporate participatory co-creation and capacity-building processes to support the development of situationally tailored, evidence-based health strategies (Ojo et al., 2024</w:t>
      </w:r>
      <w:r w:rsidR="00C0324A">
        <w:rPr>
          <w:rFonts w:ascii="Times New Roman" w:hAnsi="Times New Roman" w:cs="Times New Roman"/>
          <w:sz w:val="24"/>
          <w:szCs w:val="24"/>
        </w:rPr>
        <w:t>a</w:t>
      </w:r>
      <w:r w:rsidR="00AE019C" w:rsidRPr="00AE019C">
        <w:rPr>
          <w:rFonts w:ascii="Times New Roman" w:hAnsi="Times New Roman" w:cs="Times New Roman"/>
          <w:sz w:val="24"/>
          <w:szCs w:val="24"/>
        </w:rPr>
        <w:t>).</w:t>
      </w:r>
    </w:p>
    <w:p w14:paraId="56B4A56F" w14:textId="77777777" w:rsidR="00C43DB8" w:rsidRPr="007924E9" w:rsidRDefault="00C43DB8" w:rsidP="00A02687">
      <w:pPr>
        <w:spacing w:line="360" w:lineRule="auto"/>
        <w:jc w:val="both"/>
        <w:rPr>
          <w:rFonts w:ascii="Times New Roman" w:hAnsi="Times New Roman" w:cs="Times New Roman"/>
          <w:sz w:val="24"/>
          <w:szCs w:val="24"/>
        </w:rPr>
      </w:pPr>
    </w:p>
    <w:p w14:paraId="1B0B2F4D" w14:textId="18E6F8DB"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5.3 Analytics Frameworks</w:t>
      </w:r>
    </w:p>
    <w:p w14:paraId="1D2CBE28" w14:textId="7666254F" w:rsidR="00A02687" w:rsidRPr="007924E9" w:rsidRDefault="00C43DB8" w:rsidP="00A02687">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Analytics models help create systematic ways to transform health care data into useful information that facilitates marketing and clinical decision-making. CRISP-DM model is one of the popular models used in transforming healthcare data. This framework involves business understanding, data preparation, </w:t>
      </w:r>
      <w:proofErr w:type="spellStart"/>
      <w:r w:rsidRPr="007924E9">
        <w:rPr>
          <w:rFonts w:ascii="Times New Roman" w:hAnsi="Times New Roman" w:cs="Times New Roman"/>
          <w:sz w:val="24"/>
          <w:szCs w:val="24"/>
        </w:rPr>
        <w:t>modeling</w:t>
      </w:r>
      <w:proofErr w:type="spellEnd"/>
      <w:r w:rsidRPr="007924E9">
        <w:rPr>
          <w:rFonts w:ascii="Times New Roman" w:hAnsi="Times New Roman" w:cs="Times New Roman"/>
          <w:sz w:val="24"/>
          <w:szCs w:val="24"/>
        </w:rPr>
        <w:t xml:space="preserve">, evaluation, and deployment stages in its projects. Likewise, the Knowledge Discovery in Databases (KDD) model focuses on selecting data, preparing data, transforming data, data mining, and data interpretation. The other frameworks, such as Business Analytics Model, Predictive Analytics Pipeline, and Big Data Analytics Framework, enable statistical analysis, machine learning, and artificial intelligence to enhance screening predictions, patient segmentation, and campaigns (Sebastian &amp; Peter, 2022;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et al., 2026; Ogu et al., 2026).</w:t>
      </w:r>
    </w:p>
    <w:p w14:paraId="1D749AFB" w14:textId="77777777" w:rsidR="00C43DB8" w:rsidRPr="007924E9" w:rsidRDefault="00C43DB8" w:rsidP="00A02687">
      <w:pPr>
        <w:spacing w:line="360" w:lineRule="auto"/>
        <w:jc w:val="both"/>
        <w:rPr>
          <w:rFonts w:ascii="Times New Roman" w:hAnsi="Times New Roman" w:cs="Times New Roman"/>
          <w:sz w:val="24"/>
          <w:szCs w:val="24"/>
        </w:rPr>
      </w:pPr>
    </w:p>
    <w:p w14:paraId="699F76EA" w14:textId="4D0A22D4"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5.4 Integrated Healthcare Analytics Frameworks</w:t>
      </w:r>
    </w:p>
    <w:p w14:paraId="0F7FDC3B" w14:textId="77777777" w:rsidR="00C43DB8" w:rsidRPr="007924E9" w:rsidRDefault="00C43DB8" w:rsidP="00A02687">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Integrating health care analytics frameworks incorporate clinical,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and population-based information to enhance the delivery of healthcare services and preventive programs. The Population Health Analytics framework discovers disease patterns and health inequalities among populations, whereas the Learning Health Systems framework utilizes healthcare information regularly to enhance clinical practices and outcomes. The Precision Public Health framework utilizes advanced analytics to direct preventive initiatives based on individual and population risk profiles, while the Learning Healthcare System integrates data generation, evaluation, and feedback to promote evidence-based decisions (</w:t>
      </w:r>
      <w:proofErr w:type="spellStart"/>
      <w:r w:rsidRPr="007924E9">
        <w:rPr>
          <w:rFonts w:ascii="Times New Roman" w:hAnsi="Times New Roman" w:cs="Times New Roman"/>
          <w:sz w:val="24"/>
          <w:szCs w:val="24"/>
        </w:rPr>
        <w:t>Huhulea</w:t>
      </w:r>
      <w:proofErr w:type="spellEnd"/>
      <w:r w:rsidRPr="007924E9">
        <w:rPr>
          <w:rFonts w:ascii="Times New Roman" w:hAnsi="Times New Roman" w:cs="Times New Roman"/>
          <w:sz w:val="24"/>
          <w:szCs w:val="24"/>
        </w:rPr>
        <w:t xml:space="preserve"> et al., 2025;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w:t>
      </w:r>
      <w:r w:rsidRPr="007924E9">
        <w:rPr>
          <w:rFonts w:ascii="Times New Roman" w:hAnsi="Times New Roman" w:cs="Times New Roman"/>
          <w:sz w:val="24"/>
          <w:szCs w:val="24"/>
        </w:rPr>
        <w:lastRenderedPageBreak/>
        <w:t>2026). Overall, these integrated health care analytics frameworks form a solid foundation that enables marketing analytics for preventing gastrointestinal cancers through effective communication and allocation of resources.</w:t>
      </w:r>
    </w:p>
    <w:p w14:paraId="73E8765C" w14:textId="6B0BE2C1"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3. Analytical Frameworks Relevant to Marketing Analytics for GI Cancer Prevention</w:t>
      </w:r>
    </w:p>
    <w:tbl>
      <w:tblPr>
        <w:tblStyle w:val="TableGrid"/>
        <w:tblW w:w="0" w:type="auto"/>
        <w:tblLook w:val="04A0" w:firstRow="1" w:lastRow="0" w:firstColumn="1" w:lastColumn="0" w:noHBand="0" w:noVBand="1"/>
      </w:tblPr>
      <w:tblGrid>
        <w:gridCol w:w="2825"/>
        <w:gridCol w:w="1379"/>
        <w:gridCol w:w="2965"/>
        <w:gridCol w:w="1847"/>
      </w:tblGrid>
      <w:tr w:rsidR="00A02687" w:rsidRPr="007924E9" w14:paraId="6D201042" w14:textId="77777777" w:rsidTr="00A02687">
        <w:tc>
          <w:tcPr>
            <w:tcW w:w="0" w:type="auto"/>
            <w:hideMark/>
          </w:tcPr>
          <w:p w14:paraId="783EF5C3"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Framework</w:t>
            </w:r>
          </w:p>
        </w:tc>
        <w:tc>
          <w:tcPr>
            <w:tcW w:w="0" w:type="auto"/>
            <w:hideMark/>
          </w:tcPr>
          <w:p w14:paraId="22672883"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Discipline</w:t>
            </w:r>
          </w:p>
        </w:tc>
        <w:tc>
          <w:tcPr>
            <w:tcW w:w="0" w:type="auto"/>
            <w:hideMark/>
          </w:tcPr>
          <w:p w14:paraId="6A89E801"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Main Focus</w:t>
            </w:r>
          </w:p>
        </w:tc>
        <w:tc>
          <w:tcPr>
            <w:tcW w:w="0" w:type="auto"/>
            <w:hideMark/>
          </w:tcPr>
          <w:p w14:paraId="479653F7"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Relevance to GI Cancer</w:t>
            </w:r>
          </w:p>
        </w:tc>
      </w:tr>
      <w:tr w:rsidR="00A02687" w:rsidRPr="007924E9" w14:paraId="3CF34647" w14:textId="77777777" w:rsidTr="00A02687">
        <w:tc>
          <w:tcPr>
            <w:tcW w:w="0" w:type="auto"/>
            <w:hideMark/>
          </w:tcPr>
          <w:p w14:paraId="021C928A"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Health Belief Model (HBM)</w:t>
            </w:r>
          </w:p>
        </w:tc>
        <w:tc>
          <w:tcPr>
            <w:tcW w:w="0" w:type="auto"/>
            <w:hideMark/>
          </w:tcPr>
          <w:p w14:paraId="1D2E749A"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p>
        </w:tc>
        <w:tc>
          <w:tcPr>
            <w:tcW w:w="0" w:type="auto"/>
            <w:hideMark/>
          </w:tcPr>
          <w:p w14:paraId="1A3C01D4"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Screening intention and perceived risk</w:t>
            </w:r>
          </w:p>
        </w:tc>
        <w:tc>
          <w:tcPr>
            <w:tcW w:w="0" w:type="auto"/>
            <w:hideMark/>
          </w:tcPr>
          <w:p w14:paraId="0B1EF03F"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r>
      <w:tr w:rsidR="00A02687" w:rsidRPr="007924E9" w14:paraId="45B238B1" w14:textId="77777777" w:rsidTr="00A02687">
        <w:tc>
          <w:tcPr>
            <w:tcW w:w="0" w:type="auto"/>
            <w:hideMark/>
          </w:tcPr>
          <w:p w14:paraId="5BDBDDC5"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Theory of Planned </w:t>
            </w:r>
            <w:proofErr w:type="spellStart"/>
            <w:r w:rsidRPr="007924E9">
              <w:rPr>
                <w:rFonts w:ascii="Times New Roman" w:eastAsia="Times New Roman" w:hAnsi="Times New Roman" w:cs="Times New Roman"/>
                <w:kern w:val="0"/>
                <w:sz w:val="24"/>
                <w:szCs w:val="24"/>
                <w:lang w:eastAsia="en-GB"/>
                <w14:ligatures w14:val="none"/>
              </w:rPr>
              <w:t>Behavior</w:t>
            </w:r>
            <w:proofErr w:type="spellEnd"/>
            <w:r w:rsidRPr="007924E9">
              <w:rPr>
                <w:rFonts w:ascii="Times New Roman" w:eastAsia="Times New Roman" w:hAnsi="Times New Roman" w:cs="Times New Roman"/>
                <w:kern w:val="0"/>
                <w:sz w:val="24"/>
                <w:szCs w:val="24"/>
                <w:lang w:eastAsia="en-GB"/>
                <w14:ligatures w14:val="none"/>
              </w:rPr>
              <w:t xml:space="preserve"> (TPB)</w:t>
            </w:r>
          </w:p>
        </w:tc>
        <w:tc>
          <w:tcPr>
            <w:tcW w:w="0" w:type="auto"/>
            <w:hideMark/>
          </w:tcPr>
          <w:p w14:paraId="1CD7AF73"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p>
        </w:tc>
        <w:tc>
          <w:tcPr>
            <w:tcW w:w="0" w:type="auto"/>
            <w:hideMark/>
          </w:tcPr>
          <w:p w14:paraId="1972A34D"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r w:rsidRPr="007924E9">
              <w:rPr>
                <w:rFonts w:ascii="Times New Roman" w:eastAsia="Times New Roman" w:hAnsi="Times New Roman" w:cs="Times New Roman"/>
                <w:kern w:val="0"/>
                <w:sz w:val="24"/>
                <w:szCs w:val="24"/>
                <w:lang w:eastAsia="en-GB"/>
                <w14:ligatures w14:val="none"/>
              </w:rPr>
              <w:t xml:space="preserve"> prediction and intention</w:t>
            </w:r>
          </w:p>
        </w:tc>
        <w:tc>
          <w:tcPr>
            <w:tcW w:w="0" w:type="auto"/>
            <w:hideMark/>
          </w:tcPr>
          <w:p w14:paraId="5DEF7040"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r>
      <w:tr w:rsidR="00A02687" w:rsidRPr="007924E9" w14:paraId="1E07CED4" w14:textId="77777777" w:rsidTr="00A02687">
        <w:tc>
          <w:tcPr>
            <w:tcW w:w="0" w:type="auto"/>
            <w:hideMark/>
          </w:tcPr>
          <w:p w14:paraId="6135B84A"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Segmentation–Targeting–Positioning (STP)</w:t>
            </w:r>
          </w:p>
        </w:tc>
        <w:tc>
          <w:tcPr>
            <w:tcW w:w="0" w:type="auto"/>
            <w:hideMark/>
          </w:tcPr>
          <w:p w14:paraId="64EBCE7D"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Marketing</w:t>
            </w:r>
          </w:p>
        </w:tc>
        <w:tc>
          <w:tcPr>
            <w:tcW w:w="0" w:type="auto"/>
            <w:hideMark/>
          </w:tcPr>
          <w:p w14:paraId="455D88EC"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Audience segmentation and tailored interventions</w:t>
            </w:r>
          </w:p>
        </w:tc>
        <w:tc>
          <w:tcPr>
            <w:tcW w:w="0" w:type="auto"/>
            <w:hideMark/>
          </w:tcPr>
          <w:p w14:paraId="305A94B6"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Very High</w:t>
            </w:r>
          </w:p>
        </w:tc>
      </w:tr>
      <w:tr w:rsidR="00A02687" w:rsidRPr="007924E9" w14:paraId="5AF23734" w14:textId="77777777" w:rsidTr="00A02687">
        <w:tc>
          <w:tcPr>
            <w:tcW w:w="0" w:type="auto"/>
            <w:hideMark/>
          </w:tcPr>
          <w:p w14:paraId="2C966426"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Customer Journey</w:t>
            </w:r>
          </w:p>
        </w:tc>
        <w:tc>
          <w:tcPr>
            <w:tcW w:w="0" w:type="auto"/>
            <w:hideMark/>
          </w:tcPr>
          <w:p w14:paraId="208CC413"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Marketing</w:t>
            </w:r>
          </w:p>
        </w:tc>
        <w:tc>
          <w:tcPr>
            <w:tcW w:w="0" w:type="auto"/>
            <w:hideMark/>
          </w:tcPr>
          <w:p w14:paraId="534ABE34"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Patient pathway from awareness to follow-up</w:t>
            </w:r>
          </w:p>
        </w:tc>
        <w:tc>
          <w:tcPr>
            <w:tcW w:w="0" w:type="auto"/>
            <w:hideMark/>
          </w:tcPr>
          <w:p w14:paraId="756FBEA8"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Very High</w:t>
            </w:r>
          </w:p>
        </w:tc>
      </w:tr>
      <w:tr w:rsidR="00A02687" w:rsidRPr="007924E9" w14:paraId="79294D97" w14:textId="77777777" w:rsidTr="00A02687">
        <w:tc>
          <w:tcPr>
            <w:tcW w:w="0" w:type="auto"/>
            <w:hideMark/>
          </w:tcPr>
          <w:p w14:paraId="193CAF9E"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CRISP-DM</w:t>
            </w:r>
          </w:p>
        </w:tc>
        <w:tc>
          <w:tcPr>
            <w:tcW w:w="0" w:type="auto"/>
            <w:hideMark/>
          </w:tcPr>
          <w:p w14:paraId="4829FF30"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Analytics</w:t>
            </w:r>
          </w:p>
        </w:tc>
        <w:tc>
          <w:tcPr>
            <w:tcW w:w="0" w:type="auto"/>
            <w:hideMark/>
          </w:tcPr>
          <w:p w14:paraId="0E2FB686"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Data mining and predictive model development</w:t>
            </w:r>
          </w:p>
        </w:tc>
        <w:tc>
          <w:tcPr>
            <w:tcW w:w="0" w:type="auto"/>
            <w:hideMark/>
          </w:tcPr>
          <w:p w14:paraId="5779DD3D"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r>
      <w:tr w:rsidR="00A02687" w:rsidRPr="007924E9" w14:paraId="0476502E" w14:textId="77777777" w:rsidTr="00A02687">
        <w:tc>
          <w:tcPr>
            <w:tcW w:w="0" w:type="auto"/>
            <w:hideMark/>
          </w:tcPr>
          <w:p w14:paraId="4092914B"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Precision Public Health</w:t>
            </w:r>
          </w:p>
        </w:tc>
        <w:tc>
          <w:tcPr>
            <w:tcW w:w="0" w:type="auto"/>
            <w:hideMark/>
          </w:tcPr>
          <w:p w14:paraId="51DCB267"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Public Health</w:t>
            </w:r>
          </w:p>
        </w:tc>
        <w:tc>
          <w:tcPr>
            <w:tcW w:w="0" w:type="auto"/>
            <w:hideMark/>
          </w:tcPr>
          <w:p w14:paraId="1AB4F030"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Risk-based targeting and personalized prevention</w:t>
            </w:r>
          </w:p>
        </w:tc>
        <w:tc>
          <w:tcPr>
            <w:tcW w:w="0" w:type="auto"/>
            <w:hideMark/>
          </w:tcPr>
          <w:p w14:paraId="2A6F21F4"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Very High</w:t>
            </w:r>
          </w:p>
        </w:tc>
      </w:tr>
    </w:tbl>
    <w:p w14:paraId="15A695EA" w14:textId="77777777" w:rsidR="00A02687" w:rsidRPr="007924E9" w:rsidRDefault="00A02687" w:rsidP="00A02687">
      <w:pPr>
        <w:spacing w:line="360" w:lineRule="auto"/>
        <w:jc w:val="both"/>
        <w:rPr>
          <w:rFonts w:ascii="Times New Roman" w:hAnsi="Times New Roman" w:cs="Times New Roman"/>
          <w:sz w:val="24"/>
          <w:szCs w:val="24"/>
        </w:rPr>
      </w:pPr>
    </w:p>
    <w:p w14:paraId="42387EF8" w14:textId="218A8F61"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6. Emerging Trends</w:t>
      </w:r>
    </w:p>
    <w:p w14:paraId="2DD5F9F2" w14:textId="77777777" w:rsidR="00C43DB8" w:rsidRPr="007924E9" w:rsidRDefault="00C43DB8" w:rsidP="00A02687">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Current developments in the areas of artificial intelligence (AI) and big data analytics have been revolutionizing the prevention and early detection of GI cancers by providing accurate predictions about risks and enabling effective and efficient provision of healthcare services. AI methods have become widely used in such aspects as cancer diagnostics, endoscopy imaging, and predictive models for better identification of people at risk (Matsubayashi et al., 2024; Sebastian &amp; Peter, 2022; </w:t>
      </w:r>
      <w:proofErr w:type="spellStart"/>
      <w:r w:rsidRPr="007924E9">
        <w:rPr>
          <w:rFonts w:ascii="Times New Roman" w:hAnsi="Times New Roman" w:cs="Times New Roman"/>
          <w:sz w:val="24"/>
          <w:szCs w:val="24"/>
        </w:rPr>
        <w:t>Huhulea</w:t>
      </w:r>
      <w:proofErr w:type="spellEnd"/>
      <w:r w:rsidRPr="007924E9">
        <w:rPr>
          <w:rFonts w:ascii="Times New Roman" w:hAnsi="Times New Roman" w:cs="Times New Roman"/>
          <w:sz w:val="24"/>
          <w:szCs w:val="24"/>
        </w:rPr>
        <w:t xml:space="preserve"> et al., 2025). At the same time, a vast amount of healthcare data provided by electronic health records, screening registries, and other sources have improved population-wide surveillance and evidence-based planning (Ogu et al., 2026). Thus, current developments have been contributing to the shift of cancer prevention from general to data-based interventions.</w:t>
      </w:r>
    </w:p>
    <w:p w14:paraId="53093F46" w14:textId="77777777" w:rsidR="00C43DB8" w:rsidRPr="007924E9" w:rsidRDefault="00C43DB8" w:rsidP="00A02687">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Another essential development is the rise of precision marketing, digital health technology, and social media analytics as critical parts of cancer prevention initiatives. Precision marketing employs demographic,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and clinical data in order to create tailored health messaging and cancer screenings for certain groups of people and increase patient participation in such initiatives (Yap et al., 2023). Digital health technology, including mobile applications, </w:t>
      </w:r>
      <w:r w:rsidRPr="007924E9">
        <w:rPr>
          <w:rFonts w:ascii="Times New Roman" w:hAnsi="Times New Roman" w:cs="Times New Roman"/>
          <w:sz w:val="24"/>
          <w:szCs w:val="24"/>
        </w:rPr>
        <w:lastRenderedPageBreak/>
        <w:t>wearables, portals, and text message reminders, facilitates constant communication and access to preventative care. Also, social media analytics can help to understand what patients think about cancer prevention, what kind of information they seek, and how they are prevented from participating in screenings (Ewing et al., 2023; Greene et al., 2024; Kwon et al., 2025).</w:t>
      </w:r>
    </w:p>
    <w:p w14:paraId="41F26E68" w14:textId="6403FF25" w:rsidR="00C43DB8" w:rsidRPr="007924E9" w:rsidRDefault="00C43DB8" w:rsidP="00A02687">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Innovations such as XAI, omnichannel patient engagement, and real-time analytics are anticipated to significantly improve the effectiveness of marketing analytics for GI cancer prevention in the future. XAI increases transparency and understandability of predictive models while ensuring higher levels of trust of health care providers and patients and addressing the issues of unfairness and bias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et al., 2026; </w:t>
      </w:r>
      <w:proofErr w:type="spellStart"/>
      <w:r w:rsidRPr="007924E9">
        <w:rPr>
          <w:rFonts w:ascii="Times New Roman" w:hAnsi="Times New Roman" w:cs="Times New Roman"/>
          <w:sz w:val="24"/>
          <w:szCs w:val="24"/>
        </w:rPr>
        <w:t>Amevor</w:t>
      </w:r>
      <w:proofErr w:type="spellEnd"/>
      <w:r w:rsidRPr="007924E9">
        <w:rPr>
          <w:rFonts w:ascii="Times New Roman" w:hAnsi="Times New Roman" w:cs="Times New Roman"/>
          <w:sz w:val="24"/>
          <w:szCs w:val="24"/>
        </w:rPr>
        <w:t xml:space="preserve">, 2026). Omnichannel patient engagement uses communications channels like websites, social media, emails, mobile apps, patient portals, and health care facilities in order to ensure seamless experience for patients during the whole process of screenings. Finally, real-time analytics allows continuous monitoring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of patients and the effectiveness of campaigns in order to make timely adjustments to interventions.</w:t>
      </w:r>
    </w:p>
    <w:p w14:paraId="5166703F" w14:textId="1D7C9D5F"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4. Emerging Trends in Marketing Analytics for GI Cancer Prevention</w:t>
      </w:r>
    </w:p>
    <w:tbl>
      <w:tblPr>
        <w:tblStyle w:val="TableGrid"/>
        <w:tblW w:w="0" w:type="auto"/>
        <w:tblLook w:val="04A0" w:firstRow="1" w:lastRow="0" w:firstColumn="1" w:lastColumn="0" w:noHBand="0" w:noVBand="1"/>
      </w:tblPr>
      <w:tblGrid>
        <w:gridCol w:w="2307"/>
        <w:gridCol w:w="3205"/>
        <w:gridCol w:w="3504"/>
      </w:tblGrid>
      <w:tr w:rsidR="00A02687" w:rsidRPr="007924E9" w14:paraId="181E5CD5" w14:textId="77777777" w:rsidTr="00A02687">
        <w:tc>
          <w:tcPr>
            <w:tcW w:w="0" w:type="auto"/>
            <w:hideMark/>
          </w:tcPr>
          <w:p w14:paraId="7F008F62"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Emerging Trend</w:t>
            </w:r>
          </w:p>
        </w:tc>
        <w:tc>
          <w:tcPr>
            <w:tcW w:w="0" w:type="auto"/>
            <w:hideMark/>
          </w:tcPr>
          <w:p w14:paraId="53898C8D"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Current Applications</w:t>
            </w:r>
          </w:p>
        </w:tc>
        <w:tc>
          <w:tcPr>
            <w:tcW w:w="0" w:type="auto"/>
            <w:hideMark/>
          </w:tcPr>
          <w:p w14:paraId="5EE1D111"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Future Potential</w:t>
            </w:r>
          </w:p>
        </w:tc>
      </w:tr>
      <w:tr w:rsidR="00A02687" w:rsidRPr="007924E9" w14:paraId="2B4AE64E" w14:textId="77777777" w:rsidTr="00A02687">
        <w:tc>
          <w:tcPr>
            <w:tcW w:w="0" w:type="auto"/>
            <w:hideMark/>
          </w:tcPr>
          <w:p w14:paraId="5FDC212F"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Artificial Intelligence (AI)</w:t>
            </w:r>
          </w:p>
        </w:tc>
        <w:tc>
          <w:tcPr>
            <w:tcW w:w="0" w:type="auto"/>
            <w:hideMark/>
          </w:tcPr>
          <w:p w14:paraId="1AF1DEB2"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Risk prediction, diagnostic support</w:t>
            </w:r>
          </w:p>
        </w:tc>
        <w:tc>
          <w:tcPr>
            <w:tcW w:w="0" w:type="auto"/>
            <w:hideMark/>
          </w:tcPr>
          <w:p w14:paraId="4BF9053E"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Personalized screening campaigns and decision support</w:t>
            </w:r>
          </w:p>
        </w:tc>
      </w:tr>
      <w:tr w:rsidR="00A02687" w:rsidRPr="007924E9" w14:paraId="7F15F187" w14:textId="77777777" w:rsidTr="00A02687">
        <w:tc>
          <w:tcPr>
            <w:tcW w:w="0" w:type="auto"/>
            <w:hideMark/>
          </w:tcPr>
          <w:p w14:paraId="7371FC73"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Big Data</w:t>
            </w:r>
          </w:p>
        </w:tc>
        <w:tc>
          <w:tcPr>
            <w:tcW w:w="0" w:type="auto"/>
            <w:hideMark/>
          </w:tcPr>
          <w:p w14:paraId="76EEB7DE"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Population health monitoring and surveillance</w:t>
            </w:r>
          </w:p>
        </w:tc>
        <w:tc>
          <w:tcPr>
            <w:tcW w:w="0" w:type="auto"/>
            <w:hideMark/>
          </w:tcPr>
          <w:p w14:paraId="3F10B5A9"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Precision prevention and population-level risk stratification</w:t>
            </w:r>
          </w:p>
        </w:tc>
      </w:tr>
      <w:tr w:rsidR="00A02687" w:rsidRPr="007924E9" w14:paraId="39C7C9B3" w14:textId="77777777" w:rsidTr="00A02687">
        <w:tc>
          <w:tcPr>
            <w:tcW w:w="0" w:type="auto"/>
            <w:hideMark/>
          </w:tcPr>
          <w:p w14:paraId="07DFBFC8"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Wearable Technologies</w:t>
            </w:r>
          </w:p>
        </w:tc>
        <w:tc>
          <w:tcPr>
            <w:tcW w:w="0" w:type="auto"/>
            <w:hideMark/>
          </w:tcPr>
          <w:p w14:paraId="2DCD1953"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Health monitoring and patient tracking</w:t>
            </w:r>
          </w:p>
        </w:tc>
        <w:tc>
          <w:tcPr>
            <w:tcW w:w="0" w:type="auto"/>
            <w:hideMark/>
          </w:tcPr>
          <w:p w14:paraId="30514B70"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Early alerts and continuous risk monitoring</w:t>
            </w:r>
          </w:p>
        </w:tc>
      </w:tr>
      <w:tr w:rsidR="00A02687" w:rsidRPr="007924E9" w14:paraId="18D53793" w14:textId="77777777" w:rsidTr="00A02687">
        <w:tc>
          <w:tcPr>
            <w:tcW w:w="0" w:type="auto"/>
            <w:hideMark/>
          </w:tcPr>
          <w:p w14:paraId="4091B2D7"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Social Media Analytics</w:t>
            </w:r>
          </w:p>
        </w:tc>
        <w:tc>
          <w:tcPr>
            <w:tcW w:w="0" w:type="auto"/>
            <w:hideMark/>
          </w:tcPr>
          <w:p w14:paraId="3086C1A4"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Public awareness campaigns and sentiment monitoring</w:t>
            </w:r>
          </w:p>
        </w:tc>
        <w:tc>
          <w:tcPr>
            <w:tcW w:w="0" w:type="auto"/>
            <w:hideMark/>
          </w:tcPr>
          <w:p w14:paraId="3CBF7AC2"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r w:rsidRPr="007924E9">
              <w:rPr>
                <w:rFonts w:ascii="Times New Roman" w:eastAsia="Times New Roman" w:hAnsi="Times New Roman" w:cs="Times New Roman"/>
                <w:kern w:val="0"/>
                <w:sz w:val="24"/>
                <w:szCs w:val="24"/>
                <w:lang w:eastAsia="en-GB"/>
                <w14:ligatures w14:val="none"/>
              </w:rPr>
              <w:t xml:space="preserve"> prediction and personalized engagement</w:t>
            </w:r>
          </w:p>
        </w:tc>
      </w:tr>
      <w:tr w:rsidR="00A02687" w:rsidRPr="007924E9" w14:paraId="68930E9D" w14:textId="77777777" w:rsidTr="00A02687">
        <w:tc>
          <w:tcPr>
            <w:tcW w:w="0" w:type="auto"/>
            <w:hideMark/>
          </w:tcPr>
          <w:p w14:paraId="46C1C6BD"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Large Language Models (LLMs)</w:t>
            </w:r>
          </w:p>
        </w:tc>
        <w:tc>
          <w:tcPr>
            <w:tcW w:w="0" w:type="auto"/>
            <w:hideMark/>
          </w:tcPr>
          <w:p w14:paraId="12F20D51"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Patient education and health information delivery</w:t>
            </w:r>
          </w:p>
        </w:tc>
        <w:tc>
          <w:tcPr>
            <w:tcW w:w="0" w:type="auto"/>
            <w:hideMark/>
          </w:tcPr>
          <w:p w14:paraId="6AF588EE"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Personalized </w:t>
            </w:r>
            <w:proofErr w:type="spellStart"/>
            <w:r w:rsidRPr="007924E9">
              <w:rPr>
                <w:rFonts w:ascii="Times New Roman" w:eastAsia="Times New Roman" w:hAnsi="Times New Roman" w:cs="Times New Roman"/>
                <w:kern w:val="0"/>
                <w:sz w:val="24"/>
                <w:szCs w:val="24"/>
                <w:lang w:eastAsia="en-GB"/>
                <w14:ligatures w14:val="none"/>
              </w:rPr>
              <w:t>counseling</w:t>
            </w:r>
            <w:proofErr w:type="spellEnd"/>
            <w:r w:rsidRPr="007924E9">
              <w:rPr>
                <w:rFonts w:ascii="Times New Roman" w:eastAsia="Times New Roman" w:hAnsi="Times New Roman" w:cs="Times New Roman"/>
                <w:kern w:val="0"/>
                <w:sz w:val="24"/>
                <w:szCs w:val="24"/>
                <w:lang w:eastAsia="en-GB"/>
                <w14:ligatures w14:val="none"/>
              </w:rPr>
              <w:t xml:space="preserve"> and intelligent virtual health assistants</w:t>
            </w:r>
          </w:p>
        </w:tc>
      </w:tr>
    </w:tbl>
    <w:p w14:paraId="5CB75398" w14:textId="77777777" w:rsidR="00A02687" w:rsidRPr="007924E9" w:rsidRDefault="00A02687" w:rsidP="00A02687">
      <w:pPr>
        <w:spacing w:line="360" w:lineRule="auto"/>
        <w:jc w:val="both"/>
        <w:rPr>
          <w:rFonts w:ascii="Times New Roman" w:hAnsi="Times New Roman" w:cs="Times New Roman"/>
          <w:sz w:val="24"/>
          <w:szCs w:val="24"/>
        </w:rPr>
      </w:pPr>
    </w:p>
    <w:p w14:paraId="366A3936" w14:textId="213D7F3E"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7. Current Research Gaps</w:t>
      </w:r>
    </w:p>
    <w:p w14:paraId="0F723FAF" w14:textId="1AD47BC0" w:rsidR="00C43DB8" w:rsidRPr="007924E9" w:rsidRDefault="00C43DB8" w:rsidP="00C43DB8">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While many new studies have been conducted that address the problem of marketing analytics for preventing GI cancers, there are still several methodological gaps in the literature. Most of the studies use cross-sectional design, thus being unable to assess the longitudinal nature of the patients' screening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and the effectiveness of interventions. Moreover, small samples and single-country designs make it difficult to generalize the results. Finally, there is a problem related to poor validation of the predictive models that reduces their validity and clinical utility. Rigorous comparative model-validation work of the kind called for here is more established in </w:t>
      </w:r>
      <w:r w:rsidRPr="007924E9">
        <w:rPr>
          <w:rFonts w:ascii="Times New Roman" w:hAnsi="Times New Roman" w:cs="Times New Roman"/>
          <w:sz w:val="24"/>
          <w:szCs w:val="24"/>
        </w:rPr>
        <w:lastRenderedPageBreak/>
        <w:t xml:space="preserve">adjacent cancer-mortality forecasting research than in GI cancer specifically; for example, </w:t>
      </w:r>
      <w:proofErr w:type="spellStart"/>
      <w:r w:rsidRPr="007924E9">
        <w:rPr>
          <w:rFonts w:ascii="Times New Roman" w:hAnsi="Times New Roman" w:cs="Times New Roman"/>
          <w:sz w:val="24"/>
          <w:szCs w:val="24"/>
        </w:rPr>
        <w:t>Kubuafor</w:t>
      </w:r>
      <w:proofErr w:type="spellEnd"/>
      <w:r w:rsidRPr="007924E9">
        <w:rPr>
          <w:rFonts w:ascii="Times New Roman" w:hAnsi="Times New Roman" w:cs="Times New Roman"/>
          <w:sz w:val="24"/>
          <w:szCs w:val="24"/>
        </w:rPr>
        <w:t xml:space="preserve"> et al. (2025b) benchmarked multiple time-series forecasting models against a prior published model for predicting U.S. lung cancer mortality, illustrating a comparative validation approach that GI cancer-focused predictive analytics research has yet to widely adopt.</w:t>
      </w:r>
    </w:p>
    <w:p w14:paraId="076D4BBA" w14:textId="77777777" w:rsidR="00C43DB8" w:rsidRPr="007924E9" w:rsidRDefault="00C43DB8" w:rsidP="00C43DB8">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Another gap in the literature relates to the lack of integration of various theoretical aspects in the studies. Even though the current literature provides a lot of examples where theories of social marketing, preventive health marketing, and artificial intelligence are applied, the studies usually address these issues separately. In addition, the application of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theories such as the Health Belief Model and Theory of Planned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together with marketing analytics in explaining the screening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is missing.</w:t>
      </w:r>
    </w:p>
    <w:p w14:paraId="47B3CAB8" w14:textId="649C3F3A" w:rsidR="005F0583" w:rsidRPr="007924E9" w:rsidRDefault="00607A95" w:rsidP="005F0583">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However, practical obstacles remain a barrier to the adoption of marketing analytics in clinical practice. Many institutions in the healthcare sector do not have sufficient technological capability to adopt such sophisticated interventions. Additionally, ethical issues such as bias in algorithms, patient confidentiality, data protection, equality of access, and cost-effectiveness of AI technology make the process even more difficult. It is critical to address these issues to enable marketing analytics to positively contribute to GI cancer prevention programs.</w:t>
      </w:r>
    </w:p>
    <w:p w14:paraId="0AC181BD" w14:textId="77777777" w:rsidR="00607A95" w:rsidRPr="007924E9" w:rsidRDefault="00607A95" w:rsidP="005F0583">
      <w:pPr>
        <w:spacing w:line="360" w:lineRule="auto"/>
        <w:jc w:val="both"/>
        <w:rPr>
          <w:rFonts w:ascii="Times New Roman" w:hAnsi="Times New Roman" w:cs="Times New Roman"/>
          <w:sz w:val="24"/>
          <w:szCs w:val="24"/>
        </w:rPr>
      </w:pPr>
    </w:p>
    <w:p w14:paraId="0AF7D413" w14:textId="2BEBE4F1"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8. Future Research Directions</w:t>
      </w:r>
    </w:p>
    <w:p w14:paraId="79E03B3F" w14:textId="08601266" w:rsidR="00607A95" w:rsidRPr="007924E9" w:rsidRDefault="00607A95" w:rsidP="00607A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Future research should be geared towards developing bigger and better datasets that incorporate information about a patient's clinical status,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environment, and digital health for improved prediction and designing intervention strategies. Combining artificial intelligence with advanced statistical and marketing analysis techniques will help achieve better identification of high-risk populations and implementation of personalized interventions. Digital twins and real-world evidence tools can also be used to conduct simulations and further refinement of the screening programs based on regularly collected healthcare data.</w:t>
      </w:r>
    </w:p>
    <w:p w14:paraId="31BBF9F0" w14:textId="68AE925E" w:rsidR="005F0583" w:rsidRPr="007924E9" w:rsidRDefault="00607A95" w:rsidP="00607A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Further research efforts should be invested in exploring the application of marketing analytics in different socio-cultural environments via conducting multi-national and cross-cultural studies. This will increase the generalization of evidence and identify socio-cultural determinants of adherence to the screening programs. Personalized interventions that take into account social marketing, artificial intelligence,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science, and precision public health should receive more attention.</w:t>
      </w:r>
    </w:p>
    <w:p w14:paraId="31BE2EB0" w14:textId="10B25496" w:rsidR="005F0583" w:rsidRPr="007924E9" w:rsidRDefault="00607A95" w:rsidP="005F0583">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lastRenderedPageBreak/>
        <w:t>Finally, there is a need for implementation science to be at the core of future research efforts in order to ensure that the innovations are translated into practice within the healthcare sector. Future research must assess the feasibility, cost-effectiveness, scalability, and sustainability of AI-enabled marketing interventions, while also addressing the issues of transparency, fairness, data quality, and privacy. The key to success in creating evidence-based, fair, and sustainable marketing analytics for Gastrointestinal Cancer prevention and early detection will be interdisciplinary cooperation.</w:t>
      </w:r>
    </w:p>
    <w:p w14:paraId="37C2BB1A" w14:textId="77777777" w:rsidR="00607A95" w:rsidRPr="007924E9" w:rsidRDefault="00607A95" w:rsidP="005F0583">
      <w:pPr>
        <w:spacing w:line="360" w:lineRule="auto"/>
        <w:jc w:val="both"/>
        <w:rPr>
          <w:rFonts w:ascii="Times New Roman" w:hAnsi="Times New Roman" w:cs="Times New Roman"/>
          <w:sz w:val="24"/>
          <w:szCs w:val="24"/>
        </w:rPr>
      </w:pPr>
    </w:p>
    <w:p w14:paraId="127EDE99" w14:textId="241B862B"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9. Proposed Integrated Conceptual Framework</w:t>
      </w:r>
    </w:p>
    <w:p w14:paraId="15E7D66C" w14:textId="77777777" w:rsidR="00DC7469" w:rsidRPr="007924E9" w:rsidRDefault="00DC7469" w:rsidP="00DC7469">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The literature reviewed throughout this paper spans two streams of scholarship that are rarely integrated explicitly: marketing analytics, which supplies the data infrastructure and analytical techniques for segmentation, prediction, and personalization; and gastrointestinal cancer prevention, which supplies the clinical and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context in which these techniques must operate. To synthesize these streams and to guide future research and practice, this review proposes an integrated conceptual framework that traces the pathway from marketing inputs to population-level health outcomes.</w:t>
      </w:r>
    </w:p>
    <w:p w14:paraId="11C16AD5" w14:textId="771BF060" w:rsidR="00607A95" w:rsidRPr="007924E9" w:rsidRDefault="00607A95" w:rsidP="00DC7469">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Figure 1 depicts the process starting from marketing inputs, such as the decisions on segmentation, targeting, and positioning that dictate what type of data is collected: electronic medical records, social media and wearable data. This data is processed using marketing analytics techniques like predictive </w:t>
      </w:r>
      <w:proofErr w:type="spellStart"/>
      <w:r w:rsidRPr="007924E9">
        <w:rPr>
          <w:rFonts w:ascii="Times New Roman" w:hAnsi="Times New Roman" w:cs="Times New Roman"/>
          <w:sz w:val="24"/>
          <w:szCs w:val="24"/>
        </w:rPr>
        <w:t>modeling</w:t>
      </w:r>
      <w:proofErr w:type="spellEnd"/>
      <w:r w:rsidRPr="007924E9">
        <w:rPr>
          <w:rFonts w:ascii="Times New Roman" w:hAnsi="Times New Roman" w:cs="Times New Roman"/>
          <w:sz w:val="24"/>
          <w:szCs w:val="24"/>
        </w:rPr>
        <w:t xml:space="preserve">, natural language processing, and clustering and is used to develop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insights, which include understanding of barriers, motivations, and screening readiness. The insights help in developing personalized interventions, such as targeted messages and reminders that result in higher screening uptake. The increased level of screening facilitates early detection of gastrointestinal cancers, which in turn helps reduce mortality. There is also a feedback loop between outcomes and marketing inputs based on the principle that a learning health system uses data about uptake, detection, and mortality to continuously refine its strategies for segmentation and targeting instead of running analytics only once.</w:t>
      </w:r>
    </w:p>
    <w:p w14:paraId="1448E687" w14:textId="1F4B2BEF" w:rsidR="005F0583" w:rsidRPr="007924E9" w:rsidRDefault="00607A95" w:rsidP="005F0583">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This framework contributes three points to the academic discussion. First, it identifies and defines the translation step between analytics and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implications, an important point that is overlooked by the majority of the academic literature that assumes this connection implicitly or skips it altogether, going straight from the data to action. Second, it places the </w:t>
      </w:r>
      <w:r w:rsidRPr="007924E9">
        <w:rPr>
          <w:rFonts w:ascii="Times New Roman" w:hAnsi="Times New Roman" w:cs="Times New Roman"/>
          <w:sz w:val="24"/>
          <w:szCs w:val="24"/>
        </w:rPr>
        <w:lastRenderedPageBreak/>
        <w:t xml:space="preserve">existing frameworks of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including Health Belief Model and Theory of Planned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and marketing, Segmentation-Targeting-Positioning, into one explanatory pathway instead of considering these bodies of literature to be parallel and disconnected. Third, this approach recognizes that marketing analytics for cancer prevention should not be viewed as linear but as a closed pathway, in which population-level outcomes feed back into the decision-making process upstream, thus making marketing for cancer prevention a learning health system. Future research might include testing individual pathways of this framework, for instance, finding out if certain analytics methodologies translate into actionable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insights or if personalized interventions based on such insights increase screening participation more effectively than non-personalized campaigns.</w:t>
      </w:r>
    </w:p>
    <w:p w14:paraId="1C6DCDF3" w14:textId="77777777" w:rsidR="00DC7469" w:rsidRPr="007924E9" w:rsidRDefault="00DC7469" w:rsidP="005F0583">
      <w:pPr>
        <w:spacing w:line="360" w:lineRule="auto"/>
        <w:jc w:val="both"/>
        <w:rPr>
          <w:rFonts w:ascii="Times New Roman" w:hAnsi="Times New Roman" w:cs="Times New Roman"/>
          <w:noProof/>
          <w:sz w:val="24"/>
          <w:szCs w:val="24"/>
        </w:rPr>
      </w:pPr>
    </w:p>
    <w:p w14:paraId="624A6744" w14:textId="5D8A445F" w:rsidR="005F0583" w:rsidRPr="007924E9" w:rsidRDefault="00DC7469" w:rsidP="005F0583">
      <w:pPr>
        <w:spacing w:line="360" w:lineRule="auto"/>
        <w:jc w:val="both"/>
        <w:rPr>
          <w:rFonts w:ascii="Times New Roman" w:hAnsi="Times New Roman" w:cs="Times New Roman"/>
          <w:sz w:val="24"/>
          <w:szCs w:val="24"/>
        </w:rPr>
      </w:pPr>
      <w:r w:rsidRPr="007924E9">
        <w:rPr>
          <w:rFonts w:ascii="Times New Roman" w:hAnsi="Times New Roman" w:cs="Times New Roman"/>
          <w:noProof/>
          <w:sz w:val="24"/>
          <w:szCs w:val="24"/>
        </w:rPr>
        <w:lastRenderedPageBreak/>
        <w:drawing>
          <wp:inline distT="0" distB="0" distL="0" distR="0" wp14:anchorId="1EF9D077" wp14:editId="6AEB3CD9">
            <wp:extent cx="4608195" cy="6657975"/>
            <wp:effectExtent l="0" t="0" r="1905" b="9525"/>
            <wp:docPr id="1" name="Figure 1 - Integrated Conceptual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amework.png"/>
                    <pic:cNvPicPr/>
                  </pic:nvPicPr>
                  <pic:blipFill rotWithShape="1">
                    <a:blip r:embed="rId10"/>
                    <a:srcRect t="3241" b="15849"/>
                    <a:stretch>
                      <a:fillRect/>
                    </a:stretch>
                  </pic:blipFill>
                  <pic:spPr bwMode="auto">
                    <a:xfrm>
                      <a:off x="0" y="0"/>
                      <a:ext cx="4608576" cy="6658526"/>
                    </a:xfrm>
                    <a:prstGeom prst="rect">
                      <a:avLst/>
                    </a:prstGeom>
                    <a:ln>
                      <a:noFill/>
                    </a:ln>
                    <a:extLst>
                      <a:ext uri="{53640926-AAD7-44D8-BBD7-CCE9431645EC}">
                        <a14:shadowObscured xmlns:a14="http://schemas.microsoft.com/office/drawing/2010/main"/>
                      </a:ext>
                    </a:extLst>
                  </pic:spPr>
                </pic:pic>
              </a:graphicData>
            </a:graphic>
          </wp:inline>
        </w:drawing>
      </w:r>
    </w:p>
    <w:p w14:paraId="536370CB" w14:textId="4FB09F5E" w:rsidR="005F0583" w:rsidRPr="007924E9" w:rsidRDefault="00DC7469"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Figure 1. Proposed integrated conceptual framework linking marketing analytics input to gastrointestinal cancer screening outcomes, earlier detection and reduce mortality</w:t>
      </w:r>
    </w:p>
    <w:p w14:paraId="5B2F5264" w14:textId="77777777" w:rsidR="005F0583" w:rsidRPr="007924E9" w:rsidRDefault="005F0583" w:rsidP="005F0583">
      <w:pPr>
        <w:spacing w:line="360" w:lineRule="auto"/>
        <w:jc w:val="both"/>
        <w:rPr>
          <w:rFonts w:ascii="Times New Roman" w:hAnsi="Times New Roman" w:cs="Times New Roman"/>
          <w:sz w:val="24"/>
          <w:szCs w:val="24"/>
        </w:rPr>
      </w:pPr>
    </w:p>
    <w:p w14:paraId="76D02DAC" w14:textId="42B5B163"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 xml:space="preserve"> 10. Conclusion</w:t>
      </w:r>
    </w:p>
    <w:p w14:paraId="30801626" w14:textId="77777777" w:rsidR="00607A95" w:rsidRPr="007924E9" w:rsidRDefault="00607A95" w:rsidP="005F0583">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In this narrative review, the focus was on the growing importance of marketing analytics in GI cancer prevention and detection through an evaluation of studies that shed light on conceptual </w:t>
      </w:r>
      <w:r w:rsidRPr="007924E9">
        <w:rPr>
          <w:rFonts w:ascii="Times New Roman" w:hAnsi="Times New Roman" w:cs="Times New Roman"/>
          <w:sz w:val="24"/>
          <w:szCs w:val="24"/>
        </w:rPr>
        <w:lastRenderedPageBreak/>
        <w:t xml:space="preserve">bases, preventive measures, analytical techniques, and modern technologies involved. It was found out that modern approaches such as artificial intelligence, predictive </w:t>
      </w:r>
      <w:proofErr w:type="spellStart"/>
      <w:r w:rsidRPr="007924E9">
        <w:rPr>
          <w:rFonts w:ascii="Times New Roman" w:hAnsi="Times New Roman" w:cs="Times New Roman"/>
          <w:sz w:val="24"/>
          <w:szCs w:val="24"/>
        </w:rPr>
        <w:t>modeling</w:t>
      </w:r>
      <w:proofErr w:type="spellEnd"/>
      <w:r w:rsidRPr="007924E9">
        <w:rPr>
          <w:rFonts w:ascii="Times New Roman" w:hAnsi="Times New Roman" w:cs="Times New Roman"/>
          <w:sz w:val="24"/>
          <w:szCs w:val="24"/>
        </w:rPr>
        <w:t xml:space="preserve">, social marketing, and digital health technologies are changing the way organizations identify risk groups, communicate with them, conduct screening, and plan their activities using data-driven approaches. Main issues discussed in the literature were associated with the use of </w:t>
      </w:r>
      <w:proofErr w:type="spellStart"/>
      <w:r w:rsidRPr="007924E9">
        <w:rPr>
          <w:rFonts w:ascii="Times New Roman" w:hAnsi="Times New Roman" w:cs="Times New Roman"/>
          <w:sz w:val="24"/>
          <w:szCs w:val="24"/>
        </w:rPr>
        <w:t>behavioral</w:t>
      </w:r>
      <w:proofErr w:type="spellEnd"/>
      <w:r w:rsidRPr="007924E9">
        <w:rPr>
          <w:rFonts w:ascii="Times New Roman" w:hAnsi="Times New Roman" w:cs="Times New Roman"/>
          <w:sz w:val="24"/>
          <w:szCs w:val="24"/>
        </w:rPr>
        <w:t xml:space="preserve"> sciences together with marketing analytics, various data sources from healthcare and the digital world, and the use of complex analytical techniques.</w:t>
      </w:r>
    </w:p>
    <w:p w14:paraId="7F087948" w14:textId="3B35C82E" w:rsidR="005F0583" w:rsidRPr="007924E9" w:rsidRDefault="00607A95" w:rsidP="00607A95">
      <w:pPr>
        <w:spacing w:line="360" w:lineRule="auto"/>
        <w:jc w:val="both"/>
        <w:rPr>
          <w:rFonts w:ascii="Times New Roman" w:hAnsi="Times New Roman" w:cs="Times New Roman"/>
          <w:sz w:val="24"/>
          <w:szCs w:val="24"/>
        </w:rPr>
      </w:pPr>
      <w:r w:rsidRPr="007924E9">
        <w:rPr>
          <w:rFonts w:ascii="Times New Roman" w:hAnsi="Times New Roman" w:cs="Times New Roman"/>
          <w:sz w:val="24"/>
          <w:szCs w:val="24"/>
        </w:rPr>
        <w:t xml:space="preserve">Additionally, the review adds to the existing literature by combining aspects of marketing theory, public health, </w:t>
      </w:r>
      <w:proofErr w:type="spellStart"/>
      <w:r w:rsidRPr="007924E9">
        <w:rPr>
          <w:rFonts w:ascii="Times New Roman" w:hAnsi="Times New Roman" w:cs="Times New Roman"/>
          <w:sz w:val="24"/>
          <w:szCs w:val="24"/>
        </w:rPr>
        <w:t>behavior</w:t>
      </w:r>
      <w:proofErr w:type="spellEnd"/>
      <w:r w:rsidRPr="007924E9">
        <w:rPr>
          <w:rFonts w:ascii="Times New Roman" w:hAnsi="Times New Roman" w:cs="Times New Roman"/>
          <w:sz w:val="24"/>
          <w:szCs w:val="24"/>
        </w:rPr>
        <w:t xml:space="preserve"> sciences, and artificial intelligence into a holistic approach towards the prevention of GI cancers. On an operational level, the study highlights the importance of healthcare organizations to pursue patient-centric marketing approaches that increase awareness and improve the process of screening. With regard to policy implications, investments in digital health technologies, privacy policies, implementation of AI technology equitably, and evidence-based screening programs are imperative in order to improve health outcomes in the population. Future research efforts should be geared toward validation of analytical frameworks across multiple populations, the development of integrated theories, and evaluation of the impact of personalization on marketing strategies.</w:t>
      </w:r>
    </w:p>
    <w:p w14:paraId="3ED2E502" w14:textId="77777777" w:rsidR="00847445" w:rsidRDefault="00847445" w:rsidP="0084744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BA848E2" w14:textId="77777777" w:rsidR="00847445" w:rsidRDefault="00847445" w:rsidP="00847445">
      <w:pPr>
        <w:spacing w:after="0" w:line="240" w:lineRule="auto"/>
        <w:rPr>
          <w:rFonts w:ascii="Times New Roman" w:hAnsi="Times New Roman" w:cs="Times New Roman"/>
          <w:b/>
        </w:rPr>
      </w:pPr>
    </w:p>
    <w:p w14:paraId="4200D7B3" w14:textId="77777777" w:rsidR="00847445" w:rsidRDefault="00847445" w:rsidP="00847445">
      <w:pPr>
        <w:spacing w:after="0" w:line="240" w:lineRule="auto"/>
        <w:rPr>
          <w:rFonts w:ascii="Times New Roman" w:hAnsi="Times New Roman" w:cs="Times New Roman"/>
          <w:b/>
        </w:rPr>
      </w:pPr>
    </w:p>
    <w:p w14:paraId="355FC073" w14:textId="77777777" w:rsidR="00847445" w:rsidRDefault="00847445" w:rsidP="00847445">
      <w:pPr>
        <w:spacing w:after="0" w:line="240" w:lineRule="auto"/>
        <w:rPr>
          <w:rFonts w:ascii="Times New Roman" w:hAnsi="Times New Roman" w:cs="Times New Roman"/>
          <w:b/>
        </w:rPr>
      </w:pPr>
    </w:p>
    <w:p w14:paraId="3566CE20" w14:textId="77777777" w:rsidR="00847445" w:rsidRPr="002D08AC" w:rsidRDefault="00847445" w:rsidP="0084744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00BF579" w14:textId="77777777" w:rsidR="00993BB4" w:rsidRPr="007924E9" w:rsidRDefault="00993BB4" w:rsidP="00607A95">
      <w:pPr>
        <w:spacing w:line="360" w:lineRule="auto"/>
        <w:jc w:val="both"/>
        <w:rPr>
          <w:rFonts w:ascii="Times New Roman" w:hAnsi="Times New Roman" w:cs="Times New Roman"/>
          <w:sz w:val="24"/>
          <w:szCs w:val="24"/>
        </w:rPr>
      </w:pPr>
    </w:p>
    <w:p w14:paraId="63CB4B1F" w14:textId="77777777" w:rsidR="00993BB4" w:rsidRPr="007924E9" w:rsidRDefault="00993BB4" w:rsidP="00607A95">
      <w:pPr>
        <w:spacing w:line="360" w:lineRule="auto"/>
        <w:jc w:val="both"/>
        <w:rPr>
          <w:rFonts w:ascii="Times New Roman" w:hAnsi="Times New Roman" w:cs="Times New Roman"/>
          <w:sz w:val="24"/>
          <w:szCs w:val="24"/>
        </w:rPr>
      </w:pPr>
    </w:p>
    <w:p w14:paraId="74A67F0A" w14:textId="5D0FB9A6" w:rsidR="00993BB4" w:rsidRPr="007924E9" w:rsidRDefault="00993BB4" w:rsidP="00993BB4">
      <w:pPr>
        <w:spacing w:line="360" w:lineRule="auto"/>
        <w:ind w:left="720" w:hanging="720"/>
        <w:jc w:val="both"/>
        <w:rPr>
          <w:rFonts w:ascii="Times New Roman" w:hAnsi="Times New Roman" w:cs="Times New Roman"/>
          <w:b/>
          <w:bCs/>
          <w:sz w:val="24"/>
          <w:szCs w:val="24"/>
        </w:rPr>
      </w:pPr>
      <w:r w:rsidRPr="007924E9">
        <w:rPr>
          <w:rFonts w:ascii="Times New Roman" w:hAnsi="Times New Roman" w:cs="Times New Roman"/>
          <w:b/>
          <w:bCs/>
          <w:sz w:val="24"/>
          <w:szCs w:val="24"/>
        </w:rPr>
        <w:t>Reference</w:t>
      </w:r>
    </w:p>
    <w:p w14:paraId="61244F6D"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Alvarez-Lopez, D., Morales-</w:t>
      </w:r>
      <w:proofErr w:type="spellStart"/>
      <w:r w:rsidRPr="00E81D4F">
        <w:rPr>
          <w:rFonts w:ascii="Times New Roman" w:hAnsi="Times New Roman" w:cs="Times New Roman"/>
          <w:sz w:val="24"/>
          <w:szCs w:val="24"/>
          <w:shd w:val="clear" w:color="auto" w:fill="FFFFFF"/>
        </w:rPr>
        <w:t>Pielago</w:t>
      </w:r>
      <w:proofErr w:type="spellEnd"/>
      <w:r w:rsidRPr="00E81D4F">
        <w:rPr>
          <w:rFonts w:ascii="Times New Roman" w:hAnsi="Times New Roman" w:cs="Times New Roman"/>
          <w:sz w:val="24"/>
          <w:szCs w:val="24"/>
          <w:shd w:val="clear" w:color="auto" w:fill="FFFFFF"/>
        </w:rPr>
        <w:t>, G. F., Aguilar-Guerrero, F., Perez-Peralta, L., Hernandez-Aguilar, J. M., &amp; Reynoso-Noveron, N. (2025). Evaluation of knowledge, attitudes, and practices towards colorectal cancer in a community in Mexico City: A cross-sectional study based on surveys. </w:t>
      </w:r>
      <w:r w:rsidRPr="00E81D4F">
        <w:rPr>
          <w:rFonts w:ascii="Times New Roman" w:hAnsi="Times New Roman" w:cs="Times New Roman"/>
          <w:i/>
          <w:iCs/>
          <w:sz w:val="24"/>
          <w:szCs w:val="24"/>
          <w:shd w:val="clear" w:color="auto" w:fill="FFFFFF"/>
        </w:rPr>
        <w:t>Journal of Cancer Education</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40</w:t>
      </w:r>
      <w:r w:rsidRPr="00E81D4F">
        <w:rPr>
          <w:rFonts w:ascii="Times New Roman" w:hAnsi="Times New Roman" w:cs="Times New Roman"/>
          <w:sz w:val="24"/>
          <w:szCs w:val="24"/>
          <w:shd w:val="clear" w:color="auto" w:fill="FFFFFF"/>
        </w:rPr>
        <w:t>(4), 505-512.</w:t>
      </w:r>
    </w:p>
    <w:p w14:paraId="4907E236" w14:textId="77777777" w:rsidR="00E81D4F" w:rsidRPr="00E81D4F" w:rsidRDefault="00E81D4F" w:rsidP="00E81D4F">
      <w:pPr>
        <w:spacing w:line="278" w:lineRule="auto"/>
        <w:ind w:left="720" w:hanging="720"/>
        <w:rPr>
          <w:rFonts w:ascii="Times New Roman" w:hAnsi="Times New Roman" w:cs="Times New Roman"/>
          <w:sz w:val="24"/>
          <w:szCs w:val="24"/>
        </w:rPr>
      </w:pPr>
      <w:proofErr w:type="spellStart"/>
      <w:r w:rsidRPr="00E81D4F">
        <w:rPr>
          <w:rFonts w:ascii="Times New Roman" w:hAnsi="Times New Roman" w:cs="Times New Roman"/>
          <w:sz w:val="24"/>
          <w:szCs w:val="24"/>
        </w:rPr>
        <w:t>Amevor</w:t>
      </w:r>
      <w:proofErr w:type="spellEnd"/>
      <w:r w:rsidRPr="00E81D4F">
        <w:rPr>
          <w:rFonts w:ascii="Times New Roman" w:hAnsi="Times New Roman" w:cs="Times New Roman"/>
          <w:sz w:val="24"/>
          <w:szCs w:val="24"/>
        </w:rPr>
        <w:t xml:space="preserve">, R. (2026). Equitable AI-biostatistical frameworks for bias mitigation in cancer prediction and outcome analytics: A narrative review. </w:t>
      </w:r>
      <w:r w:rsidRPr="00E81D4F">
        <w:rPr>
          <w:rFonts w:ascii="Times New Roman" w:hAnsi="Times New Roman" w:cs="Times New Roman"/>
          <w:i/>
          <w:iCs/>
          <w:sz w:val="24"/>
          <w:szCs w:val="24"/>
        </w:rPr>
        <w:t>EPRA International Journal of Research &amp; Development (IJRD)</w:t>
      </w:r>
      <w:r w:rsidRPr="00E81D4F">
        <w:rPr>
          <w:rFonts w:ascii="Times New Roman" w:hAnsi="Times New Roman" w:cs="Times New Roman"/>
          <w:sz w:val="24"/>
          <w:szCs w:val="24"/>
        </w:rPr>
        <w:t xml:space="preserve">. </w:t>
      </w:r>
      <w:hyperlink r:id="rId11" w:tgtFrame="_new" w:history="1">
        <w:r w:rsidRPr="00E81D4F">
          <w:rPr>
            <w:rStyle w:val="Hyperlink"/>
            <w:rFonts w:ascii="Times New Roman" w:hAnsi="Times New Roman" w:cs="Times New Roman"/>
            <w:color w:val="auto"/>
            <w:sz w:val="24"/>
            <w:szCs w:val="24"/>
          </w:rPr>
          <w:t>https://doi.org/10.36713/epra26770</w:t>
        </w:r>
      </w:hyperlink>
    </w:p>
    <w:p w14:paraId="4E7E14BF" w14:textId="77777777" w:rsidR="00E81D4F" w:rsidRPr="00E81D4F" w:rsidRDefault="00E81D4F" w:rsidP="00E81D4F">
      <w:pPr>
        <w:spacing w:line="278" w:lineRule="auto"/>
        <w:ind w:left="720" w:hanging="720"/>
        <w:rPr>
          <w:rFonts w:ascii="Times New Roman" w:hAnsi="Times New Roman" w:cs="Times New Roman"/>
          <w:sz w:val="24"/>
          <w:szCs w:val="24"/>
        </w:rPr>
      </w:pPr>
      <w:proofErr w:type="spellStart"/>
      <w:r w:rsidRPr="00E81D4F">
        <w:rPr>
          <w:rFonts w:ascii="Times New Roman" w:hAnsi="Times New Roman" w:cs="Times New Roman"/>
          <w:sz w:val="24"/>
          <w:szCs w:val="24"/>
        </w:rPr>
        <w:lastRenderedPageBreak/>
        <w:t>Amevor</w:t>
      </w:r>
      <w:proofErr w:type="spellEnd"/>
      <w:r w:rsidRPr="00E81D4F">
        <w:rPr>
          <w:rFonts w:ascii="Times New Roman" w:hAnsi="Times New Roman" w:cs="Times New Roman"/>
          <w:sz w:val="24"/>
          <w:szCs w:val="24"/>
        </w:rPr>
        <w:t xml:space="preserve">, R., </w:t>
      </w:r>
      <w:proofErr w:type="spellStart"/>
      <w:r w:rsidRPr="00E81D4F">
        <w:rPr>
          <w:rFonts w:ascii="Times New Roman" w:hAnsi="Times New Roman" w:cs="Times New Roman"/>
          <w:sz w:val="24"/>
          <w:szCs w:val="24"/>
        </w:rPr>
        <w:t>Aduampong</w:t>
      </w:r>
      <w:proofErr w:type="spellEnd"/>
      <w:r w:rsidRPr="00E81D4F">
        <w:rPr>
          <w:rFonts w:ascii="Times New Roman" w:hAnsi="Times New Roman" w:cs="Times New Roman"/>
          <w:sz w:val="24"/>
          <w:szCs w:val="24"/>
        </w:rPr>
        <w:t xml:space="preserve">, M. J. K., &amp; </w:t>
      </w:r>
      <w:proofErr w:type="spellStart"/>
      <w:r w:rsidRPr="00E81D4F">
        <w:rPr>
          <w:rFonts w:ascii="Times New Roman" w:hAnsi="Times New Roman" w:cs="Times New Roman"/>
          <w:sz w:val="24"/>
          <w:szCs w:val="24"/>
        </w:rPr>
        <w:t>Nketiah</w:t>
      </w:r>
      <w:proofErr w:type="spellEnd"/>
      <w:r w:rsidRPr="00E81D4F">
        <w:rPr>
          <w:rFonts w:ascii="Times New Roman" w:hAnsi="Times New Roman" w:cs="Times New Roman"/>
          <w:sz w:val="24"/>
          <w:szCs w:val="24"/>
        </w:rPr>
        <w:t xml:space="preserve">, T. A. (2026). Evaluation of AI-based predictive models for early cancer detection: Statistical considerations and validation methods. </w:t>
      </w:r>
      <w:r w:rsidRPr="00E81D4F">
        <w:rPr>
          <w:rFonts w:ascii="Times New Roman" w:hAnsi="Times New Roman" w:cs="Times New Roman"/>
          <w:i/>
          <w:iCs/>
          <w:sz w:val="24"/>
          <w:szCs w:val="24"/>
        </w:rPr>
        <w:t>Journal of Innovative Science</w:t>
      </w:r>
      <w:r w:rsidRPr="00E81D4F">
        <w:rPr>
          <w:rFonts w:ascii="Times New Roman" w:hAnsi="Times New Roman" w:cs="Times New Roman"/>
          <w:sz w:val="24"/>
          <w:szCs w:val="24"/>
        </w:rPr>
        <w:t xml:space="preserve">, </w:t>
      </w:r>
      <w:r w:rsidRPr="00E81D4F">
        <w:rPr>
          <w:rFonts w:ascii="Times New Roman" w:hAnsi="Times New Roman" w:cs="Times New Roman"/>
          <w:i/>
          <w:iCs/>
          <w:sz w:val="24"/>
          <w:szCs w:val="24"/>
        </w:rPr>
        <w:t>2</w:t>
      </w:r>
      <w:r w:rsidRPr="00E81D4F">
        <w:rPr>
          <w:rFonts w:ascii="Times New Roman" w:hAnsi="Times New Roman" w:cs="Times New Roman"/>
          <w:sz w:val="24"/>
          <w:szCs w:val="24"/>
        </w:rPr>
        <w:t xml:space="preserve">(1), 1. </w:t>
      </w:r>
      <w:hyperlink r:id="rId12" w:history="1">
        <w:r w:rsidRPr="00E81D4F">
          <w:rPr>
            <w:rStyle w:val="Hyperlink"/>
            <w:rFonts w:ascii="Times New Roman" w:hAnsi="Times New Roman" w:cs="Times New Roman"/>
            <w:color w:val="auto"/>
            <w:sz w:val="24"/>
            <w:szCs w:val="24"/>
          </w:rPr>
          <w:t>https://doi.org/10.5281/zenodo.18634390</w:t>
        </w:r>
      </w:hyperlink>
    </w:p>
    <w:p w14:paraId="55EEC923"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Beniwal, S. S., Lamo, P., Kaushik, A., Lorenzo-Villegas, D. L., Liu, Y., &amp; </w:t>
      </w:r>
      <w:proofErr w:type="spellStart"/>
      <w:r w:rsidRPr="00E81D4F">
        <w:rPr>
          <w:rFonts w:ascii="Times New Roman" w:hAnsi="Times New Roman" w:cs="Times New Roman"/>
          <w:sz w:val="24"/>
          <w:szCs w:val="24"/>
          <w:shd w:val="clear" w:color="auto" w:fill="FFFFFF"/>
        </w:rPr>
        <w:t>MohanaSundaram</w:t>
      </w:r>
      <w:proofErr w:type="spellEnd"/>
      <w:r w:rsidRPr="00E81D4F">
        <w:rPr>
          <w:rFonts w:ascii="Times New Roman" w:hAnsi="Times New Roman" w:cs="Times New Roman"/>
          <w:sz w:val="24"/>
          <w:szCs w:val="24"/>
          <w:shd w:val="clear" w:color="auto" w:fill="FFFFFF"/>
        </w:rPr>
        <w:t>, A. (2023). Current status and emerging trends in colorectal cancer screening and diagnostics. </w:t>
      </w:r>
      <w:r w:rsidRPr="00E81D4F">
        <w:rPr>
          <w:rFonts w:ascii="Times New Roman" w:hAnsi="Times New Roman" w:cs="Times New Roman"/>
          <w:i/>
          <w:iCs/>
          <w:sz w:val="24"/>
          <w:szCs w:val="24"/>
          <w:shd w:val="clear" w:color="auto" w:fill="FFFFFF"/>
        </w:rPr>
        <w:t>Biosensors</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13</w:t>
      </w:r>
      <w:r w:rsidRPr="00E81D4F">
        <w:rPr>
          <w:rFonts w:ascii="Times New Roman" w:hAnsi="Times New Roman" w:cs="Times New Roman"/>
          <w:sz w:val="24"/>
          <w:szCs w:val="24"/>
          <w:shd w:val="clear" w:color="auto" w:fill="FFFFFF"/>
        </w:rPr>
        <w:t>(10), 926.</w:t>
      </w:r>
    </w:p>
    <w:p w14:paraId="44A7372E" w14:textId="77777777" w:rsidR="00E81D4F" w:rsidRPr="00E81D4F" w:rsidRDefault="00E81D4F" w:rsidP="00E81D4F">
      <w:pPr>
        <w:ind w:left="720" w:hanging="720"/>
        <w:rPr>
          <w:rFonts w:ascii="Times New Roman" w:hAnsi="Times New Roman" w:cs="Times New Roman"/>
          <w:sz w:val="24"/>
          <w:szCs w:val="24"/>
          <w:shd w:val="clear" w:color="auto" w:fill="FFFFFF"/>
        </w:rPr>
      </w:pPr>
      <w:proofErr w:type="spellStart"/>
      <w:r w:rsidRPr="00E81D4F">
        <w:rPr>
          <w:rFonts w:ascii="Times New Roman" w:hAnsi="Times New Roman" w:cs="Times New Roman"/>
          <w:sz w:val="24"/>
          <w:szCs w:val="24"/>
          <w:shd w:val="clear" w:color="auto" w:fill="FFFFFF"/>
        </w:rPr>
        <w:t>Biroscak</w:t>
      </w:r>
      <w:proofErr w:type="spellEnd"/>
      <w:r w:rsidRPr="00E81D4F">
        <w:rPr>
          <w:rFonts w:ascii="Times New Roman" w:hAnsi="Times New Roman" w:cs="Times New Roman"/>
          <w:sz w:val="24"/>
          <w:szCs w:val="24"/>
          <w:shd w:val="clear" w:color="auto" w:fill="FFFFFF"/>
        </w:rPr>
        <w:t xml:space="preserve">, B. J., Khaliq, M., Schneider, T., Dash-Pitts, L., Aguado Loi, C. X., Ewing, A. P., ... &amp; </w:t>
      </w:r>
      <w:proofErr w:type="spellStart"/>
      <w:r w:rsidRPr="00E81D4F">
        <w:rPr>
          <w:rFonts w:ascii="Times New Roman" w:hAnsi="Times New Roman" w:cs="Times New Roman"/>
          <w:sz w:val="24"/>
          <w:szCs w:val="24"/>
          <w:shd w:val="clear" w:color="auto" w:fill="FFFFFF"/>
        </w:rPr>
        <w:t>Parvanta</w:t>
      </w:r>
      <w:proofErr w:type="spellEnd"/>
      <w:r w:rsidRPr="00E81D4F">
        <w:rPr>
          <w:rFonts w:ascii="Times New Roman" w:hAnsi="Times New Roman" w:cs="Times New Roman"/>
          <w:sz w:val="24"/>
          <w:szCs w:val="24"/>
          <w:shd w:val="clear" w:color="auto" w:fill="FFFFFF"/>
        </w:rPr>
        <w:t xml:space="preserve">, C. (2025). Integration of social marketing and system dynamics </w:t>
      </w:r>
      <w:proofErr w:type="spellStart"/>
      <w:r w:rsidRPr="00E81D4F">
        <w:rPr>
          <w:rFonts w:ascii="Times New Roman" w:hAnsi="Times New Roman" w:cs="Times New Roman"/>
          <w:sz w:val="24"/>
          <w:szCs w:val="24"/>
          <w:shd w:val="clear" w:color="auto" w:fill="FFFFFF"/>
        </w:rPr>
        <w:t>modeling</w:t>
      </w:r>
      <w:proofErr w:type="spellEnd"/>
      <w:r w:rsidRPr="00E81D4F">
        <w:rPr>
          <w:rFonts w:ascii="Times New Roman" w:hAnsi="Times New Roman" w:cs="Times New Roman"/>
          <w:sz w:val="24"/>
          <w:szCs w:val="24"/>
          <w:shd w:val="clear" w:color="auto" w:fill="FFFFFF"/>
        </w:rPr>
        <w:t xml:space="preserve"> to address health disparities: an academic-community partnership case study. </w:t>
      </w:r>
      <w:r w:rsidRPr="00E81D4F">
        <w:rPr>
          <w:rFonts w:ascii="Times New Roman" w:hAnsi="Times New Roman" w:cs="Times New Roman"/>
          <w:i/>
          <w:iCs/>
          <w:sz w:val="24"/>
          <w:szCs w:val="24"/>
          <w:shd w:val="clear" w:color="auto" w:fill="FFFFFF"/>
        </w:rPr>
        <w:t>Journal of Social Marketing</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15</w:t>
      </w:r>
      <w:r w:rsidRPr="00E81D4F">
        <w:rPr>
          <w:rFonts w:ascii="Times New Roman" w:hAnsi="Times New Roman" w:cs="Times New Roman"/>
          <w:sz w:val="24"/>
          <w:szCs w:val="24"/>
          <w:shd w:val="clear" w:color="auto" w:fill="FFFFFF"/>
        </w:rPr>
        <w:t>(4), 579-600.</w:t>
      </w:r>
    </w:p>
    <w:p w14:paraId="5DFCB607"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Dahiya, D. S., Malik, S., </w:t>
      </w:r>
      <w:proofErr w:type="spellStart"/>
      <w:r w:rsidRPr="00E81D4F">
        <w:rPr>
          <w:rFonts w:ascii="Times New Roman" w:hAnsi="Times New Roman" w:cs="Times New Roman"/>
          <w:sz w:val="24"/>
          <w:szCs w:val="24"/>
          <w:shd w:val="clear" w:color="auto" w:fill="FFFFFF"/>
        </w:rPr>
        <w:t>Paladiya</w:t>
      </w:r>
      <w:proofErr w:type="spellEnd"/>
      <w:r w:rsidRPr="00E81D4F">
        <w:rPr>
          <w:rFonts w:ascii="Times New Roman" w:hAnsi="Times New Roman" w:cs="Times New Roman"/>
          <w:sz w:val="24"/>
          <w:szCs w:val="24"/>
          <w:shd w:val="clear" w:color="auto" w:fill="FFFFFF"/>
        </w:rPr>
        <w:t>, R., Ahsan, S., Wasim, H., Bharadwaj, H. R., ... &amp; Ali, H. (2025). Advances in non-invasive screening methods for gastrointestinal cancers: How continued innovation has revolutionized early cancer detection. </w:t>
      </w:r>
      <w:r w:rsidRPr="00E81D4F">
        <w:rPr>
          <w:rFonts w:ascii="Times New Roman" w:hAnsi="Times New Roman" w:cs="Times New Roman"/>
          <w:i/>
          <w:iCs/>
          <w:sz w:val="24"/>
          <w:szCs w:val="24"/>
          <w:shd w:val="clear" w:color="auto" w:fill="FFFFFF"/>
        </w:rPr>
        <w:t>Cancers</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17</w:t>
      </w:r>
      <w:r w:rsidRPr="00E81D4F">
        <w:rPr>
          <w:rFonts w:ascii="Times New Roman" w:hAnsi="Times New Roman" w:cs="Times New Roman"/>
          <w:sz w:val="24"/>
          <w:szCs w:val="24"/>
          <w:shd w:val="clear" w:color="auto" w:fill="FFFFFF"/>
        </w:rPr>
        <w:t>(7), 1085.</w:t>
      </w:r>
    </w:p>
    <w:p w14:paraId="52ED7640" w14:textId="77777777" w:rsidR="00E81D4F" w:rsidRDefault="00E81D4F" w:rsidP="00E81D4F">
      <w:pPr>
        <w:ind w:left="720" w:hanging="720"/>
        <w:rPr>
          <w:rFonts w:ascii="Times New Roman" w:hAnsi="Times New Roman" w:cs="Times New Roman"/>
          <w:sz w:val="24"/>
          <w:szCs w:val="24"/>
          <w:shd w:val="clear" w:color="auto" w:fill="FFFFFF"/>
        </w:rPr>
      </w:pPr>
      <w:proofErr w:type="spellStart"/>
      <w:r w:rsidRPr="00E81D4F">
        <w:rPr>
          <w:rFonts w:ascii="Times New Roman" w:hAnsi="Times New Roman" w:cs="Times New Roman"/>
          <w:sz w:val="24"/>
          <w:szCs w:val="24"/>
          <w:shd w:val="clear" w:color="auto" w:fill="FFFFFF"/>
        </w:rPr>
        <w:t>Domegan</w:t>
      </w:r>
      <w:proofErr w:type="spellEnd"/>
      <w:r w:rsidRPr="00E81D4F">
        <w:rPr>
          <w:rFonts w:ascii="Times New Roman" w:hAnsi="Times New Roman" w:cs="Times New Roman"/>
          <w:sz w:val="24"/>
          <w:szCs w:val="24"/>
          <w:shd w:val="clear" w:color="auto" w:fill="FFFFFF"/>
        </w:rPr>
        <w:t>, C. (2021). Social marketing and behavioural change in a systems setting. </w:t>
      </w:r>
      <w:r w:rsidRPr="00E81D4F">
        <w:rPr>
          <w:rFonts w:ascii="Times New Roman" w:hAnsi="Times New Roman" w:cs="Times New Roman"/>
          <w:i/>
          <w:iCs/>
          <w:sz w:val="24"/>
          <w:szCs w:val="24"/>
          <w:shd w:val="clear" w:color="auto" w:fill="FFFFFF"/>
        </w:rPr>
        <w:t>Current Opinion in Environmental Science &amp; Health</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23</w:t>
      </w:r>
      <w:r w:rsidRPr="00E81D4F">
        <w:rPr>
          <w:rFonts w:ascii="Times New Roman" w:hAnsi="Times New Roman" w:cs="Times New Roman"/>
          <w:sz w:val="24"/>
          <w:szCs w:val="24"/>
          <w:shd w:val="clear" w:color="auto" w:fill="FFFFFF"/>
        </w:rPr>
        <w:t>, 100275.</w:t>
      </w:r>
    </w:p>
    <w:p w14:paraId="2884E4B9" w14:textId="113254D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Engelhart, A., </w:t>
      </w:r>
      <w:proofErr w:type="spellStart"/>
      <w:r w:rsidRPr="00E81D4F">
        <w:rPr>
          <w:rFonts w:ascii="Times New Roman" w:hAnsi="Times New Roman" w:cs="Times New Roman"/>
          <w:sz w:val="24"/>
          <w:szCs w:val="24"/>
          <w:shd w:val="clear" w:color="auto" w:fill="FFFFFF"/>
        </w:rPr>
        <w:t>Nwaozuru</w:t>
      </w:r>
      <w:proofErr w:type="spellEnd"/>
      <w:r w:rsidRPr="00E81D4F">
        <w:rPr>
          <w:rFonts w:ascii="Times New Roman" w:hAnsi="Times New Roman" w:cs="Times New Roman"/>
          <w:sz w:val="24"/>
          <w:szCs w:val="24"/>
          <w:shd w:val="clear" w:color="auto" w:fill="FFFFFF"/>
        </w:rPr>
        <w:t xml:space="preserve">, U. C., Takenaka, B. P., Herrera, C., Patrick, T., Adeoti, E., ... &amp; </w:t>
      </w:r>
      <w:proofErr w:type="spellStart"/>
      <w:r w:rsidRPr="00E81D4F">
        <w:rPr>
          <w:rFonts w:ascii="Times New Roman" w:hAnsi="Times New Roman" w:cs="Times New Roman"/>
          <w:sz w:val="24"/>
          <w:szCs w:val="24"/>
          <w:shd w:val="clear" w:color="auto" w:fill="FFFFFF"/>
        </w:rPr>
        <w:t>Iwelunmor</w:t>
      </w:r>
      <w:proofErr w:type="spellEnd"/>
      <w:r w:rsidRPr="00E81D4F">
        <w:rPr>
          <w:rFonts w:ascii="Times New Roman" w:hAnsi="Times New Roman" w:cs="Times New Roman"/>
          <w:sz w:val="24"/>
          <w:szCs w:val="24"/>
          <w:shd w:val="clear" w:color="auto" w:fill="FFFFFF"/>
        </w:rPr>
        <w:t xml:space="preserve">, J. (2025). Disseminating for Equity and Justice: Findings </w:t>
      </w:r>
      <w:proofErr w:type="gramStart"/>
      <w:r w:rsidRPr="00E81D4F">
        <w:rPr>
          <w:rFonts w:ascii="Times New Roman" w:hAnsi="Times New Roman" w:cs="Times New Roman"/>
          <w:sz w:val="24"/>
          <w:szCs w:val="24"/>
          <w:shd w:val="clear" w:color="auto" w:fill="FFFFFF"/>
        </w:rPr>
        <w:t>From</w:t>
      </w:r>
      <w:proofErr w:type="gramEnd"/>
      <w:r w:rsidRPr="00E81D4F">
        <w:rPr>
          <w:rFonts w:ascii="Times New Roman" w:hAnsi="Times New Roman" w:cs="Times New Roman"/>
          <w:sz w:val="24"/>
          <w:szCs w:val="24"/>
          <w:shd w:val="clear" w:color="auto" w:fill="FFFFFF"/>
        </w:rPr>
        <w:t xml:space="preserve"> the LIGHT Global Crowdsourcing Open Contest to Reimagine Public Health. </w:t>
      </w:r>
      <w:r w:rsidRPr="00E81D4F">
        <w:rPr>
          <w:rFonts w:ascii="Times New Roman" w:hAnsi="Times New Roman" w:cs="Times New Roman"/>
          <w:i/>
          <w:iCs/>
          <w:sz w:val="24"/>
          <w:szCs w:val="24"/>
          <w:shd w:val="clear" w:color="auto" w:fill="FFFFFF"/>
        </w:rPr>
        <w:t>Journal of Public Health Management and Practice</w:t>
      </w:r>
      <w:r w:rsidRPr="00E81D4F">
        <w:rPr>
          <w:rFonts w:ascii="Times New Roman" w:hAnsi="Times New Roman" w:cs="Times New Roman"/>
          <w:sz w:val="24"/>
          <w:szCs w:val="24"/>
          <w:shd w:val="clear" w:color="auto" w:fill="FFFFFF"/>
        </w:rPr>
        <w:t>, 10-1097.</w:t>
      </w:r>
    </w:p>
    <w:p w14:paraId="0D4749D4"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Ewing, A. P., Bewa, M. J., Zemen, R., Schneider, T., Zaire, P. J., Clark, J., ... &amp; </w:t>
      </w:r>
      <w:proofErr w:type="spellStart"/>
      <w:r w:rsidRPr="00E81D4F">
        <w:rPr>
          <w:rFonts w:ascii="Times New Roman" w:hAnsi="Times New Roman" w:cs="Times New Roman"/>
          <w:sz w:val="24"/>
          <w:szCs w:val="24"/>
          <w:shd w:val="clear" w:color="auto" w:fill="FFFFFF"/>
        </w:rPr>
        <w:t>Parvanta</w:t>
      </w:r>
      <w:proofErr w:type="spellEnd"/>
      <w:r w:rsidRPr="00E81D4F">
        <w:rPr>
          <w:rFonts w:ascii="Times New Roman" w:hAnsi="Times New Roman" w:cs="Times New Roman"/>
          <w:sz w:val="24"/>
          <w:szCs w:val="24"/>
          <w:shd w:val="clear" w:color="auto" w:fill="FFFFFF"/>
        </w:rPr>
        <w:t xml:space="preserve">, C. (2023). Developing a social marketing–based colorectal cancer screening campaign </w:t>
      </w:r>
      <w:proofErr w:type="spellStart"/>
      <w:r w:rsidRPr="00E81D4F">
        <w:rPr>
          <w:rFonts w:ascii="Times New Roman" w:hAnsi="Times New Roman" w:cs="Times New Roman"/>
          <w:sz w:val="24"/>
          <w:szCs w:val="24"/>
          <w:shd w:val="clear" w:color="auto" w:fill="FFFFFF"/>
        </w:rPr>
        <w:t>centered</w:t>
      </w:r>
      <w:proofErr w:type="spellEnd"/>
      <w:r w:rsidRPr="00E81D4F">
        <w:rPr>
          <w:rFonts w:ascii="Times New Roman" w:hAnsi="Times New Roman" w:cs="Times New Roman"/>
          <w:sz w:val="24"/>
          <w:szCs w:val="24"/>
          <w:shd w:val="clear" w:color="auto" w:fill="FFFFFF"/>
        </w:rPr>
        <w:t xml:space="preserve"> on stool-based testing for patients utilizing services at a federally qualified healthcare </w:t>
      </w:r>
      <w:proofErr w:type="spellStart"/>
      <w:r w:rsidRPr="00E81D4F">
        <w:rPr>
          <w:rFonts w:ascii="Times New Roman" w:hAnsi="Times New Roman" w:cs="Times New Roman"/>
          <w:sz w:val="24"/>
          <w:szCs w:val="24"/>
          <w:shd w:val="clear" w:color="auto" w:fill="FFFFFF"/>
        </w:rPr>
        <w:t>center</w:t>
      </w:r>
      <w:proofErr w:type="spellEnd"/>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Social Marketing Quarterly</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29</w:t>
      </w:r>
      <w:r w:rsidRPr="00E81D4F">
        <w:rPr>
          <w:rFonts w:ascii="Times New Roman" w:hAnsi="Times New Roman" w:cs="Times New Roman"/>
          <w:sz w:val="24"/>
          <w:szCs w:val="24"/>
          <w:shd w:val="clear" w:color="auto" w:fill="FFFFFF"/>
        </w:rPr>
        <w:t>(2), 164-181.</w:t>
      </w:r>
    </w:p>
    <w:p w14:paraId="02E7FB79"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Ewing, A. P., Tounkara, F., Marshall, D., Henry, A. V., Abdel-Rasoul, M., McElwain, S., ... &amp; </w:t>
      </w:r>
      <w:proofErr w:type="spellStart"/>
      <w:r w:rsidRPr="00E81D4F">
        <w:rPr>
          <w:rFonts w:ascii="Times New Roman" w:hAnsi="Times New Roman" w:cs="Times New Roman"/>
          <w:sz w:val="24"/>
          <w:szCs w:val="24"/>
          <w:shd w:val="clear" w:color="auto" w:fill="FFFFFF"/>
        </w:rPr>
        <w:t>Doubeni</w:t>
      </w:r>
      <w:proofErr w:type="spellEnd"/>
      <w:r w:rsidRPr="00E81D4F">
        <w:rPr>
          <w:rFonts w:ascii="Times New Roman" w:hAnsi="Times New Roman" w:cs="Times New Roman"/>
          <w:sz w:val="24"/>
          <w:szCs w:val="24"/>
          <w:shd w:val="clear" w:color="auto" w:fill="FFFFFF"/>
        </w:rPr>
        <w:t>, C. A. (2024). Examining racial disparities in colorectal cancer screening and the role of online medical record use: findings from a cross-sectional study of a national survey. </w:t>
      </w:r>
      <w:r w:rsidRPr="00E81D4F">
        <w:rPr>
          <w:rFonts w:ascii="Times New Roman" w:hAnsi="Times New Roman" w:cs="Times New Roman"/>
          <w:i/>
          <w:iCs/>
          <w:sz w:val="24"/>
          <w:szCs w:val="24"/>
          <w:shd w:val="clear" w:color="auto" w:fill="FFFFFF"/>
        </w:rPr>
        <w:t>JMIR cancer</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10</w:t>
      </w:r>
      <w:r w:rsidRPr="00E81D4F">
        <w:rPr>
          <w:rFonts w:ascii="Times New Roman" w:hAnsi="Times New Roman" w:cs="Times New Roman"/>
          <w:sz w:val="24"/>
          <w:szCs w:val="24"/>
          <w:shd w:val="clear" w:color="auto" w:fill="FFFFFF"/>
        </w:rPr>
        <w:t>, e53229.</w:t>
      </w:r>
    </w:p>
    <w:p w14:paraId="18A6FFF1" w14:textId="77777777" w:rsidR="00E81D4F" w:rsidRPr="00E81D4F" w:rsidRDefault="00E81D4F" w:rsidP="00E81D4F">
      <w:pPr>
        <w:ind w:left="720" w:hanging="720"/>
        <w:rPr>
          <w:rFonts w:ascii="Times New Roman" w:hAnsi="Times New Roman" w:cs="Times New Roman"/>
          <w:sz w:val="24"/>
          <w:szCs w:val="24"/>
        </w:rPr>
      </w:pPr>
      <w:proofErr w:type="spellStart"/>
      <w:r w:rsidRPr="00E81D4F">
        <w:rPr>
          <w:rFonts w:ascii="Times New Roman" w:hAnsi="Times New Roman" w:cs="Times New Roman"/>
          <w:sz w:val="24"/>
          <w:szCs w:val="24"/>
        </w:rPr>
        <w:t>Filani</w:t>
      </w:r>
      <w:proofErr w:type="spellEnd"/>
      <w:r w:rsidRPr="00E81D4F">
        <w:rPr>
          <w:rFonts w:ascii="Times New Roman" w:hAnsi="Times New Roman" w:cs="Times New Roman"/>
          <w:sz w:val="24"/>
          <w:szCs w:val="24"/>
        </w:rPr>
        <w:t xml:space="preserve">, A., &amp; Opoku, J. A. (2025). </w:t>
      </w:r>
      <w:r w:rsidRPr="00E81D4F">
        <w:rPr>
          <w:rFonts w:ascii="Times New Roman" w:hAnsi="Times New Roman" w:cs="Times New Roman"/>
          <w:i/>
          <w:iCs/>
          <w:sz w:val="24"/>
          <w:szCs w:val="24"/>
        </w:rPr>
        <w:t>Protecting electronic health records (EHRs): Advances and challenges in data security and privacy</w:t>
      </w:r>
      <w:r w:rsidRPr="00E81D4F">
        <w:rPr>
          <w:rFonts w:ascii="Times New Roman" w:hAnsi="Times New Roman" w:cs="Times New Roman"/>
          <w:sz w:val="24"/>
          <w:szCs w:val="24"/>
        </w:rPr>
        <w:t xml:space="preserve">. </w:t>
      </w:r>
      <w:proofErr w:type="spellStart"/>
      <w:r w:rsidRPr="00E81D4F">
        <w:rPr>
          <w:rFonts w:ascii="Times New Roman" w:hAnsi="Times New Roman" w:cs="Times New Roman"/>
          <w:sz w:val="24"/>
          <w:szCs w:val="24"/>
        </w:rPr>
        <w:t>Zenodo</w:t>
      </w:r>
      <w:proofErr w:type="spellEnd"/>
      <w:r w:rsidRPr="00E81D4F">
        <w:rPr>
          <w:rFonts w:ascii="Times New Roman" w:hAnsi="Times New Roman" w:cs="Times New Roman"/>
          <w:sz w:val="24"/>
          <w:szCs w:val="24"/>
        </w:rPr>
        <w:t xml:space="preserve">. </w:t>
      </w:r>
      <w:hyperlink r:id="rId13" w:tgtFrame="_new" w:history="1">
        <w:r w:rsidRPr="00E81D4F">
          <w:rPr>
            <w:rStyle w:val="Hyperlink"/>
            <w:rFonts w:ascii="Times New Roman" w:hAnsi="Times New Roman" w:cs="Times New Roman"/>
            <w:color w:val="auto"/>
            <w:sz w:val="24"/>
            <w:szCs w:val="24"/>
          </w:rPr>
          <w:t>https://doi.org/10.5281/zenodo.17806051</w:t>
        </w:r>
      </w:hyperlink>
    </w:p>
    <w:p w14:paraId="59B56FC2"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Gong, Y. Q., Lu, C. J., Xiao, Y. R., Zhang, J. Y., Xu, Z., Li, J., &amp; Huang, W. F. (2025). Epidemiological trends of early-onset gastrointestinal cancers from 1990 to 2021 and predictions for 2036: analysis from the global burden of disease study 2021. </w:t>
      </w:r>
      <w:r w:rsidRPr="00E81D4F">
        <w:rPr>
          <w:rFonts w:ascii="Times New Roman" w:hAnsi="Times New Roman" w:cs="Times New Roman"/>
          <w:i/>
          <w:iCs/>
          <w:sz w:val="24"/>
          <w:szCs w:val="24"/>
          <w:shd w:val="clear" w:color="auto" w:fill="FFFFFF"/>
        </w:rPr>
        <w:t>Annals of Medicine</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57</w:t>
      </w:r>
      <w:r w:rsidRPr="00E81D4F">
        <w:rPr>
          <w:rFonts w:ascii="Times New Roman" w:hAnsi="Times New Roman" w:cs="Times New Roman"/>
          <w:sz w:val="24"/>
          <w:szCs w:val="24"/>
          <w:shd w:val="clear" w:color="auto" w:fill="FFFFFF"/>
        </w:rPr>
        <w:t>(1), 2555518.</w:t>
      </w:r>
    </w:p>
    <w:p w14:paraId="208D4097"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Greene, M., Pew, T., Le, Q., Philp, A., Johnson, W. K., Ozbay, A. B., ... &amp; Limburg, P. (2024). Member adherence to a health insurer-sponsored gap closure program using multi-target stool DNA test for colorectal cancer screening. </w:t>
      </w:r>
      <w:r w:rsidRPr="00E81D4F">
        <w:rPr>
          <w:rFonts w:ascii="Times New Roman" w:hAnsi="Times New Roman" w:cs="Times New Roman"/>
          <w:i/>
          <w:iCs/>
          <w:sz w:val="24"/>
          <w:szCs w:val="24"/>
          <w:shd w:val="clear" w:color="auto" w:fill="FFFFFF"/>
        </w:rPr>
        <w:t>Journal of Primary Care &amp; Community Health</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15</w:t>
      </w:r>
      <w:r w:rsidRPr="00E81D4F">
        <w:rPr>
          <w:rFonts w:ascii="Times New Roman" w:hAnsi="Times New Roman" w:cs="Times New Roman"/>
          <w:sz w:val="24"/>
          <w:szCs w:val="24"/>
          <w:shd w:val="clear" w:color="auto" w:fill="FFFFFF"/>
        </w:rPr>
        <w:t>, 21501319241305958.</w:t>
      </w:r>
    </w:p>
    <w:p w14:paraId="65F3B5E6" w14:textId="77777777" w:rsidR="00E81D4F" w:rsidRPr="00E81D4F" w:rsidRDefault="00E81D4F" w:rsidP="00E81D4F">
      <w:pPr>
        <w:ind w:left="720" w:hanging="720"/>
        <w:rPr>
          <w:rFonts w:ascii="Times New Roman" w:hAnsi="Times New Roman" w:cs="Times New Roman"/>
          <w:sz w:val="24"/>
          <w:szCs w:val="24"/>
          <w:shd w:val="clear" w:color="auto" w:fill="FFFFFF"/>
        </w:rPr>
      </w:pPr>
      <w:proofErr w:type="spellStart"/>
      <w:r w:rsidRPr="00E81D4F">
        <w:rPr>
          <w:rFonts w:ascii="Times New Roman" w:hAnsi="Times New Roman" w:cs="Times New Roman"/>
          <w:sz w:val="24"/>
          <w:szCs w:val="24"/>
          <w:shd w:val="clear" w:color="auto" w:fill="FFFFFF"/>
        </w:rPr>
        <w:lastRenderedPageBreak/>
        <w:t>Huhulea</w:t>
      </w:r>
      <w:proofErr w:type="spellEnd"/>
      <w:r w:rsidRPr="00E81D4F">
        <w:rPr>
          <w:rFonts w:ascii="Times New Roman" w:hAnsi="Times New Roman" w:cs="Times New Roman"/>
          <w:sz w:val="24"/>
          <w:szCs w:val="24"/>
          <w:shd w:val="clear" w:color="auto" w:fill="FFFFFF"/>
        </w:rPr>
        <w:t xml:space="preserve">, E. N., Huang, L., Eng, S., </w:t>
      </w:r>
      <w:proofErr w:type="spellStart"/>
      <w:r w:rsidRPr="00E81D4F">
        <w:rPr>
          <w:rFonts w:ascii="Times New Roman" w:hAnsi="Times New Roman" w:cs="Times New Roman"/>
          <w:sz w:val="24"/>
          <w:szCs w:val="24"/>
          <w:shd w:val="clear" w:color="auto" w:fill="FFFFFF"/>
        </w:rPr>
        <w:t>Sumawi</w:t>
      </w:r>
      <w:proofErr w:type="spellEnd"/>
      <w:r w:rsidRPr="00E81D4F">
        <w:rPr>
          <w:rFonts w:ascii="Times New Roman" w:hAnsi="Times New Roman" w:cs="Times New Roman"/>
          <w:sz w:val="24"/>
          <w:szCs w:val="24"/>
          <w:shd w:val="clear" w:color="auto" w:fill="FFFFFF"/>
        </w:rPr>
        <w:t xml:space="preserve">, B., Huang, A., </w:t>
      </w:r>
      <w:proofErr w:type="spellStart"/>
      <w:r w:rsidRPr="00E81D4F">
        <w:rPr>
          <w:rFonts w:ascii="Times New Roman" w:hAnsi="Times New Roman" w:cs="Times New Roman"/>
          <w:sz w:val="24"/>
          <w:szCs w:val="24"/>
          <w:shd w:val="clear" w:color="auto" w:fill="FFFFFF"/>
        </w:rPr>
        <w:t>Aifuwa</w:t>
      </w:r>
      <w:proofErr w:type="spellEnd"/>
      <w:r w:rsidRPr="00E81D4F">
        <w:rPr>
          <w:rFonts w:ascii="Times New Roman" w:hAnsi="Times New Roman" w:cs="Times New Roman"/>
          <w:sz w:val="24"/>
          <w:szCs w:val="24"/>
          <w:shd w:val="clear" w:color="auto" w:fill="FFFFFF"/>
        </w:rPr>
        <w:t>, E., ... &amp; Etienne, M. (2025). Artificial intelligence advancements in oncology: A review of current trends and future directions. </w:t>
      </w:r>
      <w:r w:rsidRPr="00E81D4F">
        <w:rPr>
          <w:rFonts w:ascii="Times New Roman" w:hAnsi="Times New Roman" w:cs="Times New Roman"/>
          <w:i/>
          <w:iCs/>
          <w:sz w:val="24"/>
          <w:szCs w:val="24"/>
          <w:shd w:val="clear" w:color="auto" w:fill="FFFFFF"/>
        </w:rPr>
        <w:t>Biomedicines</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13</w:t>
      </w:r>
      <w:r w:rsidRPr="00E81D4F">
        <w:rPr>
          <w:rFonts w:ascii="Times New Roman" w:hAnsi="Times New Roman" w:cs="Times New Roman"/>
          <w:sz w:val="24"/>
          <w:szCs w:val="24"/>
          <w:shd w:val="clear" w:color="auto" w:fill="FFFFFF"/>
        </w:rPr>
        <w:t>(4), 951.</w:t>
      </w:r>
    </w:p>
    <w:p w14:paraId="5196189D"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Jang, S. H., Cole, A., Brown, E. V., &amp; Ko, L. (2022). Adaptation of a mailed-FIT kit and patient navigation intervention to increase colorectal cancer (CRC) screening among Spanish-speaking Hispanic/Latino patients. </w:t>
      </w:r>
      <w:r w:rsidRPr="00E81D4F">
        <w:rPr>
          <w:rFonts w:ascii="Times New Roman" w:hAnsi="Times New Roman" w:cs="Times New Roman"/>
          <w:i/>
          <w:iCs/>
          <w:sz w:val="24"/>
          <w:szCs w:val="24"/>
          <w:shd w:val="clear" w:color="auto" w:fill="FFFFFF"/>
        </w:rPr>
        <w:t>Hispanic Health Care International</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20</w:t>
      </w:r>
      <w:r w:rsidRPr="00E81D4F">
        <w:rPr>
          <w:rFonts w:ascii="Times New Roman" w:hAnsi="Times New Roman" w:cs="Times New Roman"/>
          <w:sz w:val="24"/>
          <w:szCs w:val="24"/>
          <w:shd w:val="clear" w:color="auto" w:fill="FFFFFF"/>
        </w:rPr>
        <w:t>(2), 80-88.</w:t>
      </w:r>
    </w:p>
    <w:p w14:paraId="063B13A2"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Khaliq, M., </w:t>
      </w:r>
      <w:proofErr w:type="spellStart"/>
      <w:r w:rsidRPr="00E81D4F">
        <w:rPr>
          <w:rFonts w:ascii="Times New Roman" w:hAnsi="Times New Roman" w:cs="Times New Roman"/>
          <w:sz w:val="24"/>
          <w:szCs w:val="24"/>
          <w:shd w:val="clear" w:color="auto" w:fill="FFFFFF"/>
        </w:rPr>
        <w:t>Boddupalli</w:t>
      </w:r>
      <w:proofErr w:type="spellEnd"/>
      <w:r w:rsidRPr="00E81D4F">
        <w:rPr>
          <w:rFonts w:ascii="Times New Roman" w:hAnsi="Times New Roman" w:cs="Times New Roman"/>
          <w:sz w:val="24"/>
          <w:szCs w:val="24"/>
          <w:shd w:val="clear" w:color="auto" w:fill="FFFFFF"/>
        </w:rPr>
        <w:t xml:space="preserve">, S., </w:t>
      </w:r>
      <w:proofErr w:type="spellStart"/>
      <w:r w:rsidRPr="00E81D4F">
        <w:rPr>
          <w:rFonts w:ascii="Times New Roman" w:hAnsi="Times New Roman" w:cs="Times New Roman"/>
          <w:sz w:val="24"/>
          <w:szCs w:val="24"/>
          <w:shd w:val="clear" w:color="auto" w:fill="FFFFFF"/>
        </w:rPr>
        <w:t>Parvanta</w:t>
      </w:r>
      <w:proofErr w:type="spellEnd"/>
      <w:r w:rsidRPr="00E81D4F">
        <w:rPr>
          <w:rFonts w:ascii="Times New Roman" w:hAnsi="Times New Roman" w:cs="Times New Roman"/>
          <w:sz w:val="24"/>
          <w:szCs w:val="24"/>
          <w:shd w:val="clear" w:color="auto" w:fill="FFFFFF"/>
        </w:rPr>
        <w:t>, C., &amp; Bryant, C. (2022). Community-based prevention marketing (CBPM): evolution from programming to policy development to systems change. In </w:t>
      </w:r>
      <w:r w:rsidRPr="00E81D4F">
        <w:rPr>
          <w:rFonts w:ascii="Times New Roman" w:hAnsi="Times New Roman" w:cs="Times New Roman"/>
          <w:i/>
          <w:iCs/>
          <w:sz w:val="24"/>
          <w:szCs w:val="24"/>
          <w:shd w:val="clear" w:color="auto" w:fill="FFFFFF"/>
        </w:rPr>
        <w:t xml:space="preserve">The Palgrave </w:t>
      </w:r>
      <w:proofErr w:type="spellStart"/>
      <w:r w:rsidRPr="00E81D4F">
        <w:rPr>
          <w:rFonts w:ascii="Times New Roman" w:hAnsi="Times New Roman" w:cs="Times New Roman"/>
          <w:i/>
          <w:iCs/>
          <w:sz w:val="24"/>
          <w:szCs w:val="24"/>
          <w:shd w:val="clear" w:color="auto" w:fill="FFFFFF"/>
        </w:rPr>
        <w:t>Encyclopedia</w:t>
      </w:r>
      <w:proofErr w:type="spellEnd"/>
      <w:r w:rsidRPr="00E81D4F">
        <w:rPr>
          <w:rFonts w:ascii="Times New Roman" w:hAnsi="Times New Roman" w:cs="Times New Roman"/>
          <w:i/>
          <w:iCs/>
          <w:sz w:val="24"/>
          <w:szCs w:val="24"/>
          <w:shd w:val="clear" w:color="auto" w:fill="FFFFFF"/>
        </w:rPr>
        <w:t xml:space="preserve"> of Social Marketing</w:t>
      </w:r>
      <w:r w:rsidRPr="00E81D4F">
        <w:rPr>
          <w:rFonts w:ascii="Times New Roman" w:hAnsi="Times New Roman" w:cs="Times New Roman"/>
          <w:sz w:val="24"/>
          <w:szCs w:val="24"/>
          <w:shd w:val="clear" w:color="auto" w:fill="FFFFFF"/>
        </w:rPr>
        <w:t> (pp. 1-9). Cham: Springer International Publishing.</w:t>
      </w:r>
    </w:p>
    <w:p w14:paraId="236CE41A" w14:textId="77777777" w:rsidR="00E81D4F" w:rsidRPr="00E81D4F" w:rsidRDefault="00E81D4F" w:rsidP="00E81D4F">
      <w:pPr>
        <w:spacing w:line="278" w:lineRule="auto"/>
        <w:ind w:left="720" w:hanging="720"/>
        <w:rPr>
          <w:rFonts w:ascii="Times New Roman" w:hAnsi="Times New Roman" w:cs="Times New Roman"/>
          <w:sz w:val="24"/>
          <w:szCs w:val="24"/>
        </w:rPr>
      </w:pPr>
      <w:proofErr w:type="spellStart"/>
      <w:r w:rsidRPr="00E81D4F">
        <w:rPr>
          <w:rFonts w:ascii="Times New Roman" w:eastAsia="Arial" w:hAnsi="Times New Roman" w:cs="Times New Roman"/>
          <w:sz w:val="24"/>
          <w:szCs w:val="24"/>
        </w:rPr>
        <w:t>Kubuafor</w:t>
      </w:r>
      <w:proofErr w:type="spellEnd"/>
      <w:r w:rsidRPr="00E81D4F">
        <w:rPr>
          <w:rFonts w:ascii="Times New Roman" w:eastAsia="Arial" w:hAnsi="Times New Roman" w:cs="Times New Roman"/>
          <w:sz w:val="24"/>
          <w:szCs w:val="24"/>
        </w:rPr>
        <w:t xml:space="preserve">, E., Baidoo, D., Duah, A., </w:t>
      </w:r>
      <w:proofErr w:type="spellStart"/>
      <w:r w:rsidRPr="00E81D4F">
        <w:rPr>
          <w:rFonts w:ascii="Times New Roman" w:eastAsia="Arial" w:hAnsi="Times New Roman" w:cs="Times New Roman"/>
          <w:sz w:val="24"/>
          <w:szCs w:val="24"/>
        </w:rPr>
        <w:t>Amevor</w:t>
      </w:r>
      <w:proofErr w:type="spellEnd"/>
      <w:r w:rsidRPr="00E81D4F">
        <w:rPr>
          <w:rFonts w:ascii="Times New Roman" w:eastAsia="Arial" w:hAnsi="Times New Roman" w:cs="Times New Roman"/>
          <w:sz w:val="24"/>
          <w:szCs w:val="24"/>
        </w:rPr>
        <w:t xml:space="preserve">, R., Okeke, O. J., Quaye, D., &amp; Appiah, P. O. (2025a). Latent Spatial Heterogeneity in US Cancer Mortality: A Multi-Site Clustering and Spatial Autocorrelation Analysis. </w:t>
      </w:r>
      <w:proofErr w:type="spellStart"/>
      <w:r w:rsidRPr="00E81D4F">
        <w:rPr>
          <w:rFonts w:ascii="Times New Roman" w:eastAsia="Arial" w:hAnsi="Times New Roman" w:cs="Times New Roman"/>
          <w:i/>
          <w:iCs/>
          <w:sz w:val="24"/>
          <w:szCs w:val="24"/>
        </w:rPr>
        <w:t>arXiv</w:t>
      </w:r>
      <w:proofErr w:type="spellEnd"/>
      <w:r w:rsidRPr="00E81D4F">
        <w:rPr>
          <w:rFonts w:ascii="Times New Roman" w:eastAsia="Arial" w:hAnsi="Times New Roman" w:cs="Times New Roman"/>
          <w:i/>
          <w:iCs/>
          <w:sz w:val="24"/>
          <w:szCs w:val="24"/>
        </w:rPr>
        <w:t xml:space="preserve"> preprint arXiv:2508.12188</w:t>
      </w:r>
      <w:r w:rsidRPr="00E81D4F">
        <w:rPr>
          <w:rFonts w:ascii="Times New Roman" w:eastAsia="Arial" w:hAnsi="Times New Roman" w:cs="Times New Roman"/>
          <w:sz w:val="24"/>
          <w:szCs w:val="24"/>
        </w:rPr>
        <w:t>.</w:t>
      </w:r>
    </w:p>
    <w:p w14:paraId="23778068" w14:textId="77777777" w:rsidR="00E81D4F" w:rsidRPr="00E81D4F" w:rsidRDefault="00E81D4F" w:rsidP="00E81D4F">
      <w:pPr>
        <w:spacing w:line="278" w:lineRule="auto"/>
        <w:ind w:left="720" w:hanging="720"/>
        <w:rPr>
          <w:rFonts w:ascii="Times New Roman" w:hAnsi="Times New Roman" w:cs="Times New Roman"/>
          <w:sz w:val="24"/>
          <w:szCs w:val="24"/>
        </w:rPr>
      </w:pPr>
      <w:proofErr w:type="spellStart"/>
      <w:r w:rsidRPr="00E81D4F">
        <w:rPr>
          <w:rFonts w:ascii="Times New Roman" w:eastAsia="Arial" w:hAnsi="Times New Roman" w:cs="Times New Roman"/>
          <w:sz w:val="24"/>
          <w:szCs w:val="24"/>
        </w:rPr>
        <w:t>Kubuafor</w:t>
      </w:r>
      <w:proofErr w:type="spellEnd"/>
      <w:r w:rsidRPr="00E81D4F">
        <w:rPr>
          <w:rFonts w:ascii="Times New Roman" w:eastAsia="Arial" w:hAnsi="Times New Roman" w:cs="Times New Roman"/>
          <w:sz w:val="24"/>
          <w:szCs w:val="24"/>
        </w:rPr>
        <w:t xml:space="preserve">, E., Baidoo, D., Okeke, O. J., </w:t>
      </w:r>
      <w:proofErr w:type="spellStart"/>
      <w:r w:rsidRPr="00E81D4F">
        <w:rPr>
          <w:rFonts w:ascii="Times New Roman" w:eastAsia="Arial" w:hAnsi="Times New Roman" w:cs="Times New Roman"/>
          <w:sz w:val="24"/>
          <w:szCs w:val="24"/>
        </w:rPr>
        <w:t>Amevor</w:t>
      </w:r>
      <w:proofErr w:type="spellEnd"/>
      <w:r w:rsidRPr="00E81D4F">
        <w:rPr>
          <w:rFonts w:ascii="Times New Roman" w:eastAsia="Arial" w:hAnsi="Times New Roman" w:cs="Times New Roman"/>
          <w:sz w:val="24"/>
          <w:szCs w:val="24"/>
        </w:rPr>
        <w:t xml:space="preserve">, R., Arhin, G., &amp; </w:t>
      </w:r>
      <w:proofErr w:type="spellStart"/>
      <w:r w:rsidRPr="00E81D4F">
        <w:rPr>
          <w:rFonts w:ascii="Times New Roman" w:eastAsia="Arial" w:hAnsi="Times New Roman" w:cs="Times New Roman"/>
          <w:sz w:val="24"/>
          <w:szCs w:val="24"/>
        </w:rPr>
        <w:t>Korley</w:t>
      </w:r>
      <w:proofErr w:type="spellEnd"/>
      <w:r w:rsidRPr="00E81D4F">
        <w:rPr>
          <w:rFonts w:ascii="Times New Roman" w:eastAsia="Arial" w:hAnsi="Times New Roman" w:cs="Times New Roman"/>
          <w:sz w:val="24"/>
          <w:szCs w:val="24"/>
        </w:rPr>
        <w:t xml:space="preserve">, J. T. (2025b). Evaluation of Time Series Forecasting Models for Predicting Lung Cancer Mortality Rates in the United States: A Comparison with </w:t>
      </w:r>
      <w:proofErr w:type="spellStart"/>
      <w:r w:rsidRPr="00E81D4F">
        <w:rPr>
          <w:rFonts w:ascii="Times New Roman" w:eastAsia="Arial" w:hAnsi="Times New Roman" w:cs="Times New Roman"/>
          <w:sz w:val="24"/>
          <w:szCs w:val="24"/>
        </w:rPr>
        <w:t>Altuhaifa</w:t>
      </w:r>
      <w:proofErr w:type="spellEnd"/>
      <w:r w:rsidRPr="00E81D4F">
        <w:rPr>
          <w:rFonts w:ascii="Times New Roman" w:eastAsia="Arial" w:hAnsi="Times New Roman" w:cs="Times New Roman"/>
          <w:sz w:val="24"/>
          <w:szCs w:val="24"/>
        </w:rPr>
        <w:t xml:space="preserve"> (2023) Study. </w:t>
      </w:r>
      <w:proofErr w:type="spellStart"/>
      <w:r w:rsidRPr="00E81D4F">
        <w:rPr>
          <w:rFonts w:ascii="Times New Roman" w:eastAsia="Arial" w:hAnsi="Times New Roman" w:cs="Times New Roman"/>
          <w:i/>
          <w:iCs/>
          <w:sz w:val="24"/>
          <w:szCs w:val="24"/>
        </w:rPr>
        <w:t>arXiv</w:t>
      </w:r>
      <w:proofErr w:type="spellEnd"/>
      <w:r w:rsidRPr="00E81D4F">
        <w:rPr>
          <w:rFonts w:ascii="Times New Roman" w:eastAsia="Arial" w:hAnsi="Times New Roman" w:cs="Times New Roman"/>
          <w:i/>
          <w:iCs/>
          <w:sz w:val="24"/>
          <w:szCs w:val="24"/>
        </w:rPr>
        <w:t xml:space="preserve"> preprint arXiv:2508.16052</w:t>
      </w:r>
      <w:r w:rsidRPr="00E81D4F">
        <w:rPr>
          <w:rFonts w:ascii="Times New Roman" w:eastAsia="Arial" w:hAnsi="Times New Roman" w:cs="Times New Roman"/>
          <w:sz w:val="24"/>
          <w:szCs w:val="24"/>
        </w:rPr>
        <w:t>.</w:t>
      </w:r>
    </w:p>
    <w:p w14:paraId="3A85C9C8"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E23AE">
        <w:rPr>
          <w:rFonts w:ascii="Times New Roman" w:hAnsi="Times New Roman" w:cs="Times New Roman"/>
          <w:sz w:val="24"/>
          <w:szCs w:val="24"/>
          <w:shd w:val="clear" w:color="auto" w:fill="FFFFFF"/>
          <w:lang w:val="de-DE"/>
        </w:rPr>
        <w:t xml:space="preserve">Kwon, S. C., Kranick, J. A., Islam, N. S., Wyatt, L. C., Patel, S., Alam, G., ... </w:t>
      </w:r>
      <w:r w:rsidRPr="00E81D4F">
        <w:rPr>
          <w:rFonts w:ascii="Times New Roman" w:hAnsi="Times New Roman" w:cs="Times New Roman"/>
          <w:sz w:val="24"/>
          <w:szCs w:val="24"/>
          <w:shd w:val="clear" w:color="auto" w:fill="FFFFFF"/>
        </w:rPr>
        <w:t>&amp; Trinh-</w:t>
      </w:r>
      <w:proofErr w:type="spellStart"/>
      <w:r w:rsidRPr="00E81D4F">
        <w:rPr>
          <w:rFonts w:ascii="Times New Roman" w:hAnsi="Times New Roman" w:cs="Times New Roman"/>
          <w:sz w:val="24"/>
          <w:szCs w:val="24"/>
          <w:shd w:val="clear" w:color="auto" w:fill="FFFFFF"/>
        </w:rPr>
        <w:t>Shevrin</w:t>
      </w:r>
      <w:proofErr w:type="spellEnd"/>
      <w:r w:rsidRPr="00E81D4F">
        <w:rPr>
          <w:rFonts w:ascii="Times New Roman" w:hAnsi="Times New Roman" w:cs="Times New Roman"/>
          <w:sz w:val="24"/>
          <w:szCs w:val="24"/>
          <w:shd w:val="clear" w:color="auto" w:fill="FFFFFF"/>
        </w:rPr>
        <w:t>, C. (2025). Applying social marketing principles for community-based cancer screening programs: Two case studies. </w:t>
      </w:r>
      <w:r w:rsidRPr="00E81D4F">
        <w:rPr>
          <w:rFonts w:ascii="Times New Roman" w:hAnsi="Times New Roman" w:cs="Times New Roman"/>
          <w:i/>
          <w:iCs/>
          <w:sz w:val="24"/>
          <w:szCs w:val="24"/>
          <w:shd w:val="clear" w:color="auto" w:fill="FFFFFF"/>
        </w:rPr>
        <w:t xml:space="preserve">Health Education &amp; </w:t>
      </w:r>
      <w:proofErr w:type="spellStart"/>
      <w:r w:rsidRPr="00E81D4F">
        <w:rPr>
          <w:rFonts w:ascii="Times New Roman" w:hAnsi="Times New Roman" w:cs="Times New Roman"/>
          <w:i/>
          <w:iCs/>
          <w:sz w:val="24"/>
          <w:szCs w:val="24"/>
          <w:shd w:val="clear" w:color="auto" w:fill="FFFFFF"/>
        </w:rPr>
        <w:t>Behavior</w:t>
      </w:r>
      <w:proofErr w:type="spellEnd"/>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52</w:t>
      </w:r>
      <w:r w:rsidRPr="00E81D4F">
        <w:rPr>
          <w:rFonts w:ascii="Times New Roman" w:hAnsi="Times New Roman" w:cs="Times New Roman"/>
          <w:sz w:val="24"/>
          <w:szCs w:val="24"/>
          <w:shd w:val="clear" w:color="auto" w:fill="FFFFFF"/>
        </w:rPr>
        <w:t>(4), 382-391.</w:t>
      </w:r>
    </w:p>
    <w:p w14:paraId="399AD9BE"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Lee, K. M., </w:t>
      </w:r>
      <w:proofErr w:type="spellStart"/>
      <w:r w:rsidRPr="00E81D4F">
        <w:rPr>
          <w:rFonts w:ascii="Times New Roman" w:hAnsi="Times New Roman" w:cs="Times New Roman"/>
          <w:sz w:val="24"/>
          <w:szCs w:val="24"/>
          <w:shd w:val="clear" w:color="auto" w:fill="FFFFFF"/>
        </w:rPr>
        <w:t>Hunleth</w:t>
      </w:r>
      <w:proofErr w:type="spellEnd"/>
      <w:r w:rsidRPr="00E81D4F">
        <w:rPr>
          <w:rFonts w:ascii="Times New Roman" w:hAnsi="Times New Roman" w:cs="Times New Roman"/>
          <w:sz w:val="24"/>
          <w:szCs w:val="24"/>
          <w:shd w:val="clear" w:color="auto" w:fill="FFFFFF"/>
        </w:rPr>
        <w:t>, J., Rolf, L., Maki, J., Lewis-Thames, M., Oestmann, K., &amp; James, A. S. (2023). Distance and transportation barriers to colorectal cancer screening in a rural community. </w:t>
      </w:r>
      <w:r w:rsidRPr="00E81D4F">
        <w:rPr>
          <w:rFonts w:ascii="Times New Roman" w:hAnsi="Times New Roman" w:cs="Times New Roman"/>
          <w:i/>
          <w:iCs/>
          <w:sz w:val="24"/>
          <w:szCs w:val="24"/>
          <w:shd w:val="clear" w:color="auto" w:fill="FFFFFF"/>
        </w:rPr>
        <w:t>Journal of Primary Care &amp; Community Health</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14</w:t>
      </w:r>
      <w:r w:rsidRPr="00E81D4F">
        <w:rPr>
          <w:rFonts w:ascii="Times New Roman" w:hAnsi="Times New Roman" w:cs="Times New Roman"/>
          <w:sz w:val="24"/>
          <w:szCs w:val="24"/>
          <w:shd w:val="clear" w:color="auto" w:fill="FFFFFF"/>
        </w:rPr>
        <w:t>, 21501319221147126.</w:t>
      </w:r>
    </w:p>
    <w:p w14:paraId="04A030EF"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Matsubayashi, C. O., Cheng, S., </w:t>
      </w:r>
      <w:proofErr w:type="spellStart"/>
      <w:r w:rsidRPr="00E81D4F">
        <w:rPr>
          <w:rFonts w:ascii="Times New Roman" w:hAnsi="Times New Roman" w:cs="Times New Roman"/>
          <w:sz w:val="24"/>
          <w:szCs w:val="24"/>
          <w:shd w:val="clear" w:color="auto" w:fill="FFFFFF"/>
        </w:rPr>
        <w:t>Hulchafo</w:t>
      </w:r>
      <w:proofErr w:type="spellEnd"/>
      <w:r w:rsidRPr="00E81D4F">
        <w:rPr>
          <w:rFonts w:ascii="Times New Roman" w:hAnsi="Times New Roman" w:cs="Times New Roman"/>
          <w:sz w:val="24"/>
          <w:szCs w:val="24"/>
          <w:shd w:val="clear" w:color="auto" w:fill="FFFFFF"/>
        </w:rPr>
        <w:t>, I., Zhang, Y., Tada, T., Buxbaum, J. L., &amp; Ochiai, K. (2024). Artificial intelligence for gastric cancer in endoscopy: from diagnostic reasoning to market. </w:t>
      </w:r>
      <w:r w:rsidRPr="00E81D4F">
        <w:rPr>
          <w:rFonts w:ascii="Times New Roman" w:hAnsi="Times New Roman" w:cs="Times New Roman"/>
          <w:i/>
          <w:iCs/>
          <w:sz w:val="24"/>
          <w:szCs w:val="24"/>
          <w:shd w:val="clear" w:color="auto" w:fill="FFFFFF"/>
        </w:rPr>
        <w:t>Digestive and Liver Disease</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56</w:t>
      </w:r>
      <w:r w:rsidRPr="00E81D4F">
        <w:rPr>
          <w:rFonts w:ascii="Times New Roman" w:hAnsi="Times New Roman" w:cs="Times New Roman"/>
          <w:sz w:val="24"/>
          <w:szCs w:val="24"/>
          <w:shd w:val="clear" w:color="auto" w:fill="FFFFFF"/>
        </w:rPr>
        <w:t>(7), 1156-1163.</w:t>
      </w:r>
    </w:p>
    <w:p w14:paraId="1081EB50"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Mizota, Y., &amp; Yamamoto, S. (2021). Rainbow of KIBOU project: Effectiveness of invitation materials for improving cancer screening rate using social marketing and </w:t>
      </w:r>
      <w:proofErr w:type="spellStart"/>
      <w:r w:rsidRPr="00E81D4F">
        <w:rPr>
          <w:rFonts w:ascii="Times New Roman" w:hAnsi="Times New Roman" w:cs="Times New Roman"/>
          <w:sz w:val="24"/>
          <w:szCs w:val="24"/>
          <w:shd w:val="clear" w:color="auto" w:fill="FFFFFF"/>
        </w:rPr>
        <w:t>behavioral</w:t>
      </w:r>
      <w:proofErr w:type="spellEnd"/>
      <w:r w:rsidRPr="00E81D4F">
        <w:rPr>
          <w:rFonts w:ascii="Times New Roman" w:hAnsi="Times New Roman" w:cs="Times New Roman"/>
          <w:sz w:val="24"/>
          <w:szCs w:val="24"/>
          <w:shd w:val="clear" w:color="auto" w:fill="FFFFFF"/>
        </w:rPr>
        <w:t xml:space="preserve"> economics approaches. </w:t>
      </w:r>
      <w:r w:rsidRPr="00E81D4F">
        <w:rPr>
          <w:rFonts w:ascii="Times New Roman" w:hAnsi="Times New Roman" w:cs="Times New Roman"/>
          <w:i/>
          <w:iCs/>
          <w:sz w:val="24"/>
          <w:szCs w:val="24"/>
          <w:shd w:val="clear" w:color="auto" w:fill="FFFFFF"/>
        </w:rPr>
        <w:t>Social science &amp; medicine</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279</w:t>
      </w:r>
      <w:r w:rsidRPr="00E81D4F">
        <w:rPr>
          <w:rFonts w:ascii="Times New Roman" w:hAnsi="Times New Roman" w:cs="Times New Roman"/>
          <w:sz w:val="24"/>
          <w:szCs w:val="24"/>
          <w:shd w:val="clear" w:color="auto" w:fill="FFFFFF"/>
        </w:rPr>
        <w:t>, 113961.</w:t>
      </w:r>
    </w:p>
    <w:p w14:paraId="632D0F29" w14:textId="77777777" w:rsidR="00E81D4F" w:rsidRPr="00E81D4F" w:rsidRDefault="00E81D4F" w:rsidP="00E81D4F">
      <w:pPr>
        <w:ind w:left="720" w:hanging="720"/>
        <w:rPr>
          <w:rFonts w:ascii="Times New Roman" w:hAnsi="Times New Roman" w:cs="Times New Roman"/>
          <w:sz w:val="24"/>
          <w:szCs w:val="24"/>
        </w:rPr>
      </w:pPr>
      <w:r w:rsidRPr="00E81D4F">
        <w:rPr>
          <w:rFonts w:ascii="Times New Roman" w:hAnsi="Times New Roman" w:cs="Times New Roman"/>
          <w:sz w:val="24"/>
          <w:szCs w:val="24"/>
        </w:rPr>
        <w:t xml:space="preserve">Ogu, H. A. E., </w:t>
      </w:r>
      <w:proofErr w:type="spellStart"/>
      <w:r w:rsidRPr="00E81D4F">
        <w:rPr>
          <w:rFonts w:ascii="Times New Roman" w:hAnsi="Times New Roman" w:cs="Times New Roman"/>
          <w:sz w:val="24"/>
          <w:szCs w:val="24"/>
        </w:rPr>
        <w:t>Ssemujju</w:t>
      </w:r>
      <w:proofErr w:type="spellEnd"/>
      <w:r w:rsidRPr="00E81D4F">
        <w:rPr>
          <w:rFonts w:ascii="Times New Roman" w:hAnsi="Times New Roman" w:cs="Times New Roman"/>
          <w:sz w:val="24"/>
          <w:szCs w:val="24"/>
        </w:rPr>
        <w:t xml:space="preserve">, F. S., &amp; </w:t>
      </w:r>
      <w:proofErr w:type="spellStart"/>
      <w:r w:rsidRPr="00E81D4F">
        <w:rPr>
          <w:rFonts w:ascii="Times New Roman" w:hAnsi="Times New Roman" w:cs="Times New Roman"/>
          <w:sz w:val="24"/>
          <w:szCs w:val="24"/>
        </w:rPr>
        <w:t>Kebeba</w:t>
      </w:r>
      <w:proofErr w:type="spellEnd"/>
      <w:r w:rsidRPr="00E81D4F">
        <w:rPr>
          <w:rFonts w:ascii="Times New Roman" w:hAnsi="Times New Roman" w:cs="Times New Roman"/>
          <w:sz w:val="24"/>
          <w:szCs w:val="24"/>
        </w:rPr>
        <w:t xml:space="preserve">, M. (2026). Data-driven public health interventions: </w:t>
      </w:r>
      <w:proofErr w:type="spellStart"/>
      <w:r w:rsidRPr="00E81D4F">
        <w:rPr>
          <w:rFonts w:ascii="Times New Roman" w:hAnsi="Times New Roman" w:cs="Times New Roman"/>
          <w:sz w:val="24"/>
          <w:szCs w:val="24"/>
        </w:rPr>
        <w:t>Analyzing</w:t>
      </w:r>
      <w:proofErr w:type="spellEnd"/>
      <w:r w:rsidRPr="00E81D4F">
        <w:rPr>
          <w:rFonts w:ascii="Times New Roman" w:hAnsi="Times New Roman" w:cs="Times New Roman"/>
          <w:sz w:val="24"/>
          <w:szCs w:val="24"/>
        </w:rPr>
        <w:t xml:space="preserve"> the impact of statistical tools on disease control and prevention strategies. International Journal of Frontline Research in Engineering and Technology, 5(1), 9–14. </w:t>
      </w:r>
    </w:p>
    <w:p w14:paraId="52AB9373" w14:textId="3A24D57F" w:rsidR="00E81D4F" w:rsidRPr="00E81D4F" w:rsidRDefault="00E81D4F" w:rsidP="00E81D4F">
      <w:pPr>
        <w:ind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 xml:space="preserve">Ojo, T., </w:t>
      </w:r>
      <w:proofErr w:type="spellStart"/>
      <w:r w:rsidRPr="00E81D4F">
        <w:rPr>
          <w:rFonts w:ascii="Times New Roman" w:hAnsi="Times New Roman" w:cs="Times New Roman"/>
          <w:sz w:val="24"/>
          <w:szCs w:val="24"/>
          <w:shd w:val="clear" w:color="auto" w:fill="FFFFFF"/>
        </w:rPr>
        <w:t>Akinsolu</w:t>
      </w:r>
      <w:proofErr w:type="spellEnd"/>
      <w:r w:rsidRPr="00E81D4F">
        <w:rPr>
          <w:rFonts w:ascii="Times New Roman" w:hAnsi="Times New Roman" w:cs="Times New Roman"/>
          <w:sz w:val="24"/>
          <w:szCs w:val="24"/>
          <w:shd w:val="clear" w:color="auto" w:fill="FFFFFF"/>
        </w:rPr>
        <w:t xml:space="preserve">, F., Olusanya, O., </w:t>
      </w:r>
      <w:proofErr w:type="spellStart"/>
      <w:r w:rsidRPr="00E81D4F">
        <w:rPr>
          <w:rFonts w:ascii="Times New Roman" w:hAnsi="Times New Roman" w:cs="Times New Roman"/>
          <w:sz w:val="24"/>
          <w:szCs w:val="24"/>
          <w:shd w:val="clear" w:color="auto" w:fill="FFFFFF"/>
        </w:rPr>
        <w:t>Nwaozuru</w:t>
      </w:r>
      <w:proofErr w:type="spellEnd"/>
      <w:r w:rsidRPr="00E81D4F">
        <w:rPr>
          <w:rFonts w:ascii="Times New Roman" w:hAnsi="Times New Roman" w:cs="Times New Roman"/>
          <w:sz w:val="24"/>
          <w:szCs w:val="24"/>
          <w:shd w:val="clear" w:color="auto" w:fill="FFFFFF"/>
        </w:rPr>
        <w:t xml:space="preserve">, U., </w:t>
      </w:r>
      <w:proofErr w:type="spellStart"/>
      <w:r w:rsidRPr="00E81D4F">
        <w:rPr>
          <w:rFonts w:ascii="Times New Roman" w:hAnsi="Times New Roman" w:cs="Times New Roman"/>
          <w:sz w:val="24"/>
          <w:szCs w:val="24"/>
          <w:shd w:val="clear" w:color="auto" w:fill="FFFFFF"/>
        </w:rPr>
        <w:t>Gbajabiamila</w:t>
      </w:r>
      <w:proofErr w:type="spellEnd"/>
      <w:r w:rsidRPr="00E81D4F">
        <w:rPr>
          <w:rFonts w:ascii="Times New Roman" w:hAnsi="Times New Roman" w:cs="Times New Roman"/>
          <w:sz w:val="24"/>
          <w:szCs w:val="24"/>
          <w:shd w:val="clear" w:color="auto" w:fill="FFFFFF"/>
        </w:rPr>
        <w:t xml:space="preserve">, T., Oladele, D., ... &amp; </w:t>
      </w:r>
      <w:proofErr w:type="spellStart"/>
      <w:r w:rsidRPr="00E81D4F">
        <w:rPr>
          <w:rFonts w:ascii="Times New Roman" w:hAnsi="Times New Roman" w:cs="Times New Roman"/>
          <w:sz w:val="24"/>
          <w:szCs w:val="24"/>
          <w:shd w:val="clear" w:color="auto" w:fill="FFFFFF"/>
        </w:rPr>
        <w:t>Iwelunmor</w:t>
      </w:r>
      <w:proofErr w:type="spellEnd"/>
      <w:r w:rsidRPr="00E81D4F">
        <w:rPr>
          <w:rFonts w:ascii="Times New Roman" w:hAnsi="Times New Roman" w:cs="Times New Roman"/>
          <w:sz w:val="24"/>
          <w:szCs w:val="24"/>
          <w:shd w:val="clear" w:color="auto" w:fill="FFFFFF"/>
        </w:rPr>
        <w:t>, J. (2024</w:t>
      </w:r>
      <w:r w:rsidR="008048CC">
        <w:rPr>
          <w:rFonts w:ascii="Times New Roman" w:hAnsi="Times New Roman" w:cs="Times New Roman"/>
          <w:sz w:val="24"/>
          <w:szCs w:val="24"/>
          <w:shd w:val="clear" w:color="auto" w:fill="FFFFFF"/>
        </w:rPr>
        <w:t>a</w:t>
      </w:r>
      <w:r w:rsidRPr="00E81D4F">
        <w:rPr>
          <w:rFonts w:ascii="Times New Roman" w:hAnsi="Times New Roman" w:cs="Times New Roman"/>
          <w:sz w:val="24"/>
          <w:szCs w:val="24"/>
          <w:shd w:val="clear" w:color="auto" w:fill="FFFFFF"/>
        </w:rPr>
        <w:t>, December). A pragmatic PLAN to sustain situationally tailored, innovative strategies to promote evidence-based health interventions in Nigeria: insights from a 5-week participatory co-creation and capacity building event. In </w:t>
      </w:r>
      <w:r w:rsidRPr="00E81D4F">
        <w:rPr>
          <w:rFonts w:ascii="Times New Roman" w:hAnsi="Times New Roman" w:cs="Times New Roman"/>
          <w:i/>
          <w:iCs/>
          <w:sz w:val="24"/>
          <w:szCs w:val="24"/>
          <w:shd w:val="clear" w:color="auto" w:fill="FFFFFF"/>
        </w:rPr>
        <w:t xml:space="preserve">17 </w:t>
      </w:r>
      <w:proofErr w:type="spellStart"/>
      <w:r w:rsidRPr="00E81D4F">
        <w:rPr>
          <w:rFonts w:ascii="Times New Roman" w:hAnsi="Times New Roman" w:cs="Times New Roman"/>
          <w:i/>
          <w:iCs/>
          <w:sz w:val="24"/>
          <w:szCs w:val="24"/>
          <w:shd w:val="clear" w:color="auto" w:fill="FFFFFF"/>
        </w:rPr>
        <w:t>th</w:t>
      </w:r>
      <w:proofErr w:type="spellEnd"/>
      <w:r w:rsidRPr="00E81D4F">
        <w:rPr>
          <w:rFonts w:ascii="Times New Roman" w:hAnsi="Times New Roman" w:cs="Times New Roman"/>
          <w:i/>
          <w:iCs/>
          <w:sz w:val="24"/>
          <w:szCs w:val="24"/>
          <w:shd w:val="clear" w:color="auto" w:fill="FFFFFF"/>
        </w:rPr>
        <w:t xml:space="preserve"> Annual Conference on the Science of Dissemination and Implementation</w:t>
      </w:r>
      <w:r w:rsidRPr="00E81D4F">
        <w:rPr>
          <w:rFonts w:ascii="Times New Roman" w:hAnsi="Times New Roman" w:cs="Times New Roman"/>
          <w:sz w:val="24"/>
          <w:szCs w:val="24"/>
          <w:shd w:val="clear" w:color="auto" w:fill="FFFFFF"/>
        </w:rPr>
        <w:t xml:space="preserve">. </w:t>
      </w:r>
      <w:proofErr w:type="spellStart"/>
      <w:r w:rsidRPr="00E81D4F">
        <w:rPr>
          <w:rFonts w:ascii="Times New Roman" w:hAnsi="Times New Roman" w:cs="Times New Roman"/>
          <w:sz w:val="24"/>
          <w:szCs w:val="24"/>
          <w:shd w:val="clear" w:color="auto" w:fill="FFFFFF"/>
        </w:rPr>
        <w:t>AcademyHealth</w:t>
      </w:r>
      <w:proofErr w:type="spellEnd"/>
      <w:r w:rsidRPr="00E81D4F">
        <w:rPr>
          <w:rFonts w:ascii="Times New Roman" w:hAnsi="Times New Roman" w:cs="Times New Roman"/>
          <w:sz w:val="24"/>
          <w:szCs w:val="24"/>
          <w:shd w:val="clear" w:color="auto" w:fill="FFFFFF"/>
        </w:rPr>
        <w:t>.</w:t>
      </w:r>
    </w:p>
    <w:p w14:paraId="1B4490C6" w14:textId="321F3F3B" w:rsidR="00E81D4F" w:rsidRPr="00E81D4F" w:rsidRDefault="00E81D4F" w:rsidP="00E81D4F">
      <w:pPr>
        <w:ind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lastRenderedPageBreak/>
        <w:t xml:space="preserve">Ojo, T., </w:t>
      </w:r>
      <w:proofErr w:type="spellStart"/>
      <w:r w:rsidRPr="00E81D4F">
        <w:rPr>
          <w:rFonts w:ascii="Times New Roman" w:hAnsi="Times New Roman" w:cs="Times New Roman"/>
          <w:sz w:val="24"/>
          <w:szCs w:val="24"/>
          <w:shd w:val="clear" w:color="auto" w:fill="FFFFFF"/>
        </w:rPr>
        <w:t>Akinsolu</w:t>
      </w:r>
      <w:proofErr w:type="spellEnd"/>
      <w:r w:rsidRPr="00E81D4F">
        <w:rPr>
          <w:rFonts w:ascii="Times New Roman" w:hAnsi="Times New Roman" w:cs="Times New Roman"/>
          <w:sz w:val="24"/>
          <w:szCs w:val="24"/>
          <w:shd w:val="clear" w:color="auto" w:fill="FFFFFF"/>
        </w:rPr>
        <w:t xml:space="preserve">, F., Olusanya, O., </w:t>
      </w:r>
      <w:proofErr w:type="spellStart"/>
      <w:r w:rsidRPr="00E81D4F">
        <w:rPr>
          <w:rFonts w:ascii="Times New Roman" w:hAnsi="Times New Roman" w:cs="Times New Roman"/>
          <w:sz w:val="24"/>
          <w:szCs w:val="24"/>
          <w:shd w:val="clear" w:color="auto" w:fill="FFFFFF"/>
        </w:rPr>
        <w:t>Nwaozuru</w:t>
      </w:r>
      <w:proofErr w:type="spellEnd"/>
      <w:r w:rsidRPr="00E81D4F">
        <w:rPr>
          <w:rFonts w:ascii="Times New Roman" w:hAnsi="Times New Roman" w:cs="Times New Roman"/>
          <w:sz w:val="24"/>
          <w:szCs w:val="24"/>
          <w:shd w:val="clear" w:color="auto" w:fill="FFFFFF"/>
        </w:rPr>
        <w:t xml:space="preserve">, U., </w:t>
      </w:r>
      <w:proofErr w:type="spellStart"/>
      <w:r w:rsidRPr="00E81D4F">
        <w:rPr>
          <w:rFonts w:ascii="Times New Roman" w:hAnsi="Times New Roman" w:cs="Times New Roman"/>
          <w:sz w:val="24"/>
          <w:szCs w:val="24"/>
          <w:shd w:val="clear" w:color="auto" w:fill="FFFFFF"/>
        </w:rPr>
        <w:t>Gbajabiamila</w:t>
      </w:r>
      <w:proofErr w:type="spellEnd"/>
      <w:r w:rsidRPr="00E81D4F">
        <w:rPr>
          <w:rFonts w:ascii="Times New Roman" w:hAnsi="Times New Roman" w:cs="Times New Roman"/>
          <w:sz w:val="24"/>
          <w:szCs w:val="24"/>
          <w:shd w:val="clear" w:color="auto" w:fill="FFFFFF"/>
        </w:rPr>
        <w:t xml:space="preserve">, T., Oladele, D., ... &amp; </w:t>
      </w:r>
      <w:proofErr w:type="spellStart"/>
      <w:r w:rsidRPr="00E81D4F">
        <w:rPr>
          <w:rFonts w:ascii="Times New Roman" w:hAnsi="Times New Roman" w:cs="Times New Roman"/>
          <w:sz w:val="24"/>
          <w:szCs w:val="24"/>
          <w:shd w:val="clear" w:color="auto" w:fill="FFFFFF"/>
        </w:rPr>
        <w:t>Iwelunmor</w:t>
      </w:r>
      <w:proofErr w:type="spellEnd"/>
      <w:r w:rsidRPr="00E81D4F">
        <w:rPr>
          <w:rFonts w:ascii="Times New Roman" w:hAnsi="Times New Roman" w:cs="Times New Roman"/>
          <w:sz w:val="24"/>
          <w:szCs w:val="24"/>
          <w:shd w:val="clear" w:color="auto" w:fill="FFFFFF"/>
        </w:rPr>
        <w:t>, J. (2024</w:t>
      </w:r>
      <w:r w:rsidR="008048CC">
        <w:rPr>
          <w:rFonts w:ascii="Times New Roman" w:hAnsi="Times New Roman" w:cs="Times New Roman"/>
          <w:sz w:val="24"/>
          <w:szCs w:val="24"/>
          <w:shd w:val="clear" w:color="auto" w:fill="FFFFFF"/>
        </w:rPr>
        <w:t>b</w:t>
      </w:r>
      <w:r w:rsidRPr="00E81D4F">
        <w:rPr>
          <w:rFonts w:ascii="Times New Roman" w:hAnsi="Times New Roman" w:cs="Times New Roman"/>
          <w:sz w:val="24"/>
          <w:szCs w:val="24"/>
          <w:shd w:val="clear" w:color="auto" w:fill="FFFFFF"/>
        </w:rPr>
        <w:t>, December). Nothing for communities without communities: Expanding the reach of evidence-based interventions in Nigeria through crowdsourcing opening calls. In </w:t>
      </w:r>
      <w:r w:rsidRPr="00E81D4F">
        <w:rPr>
          <w:rFonts w:ascii="Times New Roman" w:hAnsi="Times New Roman" w:cs="Times New Roman"/>
          <w:i/>
          <w:iCs/>
          <w:sz w:val="24"/>
          <w:szCs w:val="24"/>
          <w:shd w:val="clear" w:color="auto" w:fill="FFFFFF"/>
        </w:rPr>
        <w:t xml:space="preserve">17 </w:t>
      </w:r>
      <w:proofErr w:type="spellStart"/>
      <w:r w:rsidRPr="00E81D4F">
        <w:rPr>
          <w:rFonts w:ascii="Times New Roman" w:hAnsi="Times New Roman" w:cs="Times New Roman"/>
          <w:i/>
          <w:iCs/>
          <w:sz w:val="24"/>
          <w:szCs w:val="24"/>
          <w:shd w:val="clear" w:color="auto" w:fill="FFFFFF"/>
        </w:rPr>
        <w:t>th</w:t>
      </w:r>
      <w:proofErr w:type="spellEnd"/>
      <w:r w:rsidRPr="00E81D4F">
        <w:rPr>
          <w:rFonts w:ascii="Times New Roman" w:hAnsi="Times New Roman" w:cs="Times New Roman"/>
          <w:i/>
          <w:iCs/>
          <w:sz w:val="24"/>
          <w:szCs w:val="24"/>
          <w:shd w:val="clear" w:color="auto" w:fill="FFFFFF"/>
        </w:rPr>
        <w:t xml:space="preserve"> Annual Conference on the Science of Dissemination and Implementation</w:t>
      </w:r>
      <w:r w:rsidRPr="00E81D4F">
        <w:rPr>
          <w:rFonts w:ascii="Times New Roman" w:hAnsi="Times New Roman" w:cs="Times New Roman"/>
          <w:sz w:val="24"/>
          <w:szCs w:val="24"/>
          <w:shd w:val="clear" w:color="auto" w:fill="FFFFFF"/>
        </w:rPr>
        <w:t xml:space="preserve">. </w:t>
      </w:r>
      <w:proofErr w:type="spellStart"/>
      <w:r w:rsidRPr="00E81D4F">
        <w:rPr>
          <w:rFonts w:ascii="Times New Roman" w:hAnsi="Times New Roman" w:cs="Times New Roman"/>
          <w:sz w:val="24"/>
          <w:szCs w:val="24"/>
          <w:shd w:val="clear" w:color="auto" w:fill="FFFFFF"/>
        </w:rPr>
        <w:t>AcademyHealth</w:t>
      </w:r>
      <w:proofErr w:type="spellEnd"/>
      <w:r w:rsidRPr="00E81D4F">
        <w:rPr>
          <w:rFonts w:ascii="Times New Roman" w:hAnsi="Times New Roman" w:cs="Times New Roman"/>
          <w:sz w:val="24"/>
          <w:szCs w:val="24"/>
          <w:shd w:val="clear" w:color="auto" w:fill="FFFFFF"/>
        </w:rPr>
        <w:t>.</w:t>
      </w:r>
    </w:p>
    <w:p w14:paraId="3072C848" w14:textId="77777777" w:rsidR="00E81D4F" w:rsidRPr="00E81D4F" w:rsidRDefault="00E81D4F" w:rsidP="00E81D4F">
      <w:pPr>
        <w:ind w:left="720" w:hanging="720"/>
        <w:rPr>
          <w:rFonts w:ascii="Times New Roman" w:hAnsi="Times New Roman" w:cs="Times New Roman"/>
          <w:sz w:val="24"/>
          <w:szCs w:val="24"/>
          <w:shd w:val="clear" w:color="auto" w:fill="FFFFFF"/>
        </w:rPr>
      </w:pPr>
      <w:proofErr w:type="spellStart"/>
      <w:r w:rsidRPr="00E81D4F">
        <w:rPr>
          <w:rFonts w:ascii="Times New Roman" w:hAnsi="Times New Roman" w:cs="Times New Roman"/>
          <w:sz w:val="24"/>
          <w:szCs w:val="24"/>
          <w:shd w:val="clear" w:color="auto" w:fill="FFFFFF"/>
        </w:rPr>
        <w:t>Orom</w:t>
      </w:r>
      <w:proofErr w:type="spellEnd"/>
      <w:r w:rsidRPr="00E81D4F">
        <w:rPr>
          <w:rFonts w:ascii="Times New Roman" w:hAnsi="Times New Roman" w:cs="Times New Roman"/>
          <w:sz w:val="24"/>
          <w:szCs w:val="24"/>
          <w:shd w:val="clear" w:color="auto" w:fill="FFFFFF"/>
        </w:rPr>
        <w:t>, H., Ramer, N. E., Allard, N. C., McQueen, A., Waters, E. A., Kiviniemi, M. T., &amp; Hay, J. L. (2024). Colorectal cancer information avoidance is associated with screening adherence. </w:t>
      </w:r>
      <w:r w:rsidRPr="00E81D4F">
        <w:rPr>
          <w:rFonts w:ascii="Times New Roman" w:hAnsi="Times New Roman" w:cs="Times New Roman"/>
          <w:i/>
          <w:iCs/>
          <w:sz w:val="24"/>
          <w:szCs w:val="24"/>
          <w:shd w:val="clear" w:color="auto" w:fill="FFFFFF"/>
        </w:rPr>
        <w:t xml:space="preserve">Journal of </w:t>
      </w:r>
      <w:proofErr w:type="spellStart"/>
      <w:r w:rsidRPr="00E81D4F">
        <w:rPr>
          <w:rFonts w:ascii="Times New Roman" w:hAnsi="Times New Roman" w:cs="Times New Roman"/>
          <w:i/>
          <w:iCs/>
          <w:sz w:val="24"/>
          <w:szCs w:val="24"/>
          <w:shd w:val="clear" w:color="auto" w:fill="FFFFFF"/>
        </w:rPr>
        <w:t>Behavioral</w:t>
      </w:r>
      <w:proofErr w:type="spellEnd"/>
      <w:r w:rsidRPr="00E81D4F">
        <w:rPr>
          <w:rFonts w:ascii="Times New Roman" w:hAnsi="Times New Roman" w:cs="Times New Roman"/>
          <w:i/>
          <w:iCs/>
          <w:sz w:val="24"/>
          <w:szCs w:val="24"/>
          <w:shd w:val="clear" w:color="auto" w:fill="FFFFFF"/>
        </w:rPr>
        <w:t xml:space="preserve"> Medicine</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47</w:t>
      </w:r>
      <w:r w:rsidRPr="00E81D4F">
        <w:rPr>
          <w:rFonts w:ascii="Times New Roman" w:hAnsi="Times New Roman" w:cs="Times New Roman"/>
          <w:sz w:val="24"/>
          <w:szCs w:val="24"/>
          <w:shd w:val="clear" w:color="auto" w:fill="FFFFFF"/>
        </w:rPr>
        <w:t>(3), 504-514.</w:t>
      </w:r>
    </w:p>
    <w:p w14:paraId="3E7A4F84" w14:textId="77777777" w:rsidR="00E81D4F" w:rsidRPr="00E81D4F" w:rsidRDefault="00E81D4F" w:rsidP="00E81D4F">
      <w:pPr>
        <w:ind w:left="720" w:hanging="720"/>
        <w:rPr>
          <w:rFonts w:ascii="Times New Roman" w:hAnsi="Times New Roman" w:cs="Times New Roman"/>
          <w:sz w:val="24"/>
          <w:szCs w:val="24"/>
          <w:shd w:val="clear" w:color="auto" w:fill="FFFFFF"/>
        </w:rPr>
      </w:pPr>
      <w:proofErr w:type="spellStart"/>
      <w:r w:rsidRPr="00E81D4F">
        <w:rPr>
          <w:rFonts w:ascii="Times New Roman" w:hAnsi="Times New Roman" w:cs="Times New Roman"/>
          <w:sz w:val="24"/>
          <w:szCs w:val="24"/>
          <w:shd w:val="clear" w:color="auto" w:fill="FFFFFF"/>
        </w:rPr>
        <w:t>Pungpop</w:t>
      </w:r>
      <w:proofErr w:type="spellEnd"/>
      <w:r w:rsidRPr="00E81D4F">
        <w:rPr>
          <w:rFonts w:ascii="Times New Roman" w:hAnsi="Times New Roman" w:cs="Times New Roman"/>
          <w:sz w:val="24"/>
          <w:szCs w:val="24"/>
          <w:shd w:val="clear" w:color="auto" w:fill="FFFFFF"/>
        </w:rPr>
        <w:t xml:space="preserve">, S., </w:t>
      </w:r>
      <w:proofErr w:type="spellStart"/>
      <w:r w:rsidRPr="00E81D4F">
        <w:rPr>
          <w:rFonts w:ascii="Times New Roman" w:hAnsi="Times New Roman" w:cs="Times New Roman"/>
          <w:sz w:val="24"/>
          <w:szCs w:val="24"/>
          <w:shd w:val="clear" w:color="auto" w:fill="FFFFFF"/>
        </w:rPr>
        <w:t>Songserm</w:t>
      </w:r>
      <w:proofErr w:type="spellEnd"/>
      <w:r w:rsidRPr="00E81D4F">
        <w:rPr>
          <w:rFonts w:ascii="Times New Roman" w:hAnsi="Times New Roman" w:cs="Times New Roman"/>
          <w:sz w:val="24"/>
          <w:szCs w:val="24"/>
          <w:shd w:val="clear" w:color="auto" w:fill="FFFFFF"/>
        </w:rPr>
        <w:t xml:space="preserve">, N., </w:t>
      </w:r>
      <w:proofErr w:type="spellStart"/>
      <w:r w:rsidRPr="00E81D4F">
        <w:rPr>
          <w:rFonts w:ascii="Times New Roman" w:hAnsi="Times New Roman" w:cs="Times New Roman"/>
          <w:sz w:val="24"/>
          <w:szCs w:val="24"/>
          <w:shd w:val="clear" w:color="auto" w:fill="FFFFFF"/>
        </w:rPr>
        <w:t>Raksilp</w:t>
      </w:r>
      <w:proofErr w:type="spellEnd"/>
      <w:r w:rsidRPr="00E81D4F">
        <w:rPr>
          <w:rFonts w:ascii="Times New Roman" w:hAnsi="Times New Roman" w:cs="Times New Roman"/>
          <w:sz w:val="24"/>
          <w:szCs w:val="24"/>
          <w:shd w:val="clear" w:color="auto" w:fill="FFFFFF"/>
        </w:rPr>
        <w:t xml:space="preserve">, M., </w:t>
      </w:r>
      <w:proofErr w:type="spellStart"/>
      <w:r w:rsidRPr="00E81D4F">
        <w:rPr>
          <w:rFonts w:ascii="Times New Roman" w:hAnsi="Times New Roman" w:cs="Times New Roman"/>
          <w:sz w:val="24"/>
          <w:szCs w:val="24"/>
          <w:shd w:val="clear" w:color="auto" w:fill="FFFFFF"/>
        </w:rPr>
        <w:t>Woradet</w:t>
      </w:r>
      <w:proofErr w:type="spellEnd"/>
      <w:r w:rsidRPr="00E81D4F">
        <w:rPr>
          <w:rFonts w:ascii="Times New Roman" w:hAnsi="Times New Roman" w:cs="Times New Roman"/>
          <w:sz w:val="24"/>
          <w:szCs w:val="24"/>
          <w:shd w:val="clear" w:color="auto" w:fill="FFFFFF"/>
        </w:rPr>
        <w:t xml:space="preserve">, S., &amp; </w:t>
      </w:r>
      <w:proofErr w:type="spellStart"/>
      <w:r w:rsidRPr="00E81D4F">
        <w:rPr>
          <w:rFonts w:ascii="Times New Roman" w:hAnsi="Times New Roman" w:cs="Times New Roman"/>
          <w:sz w:val="24"/>
          <w:szCs w:val="24"/>
          <w:shd w:val="clear" w:color="auto" w:fill="FFFFFF"/>
        </w:rPr>
        <w:t>Suksatan</w:t>
      </w:r>
      <w:proofErr w:type="spellEnd"/>
      <w:r w:rsidRPr="00E81D4F">
        <w:rPr>
          <w:rFonts w:ascii="Times New Roman" w:hAnsi="Times New Roman" w:cs="Times New Roman"/>
          <w:sz w:val="24"/>
          <w:szCs w:val="24"/>
          <w:shd w:val="clear" w:color="auto" w:fill="FFFFFF"/>
        </w:rPr>
        <w:t>, W. (2022). Effects of integration of social marketing and health belief model for preventing cholangiocarcinoma in high-risk areas of Thailand: a community intervention study. </w:t>
      </w:r>
      <w:r w:rsidRPr="00E81D4F">
        <w:rPr>
          <w:rFonts w:ascii="Times New Roman" w:hAnsi="Times New Roman" w:cs="Times New Roman"/>
          <w:i/>
          <w:iCs/>
          <w:sz w:val="24"/>
          <w:szCs w:val="24"/>
          <w:shd w:val="clear" w:color="auto" w:fill="FFFFFF"/>
        </w:rPr>
        <w:t>Journal of Primary Care &amp; Community Health</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13</w:t>
      </w:r>
      <w:r w:rsidRPr="00E81D4F">
        <w:rPr>
          <w:rFonts w:ascii="Times New Roman" w:hAnsi="Times New Roman" w:cs="Times New Roman"/>
          <w:sz w:val="24"/>
          <w:szCs w:val="24"/>
          <w:shd w:val="clear" w:color="auto" w:fill="FFFFFF"/>
        </w:rPr>
        <w:t>, 21501319221110420.</w:t>
      </w:r>
    </w:p>
    <w:p w14:paraId="7549613A"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Sebastian, A. M., &amp; Peter, D. (2022). Artificial intelligence in cancer research: trends, challenges and future directions. </w:t>
      </w:r>
      <w:r w:rsidRPr="00E81D4F">
        <w:rPr>
          <w:rFonts w:ascii="Times New Roman" w:hAnsi="Times New Roman" w:cs="Times New Roman"/>
          <w:i/>
          <w:iCs/>
          <w:sz w:val="24"/>
          <w:szCs w:val="24"/>
          <w:shd w:val="clear" w:color="auto" w:fill="FFFFFF"/>
        </w:rPr>
        <w:t>Life</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12</w:t>
      </w:r>
      <w:r w:rsidRPr="00E81D4F">
        <w:rPr>
          <w:rFonts w:ascii="Times New Roman" w:hAnsi="Times New Roman" w:cs="Times New Roman"/>
          <w:sz w:val="24"/>
          <w:szCs w:val="24"/>
          <w:shd w:val="clear" w:color="auto" w:fill="FFFFFF"/>
        </w:rPr>
        <w:t>(12), 1991.</w:t>
      </w:r>
    </w:p>
    <w:p w14:paraId="1B23EBF4" w14:textId="77777777" w:rsidR="00E81D4F" w:rsidRPr="00E81D4F" w:rsidRDefault="00E81D4F" w:rsidP="00E81D4F">
      <w:pPr>
        <w:ind w:left="720" w:hanging="720"/>
        <w:rPr>
          <w:rFonts w:ascii="Times New Roman" w:hAnsi="Times New Roman" w:cs="Times New Roman"/>
          <w:sz w:val="24"/>
          <w:szCs w:val="24"/>
        </w:rPr>
      </w:pPr>
      <w:r w:rsidRPr="00E81D4F">
        <w:rPr>
          <w:rFonts w:ascii="Times New Roman" w:hAnsi="Times New Roman" w:cs="Times New Roman"/>
          <w:sz w:val="24"/>
          <w:szCs w:val="24"/>
        </w:rPr>
        <w:t>Silas, O. J., &amp; Adjaottor, S. D. (2026). A review of methods and standards in ensuring reliability of clinical data and clinical data abstraction and their implication in U.S. healthcare system. EPRA International Journal of Multidisciplinary Research (IJMR), 12(5).</w:t>
      </w:r>
    </w:p>
    <w:p w14:paraId="4C1FA91C" w14:textId="77777777" w:rsidR="00E81D4F" w:rsidRPr="00E81D4F" w:rsidRDefault="00E81D4F" w:rsidP="00E81D4F">
      <w:pPr>
        <w:ind w:left="720" w:hanging="720"/>
        <w:rPr>
          <w:rFonts w:ascii="Times New Roman" w:hAnsi="Times New Roman" w:cs="Times New Roman"/>
          <w:sz w:val="24"/>
          <w:szCs w:val="24"/>
        </w:rPr>
      </w:pPr>
      <w:proofErr w:type="spellStart"/>
      <w:r w:rsidRPr="00E81D4F">
        <w:rPr>
          <w:rFonts w:ascii="Times New Roman" w:hAnsi="Times New Roman" w:cs="Times New Roman"/>
          <w:sz w:val="24"/>
          <w:szCs w:val="24"/>
          <w:lang w:val="es-ES"/>
        </w:rPr>
        <w:t>Ssemujju</w:t>
      </w:r>
      <w:proofErr w:type="spellEnd"/>
      <w:r w:rsidRPr="00E81D4F">
        <w:rPr>
          <w:rFonts w:ascii="Times New Roman" w:hAnsi="Times New Roman" w:cs="Times New Roman"/>
          <w:sz w:val="24"/>
          <w:szCs w:val="24"/>
          <w:lang w:val="es-ES"/>
        </w:rPr>
        <w:t xml:space="preserve">, F. S., &amp; Solomon, D. (2026). </w:t>
      </w:r>
      <w:r w:rsidRPr="00E81D4F">
        <w:rPr>
          <w:rFonts w:ascii="Times New Roman" w:hAnsi="Times New Roman" w:cs="Times New Roman"/>
          <w:i/>
          <w:iCs/>
          <w:sz w:val="24"/>
          <w:szCs w:val="24"/>
        </w:rPr>
        <w:t>The role of geospatial analytics in mitigating socioeconomic disparities in infectious disease outcomes across the United States: A narrative review</w:t>
      </w:r>
      <w:r w:rsidRPr="00E81D4F">
        <w:rPr>
          <w:rFonts w:ascii="Times New Roman" w:hAnsi="Times New Roman" w:cs="Times New Roman"/>
          <w:sz w:val="24"/>
          <w:szCs w:val="24"/>
        </w:rPr>
        <w:t xml:space="preserve">. EPRA International Journal of Research and Development (IJRD). </w:t>
      </w:r>
    </w:p>
    <w:p w14:paraId="75A77D39" w14:textId="77777777" w:rsidR="00E81D4F" w:rsidRPr="00E81D4F" w:rsidRDefault="00E81D4F" w:rsidP="00E81D4F">
      <w:pPr>
        <w:ind w:left="720" w:hanging="720"/>
        <w:rPr>
          <w:rFonts w:ascii="Times New Roman" w:hAnsi="Times New Roman" w:cs="Times New Roman"/>
          <w:sz w:val="24"/>
          <w:szCs w:val="24"/>
          <w:shd w:val="clear" w:color="auto" w:fill="FFFFFF"/>
        </w:rPr>
      </w:pPr>
      <w:r w:rsidRPr="00E81D4F">
        <w:rPr>
          <w:rFonts w:ascii="Times New Roman" w:hAnsi="Times New Roman" w:cs="Times New Roman"/>
          <w:sz w:val="24"/>
          <w:szCs w:val="24"/>
          <w:shd w:val="clear" w:color="auto" w:fill="FFFFFF"/>
        </w:rPr>
        <w:t>Yap, S. F., Lim, W. M., Gaur, S. S., &amp; Lim, P. Y. (2023). A framework for preventive health marketing. </w:t>
      </w:r>
      <w:r w:rsidRPr="00E81D4F">
        <w:rPr>
          <w:rFonts w:ascii="Times New Roman" w:hAnsi="Times New Roman" w:cs="Times New Roman"/>
          <w:i/>
          <w:iCs/>
          <w:sz w:val="24"/>
          <w:szCs w:val="24"/>
          <w:shd w:val="clear" w:color="auto" w:fill="FFFFFF"/>
        </w:rPr>
        <w:t>Journal of Strategic Marketing</w:t>
      </w:r>
      <w:r w:rsidRPr="00E81D4F">
        <w:rPr>
          <w:rFonts w:ascii="Times New Roman" w:hAnsi="Times New Roman" w:cs="Times New Roman"/>
          <w:sz w:val="24"/>
          <w:szCs w:val="24"/>
          <w:shd w:val="clear" w:color="auto" w:fill="FFFFFF"/>
        </w:rPr>
        <w:t>, </w:t>
      </w:r>
      <w:r w:rsidRPr="00E81D4F">
        <w:rPr>
          <w:rFonts w:ascii="Times New Roman" w:hAnsi="Times New Roman" w:cs="Times New Roman"/>
          <w:i/>
          <w:iCs/>
          <w:sz w:val="24"/>
          <w:szCs w:val="24"/>
          <w:shd w:val="clear" w:color="auto" w:fill="FFFFFF"/>
        </w:rPr>
        <w:t>31</w:t>
      </w:r>
      <w:r w:rsidRPr="00E81D4F">
        <w:rPr>
          <w:rFonts w:ascii="Times New Roman" w:hAnsi="Times New Roman" w:cs="Times New Roman"/>
          <w:sz w:val="24"/>
          <w:szCs w:val="24"/>
          <w:shd w:val="clear" w:color="auto" w:fill="FFFFFF"/>
        </w:rPr>
        <w:t>(4), 894-917.</w:t>
      </w:r>
    </w:p>
    <w:p w14:paraId="41594CA2" w14:textId="77777777" w:rsidR="009868DC" w:rsidRPr="009868DC" w:rsidRDefault="009868DC" w:rsidP="009868DC">
      <w:pPr>
        <w:rPr>
          <w:rFonts w:ascii="Times New Roman" w:hAnsi="Times New Roman" w:cs="Times New Roman"/>
          <w:sz w:val="24"/>
          <w:szCs w:val="24"/>
        </w:rPr>
      </w:pPr>
    </w:p>
    <w:p w14:paraId="4A1E78C3" w14:textId="77777777" w:rsidR="00993BB4" w:rsidRPr="00993BB4" w:rsidRDefault="00993BB4" w:rsidP="00607A95">
      <w:pPr>
        <w:spacing w:line="360" w:lineRule="auto"/>
        <w:jc w:val="both"/>
        <w:rPr>
          <w:rFonts w:ascii="Times New Roman" w:hAnsi="Times New Roman" w:cs="Times New Roman"/>
          <w:b/>
          <w:bCs/>
          <w:sz w:val="24"/>
          <w:szCs w:val="24"/>
        </w:rPr>
      </w:pPr>
    </w:p>
    <w:sectPr w:rsidR="00993BB4" w:rsidRPr="00993BB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C30AC" w14:textId="77777777" w:rsidR="00575EC3" w:rsidRDefault="00575EC3" w:rsidP="00AB3677">
      <w:pPr>
        <w:spacing w:after="0" w:line="240" w:lineRule="auto"/>
      </w:pPr>
      <w:r>
        <w:separator/>
      </w:r>
    </w:p>
  </w:endnote>
  <w:endnote w:type="continuationSeparator" w:id="0">
    <w:p w14:paraId="588EC738" w14:textId="77777777" w:rsidR="00575EC3" w:rsidRDefault="00575EC3" w:rsidP="00AB3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A9B9" w14:textId="77777777" w:rsidR="00AB3677" w:rsidRDefault="00AB36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E3AB" w14:textId="77777777" w:rsidR="00AB3677" w:rsidRDefault="00AB36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84E7" w14:textId="77777777" w:rsidR="00AB3677" w:rsidRDefault="00AB3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0B70A" w14:textId="77777777" w:rsidR="00575EC3" w:rsidRDefault="00575EC3" w:rsidP="00AB3677">
      <w:pPr>
        <w:spacing w:after="0" w:line="240" w:lineRule="auto"/>
      </w:pPr>
      <w:r>
        <w:separator/>
      </w:r>
    </w:p>
  </w:footnote>
  <w:footnote w:type="continuationSeparator" w:id="0">
    <w:p w14:paraId="18EE71E2" w14:textId="77777777" w:rsidR="00575EC3" w:rsidRDefault="00575EC3" w:rsidP="00AB3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6ED7" w14:textId="2E6036F2" w:rsidR="00AB3677" w:rsidRDefault="00AB3677">
    <w:pPr>
      <w:pStyle w:val="Header"/>
    </w:pPr>
    <w:r>
      <w:rPr>
        <w:noProof/>
      </w:rPr>
      <w:pict w14:anchorId="2D83A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36114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3F47" w14:textId="7EF1F4DE" w:rsidR="00AB3677" w:rsidRDefault="00AB3677">
    <w:pPr>
      <w:pStyle w:val="Header"/>
    </w:pPr>
    <w:r>
      <w:rPr>
        <w:noProof/>
      </w:rPr>
      <w:pict w14:anchorId="63DBB6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36114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F0A0" w14:textId="57D12FD0" w:rsidR="00AB3677" w:rsidRDefault="00AB3677">
    <w:pPr>
      <w:pStyle w:val="Header"/>
    </w:pPr>
    <w:r>
      <w:rPr>
        <w:noProof/>
      </w:rPr>
      <w:pict w14:anchorId="7D87A4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36114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20CC"/>
    <w:multiLevelType w:val="hybridMultilevel"/>
    <w:tmpl w:val="457AE782"/>
    <w:lvl w:ilvl="0" w:tplc="F0080314">
      <w:start w:val="1"/>
      <w:numFmt w:val="decimal"/>
      <w:lvlText w:val="%1."/>
      <w:lvlJc w:val="left"/>
      <w:pPr>
        <w:ind w:left="1020" w:hanging="360"/>
      </w:pPr>
    </w:lvl>
    <w:lvl w:ilvl="1" w:tplc="88CEE97E">
      <w:start w:val="1"/>
      <w:numFmt w:val="decimal"/>
      <w:lvlText w:val="%2."/>
      <w:lvlJc w:val="left"/>
      <w:pPr>
        <w:ind w:left="1020" w:hanging="360"/>
      </w:pPr>
    </w:lvl>
    <w:lvl w:ilvl="2" w:tplc="260E53C8">
      <w:start w:val="1"/>
      <w:numFmt w:val="decimal"/>
      <w:lvlText w:val="%3."/>
      <w:lvlJc w:val="left"/>
      <w:pPr>
        <w:ind w:left="1020" w:hanging="360"/>
      </w:pPr>
    </w:lvl>
    <w:lvl w:ilvl="3" w:tplc="77289E22">
      <w:start w:val="1"/>
      <w:numFmt w:val="decimal"/>
      <w:lvlText w:val="%4."/>
      <w:lvlJc w:val="left"/>
      <w:pPr>
        <w:ind w:left="1020" w:hanging="360"/>
      </w:pPr>
    </w:lvl>
    <w:lvl w:ilvl="4" w:tplc="2C448C7E">
      <w:start w:val="1"/>
      <w:numFmt w:val="decimal"/>
      <w:lvlText w:val="%5."/>
      <w:lvlJc w:val="left"/>
      <w:pPr>
        <w:ind w:left="1020" w:hanging="360"/>
      </w:pPr>
    </w:lvl>
    <w:lvl w:ilvl="5" w:tplc="4ED84334">
      <w:start w:val="1"/>
      <w:numFmt w:val="decimal"/>
      <w:lvlText w:val="%6."/>
      <w:lvlJc w:val="left"/>
      <w:pPr>
        <w:ind w:left="1020" w:hanging="360"/>
      </w:pPr>
    </w:lvl>
    <w:lvl w:ilvl="6" w:tplc="B83A2174">
      <w:start w:val="1"/>
      <w:numFmt w:val="decimal"/>
      <w:lvlText w:val="%7."/>
      <w:lvlJc w:val="left"/>
      <w:pPr>
        <w:ind w:left="1020" w:hanging="360"/>
      </w:pPr>
    </w:lvl>
    <w:lvl w:ilvl="7" w:tplc="B90A2712">
      <w:start w:val="1"/>
      <w:numFmt w:val="decimal"/>
      <w:lvlText w:val="%8."/>
      <w:lvlJc w:val="left"/>
      <w:pPr>
        <w:ind w:left="1020" w:hanging="360"/>
      </w:pPr>
    </w:lvl>
    <w:lvl w:ilvl="8" w:tplc="3006CE72">
      <w:start w:val="1"/>
      <w:numFmt w:val="decimal"/>
      <w:lvlText w:val="%9."/>
      <w:lvlJc w:val="left"/>
      <w:pPr>
        <w:ind w:left="1020" w:hanging="360"/>
      </w:pPr>
    </w:lvl>
  </w:abstractNum>
  <w:num w:numId="1" w16cid:durableId="897937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1MjS3tDQyMbM0MzdW0lEKTi0uzszPAykwrwUAxM/UOiwAAAA="/>
  </w:docVars>
  <w:rsids>
    <w:rsidRoot w:val="00E879CF"/>
    <w:rsid w:val="00000B2D"/>
    <w:rsid w:val="000032BD"/>
    <w:rsid w:val="00025E32"/>
    <w:rsid w:val="000A2B33"/>
    <w:rsid w:val="000E0D34"/>
    <w:rsid w:val="000F52EE"/>
    <w:rsid w:val="00110D5B"/>
    <w:rsid w:val="001758DE"/>
    <w:rsid w:val="0022250A"/>
    <w:rsid w:val="00256610"/>
    <w:rsid w:val="002E0726"/>
    <w:rsid w:val="00303C8C"/>
    <w:rsid w:val="00353E18"/>
    <w:rsid w:val="00377541"/>
    <w:rsid w:val="00406D9C"/>
    <w:rsid w:val="00523511"/>
    <w:rsid w:val="00575EC3"/>
    <w:rsid w:val="005B7920"/>
    <w:rsid w:val="005F0583"/>
    <w:rsid w:val="00607A95"/>
    <w:rsid w:val="0061318C"/>
    <w:rsid w:val="00643033"/>
    <w:rsid w:val="00650AFE"/>
    <w:rsid w:val="0067324B"/>
    <w:rsid w:val="006903F5"/>
    <w:rsid w:val="00695D83"/>
    <w:rsid w:val="007110A3"/>
    <w:rsid w:val="00751779"/>
    <w:rsid w:val="00774C89"/>
    <w:rsid w:val="007924E9"/>
    <w:rsid w:val="007E168A"/>
    <w:rsid w:val="008048CC"/>
    <w:rsid w:val="00806D3A"/>
    <w:rsid w:val="00836DD0"/>
    <w:rsid w:val="00843FC4"/>
    <w:rsid w:val="00847445"/>
    <w:rsid w:val="00923FFA"/>
    <w:rsid w:val="009526B2"/>
    <w:rsid w:val="0095793D"/>
    <w:rsid w:val="009868DC"/>
    <w:rsid w:val="00993BB4"/>
    <w:rsid w:val="00A02687"/>
    <w:rsid w:val="00A5430C"/>
    <w:rsid w:val="00A63B64"/>
    <w:rsid w:val="00A9304B"/>
    <w:rsid w:val="00A94C5E"/>
    <w:rsid w:val="00AB3677"/>
    <w:rsid w:val="00AD13C8"/>
    <w:rsid w:val="00AE019C"/>
    <w:rsid w:val="00AE4F3B"/>
    <w:rsid w:val="00B420FE"/>
    <w:rsid w:val="00BB563E"/>
    <w:rsid w:val="00BC2ADA"/>
    <w:rsid w:val="00C0324A"/>
    <w:rsid w:val="00C10784"/>
    <w:rsid w:val="00C43DB8"/>
    <w:rsid w:val="00C511BE"/>
    <w:rsid w:val="00D23B5D"/>
    <w:rsid w:val="00D475BE"/>
    <w:rsid w:val="00D63554"/>
    <w:rsid w:val="00D75122"/>
    <w:rsid w:val="00D96249"/>
    <w:rsid w:val="00DB74B4"/>
    <w:rsid w:val="00DC7469"/>
    <w:rsid w:val="00E123E1"/>
    <w:rsid w:val="00E42E95"/>
    <w:rsid w:val="00E502DB"/>
    <w:rsid w:val="00E81D4F"/>
    <w:rsid w:val="00E879CF"/>
    <w:rsid w:val="00E90032"/>
    <w:rsid w:val="00EA2D48"/>
    <w:rsid w:val="00ED5EC1"/>
    <w:rsid w:val="00EE23AE"/>
    <w:rsid w:val="00F45BF7"/>
    <w:rsid w:val="00F51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1D918"/>
  <w15:chartTrackingRefBased/>
  <w15:docId w15:val="{32FDC970-FDB0-409F-A196-348F2DC84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9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79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79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79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79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79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9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9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9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9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79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79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79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79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7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9CF"/>
    <w:rPr>
      <w:rFonts w:eastAsiaTheme="majorEastAsia" w:cstheme="majorBidi"/>
      <w:color w:val="272727" w:themeColor="text1" w:themeTint="D8"/>
    </w:rPr>
  </w:style>
  <w:style w:type="paragraph" w:styleId="Title">
    <w:name w:val="Title"/>
    <w:basedOn w:val="Normal"/>
    <w:next w:val="Normal"/>
    <w:link w:val="TitleChar"/>
    <w:uiPriority w:val="10"/>
    <w:qFormat/>
    <w:rsid w:val="00E87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9CF"/>
    <w:pPr>
      <w:spacing w:before="160"/>
      <w:jc w:val="center"/>
    </w:pPr>
    <w:rPr>
      <w:i/>
      <w:iCs/>
      <w:color w:val="404040" w:themeColor="text1" w:themeTint="BF"/>
    </w:rPr>
  </w:style>
  <w:style w:type="character" w:customStyle="1" w:styleId="QuoteChar">
    <w:name w:val="Quote Char"/>
    <w:basedOn w:val="DefaultParagraphFont"/>
    <w:link w:val="Quote"/>
    <w:uiPriority w:val="29"/>
    <w:rsid w:val="00E879CF"/>
    <w:rPr>
      <w:i/>
      <w:iCs/>
      <w:color w:val="404040" w:themeColor="text1" w:themeTint="BF"/>
    </w:rPr>
  </w:style>
  <w:style w:type="paragraph" w:styleId="ListParagraph">
    <w:name w:val="List Paragraph"/>
    <w:basedOn w:val="Normal"/>
    <w:uiPriority w:val="34"/>
    <w:qFormat/>
    <w:rsid w:val="00E879CF"/>
    <w:pPr>
      <w:ind w:left="720"/>
      <w:contextualSpacing/>
    </w:pPr>
  </w:style>
  <w:style w:type="character" w:styleId="IntenseEmphasis">
    <w:name w:val="Intense Emphasis"/>
    <w:basedOn w:val="DefaultParagraphFont"/>
    <w:uiPriority w:val="21"/>
    <w:qFormat/>
    <w:rsid w:val="00E879CF"/>
    <w:rPr>
      <w:i/>
      <w:iCs/>
      <w:color w:val="2F5496" w:themeColor="accent1" w:themeShade="BF"/>
    </w:rPr>
  </w:style>
  <w:style w:type="paragraph" w:styleId="IntenseQuote">
    <w:name w:val="Intense Quote"/>
    <w:basedOn w:val="Normal"/>
    <w:next w:val="Normal"/>
    <w:link w:val="IntenseQuoteChar"/>
    <w:uiPriority w:val="30"/>
    <w:qFormat/>
    <w:rsid w:val="00E879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79CF"/>
    <w:rPr>
      <w:i/>
      <w:iCs/>
      <w:color w:val="2F5496" w:themeColor="accent1" w:themeShade="BF"/>
    </w:rPr>
  </w:style>
  <w:style w:type="character" w:styleId="IntenseReference">
    <w:name w:val="Intense Reference"/>
    <w:basedOn w:val="DefaultParagraphFont"/>
    <w:uiPriority w:val="32"/>
    <w:qFormat/>
    <w:rsid w:val="00E879CF"/>
    <w:rPr>
      <w:b/>
      <w:bCs/>
      <w:smallCaps/>
      <w:color w:val="2F5496" w:themeColor="accent1" w:themeShade="BF"/>
      <w:spacing w:val="5"/>
    </w:rPr>
  </w:style>
  <w:style w:type="character" w:styleId="Emphasis">
    <w:name w:val="Emphasis"/>
    <w:basedOn w:val="DefaultParagraphFont"/>
    <w:uiPriority w:val="20"/>
    <w:qFormat/>
    <w:rsid w:val="00E879CF"/>
    <w:rPr>
      <w:i/>
      <w:iCs/>
    </w:rPr>
  </w:style>
  <w:style w:type="table" w:styleId="TableGrid">
    <w:name w:val="Table Grid"/>
    <w:basedOn w:val="TableNormal"/>
    <w:uiPriority w:val="39"/>
    <w:rsid w:val="00E87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2E95"/>
    <w:rPr>
      <w:b/>
      <w:bCs/>
    </w:rPr>
  </w:style>
  <w:style w:type="character" w:styleId="Hyperlink">
    <w:name w:val="Hyperlink"/>
    <w:basedOn w:val="DefaultParagraphFont"/>
    <w:uiPriority w:val="99"/>
    <w:unhideWhenUsed/>
    <w:rsid w:val="00993BB4"/>
    <w:rPr>
      <w:color w:val="0563C1" w:themeColor="hyperlink"/>
      <w:u w:val="single"/>
    </w:rPr>
  </w:style>
  <w:style w:type="paragraph" w:styleId="Revision">
    <w:name w:val="Revision"/>
    <w:hidden/>
    <w:uiPriority w:val="99"/>
    <w:semiHidden/>
    <w:rsid w:val="00BB563E"/>
    <w:pPr>
      <w:spacing w:after="0" w:line="240" w:lineRule="auto"/>
    </w:pPr>
  </w:style>
  <w:style w:type="character" w:styleId="CommentReference">
    <w:name w:val="annotation reference"/>
    <w:basedOn w:val="DefaultParagraphFont"/>
    <w:uiPriority w:val="99"/>
    <w:semiHidden/>
    <w:unhideWhenUsed/>
    <w:rsid w:val="00110D5B"/>
    <w:rPr>
      <w:sz w:val="16"/>
      <w:szCs w:val="16"/>
    </w:rPr>
  </w:style>
  <w:style w:type="paragraph" w:styleId="CommentText">
    <w:name w:val="annotation text"/>
    <w:basedOn w:val="Normal"/>
    <w:link w:val="CommentTextChar"/>
    <w:uiPriority w:val="99"/>
    <w:unhideWhenUsed/>
    <w:rsid w:val="00110D5B"/>
    <w:pPr>
      <w:spacing w:line="240" w:lineRule="auto"/>
    </w:pPr>
    <w:rPr>
      <w:sz w:val="20"/>
      <w:szCs w:val="20"/>
    </w:rPr>
  </w:style>
  <w:style w:type="character" w:customStyle="1" w:styleId="CommentTextChar">
    <w:name w:val="Comment Text Char"/>
    <w:basedOn w:val="DefaultParagraphFont"/>
    <w:link w:val="CommentText"/>
    <w:uiPriority w:val="99"/>
    <w:rsid w:val="00110D5B"/>
    <w:rPr>
      <w:sz w:val="20"/>
      <w:szCs w:val="20"/>
    </w:rPr>
  </w:style>
  <w:style w:type="paragraph" w:styleId="CommentSubject">
    <w:name w:val="annotation subject"/>
    <w:basedOn w:val="CommentText"/>
    <w:next w:val="CommentText"/>
    <w:link w:val="CommentSubjectChar"/>
    <w:uiPriority w:val="99"/>
    <w:semiHidden/>
    <w:unhideWhenUsed/>
    <w:rsid w:val="00110D5B"/>
    <w:rPr>
      <w:b/>
      <w:bCs/>
    </w:rPr>
  </w:style>
  <w:style w:type="character" w:customStyle="1" w:styleId="CommentSubjectChar">
    <w:name w:val="Comment Subject Char"/>
    <w:basedOn w:val="CommentTextChar"/>
    <w:link w:val="CommentSubject"/>
    <w:uiPriority w:val="99"/>
    <w:semiHidden/>
    <w:rsid w:val="00110D5B"/>
    <w:rPr>
      <w:b/>
      <w:bCs/>
      <w:sz w:val="20"/>
      <w:szCs w:val="20"/>
    </w:rPr>
  </w:style>
  <w:style w:type="character" w:styleId="UnresolvedMention">
    <w:name w:val="Unresolved Mention"/>
    <w:basedOn w:val="DefaultParagraphFont"/>
    <w:uiPriority w:val="99"/>
    <w:semiHidden/>
    <w:unhideWhenUsed/>
    <w:rsid w:val="007924E9"/>
    <w:rPr>
      <w:color w:val="605E5C"/>
      <w:shd w:val="clear" w:color="auto" w:fill="E1DFDD"/>
    </w:rPr>
  </w:style>
  <w:style w:type="paragraph" w:styleId="Header">
    <w:name w:val="header"/>
    <w:basedOn w:val="Normal"/>
    <w:link w:val="HeaderChar"/>
    <w:uiPriority w:val="99"/>
    <w:unhideWhenUsed/>
    <w:rsid w:val="00AB3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677"/>
  </w:style>
  <w:style w:type="paragraph" w:styleId="Footer">
    <w:name w:val="footer"/>
    <w:basedOn w:val="Normal"/>
    <w:link w:val="FooterChar"/>
    <w:uiPriority w:val="99"/>
    <w:unhideWhenUsed/>
    <w:rsid w:val="00AB3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5281/zenodo.17806051"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oi.org/10.5281/zenodo.1863439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36713/epra26770"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1B828461B2204884F2232A4DF5403E" ma:contentTypeVersion="13" ma:contentTypeDescription="Create a new document." ma:contentTypeScope="" ma:versionID="5f0f3825adff01f575bc396b62093fa8">
  <xsd:schema xmlns:xsd="http://www.w3.org/2001/XMLSchema" xmlns:xs="http://www.w3.org/2001/XMLSchema" xmlns:p="http://schemas.microsoft.com/office/2006/metadata/properties" xmlns:ns2="e424fb49-ba50-448a-9f0a-895990ed0b47" xmlns:ns3="de9e19ce-b3b2-4ddf-ade6-b2e79f248764" targetNamespace="http://schemas.microsoft.com/office/2006/metadata/properties" ma:root="true" ma:fieldsID="40089037c5a6223559788bbb9b361a3f" ns2:_="" ns3:_="">
    <xsd:import namespace="e424fb49-ba50-448a-9f0a-895990ed0b47"/>
    <xsd:import namespace="de9e19ce-b3b2-4ddf-ade6-b2e79f24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4fb49-ba50-448a-9f0a-895990ed0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8041e-c971-4c5d-9654-76d6a51c1fb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e19ce-b3b2-4ddf-ade6-b2e79f2487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3c20d-864e-4e33-b303-baa3a535b2c9}" ma:internalName="TaxCatchAll" ma:showField="CatchAllData" ma:web="de9e19ce-b3b2-4ddf-ade6-b2e79f24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9e19ce-b3b2-4ddf-ade6-b2e79f248764" xsi:nil="true"/>
    <lcf76f155ced4ddcb4097134ff3c332f xmlns="e424fb49-ba50-448a-9f0a-895990ed0b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E3463F-E620-4E60-881A-7E2B9EED9F4F}">
  <ds:schemaRefs>
    <ds:schemaRef ds:uri="http://schemas.microsoft.com/sharepoint/v3/contenttype/forms"/>
  </ds:schemaRefs>
</ds:datastoreItem>
</file>

<file path=customXml/itemProps2.xml><?xml version="1.0" encoding="utf-8"?>
<ds:datastoreItem xmlns:ds="http://schemas.openxmlformats.org/officeDocument/2006/customXml" ds:itemID="{CFE1A831-8250-4497-B8A8-8C48B88EE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4fb49-ba50-448a-9f0a-895990ed0b47"/>
    <ds:schemaRef ds:uri="de9e19ce-b3b2-4ddf-ade6-b2e79f24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B858F6-AD87-4A25-88DE-C5AF3882E41F}">
  <ds:schemaRefs>
    <ds:schemaRef ds:uri="http://schemas.microsoft.com/office/2006/metadata/properties"/>
    <ds:schemaRef ds:uri="http://schemas.microsoft.com/office/infopath/2007/PartnerControls"/>
    <ds:schemaRef ds:uri="de9e19ce-b3b2-4ddf-ade6-b2e79f248764"/>
    <ds:schemaRef ds:uri="e424fb49-ba50-448a-9f0a-895990ed0b47"/>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6893</Words>
  <Characters>39295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Kwakye Antwi</dc:creator>
  <cp:keywords/>
  <dc:description/>
  <cp:lastModifiedBy>SDI 1084</cp:lastModifiedBy>
  <cp:revision>15</cp:revision>
  <dcterms:created xsi:type="dcterms:W3CDTF">2026-08-21T15:59:00Z</dcterms:created>
  <dcterms:modified xsi:type="dcterms:W3CDTF">2026-09-12T05:59:00Z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0d3369bc-ece4-4239-a99a-4fc0aaa20eab</vt:lpwstr>
  </property>
  <property fmtid="{D5CDD505-2E9C-101B-9397-08002B2CF9AE}" pid="3" name="ContentTypeId">
    <vt:lpwstr>0x0101002E1B828461B2204884F2232A4DF5403E</vt:lpwstr>
  </property>
  <property fmtid="{D5CDD505-2E9C-101B-9397-08002B2CF9AE}" pid="4" name="MediaServiceImageTags">
    <vt:lpwstr/>
  </property>
</Properties>
</file>