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FD4CE" w14:textId="77777777" w:rsidR="00092C7A" w:rsidRDefault="00092C7A" w:rsidP="00092C7A">
      <w:pPr>
        <w:widowControl/>
        <w:spacing w:before="480" w:after="240"/>
        <w:jc w:val="left"/>
        <w:outlineLvl w:val="0"/>
        <w:rPr>
          <w:rFonts w:ascii="Times New Roman" w:eastAsia="SimSun" w:hAnsi="Times New Roman" w:cs="Times New Roman"/>
          <w:b/>
          <w:bCs/>
          <w:color w:val="0F1115"/>
          <w:kern w:val="36"/>
          <w:sz w:val="24"/>
        </w:rPr>
      </w:pPr>
      <w:r w:rsidRPr="00092C7A">
        <w:rPr>
          <w:rFonts w:ascii="Times New Roman" w:eastAsia="SimSun" w:hAnsi="Times New Roman" w:cs="Times New Roman"/>
          <w:b/>
          <w:bCs/>
          <w:color w:val="0F1115"/>
          <w:kern w:val="36"/>
          <w:sz w:val="24"/>
        </w:rPr>
        <w:t>Contrastive Discourse Cohesion: Re-evaluating the Rigor of Narrative Research</w:t>
      </w:r>
    </w:p>
    <w:p w14:paraId="0E5C470C" w14:textId="77777777" w:rsidR="00BA7EBD" w:rsidRPr="00092C7A" w:rsidRDefault="00BA7EBD" w:rsidP="00092C7A">
      <w:pPr>
        <w:widowControl/>
        <w:spacing w:before="480" w:after="240"/>
        <w:jc w:val="left"/>
        <w:outlineLvl w:val="0"/>
        <w:rPr>
          <w:rFonts w:ascii="Times New Roman" w:eastAsia="SimSun" w:hAnsi="Times New Roman" w:cs="Times New Roman"/>
          <w:b/>
          <w:bCs/>
          <w:color w:val="0F1115"/>
          <w:kern w:val="36"/>
          <w:sz w:val="24"/>
        </w:rPr>
      </w:pPr>
    </w:p>
    <w:p w14:paraId="1883D2DB" w14:textId="77777777" w:rsidR="00092C7A" w:rsidRPr="00092C7A" w:rsidRDefault="00092C7A" w:rsidP="00092C7A">
      <w:pPr>
        <w:widowControl/>
        <w:spacing w:before="480" w:after="240"/>
        <w:jc w:val="left"/>
        <w:outlineLvl w:val="0"/>
        <w:rPr>
          <w:rFonts w:ascii="Times New Roman" w:eastAsia="SimSun" w:hAnsi="Times New Roman" w:cs="Times New Roman"/>
          <w:b/>
          <w:bCs/>
          <w:color w:val="0F1115"/>
          <w:kern w:val="36"/>
          <w:sz w:val="24"/>
        </w:rPr>
      </w:pPr>
      <w:r w:rsidRPr="00092C7A">
        <w:rPr>
          <w:rFonts w:ascii="Times New Roman" w:eastAsia="SimSun" w:hAnsi="Times New Roman" w:cs="Times New Roman"/>
          <w:b/>
          <w:bCs/>
          <w:color w:val="0F1115"/>
          <w:kern w:val="36"/>
          <w:sz w:val="24"/>
        </w:rPr>
        <w:t>Abstract</w:t>
      </w:r>
    </w:p>
    <w:p w14:paraId="143CE451" w14:textId="77777777" w:rsidR="00092C7A" w:rsidRPr="00092C7A" w:rsidRDefault="00092C7A" w:rsidP="00092C7A">
      <w:pPr>
        <w:widowControl/>
        <w:spacing w:before="240" w:after="240"/>
        <w:rPr>
          <w:rFonts w:ascii="Times New Roman" w:eastAsia="SimSun" w:hAnsi="Times New Roman" w:cs="Times New Roman"/>
          <w:color w:val="0F1115"/>
          <w:kern w:val="0"/>
          <w:sz w:val="20"/>
          <w:szCs w:val="20"/>
        </w:rPr>
      </w:pPr>
      <w:r w:rsidRPr="00092C7A">
        <w:rPr>
          <w:rFonts w:ascii="Times New Roman" w:eastAsia="SimSun" w:hAnsi="Times New Roman" w:cs="Times New Roman"/>
          <w:color w:val="0F1115"/>
          <w:kern w:val="0"/>
          <w:sz w:val="20"/>
          <w:szCs w:val="20"/>
        </w:rPr>
        <w:t>This article addresses persistent scholarly skepticism about the methodological rigor of narrative inquiry by comparing textual cohesion mechanisms in narrative and scientific discourse. Although both traditions generate coherent scholarly knowledge, they follow distinct structuring logics: narrative discourse builds cohesion through temporal plotting and experiential configuration, whereas scientific discourse secures epistemic validity via structured argumentation, logical reasoning, and empirical evidence. This study develops a contrastive cohesion framework to articulate how narrative evidence can be legitimately integrated into scientific research. It argues that narrative and scientific cohesion represent two equally valid, paradigm-specific epistemic systems that underpin the methodological uniqueness of modern narrative inquiry. This analysis clarifies narrative research's context-sensitive truth-making merits and argues against inappropriate positivist evaluation and literary conflation, thereby mitigating long-standing institutional bias against narrative methodology.</w:t>
      </w:r>
    </w:p>
    <w:p w14:paraId="7F0FB936" w14:textId="77777777" w:rsidR="00092C7A" w:rsidRPr="00092C7A" w:rsidRDefault="00092C7A" w:rsidP="00092C7A">
      <w:pPr>
        <w:widowControl/>
        <w:spacing w:before="240" w:after="240"/>
        <w:rPr>
          <w:rFonts w:ascii="Times New Roman" w:eastAsia="SimSun" w:hAnsi="Times New Roman" w:cs="Times New Roman"/>
          <w:color w:val="0F1115"/>
          <w:kern w:val="0"/>
          <w:sz w:val="20"/>
          <w:szCs w:val="20"/>
        </w:rPr>
      </w:pPr>
      <w:r w:rsidRPr="00092C7A">
        <w:rPr>
          <w:rFonts w:ascii="Times New Roman" w:eastAsia="SimSun" w:hAnsi="Times New Roman" w:cs="Times New Roman"/>
          <w:b/>
          <w:bCs/>
          <w:color w:val="0F1115"/>
          <w:kern w:val="0"/>
          <w:sz w:val="20"/>
          <w:szCs w:val="20"/>
        </w:rPr>
        <w:t>Keywords:</w:t>
      </w:r>
      <w:r w:rsidRPr="00092C7A">
        <w:rPr>
          <w:rFonts w:ascii="Times New Roman" w:eastAsia="SimSun" w:hAnsi="Times New Roman" w:cs="Times New Roman"/>
          <w:color w:val="0F1115"/>
          <w:kern w:val="0"/>
          <w:sz w:val="20"/>
          <w:szCs w:val="20"/>
        </w:rPr>
        <w:t> narrative inquiry, textual cohesion, scientific discourse, epistemic system,</w:t>
      </w:r>
      <w:r w:rsidRPr="00092C7A">
        <w:rPr>
          <w:rFonts w:ascii="Segoe UI" w:hAnsi="Segoe UI" w:cs="Segoe UI"/>
          <w:color w:val="0F1115"/>
          <w:shd w:val="clear" w:color="auto" w:fill="FFFFFF"/>
        </w:rPr>
        <w:t xml:space="preserve"> </w:t>
      </w:r>
      <w:r w:rsidRPr="00092C7A">
        <w:rPr>
          <w:rFonts w:ascii="Times New Roman" w:eastAsia="SimSun" w:hAnsi="Times New Roman" w:cs="Times New Roman"/>
          <w:color w:val="0F1115"/>
          <w:kern w:val="0"/>
          <w:sz w:val="20"/>
          <w:szCs w:val="20"/>
        </w:rPr>
        <w:t>methodological rigor</w:t>
      </w:r>
    </w:p>
    <w:p w14:paraId="194138E4" w14:textId="77777777" w:rsidR="00092C7A" w:rsidRPr="00092C7A" w:rsidRDefault="00092C7A" w:rsidP="00092C7A">
      <w:pPr>
        <w:widowControl/>
        <w:spacing w:before="480" w:after="240"/>
        <w:jc w:val="left"/>
        <w:outlineLvl w:val="1"/>
        <w:rPr>
          <w:rFonts w:ascii="Times New Roman" w:eastAsia="SimSun" w:hAnsi="Times New Roman" w:cs="Times New Roman"/>
          <w:b/>
          <w:bCs/>
          <w:color w:val="0F1115"/>
          <w:kern w:val="0"/>
          <w:sz w:val="24"/>
        </w:rPr>
      </w:pPr>
      <w:r w:rsidRPr="00092C7A">
        <w:rPr>
          <w:rFonts w:ascii="Times New Roman" w:eastAsia="SimSun" w:hAnsi="Times New Roman" w:cs="Times New Roman"/>
          <w:b/>
          <w:bCs/>
          <w:color w:val="0F1115"/>
          <w:kern w:val="0"/>
          <w:sz w:val="24"/>
        </w:rPr>
        <w:t>1. Introduction</w:t>
      </w:r>
    </w:p>
    <w:p w14:paraId="7630486F" w14:textId="77777777" w:rsidR="00092C7A" w:rsidRPr="00092C7A" w:rsidRDefault="00092C7A" w:rsidP="00092C7A">
      <w:pPr>
        <w:widowControl/>
        <w:spacing w:before="240" w:after="240"/>
        <w:rPr>
          <w:rFonts w:ascii="Times New Roman" w:eastAsia="SimSun" w:hAnsi="Times New Roman" w:cs="Times New Roman"/>
          <w:color w:val="0F1115"/>
          <w:kern w:val="0"/>
          <w:sz w:val="20"/>
          <w:szCs w:val="20"/>
        </w:rPr>
      </w:pPr>
      <w:r w:rsidRPr="00092C7A">
        <w:rPr>
          <w:rFonts w:ascii="Times New Roman" w:eastAsia="SimSun" w:hAnsi="Times New Roman" w:cs="Times New Roman"/>
          <w:color w:val="0F1115"/>
          <w:kern w:val="0"/>
          <w:sz w:val="20"/>
          <w:szCs w:val="20"/>
        </w:rPr>
        <w:t>Despite its growing implementation across the human and social sciences, narrative inquiry occupies an epistemologically contested position in academic scholarship (Clandinin &amp; Connelly, 2000; Riessman, 2008; Zhao, 2023; Gusman, 2024; Freitas, 2025). Although valued for its capacity to capture nuanced lived experience, subjective meaning, and identity formation, narrative inquiry remains persistently questioned within mainstream scientific communities. It is frequently dismissed as anecdotal, impressionistic, and methodologically lax, lacking the rigor expected of positivist empirical research (Atkinson, 1997; Strawson, 2004; Bourdieu, 1986/2017; Ghanbar et al., 2026). The critique that narrative work constitutes "merely storytelling" reflects a deeper methodological misunderstanding and scholarly anxiety: whether research rooted in interpretive, experiential narrative traditions can satisfy the positivist standards, systematic evidentiary requirements, and epistemic rigor of scientific knowledge creation (Padian, 2018).</w:t>
      </w:r>
    </w:p>
    <w:p w14:paraId="3557C0B6" w14:textId="77777777" w:rsidR="00C85C74" w:rsidRDefault="00092C7A" w:rsidP="00092C7A">
      <w:pPr>
        <w:widowControl/>
        <w:spacing w:before="240" w:after="240"/>
        <w:rPr>
          <w:rFonts w:ascii="Times New Roman" w:eastAsia="SimSun" w:hAnsi="Times New Roman" w:cs="Times New Roman"/>
          <w:color w:val="0F1115"/>
          <w:kern w:val="0"/>
          <w:sz w:val="20"/>
          <w:szCs w:val="20"/>
        </w:rPr>
      </w:pPr>
      <w:r w:rsidRPr="00092C7A">
        <w:rPr>
          <w:rFonts w:ascii="Times New Roman" w:eastAsia="SimSun" w:hAnsi="Times New Roman" w:cs="Times New Roman"/>
          <w:color w:val="0F1115"/>
          <w:kern w:val="0"/>
          <w:sz w:val="20"/>
          <w:szCs w:val="20"/>
        </w:rPr>
        <w:t xml:space="preserve">Such skepticism has reinforced a hierarchy that privileges positivistic empirical generalization and replicable findings over narrative inquiry, which centers context-embedded involvements that resist over-abstraction (Wells, 2011; Riessman, 2008; Ghanbar et al., 2026). This tension reflects an entrenched epistemological dualism between positivist research and narrative inquiry. As Polkinghorne (1995, p. 11) observes, "While paradigmatic knowledge is maintained in individual words that name a concept, narrative knowledge is maintained in </w:t>
      </w:r>
      <w:proofErr w:type="spellStart"/>
      <w:r w:rsidRPr="00092C7A">
        <w:rPr>
          <w:rFonts w:ascii="Times New Roman" w:eastAsia="SimSun" w:hAnsi="Times New Roman" w:cs="Times New Roman"/>
          <w:color w:val="0F1115"/>
          <w:kern w:val="0"/>
          <w:sz w:val="20"/>
          <w:szCs w:val="20"/>
        </w:rPr>
        <w:t>emplotted</w:t>
      </w:r>
      <w:proofErr w:type="spellEnd"/>
      <w:r w:rsidRPr="00092C7A">
        <w:rPr>
          <w:rFonts w:ascii="Times New Roman" w:eastAsia="SimSun" w:hAnsi="Times New Roman" w:cs="Times New Roman"/>
          <w:color w:val="0F1115"/>
          <w:kern w:val="0"/>
          <w:sz w:val="20"/>
          <w:szCs w:val="20"/>
        </w:rPr>
        <w:t xml:space="preserve"> stories." In broader intellectual and scholarly practice, opposing discursive norms foster exclusive evaluative frameworks, sustaining unresolved tensions </w:t>
      </w:r>
      <w:r w:rsidRPr="00092C7A">
        <w:rPr>
          <w:rFonts w:ascii="Times New Roman" w:eastAsia="SimSun" w:hAnsi="Times New Roman" w:cs="Times New Roman"/>
          <w:color w:val="0F1115"/>
          <w:kern w:val="0"/>
          <w:sz w:val="20"/>
          <w:szCs w:val="20"/>
        </w:rPr>
        <w:lastRenderedPageBreak/>
        <w:t>between scientific and narrative epistemologies; scholarly tension and epistemic anxiety persist most prominently between positivist research and narrative inquiry.</w:t>
      </w:r>
    </w:p>
    <w:p w14:paraId="0288DFA9" w14:textId="77777777" w:rsidR="00092C7A" w:rsidRDefault="00092C7A" w:rsidP="00092C7A">
      <w:pPr>
        <w:widowControl/>
        <w:spacing w:before="240" w:after="240"/>
        <w:rPr>
          <w:rFonts w:ascii="Times New Roman" w:eastAsia="SimSun" w:hAnsi="Times New Roman" w:cs="Times New Roman"/>
          <w:color w:val="0F1115"/>
          <w:kern w:val="0"/>
          <w:sz w:val="20"/>
          <w:szCs w:val="20"/>
        </w:rPr>
      </w:pPr>
      <w:r w:rsidRPr="00092C7A">
        <w:rPr>
          <w:rFonts w:ascii="Times New Roman" w:eastAsia="SimSun" w:hAnsi="Times New Roman" w:cs="Times New Roman"/>
          <w:color w:val="0F1115"/>
          <w:kern w:val="0"/>
          <w:sz w:val="20"/>
          <w:szCs w:val="20"/>
        </w:rPr>
        <w:t>Traditional positivist rationality and epistemology have distinguished themselves from narrative modes, which are often linked to mythology and fiction (</w:t>
      </w:r>
      <w:proofErr w:type="spellStart"/>
      <w:r w:rsidRPr="00092C7A">
        <w:rPr>
          <w:rFonts w:ascii="Times New Roman" w:eastAsia="SimSun" w:hAnsi="Times New Roman" w:cs="Times New Roman"/>
          <w:color w:val="0F1115"/>
          <w:kern w:val="0"/>
          <w:sz w:val="20"/>
          <w:szCs w:val="20"/>
        </w:rPr>
        <w:t>Ricoeur</w:t>
      </w:r>
      <w:proofErr w:type="spellEnd"/>
      <w:r w:rsidRPr="00092C7A">
        <w:rPr>
          <w:rFonts w:ascii="Times New Roman" w:eastAsia="SimSun" w:hAnsi="Times New Roman" w:cs="Times New Roman"/>
          <w:color w:val="0F1115"/>
          <w:kern w:val="0"/>
          <w:sz w:val="20"/>
          <w:szCs w:val="20"/>
        </w:rPr>
        <w:t>, 1984; Strawson, 2004; Padian, 2018). This historical differentiation has established argument-driven, evidence-based scientific discourse as rigorous, while marginalizing narrative-based inquiry by framing it as less systematic and overly interpretive (Riessman, 2008; Greenhalgh &amp; Wieringa, 2011). As Riessman (2008, p. 3) notes, "Events perceived by the speaker as important are selected, organized, connected, and evaluated as meaningful for a particular audience," yet such interpretive ordering is often misread as methodological weakness rather than narrative inquiry's core analytical operation. Conventional scientific scholarship often evaluates narrative research by positivist criteria, prioritizing objectivity and generalizability, and dismissing narrative-driven methods for deviating from these standards (Lincoln &amp; Guba, 1985; Greenhalgh &amp; Wieringa, 2011). Lincoln and Guba (1985, p. 300) contrast these evaluative benchmarks: "The positivist investigator seeks objectivity; the naturalistic investigator seeks confirmability."</w:t>
      </w:r>
    </w:p>
    <w:p w14:paraId="57F90C31" w14:textId="77777777" w:rsidR="004E0DE4" w:rsidRDefault="004E0DE4" w:rsidP="00092C7A">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This framework overlooks the fact that scientific and narrative paradigms use qualitatively distinct discursive mechanisms for meaning-making and coherence, each with recognized and established cohesion systems (Padian, 2018; Morgan et al., 2022; Zhao &amp; Li, 2026). This situation creates epistemic tensions stemming from the disciplinary divide between narrative-driven and empirical science. The tension has fueled skepticism about narrative rigor, which may result from misunderstandings of how coherence and cohesion operate in each paradigm (Ghanbar et al., 2026). Briefly, scientific discourse relies on structured logic and evidence, while narrative coherence emerges from temporal ordering and interpretative configuration (</w:t>
      </w:r>
      <w:proofErr w:type="spellStart"/>
      <w:r w:rsidRPr="004E0DE4">
        <w:rPr>
          <w:rFonts w:ascii="Times New Roman" w:eastAsia="SimSun" w:hAnsi="Times New Roman" w:cs="Times New Roman"/>
          <w:color w:val="0F1115"/>
          <w:kern w:val="0"/>
          <w:sz w:val="20"/>
          <w:szCs w:val="20"/>
        </w:rPr>
        <w:t>Ricoeur</w:t>
      </w:r>
      <w:proofErr w:type="spellEnd"/>
      <w:r w:rsidRPr="004E0DE4">
        <w:rPr>
          <w:rFonts w:ascii="Times New Roman" w:eastAsia="SimSun" w:hAnsi="Times New Roman" w:cs="Times New Roman"/>
          <w:color w:val="0F1115"/>
          <w:kern w:val="0"/>
          <w:sz w:val="20"/>
          <w:szCs w:val="20"/>
        </w:rPr>
        <w:t>, 1984; Polkinghorne, 1988; Strawson, 2004; Riessman, 2008).</w:t>
      </w:r>
    </w:p>
    <w:p w14:paraId="08559DAE"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Recognizing this paradigmatic divergence allows for a critical re-evaluation of narrative inquiry as a distinct research methodology with its own coherence specificity, separate from traditional narrative practice (Polkinghorne, 1995). Perceptions of narrative inquiry's lack of rigor often result from applying positivist standards to character-plot and context-sensitive narrative traditions, especially to narrative-based methods in the social sciences (van Dijk, 1994; Zhao, 2023).</w:t>
      </w:r>
    </w:p>
    <w:p w14:paraId="578ED993"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This study reframes existing debate by examining how narrative and scientific paradigms independently construct textual cohesion and produce distinct forms of scholarly knowledge. It further explores how narrative specificity has evolved from conventional literary narrative tradition into a rigorous research methodology—a transformation that has long confronted scholarly skepticism regarding its epistemic rigor (Polkinghorne, 1988, 1995; Brannen, 2019). This research first establishes a conceptual distinction between narrative epistemology and the positivist scientific paradigm (Clandinin &amp; Connelly, 2000; Ghanbar et al., 2026), creating a comparative analytical space to examine cross-paradigm cohesion-building mechanisms and unpack their epistemic implications for re-evaluating narrative inquiry's methodological rigor.</w:t>
      </w:r>
    </w:p>
    <w:p w14:paraId="1E3DD38A" w14:textId="77777777" w:rsidR="004E0DE4" w:rsidRPr="004E0DE4" w:rsidRDefault="004E0DE4" w:rsidP="004E0DE4">
      <w:pPr>
        <w:widowControl/>
        <w:spacing w:before="240" w:after="240"/>
        <w:rPr>
          <w:rFonts w:ascii="Times New Roman" w:eastAsia="SimSun" w:hAnsi="Times New Roman" w:cs="Times New Roman"/>
          <w:b/>
          <w:bCs/>
          <w:color w:val="0F1115"/>
          <w:kern w:val="0"/>
          <w:sz w:val="24"/>
        </w:rPr>
      </w:pPr>
      <w:r w:rsidRPr="004E0DE4">
        <w:rPr>
          <w:rFonts w:ascii="Times New Roman" w:eastAsia="SimSun" w:hAnsi="Times New Roman" w:cs="Times New Roman"/>
          <w:b/>
          <w:bCs/>
          <w:color w:val="0F1115"/>
          <w:kern w:val="0"/>
          <w:sz w:val="24"/>
        </w:rPr>
        <w:t>2. Cohesion Mechanisms across Narrative and Scientific Paradigms</w:t>
      </w:r>
    </w:p>
    <w:p w14:paraId="44E927A1"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Cohesion is the key textual mechanism for constructing coherent meaning in writing (van Dijk, 1994; Zhao &amp; Li, 2026). Readers interpret texts by recognizing connections that integrate linguistic units into cohesive wholes (Morgan et al., 2022</w:t>
      </w:r>
      <w:r>
        <w:rPr>
          <w:rFonts w:ascii="Times New Roman" w:eastAsia="SimSun" w:hAnsi="Times New Roman" w:cs="Times New Roman"/>
          <w:color w:val="0F1115"/>
          <w:kern w:val="0"/>
          <w:sz w:val="20"/>
          <w:szCs w:val="20"/>
        </w:rPr>
        <w:t>; Li &amp; Zhao, 2026</w:t>
      </w:r>
      <w:r w:rsidRPr="004E0DE4">
        <w:rPr>
          <w:rFonts w:ascii="Times New Roman" w:eastAsia="SimSun" w:hAnsi="Times New Roman" w:cs="Times New Roman"/>
          <w:color w:val="0F1115"/>
          <w:kern w:val="0"/>
          <w:sz w:val="20"/>
          <w:szCs w:val="20"/>
        </w:rPr>
        <w:t xml:space="preserve">). Narrative discourse builds continuity through </w:t>
      </w:r>
      <w:r w:rsidRPr="004E0DE4">
        <w:rPr>
          <w:rFonts w:ascii="Times New Roman" w:eastAsia="SimSun" w:hAnsi="Times New Roman" w:cs="Times New Roman"/>
          <w:color w:val="0F1115"/>
          <w:kern w:val="0"/>
          <w:sz w:val="20"/>
          <w:szCs w:val="20"/>
        </w:rPr>
        <w:lastRenderedPageBreak/>
        <w:t>temporal progression and event sequencing, while scientific discourse achieves rigor through logical sequencing and evidence-based reasoning (</w:t>
      </w:r>
      <w:proofErr w:type="spellStart"/>
      <w:r w:rsidRPr="004E0DE4">
        <w:rPr>
          <w:rFonts w:ascii="Times New Roman" w:eastAsia="SimSun" w:hAnsi="Times New Roman" w:cs="Times New Roman"/>
          <w:color w:val="0F1115"/>
          <w:kern w:val="0"/>
          <w:sz w:val="20"/>
          <w:szCs w:val="20"/>
        </w:rPr>
        <w:t>Ricoeur</w:t>
      </w:r>
      <w:proofErr w:type="spellEnd"/>
      <w:r w:rsidRPr="004E0DE4">
        <w:rPr>
          <w:rFonts w:ascii="Times New Roman" w:eastAsia="SimSun" w:hAnsi="Times New Roman" w:cs="Times New Roman"/>
          <w:color w:val="0F1115"/>
          <w:kern w:val="0"/>
          <w:sz w:val="20"/>
          <w:szCs w:val="20"/>
        </w:rPr>
        <w:t>, 1984; Bruner, 1991; Polkinghorne, 1988; Zhao &amp; Li, 2026). This distinct cohesion practice has divided epistemology and led to different rigor standards.</w:t>
      </w:r>
    </w:p>
    <w:p w14:paraId="3FA224CE" w14:textId="77777777" w:rsidR="004E0DE4" w:rsidRPr="004E0DE4" w:rsidRDefault="004E0DE4" w:rsidP="004E0DE4">
      <w:pPr>
        <w:widowControl/>
        <w:spacing w:before="480" w:after="240"/>
        <w:jc w:val="left"/>
        <w:outlineLvl w:val="2"/>
        <w:rPr>
          <w:rFonts w:ascii="Times New Roman" w:eastAsia="SimSun" w:hAnsi="Times New Roman" w:cs="Times New Roman"/>
          <w:b/>
          <w:bCs/>
          <w:i/>
          <w:iCs/>
          <w:color w:val="0F1115"/>
          <w:kern w:val="0"/>
          <w:sz w:val="22"/>
          <w:szCs w:val="22"/>
        </w:rPr>
      </w:pPr>
      <w:r w:rsidRPr="004E0DE4">
        <w:rPr>
          <w:rFonts w:ascii="Times New Roman" w:eastAsia="SimSun" w:hAnsi="Times New Roman" w:cs="Times New Roman"/>
          <w:b/>
          <w:bCs/>
          <w:i/>
          <w:iCs/>
          <w:color w:val="0F1115"/>
          <w:kern w:val="0"/>
          <w:sz w:val="22"/>
          <w:szCs w:val="22"/>
        </w:rPr>
        <w:t>2.1 Narrative Cohesion and Rationality</w:t>
      </w:r>
    </w:p>
    <w:p w14:paraId="4A6ABA18"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Narrative cohesion aligns with human cognition, as people naturally structure experience in story formats (</w:t>
      </w:r>
      <w:proofErr w:type="spellStart"/>
      <w:r w:rsidRPr="004E0DE4">
        <w:rPr>
          <w:rFonts w:ascii="Times New Roman" w:eastAsia="SimSun" w:hAnsi="Times New Roman" w:cs="Times New Roman"/>
          <w:color w:val="0F1115"/>
          <w:kern w:val="0"/>
          <w:sz w:val="20"/>
          <w:szCs w:val="20"/>
        </w:rPr>
        <w:t>Labov</w:t>
      </w:r>
      <w:proofErr w:type="spellEnd"/>
      <w:r w:rsidRPr="004E0DE4">
        <w:rPr>
          <w:rFonts w:ascii="Times New Roman" w:eastAsia="SimSun" w:hAnsi="Times New Roman" w:cs="Times New Roman"/>
          <w:color w:val="0F1115"/>
          <w:kern w:val="0"/>
          <w:sz w:val="20"/>
          <w:szCs w:val="20"/>
        </w:rPr>
        <w:t xml:space="preserve">, 1972; Bruner, 1991). </w:t>
      </w:r>
      <w:proofErr w:type="spellStart"/>
      <w:r w:rsidRPr="004E0DE4">
        <w:rPr>
          <w:rFonts w:ascii="Times New Roman" w:eastAsia="SimSun" w:hAnsi="Times New Roman" w:cs="Times New Roman"/>
          <w:color w:val="0F1115"/>
          <w:kern w:val="0"/>
          <w:sz w:val="20"/>
          <w:szCs w:val="20"/>
        </w:rPr>
        <w:t>Ricoeur</w:t>
      </w:r>
      <w:proofErr w:type="spellEnd"/>
      <w:r w:rsidRPr="004E0DE4">
        <w:rPr>
          <w:rFonts w:ascii="Times New Roman" w:eastAsia="SimSun" w:hAnsi="Times New Roman" w:cs="Times New Roman"/>
          <w:color w:val="0F1115"/>
          <w:kern w:val="0"/>
          <w:sz w:val="20"/>
          <w:szCs w:val="20"/>
        </w:rPr>
        <w:t xml:space="preserve"> (1984) distinguishes chronology and configuration as key narrative modes</w:t>
      </w:r>
      <w:r>
        <w:rPr>
          <w:rFonts w:ascii="Times New Roman" w:eastAsia="SimSun" w:hAnsi="Times New Roman" w:cs="Times New Roman"/>
          <w:color w:val="0F1115"/>
          <w:kern w:val="0"/>
          <w:sz w:val="20"/>
          <w:szCs w:val="20"/>
        </w:rPr>
        <w:t xml:space="preserve"> of cohesion</w:t>
      </w:r>
      <w:r w:rsidRPr="004E0DE4">
        <w:rPr>
          <w:rFonts w:ascii="Times New Roman" w:eastAsia="SimSun" w:hAnsi="Times New Roman" w:cs="Times New Roman"/>
          <w:color w:val="0F1115"/>
          <w:kern w:val="0"/>
          <w:sz w:val="20"/>
          <w:szCs w:val="20"/>
        </w:rPr>
        <w:t xml:space="preserve">. Events gain meaning when sequenced, contextualized, and anchored by agents and motives (Polkinghorne, 1988). Temporality is central to narrative, especially in life stories and biographies. As </w:t>
      </w:r>
      <w:proofErr w:type="spellStart"/>
      <w:r w:rsidRPr="004E0DE4">
        <w:rPr>
          <w:rFonts w:ascii="Times New Roman" w:eastAsia="SimSun" w:hAnsi="Times New Roman" w:cs="Times New Roman"/>
          <w:color w:val="0F1115"/>
          <w:kern w:val="0"/>
          <w:sz w:val="20"/>
          <w:szCs w:val="20"/>
        </w:rPr>
        <w:t>Ricoeur</w:t>
      </w:r>
      <w:proofErr w:type="spellEnd"/>
      <w:r w:rsidRPr="004E0DE4">
        <w:rPr>
          <w:rFonts w:ascii="Times New Roman" w:eastAsia="SimSun" w:hAnsi="Times New Roman" w:cs="Times New Roman"/>
          <w:color w:val="0F1115"/>
          <w:kern w:val="0"/>
          <w:sz w:val="20"/>
          <w:szCs w:val="20"/>
        </w:rPr>
        <w:t xml:space="preserve"> (1984) stated:</w:t>
      </w:r>
    </w:p>
    <w:p w14:paraId="7B71FA97" w14:textId="77777777" w:rsidR="004E0DE4" w:rsidRPr="004E0DE4" w:rsidRDefault="004E0DE4" w:rsidP="004E0DE4">
      <w:pPr>
        <w:widowControl/>
        <w:spacing w:before="240" w:after="240"/>
        <w:ind w:leftChars="150" w:left="315" w:rightChars="150" w:right="315"/>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 xml:space="preserve">"Time becomes human time to the extent that it is </w:t>
      </w:r>
      <w:proofErr w:type="spellStart"/>
      <w:r w:rsidRPr="004E0DE4">
        <w:rPr>
          <w:rFonts w:ascii="Times New Roman" w:eastAsia="SimSun" w:hAnsi="Times New Roman" w:cs="Times New Roman"/>
          <w:color w:val="0F1115"/>
          <w:kern w:val="0"/>
          <w:sz w:val="20"/>
          <w:szCs w:val="20"/>
        </w:rPr>
        <w:t>organised</w:t>
      </w:r>
      <w:proofErr w:type="spellEnd"/>
      <w:r w:rsidRPr="004E0DE4">
        <w:rPr>
          <w:rFonts w:ascii="Times New Roman" w:eastAsia="SimSun" w:hAnsi="Times New Roman" w:cs="Times New Roman"/>
          <w:color w:val="0F1115"/>
          <w:kern w:val="0"/>
          <w:sz w:val="20"/>
          <w:szCs w:val="20"/>
        </w:rPr>
        <w:t xml:space="preserve"> after the manner of a narrative; narrative, in turn, is meaningful to the extent that it portrays the features of temporal experience."</w:t>
      </w:r>
    </w:p>
    <w:p w14:paraId="5EA764D2"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 xml:space="preserve">Temporal configuration transforms fragmented experience into coherent stories. As </w:t>
      </w:r>
      <w:proofErr w:type="spellStart"/>
      <w:r w:rsidRPr="004E0DE4">
        <w:rPr>
          <w:rFonts w:ascii="Times New Roman" w:eastAsia="SimSun" w:hAnsi="Times New Roman" w:cs="Times New Roman"/>
          <w:color w:val="0F1115"/>
          <w:kern w:val="0"/>
          <w:sz w:val="20"/>
          <w:szCs w:val="20"/>
        </w:rPr>
        <w:t>Labov</w:t>
      </w:r>
      <w:proofErr w:type="spellEnd"/>
      <w:r w:rsidRPr="004E0DE4">
        <w:rPr>
          <w:rFonts w:ascii="Times New Roman" w:eastAsia="SimSun" w:hAnsi="Times New Roman" w:cs="Times New Roman"/>
          <w:color w:val="0F1115"/>
          <w:kern w:val="0"/>
          <w:sz w:val="20"/>
          <w:szCs w:val="20"/>
        </w:rPr>
        <w:t xml:space="preserve"> (1972, pp. 359–360) puts it, temporal sequencing "is a method of recapitulating past experience by matching a verbal sequence of clauses to the sequence of events which actually occurred." Temporal cohesion is vital for meaning-making and has gained legitimacy in literary production, as Denzin (1989) affirmed: "The ordering of events in time, and the meanings attached to those events by the individual, give coherence and sense to the life story" (p. 73).</w:t>
      </w:r>
    </w:p>
    <w:p w14:paraId="56D3B0C4"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Temporality is the foundation of narrative cohesion, setting it apart from the atemporal coherence of scientific writing (</w:t>
      </w:r>
      <w:proofErr w:type="spellStart"/>
      <w:r w:rsidRPr="004E0DE4">
        <w:rPr>
          <w:rFonts w:ascii="Times New Roman" w:eastAsia="SimSun" w:hAnsi="Times New Roman" w:cs="Times New Roman"/>
          <w:color w:val="0F1115"/>
          <w:kern w:val="0"/>
          <w:sz w:val="20"/>
          <w:szCs w:val="20"/>
        </w:rPr>
        <w:t>Labov</w:t>
      </w:r>
      <w:proofErr w:type="spellEnd"/>
      <w:r w:rsidRPr="004E0DE4">
        <w:rPr>
          <w:rFonts w:ascii="Times New Roman" w:eastAsia="SimSun" w:hAnsi="Times New Roman" w:cs="Times New Roman"/>
          <w:color w:val="0F1115"/>
          <w:kern w:val="0"/>
          <w:sz w:val="20"/>
          <w:szCs w:val="20"/>
        </w:rPr>
        <w:t xml:space="preserve">, 1972; Genette, 1980; </w:t>
      </w:r>
      <w:proofErr w:type="spellStart"/>
      <w:r w:rsidRPr="004E0DE4">
        <w:rPr>
          <w:rFonts w:ascii="Times New Roman" w:eastAsia="SimSun" w:hAnsi="Times New Roman" w:cs="Times New Roman"/>
          <w:color w:val="0F1115"/>
          <w:kern w:val="0"/>
          <w:sz w:val="20"/>
          <w:szCs w:val="20"/>
        </w:rPr>
        <w:t>Ricoeur</w:t>
      </w:r>
      <w:proofErr w:type="spellEnd"/>
      <w:r w:rsidRPr="004E0DE4">
        <w:rPr>
          <w:rFonts w:ascii="Times New Roman" w:eastAsia="SimSun" w:hAnsi="Times New Roman" w:cs="Times New Roman"/>
          <w:color w:val="0F1115"/>
          <w:kern w:val="0"/>
          <w:sz w:val="20"/>
          <w:szCs w:val="20"/>
        </w:rPr>
        <w:t>, 1984). Its power comes from sequencing fragmented experiences into unified trajectories (Bourdieu, 1986/2017; Brannen, 2019). Narrative cohesion relies on before-and-after progression and cause-effect dynamics, while scientific discourse seeks decontextualized, logical relationships (Zhao &amp; Li, 2026). Temporal structures allow readers to recognize continuity and derive meaning from events. Narrative cohesion is fundamentally about temporal coherence; its rationality is often shaped by the narrator's interpretation and confirmation (Polkinghorne, 1988; Denzin, 1989; Bruner, 1991). Recent scholarship asserts that narrative structure in literary contexts functions as a basic cognitive mode that unifies experiences and facilitates the formation of intelligible knowledge and rationality (e.g., Strawson, 2004; Gallagher &amp; Hutto, 2008</w:t>
      </w:r>
      <w:r w:rsidR="00570397">
        <w:rPr>
          <w:rFonts w:ascii="Times New Roman" w:eastAsia="SimSun" w:hAnsi="Times New Roman" w:cs="Times New Roman"/>
          <w:color w:val="0F1115"/>
          <w:kern w:val="0"/>
          <w:sz w:val="20"/>
          <w:szCs w:val="20"/>
        </w:rPr>
        <w:t>; Zhao, 2023</w:t>
      </w:r>
      <w:r w:rsidRPr="004E0DE4">
        <w:rPr>
          <w:rFonts w:ascii="Times New Roman" w:eastAsia="SimSun" w:hAnsi="Times New Roman" w:cs="Times New Roman"/>
          <w:color w:val="0F1115"/>
          <w:kern w:val="0"/>
          <w:sz w:val="20"/>
          <w:szCs w:val="20"/>
        </w:rPr>
        <w:t>).</w:t>
      </w:r>
    </w:p>
    <w:p w14:paraId="12313F4D"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The inherent temporal rationality of narrative traditions endows narrative with distinctive evidentiary and explanatory power in human and social scientific inquiry. As Strawson (2004, p. 433) said:</w:t>
      </w:r>
    </w:p>
    <w:p w14:paraId="06561643" w14:textId="77777777" w:rsidR="00570397" w:rsidRPr="00570397" w:rsidRDefault="00570397" w:rsidP="00570397">
      <w:pPr>
        <w:widowControl/>
        <w:spacing w:before="240" w:after="240"/>
        <w:ind w:leftChars="150" w:left="315" w:rightChars="150" w:right="315"/>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"It is true that narrative is often taken to have a special explanatory power when it comes to making sense of human actions and experiences, largely because of its temporal structure."</w:t>
      </w:r>
    </w:p>
    <w:p w14:paraId="2FA0BF0A"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 xml:space="preserve">The established context-situated epistemic value of temporality further explains its unparalleled utility for human-science inquiry. Core research phenomena—including identity formation, chronic illness, migration, trauma, experiential learning, and social transformation—resist universal generalization through static, synchronic descriptions alone (Mallon &amp; Elliott, 2019). The application of narrative specificity to scientific research has thus crossed the paradigmatic boundary between narrative and science. This specificity includes the adoption of narrative as temporally embedded data and narrating </w:t>
      </w:r>
      <w:r w:rsidRPr="00570397">
        <w:rPr>
          <w:rFonts w:ascii="Times New Roman" w:eastAsia="SimSun" w:hAnsi="Times New Roman" w:cs="Times New Roman"/>
          <w:color w:val="0F1115"/>
          <w:kern w:val="0"/>
          <w:sz w:val="20"/>
          <w:szCs w:val="20"/>
        </w:rPr>
        <w:lastRenderedPageBreak/>
        <w:t>as a method for generating such data (Zhao, 2023). Thus, scientific discourse has incorporated narrative features such as case accounts and problem-solution frameworks (Padian, 2018).</w:t>
      </w:r>
    </w:p>
    <w:p w14:paraId="44CDAD09"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The key difference is the cohesive mechanisms each discourse prioritizes. Scientific writing seeks general explanation and inference, while narrative writing focuses on temporal organization and contextual meaning (</w:t>
      </w:r>
      <w:proofErr w:type="spellStart"/>
      <w:r w:rsidRPr="00570397">
        <w:rPr>
          <w:rFonts w:ascii="Times New Roman" w:eastAsia="SimSun" w:hAnsi="Times New Roman" w:cs="Times New Roman"/>
          <w:color w:val="0F1115"/>
          <w:kern w:val="0"/>
          <w:sz w:val="20"/>
          <w:szCs w:val="20"/>
        </w:rPr>
        <w:t>Ricoeur</w:t>
      </w:r>
      <w:proofErr w:type="spellEnd"/>
      <w:r w:rsidRPr="00570397">
        <w:rPr>
          <w:rFonts w:ascii="Times New Roman" w:eastAsia="SimSun" w:hAnsi="Times New Roman" w:cs="Times New Roman"/>
          <w:color w:val="0F1115"/>
          <w:kern w:val="0"/>
          <w:sz w:val="20"/>
          <w:szCs w:val="20"/>
        </w:rPr>
        <w:t xml:space="preserve">, 1984; </w:t>
      </w:r>
      <w:proofErr w:type="spellStart"/>
      <w:r w:rsidRPr="00570397">
        <w:rPr>
          <w:rFonts w:ascii="Times New Roman" w:eastAsia="SimSun" w:hAnsi="Times New Roman" w:cs="Times New Roman"/>
          <w:color w:val="0F1115"/>
          <w:kern w:val="0"/>
          <w:sz w:val="20"/>
          <w:szCs w:val="20"/>
        </w:rPr>
        <w:t>Riessman</w:t>
      </w:r>
      <w:proofErr w:type="spellEnd"/>
      <w:r w:rsidRPr="00570397">
        <w:rPr>
          <w:rFonts w:ascii="Times New Roman" w:eastAsia="SimSun" w:hAnsi="Times New Roman" w:cs="Times New Roman"/>
          <w:color w:val="0F1115"/>
          <w:kern w:val="0"/>
          <w:sz w:val="20"/>
          <w:szCs w:val="20"/>
        </w:rPr>
        <w:t>, 2008; Zhao &amp; Li, 2026). Narrative's unique contextual value explains its utility in the human sciences. Complex phenomena—such as identity, illness, migration, trauma, and social change—are best understood through narrative rather than static description (Clandinin &amp; Connelly, 2000). These dynamic phenomena depend on narrative's process-oriented approach and temporal sequencing, which capture meanings shaped by time, memory, and interpretation (</w:t>
      </w:r>
      <w:proofErr w:type="spellStart"/>
      <w:r w:rsidRPr="00570397">
        <w:rPr>
          <w:rFonts w:ascii="Times New Roman" w:eastAsia="SimSun" w:hAnsi="Times New Roman" w:cs="Times New Roman"/>
          <w:color w:val="0F1115"/>
          <w:kern w:val="0"/>
          <w:sz w:val="20"/>
          <w:szCs w:val="20"/>
        </w:rPr>
        <w:t>Clandinin</w:t>
      </w:r>
      <w:proofErr w:type="spellEnd"/>
      <w:r w:rsidRPr="00570397">
        <w:rPr>
          <w:rFonts w:ascii="Times New Roman" w:eastAsia="SimSun" w:hAnsi="Times New Roman" w:cs="Times New Roman"/>
          <w:color w:val="0F1115"/>
          <w:kern w:val="0"/>
          <w:sz w:val="20"/>
          <w:szCs w:val="20"/>
        </w:rPr>
        <w:t>, 2013; Gusman, 2024). Narrative methods such as biographical and life-history narrative are well-suited for exploring these evolving processes (Denzin, 1989; Riessman, 2008; Zhao, 2023).</w:t>
      </w:r>
    </w:p>
    <w:p w14:paraId="21741A46"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Such narrative-driven methods have evolved to gather accounts that are contextual and temporal rather than the timeless validity sought by positivist scientific paradigms (Bruner, 1991; Riessman, 2008). Other narrative-based methods like narrative analysis and case study highlight process and temporal context, supplementing scientific research with interpretive insights and human reasoning (Denzin, 1989; Polkinghorne, 1995; Riessman, 2008; Zhao, 2023). Narrative methods contrast with scientific abstraction, which removes context and temporality from evidence. Narrative interaction generates insight by tracing event sequences and illustrating how meaning emerges and is confirmed through time and experiential discernment (Denzin, 1989; Polkinghorne, 1988; Bourdieu, 1986/2017).</w:t>
      </w:r>
    </w:p>
    <w:p w14:paraId="7E20A766"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However, temporally dependent interpretation and configuration make narrative methods vulnerable to critics, especially in positivist-dominant institutions and disciplines; critics argue that temporality imposes a linear order that can oversimplify complex, fragmented experiences (Ghanbar et al., 2026). Bourdieu (1986/2017, p. 213) challenged the temporal sequencing inherent in biographical and life-history methods, arguing that treating a life as "a unique and self-sufficient series of successive events" risks abstracting individual experience from the objective social structures that condition it. As he puts it, such an approach "is nearly as absurd as trying to make sense out of a subway route without taking into account the network structure, that is the matrix of objective relations between different stations" (Bourdieu, 1986/2017, p. 213).</w:t>
      </w:r>
    </w:p>
    <w:p w14:paraId="45C2E832"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While Bourdieu's well-documented critique raises valid methodological concerns about deploying narrative techniques as methods within social-science research—namely that such research demands more nuanced evidence than neatly organized events or coherent story trajectories—it does not negate the epistemic legitimacy of narrative cohesion and narrative accounts widely represented within scholarly literature (Brannen, 2019). Instead, it draws attention to the inherently interpretive and selective character of case-based narrative coherence and sequenced event accounts (Bourdieu, 1986/2017). Riessman (2008, p. 57) likewise pointed out:</w:t>
      </w:r>
    </w:p>
    <w:p w14:paraId="61528E9E" w14:textId="77777777" w:rsidR="00570397" w:rsidRPr="00570397" w:rsidRDefault="00570397" w:rsidP="00570397">
      <w:pPr>
        <w:widowControl/>
        <w:spacing w:before="240" w:after="240"/>
        <w:ind w:leftChars="150" w:left="315" w:rightChars="150" w:right="315"/>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"Narrative research always involves selection and omission, as the researcher decides what to include, exclude, and how to order events in light of research questions. Such choices necessarily reflect subjectivities that are often highlighted by critics."</w:t>
      </w:r>
    </w:p>
    <w:p w14:paraId="3736360A"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lastRenderedPageBreak/>
        <w:t>Subjectivity of meaning and truth confirmation cannot be dispensed with</w:t>
      </w:r>
      <w:r>
        <w:rPr>
          <w:rFonts w:ascii="Times New Roman" w:eastAsia="SimSun" w:hAnsi="Times New Roman" w:cs="Times New Roman"/>
          <w:color w:val="0F1115"/>
          <w:kern w:val="0"/>
          <w:sz w:val="20"/>
          <w:szCs w:val="20"/>
        </w:rPr>
        <w:t xml:space="preserve"> </w:t>
      </w:r>
      <w:r w:rsidRPr="00570397">
        <w:rPr>
          <w:rFonts w:ascii="Times New Roman" w:eastAsia="SimSun" w:hAnsi="Times New Roman" w:cs="Times New Roman"/>
          <w:color w:val="0F1115"/>
          <w:kern w:val="0"/>
          <w:sz w:val="20"/>
          <w:szCs w:val="20"/>
        </w:rPr>
        <w:t>in narrative inquiry. Accordingly, rigorous narrative research does not seek to eliminate such structural and interpretive selectivity, but to render its temporal framing transparent, reflexive, and justifiable, taking advantage of the subjective knowing and reasoning of the researcher and subjects (Polkinghorne, 1988; Clandinin, 2013; Ghanbar et al., 2026). Unlike decontextualized, ahistorical scientific description, narrative inquiry organizes discrete events within linear and contextual frameworks, interconnecting past, present, and future occurrences into coherent, meaning-laden sequences or stories to reach scholarly claims.</w:t>
      </w:r>
    </w:p>
    <w:p w14:paraId="35C3F407" w14:textId="77777777" w:rsidR="00570397" w:rsidRPr="00570397" w:rsidRDefault="001F747F" w:rsidP="00570397">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This distinctive temporal organization linking textual cohesion and meaning-making originated in narrative paradigms underpins narrative inquiry along two dimensions (Polkinghorne, 1995; Strawson, 2004; Zhao, 2023; Freitas, 2025; Ghanbar et al., 2026). First, it reorganizes discrete personal experiences into coherent, identifiable textual forms including life histories and personal narratives. These materials serve as empirical evidence to validate interpretations and support higher-order arguments in research. Rather than cataloguing unconnected episodes, an academic life history selectively organizes experiential data to foreground pivotal occurrences, situate individual transformations, and produce interpretive meaning. Second, raw experiential accounts and subject-generated causal meanings produce multi-layered narrative interpretations. They equip researchers with analytical tools to achieve nuanced understanding, affective engagement, and epistemic depth that integrates both social and individual viewpoints. Such analytical outcomes remain inaccessible through static, single-perspective accounts (Bruner, 1986, 1991; Polkinghorne, 1988; Clandinin &amp; Connelly, 2000; Brannen, 2019). Owing to their textual cohesive function and recognized epistemic merits, narrative approaches have gained growing acceptance within scholarly scientific work (Strawson, 2004).</w:t>
      </w:r>
    </w:p>
    <w:p w14:paraId="39757494" w14:textId="77777777" w:rsidR="001F747F" w:rsidRPr="001F747F" w:rsidRDefault="001F747F" w:rsidP="001F747F">
      <w:pPr>
        <w:widowControl/>
        <w:spacing w:before="480" w:after="240"/>
        <w:jc w:val="left"/>
        <w:outlineLvl w:val="2"/>
        <w:rPr>
          <w:rFonts w:ascii="Times New Roman" w:eastAsia="SimSun" w:hAnsi="Times New Roman" w:cs="Times New Roman"/>
          <w:b/>
          <w:bCs/>
          <w:i/>
          <w:iCs/>
          <w:color w:val="0F1115"/>
          <w:kern w:val="0"/>
          <w:sz w:val="22"/>
          <w:szCs w:val="22"/>
        </w:rPr>
      </w:pPr>
      <w:r w:rsidRPr="001F747F">
        <w:rPr>
          <w:rFonts w:ascii="Times New Roman" w:eastAsia="SimSun" w:hAnsi="Times New Roman" w:cs="Times New Roman"/>
          <w:b/>
          <w:bCs/>
          <w:i/>
          <w:iCs/>
          <w:color w:val="0F1115"/>
          <w:kern w:val="0"/>
          <w:sz w:val="22"/>
          <w:szCs w:val="22"/>
        </w:rPr>
        <w:t>2.2 Scientific Cohesion</w:t>
      </w:r>
    </w:p>
    <w:p w14:paraId="6A0628E8" w14:textId="77777777" w:rsidR="001F747F" w:rsidRPr="001F747F" w:rsidRDefault="001F747F" w:rsidP="001F747F">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In stark contrast, scientific cohesion operates independently of temporal narrative architecture. Scientific discourse reorganizes empirical experience and evidence within a standardized analytical framework built around research problems, hypotheses, methodological designs, empirical findings, and argumentative discussions for scholarly claims (Swales, 1990; Zhao &amp; Li, 2026). This cohesion mechanism, independent of temporal organization, is widely implemented in scientific discourse. For instance, academic articles achieve cohesion through argumentation structure that advances knowledge through logical reasoning (Bruner, 1991). Unlike story-driven narrative texts, the parts of scientific discourse serve a cohesive function differently—introduction, literature review, methods, results, and discussion rely on logical organization in the relationship between claim and evidence, not just temporality; logical reasoning is a valid mechanism for scientific discourse coherence (van Dijk, 1994; Li &amp; Zhao, 2026).</w:t>
      </w:r>
    </w:p>
    <w:p w14:paraId="095C2FA4" w14:textId="77777777" w:rsidR="001F747F" w:rsidRPr="001F747F" w:rsidRDefault="001F747F" w:rsidP="001F747F">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Within this nontemporal architecture, scientific discourse prioritizes systematic inferential progression over chronological story-driven development, guiding readers through a rigorous chain of logical reasoning between evidence and argument. This is embodied in the discourse structure of research questions, analytical methods, empirical evidence, and well-grounded conclusions, which constitutes a scientific rationality within the positivist paradigm. Ultimately, cohesion in scientific writing is sustained through valid claim-evidence alignment, rather than temporal-plot unfolding (Wells, 2011; Li &amp; Zhao, 2026).</w:t>
      </w:r>
    </w:p>
    <w:p w14:paraId="309C5483" w14:textId="77777777" w:rsidR="001F747F" w:rsidRPr="001F747F" w:rsidRDefault="001F747F" w:rsidP="001F747F">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lastRenderedPageBreak/>
        <w:t>Scientific discourse emerged as a distinct paradigmatic genre partly designed to distance empirical inquiry from the temporal and interpretative configuration that had defined the narrative paradigm (Padian, 2018). While narrative cohesion relies on the progressive ordering of events, scientific cohesion is fundamentally established through cumulative chains of logical argumentation grounded in discrete pieces of empirical evidence (Ochs &amp; Capps, 2001). Deductive-inductive logics, together with comparative and inferential analytical approaches, constitute the core cohesive framework of scientific discourse. As Zhao and Li (2026, p. 41) observed:</w:t>
      </w:r>
    </w:p>
    <w:p w14:paraId="7862E653" w14:textId="77777777" w:rsidR="001F747F" w:rsidRPr="001F747F" w:rsidRDefault="001F747F" w:rsidP="001F747F">
      <w:pPr>
        <w:widowControl/>
        <w:spacing w:before="240" w:after="240"/>
        <w:ind w:leftChars="150" w:left="315" w:rightChars="150" w:right="315"/>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 xml:space="preserve">"Deductive-inductive reasoning cycles, paired with comparative examination and inferential analytical procedures, form the foundational cohesive architecture that underpins the rational </w:t>
      </w:r>
      <w:proofErr w:type="spellStart"/>
      <w:r w:rsidRPr="001F747F">
        <w:rPr>
          <w:rFonts w:ascii="Times New Roman" w:eastAsia="SimSun" w:hAnsi="Times New Roman" w:cs="Times New Roman"/>
          <w:color w:val="0F1115"/>
          <w:kern w:val="0"/>
          <w:sz w:val="20"/>
          <w:szCs w:val="20"/>
        </w:rPr>
        <w:t>organisation</w:t>
      </w:r>
      <w:proofErr w:type="spellEnd"/>
      <w:r w:rsidRPr="001F747F">
        <w:rPr>
          <w:rFonts w:ascii="Times New Roman" w:eastAsia="SimSun" w:hAnsi="Times New Roman" w:cs="Times New Roman"/>
          <w:color w:val="0F1115"/>
          <w:kern w:val="0"/>
          <w:sz w:val="20"/>
          <w:szCs w:val="20"/>
        </w:rPr>
        <w:t xml:space="preserve"> of scientific discourse."</w:t>
      </w:r>
    </w:p>
    <w:p w14:paraId="052AFBF6" w14:textId="77777777" w:rsidR="001F747F" w:rsidRPr="001F747F" w:rsidRDefault="001F747F" w:rsidP="001F747F">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For scientific cohesion, the central inferential concern moves beyond the narrative-driven temporal preoccupation with "what happened next" toward empirical validation: identifying which conclusions are substantiated by existing evidence and articulating the logical rationale for such inferential judgements (Abell, 2004; Wells, 2011; Li &amp; Zhao, 2026).</w:t>
      </w:r>
    </w:p>
    <w:p w14:paraId="5D10BEF1" w14:textId="77777777" w:rsidR="004E0DE4" w:rsidRDefault="001F747F" w:rsidP="00092C7A">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This reasoning-centered cohesive mechanism is concretely instantiated in the conventional template of academic research articles. Scientific manuscripts typically follow a purpose-driven organizational trajectory: opening with a clearly defined research problem or core inquiry question, situating the study through a critical literature review, detailing rigorous methodological procedures and empirical data collection, and concluding with analytical reasoning together with theoretical or practical implications as core claims (Zhao &amp; Li, 2026). This discourse organization is neither arbitrary nor merely conventional; it is deliberately constructed to mirror the systematic logic of argumentation (Li &amp; Zhao, 2026). Each section of a scientific article fulfills a targeted cohesive function, collectively advancing a linear argumentative progression that culminates in defensible, evidence-based knowledge claims (Bruner, 1991; Zhao &amp; Li, 2026). Positivist scientific discourse has strictly focused on evidence relevance and referential consistency and justification—distinct from the diachronic progression and meaning-making that biographical or life history methods emphasize (Brannen, 2019). These distinct scientific cohesive mechanisms serve the core epistemic mission of positivist paradigms: producing portable, generalizable, and publicly defensible knowledge claims and argument</w:t>
      </w:r>
      <w:r>
        <w:rPr>
          <w:rFonts w:ascii="Segoe UI" w:hAnsi="Segoe UI" w:cs="Segoe UI"/>
          <w:color w:val="0F1115"/>
          <w:shd w:val="clear" w:color="auto" w:fill="FFFFFF"/>
        </w:rPr>
        <w:t xml:space="preserve">s </w:t>
      </w:r>
      <w:r w:rsidRPr="001F747F">
        <w:rPr>
          <w:rFonts w:ascii="Times New Roman" w:eastAsia="SimSun" w:hAnsi="Times New Roman" w:cs="Times New Roman"/>
          <w:color w:val="0F1115"/>
          <w:kern w:val="0"/>
          <w:sz w:val="20"/>
          <w:szCs w:val="20"/>
        </w:rPr>
        <w:t>(Lincoln &amp; Guba, 1985).</w:t>
      </w:r>
    </w:p>
    <w:p w14:paraId="667A14B1" w14:textId="77777777" w:rsidR="001F747F" w:rsidRDefault="001F747F" w:rsidP="00092C7A">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Narrative cohesion relies on readers' capacity to follow and interpret temporally ordered experiential themes, whereas scientific cohesion demands critical evaluation of inferential rigor and logical validity (Wells, 2011). Correspondingly, scientific writing cultivates a different mode of cohesion for reader reception. Instead of prioritizing affective and interpretative immersion or original engagement, it pursues rational persuasion built upon transparent, well-structured argumentation and textual unity (van Dijk, 1994; Li &amp; Zhao, 2026). Even so, scientific discourse cohesion cannot fully escape preestablished narrative influences, and subtle but persistent narrative undercurrents still noticeably shape formal academic writing. Scholarly articles often unfold around an implicit storyline of problem identification, contextual obstacles, and analytical resolution (Padian, 2018).</w:t>
      </w:r>
    </w:p>
    <w:p w14:paraId="7478AEC7" w14:textId="77777777" w:rsidR="001F747F" w:rsidRDefault="001F747F" w:rsidP="00092C7A">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 xml:space="preserve">In scientific discourse, researchers map out unaddressed research gaps, deploy tailored methodologies as targeted solutions, and present empirical findings as responses to pre-contemplated research questions. Viewed in this light, scientific discourse does not eliminate narrative structure altogether, but refashions </w:t>
      </w:r>
      <w:r w:rsidRPr="001F747F">
        <w:rPr>
          <w:rFonts w:ascii="Times New Roman" w:eastAsia="SimSun" w:hAnsi="Times New Roman" w:cs="Times New Roman"/>
          <w:color w:val="0F1115"/>
          <w:kern w:val="0"/>
          <w:sz w:val="20"/>
          <w:szCs w:val="20"/>
        </w:rPr>
        <w:lastRenderedPageBreak/>
        <w:t>it within generic boundaries governed by strict methodological standards, procedural stability, and evidentiary accountability with consistency (Polkinghorne, 1995; Zhao &amp; Li, 2025). That said, temporal configuration does not constitute the basis for the scientific structural cohesion of written texts, nor should it serve as a source of bias against narrative methods within scientific discourse. After all, narrative inquiry does not entail wholesale replication of the narrative paradigm; rather, narrative particularity has evolved and been adopted into scientific production as narrative methods.</w:t>
      </w:r>
    </w:p>
    <w:p w14:paraId="54D5F862" w14:textId="77777777" w:rsidR="004B4236" w:rsidRDefault="004B4236" w:rsidP="00092C7A">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Thus far, this analysis has illuminated the paradigmatic divide from the perspective of discourse cohesion, which establishes distinct logics of coherence and separate validation criteria for narrative and scientific discourse. Temporal narrative and logico-scientific modes coexist within scholarly outputs. Still, these divergences in paradigmatic cohesive rationality and underlying epistemologies ought not to fuel scholarly doubt regarding the scientific legitimacy of narrative inquiry (Lincoln &amp; Guba, 1985; Zhao, 2023). Rather than casting narrative inquiry as a defective or peripheral scholarly form defined by subjective interpretation and temporal ordering within the scientific paradigm, researchers must recognize that narrative inquiry is not synonymous with the broader narrative paradigm. It is therefore vital to investigate how narrative particulars and techniques have evolved and been reintegrated into scientific research as legitimate, standalone epistemic tools capable of producing valid, interpretive knowledge (Clandinin &amp; Connelly, 2000; Zhao &amp; Poulson, 2006; Zhao, 2023).</w:t>
      </w:r>
    </w:p>
    <w:p w14:paraId="2FA6BD9D" w14:textId="77777777" w:rsidR="004B4236" w:rsidRDefault="004B4236" w:rsidP="00092C7A">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Further examination is required to unpack why narrative-specific features—including temporality and interpretive strategies adopted in narrative inquiry—should neither serve as targets of critique nor form the basis of institutional hierarchies that marginalize narrative-based methods. As Dahlstrom (2014) observes, journal review standards and disciplinary conventions frequently frame narrative particularities as merely illustrative rather than epistemically authoritative. Acknowledging this historically rooted discursive disparity and hierarchy offers a fundamental reframing of long-running methodological debates over narrative inquiry and points toward a resolution of such hierarchical tensions.</w:t>
      </w:r>
    </w:p>
    <w:p w14:paraId="2AC50D19" w14:textId="77777777" w:rsidR="004B4236" w:rsidRPr="004B4236" w:rsidRDefault="004B4236" w:rsidP="004B4236">
      <w:pPr>
        <w:widowControl/>
        <w:spacing w:before="240" w:after="240"/>
        <w:rPr>
          <w:rFonts w:ascii="Times New Roman" w:eastAsia="SimSun" w:hAnsi="Times New Roman" w:cs="Times New Roman"/>
          <w:b/>
          <w:bCs/>
          <w:color w:val="0F1115"/>
          <w:kern w:val="0"/>
          <w:sz w:val="24"/>
        </w:rPr>
      </w:pPr>
      <w:r w:rsidRPr="004B4236">
        <w:rPr>
          <w:rFonts w:ascii="Times New Roman" w:eastAsia="SimSun" w:hAnsi="Times New Roman" w:cs="Times New Roman"/>
          <w:b/>
          <w:bCs/>
          <w:color w:val="0F1115"/>
          <w:kern w:val="0"/>
          <w:sz w:val="24"/>
        </w:rPr>
        <w:t>3. The Epistemic and Institutional Implications</w:t>
      </w:r>
    </w:p>
    <w:p w14:paraId="6494427C"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The historical formation of scientific traditions did not involve wholesale rejection of temporal narrative. Instead, it entailed the strategic adoption of narrative techniques and particulars capable of functioning as generative instruments and methods for chronological data. These possess both temporal and interpretive features that complement evidence variables and the interpretative capacity for deriving and verifying truth toward empirical epistemology. Thus, narrative inquiry has departed from the traditional narrative paradigm in which plotted temporality shapes literary outputs such as novels. Instead, it repurposes the specific affordances of narrative as research methods and instruments—including widely deployed narrative interviews, specifically biographical-narrative interviews, and life-history approaches—which serve instrumental functions to yield temporally structured data paired with interpretive accounts (Clandinin &amp; Connelly, 2000; Riessman, 2008; Mertova &amp; Webster, 2019).</w:t>
      </w:r>
    </w:p>
    <w:p w14:paraId="26C7770D"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 xml:space="preserve">The central point is that narrative inquiry ought not to be discounted or dismissed merely on account of the narrative heritage embedded within its methods and data, including inherent features such as temporal structures and interpretive configuration, as scientific discourse itself already incorporates narrative tools and techniques—for instance, participant stories, case timelines, and experiential accounts—to generate descriptive, evidence-based materials that underpin interpretation, meaning-making, and inferential reasoning (Greenhalgh &amp; Wieringa, 2011). When narrative methods and data serve empirical </w:t>
      </w:r>
      <w:r w:rsidRPr="004B4236">
        <w:rPr>
          <w:rFonts w:ascii="Times New Roman" w:eastAsia="SimSun" w:hAnsi="Times New Roman" w:cs="Times New Roman"/>
          <w:color w:val="0F1115"/>
          <w:kern w:val="0"/>
          <w:sz w:val="20"/>
          <w:szCs w:val="20"/>
        </w:rPr>
        <w:lastRenderedPageBreak/>
        <w:t>functions—for example, when case-based material is included as evidential illustration—they play the role of evidence and factual support for meaning and truth arguments within the broader inferential framework. Narrative interviewing exemplifies this development as a well-established research instrument; temporally organized biographical-narrative interviews, in particular, generate analytically valuable life-story data with clear empirical significance (Strawson, 2004; Zhao &amp; Poulson, 2006; Gusman, 2024; Brannen, 2019).</w:t>
      </w:r>
    </w:p>
    <w:p w14:paraId="4D2EE5B2"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Zhao (2023, p. 136) characterizes narrative-based "story" as an epistemologically unique narrative method:</w:t>
      </w:r>
    </w:p>
    <w:p w14:paraId="1B2EAB71" w14:textId="77777777" w:rsidR="004B4236" w:rsidRPr="004B4236" w:rsidRDefault="004B4236" w:rsidP="004B4236">
      <w:pPr>
        <w:widowControl/>
        <w:spacing w:before="240" w:after="240"/>
        <w:ind w:leftChars="150" w:left="315" w:rightChars="150" w:right="315"/>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"The story is a data collection instrument as well as an analysis tool, and thus the most important qualitative research device to hold the integrity of the result or reveal the complexity of matters, not available in other forms."</w:t>
      </w:r>
    </w:p>
    <w:p w14:paraId="6873D65B"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Within modern scientific research, narrative methods such as storytelling—and the narrative data they produce—serve a distinct epistemological function. Whereas the authority of positivist rationality is grounded in generalizability and procedural objectivity, the merit of narrative inquiry stems from its unique temporal capacity: the ability to organize experience diachronically into meaningful, context-embedded accounts and evidence (Mallon &amp; Elliott, 2019; Zhao, 2023; Freitas, 2025).</w:t>
      </w:r>
    </w:p>
    <w:p w14:paraId="3EF345C3"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This hierarchical frame in science—where scientific discourse prioritizes context-free, generalizable logical and evidential standards while reducing narrative methods and data to mere supporting exemplars rather than primary knowledge grounds—lacks robust epistemic justification. After all, narrative specificity delivers contextualized empirical data that can itself serve as valid evidentiary grounding for knowledge claims, without contradicting the role of logical coherence and evidential reasoning as core evaluative benchmarks in scholarly knowledge production.</w:t>
      </w:r>
    </w:p>
    <w:p w14:paraId="15C8287A"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The recognition that positivist research does not inherently stand above narrative inquiry should not, however, deny the methodological shortcomings that can occur in the operation of narrative methods. One of the great critics of narrative methods, Bourdieu (1986/2017, p. 213), has filed the well-known criticism of biographical narrative methods as "rigid" and a "biographical illusion." By framing experiences within conventional temporal arcs of life trajectory, narrative methods risk oversimplifying the inherent complexity of social and personal phenomena. As Bourdieu (1986/2017, p. 213) contended:</w:t>
      </w:r>
    </w:p>
    <w:p w14:paraId="3AC5939B" w14:textId="77777777" w:rsidR="004B4236" w:rsidRDefault="004B4236" w:rsidP="004B4236">
      <w:pPr>
        <w:widowControl/>
        <w:spacing w:before="240" w:after="240"/>
        <w:ind w:leftChars="150" w:left="315" w:rightChars="150" w:right="315"/>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"Since what it designates is only a composite and disparate rhapsody of biological and social properties undergoing constant flux, all descriptions are valid only within the limits of a specific stage or place. In other words, it can only attest to the identity of the personality, as socially constituted individuality, at the price of an enormous abstraction."</w:t>
      </w:r>
    </w:p>
    <w:p w14:paraId="48BC7F7E" w14:textId="77777777" w:rsid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 xml:space="preserve">Scholarly contestations over the scientific legitimacy of narrative research originate fundamentally from enduring paradigmatic tensions between positivist and interpretivist epistemologies, rather than inherent methodological flaws within narrative inquiry itself (Lincoln &amp; Guba, 1985). Rooted in natural science traditions, the positivist framework circumscribes valid scientific knowledge within narrow boundaries of objectivity, quantifiability, and cross-contextual replicability, prioritizing empirical outcomes that minimize human subjectivity and maximize procedural standardization (Wells, 2011; Ghanbar et al., 2026). Within this paradigm, scientific rigor is exclusively evaluated via unified procedural protocols </w:t>
      </w:r>
      <w:r w:rsidRPr="004B4236">
        <w:rPr>
          <w:rFonts w:ascii="Times New Roman" w:eastAsia="SimSun" w:hAnsi="Times New Roman" w:cs="Times New Roman"/>
          <w:color w:val="0F1115"/>
          <w:kern w:val="0"/>
          <w:sz w:val="20"/>
          <w:szCs w:val="20"/>
        </w:rPr>
        <w:lastRenderedPageBreak/>
        <w:t>and standardized reporting norms designed to constrain observer bias and uphold empirical neutrality (Atkinson, 1997). Aligned with these positivist tenets, conventional scientific discourse adopts a rigid, logic-driven structural template—encompassing problem formulation, literature review, method specification, result presentation, and thematic discussion—to sustain linear, decontextualized logical progression and secure perceived scientific objectivity (Denzin, 1989). This singular evaluative standard has long served as the dominant benchmark for judging the scientific validity of all social scientific research, creating systemic bias against paradigmatically distinct inquiry modes.</w:t>
      </w:r>
    </w:p>
    <w:p w14:paraId="0273EAFB" w14:textId="77777777" w:rsid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In contrast, narrative research centers contextual specificity, temporal interpretive meaning-making, and participants' narration of lived experiential realities (Riessman, 2008). It offers unique analytical value for exploring complex human phenomena such as identity formation, chronic illness, migration, trauma, experiential learning, and everyday social practice—domains where meaning is inherently embedded in temporal processes and individual subjective perspectives (Clandinin, 2013; Mallon &amp; Elliott, 2019). Rather than isolating and extracting decontextualized factual variables, narrative methodology reconstructs fragmented lived experiences into coherent, temporally ordered sequences (Polkinghorne, 1995). This core characteristic fuels persistent scholarly skepticism, with critics dismissing narrative research as inconsistent and overly subjective. Conversely, narrative scholars frame these interpretive, context-sensitive features not as methodological flaws, but as necessary epistemological adaptations, given that human experience cannot be reduced to static, discrete empirical units (Lincoln &amp; Guba, 1985; Riessman, 2008).</w:t>
      </w:r>
    </w:p>
    <w:p w14:paraId="340A495F" w14:textId="77777777" w:rsid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Critiques targeting narrative research converge around three recurrent methodological concerns. First, narrative inquiry is accused of lacking standardized procedural protocols, compromising uniformity and comparability (Atkinson, 1997). Second, its heavy reliance on interpretive judgment renders it incompatible with conventional quantitative verification mechanisms, undermining its perceived empirical validity (Bourdieu, 1986/2017; Wells, 2011). Third, scholars challenge its tendency to reframe raw lived experience into aesthetically structured narratives, blurring the conventional academic boundary between factual evidence and fictional construction (Strawson, 2004; Brannen, 2019). Collectively, these objections stem from an unexamined foundational assumption: that legitimate scholarly knowledge must adhere exclusively to the natural scientific reasoning paradigm (Padian, 2018). Such criticism overlooks the unique research questions and experiential phenomena that narrative methods are uniquely positioned to investigate (Denzin, 1989; Bruner, 1991; Riessman, 2008).</w:t>
      </w:r>
    </w:p>
    <w:p w14:paraId="09AD7F1C"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Against this institutional hierarchy and paradigmatic bias, a more rigorous and productive evaluation framework emerges from analyzing the distinct cohesion mechanisms of narrative and scientific discourse (Zhao, 2023). As established in preceding sections, the two genres generate textual coherence through divergent yet equally valid structural logics, dismantling the rigid binary between scientific rigor and narrative subjectivity (van Dijk, 1994). As illuminated by this analysis, narrative research appears methodologically deficient only when evaluated against positivist, argumentation-centric criteria ill-suited to its epistemic goals. When assessed according to its own discursive standards—including robust temporal organization, layered interpretive depth, and faithful representation of lived experiential meaning and evidence—its inherent scholarly rigor and epistemological value become fully evident (Polkinghorne, 1988; Riessman, 2008).</w:t>
      </w:r>
    </w:p>
    <w:p w14:paraId="5FF20520"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lastRenderedPageBreak/>
        <w:t>The institutional marginalization of narrative methodology is largely a product of long-standing positivist disciplinary dominance. Positivist epistemology prioritizes objectivity, experimental control, and quantitative measurement, dismissing narrative forms as inherently subjective and unfit for producing credible empirical evidence (Lincoln &amp; Guba, 1985; Greenhalgh &amp; Wieringa, 2011). From this traditional standpoint, narrative cohesive rationality is regarded merely as an aesthetic rhetorical device rather than a rigorous knowledge-producing mechanism, lacking verifiability and replicability to qualify as legitimate scientific reasoning (Zhao, 2023).</w:t>
      </w:r>
    </w:p>
    <w:p w14:paraId="62BB800E"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t>Postpositivist and interpretivist paradigms have systematically challenged this restrictive epistemological presumption. These contemporary frameworks acknowledge that all scholarly knowledge is linguistically mediated, perspective-dependent, and contextually situated (Bruner, 1986, 1991). Knowledge production is no longer understood as a neutral process of detached observation, but as an active practice of contextual interpretation and meaning construction (Clandinin &amp; Connelly, 2000). Narrative inquiry aligns seamlessly with this epistemological worldview, as its core function is to systematize situated human sense-making and articulate the temporal and contextual contingency of lived experience (Riessman, 2008).</w:t>
      </w:r>
    </w:p>
    <w:p w14:paraId="4E2C7459"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t>Within modern qualitative scholarship, narrative has therefore secured legitimate methodological status. Researchers draw on diverse narrative resources—including life histories, semi-structured interviews, personal diaries, and testimonial accounts—to explore how individuals interpret, negotiate, and make sense of their social worlds (Clandinin, 2013; Riessman, 2008). These narrative materials are not treated as passive, transparent reflections of objective reality, but as structurally organized accounts that illuminate how individuals cognitively order and contextualize fragmented life experiences. Accordingly, narrative cohesion is not a methodological limitation requiring correction, but an essential analytical feature that enables systematic exploration of human experiential logic (Polkinghorne, 1995).</w:t>
      </w:r>
    </w:p>
    <w:p w14:paraId="1A785D51"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t>Crucially, the embrace of interpretive narrative methodology does not equate to a rejection of scholarly rigor (Ghanbar et al., 2026). Instead, postpositivist inquiry redefines rigor in discipline-specific terms tailored to its interpretive objects and methodological logics. For narrative research, core evaluative criteria center on textual coherence, researcher reflexivity, analytical transparency, and interpretive plausibility (Lincoln &amp; Guba, 1985; Riessman, 2008). Rigorous narrative inquiry requires systematic documentation and critical reflection on the full research process, including the production, interpretation, and representation of participant narratives (Clandinin, 2013).</w:t>
      </w:r>
    </w:p>
    <w:p w14:paraId="16A09DE2"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t>A foundational theoretical contribution of narrative scholarship lies in the conceptual distinction between narrative truth and paradigmatic scientific truth (Bruner, 1991). Unlike positivist truth, which emphasizes literal factual correspondence and empirical verifiability, narrative truth prioritizes experiential plausibility, structural coherence, and existential resonance (Polkinghorne, 1988; Zhao, 2023). A narrative account achieves epistemic validity in this sense not through exhaustive, literal factual accuracy, but through its capacity to organize disjointed experiences into meaningful, recognizable structures of human life (Riessman, 2008).</w:t>
      </w:r>
    </w:p>
    <w:p w14:paraId="2AD59615"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t xml:space="preserve">Narrative truth is thus grounded in internal coherence and fidelity to lived experiential meaning, operating at a distinct level of social reality compared to measurable empirical data: the interpreted, remembered, and subjectively meaningful reality of human experience (Bruner, 1986). Human individuals do not perceive and store life events as discrete, raw empirical data; instead, they actively </w:t>
      </w:r>
      <w:r w:rsidRPr="00756D01">
        <w:rPr>
          <w:rFonts w:ascii="Times New Roman" w:eastAsia="SimSun" w:hAnsi="Times New Roman" w:cs="Times New Roman"/>
          <w:color w:val="0F1115"/>
          <w:kern w:val="0"/>
          <w:sz w:val="20"/>
          <w:szCs w:val="20"/>
        </w:rPr>
        <w:lastRenderedPageBreak/>
        <w:t>organize and rationalize experiences through ongoing storytelling practices. Narrative truth precisely captures this universal human process of experiential sense-making, filling the analytical gap left by positivist paradigms (Clandinin &amp; Connelly, 2000).</w:t>
      </w:r>
    </w:p>
    <w:p w14:paraId="5EEB7932"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t xml:space="preserve">Similarly, narrative data differ fundamentally from raw positivist data. Rather than pre-existing factual materials passively collected by researchers, narrative data are co-constructed through interactive dialogue between researchers and participants (Riessman, 2008; Zhao, 2023). In interview-based narrative research, for instance, participants' accounts are dynamically shaped by personal memory, situational context, audience dynamics, and conversational interaction. The emergent narrative functions simultaneously as a structured record of lived experience and a performative articulation of individual identity (Holstein &amp; </w:t>
      </w:r>
      <w:proofErr w:type="spellStart"/>
      <w:r w:rsidRPr="00756D01">
        <w:rPr>
          <w:rFonts w:ascii="Times New Roman" w:eastAsia="SimSun" w:hAnsi="Times New Roman" w:cs="Times New Roman"/>
          <w:color w:val="0F1115"/>
          <w:kern w:val="0"/>
          <w:sz w:val="20"/>
          <w:szCs w:val="20"/>
        </w:rPr>
        <w:t>Gubrium</w:t>
      </w:r>
      <w:proofErr w:type="spellEnd"/>
      <w:r w:rsidRPr="00756D01">
        <w:rPr>
          <w:rFonts w:ascii="Times New Roman" w:eastAsia="SimSun" w:hAnsi="Times New Roman" w:cs="Times New Roman"/>
          <w:color w:val="0F1115"/>
          <w:kern w:val="0"/>
          <w:sz w:val="20"/>
          <w:szCs w:val="20"/>
        </w:rPr>
        <w:t>, 2000). It qualifies as rigorous scholarly data by virtue of its analyzable structural organization, while its narrative form enables the preservation of contextual and temporal experiential meaning.</w:t>
      </w:r>
    </w:p>
    <w:p w14:paraId="0A955DA4"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t xml:space="preserve">Consequently, the legitimacy of narrative data relies on paradigm-appropriate evaluative standards that diverge from experimental research protocols. Rather than prioritizing strict replicability, narrative research </w:t>
      </w:r>
      <w:proofErr w:type="gramStart"/>
      <w:r w:rsidRPr="00756D01">
        <w:rPr>
          <w:rFonts w:ascii="Times New Roman" w:eastAsia="SimSun" w:hAnsi="Times New Roman" w:cs="Times New Roman"/>
          <w:color w:val="0F1115"/>
          <w:kern w:val="0"/>
          <w:sz w:val="20"/>
          <w:szCs w:val="20"/>
        </w:rPr>
        <w:t>judges</w:t>
      </w:r>
      <w:proofErr w:type="gramEnd"/>
      <w:r w:rsidRPr="00756D01">
        <w:rPr>
          <w:rFonts w:ascii="Times New Roman" w:eastAsia="SimSun" w:hAnsi="Times New Roman" w:cs="Times New Roman"/>
          <w:color w:val="0F1115"/>
          <w:kern w:val="0"/>
          <w:sz w:val="20"/>
          <w:szCs w:val="20"/>
        </w:rPr>
        <w:t xml:space="preserve"> methodological quality through interpretive credibility, contextual representativeness, and analytical illumination of the targeted social phenomenon (Lincoln &amp; Guba, 1985; Riessman, 2008). In this capacity, narrative data constitute a powerful complementary analytical tool for social scientific inquiry, particularly for unpacking the complex, meaning-laden dimensions of human life that resist reduction to quantitative measurement and positivist verification (Polkinghorne, 1995).</w:t>
      </w:r>
    </w:p>
    <w:p w14:paraId="1F361454" w14:textId="77777777" w:rsidR="00974622" w:rsidRPr="00974622" w:rsidRDefault="00974622" w:rsidP="00974622">
      <w:pPr>
        <w:widowControl/>
        <w:spacing w:before="480" w:after="240"/>
        <w:jc w:val="left"/>
        <w:outlineLvl w:val="1"/>
        <w:rPr>
          <w:rFonts w:ascii="Segoe UI" w:eastAsia="SimSun" w:hAnsi="Segoe UI" w:cs="Segoe UI"/>
          <w:b/>
          <w:bCs/>
          <w:color w:val="0F1115"/>
          <w:kern w:val="0"/>
          <w:sz w:val="24"/>
        </w:rPr>
      </w:pPr>
      <w:r w:rsidRPr="00974622">
        <w:rPr>
          <w:rFonts w:ascii="Segoe UI" w:eastAsia="SimSun" w:hAnsi="Segoe UI" w:cs="Segoe UI"/>
          <w:b/>
          <w:bCs/>
          <w:color w:val="0F1115"/>
          <w:kern w:val="0"/>
          <w:sz w:val="24"/>
        </w:rPr>
        <w:t>4. Conclusion</w:t>
      </w:r>
    </w:p>
    <w:p w14:paraId="78B69362" w14:textId="77777777" w:rsidR="00974622" w:rsidRDefault="00974622" w:rsidP="00756D01">
      <w:pPr>
        <w:widowControl/>
        <w:spacing w:before="240" w:after="240"/>
        <w:rPr>
          <w:rFonts w:ascii="Times New Roman" w:eastAsia="SimSun" w:hAnsi="Times New Roman" w:cs="Times New Roman"/>
          <w:color w:val="0F1115"/>
          <w:kern w:val="0"/>
          <w:sz w:val="20"/>
          <w:szCs w:val="20"/>
        </w:rPr>
      </w:pPr>
      <w:r w:rsidRPr="00974622">
        <w:rPr>
          <w:rFonts w:ascii="Times New Roman" w:eastAsia="SimSun" w:hAnsi="Times New Roman" w:cs="Times New Roman"/>
          <w:color w:val="0F1115"/>
          <w:kern w:val="0"/>
          <w:sz w:val="20"/>
          <w:szCs w:val="20"/>
        </w:rPr>
        <w:t xml:space="preserve">This article has argued that the tension between narrative and scientific discourse is most productively unpacked through systematic analysis of discursive cohesion. This approach also illuminates the persistent epistemological friction between positivist frameworks and narrative inquiry within mainstream scientific research. Narrative and scientific writing are not competing or mutually exclusive textual forms; instead, they represent two distinct yet equally legitimate systems for organizing scholarly meaning and generating structured knowledge (van Dijk, 1994). As demonstrated across this study, each discursive tradition draws upon distinct cohesive mechanisms to establish textual and epistemic validity. Narrative cohesion builds comprehensibility through temporality, plot configuration, subjective perspective, and continuous experiential sequencing. Scientific cohesion, by contrast, advances rigorous knowledge production via formal logical progression, empirical evidence, analytical inference, and standardized argumentation frameworks (Bruner, 1991; Abell, 2004; Li &amp; Zhao, 2026). </w:t>
      </w:r>
    </w:p>
    <w:p w14:paraId="0F4111A3" w14:textId="77777777" w:rsidR="00756D01" w:rsidRPr="00756D01" w:rsidRDefault="00974622" w:rsidP="00756D01">
      <w:pPr>
        <w:widowControl/>
        <w:spacing w:before="240" w:after="240"/>
        <w:rPr>
          <w:rFonts w:ascii="Times New Roman" w:eastAsia="SimSun" w:hAnsi="Times New Roman" w:cs="Times New Roman"/>
          <w:color w:val="0F1115"/>
          <w:kern w:val="0"/>
          <w:sz w:val="20"/>
          <w:szCs w:val="20"/>
        </w:rPr>
      </w:pPr>
      <w:r w:rsidRPr="00974622">
        <w:rPr>
          <w:rFonts w:ascii="Times New Roman" w:eastAsia="SimSun" w:hAnsi="Times New Roman" w:cs="Times New Roman"/>
          <w:color w:val="0F1115"/>
          <w:kern w:val="0"/>
          <w:sz w:val="20"/>
          <w:szCs w:val="20"/>
        </w:rPr>
        <w:t>These fundamental discursive differences explain persistent positivist-tradition skepticism toward narrative methods, while simultaneously highlighting narrative research's unique, irreplaceable capacity to investigate context-rich, temporally unfolding human experiences (Polkinghorne, 1995; Riessman, 2008). Accordingly, narrative inquiry, which adapts narrative properties for methodological purposes, should neither be conflated with traditional narrative paradigms nor treated as an adversary to positivist</w:t>
      </w:r>
      <w:r>
        <w:rPr>
          <w:rFonts w:ascii="Times New Roman" w:eastAsia="SimSun" w:hAnsi="Times New Roman" w:cs="Times New Roman"/>
          <w:color w:val="0F1115"/>
          <w:kern w:val="0"/>
          <w:sz w:val="20"/>
          <w:szCs w:val="20"/>
        </w:rPr>
        <w:t xml:space="preserve"> </w:t>
      </w:r>
      <w:r w:rsidRPr="00974622">
        <w:rPr>
          <w:rFonts w:ascii="Times New Roman" w:eastAsia="SimSun" w:hAnsi="Times New Roman" w:cs="Times New Roman"/>
          <w:color w:val="0F1115"/>
          <w:kern w:val="0"/>
          <w:sz w:val="20"/>
          <w:szCs w:val="20"/>
        </w:rPr>
        <w:t xml:space="preserve">epistemology, since it draws on recognized rationality and credibility from both traditions. The institutional hierarchy overlooks narrative inquiry's critical engagement with narrative data, narrative </w:t>
      </w:r>
      <w:r w:rsidRPr="00974622">
        <w:rPr>
          <w:rFonts w:ascii="Times New Roman" w:eastAsia="SimSun" w:hAnsi="Times New Roman" w:cs="Times New Roman"/>
          <w:color w:val="0F1115"/>
          <w:kern w:val="0"/>
          <w:sz w:val="20"/>
          <w:szCs w:val="20"/>
        </w:rPr>
        <w:lastRenderedPageBreak/>
        <w:t>evidence, and recurrent methodological justification and therefore fails to acknowledge its epistemic legitimacy with equity.</w:t>
      </w:r>
    </w:p>
    <w:p w14:paraId="4E4E5795" w14:textId="77777777" w:rsidR="004B4236" w:rsidRPr="004B4236" w:rsidRDefault="00974622" w:rsidP="004B4236">
      <w:pPr>
        <w:widowControl/>
        <w:spacing w:before="240" w:after="240"/>
        <w:rPr>
          <w:rFonts w:ascii="Times New Roman" w:eastAsia="SimSun" w:hAnsi="Times New Roman" w:cs="Times New Roman"/>
          <w:color w:val="0F1115"/>
          <w:kern w:val="0"/>
          <w:sz w:val="20"/>
          <w:szCs w:val="20"/>
        </w:rPr>
      </w:pPr>
      <w:r w:rsidRPr="00974622">
        <w:rPr>
          <w:rFonts w:ascii="Times New Roman" w:eastAsia="SimSun" w:hAnsi="Times New Roman" w:cs="Times New Roman"/>
          <w:color w:val="0F1115"/>
          <w:kern w:val="0"/>
          <w:sz w:val="20"/>
          <w:szCs w:val="20"/>
        </w:rPr>
        <w:t>This article demonstrates that dismissing narrative inquiry as anecdotal, literary, or scientifically deficient perpetuates institutional epistemological bias. Such bias stems from a fundamental misunderstanding of narrative inquiry's nature as a legitimate, rigorous form of social-scientific inquiry governed by consistent epistemic and cohesive evidentiary standards (Lincoln &amp; Guba, 1985; Polkinghorne, 1995). Narrative methodology offers unique analytical advantages by illuminating the interpretive, temporal, and processual dimensions of human life—dimensions routinely erased or oversimplified through conventional scientific abstraction and decontextualized variable-based analysis (Clandinin, 2013). In this regard, narrative research complements rather than undermines mainstream positivist inquiry, as it effectively captures the situated, nuanced complexity of human social existence.</w:t>
      </w:r>
    </w:p>
    <w:p w14:paraId="2E82BFE7" w14:textId="77777777" w:rsidR="004B4236" w:rsidRDefault="00974622" w:rsidP="004B4236">
      <w:pPr>
        <w:widowControl/>
        <w:spacing w:before="240" w:after="240"/>
        <w:rPr>
          <w:rFonts w:ascii="Times New Roman" w:eastAsia="SimSun" w:hAnsi="Times New Roman" w:cs="Times New Roman"/>
          <w:color w:val="0F1115"/>
          <w:kern w:val="0"/>
          <w:sz w:val="20"/>
          <w:szCs w:val="20"/>
        </w:rPr>
      </w:pPr>
      <w:r w:rsidRPr="00974622">
        <w:rPr>
          <w:rFonts w:ascii="Times New Roman" w:eastAsia="SimSun" w:hAnsi="Times New Roman" w:cs="Times New Roman"/>
          <w:color w:val="0F1115"/>
          <w:kern w:val="0"/>
          <w:sz w:val="20"/>
          <w:szCs w:val="20"/>
        </w:rPr>
        <w:t>This study's core theoretical implication concerns the productive coexistence of two historically separated cohesion mechanisms: narrative-interpretive temporality and scientific argumentation, both of which shape scholarly knowledge production. What remains vital is a nuanced, paradigm-informed understanding of how different discursive traditions construct coherent rationality and generate valid knowledge. Scientific modes of inquiry do not need to surrender their logical rigor to accommodate narrative configuration and temporality. When narrative qualities are operationalized as research methods—such as biographical and life-history interviews and narrative analysis—they emerge as functional research instruments. They do not need to mimic positivist conventions, nor are they inherently incompatible with positivist standards of argumentative rationality and credibility.</w:t>
      </w:r>
    </w:p>
    <w:p w14:paraId="6908D369" w14:textId="77777777" w:rsidR="00974622" w:rsidRDefault="00974622" w:rsidP="004B4236">
      <w:pPr>
        <w:widowControl/>
        <w:spacing w:before="240" w:after="240"/>
        <w:rPr>
          <w:rFonts w:ascii="Times New Roman" w:eastAsia="SimSun" w:hAnsi="Times New Roman" w:cs="Times New Roman"/>
          <w:color w:val="0F1115"/>
          <w:kern w:val="0"/>
          <w:sz w:val="20"/>
          <w:szCs w:val="20"/>
        </w:rPr>
      </w:pPr>
      <w:r w:rsidRPr="00974622">
        <w:rPr>
          <w:rFonts w:ascii="Times New Roman" w:eastAsia="SimSun" w:hAnsi="Times New Roman" w:cs="Times New Roman"/>
          <w:color w:val="0F1115"/>
          <w:kern w:val="0"/>
          <w:sz w:val="20"/>
          <w:szCs w:val="20"/>
        </w:rPr>
        <w:t>Reframing the methodological debate around discursive cohesion, instead of positivist benchmarks, helps address long-standing doubts about narrative inquiry. This fosters a balanced epistemological outlook that acknowledges narrative inquiry's methodological functions and its contributions to rigorous human-science scholarship (Bruner, 1991; Riessman, 2008). The synchronic, atemporal organization of evidence characteristic of scientific textual cohesion cannot absorb the diachronic temporality and interpretive trajectories of narrative data intrinsic to narrative discourse. Identifying these divergent underlying cohesion mechanisms enhances narrative research's epistemic accountability, grounded both in its configurative-temporal evidentiary features and its established scientific-instrumental application. This analysis enables narrative research to strive for equal institutional recognition on its own methodological and evidential excellences, on the premise that scholarly narrative inquiry does not simply import conventional literary-narrative structures into scientific writing. Academic institutions should discourage such unreflective epistemological prejudice and recognize that alternative paradigms can generate equally productive scientific knowledge.</w:t>
      </w:r>
    </w:p>
    <w:p w14:paraId="5CE571D6" w14:textId="77777777" w:rsidR="00242272" w:rsidRDefault="00242272" w:rsidP="00242272">
      <w:pPr>
        <w:rPr>
          <w:rFonts w:ascii="Times New Roman" w:hAnsi="Times New Roman" w:cs="Times New Roman"/>
          <w:b/>
        </w:rPr>
      </w:pPr>
      <w:r w:rsidRPr="000839CE">
        <w:rPr>
          <w:rFonts w:ascii="Times New Roman" w:hAnsi="Times New Roman" w:cs="Times New Roman"/>
          <w:b/>
        </w:rPr>
        <w:t>Declaration of AI Use</w:t>
      </w:r>
    </w:p>
    <w:p w14:paraId="694CF954" w14:textId="77777777" w:rsidR="00242272" w:rsidRDefault="00242272" w:rsidP="00242272">
      <w:pPr>
        <w:rPr>
          <w:rFonts w:ascii="Times New Roman" w:hAnsi="Times New Roman" w:cs="Times New Roman"/>
          <w:b/>
        </w:rPr>
      </w:pPr>
    </w:p>
    <w:p w14:paraId="4905FC82" w14:textId="77777777" w:rsidR="00242272" w:rsidRDefault="00242272" w:rsidP="00242272">
      <w:pPr>
        <w:rPr>
          <w:rFonts w:ascii="Times New Roman" w:hAnsi="Times New Roman" w:cs="Times New Roman"/>
          <w:b/>
        </w:rPr>
      </w:pPr>
    </w:p>
    <w:p w14:paraId="05B4DDC6" w14:textId="77777777" w:rsidR="00242272" w:rsidRDefault="00242272" w:rsidP="00242272">
      <w:pPr>
        <w:rPr>
          <w:rFonts w:ascii="Times New Roman" w:hAnsi="Times New Roman" w:cs="Times New Roman"/>
          <w:b/>
        </w:rPr>
      </w:pPr>
    </w:p>
    <w:p w14:paraId="06ACA08B" w14:textId="77777777" w:rsidR="00242272" w:rsidRPr="002D08AC" w:rsidRDefault="00242272" w:rsidP="00242272">
      <w:pPr>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w:t>
      </w:r>
      <w:r w:rsidRPr="002D08AC">
        <w:rPr>
          <w:rFonts w:ascii="Arial" w:hAnsi="Arial" w:cs="Arial"/>
          <w:sz w:val="20"/>
          <w:szCs w:val="20"/>
        </w:rPr>
        <w:lastRenderedPageBreak/>
        <w:t>content of the manuscript.</w:t>
      </w:r>
    </w:p>
    <w:p w14:paraId="78F4A832" w14:textId="77777777" w:rsidR="00242272" w:rsidRDefault="00242272" w:rsidP="004B4236">
      <w:pPr>
        <w:widowControl/>
        <w:spacing w:before="240" w:after="240"/>
        <w:rPr>
          <w:rFonts w:ascii="Times New Roman" w:eastAsia="SimSun" w:hAnsi="Times New Roman" w:cs="Times New Roman"/>
          <w:color w:val="0F1115"/>
          <w:kern w:val="0"/>
          <w:sz w:val="20"/>
          <w:szCs w:val="20"/>
        </w:rPr>
      </w:pPr>
    </w:p>
    <w:p w14:paraId="12A362D3" w14:textId="77777777" w:rsidR="00974622" w:rsidRPr="00974622" w:rsidRDefault="00974622" w:rsidP="00974622">
      <w:pPr>
        <w:widowControl/>
        <w:spacing w:before="480" w:after="240"/>
        <w:jc w:val="left"/>
        <w:outlineLvl w:val="1"/>
        <w:rPr>
          <w:rFonts w:ascii="Times New Roman" w:eastAsia="SimSun" w:hAnsi="Times New Roman" w:cs="Times New Roman"/>
          <w:b/>
          <w:bCs/>
          <w:color w:val="0F1115"/>
          <w:kern w:val="0"/>
          <w:sz w:val="24"/>
        </w:rPr>
      </w:pPr>
      <w:r w:rsidRPr="00974622">
        <w:rPr>
          <w:rFonts w:ascii="Times New Roman" w:eastAsia="SimSun" w:hAnsi="Times New Roman" w:cs="Times New Roman"/>
          <w:b/>
          <w:bCs/>
          <w:color w:val="0F1115"/>
          <w:kern w:val="0"/>
          <w:sz w:val="24"/>
        </w:rPr>
        <w:t>References</w:t>
      </w:r>
    </w:p>
    <w:p w14:paraId="2112FFE9"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Abell, P. (2004). Narrative explanation: An alternative to variable-</w:t>
      </w:r>
      <w:proofErr w:type="spellStart"/>
      <w:r>
        <w:rPr>
          <w:rFonts w:ascii="Times New Roman" w:hAnsi="Times New Roman" w:cs="Times New Roman"/>
          <w:color w:val="000000"/>
          <w:sz w:val="20"/>
          <w:szCs w:val="20"/>
        </w:rPr>
        <w:t>centred</w:t>
      </w:r>
      <w:proofErr w:type="spellEnd"/>
      <w:r>
        <w:rPr>
          <w:rFonts w:ascii="Times New Roman" w:hAnsi="Times New Roman" w:cs="Times New Roman"/>
          <w:color w:val="000000"/>
          <w:sz w:val="20"/>
          <w:szCs w:val="20"/>
        </w:rPr>
        <w:t xml:space="preserve"> explanation? </w:t>
      </w:r>
      <w:r>
        <w:rPr>
          <w:rFonts w:ascii="Times New Roman" w:hAnsi="Times New Roman" w:cs="Times New Roman"/>
          <w:i/>
          <w:color w:val="000000"/>
          <w:sz w:val="20"/>
          <w:szCs w:val="20"/>
        </w:rPr>
        <w:t>Annual Review of Sociology, 30</w:t>
      </w:r>
      <w:r>
        <w:rPr>
          <w:rFonts w:ascii="Times New Roman" w:hAnsi="Times New Roman" w:cs="Times New Roman"/>
          <w:color w:val="000000"/>
          <w:sz w:val="20"/>
          <w:szCs w:val="20"/>
        </w:rPr>
        <w:t>, 287–310. https://doi.org/10.1146/annurev.soc.29.010202.100113</w:t>
      </w:r>
    </w:p>
    <w:p w14:paraId="70F05D84" w14:textId="77777777" w:rsidR="00974622" w:rsidRDefault="00974622" w:rsidP="00974622">
      <w:pPr>
        <w:rPr>
          <w:rFonts w:ascii="Times New Roman" w:hAnsi="Times New Roman" w:cs="Times New Roman"/>
          <w:color w:val="000000"/>
          <w:sz w:val="20"/>
          <w:szCs w:val="20"/>
        </w:rPr>
      </w:pPr>
    </w:p>
    <w:p w14:paraId="504082EB"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Atkinson, P. (1997). Narrative turn or blind alley? </w:t>
      </w:r>
      <w:r>
        <w:rPr>
          <w:rFonts w:ascii="Times New Roman" w:hAnsi="Times New Roman" w:cs="Times New Roman"/>
          <w:i/>
          <w:color w:val="000000"/>
          <w:sz w:val="20"/>
          <w:szCs w:val="20"/>
        </w:rPr>
        <w:t>Qualitative Health Research, 7</w:t>
      </w:r>
      <w:r>
        <w:rPr>
          <w:rFonts w:ascii="Times New Roman" w:hAnsi="Times New Roman" w:cs="Times New Roman"/>
          <w:color w:val="000000"/>
          <w:sz w:val="20"/>
          <w:szCs w:val="20"/>
        </w:rPr>
        <w:t>(3), 325–344. https://doi.org/10.1177/104973239700700302</w:t>
      </w:r>
    </w:p>
    <w:p w14:paraId="55EB55D9" w14:textId="77777777" w:rsidR="00974622" w:rsidRDefault="00974622" w:rsidP="00974622">
      <w:pPr>
        <w:rPr>
          <w:rFonts w:ascii="Times New Roman" w:hAnsi="Times New Roman" w:cs="Times New Roman"/>
          <w:color w:val="000000"/>
          <w:sz w:val="20"/>
          <w:szCs w:val="20"/>
        </w:rPr>
      </w:pPr>
    </w:p>
    <w:p w14:paraId="404955ED"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Bourdieu, P. (2017). The biographical illusion (1986). In W. </w:t>
      </w:r>
      <w:proofErr w:type="spellStart"/>
      <w:r>
        <w:rPr>
          <w:rFonts w:ascii="Times New Roman" w:hAnsi="Times New Roman" w:cs="Times New Roman"/>
          <w:color w:val="000000"/>
          <w:sz w:val="20"/>
          <w:szCs w:val="20"/>
        </w:rPr>
        <w:t>Hemecker</w:t>
      </w:r>
      <w:proofErr w:type="spellEnd"/>
      <w:r>
        <w:rPr>
          <w:rFonts w:ascii="Times New Roman" w:hAnsi="Times New Roman" w:cs="Times New Roman"/>
          <w:color w:val="000000"/>
          <w:sz w:val="20"/>
          <w:szCs w:val="20"/>
        </w:rPr>
        <w:t xml:space="preserve"> &amp; E. Saunders (Eds.), </w:t>
      </w:r>
      <w:r>
        <w:rPr>
          <w:rFonts w:ascii="Times New Roman" w:hAnsi="Times New Roman" w:cs="Times New Roman"/>
          <w:i/>
          <w:color w:val="000000"/>
          <w:sz w:val="20"/>
          <w:szCs w:val="20"/>
        </w:rPr>
        <w:t>Biography in theory: Key texts with commentaries</w:t>
      </w:r>
      <w:r>
        <w:rPr>
          <w:rFonts w:ascii="Times New Roman" w:hAnsi="Times New Roman" w:cs="Times New Roman"/>
          <w:color w:val="000000"/>
          <w:sz w:val="20"/>
          <w:szCs w:val="20"/>
        </w:rPr>
        <w:t xml:space="preserve"> (pp. 210–216). De Gruyter. https://doi.org/10.1515/9783110516678-036</w:t>
      </w:r>
    </w:p>
    <w:p w14:paraId="587234BF" w14:textId="77777777" w:rsidR="00974622" w:rsidRDefault="00974622" w:rsidP="00974622">
      <w:pPr>
        <w:rPr>
          <w:rFonts w:ascii="Times New Roman" w:hAnsi="Times New Roman" w:cs="Times New Roman"/>
          <w:color w:val="000000"/>
          <w:sz w:val="20"/>
          <w:szCs w:val="20"/>
        </w:rPr>
      </w:pPr>
    </w:p>
    <w:p w14:paraId="305E6073" w14:textId="77777777" w:rsidR="00974622" w:rsidRDefault="00974622" w:rsidP="00974622">
      <w:pPr>
        <w:rPr>
          <w:rFonts w:ascii="Times New Roman" w:hAnsi="Times New Roman" w:cs="Times New Roman"/>
          <w:color w:val="000000"/>
          <w:sz w:val="20"/>
          <w:szCs w:val="20"/>
        </w:rPr>
      </w:pPr>
      <w:r w:rsidRPr="00EE40ED">
        <w:rPr>
          <w:rFonts w:ascii="Times New Roman" w:hAnsi="Times New Roman" w:cs="Times New Roman"/>
          <w:color w:val="000000"/>
          <w:sz w:val="20"/>
          <w:szCs w:val="20"/>
        </w:rPr>
        <w:t>Brannen, J. (2019). Life stories: Biographical and narrative analysis. In Social research matters: A life in family sociology</w:t>
      </w:r>
      <w:r>
        <w:rPr>
          <w:rFonts w:ascii="Times New Roman" w:hAnsi="Times New Roman" w:cs="Times New Roman"/>
          <w:color w:val="000000"/>
          <w:sz w:val="20"/>
          <w:szCs w:val="20"/>
        </w:rPr>
        <w:t xml:space="preserve"> </w:t>
      </w:r>
      <w:r w:rsidRPr="00EE40ED">
        <w:rPr>
          <w:rFonts w:ascii="Times New Roman" w:hAnsi="Times New Roman" w:cs="Times New Roman"/>
          <w:color w:val="000000"/>
          <w:sz w:val="20"/>
          <w:szCs w:val="20"/>
        </w:rPr>
        <w:t>(pp. 157–178). Bristol University</w:t>
      </w:r>
      <w:r>
        <w:rPr>
          <w:rFonts w:ascii="Times New Roman" w:hAnsi="Times New Roman" w:cs="Times New Roman"/>
          <w:color w:val="000000"/>
          <w:sz w:val="20"/>
          <w:szCs w:val="20"/>
        </w:rPr>
        <w:t xml:space="preserve"> Press</w:t>
      </w:r>
      <w:r w:rsidRPr="00EE40ED">
        <w:rPr>
          <w:rFonts w:ascii="Times New Roman" w:hAnsi="Times New Roman" w:cs="Times New Roman"/>
          <w:color w:val="000000"/>
          <w:sz w:val="20"/>
          <w:szCs w:val="20"/>
        </w:rPr>
        <w:t>.</w:t>
      </w:r>
    </w:p>
    <w:p w14:paraId="2FA6E62F" w14:textId="77777777" w:rsidR="00974622" w:rsidRDefault="00974622" w:rsidP="00974622">
      <w:pPr>
        <w:rPr>
          <w:rFonts w:ascii="Times New Roman" w:hAnsi="Times New Roman" w:cs="Times New Roman"/>
          <w:color w:val="000000"/>
          <w:sz w:val="20"/>
          <w:szCs w:val="20"/>
        </w:rPr>
      </w:pPr>
      <w:hyperlink r:id="rId6" w:history="1">
        <w:r w:rsidRPr="006C325C">
          <w:rPr>
            <w:rStyle w:val="Hyperlink"/>
            <w:rFonts w:ascii="Times New Roman" w:hAnsi="Times New Roman" w:cs="Times New Roman"/>
            <w:sz w:val="20"/>
            <w:szCs w:val="20"/>
          </w:rPr>
          <w:t>https://doi.org/10.51952/9781529208580.ch008</w:t>
        </w:r>
      </w:hyperlink>
    </w:p>
    <w:p w14:paraId="30D95AB6" w14:textId="77777777" w:rsidR="00974622" w:rsidRDefault="00974622" w:rsidP="00974622">
      <w:pPr>
        <w:rPr>
          <w:rFonts w:ascii="Times New Roman" w:hAnsi="Times New Roman" w:cs="Times New Roman"/>
          <w:color w:val="000000"/>
          <w:sz w:val="20"/>
          <w:szCs w:val="20"/>
        </w:rPr>
      </w:pPr>
    </w:p>
    <w:p w14:paraId="1D79D674"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Bruner, J. (1986). </w:t>
      </w:r>
      <w:r>
        <w:rPr>
          <w:rFonts w:ascii="Times New Roman" w:hAnsi="Times New Roman" w:cs="Times New Roman"/>
          <w:i/>
          <w:color w:val="000000"/>
          <w:sz w:val="20"/>
          <w:szCs w:val="20"/>
        </w:rPr>
        <w:t>Actual minds, possible worlds</w:t>
      </w:r>
      <w:r>
        <w:rPr>
          <w:rFonts w:ascii="Times New Roman" w:hAnsi="Times New Roman" w:cs="Times New Roman"/>
          <w:color w:val="000000"/>
          <w:sz w:val="20"/>
          <w:szCs w:val="20"/>
        </w:rPr>
        <w:t>. Harvard University Press.</w:t>
      </w:r>
    </w:p>
    <w:p w14:paraId="6624EDEA" w14:textId="77777777" w:rsidR="00974622" w:rsidRDefault="00974622" w:rsidP="00974622">
      <w:pPr>
        <w:rPr>
          <w:rFonts w:ascii="Times New Roman" w:hAnsi="Times New Roman" w:cs="Times New Roman"/>
          <w:color w:val="000000"/>
          <w:sz w:val="20"/>
          <w:szCs w:val="20"/>
        </w:rPr>
      </w:pPr>
    </w:p>
    <w:p w14:paraId="31C818AE"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Bruner, J. (1991). The narrative construction of reality. </w:t>
      </w:r>
      <w:r>
        <w:rPr>
          <w:rFonts w:ascii="Times New Roman" w:hAnsi="Times New Roman" w:cs="Times New Roman"/>
          <w:i/>
          <w:color w:val="000000"/>
          <w:sz w:val="20"/>
          <w:szCs w:val="20"/>
        </w:rPr>
        <w:t>Critical Inquiry, 18</w:t>
      </w:r>
      <w:r>
        <w:rPr>
          <w:rFonts w:ascii="Times New Roman" w:hAnsi="Times New Roman" w:cs="Times New Roman"/>
          <w:color w:val="000000"/>
          <w:sz w:val="20"/>
          <w:szCs w:val="20"/>
        </w:rPr>
        <w:t>(1), 1–21. https://doi.org/10.1086/448619</w:t>
      </w:r>
    </w:p>
    <w:p w14:paraId="6467898D" w14:textId="77777777" w:rsidR="00974622" w:rsidRDefault="00974622" w:rsidP="00974622">
      <w:pPr>
        <w:rPr>
          <w:rFonts w:ascii="Times New Roman" w:hAnsi="Times New Roman" w:cs="Times New Roman"/>
          <w:color w:val="000000"/>
          <w:sz w:val="20"/>
          <w:szCs w:val="20"/>
        </w:rPr>
      </w:pPr>
    </w:p>
    <w:p w14:paraId="7314C4DB"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Clandinin, D. J. (2013). </w:t>
      </w:r>
      <w:r>
        <w:rPr>
          <w:rFonts w:ascii="Times New Roman" w:hAnsi="Times New Roman" w:cs="Times New Roman"/>
          <w:i/>
          <w:color w:val="000000"/>
          <w:sz w:val="20"/>
          <w:szCs w:val="20"/>
        </w:rPr>
        <w:t>Engaging in narrative inquiry</w:t>
      </w:r>
      <w:r>
        <w:rPr>
          <w:rFonts w:ascii="Times New Roman" w:hAnsi="Times New Roman" w:cs="Times New Roman"/>
          <w:color w:val="000000"/>
          <w:sz w:val="20"/>
          <w:szCs w:val="20"/>
        </w:rPr>
        <w:t>. Left Coast Press.</w:t>
      </w:r>
    </w:p>
    <w:p w14:paraId="7ED0EF34" w14:textId="77777777" w:rsidR="00974622" w:rsidRDefault="00974622" w:rsidP="00974622">
      <w:pPr>
        <w:rPr>
          <w:rFonts w:ascii="Times New Roman" w:hAnsi="Times New Roman" w:cs="Times New Roman"/>
          <w:color w:val="000000"/>
          <w:sz w:val="20"/>
          <w:szCs w:val="20"/>
        </w:rPr>
      </w:pPr>
    </w:p>
    <w:p w14:paraId="3075A297"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Clandinin, D. J., &amp; Connelly, F. M. (2000). </w:t>
      </w:r>
      <w:r>
        <w:rPr>
          <w:rFonts w:ascii="Times New Roman" w:hAnsi="Times New Roman" w:cs="Times New Roman"/>
          <w:i/>
          <w:color w:val="000000"/>
          <w:sz w:val="20"/>
          <w:szCs w:val="20"/>
        </w:rPr>
        <w:t>Narrative inquiry: Experience and story in qualitative research</w:t>
      </w:r>
      <w:r>
        <w:rPr>
          <w:rFonts w:ascii="Times New Roman" w:hAnsi="Times New Roman" w:cs="Times New Roman"/>
          <w:color w:val="000000"/>
          <w:sz w:val="20"/>
          <w:szCs w:val="20"/>
        </w:rPr>
        <w:t>. Jossey-Bass.</w:t>
      </w:r>
    </w:p>
    <w:p w14:paraId="2BEB48B5" w14:textId="77777777" w:rsidR="00974622" w:rsidRDefault="00974622" w:rsidP="00974622">
      <w:pPr>
        <w:rPr>
          <w:rFonts w:ascii="Times New Roman" w:hAnsi="Times New Roman" w:cs="Times New Roman"/>
          <w:color w:val="000000"/>
          <w:sz w:val="20"/>
          <w:szCs w:val="20"/>
        </w:rPr>
      </w:pPr>
    </w:p>
    <w:p w14:paraId="7C511706"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Dahlstrom, M. F. (2014). Using narratives and storytelling to communicate science with nonexpert audiences. </w:t>
      </w:r>
      <w:r>
        <w:rPr>
          <w:rFonts w:ascii="Times New Roman" w:hAnsi="Times New Roman" w:cs="Times New Roman"/>
          <w:i/>
          <w:color w:val="000000"/>
          <w:sz w:val="20"/>
          <w:szCs w:val="20"/>
        </w:rPr>
        <w:t>Proceedings of the National Academy of Sciences, 111</w:t>
      </w:r>
      <w:r>
        <w:rPr>
          <w:rFonts w:ascii="Times New Roman" w:hAnsi="Times New Roman" w:cs="Times New Roman"/>
          <w:color w:val="000000"/>
          <w:sz w:val="20"/>
          <w:szCs w:val="20"/>
        </w:rPr>
        <w:t>(Suppl. 4), 13614–13620. https://doi.org/10.1073/pnas.1320645111</w:t>
      </w:r>
    </w:p>
    <w:p w14:paraId="4DED4820" w14:textId="77777777" w:rsidR="00974622" w:rsidRDefault="00974622" w:rsidP="00974622">
      <w:pPr>
        <w:rPr>
          <w:rFonts w:ascii="Times New Roman" w:hAnsi="Times New Roman" w:cs="Times New Roman"/>
          <w:color w:val="000000"/>
          <w:sz w:val="20"/>
          <w:szCs w:val="20"/>
        </w:rPr>
      </w:pPr>
    </w:p>
    <w:p w14:paraId="22F4D2B6"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Denzin, N. K. (1989). </w:t>
      </w:r>
      <w:r>
        <w:rPr>
          <w:rFonts w:ascii="Times New Roman" w:hAnsi="Times New Roman" w:cs="Times New Roman"/>
          <w:i/>
          <w:color w:val="000000"/>
          <w:sz w:val="20"/>
          <w:szCs w:val="20"/>
        </w:rPr>
        <w:t>Interpretive interactionism</w:t>
      </w:r>
      <w:r>
        <w:rPr>
          <w:rFonts w:ascii="Times New Roman" w:hAnsi="Times New Roman" w:cs="Times New Roman"/>
          <w:color w:val="000000"/>
          <w:sz w:val="20"/>
          <w:szCs w:val="20"/>
        </w:rPr>
        <w:t>. Sage.</w:t>
      </w:r>
    </w:p>
    <w:p w14:paraId="254456DA" w14:textId="77777777" w:rsidR="00974622" w:rsidRDefault="00974622" w:rsidP="00974622">
      <w:pPr>
        <w:rPr>
          <w:rFonts w:ascii="Times New Roman" w:hAnsi="Times New Roman" w:cs="Times New Roman"/>
          <w:color w:val="000000"/>
          <w:sz w:val="20"/>
          <w:szCs w:val="20"/>
        </w:rPr>
      </w:pPr>
    </w:p>
    <w:p w14:paraId="49C4AEA7"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Freitas, A. (2025). Decision-making in narrative inquiry in education: Ethical gathering, transcription, validation and analysis of lived experiences. </w:t>
      </w:r>
      <w:r>
        <w:rPr>
          <w:rFonts w:ascii="Times New Roman" w:hAnsi="Times New Roman" w:cs="Times New Roman"/>
          <w:i/>
          <w:color w:val="000000"/>
          <w:sz w:val="20"/>
          <w:szCs w:val="20"/>
        </w:rPr>
        <w:t>International Journal of Research &amp; Method in Education</w:t>
      </w:r>
      <w:r>
        <w:rPr>
          <w:rFonts w:ascii="Times New Roman" w:hAnsi="Times New Roman" w:cs="Times New Roman"/>
          <w:color w:val="000000"/>
          <w:sz w:val="20"/>
          <w:szCs w:val="20"/>
        </w:rPr>
        <w:t>. Advance online publication. https://doi.org/10.1080/1743727X.2025.2543261</w:t>
      </w:r>
    </w:p>
    <w:p w14:paraId="196D251F" w14:textId="77777777" w:rsidR="00974622" w:rsidRDefault="00974622" w:rsidP="00974622">
      <w:pPr>
        <w:rPr>
          <w:rFonts w:ascii="Times New Roman" w:hAnsi="Times New Roman" w:cs="Times New Roman"/>
          <w:color w:val="000000"/>
          <w:sz w:val="20"/>
          <w:szCs w:val="20"/>
        </w:rPr>
      </w:pPr>
    </w:p>
    <w:p w14:paraId="0B35D1AF"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Gallagher, S., &amp; Hutto, D. D. (2008). Understanding others through primary interaction and narrative practice. In J. Zlatev, T. P. Racine, C. Sinha, &amp; E. Itkonen (Eds.), </w:t>
      </w:r>
      <w:r>
        <w:rPr>
          <w:rFonts w:ascii="Times New Roman" w:hAnsi="Times New Roman" w:cs="Times New Roman"/>
          <w:i/>
          <w:color w:val="000000"/>
          <w:sz w:val="20"/>
          <w:szCs w:val="20"/>
        </w:rPr>
        <w:t>The shared mind: Perspectives on intersubjectivity</w:t>
      </w:r>
      <w:r>
        <w:rPr>
          <w:rFonts w:ascii="Times New Roman" w:hAnsi="Times New Roman" w:cs="Times New Roman"/>
          <w:color w:val="000000"/>
          <w:sz w:val="20"/>
          <w:szCs w:val="20"/>
        </w:rPr>
        <w:t xml:space="preserve"> (pp. 17–38). John Benjamins. https://doi.org/10.1075/celcr.12.04gal</w:t>
      </w:r>
    </w:p>
    <w:p w14:paraId="2AB9DBA0" w14:textId="77777777" w:rsidR="00974622" w:rsidRDefault="00974622" w:rsidP="00974622">
      <w:pPr>
        <w:rPr>
          <w:rFonts w:ascii="Times New Roman" w:hAnsi="Times New Roman" w:cs="Times New Roman"/>
          <w:color w:val="000000"/>
          <w:sz w:val="20"/>
          <w:szCs w:val="20"/>
        </w:rPr>
      </w:pPr>
    </w:p>
    <w:p w14:paraId="372B53AE"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Genette, G. (1980). </w:t>
      </w:r>
      <w:r>
        <w:rPr>
          <w:rFonts w:ascii="Times New Roman" w:hAnsi="Times New Roman" w:cs="Times New Roman"/>
          <w:i/>
          <w:color w:val="000000"/>
          <w:sz w:val="20"/>
          <w:szCs w:val="20"/>
        </w:rPr>
        <w:t>Narrative discourse: An essay in method</w:t>
      </w:r>
      <w:r>
        <w:rPr>
          <w:rFonts w:ascii="Times New Roman" w:hAnsi="Times New Roman" w:cs="Times New Roman"/>
          <w:color w:val="000000"/>
          <w:sz w:val="20"/>
          <w:szCs w:val="20"/>
        </w:rPr>
        <w:t xml:space="preserve"> (J. E. Lewin, Trans.). Cornell University Press.</w:t>
      </w:r>
    </w:p>
    <w:p w14:paraId="143609CA" w14:textId="77777777" w:rsidR="00974622" w:rsidRDefault="00974622" w:rsidP="00974622">
      <w:pPr>
        <w:rPr>
          <w:rFonts w:ascii="Times New Roman" w:hAnsi="Times New Roman" w:cs="Times New Roman"/>
          <w:color w:val="000000"/>
          <w:sz w:val="20"/>
          <w:szCs w:val="20"/>
        </w:rPr>
      </w:pPr>
    </w:p>
    <w:p w14:paraId="78223A1C" w14:textId="77777777" w:rsidR="00974622" w:rsidRDefault="00974622" w:rsidP="00974622">
      <w:pPr>
        <w:rPr>
          <w:rFonts w:ascii="Times New Roman" w:hAnsi="Times New Roman" w:cs="Times New Roman"/>
          <w:color w:val="000000"/>
          <w:sz w:val="20"/>
          <w:szCs w:val="20"/>
        </w:rPr>
      </w:pPr>
      <w:r w:rsidRPr="00043CE2">
        <w:rPr>
          <w:rFonts w:ascii="Times New Roman" w:hAnsi="Times New Roman" w:cs="Times New Roman"/>
          <w:color w:val="000000"/>
          <w:sz w:val="20"/>
          <w:szCs w:val="20"/>
        </w:rPr>
        <w:t xml:space="preserve">Ghanbar, H., Kim, N., </w:t>
      </w:r>
      <w:proofErr w:type="spellStart"/>
      <w:r w:rsidRPr="00043CE2">
        <w:rPr>
          <w:rFonts w:ascii="Times New Roman" w:hAnsi="Times New Roman" w:cs="Times New Roman"/>
          <w:color w:val="000000"/>
          <w:sz w:val="20"/>
          <w:szCs w:val="20"/>
        </w:rPr>
        <w:t>Cinaglia</w:t>
      </w:r>
      <w:proofErr w:type="spellEnd"/>
      <w:r w:rsidRPr="00043CE2">
        <w:rPr>
          <w:rFonts w:ascii="Times New Roman" w:hAnsi="Times New Roman" w:cs="Times New Roman"/>
          <w:color w:val="000000"/>
          <w:sz w:val="20"/>
          <w:szCs w:val="20"/>
        </w:rPr>
        <w:t>, C., &amp; De Costa, P. I. (2026). The principle–practice gap: A methodological synthesis of discrepancies between narrative inquiry ethical ideals and actual reporting practices. </w:t>
      </w:r>
      <w:r w:rsidRPr="00043CE2">
        <w:rPr>
          <w:rFonts w:ascii="Times New Roman" w:hAnsi="Times New Roman" w:cs="Times New Roman"/>
          <w:i/>
          <w:iCs/>
          <w:color w:val="000000"/>
          <w:sz w:val="20"/>
          <w:szCs w:val="20"/>
        </w:rPr>
        <w:t>Language Teaching</w:t>
      </w:r>
      <w:r w:rsidRPr="00043CE2">
        <w:rPr>
          <w:rFonts w:ascii="Times New Roman" w:hAnsi="Times New Roman" w:cs="Times New Roman"/>
          <w:color w:val="000000"/>
          <w:sz w:val="20"/>
          <w:szCs w:val="20"/>
        </w:rPr>
        <w:t>, 1–18. Advance online publication.</w:t>
      </w:r>
    </w:p>
    <w:p w14:paraId="541C390F" w14:textId="77777777" w:rsidR="00974622" w:rsidRDefault="00974622" w:rsidP="00974622">
      <w:pPr>
        <w:rPr>
          <w:rFonts w:ascii="Times New Roman" w:hAnsi="Times New Roman" w:cs="Times New Roman"/>
          <w:color w:val="000000"/>
          <w:sz w:val="20"/>
          <w:szCs w:val="20"/>
        </w:rPr>
      </w:pPr>
      <w:hyperlink r:id="rId7" w:history="1">
        <w:r w:rsidRPr="006C325C">
          <w:rPr>
            <w:rStyle w:val="Hyperlink"/>
            <w:rFonts w:ascii="Times New Roman" w:hAnsi="Times New Roman" w:cs="Times New Roman"/>
            <w:sz w:val="20"/>
            <w:szCs w:val="20"/>
          </w:rPr>
          <w:t>https://doi.org/10.1017/S0261444826101207</w:t>
        </w:r>
      </w:hyperlink>
    </w:p>
    <w:p w14:paraId="59C5DC13" w14:textId="77777777" w:rsidR="00974622" w:rsidRDefault="00974622" w:rsidP="00974622">
      <w:pPr>
        <w:rPr>
          <w:rFonts w:ascii="Times New Roman" w:hAnsi="Times New Roman" w:cs="Times New Roman"/>
          <w:color w:val="000000"/>
          <w:sz w:val="20"/>
          <w:szCs w:val="20"/>
        </w:rPr>
      </w:pPr>
    </w:p>
    <w:p w14:paraId="1698A6C3"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Greenhalgh, T., &amp; Wieringa, S. (2011). Is it time to drop the ‘knowledge translation’ metaphor? A critical literature review. </w:t>
      </w:r>
      <w:r>
        <w:rPr>
          <w:rFonts w:ascii="Times New Roman" w:hAnsi="Times New Roman" w:cs="Times New Roman"/>
          <w:i/>
          <w:color w:val="000000"/>
          <w:sz w:val="20"/>
          <w:szCs w:val="20"/>
        </w:rPr>
        <w:t>Journal of the Royal Society of Medicine, 104</w:t>
      </w:r>
      <w:r>
        <w:rPr>
          <w:rFonts w:ascii="Times New Roman" w:hAnsi="Times New Roman" w:cs="Times New Roman"/>
          <w:color w:val="000000"/>
          <w:sz w:val="20"/>
          <w:szCs w:val="20"/>
        </w:rPr>
        <w:t>(12), 501–509. https://doi.org/10.1258/jrsm.2011.110285</w:t>
      </w:r>
    </w:p>
    <w:p w14:paraId="794242DB" w14:textId="77777777" w:rsidR="00974622" w:rsidRDefault="00974622" w:rsidP="00974622">
      <w:pPr>
        <w:rPr>
          <w:rFonts w:ascii="Times New Roman" w:hAnsi="Times New Roman" w:cs="Times New Roman"/>
          <w:color w:val="000000"/>
          <w:sz w:val="20"/>
          <w:szCs w:val="20"/>
        </w:rPr>
      </w:pPr>
    </w:p>
    <w:p w14:paraId="7E0BB85A"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Gusman, S. (2024). Biographical illusions: Sartre and Bourdieu against narrative identity. </w:t>
      </w:r>
      <w:r>
        <w:rPr>
          <w:rFonts w:ascii="Times New Roman" w:hAnsi="Times New Roman" w:cs="Times New Roman"/>
          <w:i/>
          <w:color w:val="000000"/>
          <w:sz w:val="20"/>
          <w:szCs w:val="20"/>
        </w:rPr>
        <w:t>Symposium, 28</w:t>
      </w:r>
      <w:r>
        <w:rPr>
          <w:rFonts w:ascii="Times New Roman" w:hAnsi="Times New Roman" w:cs="Times New Roman"/>
          <w:color w:val="000000"/>
          <w:sz w:val="20"/>
          <w:szCs w:val="20"/>
        </w:rPr>
        <w:t>(2), 90–114. https://doi.org/10.5840/symposium202428217</w:t>
      </w:r>
    </w:p>
    <w:p w14:paraId="22AC4B02" w14:textId="77777777" w:rsidR="00974622" w:rsidRDefault="00974622" w:rsidP="00974622">
      <w:pPr>
        <w:rPr>
          <w:rFonts w:ascii="Times New Roman" w:hAnsi="Times New Roman" w:cs="Times New Roman"/>
          <w:color w:val="000000"/>
          <w:sz w:val="20"/>
          <w:szCs w:val="20"/>
        </w:rPr>
      </w:pPr>
    </w:p>
    <w:p w14:paraId="46C65E5F"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Holstein, J. A., &amp; </w:t>
      </w:r>
      <w:proofErr w:type="spellStart"/>
      <w:r>
        <w:rPr>
          <w:rFonts w:ascii="Times New Roman" w:hAnsi="Times New Roman" w:cs="Times New Roman"/>
          <w:color w:val="000000"/>
          <w:sz w:val="20"/>
          <w:szCs w:val="20"/>
        </w:rPr>
        <w:t>Gubrium</w:t>
      </w:r>
      <w:proofErr w:type="spellEnd"/>
      <w:r>
        <w:rPr>
          <w:rFonts w:ascii="Times New Roman" w:hAnsi="Times New Roman" w:cs="Times New Roman"/>
          <w:color w:val="000000"/>
          <w:sz w:val="20"/>
          <w:szCs w:val="20"/>
        </w:rPr>
        <w:t xml:space="preserve">, J. F. (2000). </w:t>
      </w:r>
      <w:r>
        <w:rPr>
          <w:rFonts w:ascii="Times New Roman" w:hAnsi="Times New Roman" w:cs="Times New Roman"/>
          <w:i/>
          <w:color w:val="000000"/>
          <w:sz w:val="20"/>
          <w:szCs w:val="20"/>
        </w:rPr>
        <w:t>The self we live by: Narrative identity in a postmodern world</w:t>
      </w:r>
      <w:r>
        <w:rPr>
          <w:rFonts w:ascii="Times New Roman" w:hAnsi="Times New Roman" w:cs="Times New Roman"/>
          <w:color w:val="000000"/>
          <w:sz w:val="20"/>
          <w:szCs w:val="20"/>
        </w:rPr>
        <w:t>. Oxford University Press.</w:t>
      </w:r>
    </w:p>
    <w:p w14:paraId="431F49C3" w14:textId="77777777" w:rsidR="00974622" w:rsidRDefault="00974622" w:rsidP="00974622">
      <w:pPr>
        <w:rPr>
          <w:rFonts w:ascii="Times New Roman" w:hAnsi="Times New Roman" w:cs="Times New Roman"/>
          <w:color w:val="000000"/>
          <w:sz w:val="20"/>
          <w:szCs w:val="20"/>
        </w:rPr>
      </w:pPr>
    </w:p>
    <w:p w14:paraId="225DA338" w14:textId="77777777" w:rsidR="00974622" w:rsidRDefault="00974622" w:rsidP="00974622">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Labov</w:t>
      </w:r>
      <w:proofErr w:type="spellEnd"/>
      <w:r>
        <w:rPr>
          <w:rFonts w:ascii="Times New Roman" w:hAnsi="Times New Roman" w:cs="Times New Roman"/>
          <w:color w:val="000000"/>
          <w:sz w:val="20"/>
          <w:szCs w:val="20"/>
        </w:rPr>
        <w:t xml:space="preserve">, W. (1972). </w:t>
      </w:r>
      <w:r>
        <w:rPr>
          <w:rFonts w:ascii="Times New Roman" w:hAnsi="Times New Roman" w:cs="Times New Roman"/>
          <w:i/>
          <w:color w:val="000000"/>
          <w:sz w:val="20"/>
          <w:szCs w:val="20"/>
        </w:rPr>
        <w:t>Language in the inner city: Studies in the Black English vernacular</w:t>
      </w:r>
      <w:r>
        <w:rPr>
          <w:rFonts w:ascii="Times New Roman" w:hAnsi="Times New Roman" w:cs="Times New Roman"/>
          <w:color w:val="000000"/>
          <w:sz w:val="20"/>
          <w:szCs w:val="20"/>
        </w:rPr>
        <w:t>. University of Pennsylvania Press.</w:t>
      </w:r>
    </w:p>
    <w:p w14:paraId="7D4B6BF7" w14:textId="77777777" w:rsidR="00974622" w:rsidRDefault="00974622" w:rsidP="00974622">
      <w:pPr>
        <w:rPr>
          <w:rFonts w:ascii="Times New Roman" w:hAnsi="Times New Roman" w:cs="Times New Roman"/>
          <w:color w:val="000000"/>
          <w:sz w:val="20"/>
          <w:szCs w:val="20"/>
        </w:rPr>
      </w:pPr>
    </w:p>
    <w:p w14:paraId="5179CDA7"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Li, Y. Q., &amp; Zhao, H. Q. (2026). Scaffolding unity in academic writing [Manuscript submitted for publication].</w:t>
      </w:r>
    </w:p>
    <w:p w14:paraId="48D3614D" w14:textId="77777777" w:rsidR="00974622" w:rsidRDefault="00974622" w:rsidP="00974622">
      <w:pPr>
        <w:rPr>
          <w:rFonts w:ascii="Times New Roman" w:hAnsi="Times New Roman" w:cs="Times New Roman"/>
          <w:color w:val="000000"/>
          <w:sz w:val="20"/>
          <w:szCs w:val="20"/>
        </w:rPr>
      </w:pPr>
    </w:p>
    <w:p w14:paraId="70489472"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Lincoln, Y. S., &amp; Guba, E. G. (1985). </w:t>
      </w:r>
      <w:r>
        <w:rPr>
          <w:rFonts w:ascii="Times New Roman" w:hAnsi="Times New Roman" w:cs="Times New Roman"/>
          <w:i/>
          <w:color w:val="000000"/>
          <w:sz w:val="20"/>
          <w:szCs w:val="20"/>
        </w:rPr>
        <w:t>Naturalistic inquiry</w:t>
      </w:r>
      <w:r>
        <w:rPr>
          <w:rFonts w:ascii="Times New Roman" w:hAnsi="Times New Roman" w:cs="Times New Roman"/>
          <w:color w:val="000000"/>
          <w:sz w:val="20"/>
          <w:szCs w:val="20"/>
        </w:rPr>
        <w:t>. Sage.</w:t>
      </w:r>
    </w:p>
    <w:p w14:paraId="2B73D293" w14:textId="77777777" w:rsidR="00974622" w:rsidRDefault="00974622" w:rsidP="00974622">
      <w:pPr>
        <w:rPr>
          <w:rFonts w:ascii="Times New Roman" w:hAnsi="Times New Roman" w:cs="Times New Roman"/>
          <w:color w:val="000000"/>
          <w:sz w:val="20"/>
          <w:szCs w:val="20"/>
        </w:rPr>
      </w:pPr>
    </w:p>
    <w:p w14:paraId="1562204E"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Mallon, S., &amp; Elliott, I. (2019). The emotional risks of turning stories into data: An exploration of the experiences of qualitative researchers working on sensitive topics. </w:t>
      </w:r>
      <w:r>
        <w:rPr>
          <w:rFonts w:ascii="Times New Roman" w:hAnsi="Times New Roman" w:cs="Times New Roman"/>
          <w:i/>
          <w:color w:val="000000"/>
          <w:sz w:val="20"/>
          <w:szCs w:val="20"/>
        </w:rPr>
        <w:t>Societies, 9</w:t>
      </w:r>
      <w:r>
        <w:rPr>
          <w:rFonts w:ascii="Times New Roman" w:hAnsi="Times New Roman" w:cs="Times New Roman"/>
          <w:color w:val="000000"/>
          <w:sz w:val="20"/>
          <w:szCs w:val="20"/>
        </w:rPr>
        <w:t>(3), Article 62. https://doi.org/10.3390/soc9030062</w:t>
      </w:r>
    </w:p>
    <w:p w14:paraId="707E0E13" w14:textId="77777777" w:rsidR="00974622" w:rsidRDefault="00974622" w:rsidP="00974622">
      <w:pPr>
        <w:rPr>
          <w:rFonts w:ascii="Times New Roman" w:hAnsi="Times New Roman" w:cs="Times New Roman"/>
          <w:color w:val="000000"/>
          <w:sz w:val="20"/>
          <w:szCs w:val="20"/>
        </w:rPr>
      </w:pPr>
    </w:p>
    <w:p w14:paraId="2EEEE285"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Mertova, P., &amp; Webster, L. (2019). </w:t>
      </w:r>
      <w:r>
        <w:rPr>
          <w:rFonts w:ascii="Times New Roman" w:hAnsi="Times New Roman" w:cs="Times New Roman"/>
          <w:i/>
          <w:color w:val="000000"/>
          <w:sz w:val="20"/>
          <w:szCs w:val="20"/>
        </w:rPr>
        <w:t>Using narrative inquiry as a research method: An introduction to critical event narrative analysis in research, teaching and professional practice</w:t>
      </w:r>
      <w:r>
        <w:rPr>
          <w:rFonts w:ascii="Times New Roman" w:hAnsi="Times New Roman" w:cs="Times New Roman"/>
          <w:color w:val="000000"/>
          <w:sz w:val="20"/>
          <w:szCs w:val="20"/>
        </w:rPr>
        <w:t xml:space="preserve"> (2nd ed.). Routledge. https://doi.org/10.4324/9780429424533</w:t>
      </w:r>
    </w:p>
    <w:p w14:paraId="1D74C649" w14:textId="77777777" w:rsidR="00974622" w:rsidRDefault="00974622" w:rsidP="00974622">
      <w:pPr>
        <w:rPr>
          <w:rFonts w:ascii="Times New Roman" w:hAnsi="Times New Roman" w:cs="Times New Roman"/>
          <w:color w:val="000000"/>
          <w:sz w:val="20"/>
          <w:szCs w:val="20"/>
        </w:rPr>
      </w:pPr>
    </w:p>
    <w:p w14:paraId="23E79A50"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Morgan, M. S., Hajek, K. M., &amp; Berry, D. J. (Eds.). (2022). </w:t>
      </w:r>
      <w:r>
        <w:rPr>
          <w:rFonts w:ascii="Times New Roman" w:hAnsi="Times New Roman" w:cs="Times New Roman"/>
          <w:i/>
          <w:color w:val="000000"/>
          <w:sz w:val="20"/>
          <w:szCs w:val="20"/>
        </w:rPr>
        <w:t>Narrative science: Reasoning, representing and knowing since 1800</w:t>
      </w:r>
      <w:r>
        <w:rPr>
          <w:rFonts w:ascii="Times New Roman" w:hAnsi="Times New Roman" w:cs="Times New Roman"/>
          <w:color w:val="000000"/>
          <w:sz w:val="20"/>
          <w:szCs w:val="20"/>
        </w:rPr>
        <w:t>. Cambridge University Press. https://doi.org/10.1017/9781009004329</w:t>
      </w:r>
    </w:p>
    <w:p w14:paraId="0717C6F5" w14:textId="77777777" w:rsidR="00974622" w:rsidRDefault="00974622" w:rsidP="00974622">
      <w:pPr>
        <w:rPr>
          <w:rFonts w:ascii="Times New Roman" w:hAnsi="Times New Roman" w:cs="Times New Roman"/>
          <w:color w:val="000000"/>
          <w:sz w:val="20"/>
          <w:szCs w:val="20"/>
        </w:rPr>
      </w:pPr>
    </w:p>
    <w:p w14:paraId="36385AF4"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Ochs, E., &amp; Capps, L. (2001). </w:t>
      </w:r>
      <w:r>
        <w:rPr>
          <w:rFonts w:ascii="Times New Roman" w:hAnsi="Times New Roman" w:cs="Times New Roman"/>
          <w:i/>
          <w:color w:val="000000"/>
          <w:sz w:val="20"/>
          <w:szCs w:val="20"/>
        </w:rPr>
        <w:t>Living narrative: Creating lives in everyday storytelling</w:t>
      </w:r>
      <w:r>
        <w:rPr>
          <w:rFonts w:ascii="Times New Roman" w:hAnsi="Times New Roman" w:cs="Times New Roman"/>
          <w:color w:val="000000"/>
          <w:sz w:val="20"/>
          <w:szCs w:val="20"/>
        </w:rPr>
        <w:t>. Harvard University Press.</w:t>
      </w:r>
    </w:p>
    <w:p w14:paraId="2B061417" w14:textId="77777777" w:rsidR="00974622" w:rsidRDefault="00974622" w:rsidP="00974622">
      <w:pPr>
        <w:rPr>
          <w:rFonts w:ascii="Times New Roman" w:hAnsi="Times New Roman" w:cs="Times New Roman"/>
          <w:color w:val="000000"/>
          <w:sz w:val="20"/>
          <w:szCs w:val="20"/>
        </w:rPr>
      </w:pPr>
    </w:p>
    <w:p w14:paraId="233D7AD8"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Padian, K. (2018). Narrative and “anti-narrative” in science: How scientists tell stories, and don’t. </w:t>
      </w:r>
      <w:r>
        <w:rPr>
          <w:rFonts w:ascii="Times New Roman" w:hAnsi="Times New Roman" w:cs="Times New Roman"/>
          <w:i/>
          <w:color w:val="000000"/>
          <w:sz w:val="20"/>
          <w:szCs w:val="20"/>
        </w:rPr>
        <w:t>Integrative and Comparative Biology, 58</w:t>
      </w:r>
      <w:r>
        <w:rPr>
          <w:rFonts w:ascii="Times New Roman" w:hAnsi="Times New Roman" w:cs="Times New Roman"/>
          <w:color w:val="000000"/>
          <w:sz w:val="20"/>
          <w:szCs w:val="20"/>
        </w:rPr>
        <w:t>(6), 1224–1234. https://doi.org/10.1093/icb/icy038</w:t>
      </w:r>
    </w:p>
    <w:p w14:paraId="089E64B3" w14:textId="77777777" w:rsidR="00974622" w:rsidRDefault="00974622" w:rsidP="00974622">
      <w:pPr>
        <w:rPr>
          <w:rFonts w:ascii="Times New Roman" w:hAnsi="Times New Roman" w:cs="Times New Roman"/>
          <w:color w:val="000000"/>
          <w:sz w:val="20"/>
          <w:szCs w:val="20"/>
        </w:rPr>
      </w:pPr>
    </w:p>
    <w:p w14:paraId="3F89CB4B"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Polkinghorne, D. E. (1988). </w:t>
      </w:r>
      <w:r>
        <w:rPr>
          <w:rFonts w:ascii="Times New Roman" w:hAnsi="Times New Roman" w:cs="Times New Roman"/>
          <w:i/>
          <w:color w:val="000000"/>
          <w:sz w:val="20"/>
          <w:szCs w:val="20"/>
        </w:rPr>
        <w:t>Narrative knowing and the human sciences</w:t>
      </w:r>
      <w:r>
        <w:rPr>
          <w:rFonts w:ascii="Times New Roman" w:hAnsi="Times New Roman" w:cs="Times New Roman"/>
          <w:color w:val="000000"/>
          <w:sz w:val="20"/>
          <w:szCs w:val="20"/>
        </w:rPr>
        <w:t xml:space="preserve">. State University of New York </w:t>
      </w:r>
      <w:r>
        <w:rPr>
          <w:rFonts w:ascii="Times New Roman" w:hAnsi="Times New Roman" w:cs="Times New Roman"/>
          <w:color w:val="000000"/>
          <w:sz w:val="20"/>
          <w:szCs w:val="20"/>
        </w:rPr>
        <w:lastRenderedPageBreak/>
        <w:t>Press.</w:t>
      </w:r>
    </w:p>
    <w:p w14:paraId="2448D2CA" w14:textId="77777777" w:rsidR="00974622" w:rsidRDefault="00974622" w:rsidP="00974622">
      <w:pPr>
        <w:rPr>
          <w:rFonts w:ascii="Times New Roman" w:hAnsi="Times New Roman" w:cs="Times New Roman"/>
          <w:color w:val="000000"/>
          <w:sz w:val="20"/>
          <w:szCs w:val="20"/>
        </w:rPr>
      </w:pPr>
    </w:p>
    <w:p w14:paraId="18CB615B"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Polkinghorne, D. E. (1995). Narrative configuration in qualitative analysis. </w:t>
      </w:r>
      <w:r>
        <w:rPr>
          <w:rFonts w:ascii="Times New Roman" w:hAnsi="Times New Roman" w:cs="Times New Roman"/>
          <w:i/>
          <w:color w:val="000000"/>
          <w:sz w:val="20"/>
          <w:szCs w:val="20"/>
        </w:rPr>
        <w:t>International Journal of Qualitative Studies in Education, 8</w:t>
      </w:r>
      <w:r>
        <w:rPr>
          <w:rFonts w:ascii="Times New Roman" w:hAnsi="Times New Roman" w:cs="Times New Roman"/>
          <w:color w:val="000000"/>
          <w:sz w:val="20"/>
          <w:szCs w:val="20"/>
        </w:rPr>
        <w:t>(1), 5–23. https://doi.org/10.1080/0951839950080103</w:t>
      </w:r>
    </w:p>
    <w:p w14:paraId="4D62AEF5" w14:textId="77777777" w:rsidR="00974622" w:rsidRDefault="00974622" w:rsidP="00974622">
      <w:pPr>
        <w:rPr>
          <w:rFonts w:ascii="Times New Roman" w:hAnsi="Times New Roman" w:cs="Times New Roman"/>
          <w:color w:val="000000"/>
          <w:sz w:val="20"/>
          <w:szCs w:val="20"/>
        </w:rPr>
      </w:pPr>
    </w:p>
    <w:p w14:paraId="5DDED11B" w14:textId="77777777" w:rsidR="00974622" w:rsidRDefault="00974622" w:rsidP="00974622">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Ricoeur</w:t>
      </w:r>
      <w:proofErr w:type="spellEnd"/>
      <w:r>
        <w:rPr>
          <w:rFonts w:ascii="Times New Roman" w:hAnsi="Times New Roman" w:cs="Times New Roman"/>
          <w:color w:val="000000"/>
          <w:sz w:val="20"/>
          <w:szCs w:val="20"/>
        </w:rPr>
        <w:t xml:space="preserve">, P. (1984). </w:t>
      </w:r>
      <w:r>
        <w:rPr>
          <w:rFonts w:ascii="Times New Roman" w:hAnsi="Times New Roman" w:cs="Times New Roman"/>
          <w:i/>
          <w:color w:val="000000"/>
          <w:sz w:val="20"/>
          <w:szCs w:val="20"/>
        </w:rPr>
        <w:t>Time and narrative</w:t>
      </w:r>
      <w:r>
        <w:rPr>
          <w:rFonts w:ascii="Times New Roman" w:hAnsi="Times New Roman" w:cs="Times New Roman"/>
          <w:color w:val="000000"/>
          <w:sz w:val="20"/>
          <w:szCs w:val="20"/>
        </w:rPr>
        <w:t xml:space="preserve"> (Vol. 1; K. McLaughlin &amp; D. Pellauer, Trans.). University of Chicago Press.</w:t>
      </w:r>
    </w:p>
    <w:p w14:paraId="4808EC6C" w14:textId="77777777" w:rsidR="00974622" w:rsidRDefault="00974622" w:rsidP="00974622">
      <w:pPr>
        <w:rPr>
          <w:rFonts w:ascii="Times New Roman" w:hAnsi="Times New Roman" w:cs="Times New Roman"/>
          <w:color w:val="000000"/>
          <w:sz w:val="20"/>
          <w:szCs w:val="20"/>
        </w:rPr>
      </w:pPr>
    </w:p>
    <w:p w14:paraId="1962CF7E"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Riessman, C. K. (2008). </w:t>
      </w:r>
      <w:r>
        <w:rPr>
          <w:rFonts w:ascii="Times New Roman" w:hAnsi="Times New Roman" w:cs="Times New Roman"/>
          <w:i/>
          <w:color w:val="000000"/>
          <w:sz w:val="20"/>
          <w:szCs w:val="20"/>
        </w:rPr>
        <w:t>Narrative methods for the human sciences</w:t>
      </w:r>
      <w:r>
        <w:rPr>
          <w:rFonts w:ascii="Times New Roman" w:hAnsi="Times New Roman" w:cs="Times New Roman"/>
          <w:color w:val="000000"/>
          <w:sz w:val="20"/>
          <w:szCs w:val="20"/>
        </w:rPr>
        <w:t>. Sage.</w:t>
      </w:r>
    </w:p>
    <w:p w14:paraId="7EBEC998" w14:textId="77777777" w:rsidR="00974622" w:rsidRDefault="00974622" w:rsidP="00974622">
      <w:pPr>
        <w:rPr>
          <w:rFonts w:ascii="Times New Roman" w:hAnsi="Times New Roman" w:cs="Times New Roman"/>
          <w:color w:val="000000"/>
          <w:sz w:val="20"/>
          <w:szCs w:val="20"/>
        </w:rPr>
      </w:pPr>
    </w:p>
    <w:p w14:paraId="7848CE97"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Strawson, G. (2004). Against narrativity. </w:t>
      </w:r>
      <w:r>
        <w:rPr>
          <w:rFonts w:ascii="Times New Roman" w:hAnsi="Times New Roman" w:cs="Times New Roman"/>
          <w:i/>
          <w:color w:val="000000"/>
          <w:sz w:val="20"/>
          <w:szCs w:val="20"/>
        </w:rPr>
        <w:t>Ratio, 17</w:t>
      </w:r>
      <w:r>
        <w:rPr>
          <w:rFonts w:ascii="Times New Roman" w:hAnsi="Times New Roman" w:cs="Times New Roman"/>
          <w:color w:val="000000"/>
          <w:sz w:val="20"/>
          <w:szCs w:val="20"/>
        </w:rPr>
        <w:t>(4), 428–452. https://doi.org/10.1111/j.1467-9329.2004.00264.x</w:t>
      </w:r>
    </w:p>
    <w:p w14:paraId="1C2A7929" w14:textId="77777777" w:rsidR="00974622" w:rsidRDefault="00974622" w:rsidP="00974622">
      <w:pPr>
        <w:rPr>
          <w:rFonts w:ascii="Times New Roman" w:hAnsi="Times New Roman" w:cs="Times New Roman"/>
          <w:color w:val="000000"/>
          <w:sz w:val="20"/>
          <w:szCs w:val="20"/>
        </w:rPr>
      </w:pPr>
    </w:p>
    <w:p w14:paraId="2476C894"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Swales, J. M. (1990). </w:t>
      </w:r>
      <w:r>
        <w:rPr>
          <w:rFonts w:ascii="Times New Roman" w:hAnsi="Times New Roman" w:cs="Times New Roman"/>
          <w:i/>
          <w:color w:val="000000"/>
          <w:sz w:val="20"/>
          <w:szCs w:val="20"/>
        </w:rPr>
        <w:t>Genre analysis: English in academic and research settings</w:t>
      </w:r>
      <w:r>
        <w:rPr>
          <w:rFonts w:ascii="Times New Roman" w:hAnsi="Times New Roman" w:cs="Times New Roman"/>
          <w:color w:val="000000"/>
          <w:sz w:val="20"/>
          <w:szCs w:val="20"/>
        </w:rPr>
        <w:t>. Cambridge University Press.</w:t>
      </w:r>
    </w:p>
    <w:p w14:paraId="7BF98F75" w14:textId="77777777" w:rsidR="00974622" w:rsidRDefault="00974622" w:rsidP="00974622">
      <w:pPr>
        <w:rPr>
          <w:rFonts w:ascii="Times New Roman" w:hAnsi="Times New Roman" w:cs="Times New Roman"/>
          <w:color w:val="000000"/>
          <w:sz w:val="20"/>
          <w:szCs w:val="20"/>
        </w:rPr>
      </w:pPr>
    </w:p>
    <w:p w14:paraId="30017676"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van Dijk, T. A. (1994). Discourse and cognition in society. In D. Crowley &amp; D. Mitchell (Eds.), </w:t>
      </w:r>
      <w:r>
        <w:rPr>
          <w:rFonts w:ascii="Times New Roman" w:hAnsi="Times New Roman" w:cs="Times New Roman"/>
          <w:i/>
          <w:color w:val="000000"/>
          <w:sz w:val="20"/>
          <w:szCs w:val="20"/>
        </w:rPr>
        <w:t>Communication theory today</w:t>
      </w:r>
      <w:r>
        <w:rPr>
          <w:rFonts w:ascii="Times New Roman" w:hAnsi="Times New Roman" w:cs="Times New Roman"/>
          <w:color w:val="000000"/>
          <w:sz w:val="20"/>
          <w:szCs w:val="20"/>
        </w:rPr>
        <w:t xml:space="preserve"> (pp. 107–126). Polity Press.</w:t>
      </w:r>
    </w:p>
    <w:p w14:paraId="432A698E" w14:textId="77777777" w:rsidR="00974622" w:rsidRDefault="00974622" w:rsidP="00974622">
      <w:pPr>
        <w:rPr>
          <w:rFonts w:ascii="Times New Roman" w:hAnsi="Times New Roman" w:cs="Times New Roman"/>
          <w:color w:val="000000"/>
          <w:sz w:val="20"/>
          <w:szCs w:val="20"/>
        </w:rPr>
      </w:pPr>
    </w:p>
    <w:p w14:paraId="4D203A83"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Wells, K. (2011). </w:t>
      </w:r>
      <w:r>
        <w:rPr>
          <w:rFonts w:ascii="Times New Roman" w:hAnsi="Times New Roman" w:cs="Times New Roman"/>
          <w:i/>
          <w:color w:val="000000"/>
          <w:sz w:val="20"/>
          <w:szCs w:val="20"/>
        </w:rPr>
        <w:t>Narrative inquiry</w:t>
      </w:r>
      <w:r>
        <w:rPr>
          <w:rFonts w:ascii="Times New Roman" w:hAnsi="Times New Roman" w:cs="Times New Roman"/>
          <w:color w:val="000000"/>
          <w:sz w:val="20"/>
          <w:szCs w:val="20"/>
        </w:rPr>
        <w:t>. Oxford University Press. https://doi.org/10.1093/acprof:oso/9780195385793.001.0001</w:t>
      </w:r>
    </w:p>
    <w:p w14:paraId="687189D5" w14:textId="77777777" w:rsidR="00974622" w:rsidRDefault="00974622" w:rsidP="00974622">
      <w:pPr>
        <w:rPr>
          <w:rFonts w:ascii="Times New Roman" w:hAnsi="Times New Roman" w:cs="Times New Roman"/>
          <w:color w:val="000000"/>
          <w:sz w:val="20"/>
          <w:szCs w:val="20"/>
        </w:rPr>
      </w:pPr>
    </w:p>
    <w:p w14:paraId="66C18CD7"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Zhao, H. Q. (2023). Measure the story: Methodological considerations. </w:t>
      </w:r>
      <w:r>
        <w:rPr>
          <w:rFonts w:ascii="Times New Roman" w:hAnsi="Times New Roman" w:cs="Times New Roman"/>
          <w:i/>
          <w:color w:val="000000"/>
          <w:sz w:val="20"/>
          <w:szCs w:val="20"/>
        </w:rPr>
        <w:t>American Research Journal of English and Literature, 9</w:t>
      </w:r>
      <w:r>
        <w:rPr>
          <w:rFonts w:ascii="Times New Roman" w:hAnsi="Times New Roman" w:cs="Times New Roman"/>
          <w:color w:val="000000"/>
          <w:sz w:val="20"/>
          <w:szCs w:val="20"/>
        </w:rPr>
        <w:t>(1), 134–138. https://doi.org/10.21694/2378-9026.23021</w:t>
      </w:r>
    </w:p>
    <w:p w14:paraId="2A44F37E" w14:textId="77777777" w:rsidR="00974622" w:rsidRDefault="00974622" w:rsidP="00974622">
      <w:pPr>
        <w:rPr>
          <w:rFonts w:ascii="Times New Roman" w:hAnsi="Times New Roman" w:cs="Times New Roman"/>
          <w:color w:val="000000"/>
          <w:sz w:val="20"/>
          <w:szCs w:val="20"/>
        </w:rPr>
      </w:pPr>
    </w:p>
    <w:p w14:paraId="323DE504"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Zhao, H. Q., &amp; Li, Y. Q. (2025). Critical citation and intertextuality in academic writing. </w:t>
      </w:r>
      <w:r>
        <w:rPr>
          <w:rFonts w:ascii="Times New Roman" w:hAnsi="Times New Roman" w:cs="Times New Roman"/>
          <w:i/>
          <w:color w:val="000000"/>
          <w:sz w:val="20"/>
          <w:szCs w:val="20"/>
        </w:rPr>
        <w:t>World Journal of Social Sciences and Humanities, 11</w:t>
      </w:r>
      <w:r>
        <w:rPr>
          <w:rFonts w:ascii="Times New Roman" w:hAnsi="Times New Roman" w:cs="Times New Roman"/>
          <w:color w:val="000000"/>
          <w:sz w:val="20"/>
          <w:szCs w:val="20"/>
        </w:rPr>
        <w:t>(2), 25–32. https://doi.org/10.12691/wjssh-11-2-2</w:t>
      </w:r>
    </w:p>
    <w:p w14:paraId="0B87A5CB" w14:textId="77777777" w:rsidR="00974622" w:rsidRDefault="00974622" w:rsidP="00974622">
      <w:pPr>
        <w:rPr>
          <w:rFonts w:ascii="Times New Roman" w:hAnsi="Times New Roman" w:cs="Times New Roman"/>
          <w:color w:val="000000"/>
          <w:sz w:val="20"/>
          <w:szCs w:val="20"/>
        </w:rPr>
      </w:pPr>
    </w:p>
    <w:p w14:paraId="6DF02054"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Zhao, H. Q., &amp; Li, Y. Q. (2026). A pedagogical model for commonsense and logical reasoning toward coherence in academic writing. </w:t>
      </w:r>
      <w:r>
        <w:rPr>
          <w:rFonts w:ascii="Times New Roman" w:hAnsi="Times New Roman" w:cs="Times New Roman"/>
          <w:i/>
          <w:color w:val="000000"/>
          <w:sz w:val="20"/>
          <w:szCs w:val="20"/>
        </w:rPr>
        <w:t>International Journal of Cognitive Sciences, 2</w:t>
      </w:r>
      <w:r>
        <w:rPr>
          <w:rFonts w:ascii="Times New Roman" w:hAnsi="Times New Roman" w:cs="Times New Roman"/>
          <w:color w:val="000000"/>
          <w:sz w:val="20"/>
          <w:szCs w:val="20"/>
        </w:rPr>
        <w:t>(1), Article 7. https://doi.org/10.3390/ijcs2010007</w:t>
      </w:r>
    </w:p>
    <w:p w14:paraId="30153093" w14:textId="77777777" w:rsidR="00974622" w:rsidRDefault="00974622" w:rsidP="00974622">
      <w:pPr>
        <w:rPr>
          <w:rFonts w:ascii="Times New Roman" w:hAnsi="Times New Roman" w:cs="Times New Roman"/>
          <w:color w:val="000000"/>
          <w:sz w:val="20"/>
          <w:szCs w:val="20"/>
        </w:rPr>
      </w:pPr>
    </w:p>
    <w:p w14:paraId="37F54D32" w14:textId="77777777" w:rsidR="00974622" w:rsidRDefault="00974622" w:rsidP="00974622">
      <w:pPr>
        <w:rPr>
          <w:rFonts w:ascii="Times New Roman" w:hAnsi="Times New Roman" w:cs="Times New Roman"/>
          <w:color w:val="000000"/>
          <w:sz w:val="20"/>
          <w:szCs w:val="20"/>
        </w:rPr>
      </w:pPr>
      <w:r>
        <w:rPr>
          <w:rFonts w:ascii="Times New Roman" w:hAnsi="Times New Roman" w:cs="Times New Roman"/>
          <w:color w:val="000000"/>
          <w:sz w:val="20"/>
          <w:szCs w:val="20"/>
        </w:rPr>
        <w:t xml:space="preserve">Zhao, H. Q., &amp; Poulson, L. (2006). A biographical narrative inquiry into teachers’ knowledge: An intergenerational approach. </w:t>
      </w:r>
      <w:r>
        <w:rPr>
          <w:rFonts w:ascii="Times New Roman" w:hAnsi="Times New Roman" w:cs="Times New Roman"/>
          <w:i/>
          <w:color w:val="000000"/>
          <w:sz w:val="20"/>
          <w:szCs w:val="20"/>
        </w:rPr>
        <w:t>Asia Pacific Education Review, 7</w:t>
      </w:r>
      <w:r>
        <w:rPr>
          <w:rFonts w:ascii="Times New Roman" w:hAnsi="Times New Roman" w:cs="Times New Roman"/>
          <w:color w:val="000000"/>
          <w:sz w:val="20"/>
          <w:szCs w:val="20"/>
        </w:rPr>
        <w:t>(2), 123–132. https://doi.org/10.1007/BF03031536</w:t>
      </w:r>
    </w:p>
    <w:p w14:paraId="589F502D" w14:textId="77777777" w:rsidR="00974622" w:rsidRPr="00974622" w:rsidRDefault="00974622" w:rsidP="004B4236">
      <w:pPr>
        <w:widowControl/>
        <w:spacing w:before="240" w:after="240"/>
        <w:rPr>
          <w:rFonts w:ascii="Times New Roman" w:eastAsia="SimSun" w:hAnsi="Times New Roman" w:cs="Times New Roman"/>
          <w:color w:val="0F1115"/>
          <w:kern w:val="0"/>
          <w:sz w:val="20"/>
          <w:szCs w:val="20"/>
        </w:rPr>
      </w:pPr>
    </w:p>
    <w:sectPr w:rsidR="00974622" w:rsidRPr="00974622" w:rsidSect="004169E8">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95C49" w14:textId="77777777" w:rsidR="001C3CC4" w:rsidRDefault="001C3CC4" w:rsidP="004E0DE4">
      <w:r>
        <w:separator/>
      </w:r>
    </w:p>
  </w:endnote>
  <w:endnote w:type="continuationSeparator" w:id="0">
    <w:p w14:paraId="31292393" w14:textId="77777777" w:rsidR="001C3CC4" w:rsidRDefault="001C3CC4" w:rsidP="004E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0935670"/>
      <w:docPartObj>
        <w:docPartGallery w:val="Page Numbers (Bottom of Page)"/>
        <w:docPartUnique/>
      </w:docPartObj>
    </w:sdtPr>
    <w:sdtContent>
      <w:p w14:paraId="2661FE07" w14:textId="77777777" w:rsidR="004E0DE4" w:rsidRDefault="004E0DE4" w:rsidP="006C32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B189B" w14:textId="77777777" w:rsidR="004E0DE4" w:rsidRDefault="004E0DE4" w:rsidP="004E0D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1442885"/>
      <w:docPartObj>
        <w:docPartGallery w:val="Page Numbers (Bottom of Page)"/>
        <w:docPartUnique/>
      </w:docPartObj>
    </w:sdtPr>
    <w:sdtContent>
      <w:p w14:paraId="13AF8CB0" w14:textId="77777777" w:rsidR="004E0DE4" w:rsidRDefault="004E0DE4" w:rsidP="006C32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B4F40F" w14:textId="77777777" w:rsidR="004E0DE4" w:rsidRDefault="004E0DE4" w:rsidP="004E0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2E3C" w14:textId="77777777" w:rsidR="00255800" w:rsidRDefault="00255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F2DB" w14:textId="77777777" w:rsidR="001C3CC4" w:rsidRDefault="001C3CC4" w:rsidP="004E0DE4">
      <w:r>
        <w:separator/>
      </w:r>
    </w:p>
  </w:footnote>
  <w:footnote w:type="continuationSeparator" w:id="0">
    <w:p w14:paraId="44FDCDE4" w14:textId="77777777" w:rsidR="001C3CC4" w:rsidRDefault="001C3CC4" w:rsidP="004E0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3CA0" w14:textId="24F6B85C" w:rsidR="00255800" w:rsidRDefault="00255800">
    <w:pPr>
      <w:pStyle w:val="Header"/>
    </w:pPr>
    <w:r>
      <w:rPr>
        <w:noProof/>
      </w:rPr>
      <w:pict w14:anchorId="3032B9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0751" o:spid="_x0000_s1026" type="#_x0000_t136" style="position:absolute;left:0;text-align:left;margin-left:0;margin-top:0;width:526.6pt;height:58.5pt;rotation:315;z-index:-251655168;mso-position-horizontal:center;mso-position-horizontal-relative:margin;mso-position-vertical:center;mso-position-vertical-relative:margin" o:allowincell="f" fillcolor="silver" stroked="f">
          <v:fill opacity=".5"/>
          <v:textpath style="font-family:&quot;DengXi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CF4A" w14:textId="55F02A7E" w:rsidR="00255800" w:rsidRDefault="00255800">
    <w:pPr>
      <w:pStyle w:val="Header"/>
    </w:pPr>
    <w:r>
      <w:rPr>
        <w:noProof/>
      </w:rPr>
      <w:pict w14:anchorId="6FDB95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0752" o:spid="_x0000_s1027" type="#_x0000_t136" style="position:absolute;left:0;text-align:left;margin-left:0;margin-top:0;width:526.6pt;height:58.5pt;rotation:315;z-index:-251653120;mso-position-horizontal:center;mso-position-horizontal-relative:margin;mso-position-vertical:center;mso-position-vertical-relative:margin" o:allowincell="f" fillcolor="silver" stroked="f">
          <v:fill opacity=".5"/>
          <v:textpath style="font-family:&quot;DengXi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DF8A" w14:textId="2C49A6D3" w:rsidR="00255800" w:rsidRDefault="00255800">
    <w:pPr>
      <w:pStyle w:val="Header"/>
    </w:pPr>
    <w:r>
      <w:rPr>
        <w:noProof/>
      </w:rPr>
      <w:pict w14:anchorId="72F140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0750" o:spid="_x0000_s1025" type="#_x0000_t136" style="position:absolute;left:0;text-align:left;margin-left:0;margin-top:0;width:526.6pt;height:58.5pt;rotation:315;z-index:-251657216;mso-position-horizontal:center;mso-position-horizontal-relative:margin;mso-position-vertical:center;mso-position-vertical-relative:margin" o:allowincell="f" fillcolor="silver" stroked="f">
          <v:fill opacity=".5"/>
          <v:textpath style="font-family:&quot;DengXi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C7A"/>
    <w:rsid w:val="00092C7A"/>
    <w:rsid w:val="000E08AD"/>
    <w:rsid w:val="001C3CC4"/>
    <w:rsid w:val="001F747F"/>
    <w:rsid w:val="00242272"/>
    <w:rsid w:val="00255800"/>
    <w:rsid w:val="004169E8"/>
    <w:rsid w:val="00492D31"/>
    <w:rsid w:val="004B4236"/>
    <w:rsid w:val="004E0DE4"/>
    <w:rsid w:val="00570397"/>
    <w:rsid w:val="00620B13"/>
    <w:rsid w:val="007320A2"/>
    <w:rsid w:val="00756D01"/>
    <w:rsid w:val="00795C2B"/>
    <w:rsid w:val="007E3B00"/>
    <w:rsid w:val="00974622"/>
    <w:rsid w:val="00B02C5F"/>
    <w:rsid w:val="00BA7EBD"/>
    <w:rsid w:val="00BC7B8D"/>
    <w:rsid w:val="00C85C74"/>
    <w:rsid w:val="00D13DEA"/>
    <w:rsid w:val="00D856FD"/>
    <w:rsid w:val="00FF5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D132D"/>
  <w15:chartTrackingRefBased/>
  <w15:docId w15:val="{9E3E626A-4E4F-2A40-BC70-8A28A492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092C7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092C7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092C7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092C7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092C7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092C7A"/>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092C7A"/>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092C7A"/>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092C7A"/>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C7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092C7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092C7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092C7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092C7A"/>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092C7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092C7A"/>
    <w:rPr>
      <w:rFonts w:cstheme="majorBidi"/>
      <w:b/>
      <w:bCs/>
      <w:color w:val="595959" w:themeColor="text1" w:themeTint="A6"/>
    </w:rPr>
  </w:style>
  <w:style w:type="character" w:customStyle="1" w:styleId="Heading8Char">
    <w:name w:val="Heading 8 Char"/>
    <w:basedOn w:val="DefaultParagraphFont"/>
    <w:link w:val="Heading8"/>
    <w:uiPriority w:val="9"/>
    <w:semiHidden/>
    <w:rsid w:val="00092C7A"/>
    <w:rPr>
      <w:rFonts w:cstheme="majorBidi"/>
      <w:color w:val="595959" w:themeColor="text1" w:themeTint="A6"/>
    </w:rPr>
  </w:style>
  <w:style w:type="character" w:customStyle="1" w:styleId="Heading9Char">
    <w:name w:val="Heading 9 Char"/>
    <w:basedOn w:val="DefaultParagraphFont"/>
    <w:link w:val="Heading9"/>
    <w:uiPriority w:val="9"/>
    <w:semiHidden/>
    <w:rsid w:val="00092C7A"/>
    <w:rPr>
      <w:rFonts w:eastAsiaTheme="majorEastAsia" w:cstheme="majorBidi"/>
      <w:color w:val="595959" w:themeColor="text1" w:themeTint="A6"/>
    </w:rPr>
  </w:style>
  <w:style w:type="paragraph" w:styleId="Title">
    <w:name w:val="Title"/>
    <w:basedOn w:val="Normal"/>
    <w:next w:val="Normal"/>
    <w:link w:val="TitleChar"/>
    <w:uiPriority w:val="10"/>
    <w:qFormat/>
    <w:rsid w:val="00092C7A"/>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C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C7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92C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2C7A"/>
    <w:rPr>
      <w:i/>
      <w:iCs/>
      <w:color w:val="404040" w:themeColor="text1" w:themeTint="BF"/>
    </w:rPr>
  </w:style>
  <w:style w:type="paragraph" w:styleId="ListParagraph">
    <w:name w:val="List Paragraph"/>
    <w:basedOn w:val="Normal"/>
    <w:uiPriority w:val="34"/>
    <w:qFormat/>
    <w:rsid w:val="00092C7A"/>
    <w:pPr>
      <w:ind w:left="720"/>
      <w:contextualSpacing/>
    </w:pPr>
  </w:style>
  <w:style w:type="character" w:styleId="IntenseEmphasis">
    <w:name w:val="Intense Emphasis"/>
    <w:basedOn w:val="DefaultParagraphFont"/>
    <w:uiPriority w:val="21"/>
    <w:qFormat/>
    <w:rsid w:val="00092C7A"/>
    <w:rPr>
      <w:i/>
      <w:iCs/>
      <w:color w:val="0F4761" w:themeColor="accent1" w:themeShade="BF"/>
    </w:rPr>
  </w:style>
  <w:style w:type="paragraph" w:styleId="IntenseQuote">
    <w:name w:val="Intense Quote"/>
    <w:basedOn w:val="Normal"/>
    <w:next w:val="Normal"/>
    <w:link w:val="IntenseQuoteChar"/>
    <w:uiPriority w:val="30"/>
    <w:qFormat/>
    <w:rsid w:val="00092C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C7A"/>
    <w:rPr>
      <w:i/>
      <w:iCs/>
      <w:color w:val="0F4761" w:themeColor="accent1" w:themeShade="BF"/>
    </w:rPr>
  </w:style>
  <w:style w:type="character" w:styleId="IntenseReference">
    <w:name w:val="Intense Reference"/>
    <w:basedOn w:val="DefaultParagraphFont"/>
    <w:uiPriority w:val="32"/>
    <w:qFormat/>
    <w:rsid w:val="00092C7A"/>
    <w:rPr>
      <w:b/>
      <w:bCs/>
      <w:smallCaps/>
      <w:color w:val="0F4761" w:themeColor="accent1" w:themeShade="BF"/>
      <w:spacing w:val="5"/>
    </w:rPr>
  </w:style>
  <w:style w:type="paragraph" w:customStyle="1" w:styleId="ds-markdown-paragraph">
    <w:name w:val="ds-markdown-paragraph"/>
    <w:basedOn w:val="Normal"/>
    <w:rsid w:val="00092C7A"/>
    <w:pPr>
      <w:widowControl/>
      <w:spacing w:before="100" w:beforeAutospacing="1" w:after="100" w:afterAutospacing="1"/>
      <w:jc w:val="left"/>
    </w:pPr>
    <w:rPr>
      <w:rFonts w:ascii="SimSun" w:eastAsia="SimSun" w:hAnsi="SimSun" w:cs="SimSun"/>
      <w:kern w:val="0"/>
      <w:sz w:val="24"/>
    </w:rPr>
  </w:style>
  <w:style w:type="character" w:styleId="Strong">
    <w:name w:val="Strong"/>
    <w:basedOn w:val="DefaultParagraphFont"/>
    <w:uiPriority w:val="22"/>
    <w:qFormat/>
    <w:rsid w:val="00092C7A"/>
    <w:rPr>
      <w:b/>
      <w:bCs/>
    </w:rPr>
  </w:style>
  <w:style w:type="character" w:customStyle="1" w:styleId="apple-converted-space">
    <w:name w:val="apple-converted-space"/>
    <w:basedOn w:val="DefaultParagraphFont"/>
    <w:rsid w:val="00092C7A"/>
  </w:style>
  <w:style w:type="paragraph" w:styleId="Footer">
    <w:name w:val="footer"/>
    <w:basedOn w:val="Normal"/>
    <w:link w:val="FooterChar"/>
    <w:uiPriority w:val="99"/>
    <w:unhideWhenUsed/>
    <w:rsid w:val="004E0DE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E0DE4"/>
    <w:rPr>
      <w:sz w:val="18"/>
      <w:szCs w:val="18"/>
    </w:rPr>
  </w:style>
  <w:style w:type="character" w:styleId="PageNumber">
    <w:name w:val="page number"/>
    <w:basedOn w:val="DefaultParagraphFont"/>
    <w:uiPriority w:val="99"/>
    <w:semiHidden/>
    <w:unhideWhenUsed/>
    <w:rsid w:val="004E0DE4"/>
  </w:style>
  <w:style w:type="character" w:styleId="Emphasis">
    <w:name w:val="Emphasis"/>
    <w:basedOn w:val="DefaultParagraphFont"/>
    <w:uiPriority w:val="20"/>
    <w:qFormat/>
    <w:rsid w:val="00974622"/>
    <w:rPr>
      <w:i/>
      <w:iCs/>
    </w:rPr>
  </w:style>
  <w:style w:type="character" w:styleId="Hyperlink">
    <w:name w:val="Hyperlink"/>
    <w:basedOn w:val="DefaultParagraphFont"/>
    <w:uiPriority w:val="99"/>
    <w:semiHidden/>
    <w:unhideWhenUsed/>
    <w:rsid w:val="00974622"/>
    <w:rPr>
      <w:color w:val="0000FF"/>
      <w:u w:val="single"/>
    </w:rPr>
  </w:style>
  <w:style w:type="paragraph" w:styleId="Header">
    <w:name w:val="header"/>
    <w:basedOn w:val="Normal"/>
    <w:link w:val="HeaderChar"/>
    <w:uiPriority w:val="99"/>
    <w:unhideWhenUsed/>
    <w:rsid w:val="00255800"/>
    <w:pPr>
      <w:tabs>
        <w:tab w:val="center" w:pos="4680"/>
        <w:tab w:val="right" w:pos="9360"/>
      </w:tabs>
    </w:pPr>
  </w:style>
  <w:style w:type="character" w:customStyle="1" w:styleId="HeaderChar">
    <w:name w:val="Header Char"/>
    <w:basedOn w:val="DefaultParagraphFont"/>
    <w:link w:val="Header"/>
    <w:uiPriority w:val="99"/>
    <w:rsid w:val="00255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45186">
      <w:bodyDiv w:val="1"/>
      <w:marLeft w:val="0"/>
      <w:marRight w:val="0"/>
      <w:marTop w:val="0"/>
      <w:marBottom w:val="0"/>
      <w:divBdr>
        <w:top w:val="none" w:sz="0" w:space="0" w:color="auto"/>
        <w:left w:val="none" w:sz="0" w:space="0" w:color="auto"/>
        <w:bottom w:val="none" w:sz="0" w:space="0" w:color="auto"/>
        <w:right w:val="none" w:sz="0" w:space="0" w:color="auto"/>
      </w:divBdr>
    </w:div>
    <w:div w:id="388966371">
      <w:bodyDiv w:val="1"/>
      <w:marLeft w:val="0"/>
      <w:marRight w:val="0"/>
      <w:marTop w:val="0"/>
      <w:marBottom w:val="0"/>
      <w:divBdr>
        <w:top w:val="none" w:sz="0" w:space="0" w:color="auto"/>
        <w:left w:val="none" w:sz="0" w:space="0" w:color="auto"/>
        <w:bottom w:val="none" w:sz="0" w:space="0" w:color="auto"/>
        <w:right w:val="none" w:sz="0" w:space="0" w:color="auto"/>
      </w:divBdr>
      <w:divsChild>
        <w:div w:id="1768772227">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442848273">
      <w:bodyDiv w:val="1"/>
      <w:marLeft w:val="0"/>
      <w:marRight w:val="0"/>
      <w:marTop w:val="0"/>
      <w:marBottom w:val="0"/>
      <w:divBdr>
        <w:top w:val="none" w:sz="0" w:space="0" w:color="auto"/>
        <w:left w:val="none" w:sz="0" w:space="0" w:color="auto"/>
        <w:bottom w:val="none" w:sz="0" w:space="0" w:color="auto"/>
        <w:right w:val="none" w:sz="0" w:space="0" w:color="auto"/>
      </w:divBdr>
    </w:div>
    <w:div w:id="450589463">
      <w:bodyDiv w:val="1"/>
      <w:marLeft w:val="0"/>
      <w:marRight w:val="0"/>
      <w:marTop w:val="0"/>
      <w:marBottom w:val="0"/>
      <w:divBdr>
        <w:top w:val="none" w:sz="0" w:space="0" w:color="auto"/>
        <w:left w:val="none" w:sz="0" w:space="0" w:color="auto"/>
        <w:bottom w:val="none" w:sz="0" w:space="0" w:color="auto"/>
        <w:right w:val="none" w:sz="0" w:space="0" w:color="auto"/>
      </w:divBdr>
    </w:div>
    <w:div w:id="498541956">
      <w:bodyDiv w:val="1"/>
      <w:marLeft w:val="0"/>
      <w:marRight w:val="0"/>
      <w:marTop w:val="0"/>
      <w:marBottom w:val="0"/>
      <w:divBdr>
        <w:top w:val="none" w:sz="0" w:space="0" w:color="auto"/>
        <w:left w:val="none" w:sz="0" w:space="0" w:color="auto"/>
        <w:bottom w:val="none" w:sz="0" w:space="0" w:color="auto"/>
        <w:right w:val="none" w:sz="0" w:space="0" w:color="auto"/>
      </w:divBdr>
    </w:div>
    <w:div w:id="528419205">
      <w:bodyDiv w:val="1"/>
      <w:marLeft w:val="0"/>
      <w:marRight w:val="0"/>
      <w:marTop w:val="0"/>
      <w:marBottom w:val="0"/>
      <w:divBdr>
        <w:top w:val="none" w:sz="0" w:space="0" w:color="auto"/>
        <w:left w:val="none" w:sz="0" w:space="0" w:color="auto"/>
        <w:bottom w:val="none" w:sz="0" w:space="0" w:color="auto"/>
        <w:right w:val="none" w:sz="0" w:space="0" w:color="auto"/>
      </w:divBdr>
      <w:divsChild>
        <w:div w:id="19818274">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558443821">
      <w:bodyDiv w:val="1"/>
      <w:marLeft w:val="0"/>
      <w:marRight w:val="0"/>
      <w:marTop w:val="0"/>
      <w:marBottom w:val="0"/>
      <w:divBdr>
        <w:top w:val="none" w:sz="0" w:space="0" w:color="auto"/>
        <w:left w:val="none" w:sz="0" w:space="0" w:color="auto"/>
        <w:bottom w:val="none" w:sz="0" w:space="0" w:color="auto"/>
        <w:right w:val="none" w:sz="0" w:space="0" w:color="auto"/>
      </w:divBdr>
    </w:div>
    <w:div w:id="567959880">
      <w:bodyDiv w:val="1"/>
      <w:marLeft w:val="0"/>
      <w:marRight w:val="0"/>
      <w:marTop w:val="0"/>
      <w:marBottom w:val="0"/>
      <w:divBdr>
        <w:top w:val="none" w:sz="0" w:space="0" w:color="auto"/>
        <w:left w:val="none" w:sz="0" w:space="0" w:color="auto"/>
        <w:bottom w:val="none" w:sz="0" w:space="0" w:color="auto"/>
        <w:right w:val="none" w:sz="0" w:space="0" w:color="auto"/>
      </w:divBdr>
    </w:div>
    <w:div w:id="609776716">
      <w:bodyDiv w:val="1"/>
      <w:marLeft w:val="0"/>
      <w:marRight w:val="0"/>
      <w:marTop w:val="0"/>
      <w:marBottom w:val="0"/>
      <w:divBdr>
        <w:top w:val="none" w:sz="0" w:space="0" w:color="auto"/>
        <w:left w:val="none" w:sz="0" w:space="0" w:color="auto"/>
        <w:bottom w:val="none" w:sz="0" w:space="0" w:color="auto"/>
        <w:right w:val="none" w:sz="0" w:space="0" w:color="auto"/>
      </w:divBdr>
    </w:div>
    <w:div w:id="675502042">
      <w:bodyDiv w:val="1"/>
      <w:marLeft w:val="0"/>
      <w:marRight w:val="0"/>
      <w:marTop w:val="0"/>
      <w:marBottom w:val="0"/>
      <w:divBdr>
        <w:top w:val="none" w:sz="0" w:space="0" w:color="auto"/>
        <w:left w:val="none" w:sz="0" w:space="0" w:color="auto"/>
        <w:bottom w:val="none" w:sz="0" w:space="0" w:color="auto"/>
        <w:right w:val="none" w:sz="0" w:space="0" w:color="auto"/>
      </w:divBdr>
    </w:div>
    <w:div w:id="700133201">
      <w:bodyDiv w:val="1"/>
      <w:marLeft w:val="0"/>
      <w:marRight w:val="0"/>
      <w:marTop w:val="0"/>
      <w:marBottom w:val="0"/>
      <w:divBdr>
        <w:top w:val="none" w:sz="0" w:space="0" w:color="auto"/>
        <w:left w:val="none" w:sz="0" w:space="0" w:color="auto"/>
        <w:bottom w:val="none" w:sz="0" w:space="0" w:color="auto"/>
        <w:right w:val="none" w:sz="0" w:space="0" w:color="auto"/>
      </w:divBdr>
      <w:divsChild>
        <w:div w:id="552624469">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708385443">
      <w:bodyDiv w:val="1"/>
      <w:marLeft w:val="0"/>
      <w:marRight w:val="0"/>
      <w:marTop w:val="0"/>
      <w:marBottom w:val="0"/>
      <w:divBdr>
        <w:top w:val="none" w:sz="0" w:space="0" w:color="auto"/>
        <w:left w:val="none" w:sz="0" w:space="0" w:color="auto"/>
        <w:bottom w:val="none" w:sz="0" w:space="0" w:color="auto"/>
        <w:right w:val="none" w:sz="0" w:space="0" w:color="auto"/>
      </w:divBdr>
    </w:div>
    <w:div w:id="1157961953">
      <w:bodyDiv w:val="1"/>
      <w:marLeft w:val="0"/>
      <w:marRight w:val="0"/>
      <w:marTop w:val="0"/>
      <w:marBottom w:val="0"/>
      <w:divBdr>
        <w:top w:val="none" w:sz="0" w:space="0" w:color="auto"/>
        <w:left w:val="none" w:sz="0" w:space="0" w:color="auto"/>
        <w:bottom w:val="none" w:sz="0" w:space="0" w:color="auto"/>
        <w:right w:val="none" w:sz="0" w:space="0" w:color="auto"/>
      </w:divBdr>
    </w:div>
    <w:div w:id="1286306058">
      <w:bodyDiv w:val="1"/>
      <w:marLeft w:val="0"/>
      <w:marRight w:val="0"/>
      <w:marTop w:val="0"/>
      <w:marBottom w:val="0"/>
      <w:divBdr>
        <w:top w:val="none" w:sz="0" w:space="0" w:color="auto"/>
        <w:left w:val="none" w:sz="0" w:space="0" w:color="auto"/>
        <w:bottom w:val="none" w:sz="0" w:space="0" w:color="auto"/>
        <w:right w:val="none" w:sz="0" w:space="0" w:color="auto"/>
      </w:divBdr>
      <w:divsChild>
        <w:div w:id="545915339">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315450833">
      <w:bodyDiv w:val="1"/>
      <w:marLeft w:val="0"/>
      <w:marRight w:val="0"/>
      <w:marTop w:val="0"/>
      <w:marBottom w:val="0"/>
      <w:divBdr>
        <w:top w:val="none" w:sz="0" w:space="0" w:color="auto"/>
        <w:left w:val="none" w:sz="0" w:space="0" w:color="auto"/>
        <w:bottom w:val="none" w:sz="0" w:space="0" w:color="auto"/>
        <w:right w:val="none" w:sz="0" w:space="0" w:color="auto"/>
      </w:divBdr>
    </w:div>
    <w:div w:id="1378356449">
      <w:bodyDiv w:val="1"/>
      <w:marLeft w:val="0"/>
      <w:marRight w:val="0"/>
      <w:marTop w:val="0"/>
      <w:marBottom w:val="0"/>
      <w:divBdr>
        <w:top w:val="none" w:sz="0" w:space="0" w:color="auto"/>
        <w:left w:val="none" w:sz="0" w:space="0" w:color="auto"/>
        <w:bottom w:val="none" w:sz="0" w:space="0" w:color="auto"/>
        <w:right w:val="none" w:sz="0" w:space="0" w:color="auto"/>
      </w:divBdr>
    </w:div>
    <w:div w:id="1414547888">
      <w:bodyDiv w:val="1"/>
      <w:marLeft w:val="0"/>
      <w:marRight w:val="0"/>
      <w:marTop w:val="0"/>
      <w:marBottom w:val="0"/>
      <w:divBdr>
        <w:top w:val="none" w:sz="0" w:space="0" w:color="auto"/>
        <w:left w:val="none" w:sz="0" w:space="0" w:color="auto"/>
        <w:bottom w:val="none" w:sz="0" w:space="0" w:color="auto"/>
        <w:right w:val="none" w:sz="0" w:space="0" w:color="auto"/>
      </w:divBdr>
      <w:divsChild>
        <w:div w:id="941843532">
          <w:marLeft w:val="660"/>
          <w:marRight w:val="660"/>
          <w:marTop w:val="0"/>
          <w:marBottom w:val="0"/>
          <w:divBdr>
            <w:top w:val="none" w:sz="0" w:space="0" w:color="auto"/>
            <w:left w:val="none" w:sz="0" w:space="0" w:color="auto"/>
            <w:bottom w:val="none" w:sz="0" w:space="0" w:color="auto"/>
            <w:right w:val="none" w:sz="0" w:space="0" w:color="auto"/>
          </w:divBdr>
          <w:divsChild>
            <w:div w:id="115566724">
              <w:marLeft w:val="0"/>
              <w:marRight w:val="0"/>
              <w:marTop w:val="0"/>
              <w:marBottom w:val="0"/>
              <w:divBdr>
                <w:top w:val="none" w:sz="0" w:space="0" w:color="auto"/>
                <w:left w:val="none" w:sz="0" w:space="0" w:color="auto"/>
                <w:bottom w:val="none" w:sz="0" w:space="0" w:color="auto"/>
                <w:right w:val="none" w:sz="0" w:space="0" w:color="auto"/>
              </w:divBdr>
              <w:divsChild>
                <w:div w:id="1118530824">
                  <w:marLeft w:val="0"/>
                  <w:marRight w:val="0"/>
                  <w:marTop w:val="0"/>
                  <w:marBottom w:val="0"/>
                  <w:divBdr>
                    <w:top w:val="none" w:sz="0" w:space="0" w:color="auto"/>
                    <w:left w:val="none" w:sz="0" w:space="0" w:color="auto"/>
                    <w:bottom w:val="none" w:sz="0" w:space="0" w:color="auto"/>
                    <w:right w:val="none" w:sz="0" w:space="0" w:color="auto"/>
                  </w:divBdr>
                  <w:divsChild>
                    <w:div w:id="286474586">
                      <w:marLeft w:val="0"/>
                      <w:marRight w:val="0"/>
                      <w:marTop w:val="0"/>
                      <w:marBottom w:val="0"/>
                      <w:divBdr>
                        <w:top w:val="none" w:sz="0" w:space="0" w:color="auto"/>
                        <w:left w:val="none" w:sz="0" w:space="0" w:color="auto"/>
                        <w:bottom w:val="none" w:sz="0" w:space="0" w:color="auto"/>
                        <w:right w:val="none" w:sz="0" w:space="0" w:color="auto"/>
                      </w:divBdr>
                      <w:divsChild>
                        <w:div w:id="913204552">
                          <w:marLeft w:val="0"/>
                          <w:marRight w:val="0"/>
                          <w:marTop w:val="0"/>
                          <w:marBottom w:val="0"/>
                          <w:divBdr>
                            <w:top w:val="none" w:sz="0" w:space="0" w:color="auto"/>
                            <w:left w:val="none" w:sz="0" w:space="0" w:color="auto"/>
                            <w:bottom w:val="none" w:sz="0" w:space="0" w:color="auto"/>
                            <w:right w:val="none" w:sz="0" w:space="0" w:color="auto"/>
                          </w:divBdr>
                          <w:divsChild>
                            <w:div w:id="18746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533392">
                  <w:marLeft w:val="0"/>
                  <w:marRight w:val="0"/>
                  <w:marTop w:val="0"/>
                  <w:marBottom w:val="0"/>
                  <w:divBdr>
                    <w:top w:val="none" w:sz="0" w:space="0" w:color="auto"/>
                    <w:left w:val="none" w:sz="0" w:space="0" w:color="auto"/>
                    <w:bottom w:val="none" w:sz="0" w:space="0" w:color="auto"/>
                    <w:right w:val="none" w:sz="0" w:space="0" w:color="auto"/>
                  </w:divBdr>
                  <w:divsChild>
                    <w:div w:id="1565290054">
                      <w:marLeft w:val="0"/>
                      <w:marRight w:val="0"/>
                      <w:marTop w:val="0"/>
                      <w:marBottom w:val="0"/>
                      <w:divBdr>
                        <w:top w:val="none" w:sz="0" w:space="0" w:color="auto"/>
                        <w:left w:val="none" w:sz="0" w:space="0" w:color="auto"/>
                        <w:bottom w:val="none" w:sz="0" w:space="0" w:color="auto"/>
                        <w:right w:val="none" w:sz="0" w:space="0" w:color="auto"/>
                      </w:divBdr>
                      <w:divsChild>
                        <w:div w:id="247352034">
                          <w:marLeft w:val="0"/>
                          <w:marRight w:val="0"/>
                          <w:marTop w:val="0"/>
                          <w:marBottom w:val="0"/>
                          <w:divBdr>
                            <w:top w:val="none" w:sz="0" w:space="0" w:color="auto"/>
                            <w:left w:val="none" w:sz="0" w:space="0" w:color="auto"/>
                            <w:bottom w:val="none" w:sz="0" w:space="0" w:color="auto"/>
                            <w:right w:val="none" w:sz="0" w:space="0" w:color="auto"/>
                          </w:divBdr>
                          <w:divsChild>
                            <w:div w:id="1800613087">
                              <w:marLeft w:val="0"/>
                              <w:marRight w:val="0"/>
                              <w:marTop w:val="0"/>
                              <w:marBottom w:val="0"/>
                              <w:divBdr>
                                <w:top w:val="none" w:sz="0" w:space="0" w:color="auto"/>
                                <w:left w:val="none" w:sz="0" w:space="0" w:color="auto"/>
                                <w:bottom w:val="none" w:sz="0" w:space="0" w:color="auto"/>
                                <w:right w:val="none" w:sz="0" w:space="0" w:color="auto"/>
                              </w:divBdr>
                              <w:divsChild>
                                <w:div w:id="214711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361092">
                  <w:marLeft w:val="0"/>
                  <w:marRight w:val="0"/>
                  <w:marTop w:val="0"/>
                  <w:marBottom w:val="0"/>
                  <w:divBdr>
                    <w:top w:val="none" w:sz="0" w:space="0" w:color="auto"/>
                    <w:left w:val="none" w:sz="0" w:space="0" w:color="auto"/>
                    <w:bottom w:val="none" w:sz="0" w:space="0" w:color="auto"/>
                    <w:right w:val="none" w:sz="0" w:space="0" w:color="auto"/>
                  </w:divBdr>
                  <w:divsChild>
                    <w:div w:id="1365131651">
                      <w:marLeft w:val="0"/>
                      <w:marRight w:val="0"/>
                      <w:marTop w:val="0"/>
                      <w:marBottom w:val="0"/>
                      <w:divBdr>
                        <w:top w:val="none" w:sz="0" w:space="0" w:color="auto"/>
                        <w:left w:val="none" w:sz="0" w:space="0" w:color="auto"/>
                        <w:bottom w:val="none" w:sz="0" w:space="0" w:color="auto"/>
                        <w:right w:val="none" w:sz="0" w:space="0" w:color="auto"/>
                      </w:divBdr>
                      <w:divsChild>
                        <w:div w:id="199702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68892">
                  <w:marLeft w:val="0"/>
                  <w:marRight w:val="0"/>
                  <w:marTop w:val="0"/>
                  <w:marBottom w:val="0"/>
                  <w:divBdr>
                    <w:top w:val="none" w:sz="0" w:space="0" w:color="auto"/>
                    <w:left w:val="none" w:sz="0" w:space="0" w:color="auto"/>
                    <w:bottom w:val="none" w:sz="0" w:space="0" w:color="auto"/>
                    <w:right w:val="none" w:sz="0" w:space="0" w:color="auto"/>
                  </w:divBdr>
                  <w:divsChild>
                    <w:div w:id="1313484060">
                      <w:marLeft w:val="0"/>
                      <w:marRight w:val="0"/>
                      <w:marTop w:val="0"/>
                      <w:marBottom w:val="0"/>
                      <w:divBdr>
                        <w:top w:val="none" w:sz="0" w:space="0" w:color="auto"/>
                        <w:left w:val="none" w:sz="0" w:space="0" w:color="auto"/>
                        <w:bottom w:val="none" w:sz="0" w:space="0" w:color="auto"/>
                        <w:right w:val="none" w:sz="0" w:space="0" w:color="auto"/>
                      </w:divBdr>
                      <w:divsChild>
                        <w:div w:id="1861890747">
                          <w:marLeft w:val="0"/>
                          <w:marRight w:val="0"/>
                          <w:marTop w:val="0"/>
                          <w:marBottom w:val="0"/>
                          <w:divBdr>
                            <w:top w:val="none" w:sz="0" w:space="0" w:color="auto"/>
                            <w:left w:val="none" w:sz="0" w:space="0" w:color="auto"/>
                            <w:bottom w:val="none" w:sz="0" w:space="0" w:color="auto"/>
                            <w:right w:val="none" w:sz="0" w:space="0" w:color="auto"/>
                          </w:divBdr>
                          <w:divsChild>
                            <w:div w:id="2049067349">
                              <w:marLeft w:val="0"/>
                              <w:marRight w:val="0"/>
                              <w:marTop w:val="0"/>
                              <w:marBottom w:val="0"/>
                              <w:divBdr>
                                <w:top w:val="none" w:sz="0" w:space="0" w:color="auto"/>
                                <w:left w:val="none" w:sz="0" w:space="0" w:color="auto"/>
                                <w:bottom w:val="none" w:sz="0" w:space="0" w:color="auto"/>
                                <w:right w:val="none" w:sz="0" w:space="0" w:color="auto"/>
                              </w:divBdr>
                              <w:divsChild>
                                <w:div w:id="132646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303447">
                  <w:marLeft w:val="0"/>
                  <w:marRight w:val="0"/>
                  <w:marTop w:val="0"/>
                  <w:marBottom w:val="0"/>
                  <w:divBdr>
                    <w:top w:val="none" w:sz="0" w:space="0" w:color="auto"/>
                    <w:left w:val="none" w:sz="0" w:space="0" w:color="auto"/>
                    <w:bottom w:val="none" w:sz="0" w:space="0" w:color="auto"/>
                    <w:right w:val="none" w:sz="0" w:space="0" w:color="auto"/>
                  </w:divBdr>
                  <w:divsChild>
                    <w:div w:id="383068930">
                      <w:marLeft w:val="0"/>
                      <w:marRight w:val="0"/>
                      <w:marTop w:val="0"/>
                      <w:marBottom w:val="0"/>
                      <w:divBdr>
                        <w:top w:val="none" w:sz="0" w:space="0" w:color="auto"/>
                        <w:left w:val="none" w:sz="0" w:space="0" w:color="auto"/>
                        <w:bottom w:val="none" w:sz="0" w:space="0" w:color="auto"/>
                        <w:right w:val="none" w:sz="0" w:space="0" w:color="auto"/>
                      </w:divBdr>
                      <w:divsChild>
                        <w:div w:id="46708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937027">
      <w:bodyDiv w:val="1"/>
      <w:marLeft w:val="0"/>
      <w:marRight w:val="0"/>
      <w:marTop w:val="0"/>
      <w:marBottom w:val="0"/>
      <w:divBdr>
        <w:top w:val="none" w:sz="0" w:space="0" w:color="auto"/>
        <w:left w:val="none" w:sz="0" w:space="0" w:color="auto"/>
        <w:bottom w:val="none" w:sz="0" w:space="0" w:color="auto"/>
        <w:right w:val="none" w:sz="0" w:space="0" w:color="auto"/>
      </w:divBdr>
    </w:div>
    <w:div w:id="1563247788">
      <w:bodyDiv w:val="1"/>
      <w:marLeft w:val="0"/>
      <w:marRight w:val="0"/>
      <w:marTop w:val="0"/>
      <w:marBottom w:val="0"/>
      <w:divBdr>
        <w:top w:val="none" w:sz="0" w:space="0" w:color="auto"/>
        <w:left w:val="none" w:sz="0" w:space="0" w:color="auto"/>
        <w:bottom w:val="none" w:sz="0" w:space="0" w:color="auto"/>
        <w:right w:val="none" w:sz="0" w:space="0" w:color="auto"/>
      </w:divBdr>
    </w:div>
    <w:div w:id="1762214934">
      <w:bodyDiv w:val="1"/>
      <w:marLeft w:val="0"/>
      <w:marRight w:val="0"/>
      <w:marTop w:val="0"/>
      <w:marBottom w:val="0"/>
      <w:divBdr>
        <w:top w:val="none" w:sz="0" w:space="0" w:color="auto"/>
        <w:left w:val="none" w:sz="0" w:space="0" w:color="auto"/>
        <w:bottom w:val="none" w:sz="0" w:space="0" w:color="auto"/>
        <w:right w:val="none" w:sz="0" w:space="0" w:color="auto"/>
      </w:divBdr>
    </w:div>
    <w:div w:id="1880585976">
      <w:bodyDiv w:val="1"/>
      <w:marLeft w:val="0"/>
      <w:marRight w:val="0"/>
      <w:marTop w:val="0"/>
      <w:marBottom w:val="0"/>
      <w:divBdr>
        <w:top w:val="none" w:sz="0" w:space="0" w:color="auto"/>
        <w:left w:val="none" w:sz="0" w:space="0" w:color="auto"/>
        <w:bottom w:val="none" w:sz="0" w:space="0" w:color="auto"/>
        <w:right w:val="none" w:sz="0" w:space="0" w:color="auto"/>
      </w:divBdr>
    </w:div>
    <w:div w:id="1900168816">
      <w:bodyDiv w:val="1"/>
      <w:marLeft w:val="0"/>
      <w:marRight w:val="0"/>
      <w:marTop w:val="0"/>
      <w:marBottom w:val="0"/>
      <w:divBdr>
        <w:top w:val="none" w:sz="0" w:space="0" w:color="auto"/>
        <w:left w:val="none" w:sz="0" w:space="0" w:color="auto"/>
        <w:bottom w:val="none" w:sz="0" w:space="0" w:color="auto"/>
        <w:right w:val="none" w:sz="0" w:space="0" w:color="auto"/>
      </w:divBdr>
    </w:div>
    <w:div w:id="1956716331">
      <w:bodyDiv w:val="1"/>
      <w:marLeft w:val="0"/>
      <w:marRight w:val="0"/>
      <w:marTop w:val="0"/>
      <w:marBottom w:val="0"/>
      <w:divBdr>
        <w:top w:val="none" w:sz="0" w:space="0" w:color="auto"/>
        <w:left w:val="none" w:sz="0" w:space="0" w:color="auto"/>
        <w:bottom w:val="none" w:sz="0" w:space="0" w:color="auto"/>
        <w:right w:val="none" w:sz="0" w:space="0" w:color="auto"/>
      </w:divBdr>
      <w:divsChild>
        <w:div w:id="2095931969">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2101487671">
      <w:bodyDiv w:val="1"/>
      <w:marLeft w:val="0"/>
      <w:marRight w:val="0"/>
      <w:marTop w:val="0"/>
      <w:marBottom w:val="0"/>
      <w:divBdr>
        <w:top w:val="none" w:sz="0" w:space="0" w:color="auto"/>
        <w:left w:val="none" w:sz="0" w:space="0" w:color="auto"/>
        <w:bottom w:val="none" w:sz="0" w:space="0" w:color="auto"/>
        <w:right w:val="none" w:sz="0" w:space="0" w:color="auto"/>
      </w:divBdr>
    </w:div>
    <w:div w:id="2130128112">
      <w:bodyDiv w:val="1"/>
      <w:marLeft w:val="0"/>
      <w:marRight w:val="0"/>
      <w:marTop w:val="0"/>
      <w:marBottom w:val="0"/>
      <w:divBdr>
        <w:top w:val="none" w:sz="0" w:space="0" w:color="auto"/>
        <w:left w:val="none" w:sz="0" w:space="0" w:color="auto"/>
        <w:bottom w:val="none" w:sz="0" w:space="0" w:color="auto"/>
        <w:right w:val="none" w:sz="0" w:space="0" w:color="auto"/>
      </w:divBdr>
      <w:divsChild>
        <w:div w:id="52243466">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doi.org/10.1017/S0261444826101207"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1952/9781529208580.ch008"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7555</Words>
  <Characters>43067</Characters>
  <Application>Microsoft Office Word</Application>
  <DocSecurity>0</DocSecurity>
  <Lines>358</Lines>
  <Paragraphs>101</Paragraphs>
  <ScaleCrop>false</ScaleCrop>
  <Company/>
  <LinksUpToDate>false</LinksUpToDate>
  <CharactersWithSpaces>50521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Hongqin Zhao</dc:creator>
  <cp:keywords/>
  <dc:description/>
  <cp:lastModifiedBy>SDI 1084</cp:lastModifiedBy>
  <cp:revision>6</cp:revision>
  <cp:lastPrinted>2026-09-08T08:53:00Z</cp:lastPrinted>
  <dcterms:created xsi:type="dcterms:W3CDTF">2026-09-09T01:00:00Z</dcterms:created>
  <dcterms:modified xsi:type="dcterms:W3CDTF">2026-09-11T08:23:00Z</dcterms:modified>
</cp:coreProperties>
</file>