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BE5F2" w14:textId="77777777" w:rsidR="006D7F12" w:rsidRDefault="006D7F12" w:rsidP="006D7F12">
      <w:pPr>
        <w:pStyle w:val="Title"/>
        <w:jc w:val="center"/>
        <w:rPr>
          <w:rFonts w:ascii="Arial" w:hAnsi="Arial"/>
          <w:bCs/>
          <w:i/>
          <w:iCs/>
          <w:u w:val="single"/>
        </w:rPr>
      </w:pPr>
      <w:r w:rsidRPr="006D7F12">
        <w:rPr>
          <w:rFonts w:ascii="Arial" w:hAnsi="Arial"/>
          <w:bCs/>
          <w:i/>
          <w:iCs/>
          <w:u w:val="single"/>
        </w:rPr>
        <w:t>Systematic Review</w:t>
      </w:r>
    </w:p>
    <w:p w14:paraId="32C6E444" w14:textId="77777777" w:rsidR="006D7F12" w:rsidRPr="006D7F12" w:rsidRDefault="006D7F12" w:rsidP="006D7F12"/>
    <w:p w14:paraId="525C65B7" w14:textId="47EA38F0" w:rsidR="0024466E" w:rsidRDefault="00000000">
      <w:pPr>
        <w:pStyle w:val="Title"/>
        <w:jc w:val="center"/>
      </w:pPr>
      <w:r>
        <w:rPr>
          <w:rFonts w:ascii="Arial" w:hAnsi="Arial"/>
        </w:rPr>
        <w:t xml:space="preserve">Incident Response in Cybersecurity: A Systematic Review </w:t>
      </w:r>
    </w:p>
    <w:p w14:paraId="1AD9A1DB" w14:textId="093E735C" w:rsidR="0024466E" w:rsidRDefault="0024466E"/>
    <w:p w14:paraId="2A23106C" w14:textId="77777777" w:rsidR="0024466E" w:rsidRDefault="00000000">
      <w:pPr>
        <w:pStyle w:val="Heading1"/>
      </w:pPr>
      <w:r>
        <w:t>Abstract</w:t>
      </w:r>
    </w:p>
    <w:p w14:paraId="1E39CC1D" w14:textId="77777777" w:rsidR="0024466E" w:rsidRDefault="00000000">
      <w:pPr>
        <w:spacing w:after="100" w:line="252" w:lineRule="auto"/>
      </w:pPr>
      <w:r>
        <w:rPr>
          <w:b/>
        </w:rPr>
        <w:t xml:space="preserve">Background: </w:t>
      </w:r>
      <w:r>
        <w:t>Cybersecurity incident response is commonly described as a sequence of technical activities, yet major incidents are managed by people working across organisational boundaries, under uncertainty and time pressure. Evidence about the human, organisational, procedural and technological conditions that shape response performance has not been consolidated across sectors.</w:t>
      </w:r>
    </w:p>
    <w:p w14:paraId="2A5835F3" w14:textId="77777777" w:rsidR="0024466E" w:rsidRDefault="00000000">
      <w:pPr>
        <w:spacing w:after="100" w:line="252" w:lineRule="auto"/>
      </w:pPr>
      <w:r>
        <w:rPr>
          <w:b/>
        </w:rPr>
        <w:t xml:space="preserve">Objective: </w:t>
      </w:r>
      <w:r>
        <w:t>To determine which factors shape organisational cybersecurity incident-response performance and what evidence exists that training, structured processes, collaboration or decision support improve operational outcomes.</w:t>
      </w:r>
    </w:p>
    <w:p w14:paraId="151A74B6" w14:textId="3ED503DE" w:rsidR="0024466E" w:rsidRDefault="00000000">
      <w:pPr>
        <w:spacing w:after="100" w:line="252" w:lineRule="auto"/>
      </w:pPr>
      <w:r>
        <w:rPr>
          <w:b/>
        </w:rPr>
        <w:t xml:space="preserve">Methods: </w:t>
      </w:r>
      <w:r>
        <w:t xml:space="preserve">An openly accessible evidence search was completed on 26 August 2026 for English-language primary empirical reports published from 1 January 2000 to 30 June 2026. Six reproducible web searches were supplemented by backward citation checking. </w:t>
      </w:r>
      <w:r w:rsidRPr="0027531E">
        <w:t xml:space="preserve">One </w:t>
      </w:r>
      <w:r w:rsidR="0027531E" w:rsidRPr="0027531E">
        <w:t>reviewer</w:t>
      </w:r>
      <w:r w:rsidRPr="0027531E">
        <w:t xml:space="preserve"> screened records, assessed full texts, extracted data and applied the Mixed Methods Appraisal Tool 2018. Because designs, settings, outcomes and estimands were incompatible, findings were synthesised thematically without statistical pooling.</w:t>
      </w:r>
    </w:p>
    <w:p w14:paraId="32FC1DE5" w14:textId="77777777" w:rsidR="0024466E" w:rsidRDefault="00000000">
      <w:pPr>
        <w:spacing w:after="100" w:line="252" w:lineRule="auto"/>
      </w:pPr>
      <w:r>
        <w:rPr>
          <w:b/>
        </w:rPr>
        <w:t xml:space="preserve">Results: </w:t>
      </w:r>
      <w:r>
        <w:t>Eighty-five records were identified, 11 duplicates were removed, 74 records were screened, 30 full-text reports were assessed and 26 reports representing 25 unique studies were included. Evidence was predominantly qualitative and spanned security operations centres, computer security incident response teams, critical infrastructure, finance, public administration and healthcare. Recurrent determinants were shared situation awareness, communication across tiers and shifts, role clarity, trusted informal networks, workload and staffing, realistic cross-functional training, usable tools and data, and learning that extends beyond immediate technical restoration. Healthcare studies showed that manual alternatives and local adaptation can preserve care, but may transfer substantial safety and wellbeing burdens to staff. Automation was perceived as useful, but respondents expressed limited willingness to delegate decisions without human oversight.</w:t>
      </w:r>
    </w:p>
    <w:p w14:paraId="0D13A160" w14:textId="77777777" w:rsidR="0024466E" w:rsidRDefault="00000000">
      <w:pPr>
        <w:spacing w:after="100" w:line="252" w:lineRule="auto"/>
      </w:pPr>
      <w:r>
        <w:rPr>
          <w:b/>
        </w:rPr>
        <w:t xml:space="preserve">Conclusions: </w:t>
      </w:r>
      <w:r>
        <w:t>Cybersecurity incident response is a socio-technical capability rather than a discrete technical procedure. Moderate-confidence evidence supports investment in shared situation awareness, explicit coordination, sustainable staffing and deliberate learning. Evidence for particular training formats, automation strategies and objective improvements in detection, containment or recovery time remains limited. Prospective multi-site evaluations using common operational and human-factors outcomes are needed.</w:t>
      </w:r>
    </w:p>
    <w:p w14:paraId="4522A8C8" w14:textId="77777777" w:rsidR="0024466E" w:rsidRDefault="00000000">
      <w:pPr>
        <w:spacing w:after="200"/>
      </w:pPr>
      <w:r>
        <w:rPr>
          <w:b/>
        </w:rPr>
        <w:t xml:space="preserve">Keywords: </w:t>
      </w:r>
      <w:r>
        <w:t>cybersecurity; incident response; computer security incident response team; security operations centre; human factors; organisational learning; situation awareness; systematic review</w:t>
      </w:r>
    </w:p>
    <w:p w14:paraId="5DB1D061" w14:textId="77777777" w:rsidR="0024466E" w:rsidRDefault="00000000">
      <w:pPr>
        <w:pStyle w:val="Heading1"/>
      </w:pPr>
      <w:r>
        <w:t>1. Introduction</w:t>
      </w:r>
    </w:p>
    <w:p w14:paraId="0993FD45" w14:textId="77777777" w:rsidR="0024466E" w:rsidRDefault="00000000">
      <w:r>
        <w:t>Cybersecurity incidents place organisations in a condition of compressed uncertainty. Responders must decide whether an anomaly is benign or malicious, determine its scope, protect evidence, contain harm, restore essential services and communicate with people who do not share the same technical language. These activities often unfold simultaneously rather than sequentially. The practical unit of response is therefore not a single analyst or tool, but a temporary socio-technical system that joins security operations, information technology, business leadership, legal and communications functions, external suppliers and, in critical services, frontline operational or clinical staff.</w:t>
      </w:r>
    </w:p>
    <w:p w14:paraId="0D68065A" w14:textId="77777777" w:rsidR="0024466E" w:rsidRDefault="00000000">
      <w:r>
        <w:lastRenderedPageBreak/>
        <w:t>Formal guidance gives organisations a necessary process architecture. Contemporary incident-response guidance situates preparation, detection, analysis, containment, eradication, recovery and post-incident improvement within broader risk management rather than treating response as an isolated emergency function (National Institute of Standards and Technology, 2025). Process frameworks, however, cannot by themselves determine whether the organisation will create an accurate common picture, escalate at the right moment, preserve continuity or learn from the event. Their effectiveness depends on how roles, authority, expertise, communication channels, workload and tools interact in context.</w:t>
      </w:r>
    </w:p>
    <w:p w14:paraId="6AC86CB4" w14:textId="77777777" w:rsidR="0024466E" w:rsidRDefault="00000000">
      <w:r>
        <w:t>Several empirical traditions have examined parts of this problem. Early qualitative work described incident diagnosis as collaborative, tacit and tool-mediated rather than a simple application of written procedures (Werlinger et al., 2010). Organisational case studies subsequently found that review often concentrates on high-impact technical failures while low-impact events, near misses and systemic conditions receive less attention (Ahmad et al., 2012). Field research in security operations centres (SOCs) identified alert burden, hand-off friction, variable role structures and the risk that analysts become trapped in a cycle of overload and turnover (Sundaramurthy et al., 2014, 2015). More recent studies have examined situation awareness, national computer security incident response teams (CSIRTs), realistic exercises, organisational learning, automation and workforce wellbeing.</w:t>
      </w:r>
    </w:p>
    <w:p w14:paraId="25FF3692" w14:textId="77777777" w:rsidR="0024466E" w:rsidRDefault="00000000">
      <w:r>
        <w:t>The evidence is fragmented across computer security, information systems, human factors, organisational studies, health services research and practitioner-facing proceedings. Studies use interviews, embedded observation, surveys, simulations, focus groups, organisational documents and mixed methods. Outcomes range from communication and role clarity to recognition of manipulated clinical equipment, continuity of care, burnout and perceived reductions in mean time to detect or respond. These differences make statistical pooling neither meaningful nor methodologically defensible, but they permit a structured synthesis of recurrent mechanisms, contextual contingencies and evidence gaps.</w:t>
      </w:r>
    </w:p>
    <w:p w14:paraId="4ADD3836" w14:textId="77777777" w:rsidR="0024466E" w:rsidRDefault="00000000">
      <w:r>
        <w:t>The decision relevance is increasingly broad. Security teams must sustain performance during prolonged incidents, and sectors such as healthcare cannot suspend their core mission while technical systems are restored. In the Irish national health-service cyber-attack, staff maintained services through local workarounds and intensified collaboration, but the burden of resilience fell heavily on the workforce (Moore et al., 2023). In a hospital simulation, some nurses recognised maliciously altered monitoring behaviour and shifted to manual verification, whereas others continued potentially harmful treatment (Willing et al., 2021). These findings connect incident response with safety, continuity and occupational health rather than only with technical containment.</w:t>
      </w:r>
    </w:p>
    <w:p w14:paraId="23C239CC" w14:textId="77777777" w:rsidR="0024466E" w:rsidRDefault="00000000">
      <w:r>
        <w:t>A synthesis is therefore needed that asks not merely whether organisations possess an incident-response plan, but what enables that plan to function under pressure. The primary review question was: among organisations and incident-response teams responding to actual or realistically simulated cybersecurity incidents, what human, organisational, procedural and technological factors shape response performance, and what evidence exists that training, structured processes, collaboration or decision support improve operational outcomes? Secondary questions concerned the consequences for continuity, safety, learning and workforce wellbeing, and the degree of confidence that can be placed in the available evidence.</w:t>
      </w:r>
    </w:p>
    <w:p w14:paraId="6D301A34" w14:textId="77777777" w:rsidR="0024466E" w:rsidRDefault="00000000">
      <w:pPr>
        <w:pStyle w:val="Heading1"/>
      </w:pPr>
      <w:r>
        <w:t>2. Methods</w:t>
      </w:r>
    </w:p>
    <w:p w14:paraId="696A2796" w14:textId="77777777" w:rsidR="0024466E" w:rsidRDefault="00000000">
      <w:pPr>
        <w:pStyle w:val="Heading2"/>
      </w:pPr>
      <w:r>
        <w:t>2.1 Reporting framework, review design and question</w:t>
      </w:r>
    </w:p>
    <w:p w14:paraId="287D9882" w14:textId="77777777" w:rsidR="0024466E" w:rsidRDefault="00000000">
      <w:r>
        <w:t>This review was reported with reference to PRISMA 2020, PRISMA for Abstracts and PRISMA-S (Page et al., 2021a, 2021b; Rethlefsen et al., 2021). SWiM principles were used to make the grouping, presentation and interpretation of quantitative findings explicit even though the review combined quantitative, qualitative and mixed-methods evidence (Campbell et al., 2020). The review was not registered and no prospective public protocol was available. Eligibility rules, outcome priorities and synthesis groupings were specified before the final screening and extraction decisions were reconciled in the evidence ledger.</w:t>
      </w:r>
    </w:p>
    <w:p w14:paraId="75508618" w14:textId="77777777" w:rsidR="0024466E" w:rsidRDefault="00000000">
      <w:r>
        <w:t xml:space="preserve">The review was classified as a mixed-methods systematic review of an organisational and operational phenomenon. A PICo/SPIDER-informed framework was used because a conventional intervention PICO would have excluded important observational evidence about coordination, situation awareness, learning </w:t>
      </w:r>
      <w:r>
        <w:lastRenderedPageBreak/>
        <w:t>and workforce conditions. The population comprised organisations, CSIRTs, SOCs, incident responders and operational or clinical staff directly involved in response. The phenomenon of interest comprised preparedness, detection, analysis, escalation, containment, recovery and post-incident learning during actual or realistically simulated cyber incidents. Eligible contexts included public and private organisations, critical infrastructure, healthcare, education and national or sector CSIRTs.</w:t>
      </w:r>
    </w:p>
    <w:p w14:paraId="2D3542E0" w14:textId="77777777" w:rsidR="0024466E" w:rsidRDefault="00000000">
      <w:r>
        <w:t>Primary outcomes were operational response effectiveness; time or quality of detection, triage, escalation, containment and recovery; continuity and safety; and the quality of decisions made under uncertainty. Secondary outcomes were shared situation awareness, communication, coordination, information sharing, learning, training and readiness, workload, stress or burnout, trust in automation, and reported barriers or facilitators. No minimum follow-up was required because many eligible studies examined acute response episodes or simulations. When a report presented several time points, evidence closest to the active response and immediate post-incident learning period was prioritised, while longer-term consequences were retained when reported.</w:t>
      </w:r>
    </w:p>
    <w:p w14:paraId="6F536476" w14:textId="77777777" w:rsidR="0024466E" w:rsidRDefault="00000000">
      <w:pPr>
        <w:pStyle w:val="Heading2"/>
      </w:pPr>
      <w:r>
        <w:t>2.2 Eligibility criteria</w:t>
      </w:r>
    </w:p>
    <w:p w14:paraId="6D4201F1" w14:textId="77777777" w:rsidR="0024466E" w:rsidRDefault="00000000">
      <w:r>
        <w:t>The eligibility framework deliberately retained heterogeneous empirical designs because the central question concerned how a complex organisational capability functions, not the effect of one standardised intervention. It excluded technical benchmarks and purely conceptual work so that every included report contributed observed human, organisational or operational evidence. Table 1 operationalises these boundaries and shows why simulation and thesis evidence were eligible only when they provided realistic response data and sufficient methodological detail.</w:t>
      </w:r>
    </w:p>
    <w:p w14:paraId="18517D27" w14:textId="77777777" w:rsidR="0024466E" w:rsidRDefault="00000000">
      <w:pPr>
        <w:pStyle w:val="TableCaption"/>
      </w:pPr>
      <w:r>
        <w:t>Table 1. Eligibility criteria</w:t>
      </w:r>
    </w:p>
    <w:tbl>
      <w:tblPr>
        <w:tblStyle w:val="TableGrid"/>
        <w:tblW w:w="0" w:type="auto"/>
        <w:jc w:val="center"/>
        <w:tblLayout w:type="fixed"/>
        <w:tblLook w:val="04A0" w:firstRow="1" w:lastRow="0" w:firstColumn="1" w:lastColumn="0" w:noHBand="0" w:noVBand="1"/>
      </w:tblPr>
      <w:tblGrid>
        <w:gridCol w:w="1800"/>
        <w:gridCol w:w="4176"/>
        <w:gridCol w:w="3456"/>
      </w:tblGrid>
      <w:tr w:rsidR="0024466E" w14:paraId="6B446946" w14:textId="77777777">
        <w:trPr>
          <w:tblHeader/>
          <w:jc w:val="center"/>
        </w:trPr>
        <w:tc>
          <w:tcPr>
            <w:tcW w:w="1800" w:type="dxa"/>
            <w:shd w:val="clear" w:color="auto" w:fill="17365D"/>
            <w:tcMar>
              <w:top w:w="100" w:type="dxa"/>
              <w:left w:w="85" w:type="dxa"/>
              <w:bottom w:w="100" w:type="dxa"/>
              <w:right w:w="85" w:type="dxa"/>
            </w:tcMar>
            <w:vAlign w:val="center"/>
          </w:tcPr>
          <w:p w14:paraId="093B0BBA" w14:textId="77777777" w:rsidR="0024466E" w:rsidRDefault="00000000">
            <w:pPr>
              <w:spacing w:after="0"/>
              <w:jc w:val="center"/>
            </w:pPr>
            <w:r>
              <w:rPr>
                <w:rFonts w:ascii="Arial" w:hAnsi="Arial"/>
                <w:b/>
                <w:color w:val="FFFFFF"/>
                <w:sz w:val="16"/>
              </w:rPr>
              <w:t>Domain</w:t>
            </w:r>
          </w:p>
        </w:tc>
        <w:tc>
          <w:tcPr>
            <w:tcW w:w="4176" w:type="dxa"/>
            <w:shd w:val="clear" w:color="auto" w:fill="17365D"/>
            <w:tcMar>
              <w:top w:w="100" w:type="dxa"/>
              <w:left w:w="85" w:type="dxa"/>
              <w:bottom w:w="100" w:type="dxa"/>
              <w:right w:w="85" w:type="dxa"/>
            </w:tcMar>
            <w:vAlign w:val="center"/>
          </w:tcPr>
          <w:p w14:paraId="393D87C8" w14:textId="77777777" w:rsidR="0024466E" w:rsidRDefault="00000000">
            <w:pPr>
              <w:spacing w:after="0"/>
              <w:jc w:val="center"/>
            </w:pPr>
            <w:r>
              <w:rPr>
                <w:rFonts w:ascii="Arial" w:hAnsi="Arial"/>
                <w:b/>
                <w:color w:val="FFFFFF"/>
                <w:sz w:val="16"/>
              </w:rPr>
              <w:t>Included</w:t>
            </w:r>
          </w:p>
        </w:tc>
        <w:tc>
          <w:tcPr>
            <w:tcW w:w="3456" w:type="dxa"/>
            <w:shd w:val="clear" w:color="auto" w:fill="17365D"/>
            <w:tcMar>
              <w:top w:w="100" w:type="dxa"/>
              <w:left w:w="85" w:type="dxa"/>
              <w:bottom w:w="100" w:type="dxa"/>
              <w:right w:w="85" w:type="dxa"/>
            </w:tcMar>
            <w:vAlign w:val="center"/>
          </w:tcPr>
          <w:p w14:paraId="088ED9C1" w14:textId="77777777" w:rsidR="0024466E" w:rsidRDefault="00000000">
            <w:pPr>
              <w:spacing w:after="0"/>
              <w:jc w:val="center"/>
            </w:pPr>
            <w:r>
              <w:rPr>
                <w:rFonts w:ascii="Arial" w:hAnsi="Arial"/>
                <w:b/>
                <w:color w:val="FFFFFF"/>
                <w:sz w:val="16"/>
              </w:rPr>
              <w:t>Excluded</w:t>
            </w:r>
          </w:p>
        </w:tc>
      </w:tr>
      <w:tr w:rsidR="0024466E" w14:paraId="49E7A04C" w14:textId="77777777">
        <w:trPr>
          <w:cantSplit/>
          <w:jc w:val="center"/>
        </w:trPr>
        <w:tc>
          <w:tcPr>
            <w:tcW w:w="1800" w:type="dxa"/>
            <w:tcMar>
              <w:top w:w="90" w:type="dxa"/>
              <w:left w:w="80" w:type="dxa"/>
              <w:bottom w:w="90" w:type="dxa"/>
              <w:right w:w="80" w:type="dxa"/>
            </w:tcMar>
            <w:vAlign w:val="center"/>
          </w:tcPr>
          <w:p w14:paraId="3A878A0E" w14:textId="77777777" w:rsidR="0024466E" w:rsidRDefault="00000000">
            <w:pPr>
              <w:spacing w:after="0" w:line="240" w:lineRule="auto"/>
            </w:pPr>
            <w:r>
              <w:rPr>
                <w:sz w:val="16"/>
              </w:rPr>
              <w:t>Population and setting</w:t>
            </w:r>
          </w:p>
        </w:tc>
        <w:tc>
          <w:tcPr>
            <w:tcW w:w="4176" w:type="dxa"/>
            <w:tcMar>
              <w:top w:w="90" w:type="dxa"/>
              <w:left w:w="80" w:type="dxa"/>
              <w:bottom w:w="90" w:type="dxa"/>
              <w:right w:w="80" w:type="dxa"/>
            </w:tcMar>
            <w:vAlign w:val="center"/>
          </w:tcPr>
          <w:p w14:paraId="7CC81D04" w14:textId="77777777" w:rsidR="0024466E" w:rsidRDefault="00000000">
            <w:pPr>
              <w:spacing w:after="0" w:line="240" w:lineRule="auto"/>
            </w:pPr>
            <w:r>
              <w:rPr>
                <w:sz w:val="16"/>
              </w:rPr>
              <w:t>Organisations, CSIRTs, CERTs, SOCs, incident responders, and operational or clinical staff directly involved in organisational cyber incident response. Public, private, critical-infrastructure, education, healthcare, national and sector settings.</w:t>
            </w:r>
          </w:p>
        </w:tc>
        <w:tc>
          <w:tcPr>
            <w:tcW w:w="3456" w:type="dxa"/>
            <w:tcMar>
              <w:top w:w="90" w:type="dxa"/>
              <w:left w:w="80" w:type="dxa"/>
              <w:bottom w:w="90" w:type="dxa"/>
              <w:right w:w="80" w:type="dxa"/>
            </w:tcMar>
            <w:vAlign w:val="center"/>
          </w:tcPr>
          <w:p w14:paraId="240E0BCE" w14:textId="77777777" w:rsidR="0024466E" w:rsidRDefault="00000000">
            <w:pPr>
              <w:spacing w:after="0" w:line="240" w:lineRule="auto"/>
            </w:pPr>
            <w:r>
              <w:rPr>
                <w:sz w:val="16"/>
              </w:rPr>
              <w:t>Individual consumer account-recovery behaviour; studies with no organisational or team response context.</w:t>
            </w:r>
          </w:p>
        </w:tc>
      </w:tr>
      <w:tr w:rsidR="0024466E" w14:paraId="218162D0" w14:textId="77777777">
        <w:trPr>
          <w:cantSplit/>
          <w:jc w:val="center"/>
        </w:trPr>
        <w:tc>
          <w:tcPr>
            <w:tcW w:w="1800" w:type="dxa"/>
            <w:tcMar>
              <w:top w:w="90" w:type="dxa"/>
              <w:left w:w="80" w:type="dxa"/>
              <w:bottom w:w="90" w:type="dxa"/>
              <w:right w:w="80" w:type="dxa"/>
            </w:tcMar>
            <w:vAlign w:val="center"/>
          </w:tcPr>
          <w:p w14:paraId="55FD61DE" w14:textId="77777777" w:rsidR="0024466E" w:rsidRDefault="00000000">
            <w:pPr>
              <w:spacing w:after="0" w:line="240" w:lineRule="auto"/>
            </w:pPr>
            <w:r>
              <w:rPr>
                <w:sz w:val="16"/>
              </w:rPr>
              <w:t>Phenomenon</w:t>
            </w:r>
          </w:p>
        </w:tc>
        <w:tc>
          <w:tcPr>
            <w:tcW w:w="4176" w:type="dxa"/>
            <w:tcMar>
              <w:top w:w="90" w:type="dxa"/>
              <w:left w:w="80" w:type="dxa"/>
              <w:bottom w:w="90" w:type="dxa"/>
              <w:right w:w="80" w:type="dxa"/>
            </w:tcMar>
            <w:vAlign w:val="center"/>
          </w:tcPr>
          <w:p w14:paraId="74A06ED1" w14:textId="77777777" w:rsidR="0024466E" w:rsidRDefault="00000000">
            <w:pPr>
              <w:spacing w:after="0" w:line="240" w:lineRule="auto"/>
            </w:pPr>
            <w:r>
              <w:rPr>
                <w:sz w:val="16"/>
              </w:rPr>
              <w:t>Preparedness, detection, analysis, escalation, containment, recovery or post-incident learning during actual or realistically simulated cyber incidents.</w:t>
            </w:r>
          </w:p>
        </w:tc>
        <w:tc>
          <w:tcPr>
            <w:tcW w:w="3456" w:type="dxa"/>
            <w:tcMar>
              <w:top w:w="90" w:type="dxa"/>
              <w:left w:w="80" w:type="dxa"/>
              <w:bottom w:w="90" w:type="dxa"/>
              <w:right w:w="80" w:type="dxa"/>
            </w:tcMar>
            <w:vAlign w:val="center"/>
          </w:tcPr>
          <w:p w14:paraId="49C83AB7" w14:textId="77777777" w:rsidR="0024466E" w:rsidRDefault="00000000">
            <w:pPr>
              <w:spacing w:after="0" w:line="240" w:lineRule="auto"/>
            </w:pPr>
            <w:r>
              <w:rPr>
                <w:sz w:val="16"/>
              </w:rPr>
              <w:t>Generic security awareness, technical detection or forensics performance without eligible response processes or outcomes.</w:t>
            </w:r>
          </w:p>
        </w:tc>
      </w:tr>
      <w:tr w:rsidR="0024466E" w14:paraId="08AF0F40" w14:textId="77777777">
        <w:trPr>
          <w:cantSplit/>
          <w:jc w:val="center"/>
        </w:trPr>
        <w:tc>
          <w:tcPr>
            <w:tcW w:w="1800" w:type="dxa"/>
            <w:tcMar>
              <w:top w:w="90" w:type="dxa"/>
              <w:left w:w="80" w:type="dxa"/>
              <w:bottom w:w="90" w:type="dxa"/>
              <w:right w:w="80" w:type="dxa"/>
            </w:tcMar>
            <w:vAlign w:val="center"/>
          </w:tcPr>
          <w:p w14:paraId="7BB8815A" w14:textId="77777777" w:rsidR="0024466E" w:rsidRDefault="00000000">
            <w:pPr>
              <w:spacing w:after="0" w:line="240" w:lineRule="auto"/>
            </w:pPr>
            <w:r>
              <w:rPr>
                <w:sz w:val="16"/>
              </w:rPr>
              <w:t>Designs</w:t>
            </w:r>
          </w:p>
        </w:tc>
        <w:tc>
          <w:tcPr>
            <w:tcW w:w="4176" w:type="dxa"/>
            <w:tcMar>
              <w:top w:w="90" w:type="dxa"/>
              <w:left w:w="80" w:type="dxa"/>
              <w:bottom w:w="90" w:type="dxa"/>
              <w:right w:w="80" w:type="dxa"/>
            </w:tcMar>
            <w:vAlign w:val="center"/>
          </w:tcPr>
          <w:p w14:paraId="704757F2" w14:textId="77777777" w:rsidR="0024466E" w:rsidRDefault="00000000">
            <w:pPr>
              <w:spacing w:after="0" w:line="240" w:lineRule="auto"/>
            </w:pPr>
            <w:r>
              <w:rPr>
                <w:sz w:val="16"/>
              </w:rPr>
              <w:t>Primary qualitative, quantitative, mixed-methods, field, case, survey, observational or realistic simulation studies. Theses eligible when institutionally archived and methodologically sufficient.</w:t>
            </w:r>
          </w:p>
        </w:tc>
        <w:tc>
          <w:tcPr>
            <w:tcW w:w="3456" w:type="dxa"/>
            <w:tcMar>
              <w:top w:w="90" w:type="dxa"/>
              <w:left w:w="80" w:type="dxa"/>
              <w:bottom w:w="90" w:type="dxa"/>
              <w:right w:w="80" w:type="dxa"/>
            </w:tcMar>
            <w:vAlign w:val="center"/>
          </w:tcPr>
          <w:p w14:paraId="7C05E1A9" w14:textId="77777777" w:rsidR="0024466E" w:rsidRDefault="00000000">
            <w:pPr>
              <w:spacing w:after="0" w:line="240" w:lineRule="auto"/>
            </w:pPr>
            <w:r>
              <w:rPr>
                <w:sz w:val="16"/>
              </w:rPr>
              <w:t>Reviews, conceptual papers, editorials, guidelines, news, vendor reports, encyclopaedia entries and methods proposals without eligible empirical results.</w:t>
            </w:r>
          </w:p>
        </w:tc>
      </w:tr>
      <w:tr w:rsidR="0024466E" w14:paraId="6A8B962B" w14:textId="77777777">
        <w:trPr>
          <w:cantSplit/>
          <w:jc w:val="center"/>
        </w:trPr>
        <w:tc>
          <w:tcPr>
            <w:tcW w:w="1800" w:type="dxa"/>
            <w:tcMar>
              <w:top w:w="90" w:type="dxa"/>
              <w:left w:w="80" w:type="dxa"/>
              <w:bottom w:w="90" w:type="dxa"/>
              <w:right w:w="80" w:type="dxa"/>
            </w:tcMar>
            <w:vAlign w:val="center"/>
          </w:tcPr>
          <w:p w14:paraId="3EE8D1A8" w14:textId="77777777" w:rsidR="0024466E" w:rsidRDefault="00000000">
            <w:pPr>
              <w:spacing w:after="0" w:line="240" w:lineRule="auto"/>
            </w:pPr>
            <w:r>
              <w:rPr>
                <w:sz w:val="16"/>
              </w:rPr>
              <w:t>Outcomes</w:t>
            </w:r>
          </w:p>
        </w:tc>
        <w:tc>
          <w:tcPr>
            <w:tcW w:w="4176" w:type="dxa"/>
            <w:tcMar>
              <w:top w:w="90" w:type="dxa"/>
              <w:left w:w="80" w:type="dxa"/>
              <w:bottom w:w="90" w:type="dxa"/>
              <w:right w:w="80" w:type="dxa"/>
            </w:tcMar>
            <w:vAlign w:val="center"/>
          </w:tcPr>
          <w:p w14:paraId="04BFF7D8" w14:textId="77777777" w:rsidR="0024466E" w:rsidRDefault="00000000">
            <w:pPr>
              <w:spacing w:after="0" w:line="240" w:lineRule="auto"/>
            </w:pPr>
            <w:r>
              <w:rPr>
                <w:sz w:val="16"/>
              </w:rPr>
              <w:t>Operational effectiveness; detection, triage, escalation, containment or recovery; continuity and safety; decision quality; situation awareness; communication; coordination; learning; workload or burnout; trust in automation.</w:t>
            </w:r>
          </w:p>
        </w:tc>
        <w:tc>
          <w:tcPr>
            <w:tcW w:w="3456" w:type="dxa"/>
            <w:tcMar>
              <w:top w:w="90" w:type="dxa"/>
              <w:left w:w="80" w:type="dxa"/>
              <w:bottom w:w="90" w:type="dxa"/>
              <w:right w:w="80" w:type="dxa"/>
            </w:tcMar>
            <w:vAlign w:val="center"/>
          </w:tcPr>
          <w:p w14:paraId="5393DCD4" w14:textId="77777777" w:rsidR="0024466E" w:rsidRDefault="00000000">
            <w:pPr>
              <w:spacing w:after="0" w:line="240" w:lineRule="auto"/>
            </w:pPr>
            <w:r>
              <w:rPr>
                <w:sz w:val="16"/>
              </w:rPr>
              <w:t>No eligible incident-response process, outcome or mechanism. Outcome absence at abstract stage alone was not sufficient for exclusion.</w:t>
            </w:r>
          </w:p>
        </w:tc>
      </w:tr>
      <w:tr w:rsidR="0024466E" w14:paraId="7ADDD148" w14:textId="77777777">
        <w:trPr>
          <w:cantSplit/>
          <w:jc w:val="center"/>
        </w:trPr>
        <w:tc>
          <w:tcPr>
            <w:tcW w:w="1800" w:type="dxa"/>
            <w:tcMar>
              <w:top w:w="90" w:type="dxa"/>
              <w:left w:w="80" w:type="dxa"/>
              <w:bottom w:w="90" w:type="dxa"/>
              <w:right w:w="80" w:type="dxa"/>
            </w:tcMar>
            <w:vAlign w:val="center"/>
          </w:tcPr>
          <w:p w14:paraId="080CD1B5" w14:textId="77777777" w:rsidR="0024466E" w:rsidRDefault="00000000">
            <w:pPr>
              <w:spacing w:after="0" w:line="240" w:lineRule="auto"/>
            </w:pPr>
            <w:r>
              <w:rPr>
                <w:sz w:val="16"/>
              </w:rPr>
              <w:t>Publication period</w:t>
            </w:r>
          </w:p>
        </w:tc>
        <w:tc>
          <w:tcPr>
            <w:tcW w:w="4176" w:type="dxa"/>
            <w:tcMar>
              <w:top w:w="90" w:type="dxa"/>
              <w:left w:w="80" w:type="dxa"/>
              <w:bottom w:w="90" w:type="dxa"/>
              <w:right w:w="80" w:type="dxa"/>
            </w:tcMar>
            <w:vAlign w:val="center"/>
          </w:tcPr>
          <w:p w14:paraId="6ED5B750" w14:textId="77777777" w:rsidR="0024466E" w:rsidRDefault="00000000">
            <w:pPr>
              <w:spacing w:after="0" w:line="240" w:lineRule="auto"/>
            </w:pPr>
            <w:r>
              <w:rPr>
                <w:sz w:val="16"/>
              </w:rPr>
              <w:t>1 January 2000 to 30 June 2026.</w:t>
            </w:r>
          </w:p>
        </w:tc>
        <w:tc>
          <w:tcPr>
            <w:tcW w:w="3456" w:type="dxa"/>
            <w:tcMar>
              <w:top w:w="90" w:type="dxa"/>
              <w:left w:w="80" w:type="dxa"/>
              <w:bottom w:w="90" w:type="dxa"/>
              <w:right w:w="80" w:type="dxa"/>
            </w:tcMar>
            <w:vAlign w:val="center"/>
          </w:tcPr>
          <w:p w14:paraId="17E6587F" w14:textId="77777777" w:rsidR="0024466E" w:rsidRDefault="00000000">
            <w:pPr>
              <w:spacing w:after="0" w:line="240" w:lineRule="auto"/>
            </w:pPr>
            <w:r>
              <w:rPr>
                <w:sz w:val="16"/>
              </w:rPr>
              <w:t>Published outside the eligible period.</w:t>
            </w:r>
          </w:p>
        </w:tc>
      </w:tr>
      <w:tr w:rsidR="0024466E" w14:paraId="3A1216C7" w14:textId="77777777">
        <w:trPr>
          <w:cantSplit/>
          <w:jc w:val="center"/>
        </w:trPr>
        <w:tc>
          <w:tcPr>
            <w:tcW w:w="1800" w:type="dxa"/>
            <w:tcMar>
              <w:top w:w="90" w:type="dxa"/>
              <w:left w:w="80" w:type="dxa"/>
              <w:bottom w:w="90" w:type="dxa"/>
              <w:right w:w="80" w:type="dxa"/>
            </w:tcMar>
            <w:vAlign w:val="center"/>
          </w:tcPr>
          <w:p w14:paraId="2AB2AC7F" w14:textId="77777777" w:rsidR="0024466E" w:rsidRDefault="00000000">
            <w:pPr>
              <w:spacing w:after="0" w:line="240" w:lineRule="auto"/>
            </w:pPr>
            <w:r>
              <w:rPr>
                <w:sz w:val="16"/>
              </w:rPr>
              <w:t>Language and status</w:t>
            </w:r>
          </w:p>
        </w:tc>
        <w:tc>
          <w:tcPr>
            <w:tcW w:w="4176" w:type="dxa"/>
            <w:tcMar>
              <w:top w:w="90" w:type="dxa"/>
              <w:left w:w="80" w:type="dxa"/>
              <w:bottom w:w="90" w:type="dxa"/>
              <w:right w:w="80" w:type="dxa"/>
            </w:tcMar>
            <w:vAlign w:val="center"/>
          </w:tcPr>
          <w:p w14:paraId="239048FF" w14:textId="77777777" w:rsidR="0024466E" w:rsidRDefault="00000000">
            <w:pPr>
              <w:spacing w:after="0" w:line="240" w:lineRule="auto"/>
            </w:pPr>
            <w:r>
              <w:rPr>
                <w:sz w:val="16"/>
              </w:rPr>
              <w:t>English-language peer-reviewed papers, proceedings, and university theses/dissertations with accessible source text.</w:t>
            </w:r>
          </w:p>
        </w:tc>
        <w:tc>
          <w:tcPr>
            <w:tcW w:w="3456" w:type="dxa"/>
            <w:tcMar>
              <w:top w:w="90" w:type="dxa"/>
              <w:left w:w="80" w:type="dxa"/>
              <w:bottom w:w="90" w:type="dxa"/>
              <w:right w:w="80" w:type="dxa"/>
            </w:tcMar>
            <w:vAlign w:val="center"/>
          </w:tcPr>
          <w:p w14:paraId="714D35B3" w14:textId="77777777" w:rsidR="0024466E" w:rsidRDefault="00000000">
            <w:pPr>
              <w:spacing w:after="0" w:line="240" w:lineRule="auto"/>
            </w:pPr>
            <w:r>
              <w:rPr>
                <w:sz w:val="16"/>
              </w:rPr>
              <w:t>Non-English reports; abstracts alone; preprints without peer review; inaccessible full text recorded separately as not retrieved.</w:t>
            </w:r>
          </w:p>
        </w:tc>
      </w:tr>
      <w:tr w:rsidR="0024466E" w14:paraId="60C37A9D" w14:textId="77777777">
        <w:trPr>
          <w:cantSplit/>
          <w:jc w:val="center"/>
        </w:trPr>
        <w:tc>
          <w:tcPr>
            <w:tcW w:w="1800" w:type="dxa"/>
            <w:tcMar>
              <w:top w:w="90" w:type="dxa"/>
              <w:left w:w="80" w:type="dxa"/>
              <w:bottom w:w="90" w:type="dxa"/>
              <w:right w:w="80" w:type="dxa"/>
            </w:tcMar>
            <w:vAlign w:val="center"/>
          </w:tcPr>
          <w:p w14:paraId="6300A8C8" w14:textId="77777777" w:rsidR="0024466E" w:rsidRDefault="00000000">
            <w:pPr>
              <w:spacing w:after="0" w:line="240" w:lineRule="auto"/>
            </w:pPr>
            <w:r>
              <w:rPr>
                <w:sz w:val="16"/>
              </w:rPr>
              <w:t>Follow-up and sample size</w:t>
            </w:r>
          </w:p>
        </w:tc>
        <w:tc>
          <w:tcPr>
            <w:tcW w:w="4176" w:type="dxa"/>
            <w:tcMar>
              <w:top w:w="90" w:type="dxa"/>
              <w:left w:w="80" w:type="dxa"/>
              <w:bottom w:w="90" w:type="dxa"/>
              <w:right w:w="80" w:type="dxa"/>
            </w:tcMar>
            <w:vAlign w:val="center"/>
          </w:tcPr>
          <w:p w14:paraId="2B57EE5A" w14:textId="77777777" w:rsidR="0024466E" w:rsidRDefault="00000000">
            <w:pPr>
              <w:spacing w:after="0" w:line="240" w:lineRule="auto"/>
            </w:pPr>
            <w:r>
              <w:rPr>
                <w:sz w:val="16"/>
              </w:rPr>
              <w:t>No minimum follow-up or sample size; design adequacy considered during appraisal.</w:t>
            </w:r>
          </w:p>
        </w:tc>
        <w:tc>
          <w:tcPr>
            <w:tcW w:w="3456" w:type="dxa"/>
            <w:tcMar>
              <w:top w:w="90" w:type="dxa"/>
              <w:left w:w="80" w:type="dxa"/>
              <w:bottom w:w="90" w:type="dxa"/>
              <w:right w:w="80" w:type="dxa"/>
            </w:tcMar>
            <w:vAlign w:val="center"/>
          </w:tcPr>
          <w:p w14:paraId="675FC989" w14:textId="77777777" w:rsidR="0024466E" w:rsidRDefault="00000000">
            <w:pPr>
              <w:spacing w:after="0" w:line="240" w:lineRule="auto"/>
            </w:pPr>
            <w:r>
              <w:rPr>
                <w:sz w:val="16"/>
              </w:rPr>
              <w:t>No arbitrary sample-size exclusion.</w:t>
            </w:r>
          </w:p>
        </w:tc>
      </w:tr>
      <w:tr w:rsidR="0024466E" w14:paraId="69647794" w14:textId="77777777">
        <w:trPr>
          <w:cantSplit/>
          <w:jc w:val="center"/>
        </w:trPr>
        <w:tc>
          <w:tcPr>
            <w:tcW w:w="1800" w:type="dxa"/>
            <w:tcMar>
              <w:top w:w="90" w:type="dxa"/>
              <w:left w:w="80" w:type="dxa"/>
              <w:bottom w:w="90" w:type="dxa"/>
              <w:right w:w="80" w:type="dxa"/>
            </w:tcMar>
            <w:vAlign w:val="center"/>
          </w:tcPr>
          <w:p w14:paraId="4643BDD0" w14:textId="77777777" w:rsidR="0024466E" w:rsidRDefault="00000000">
            <w:pPr>
              <w:spacing w:after="0" w:line="240" w:lineRule="auto"/>
            </w:pPr>
            <w:r>
              <w:rPr>
                <w:sz w:val="16"/>
              </w:rPr>
              <w:t>Companion reports</w:t>
            </w:r>
          </w:p>
        </w:tc>
        <w:tc>
          <w:tcPr>
            <w:tcW w:w="4176" w:type="dxa"/>
            <w:tcMar>
              <w:top w:w="90" w:type="dxa"/>
              <w:left w:w="80" w:type="dxa"/>
              <w:bottom w:w="90" w:type="dxa"/>
              <w:right w:w="80" w:type="dxa"/>
            </w:tcMar>
            <w:vAlign w:val="center"/>
          </w:tcPr>
          <w:p w14:paraId="2FD5BA2B" w14:textId="77777777" w:rsidR="0024466E" w:rsidRDefault="00000000">
            <w:pPr>
              <w:spacing w:after="0" w:line="240" w:lineRule="auto"/>
            </w:pPr>
            <w:r>
              <w:rPr>
                <w:sz w:val="16"/>
              </w:rPr>
              <w:t>Reports from the same underlying study retained under one study identifier and not double counted.</w:t>
            </w:r>
          </w:p>
        </w:tc>
        <w:tc>
          <w:tcPr>
            <w:tcW w:w="3456" w:type="dxa"/>
            <w:tcMar>
              <w:top w:w="90" w:type="dxa"/>
              <w:left w:w="80" w:type="dxa"/>
              <w:bottom w:w="90" w:type="dxa"/>
              <w:right w:w="80" w:type="dxa"/>
            </w:tcMar>
            <w:vAlign w:val="center"/>
          </w:tcPr>
          <w:p w14:paraId="3553C2C9" w14:textId="77777777" w:rsidR="0024466E" w:rsidRDefault="00000000">
            <w:pPr>
              <w:spacing w:after="0" w:line="240" w:lineRule="auto"/>
            </w:pPr>
            <w:r>
              <w:rPr>
                <w:sz w:val="16"/>
              </w:rPr>
              <w:t>Duplicate publications or redundant records.</w:t>
            </w:r>
          </w:p>
        </w:tc>
      </w:tr>
    </w:tbl>
    <w:p w14:paraId="4E4C4B72" w14:textId="77777777" w:rsidR="0024466E" w:rsidRDefault="00000000">
      <w:pPr>
        <w:pStyle w:val="TableNote"/>
      </w:pPr>
      <w:r>
        <w:t>Abbreviations: CERT, computer emergency response team; CSIRT, computer security incident response team; SOC, security operations centre.</w:t>
      </w:r>
    </w:p>
    <w:p w14:paraId="5FF736B8" w14:textId="77777777" w:rsidR="0024466E" w:rsidRDefault="00000000">
      <w:pPr>
        <w:pStyle w:val="Heading2"/>
      </w:pPr>
      <w:r>
        <w:t>2.3 Information sources and search strategy</w:t>
      </w:r>
    </w:p>
    <w:p w14:paraId="29FB16AC" w14:textId="77777777" w:rsidR="0024466E" w:rsidRDefault="00000000">
      <w:r>
        <w:t xml:space="preserve">The search was executed on 26 August 2026 and used the eligible publication window 1 January 2000 to 30 June 2026. Six exact queries were run in an openly accessible web search interface to locate empirical reports, publisher pages, institutional repositories and bibliographic records. Search-engine snippets were </w:t>
      </w:r>
      <w:r>
        <w:lastRenderedPageBreak/>
        <w:t>used only for discovery. Study-level extraction required an accessible full report or an authoritative record that supported the extracted item. Backward citation checking of included reports and relevant reviews added earlier empirical work. No forward-citation database search was claimed because an auditable citation-index export was not available.</w:t>
      </w:r>
    </w:p>
    <w:p w14:paraId="20A1988E" w14:textId="77777777" w:rsidR="0024466E" w:rsidRDefault="00000000">
      <w:r>
        <w:t>The search was intentionally broad around incident response, CSIRTs, SOCs, training, simulation, healthcare, human factors, burnout and organisational learning. Outcome terms were not made mandatory in every query because operational outcomes are often absent from titles and abstracts. Exact query strings, limits and retrieved card counts were preserved. Subscription databases including Scopus, Web of Science, PsycINFO and CINAHL were not searched because connected access or exports were unavailable. A separate PubMed/MEDLINE or Embase search was also not executed. This limitation reduces confidence that the corpus is exhaustive, particularly for interdisciplinary healthcare and occupational-health evidence.</w:t>
      </w:r>
    </w:p>
    <w:p w14:paraId="726651C8" w14:textId="77777777" w:rsidR="0024466E" w:rsidRDefault="00000000">
      <w:r>
        <w:t>Authoritative publisher pages, DOI records, conference pages and institutional repositories were used to verify metadata and to locate accessible source text. Crossref-style DOI metadata was treated as verification rather than as a substitute bibliographic search. Records were checked for obvious correction, update or retraction notices. The corrected version of the 2025 situation-awareness case study and the updated version of record for the 2026 automation survey were used.</w:t>
      </w:r>
    </w:p>
    <w:p w14:paraId="5A5C4976" w14:textId="77777777" w:rsidR="0024466E" w:rsidRDefault="00000000">
      <w:r>
        <w:t>The search ledger demonstrates a reproducible but access-constrained acquisition pathway. The six discovery searches returned 75 cards and backward citation checking added 10 unique records. Table 2 separates these sources so that the total entering deduplication can be reconciled without assigning counts to databases that were not actually searched.</w:t>
      </w:r>
    </w:p>
    <w:p w14:paraId="217B0B9C" w14:textId="77777777" w:rsidR="0024466E" w:rsidRDefault="00000000">
      <w:pPr>
        <w:pStyle w:val="TableCaption"/>
      </w:pPr>
      <w:r>
        <w:t>Table 2. Information sources and retrieved counts</w:t>
      </w:r>
    </w:p>
    <w:tbl>
      <w:tblPr>
        <w:tblStyle w:val="TableGrid"/>
        <w:tblW w:w="0" w:type="auto"/>
        <w:jc w:val="center"/>
        <w:tblLayout w:type="fixed"/>
        <w:tblLook w:val="04A0" w:firstRow="1" w:lastRow="0" w:firstColumn="1" w:lastColumn="0" w:noHBand="0" w:noVBand="1"/>
      </w:tblPr>
      <w:tblGrid>
        <w:gridCol w:w="648"/>
        <w:gridCol w:w="1728"/>
        <w:gridCol w:w="5328"/>
        <w:gridCol w:w="792"/>
        <w:gridCol w:w="1296"/>
      </w:tblGrid>
      <w:tr w:rsidR="0024466E" w14:paraId="50BE6A99" w14:textId="77777777">
        <w:trPr>
          <w:tblHeader/>
          <w:jc w:val="center"/>
        </w:trPr>
        <w:tc>
          <w:tcPr>
            <w:tcW w:w="648" w:type="dxa"/>
            <w:shd w:val="clear" w:color="auto" w:fill="17365D"/>
            <w:tcMar>
              <w:top w:w="100" w:type="dxa"/>
              <w:left w:w="85" w:type="dxa"/>
              <w:bottom w:w="100" w:type="dxa"/>
              <w:right w:w="85" w:type="dxa"/>
            </w:tcMar>
            <w:vAlign w:val="center"/>
          </w:tcPr>
          <w:p w14:paraId="08792E0D" w14:textId="77777777" w:rsidR="0024466E" w:rsidRDefault="00000000">
            <w:pPr>
              <w:spacing w:after="0"/>
              <w:jc w:val="center"/>
            </w:pPr>
            <w:r>
              <w:rPr>
                <w:rFonts w:ascii="Arial" w:hAnsi="Arial"/>
                <w:b/>
                <w:color w:val="FFFFFF"/>
                <w:sz w:val="15"/>
              </w:rPr>
              <w:t>ID</w:t>
            </w:r>
          </w:p>
        </w:tc>
        <w:tc>
          <w:tcPr>
            <w:tcW w:w="1728" w:type="dxa"/>
            <w:shd w:val="clear" w:color="auto" w:fill="17365D"/>
            <w:tcMar>
              <w:top w:w="100" w:type="dxa"/>
              <w:left w:w="85" w:type="dxa"/>
              <w:bottom w:w="100" w:type="dxa"/>
              <w:right w:w="85" w:type="dxa"/>
            </w:tcMar>
            <w:vAlign w:val="center"/>
          </w:tcPr>
          <w:p w14:paraId="2BE85C0D" w14:textId="77777777" w:rsidR="0024466E" w:rsidRDefault="00000000">
            <w:pPr>
              <w:spacing w:after="0"/>
              <w:jc w:val="center"/>
            </w:pPr>
            <w:r>
              <w:rPr>
                <w:rFonts w:ascii="Arial" w:hAnsi="Arial"/>
                <w:b/>
                <w:color w:val="FFFFFF"/>
                <w:sz w:val="15"/>
              </w:rPr>
              <w:t>Source</w:t>
            </w:r>
          </w:p>
        </w:tc>
        <w:tc>
          <w:tcPr>
            <w:tcW w:w="5328" w:type="dxa"/>
            <w:shd w:val="clear" w:color="auto" w:fill="17365D"/>
            <w:tcMar>
              <w:top w:w="100" w:type="dxa"/>
              <w:left w:w="85" w:type="dxa"/>
              <w:bottom w:w="100" w:type="dxa"/>
              <w:right w:w="85" w:type="dxa"/>
            </w:tcMar>
            <w:vAlign w:val="center"/>
          </w:tcPr>
          <w:p w14:paraId="0C202276" w14:textId="77777777" w:rsidR="0024466E" w:rsidRDefault="00000000">
            <w:pPr>
              <w:spacing w:after="0"/>
              <w:jc w:val="center"/>
            </w:pPr>
            <w:r>
              <w:rPr>
                <w:rFonts w:ascii="Arial" w:hAnsi="Arial"/>
                <w:b/>
                <w:color w:val="FFFFFF"/>
                <w:sz w:val="15"/>
              </w:rPr>
              <w:t>Exact strategy or method</w:t>
            </w:r>
          </w:p>
        </w:tc>
        <w:tc>
          <w:tcPr>
            <w:tcW w:w="792" w:type="dxa"/>
            <w:shd w:val="clear" w:color="auto" w:fill="17365D"/>
            <w:tcMar>
              <w:top w:w="100" w:type="dxa"/>
              <w:left w:w="85" w:type="dxa"/>
              <w:bottom w:w="100" w:type="dxa"/>
              <w:right w:w="85" w:type="dxa"/>
            </w:tcMar>
            <w:vAlign w:val="center"/>
          </w:tcPr>
          <w:p w14:paraId="47D6C423" w14:textId="77777777" w:rsidR="0024466E" w:rsidRDefault="00000000">
            <w:pPr>
              <w:spacing w:after="0"/>
              <w:jc w:val="center"/>
            </w:pPr>
            <w:r>
              <w:rPr>
                <w:rFonts w:ascii="Arial" w:hAnsi="Arial"/>
                <w:b/>
                <w:color w:val="FFFFFF"/>
                <w:sz w:val="15"/>
              </w:rPr>
              <w:t>Records</w:t>
            </w:r>
          </w:p>
        </w:tc>
        <w:tc>
          <w:tcPr>
            <w:tcW w:w="1296" w:type="dxa"/>
            <w:shd w:val="clear" w:color="auto" w:fill="17365D"/>
            <w:tcMar>
              <w:top w:w="100" w:type="dxa"/>
              <w:left w:w="85" w:type="dxa"/>
              <w:bottom w:w="100" w:type="dxa"/>
              <w:right w:w="85" w:type="dxa"/>
            </w:tcMar>
            <w:vAlign w:val="center"/>
          </w:tcPr>
          <w:p w14:paraId="152F4032" w14:textId="77777777" w:rsidR="0024466E" w:rsidRDefault="00000000">
            <w:pPr>
              <w:spacing w:after="0"/>
              <w:jc w:val="center"/>
            </w:pPr>
            <w:r>
              <w:rPr>
                <w:rFonts w:ascii="Arial" w:hAnsi="Arial"/>
                <w:b/>
                <w:color w:val="FFFFFF"/>
                <w:sz w:val="15"/>
              </w:rPr>
              <w:t>Date</w:t>
            </w:r>
          </w:p>
        </w:tc>
      </w:tr>
      <w:tr w:rsidR="0024466E" w14:paraId="5356D2BE" w14:textId="77777777">
        <w:trPr>
          <w:cantSplit/>
          <w:jc w:val="center"/>
        </w:trPr>
        <w:tc>
          <w:tcPr>
            <w:tcW w:w="648" w:type="dxa"/>
            <w:tcMar>
              <w:top w:w="90" w:type="dxa"/>
              <w:left w:w="80" w:type="dxa"/>
              <w:bottom w:w="90" w:type="dxa"/>
              <w:right w:w="80" w:type="dxa"/>
            </w:tcMar>
            <w:vAlign w:val="center"/>
          </w:tcPr>
          <w:p w14:paraId="340C3E68" w14:textId="77777777" w:rsidR="0024466E" w:rsidRDefault="00000000">
            <w:pPr>
              <w:spacing w:after="0" w:line="240" w:lineRule="auto"/>
              <w:jc w:val="center"/>
            </w:pPr>
            <w:r>
              <w:rPr>
                <w:sz w:val="15"/>
              </w:rPr>
              <w:t>Q1</w:t>
            </w:r>
          </w:p>
        </w:tc>
        <w:tc>
          <w:tcPr>
            <w:tcW w:w="1728" w:type="dxa"/>
            <w:tcMar>
              <w:top w:w="90" w:type="dxa"/>
              <w:left w:w="80" w:type="dxa"/>
              <w:bottom w:w="90" w:type="dxa"/>
              <w:right w:w="80" w:type="dxa"/>
            </w:tcMar>
            <w:vAlign w:val="center"/>
          </w:tcPr>
          <w:p w14:paraId="54C2F8EB"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56D420BE" w14:textId="77777777" w:rsidR="0024466E" w:rsidRDefault="00000000">
            <w:pPr>
              <w:spacing w:after="0" w:line="240" w:lineRule="auto"/>
            </w:pPr>
            <w:r>
              <w:rPr>
                <w:sz w:val="15"/>
              </w:rPr>
              <w:t>"cybersecurity incident response" empirical study interview survey case study organisation organization</w:t>
            </w:r>
          </w:p>
        </w:tc>
        <w:tc>
          <w:tcPr>
            <w:tcW w:w="792" w:type="dxa"/>
            <w:tcMar>
              <w:top w:w="90" w:type="dxa"/>
              <w:left w:w="80" w:type="dxa"/>
              <w:bottom w:w="90" w:type="dxa"/>
              <w:right w:w="80" w:type="dxa"/>
            </w:tcMar>
            <w:vAlign w:val="center"/>
          </w:tcPr>
          <w:p w14:paraId="22F8FCE8" w14:textId="77777777" w:rsidR="0024466E" w:rsidRDefault="00000000">
            <w:pPr>
              <w:spacing w:after="0" w:line="240" w:lineRule="auto"/>
              <w:jc w:val="center"/>
            </w:pPr>
            <w:r>
              <w:rPr>
                <w:sz w:val="15"/>
              </w:rPr>
              <w:t>11</w:t>
            </w:r>
          </w:p>
        </w:tc>
        <w:tc>
          <w:tcPr>
            <w:tcW w:w="1296" w:type="dxa"/>
            <w:tcMar>
              <w:top w:w="90" w:type="dxa"/>
              <w:left w:w="80" w:type="dxa"/>
              <w:bottom w:w="90" w:type="dxa"/>
              <w:right w:w="80" w:type="dxa"/>
            </w:tcMar>
            <w:vAlign w:val="center"/>
          </w:tcPr>
          <w:p w14:paraId="450B08A1" w14:textId="77777777" w:rsidR="0024466E" w:rsidRDefault="00000000">
            <w:pPr>
              <w:spacing w:after="0" w:line="240" w:lineRule="auto"/>
              <w:jc w:val="center"/>
            </w:pPr>
            <w:r>
              <w:rPr>
                <w:sz w:val="15"/>
              </w:rPr>
              <w:t>26 August 2026</w:t>
            </w:r>
          </w:p>
        </w:tc>
      </w:tr>
      <w:tr w:rsidR="0024466E" w14:paraId="6BFB4252" w14:textId="77777777">
        <w:trPr>
          <w:cantSplit/>
          <w:jc w:val="center"/>
        </w:trPr>
        <w:tc>
          <w:tcPr>
            <w:tcW w:w="648" w:type="dxa"/>
            <w:tcMar>
              <w:top w:w="90" w:type="dxa"/>
              <w:left w:w="80" w:type="dxa"/>
              <w:bottom w:w="90" w:type="dxa"/>
              <w:right w:w="80" w:type="dxa"/>
            </w:tcMar>
            <w:vAlign w:val="center"/>
          </w:tcPr>
          <w:p w14:paraId="44DF9D16" w14:textId="77777777" w:rsidR="0024466E" w:rsidRDefault="00000000">
            <w:pPr>
              <w:spacing w:after="0" w:line="240" w:lineRule="auto"/>
              <w:jc w:val="center"/>
            </w:pPr>
            <w:r>
              <w:rPr>
                <w:sz w:val="15"/>
              </w:rPr>
              <w:t>Q2</w:t>
            </w:r>
          </w:p>
        </w:tc>
        <w:tc>
          <w:tcPr>
            <w:tcW w:w="1728" w:type="dxa"/>
            <w:tcMar>
              <w:top w:w="90" w:type="dxa"/>
              <w:left w:w="80" w:type="dxa"/>
              <w:bottom w:w="90" w:type="dxa"/>
              <w:right w:w="80" w:type="dxa"/>
            </w:tcMar>
            <w:vAlign w:val="center"/>
          </w:tcPr>
          <w:p w14:paraId="519A3B91"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24EC1D11" w14:textId="77777777" w:rsidR="0024466E" w:rsidRDefault="00000000">
            <w:pPr>
              <w:spacing w:after="0" w:line="240" w:lineRule="auto"/>
            </w:pPr>
            <w:r>
              <w:rPr>
                <w:sz w:val="15"/>
              </w:rPr>
              <w:t>("computer security incident response team" OR CSIRT) qualitative field study interview case study effectiveness</w:t>
            </w:r>
          </w:p>
        </w:tc>
        <w:tc>
          <w:tcPr>
            <w:tcW w:w="792" w:type="dxa"/>
            <w:tcMar>
              <w:top w:w="90" w:type="dxa"/>
              <w:left w:w="80" w:type="dxa"/>
              <w:bottom w:w="90" w:type="dxa"/>
              <w:right w:w="80" w:type="dxa"/>
            </w:tcMar>
            <w:vAlign w:val="center"/>
          </w:tcPr>
          <w:p w14:paraId="1123E487" w14:textId="77777777" w:rsidR="0024466E" w:rsidRDefault="00000000">
            <w:pPr>
              <w:spacing w:after="0" w:line="240" w:lineRule="auto"/>
              <w:jc w:val="center"/>
            </w:pPr>
            <w:r>
              <w:rPr>
                <w:sz w:val="15"/>
              </w:rPr>
              <w:t>14</w:t>
            </w:r>
          </w:p>
        </w:tc>
        <w:tc>
          <w:tcPr>
            <w:tcW w:w="1296" w:type="dxa"/>
            <w:tcMar>
              <w:top w:w="90" w:type="dxa"/>
              <w:left w:w="80" w:type="dxa"/>
              <w:bottom w:w="90" w:type="dxa"/>
              <w:right w:w="80" w:type="dxa"/>
            </w:tcMar>
            <w:vAlign w:val="center"/>
          </w:tcPr>
          <w:p w14:paraId="2902D03B" w14:textId="77777777" w:rsidR="0024466E" w:rsidRDefault="00000000">
            <w:pPr>
              <w:spacing w:after="0" w:line="240" w:lineRule="auto"/>
              <w:jc w:val="center"/>
            </w:pPr>
            <w:r>
              <w:rPr>
                <w:sz w:val="15"/>
              </w:rPr>
              <w:t>26 August 2026</w:t>
            </w:r>
          </w:p>
        </w:tc>
      </w:tr>
      <w:tr w:rsidR="0024466E" w14:paraId="48E8AA1D" w14:textId="77777777">
        <w:trPr>
          <w:cantSplit/>
          <w:jc w:val="center"/>
        </w:trPr>
        <w:tc>
          <w:tcPr>
            <w:tcW w:w="648" w:type="dxa"/>
            <w:tcMar>
              <w:top w:w="90" w:type="dxa"/>
              <w:left w:w="80" w:type="dxa"/>
              <w:bottom w:w="90" w:type="dxa"/>
              <w:right w:w="80" w:type="dxa"/>
            </w:tcMar>
            <w:vAlign w:val="center"/>
          </w:tcPr>
          <w:p w14:paraId="212C2A4B" w14:textId="77777777" w:rsidR="0024466E" w:rsidRDefault="00000000">
            <w:pPr>
              <w:spacing w:after="0" w:line="240" w:lineRule="auto"/>
              <w:jc w:val="center"/>
            </w:pPr>
            <w:r>
              <w:rPr>
                <w:sz w:val="15"/>
              </w:rPr>
              <w:t>Q3</w:t>
            </w:r>
          </w:p>
        </w:tc>
        <w:tc>
          <w:tcPr>
            <w:tcW w:w="1728" w:type="dxa"/>
            <w:tcMar>
              <w:top w:w="90" w:type="dxa"/>
              <w:left w:w="80" w:type="dxa"/>
              <w:bottom w:w="90" w:type="dxa"/>
              <w:right w:w="80" w:type="dxa"/>
            </w:tcMar>
            <w:vAlign w:val="center"/>
          </w:tcPr>
          <w:p w14:paraId="365F454E"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7FF294CD" w14:textId="77777777" w:rsidR="0024466E" w:rsidRDefault="00000000">
            <w:pPr>
              <w:spacing w:after="0" w:line="240" w:lineRule="auto"/>
            </w:pPr>
            <w:r>
              <w:rPr>
                <w:sz w:val="15"/>
              </w:rPr>
              <w:t>"security operations center" empirical study analyst incident response qualitative interview survey</w:t>
            </w:r>
          </w:p>
        </w:tc>
        <w:tc>
          <w:tcPr>
            <w:tcW w:w="792" w:type="dxa"/>
            <w:tcMar>
              <w:top w:w="90" w:type="dxa"/>
              <w:left w:w="80" w:type="dxa"/>
              <w:bottom w:w="90" w:type="dxa"/>
              <w:right w:w="80" w:type="dxa"/>
            </w:tcMar>
            <w:vAlign w:val="center"/>
          </w:tcPr>
          <w:p w14:paraId="18438A04" w14:textId="77777777" w:rsidR="0024466E" w:rsidRDefault="00000000">
            <w:pPr>
              <w:spacing w:after="0" w:line="240" w:lineRule="auto"/>
              <w:jc w:val="center"/>
            </w:pPr>
            <w:r>
              <w:rPr>
                <w:sz w:val="15"/>
              </w:rPr>
              <w:t>12</w:t>
            </w:r>
          </w:p>
        </w:tc>
        <w:tc>
          <w:tcPr>
            <w:tcW w:w="1296" w:type="dxa"/>
            <w:tcMar>
              <w:top w:w="90" w:type="dxa"/>
              <w:left w:w="80" w:type="dxa"/>
              <w:bottom w:w="90" w:type="dxa"/>
              <w:right w:w="80" w:type="dxa"/>
            </w:tcMar>
            <w:vAlign w:val="center"/>
          </w:tcPr>
          <w:p w14:paraId="72127392" w14:textId="77777777" w:rsidR="0024466E" w:rsidRDefault="00000000">
            <w:pPr>
              <w:spacing w:after="0" w:line="240" w:lineRule="auto"/>
              <w:jc w:val="center"/>
            </w:pPr>
            <w:r>
              <w:rPr>
                <w:sz w:val="15"/>
              </w:rPr>
              <w:t>26 August 2026</w:t>
            </w:r>
          </w:p>
        </w:tc>
      </w:tr>
      <w:tr w:rsidR="0024466E" w14:paraId="287A9A2A" w14:textId="77777777">
        <w:trPr>
          <w:cantSplit/>
          <w:jc w:val="center"/>
        </w:trPr>
        <w:tc>
          <w:tcPr>
            <w:tcW w:w="648" w:type="dxa"/>
            <w:tcMar>
              <w:top w:w="90" w:type="dxa"/>
              <w:left w:w="80" w:type="dxa"/>
              <w:bottom w:w="90" w:type="dxa"/>
              <w:right w:w="80" w:type="dxa"/>
            </w:tcMar>
            <w:vAlign w:val="center"/>
          </w:tcPr>
          <w:p w14:paraId="20D300F7" w14:textId="77777777" w:rsidR="0024466E" w:rsidRDefault="00000000">
            <w:pPr>
              <w:spacing w:after="0" w:line="240" w:lineRule="auto"/>
              <w:jc w:val="center"/>
            </w:pPr>
            <w:r>
              <w:rPr>
                <w:sz w:val="15"/>
              </w:rPr>
              <w:t>Q4</w:t>
            </w:r>
          </w:p>
        </w:tc>
        <w:tc>
          <w:tcPr>
            <w:tcW w:w="1728" w:type="dxa"/>
            <w:tcMar>
              <w:top w:w="90" w:type="dxa"/>
              <w:left w:w="80" w:type="dxa"/>
              <w:bottom w:w="90" w:type="dxa"/>
              <w:right w:w="80" w:type="dxa"/>
            </w:tcMar>
            <w:vAlign w:val="center"/>
          </w:tcPr>
          <w:p w14:paraId="59D8C2D2"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6BB6C9E1" w14:textId="77777777" w:rsidR="0024466E" w:rsidRDefault="00000000">
            <w:pPr>
              <w:spacing w:after="0" w:line="240" w:lineRule="auto"/>
            </w:pPr>
            <w:r>
              <w:rPr>
                <w:sz w:val="15"/>
              </w:rPr>
              <w:t>"cyber incident response" training simulation tabletop exercise evaluation study</w:t>
            </w:r>
          </w:p>
        </w:tc>
        <w:tc>
          <w:tcPr>
            <w:tcW w:w="792" w:type="dxa"/>
            <w:tcMar>
              <w:top w:w="90" w:type="dxa"/>
              <w:left w:w="80" w:type="dxa"/>
              <w:bottom w:w="90" w:type="dxa"/>
              <w:right w:w="80" w:type="dxa"/>
            </w:tcMar>
            <w:vAlign w:val="center"/>
          </w:tcPr>
          <w:p w14:paraId="5E6BA38A" w14:textId="77777777" w:rsidR="0024466E" w:rsidRDefault="00000000">
            <w:pPr>
              <w:spacing w:after="0" w:line="240" w:lineRule="auto"/>
              <w:jc w:val="center"/>
            </w:pPr>
            <w:r>
              <w:rPr>
                <w:sz w:val="15"/>
              </w:rPr>
              <w:t>11</w:t>
            </w:r>
          </w:p>
        </w:tc>
        <w:tc>
          <w:tcPr>
            <w:tcW w:w="1296" w:type="dxa"/>
            <w:tcMar>
              <w:top w:w="90" w:type="dxa"/>
              <w:left w:w="80" w:type="dxa"/>
              <w:bottom w:w="90" w:type="dxa"/>
              <w:right w:w="80" w:type="dxa"/>
            </w:tcMar>
            <w:vAlign w:val="center"/>
          </w:tcPr>
          <w:p w14:paraId="626DC710" w14:textId="77777777" w:rsidR="0024466E" w:rsidRDefault="00000000">
            <w:pPr>
              <w:spacing w:after="0" w:line="240" w:lineRule="auto"/>
              <w:jc w:val="center"/>
            </w:pPr>
            <w:r>
              <w:rPr>
                <w:sz w:val="15"/>
              </w:rPr>
              <w:t>26 August 2026</w:t>
            </w:r>
          </w:p>
        </w:tc>
      </w:tr>
      <w:tr w:rsidR="0024466E" w14:paraId="116D9EF7" w14:textId="77777777">
        <w:trPr>
          <w:cantSplit/>
          <w:jc w:val="center"/>
        </w:trPr>
        <w:tc>
          <w:tcPr>
            <w:tcW w:w="648" w:type="dxa"/>
            <w:tcMar>
              <w:top w:w="90" w:type="dxa"/>
              <w:left w:w="80" w:type="dxa"/>
              <w:bottom w:w="90" w:type="dxa"/>
              <w:right w:w="80" w:type="dxa"/>
            </w:tcMar>
            <w:vAlign w:val="center"/>
          </w:tcPr>
          <w:p w14:paraId="0278FF93" w14:textId="77777777" w:rsidR="0024466E" w:rsidRDefault="00000000">
            <w:pPr>
              <w:spacing w:after="0" w:line="240" w:lineRule="auto"/>
              <w:jc w:val="center"/>
            </w:pPr>
            <w:r>
              <w:rPr>
                <w:sz w:val="15"/>
              </w:rPr>
              <w:t>Q5</w:t>
            </w:r>
          </w:p>
        </w:tc>
        <w:tc>
          <w:tcPr>
            <w:tcW w:w="1728" w:type="dxa"/>
            <w:tcMar>
              <w:top w:w="90" w:type="dxa"/>
              <w:left w:w="80" w:type="dxa"/>
              <w:bottom w:w="90" w:type="dxa"/>
              <w:right w:w="80" w:type="dxa"/>
            </w:tcMar>
            <w:vAlign w:val="center"/>
          </w:tcPr>
          <w:p w14:paraId="76F1545C"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233E42D7" w14:textId="77777777" w:rsidR="0024466E" w:rsidRDefault="00000000">
            <w:pPr>
              <w:spacing w:after="0" w:line="240" w:lineRule="auto"/>
            </w:pPr>
            <w:r>
              <w:rPr>
                <w:sz w:val="15"/>
              </w:rPr>
              <w:t>cyberattack healthcare workforce response qualitative study ransomware incident response hospital</w:t>
            </w:r>
          </w:p>
        </w:tc>
        <w:tc>
          <w:tcPr>
            <w:tcW w:w="792" w:type="dxa"/>
            <w:tcMar>
              <w:top w:w="90" w:type="dxa"/>
              <w:left w:w="80" w:type="dxa"/>
              <w:bottom w:w="90" w:type="dxa"/>
              <w:right w:w="80" w:type="dxa"/>
            </w:tcMar>
            <w:vAlign w:val="center"/>
          </w:tcPr>
          <w:p w14:paraId="2696EE6D" w14:textId="77777777" w:rsidR="0024466E" w:rsidRDefault="00000000">
            <w:pPr>
              <w:spacing w:after="0" w:line="240" w:lineRule="auto"/>
              <w:jc w:val="center"/>
            </w:pPr>
            <w:r>
              <w:rPr>
                <w:sz w:val="15"/>
              </w:rPr>
              <w:t>15</w:t>
            </w:r>
          </w:p>
        </w:tc>
        <w:tc>
          <w:tcPr>
            <w:tcW w:w="1296" w:type="dxa"/>
            <w:tcMar>
              <w:top w:w="90" w:type="dxa"/>
              <w:left w:w="80" w:type="dxa"/>
              <w:bottom w:w="90" w:type="dxa"/>
              <w:right w:w="80" w:type="dxa"/>
            </w:tcMar>
            <w:vAlign w:val="center"/>
          </w:tcPr>
          <w:p w14:paraId="0745878B" w14:textId="77777777" w:rsidR="0024466E" w:rsidRDefault="00000000">
            <w:pPr>
              <w:spacing w:after="0" w:line="240" w:lineRule="auto"/>
              <w:jc w:val="center"/>
            </w:pPr>
            <w:r>
              <w:rPr>
                <w:sz w:val="15"/>
              </w:rPr>
              <w:t>26 August 2026</w:t>
            </w:r>
          </w:p>
        </w:tc>
      </w:tr>
      <w:tr w:rsidR="0024466E" w14:paraId="1B45CB47" w14:textId="77777777">
        <w:trPr>
          <w:cantSplit/>
          <w:jc w:val="center"/>
        </w:trPr>
        <w:tc>
          <w:tcPr>
            <w:tcW w:w="648" w:type="dxa"/>
            <w:tcMar>
              <w:top w:w="90" w:type="dxa"/>
              <w:left w:w="80" w:type="dxa"/>
              <w:bottom w:w="90" w:type="dxa"/>
              <w:right w:w="80" w:type="dxa"/>
            </w:tcMar>
            <w:vAlign w:val="center"/>
          </w:tcPr>
          <w:p w14:paraId="35781770" w14:textId="77777777" w:rsidR="0024466E" w:rsidRDefault="00000000">
            <w:pPr>
              <w:spacing w:after="0" w:line="240" w:lineRule="auto"/>
              <w:jc w:val="center"/>
            </w:pPr>
            <w:r>
              <w:rPr>
                <w:sz w:val="15"/>
              </w:rPr>
              <w:t>Q6</w:t>
            </w:r>
          </w:p>
        </w:tc>
        <w:tc>
          <w:tcPr>
            <w:tcW w:w="1728" w:type="dxa"/>
            <w:tcMar>
              <w:top w:w="90" w:type="dxa"/>
              <w:left w:w="80" w:type="dxa"/>
              <w:bottom w:w="90" w:type="dxa"/>
              <w:right w:w="80" w:type="dxa"/>
            </w:tcMar>
            <w:vAlign w:val="center"/>
          </w:tcPr>
          <w:p w14:paraId="5B27F5E2" w14:textId="77777777" w:rsidR="0024466E" w:rsidRDefault="00000000">
            <w:pPr>
              <w:spacing w:after="0" w:line="240" w:lineRule="auto"/>
            </w:pPr>
            <w:r>
              <w:rPr>
                <w:sz w:val="15"/>
              </w:rPr>
              <w:t>Open web search interface</w:t>
            </w:r>
          </w:p>
        </w:tc>
        <w:tc>
          <w:tcPr>
            <w:tcW w:w="5328" w:type="dxa"/>
            <w:tcMar>
              <w:top w:w="90" w:type="dxa"/>
              <w:left w:w="80" w:type="dxa"/>
              <w:bottom w:w="90" w:type="dxa"/>
              <w:right w:w="80" w:type="dxa"/>
            </w:tcMar>
            <w:vAlign w:val="center"/>
          </w:tcPr>
          <w:p w14:paraId="2710C2E8" w14:textId="77777777" w:rsidR="0024466E" w:rsidRDefault="00000000">
            <w:pPr>
              <w:spacing w:after="0" w:line="240" w:lineRule="auto"/>
            </w:pPr>
            <w:r>
              <w:rPr>
                <w:sz w:val="15"/>
              </w:rPr>
              <w:t>("cybersecurity incident response" OR "security operations center") human factors burnout organizational learning empirical study</w:t>
            </w:r>
          </w:p>
        </w:tc>
        <w:tc>
          <w:tcPr>
            <w:tcW w:w="792" w:type="dxa"/>
            <w:tcMar>
              <w:top w:w="90" w:type="dxa"/>
              <w:left w:w="80" w:type="dxa"/>
              <w:bottom w:w="90" w:type="dxa"/>
              <w:right w:w="80" w:type="dxa"/>
            </w:tcMar>
            <w:vAlign w:val="center"/>
          </w:tcPr>
          <w:p w14:paraId="49121606" w14:textId="77777777" w:rsidR="0024466E" w:rsidRDefault="00000000">
            <w:pPr>
              <w:spacing w:after="0" w:line="240" w:lineRule="auto"/>
              <w:jc w:val="center"/>
            </w:pPr>
            <w:r>
              <w:rPr>
                <w:sz w:val="15"/>
              </w:rPr>
              <w:t>12</w:t>
            </w:r>
          </w:p>
        </w:tc>
        <w:tc>
          <w:tcPr>
            <w:tcW w:w="1296" w:type="dxa"/>
            <w:tcMar>
              <w:top w:w="90" w:type="dxa"/>
              <w:left w:w="80" w:type="dxa"/>
              <w:bottom w:w="90" w:type="dxa"/>
              <w:right w:w="80" w:type="dxa"/>
            </w:tcMar>
            <w:vAlign w:val="center"/>
          </w:tcPr>
          <w:p w14:paraId="55E3B28E" w14:textId="77777777" w:rsidR="0024466E" w:rsidRDefault="00000000">
            <w:pPr>
              <w:spacing w:after="0" w:line="240" w:lineRule="auto"/>
              <w:jc w:val="center"/>
            </w:pPr>
            <w:r>
              <w:rPr>
                <w:sz w:val="15"/>
              </w:rPr>
              <w:t>26 August 2026</w:t>
            </w:r>
          </w:p>
        </w:tc>
      </w:tr>
      <w:tr w:rsidR="0024466E" w14:paraId="2063F595" w14:textId="77777777">
        <w:trPr>
          <w:cantSplit/>
          <w:jc w:val="center"/>
        </w:trPr>
        <w:tc>
          <w:tcPr>
            <w:tcW w:w="648" w:type="dxa"/>
            <w:tcMar>
              <w:top w:w="90" w:type="dxa"/>
              <w:left w:w="80" w:type="dxa"/>
              <w:bottom w:w="90" w:type="dxa"/>
              <w:right w:w="80" w:type="dxa"/>
            </w:tcMar>
            <w:vAlign w:val="center"/>
          </w:tcPr>
          <w:p w14:paraId="5F942687" w14:textId="77777777" w:rsidR="0024466E" w:rsidRDefault="00000000">
            <w:pPr>
              <w:spacing w:after="0" w:line="240" w:lineRule="auto"/>
              <w:jc w:val="center"/>
            </w:pPr>
            <w:r>
              <w:rPr>
                <w:sz w:val="15"/>
              </w:rPr>
              <w:t>C1</w:t>
            </w:r>
          </w:p>
        </w:tc>
        <w:tc>
          <w:tcPr>
            <w:tcW w:w="1728" w:type="dxa"/>
            <w:tcMar>
              <w:top w:w="90" w:type="dxa"/>
              <w:left w:w="80" w:type="dxa"/>
              <w:bottom w:w="90" w:type="dxa"/>
              <w:right w:w="80" w:type="dxa"/>
            </w:tcMar>
            <w:vAlign w:val="center"/>
          </w:tcPr>
          <w:p w14:paraId="5196EAAC" w14:textId="77777777" w:rsidR="0024466E" w:rsidRDefault="00000000">
            <w:pPr>
              <w:spacing w:after="0" w:line="240" w:lineRule="auto"/>
            </w:pPr>
            <w:r>
              <w:rPr>
                <w:sz w:val="15"/>
              </w:rPr>
              <w:t>Backward citation searching</w:t>
            </w:r>
          </w:p>
        </w:tc>
        <w:tc>
          <w:tcPr>
            <w:tcW w:w="5328" w:type="dxa"/>
            <w:tcMar>
              <w:top w:w="90" w:type="dxa"/>
              <w:left w:w="80" w:type="dxa"/>
              <w:bottom w:w="90" w:type="dxa"/>
              <w:right w:w="80" w:type="dxa"/>
            </w:tcMar>
            <w:vAlign w:val="center"/>
          </w:tcPr>
          <w:p w14:paraId="25B5BC53" w14:textId="77777777" w:rsidR="0024466E" w:rsidRDefault="00000000">
            <w:pPr>
              <w:spacing w:after="0" w:line="240" w:lineRule="auto"/>
            </w:pPr>
            <w:r>
              <w:rPr>
                <w:sz w:val="15"/>
              </w:rPr>
              <w:t>Reference-list checking for earlier empirical studies of organisational incident response, SOC work, training, learning, situation awareness and human factors</w:t>
            </w:r>
          </w:p>
        </w:tc>
        <w:tc>
          <w:tcPr>
            <w:tcW w:w="792" w:type="dxa"/>
            <w:tcMar>
              <w:top w:w="90" w:type="dxa"/>
              <w:left w:w="80" w:type="dxa"/>
              <w:bottom w:w="90" w:type="dxa"/>
              <w:right w:w="80" w:type="dxa"/>
            </w:tcMar>
            <w:vAlign w:val="center"/>
          </w:tcPr>
          <w:p w14:paraId="48068EF3" w14:textId="77777777" w:rsidR="0024466E" w:rsidRDefault="00000000">
            <w:pPr>
              <w:spacing w:after="0" w:line="240" w:lineRule="auto"/>
              <w:jc w:val="center"/>
            </w:pPr>
            <w:r>
              <w:rPr>
                <w:sz w:val="15"/>
              </w:rPr>
              <w:t>10</w:t>
            </w:r>
          </w:p>
        </w:tc>
        <w:tc>
          <w:tcPr>
            <w:tcW w:w="1296" w:type="dxa"/>
            <w:tcMar>
              <w:top w:w="90" w:type="dxa"/>
              <w:left w:w="80" w:type="dxa"/>
              <w:bottom w:w="90" w:type="dxa"/>
              <w:right w:w="80" w:type="dxa"/>
            </w:tcMar>
            <w:vAlign w:val="center"/>
          </w:tcPr>
          <w:p w14:paraId="3EA6CF1A" w14:textId="77777777" w:rsidR="0024466E" w:rsidRDefault="00000000">
            <w:pPr>
              <w:spacing w:after="0" w:line="240" w:lineRule="auto"/>
              <w:jc w:val="center"/>
            </w:pPr>
            <w:r>
              <w:rPr>
                <w:sz w:val="15"/>
              </w:rPr>
              <w:t>26 August 2026</w:t>
            </w:r>
          </w:p>
        </w:tc>
      </w:tr>
    </w:tbl>
    <w:p w14:paraId="35D12681" w14:textId="77777777" w:rsidR="0024466E" w:rsidRDefault="00000000">
      <w:pPr>
        <w:pStyle w:val="TableNote"/>
      </w:pPr>
      <w:r>
        <w:t>All searches used the eligible publication window 1 January 2000 to 30 June 2026. Full source-specific details are reproduced in the supplement. The citation-search count contains unique reports added after deduplication against the web-search set.</w:t>
      </w:r>
    </w:p>
    <w:p w14:paraId="33BEE061" w14:textId="77777777" w:rsidR="0024466E" w:rsidRDefault="00000000">
      <w:pPr>
        <w:pStyle w:val="Heading2"/>
      </w:pPr>
      <w:r>
        <w:t>2.4 Record management and selection</w:t>
      </w:r>
    </w:p>
    <w:p w14:paraId="3CB2C7F3" w14:textId="77777777" w:rsidR="0024466E" w:rsidRDefault="00000000">
      <w:r>
        <w:t>Each retrieved card was assigned a record identifier and entered into the evidence ledger. Duplicates were detected using title, DOI, author and contextual comparison rather than title equality alone. Duplicate entries were linked to the retained record through a duplicate group and audit field. Records, reports and studies were distinguished: a record was a search result; a report was an accessible publication or thesis; and a study was the underlying empirical investigation. Two linked reports from a Norwegian electrical-power preparedness programme were retained as separate reports but mapped to one study identifier, avoiding double counting.</w:t>
      </w:r>
    </w:p>
    <w:p w14:paraId="31AD7F88" w14:textId="3ED4824D" w:rsidR="0024466E" w:rsidRDefault="00000000">
      <w:r w:rsidRPr="0027531E">
        <w:t xml:space="preserve">Title and abstract screening, full-text assessment, extraction and appraisal were completed </w:t>
      </w:r>
      <w:r w:rsidR="0027531E" w:rsidRPr="0027531E">
        <w:t>by one reviewer</w:t>
      </w:r>
      <w:r w:rsidRPr="0027531E">
        <w:t>.</w:t>
      </w:r>
      <w:r>
        <w:t xml:space="preserve"> There was no independent human duplicate screening, no second independent extractor and no adjudication process. Decisions were made against the operational criteria and reconciled arithmetically in the ledger. A </w:t>
      </w:r>
      <w:r>
        <w:lastRenderedPageBreak/>
        <w:t>single primary reason was assigned to each full-text exclusion. Reports that appeared relevant but could not be retrieved from openly accessible sources were distinguished from retrieved reports that failed eligibility.</w:t>
      </w:r>
    </w:p>
    <w:p w14:paraId="68025E78" w14:textId="77777777" w:rsidR="0024466E" w:rsidRDefault="00000000">
      <w:r>
        <w:t>A structured extraction form captured report and study identifiers, setting, design, participants, incident-response phenomenon, outcomes, principal findings, limitations, DOI or stable URL, and a source locator. "Not reported" was used when the accessible report did not provide a study-level item. Numerical results were transcribed only when directly supported by the source. No estimates, standard errors or confidence intervals were reconstructed from figures, and overlapping reports were not combined numerically.</w:t>
      </w:r>
    </w:p>
    <w:p w14:paraId="3DEF082C" w14:textId="77777777" w:rsidR="0024466E" w:rsidRDefault="00000000">
      <w:pPr>
        <w:pStyle w:val="Heading2"/>
      </w:pPr>
      <w:r>
        <w:t>2.5 Methodological appraisal</w:t>
      </w:r>
    </w:p>
    <w:p w14:paraId="16194D03" w14:textId="77777777" w:rsidR="0024466E" w:rsidRDefault="00000000">
      <w:r>
        <w:t>Methodological appraisal used the Mixed Methods Appraisal Tool (MMAT) 2018 because the corpus contained qualitative, quantitative descriptive, non-randomised simulation and mixed-methods designs (Hong et al., 2018). The two MMAT screening questions and the five design-specific criteria were applied to each report. Judgements were recorded as "Yes", "No" or "Can't tell" with a supporting rationale. Numerical quality scores were not calculated because an aggregate score can obscure which design features limit a finding.</w:t>
      </w:r>
    </w:p>
    <w:p w14:paraId="63AC3B70" w14:textId="77777777" w:rsidR="0024466E" w:rsidRDefault="00000000">
      <w:r>
        <w:t>Appraisal informed interpretation rather than eligibility. Small purposive samples, incomplete reporting of recruitment or reflexivity, unclear survey sampling frames, self-report, absence of non-response information and lack of objective comparators were treated as limitations of inference. In mixed-methods studies, attention was given to whether components were integrated and whether the interpretation depended on the weaker component. The appraisal was not performed independently by a second reviewer.</w:t>
      </w:r>
    </w:p>
    <w:p w14:paraId="61711F3D" w14:textId="77777777" w:rsidR="0024466E" w:rsidRDefault="00000000">
      <w:pPr>
        <w:pStyle w:val="Heading2"/>
      </w:pPr>
      <w:r>
        <w:t>2.6 Synthesis without meta-analysis and confidence assessment</w:t>
      </w:r>
    </w:p>
    <w:p w14:paraId="4BC8420C" w14:textId="77777777" w:rsidR="0024466E" w:rsidRDefault="00000000">
      <w:r>
        <w:t>Statistical meta-analysis was neither prespecified nor undertaken. The studies differed in populations, sectors, incident types, designs, outcome definitions, time points, measurement instruments and estimands. For example, a qualitative account of shift hand-offs, a survey of perceived automation benefit and a hospital simulation of response to manipulated monitors do not estimate a common effect. Pooling them would create a numerical summary without a coherent target quantity.</w:t>
      </w:r>
    </w:p>
    <w:p w14:paraId="5C9AACDC" w14:textId="77777777" w:rsidR="0024466E" w:rsidRDefault="00000000">
      <w:r>
        <w:t>Reports were grouped into six synthesis themes specified after preliminary mapping but before final narrative integration: communication, coordination and shared situation awareness; role clarity, staffing, workload and burnout; training, preparedness and realistic exercises; post-incident learning and organisational integration; tool usability, data quality and automation with human oversight; and healthcare continuity, patient safety and workforce adaptation. Within each group, the synthesis considered setting, design, sample, direction and magnitude of any reported numerical finding, MMAT limitations, and whether similar mechanisms recurred across independent contexts.</w:t>
      </w:r>
    </w:p>
    <w:p w14:paraId="34E66058" w14:textId="77777777" w:rsidR="0024466E" w:rsidRDefault="00000000">
      <w:r>
        <w:t>No vote counting by statistical significance was used. Quantitative percentages were presented as descriptive findings from their source studies and were not treated as comparable effect sizes. The synthesis emphasised mechanisms and convergence, while explicitly distinguishing absence of evidence from evidence of no effect. Formal GRADE was not applied because the evidence did not support a common intervention-outcome structure. Instead, a structured confidence assessment considered methodological limitations, coherence, directness, breadth of settings and the adequacy of data supporting each theme.</w:t>
      </w:r>
    </w:p>
    <w:p w14:paraId="050AE371" w14:textId="77777777" w:rsidR="0024466E" w:rsidRDefault="00000000">
      <w:pPr>
        <w:pStyle w:val="Heading1"/>
      </w:pPr>
      <w:r>
        <w:t>3. Results</w:t>
      </w:r>
    </w:p>
    <w:p w14:paraId="0DC426DE" w14:textId="77777777" w:rsidR="0024466E" w:rsidRDefault="00000000">
      <w:pPr>
        <w:pStyle w:val="Heading2"/>
      </w:pPr>
      <w:r>
        <w:t>3.1 Study selection</w:t>
      </w:r>
    </w:p>
    <w:p w14:paraId="3913CAB2" w14:textId="77777777" w:rsidR="0024466E" w:rsidRDefault="00000000">
      <w:r>
        <w:t xml:space="preserve">The six open web searches identified 75 records and backward citation checking identified 10 additional records. Eleven duplicates were removed, leaving 74 records for title and abstract screening. Forty-one records were excluded at this stage. Thirty-three reports were sought; three could not be retrieved from an openly accessible source. Thirty reports were assessed in full, four were excluded and 26 reports representing 25 unique studies were included. The four full-text exclusions comprised one conceptual report, one methods or telemetry proposal without reportable operational outcomes, one general SOC </w:t>
      </w:r>
      <w:r>
        <w:lastRenderedPageBreak/>
        <w:t>metrics study in which the incident-response phenomenon was insufficiently delineated, and one platform-design report without an eligible evaluative outcome.</w:t>
      </w:r>
    </w:p>
    <w:p w14:paraId="4753E368" w14:textId="77777777" w:rsidR="0024466E" w:rsidRDefault="00000000">
      <w:r>
        <w:t>The flow diagram is a direct rendering of the evidence ledger rather than an estimate. Its arithmetic preserves the distinction between records, reports and studies, and the linked Norwegian reports are visible in the final difference between 26 included reports and 25 unique studies. Figure 1 therefore provides the audit anchor for all counts reported in the abstract, Results and supplement.</w:t>
      </w:r>
    </w:p>
    <w:p w14:paraId="7847F753" w14:textId="2FAD2A7C" w:rsidR="0024466E" w:rsidRDefault="0027531E">
      <w:pPr>
        <w:keepNext/>
        <w:jc w:val="center"/>
      </w:pPr>
      <w:r>
        <w:rPr>
          <w:noProof/>
        </w:rPr>
        <w:drawing>
          <wp:inline distT="0" distB="0" distL="0" distR="0" wp14:anchorId="2143A2BA" wp14:editId="5E72D1B6">
            <wp:extent cx="6047740" cy="3627120"/>
            <wp:effectExtent l="0" t="0" r="0" b="0"/>
            <wp:docPr id="27689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97668" name="Picture 276897668"/>
                    <pic:cNvPicPr/>
                  </pic:nvPicPr>
                  <pic:blipFill>
                    <a:blip r:embed="rId8"/>
                    <a:stretch>
                      <a:fillRect/>
                    </a:stretch>
                  </pic:blipFill>
                  <pic:spPr>
                    <a:xfrm>
                      <a:off x="0" y="0"/>
                      <a:ext cx="6047740" cy="3627120"/>
                    </a:xfrm>
                    <a:prstGeom prst="rect">
                      <a:avLst/>
                    </a:prstGeom>
                  </pic:spPr>
                </pic:pic>
              </a:graphicData>
            </a:graphic>
          </wp:inline>
        </w:drawing>
      </w:r>
    </w:p>
    <w:p w14:paraId="7BE83697" w14:textId="77777777" w:rsidR="0024466E" w:rsidRDefault="00000000">
      <w:pPr>
        <w:pStyle w:val="TableCaption"/>
        <w:jc w:val="center"/>
      </w:pPr>
      <w:r>
        <w:t>Figure 1. PRISMA 2020 flow diagram for study selection</w:t>
      </w:r>
    </w:p>
    <w:p w14:paraId="16834069" w14:textId="77777777" w:rsidR="0024466E" w:rsidRDefault="00000000">
      <w:pPr>
        <w:pStyle w:val="TableNote"/>
      </w:pPr>
      <w:r>
        <w:t>The 26 included reports represent 25 unique studies because Bartnes et al. (2016) and Bartnes and Moe (2017) are linked reports from the same broader Norwegian electrical-power preparedness programme.</w:t>
      </w:r>
    </w:p>
    <w:p w14:paraId="444AB1DE" w14:textId="77777777" w:rsidR="0024466E" w:rsidRDefault="0024466E">
      <w:pPr>
        <w:sectPr w:rsidR="0024466E">
          <w:headerReference w:type="even" r:id="rId9"/>
          <w:headerReference w:type="default" r:id="rId10"/>
          <w:footerReference w:type="even" r:id="rId11"/>
          <w:footerReference w:type="default" r:id="rId12"/>
          <w:headerReference w:type="first" r:id="rId13"/>
          <w:footerReference w:type="first" r:id="rId14"/>
          <w:pgSz w:w="11906" w:h="16838"/>
          <w:pgMar w:top="1134" w:right="1191" w:bottom="1020" w:left="1191" w:header="454" w:footer="454" w:gutter="0"/>
          <w:cols w:space="720"/>
          <w:docGrid w:linePitch="360"/>
        </w:sectPr>
      </w:pPr>
    </w:p>
    <w:p w14:paraId="0096748F" w14:textId="77777777" w:rsidR="0024466E" w:rsidRDefault="00000000">
      <w:pPr>
        <w:pStyle w:val="Heading2"/>
      </w:pPr>
      <w:r>
        <w:lastRenderedPageBreak/>
        <w:t>3.2 Characteristics of included evidence</w:t>
      </w:r>
    </w:p>
    <w:p w14:paraId="27023C6F" w14:textId="77777777" w:rsidR="0024466E" w:rsidRDefault="00000000">
      <w:r>
        <w:t>Publication years ranged from 2010 to 2026. Most reports were qualitative case, interview or field studies. Two were quantitative descriptive surveys, three were mixed-methods studies, and one used a high-fidelity non-randomised hospital simulation with qualitative behavioural coding. Settings included financial services, national and sector CSIRTs, corporate and university SOCs, electrical power, public administration, healthcare and cross-sector practitioner samples. Sample sizes ranged from small multi-site interview studies to a survey of 194 professionals; several qualitative reports did not provide a single participant denominator.</w:t>
      </w:r>
    </w:p>
    <w:p w14:paraId="1BD547CB" w14:textId="77777777" w:rsidR="0024466E" w:rsidRDefault="00000000">
      <w:r>
        <w:t>The study map shows breadth of context but limited comparability. Qualitative evidence is valuable for explaining why response succeeds or fails, yet the scarcity of objective detection, containment, recovery and safety outcomes constrains causal conclusions. Table 3 therefore presents design, context, principal finding and the main inferential limitation together, rather than separating "results" from the conditions that determine how strongly they can be interpreted.</w:t>
      </w:r>
    </w:p>
    <w:p w14:paraId="602FF113" w14:textId="77777777" w:rsidR="0024466E" w:rsidRDefault="00000000">
      <w:pPr>
        <w:pStyle w:val="TableCaption"/>
      </w:pPr>
      <w:r>
        <w:t>Table 3. Characteristics and principal findings of included reports</w:t>
      </w:r>
    </w:p>
    <w:tbl>
      <w:tblPr>
        <w:tblStyle w:val="TableGrid"/>
        <w:tblW w:w="0" w:type="auto"/>
        <w:jc w:val="center"/>
        <w:tblLayout w:type="fixed"/>
        <w:tblLook w:val="04A0" w:firstRow="1" w:lastRow="0" w:firstColumn="1" w:lastColumn="0" w:noHBand="0" w:noVBand="1"/>
      </w:tblPr>
      <w:tblGrid>
        <w:gridCol w:w="1512"/>
        <w:gridCol w:w="2232"/>
        <w:gridCol w:w="2520"/>
        <w:gridCol w:w="2088"/>
        <w:gridCol w:w="4968"/>
        <w:gridCol w:w="2232"/>
      </w:tblGrid>
      <w:tr w:rsidR="0024466E" w14:paraId="72FE2486" w14:textId="77777777">
        <w:trPr>
          <w:tblHeader/>
          <w:jc w:val="center"/>
        </w:trPr>
        <w:tc>
          <w:tcPr>
            <w:tcW w:w="1512" w:type="dxa"/>
            <w:shd w:val="clear" w:color="auto" w:fill="17365D"/>
            <w:tcMar>
              <w:top w:w="80" w:type="dxa"/>
              <w:left w:w="85" w:type="dxa"/>
              <w:bottom w:w="80" w:type="dxa"/>
              <w:right w:w="85" w:type="dxa"/>
            </w:tcMar>
            <w:vAlign w:val="center"/>
          </w:tcPr>
          <w:p w14:paraId="2A40628C" w14:textId="77777777" w:rsidR="0024466E" w:rsidRDefault="00000000">
            <w:pPr>
              <w:spacing w:after="0"/>
              <w:jc w:val="center"/>
            </w:pPr>
            <w:r>
              <w:rPr>
                <w:rFonts w:ascii="Arial" w:hAnsi="Arial"/>
                <w:b/>
                <w:color w:val="FFFFFF"/>
                <w:sz w:val="14"/>
              </w:rPr>
              <w:t>Report</w:t>
            </w:r>
          </w:p>
        </w:tc>
        <w:tc>
          <w:tcPr>
            <w:tcW w:w="2232" w:type="dxa"/>
            <w:shd w:val="clear" w:color="auto" w:fill="17365D"/>
            <w:tcMar>
              <w:top w:w="80" w:type="dxa"/>
              <w:left w:w="85" w:type="dxa"/>
              <w:bottom w:w="80" w:type="dxa"/>
              <w:right w:w="85" w:type="dxa"/>
            </w:tcMar>
            <w:vAlign w:val="center"/>
          </w:tcPr>
          <w:p w14:paraId="03116197" w14:textId="77777777" w:rsidR="0024466E" w:rsidRDefault="00000000">
            <w:pPr>
              <w:spacing w:after="0"/>
              <w:jc w:val="center"/>
            </w:pPr>
            <w:r>
              <w:rPr>
                <w:rFonts w:ascii="Arial" w:hAnsi="Arial"/>
                <w:b/>
                <w:color w:val="FFFFFF"/>
                <w:sz w:val="14"/>
              </w:rPr>
              <w:t>Context</w:t>
            </w:r>
          </w:p>
        </w:tc>
        <w:tc>
          <w:tcPr>
            <w:tcW w:w="2520" w:type="dxa"/>
            <w:shd w:val="clear" w:color="auto" w:fill="17365D"/>
            <w:tcMar>
              <w:top w:w="80" w:type="dxa"/>
              <w:left w:w="85" w:type="dxa"/>
              <w:bottom w:w="80" w:type="dxa"/>
              <w:right w:w="85" w:type="dxa"/>
            </w:tcMar>
            <w:vAlign w:val="center"/>
          </w:tcPr>
          <w:p w14:paraId="4CD99155" w14:textId="77777777" w:rsidR="0024466E" w:rsidRDefault="00000000">
            <w:pPr>
              <w:spacing w:after="0"/>
              <w:jc w:val="center"/>
            </w:pPr>
            <w:r>
              <w:rPr>
                <w:rFonts w:ascii="Arial" w:hAnsi="Arial"/>
                <w:b/>
                <w:color w:val="FFFFFF"/>
                <w:sz w:val="14"/>
              </w:rPr>
              <w:t>Design and sample</w:t>
            </w:r>
          </w:p>
        </w:tc>
        <w:tc>
          <w:tcPr>
            <w:tcW w:w="2088" w:type="dxa"/>
            <w:shd w:val="clear" w:color="auto" w:fill="17365D"/>
            <w:tcMar>
              <w:top w:w="80" w:type="dxa"/>
              <w:left w:w="85" w:type="dxa"/>
              <w:bottom w:w="80" w:type="dxa"/>
              <w:right w:w="85" w:type="dxa"/>
            </w:tcMar>
            <w:vAlign w:val="center"/>
          </w:tcPr>
          <w:p w14:paraId="51A93B8D" w14:textId="77777777" w:rsidR="0024466E" w:rsidRDefault="00000000">
            <w:pPr>
              <w:spacing w:after="0"/>
              <w:jc w:val="center"/>
            </w:pPr>
            <w:r>
              <w:rPr>
                <w:rFonts w:ascii="Arial" w:hAnsi="Arial"/>
                <w:b/>
                <w:color w:val="FFFFFF"/>
                <w:sz w:val="14"/>
              </w:rPr>
              <w:t>Response focus</w:t>
            </w:r>
          </w:p>
        </w:tc>
        <w:tc>
          <w:tcPr>
            <w:tcW w:w="4968" w:type="dxa"/>
            <w:shd w:val="clear" w:color="auto" w:fill="17365D"/>
            <w:tcMar>
              <w:top w:w="80" w:type="dxa"/>
              <w:left w:w="85" w:type="dxa"/>
              <w:bottom w:w="80" w:type="dxa"/>
              <w:right w:w="85" w:type="dxa"/>
            </w:tcMar>
            <w:vAlign w:val="center"/>
          </w:tcPr>
          <w:p w14:paraId="645E809D" w14:textId="77777777" w:rsidR="0024466E" w:rsidRDefault="00000000">
            <w:pPr>
              <w:spacing w:after="0"/>
              <w:jc w:val="center"/>
            </w:pPr>
            <w:r>
              <w:rPr>
                <w:rFonts w:ascii="Arial" w:hAnsi="Arial"/>
                <w:b/>
                <w:color w:val="FFFFFF"/>
                <w:sz w:val="14"/>
              </w:rPr>
              <w:t>Principal finding</w:t>
            </w:r>
          </w:p>
        </w:tc>
        <w:tc>
          <w:tcPr>
            <w:tcW w:w="2232" w:type="dxa"/>
            <w:shd w:val="clear" w:color="auto" w:fill="17365D"/>
            <w:tcMar>
              <w:top w:w="80" w:type="dxa"/>
              <w:left w:w="85" w:type="dxa"/>
              <w:bottom w:w="80" w:type="dxa"/>
              <w:right w:w="85" w:type="dxa"/>
            </w:tcMar>
            <w:vAlign w:val="center"/>
          </w:tcPr>
          <w:p w14:paraId="1878F28F" w14:textId="77777777" w:rsidR="0024466E" w:rsidRDefault="00000000">
            <w:pPr>
              <w:spacing w:after="0"/>
              <w:jc w:val="center"/>
            </w:pPr>
            <w:r>
              <w:rPr>
                <w:rFonts w:ascii="Arial" w:hAnsi="Arial"/>
                <w:b/>
                <w:color w:val="FFFFFF"/>
                <w:sz w:val="14"/>
              </w:rPr>
              <w:t>Main limitation</w:t>
            </w:r>
          </w:p>
        </w:tc>
      </w:tr>
      <w:tr w:rsidR="0024466E" w14:paraId="5BB74C7E" w14:textId="77777777">
        <w:trPr>
          <w:cantSplit/>
          <w:jc w:val="center"/>
        </w:trPr>
        <w:tc>
          <w:tcPr>
            <w:tcW w:w="1512" w:type="dxa"/>
            <w:tcMar>
              <w:top w:w="70" w:type="dxa"/>
              <w:left w:w="80" w:type="dxa"/>
              <w:bottom w:w="70" w:type="dxa"/>
              <w:right w:w="80" w:type="dxa"/>
            </w:tcMar>
            <w:vAlign w:val="center"/>
          </w:tcPr>
          <w:p w14:paraId="1ACC1AF3" w14:textId="77777777" w:rsidR="0024466E" w:rsidRDefault="00000000">
            <w:pPr>
              <w:spacing w:after="0" w:line="240" w:lineRule="auto"/>
            </w:pPr>
            <w:r>
              <w:rPr>
                <w:sz w:val="14"/>
              </w:rPr>
              <w:t>Werlinger et al. (2010)</w:t>
            </w:r>
          </w:p>
        </w:tc>
        <w:tc>
          <w:tcPr>
            <w:tcW w:w="2232" w:type="dxa"/>
            <w:tcMar>
              <w:top w:w="70" w:type="dxa"/>
              <w:left w:w="80" w:type="dxa"/>
              <w:bottom w:w="70" w:type="dxa"/>
              <w:right w:w="80" w:type="dxa"/>
            </w:tcMar>
            <w:vAlign w:val="center"/>
          </w:tcPr>
          <w:p w14:paraId="23328FE8" w14:textId="77777777" w:rsidR="0024466E" w:rsidRDefault="00000000">
            <w:pPr>
              <w:spacing w:after="0" w:line="240" w:lineRule="auto"/>
            </w:pPr>
            <w:r>
              <w:rPr>
                <w:sz w:val="14"/>
              </w:rPr>
              <w:t>Canada and multinational organisational settings; Seven organisational types</w:t>
            </w:r>
          </w:p>
        </w:tc>
        <w:tc>
          <w:tcPr>
            <w:tcW w:w="2520" w:type="dxa"/>
            <w:tcMar>
              <w:top w:w="70" w:type="dxa"/>
              <w:left w:w="80" w:type="dxa"/>
              <w:bottom w:w="70" w:type="dxa"/>
              <w:right w:w="80" w:type="dxa"/>
            </w:tcMar>
            <w:vAlign w:val="center"/>
          </w:tcPr>
          <w:p w14:paraId="65C77086" w14:textId="77777777" w:rsidR="0024466E" w:rsidRDefault="00000000">
            <w:pPr>
              <w:spacing w:after="0" w:line="240" w:lineRule="auto"/>
            </w:pPr>
            <w:r>
              <w:rPr>
                <w:sz w:val="14"/>
              </w:rPr>
              <w:t>Qualitative interview study; 16 semi-structured interviews</w:t>
            </w:r>
          </w:p>
        </w:tc>
        <w:tc>
          <w:tcPr>
            <w:tcW w:w="2088" w:type="dxa"/>
            <w:tcMar>
              <w:top w:w="70" w:type="dxa"/>
              <w:left w:w="80" w:type="dxa"/>
              <w:bottom w:w="70" w:type="dxa"/>
              <w:right w:w="80" w:type="dxa"/>
            </w:tcMar>
            <w:vAlign w:val="center"/>
          </w:tcPr>
          <w:p w14:paraId="2F34BC31" w14:textId="77777777" w:rsidR="0024466E" w:rsidRDefault="00000000">
            <w:pPr>
              <w:spacing w:after="0" w:line="240" w:lineRule="auto"/>
            </w:pPr>
            <w:r>
              <w:rPr>
                <w:sz w:val="14"/>
              </w:rPr>
              <w:t>Preparation, detection and diagnostic analysis during incident response</w:t>
            </w:r>
          </w:p>
        </w:tc>
        <w:tc>
          <w:tcPr>
            <w:tcW w:w="4968" w:type="dxa"/>
            <w:tcMar>
              <w:top w:w="70" w:type="dxa"/>
              <w:left w:w="80" w:type="dxa"/>
              <w:bottom w:w="70" w:type="dxa"/>
              <w:right w:w="80" w:type="dxa"/>
            </w:tcMar>
            <w:vAlign w:val="center"/>
          </w:tcPr>
          <w:p w14:paraId="152472C7" w14:textId="77777777" w:rsidR="0024466E" w:rsidRDefault="00000000">
            <w:pPr>
              <w:spacing w:after="0" w:line="240" w:lineRule="auto"/>
            </w:pPr>
            <w:r>
              <w:rPr>
                <w:sz w:val="14"/>
              </w:rPr>
              <w:t>Incident diagnosis was collaborative and heavily dependent on tacit knowledge, locally customised tools and the ability to combine fragmented evidence. Tool usability and interoperability problems impeded the construction of a coherent incident picture.</w:t>
            </w:r>
          </w:p>
        </w:tc>
        <w:tc>
          <w:tcPr>
            <w:tcW w:w="2232" w:type="dxa"/>
            <w:tcMar>
              <w:top w:w="70" w:type="dxa"/>
              <w:left w:w="80" w:type="dxa"/>
              <w:bottom w:w="70" w:type="dxa"/>
              <w:right w:w="80" w:type="dxa"/>
            </w:tcMar>
            <w:vAlign w:val="center"/>
          </w:tcPr>
          <w:p w14:paraId="32540101" w14:textId="77777777" w:rsidR="0024466E" w:rsidRDefault="00000000">
            <w:pPr>
              <w:spacing w:after="0" w:line="240" w:lineRule="auto"/>
            </w:pPr>
            <w:r>
              <w:rPr>
                <w:sz w:val="14"/>
              </w:rPr>
              <w:t>Small purposive sample; organisational and recruitment details were incompletely reported.</w:t>
            </w:r>
          </w:p>
        </w:tc>
      </w:tr>
      <w:tr w:rsidR="0024466E" w14:paraId="01163CF9" w14:textId="77777777">
        <w:trPr>
          <w:cantSplit/>
          <w:jc w:val="center"/>
        </w:trPr>
        <w:tc>
          <w:tcPr>
            <w:tcW w:w="1512" w:type="dxa"/>
            <w:tcMar>
              <w:top w:w="70" w:type="dxa"/>
              <w:left w:w="80" w:type="dxa"/>
              <w:bottom w:w="70" w:type="dxa"/>
              <w:right w:w="80" w:type="dxa"/>
            </w:tcMar>
            <w:vAlign w:val="center"/>
          </w:tcPr>
          <w:p w14:paraId="21FE6267" w14:textId="77777777" w:rsidR="0024466E" w:rsidRDefault="00000000">
            <w:pPr>
              <w:spacing w:after="0" w:line="240" w:lineRule="auto"/>
            </w:pPr>
            <w:r>
              <w:rPr>
                <w:sz w:val="14"/>
              </w:rPr>
              <w:t>Shedden et al. (2011)</w:t>
            </w:r>
          </w:p>
        </w:tc>
        <w:tc>
          <w:tcPr>
            <w:tcW w:w="2232" w:type="dxa"/>
            <w:tcMar>
              <w:top w:w="70" w:type="dxa"/>
              <w:left w:w="80" w:type="dxa"/>
              <w:bottom w:w="70" w:type="dxa"/>
              <w:right w:w="80" w:type="dxa"/>
            </w:tcMar>
            <w:vAlign w:val="center"/>
          </w:tcPr>
          <w:p w14:paraId="3711E116" w14:textId="77777777" w:rsidR="0024466E" w:rsidRDefault="00000000">
            <w:pPr>
              <w:spacing w:after="0" w:line="240" w:lineRule="auto"/>
            </w:pPr>
            <w:r>
              <w:rPr>
                <w:sz w:val="14"/>
              </w:rPr>
              <w:t>Australia; Security incident response experts</w:t>
            </w:r>
          </w:p>
        </w:tc>
        <w:tc>
          <w:tcPr>
            <w:tcW w:w="2520" w:type="dxa"/>
            <w:tcMar>
              <w:top w:w="70" w:type="dxa"/>
              <w:left w:w="80" w:type="dxa"/>
              <w:bottom w:w="70" w:type="dxa"/>
              <w:right w:w="80" w:type="dxa"/>
            </w:tcMar>
            <w:vAlign w:val="center"/>
          </w:tcPr>
          <w:p w14:paraId="43F4D066" w14:textId="77777777" w:rsidR="0024466E" w:rsidRDefault="00000000">
            <w:pPr>
              <w:spacing w:after="0" w:line="240" w:lineRule="auto"/>
            </w:pPr>
            <w:r>
              <w:rPr>
                <w:sz w:val="14"/>
              </w:rPr>
              <w:t>Qualitative focus group; research-in-progress report; Expert focus group; number not reported</w:t>
            </w:r>
          </w:p>
        </w:tc>
        <w:tc>
          <w:tcPr>
            <w:tcW w:w="2088" w:type="dxa"/>
            <w:tcMar>
              <w:top w:w="70" w:type="dxa"/>
              <w:left w:w="80" w:type="dxa"/>
              <w:bottom w:w="70" w:type="dxa"/>
              <w:right w:w="80" w:type="dxa"/>
            </w:tcMar>
            <w:vAlign w:val="center"/>
          </w:tcPr>
          <w:p w14:paraId="21EBB6DE" w14:textId="77777777" w:rsidR="0024466E" w:rsidRDefault="00000000">
            <w:pPr>
              <w:spacing w:after="0" w:line="240" w:lineRule="auto"/>
            </w:pPr>
            <w:r>
              <w:rPr>
                <w:sz w:val="14"/>
              </w:rPr>
              <w:t>Informal learning during and after incidents</w:t>
            </w:r>
          </w:p>
        </w:tc>
        <w:tc>
          <w:tcPr>
            <w:tcW w:w="4968" w:type="dxa"/>
            <w:tcMar>
              <w:top w:w="70" w:type="dxa"/>
              <w:left w:w="80" w:type="dxa"/>
              <w:bottom w:w="70" w:type="dxa"/>
              <w:right w:w="80" w:type="dxa"/>
            </w:tcMar>
            <w:vAlign w:val="center"/>
          </w:tcPr>
          <w:p w14:paraId="6AD32602" w14:textId="77777777" w:rsidR="0024466E" w:rsidRDefault="00000000">
            <w:pPr>
              <w:spacing w:after="0" w:line="240" w:lineRule="auto"/>
            </w:pPr>
            <w:r>
              <w:rPr>
                <w:sz w:val="14"/>
              </w:rPr>
              <w:t>Learning was predominantly informal, social and experience based. Incident jolts often displaced formal plans and encouraged rapid local adaptation, but knowledge remained tacit and vulnerable to staff turnover.</w:t>
            </w:r>
          </w:p>
        </w:tc>
        <w:tc>
          <w:tcPr>
            <w:tcW w:w="2232" w:type="dxa"/>
            <w:tcMar>
              <w:top w:w="70" w:type="dxa"/>
              <w:left w:w="80" w:type="dxa"/>
              <w:bottom w:w="70" w:type="dxa"/>
              <w:right w:w="80" w:type="dxa"/>
            </w:tcMar>
            <w:vAlign w:val="center"/>
          </w:tcPr>
          <w:p w14:paraId="4165FFE1" w14:textId="77777777" w:rsidR="0024466E" w:rsidRDefault="00000000">
            <w:pPr>
              <w:spacing w:after="0" w:line="240" w:lineRule="auto"/>
            </w:pPr>
            <w:r>
              <w:rPr>
                <w:sz w:val="14"/>
              </w:rPr>
              <w:t>Research-in-progress report; participant count and analytic procedures were not fully reported.</w:t>
            </w:r>
          </w:p>
        </w:tc>
      </w:tr>
      <w:tr w:rsidR="0024466E" w14:paraId="078B427D" w14:textId="77777777">
        <w:trPr>
          <w:cantSplit/>
          <w:jc w:val="center"/>
        </w:trPr>
        <w:tc>
          <w:tcPr>
            <w:tcW w:w="1512" w:type="dxa"/>
            <w:tcMar>
              <w:top w:w="70" w:type="dxa"/>
              <w:left w:w="80" w:type="dxa"/>
              <w:bottom w:w="70" w:type="dxa"/>
              <w:right w:w="80" w:type="dxa"/>
            </w:tcMar>
            <w:vAlign w:val="center"/>
          </w:tcPr>
          <w:p w14:paraId="4D2DD4F4" w14:textId="77777777" w:rsidR="0024466E" w:rsidRDefault="00000000">
            <w:pPr>
              <w:spacing w:after="0" w:line="240" w:lineRule="auto"/>
            </w:pPr>
            <w:r>
              <w:rPr>
                <w:sz w:val="14"/>
              </w:rPr>
              <w:t>Ahmad et al. (2012)</w:t>
            </w:r>
          </w:p>
        </w:tc>
        <w:tc>
          <w:tcPr>
            <w:tcW w:w="2232" w:type="dxa"/>
            <w:tcMar>
              <w:top w:w="70" w:type="dxa"/>
              <w:left w:w="80" w:type="dxa"/>
              <w:bottom w:w="70" w:type="dxa"/>
              <w:right w:w="80" w:type="dxa"/>
            </w:tcMar>
            <w:vAlign w:val="center"/>
          </w:tcPr>
          <w:p w14:paraId="724F6CD4" w14:textId="77777777" w:rsidR="0024466E" w:rsidRDefault="00000000">
            <w:pPr>
              <w:spacing w:after="0" w:line="240" w:lineRule="auto"/>
            </w:pPr>
            <w:r>
              <w:rPr>
                <w:sz w:val="14"/>
              </w:rPr>
              <w:t>Australia / multinational organisation; Large global financial institution</w:t>
            </w:r>
          </w:p>
        </w:tc>
        <w:tc>
          <w:tcPr>
            <w:tcW w:w="2520" w:type="dxa"/>
            <w:tcMar>
              <w:top w:w="70" w:type="dxa"/>
              <w:left w:w="80" w:type="dxa"/>
              <w:bottom w:w="70" w:type="dxa"/>
              <w:right w:w="80" w:type="dxa"/>
            </w:tcMar>
            <w:vAlign w:val="center"/>
          </w:tcPr>
          <w:p w14:paraId="6C0F04AA" w14:textId="77777777" w:rsidR="0024466E" w:rsidRDefault="00000000">
            <w:pPr>
              <w:spacing w:after="0" w:line="240" w:lineRule="auto"/>
            </w:pPr>
            <w:r>
              <w:rPr>
                <w:sz w:val="14"/>
              </w:rPr>
              <w:t>Exploratory qualitative case study; 4 interviews and 5 organisational documents</w:t>
            </w:r>
          </w:p>
        </w:tc>
        <w:tc>
          <w:tcPr>
            <w:tcW w:w="2088" w:type="dxa"/>
            <w:tcMar>
              <w:top w:w="70" w:type="dxa"/>
              <w:left w:w="80" w:type="dxa"/>
              <w:bottom w:w="70" w:type="dxa"/>
              <w:right w:w="80" w:type="dxa"/>
            </w:tcMar>
            <w:vAlign w:val="center"/>
          </w:tcPr>
          <w:p w14:paraId="1732CD25" w14:textId="77777777" w:rsidR="0024466E" w:rsidRDefault="00000000">
            <w:pPr>
              <w:spacing w:after="0" w:line="240" w:lineRule="auto"/>
            </w:pPr>
            <w:r>
              <w:rPr>
                <w:sz w:val="14"/>
              </w:rPr>
              <w:t>Relationship between operational response and organisational security learning</w:t>
            </w:r>
          </w:p>
        </w:tc>
        <w:tc>
          <w:tcPr>
            <w:tcW w:w="4968" w:type="dxa"/>
            <w:tcMar>
              <w:top w:w="70" w:type="dxa"/>
              <w:left w:w="80" w:type="dxa"/>
              <w:bottom w:w="70" w:type="dxa"/>
              <w:right w:w="80" w:type="dxa"/>
            </w:tcMar>
            <w:vAlign w:val="center"/>
          </w:tcPr>
          <w:p w14:paraId="12F4C0C3" w14:textId="77777777" w:rsidR="0024466E" w:rsidRDefault="00000000">
            <w:pPr>
              <w:spacing w:after="0" w:line="240" w:lineRule="auto"/>
            </w:pPr>
            <w:r>
              <w:rPr>
                <w:sz w:val="14"/>
              </w:rPr>
              <w:t>Low-impact events were often handled informally and escaped review. Reviews of high-impact incidents tended to focus on immediate technical restoration rather than systemic causes, risk assessment or policy change.</w:t>
            </w:r>
          </w:p>
        </w:tc>
        <w:tc>
          <w:tcPr>
            <w:tcW w:w="2232" w:type="dxa"/>
            <w:tcMar>
              <w:top w:w="70" w:type="dxa"/>
              <w:left w:w="80" w:type="dxa"/>
              <w:bottom w:w="70" w:type="dxa"/>
              <w:right w:w="80" w:type="dxa"/>
            </w:tcMar>
            <w:vAlign w:val="center"/>
          </w:tcPr>
          <w:p w14:paraId="5293B4C8" w14:textId="77777777" w:rsidR="0024466E" w:rsidRDefault="00000000">
            <w:pPr>
              <w:spacing w:after="0" w:line="240" w:lineRule="auto"/>
            </w:pPr>
            <w:r>
              <w:rPr>
                <w:sz w:val="14"/>
              </w:rPr>
              <w:t>Single organisation and small interview sample; transferability is uncertain.</w:t>
            </w:r>
          </w:p>
        </w:tc>
      </w:tr>
      <w:tr w:rsidR="0024466E" w14:paraId="6E78EA85" w14:textId="77777777">
        <w:trPr>
          <w:cantSplit/>
          <w:jc w:val="center"/>
        </w:trPr>
        <w:tc>
          <w:tcPr>
            <w:tcW w:w="1512" w:type="dxa"/>
            <w:tcMar>
              <w:top w:w="70" w:type="dxa"/>
              <w:left w:w="80" w:type="dxa"/>
              <w:bottom w:w="70" w:type="dxa"/>
              <w:right w:w="80" w:type="dxa"/>
            </w:tcMar>
            <w:vAlign w:val="center"/>
          </w:tcPr>
          <w:p w14:paraId="0482631F" w14:textId="77777777" w:rsidR="0024466E" w:rsidRDefault="00000000">
            <w:pPr>
              <w:spacing w:after="0" w:line="240" w:lineRule="auto"/>
            </w:pPr>
            <w:r>
              <w:rPr>
                <w:sz w:val="14"/>
              </w:rPr>
              <w:t>Sundaramurthy et al. (2014)</w:t>
            </w:r>
          </w:p>
        </w:tc>
        <w:tc>
          <w:tcPr>
            <w:tcW w:w="2232" w:type="dxa"/>
            <w:tcMar>
              <w:top w:w="70" w:type="dxa"/>
              <w:left w:w="80" w:type="dxa"/>
              <w:bottom w:w="70" w:type="dxa"/>
              <w:right w:w="80" w:type="dxa"/>
            </w:tcMar>
            <w:vAlign w:val="center"/>
          </w:tcPr>
          <w:p w14:paraId="19214819" w14:textId="77777777" w:rsidR="0024466E" w:rsidRDefault="00000000">
            <w:pPr>
              <w:spacing w:after="0" w:line="240" w:lineRule="auto"/>
            </w:pPr>
            <w:r>
              <w:rPr>
                <w:sz w:val="14"/>
              </w:rPr>
              <w:t>United States; Two corporate SOCs and one university SOC</w:t>
            </w:r>
          </w:p>
        </w:tc>
        <w:tc>
          <w:tcPr>
            <w:tcW w:w="2520" w:type="dxa"/>
            <w:tcMar>
              <w:top w:w="70" w:type="dxa"/>
              <w:left w:w="80" w:type="dxa"/>
              <w:bottom w:w="70" w:type="dxa"/>
              <w:right w:w="80" w:type="dxa"/>
            </w:tcMar>
            <w:vAlign w:val="center"/>
          </w:tcPr>
          <w:p w14:paraId="2CD7A486" w14:textId="77777777" w:rsidR="0024466E" w:rsidRDefault="00000000">
            <w:pPr>
              <w:spacing w:after="0" w:line="240" w:lineRule="auto"/>
            </w:pPr>
            <w:r>
              <w:rPr>
                <w:sz w:val="14"/>
              </w:rPr>
              <w:t>Embedded qualitative field study; Three embedded student analysts; more than 2 months at each site</w:t>
            </w:r>
          </w:p>
        </w:tc>
        <w:tc>
          <w:tcPr>
            <w:tcW w:w="2088" w:type="dxa"/>
            <w:tcMar>
              <w:top w:w="70" w:type="dxa"/>
              <w:left w:w="80" w:type="dxa"/>
              <w:bottom w:w="70" w:type="dxa"/>
              <w:right w:w="80" w:type="dxa"/>
            </w:tcMar>
            <w:vAlign w:val="center"/>
          </w:tcPr>
          <w:p w14:paraId="67CF806B" w14:textId="77777777" w:rsidR="0024466E" w:rsidRDefault="00000000">
            <w:pPr>
              <w:spacing w:after="0" w:line="240" w:lineRule="auto"/>
            </w:pPr>
            <w:r>
              <w:rPr>
                <w:sz w:val="14"/>
              </w:rPr>
              <w:t>Organisation of SOC work and incident analysis</w:t>
            </w:r>
          </w:p>
        </w:tc>
        <w:tc>
          <w:tcPr>
            <w:tcW w:w="4968" w:type="dxa"/>
            <w:tcMar>
              <w:top w:w="70" w:type="dxa"/>
              <w:left w:w="80" w:type="dxa"/>
              <w:bottom w:w="70" w:type="dxa"/>
              <w:right w:w="80" w:type="dxa"/>
            </w:tcMar>
            <w:vAlign w:val="center"/>
          </w:tcPr>
          <w:p w14:paraId="1E7E7D9D" w14:textId="77777777" w:rsidR="0024466E" w:rsidRDefault="00000000">
            <w:pPr>
              <w:spacing w:after="0" w:line="240" w:lineRule="auto"/>
            </w:pPr>
            <w:r>
              <w:rPr>
                <w:sz w:val="14"/>
              </w:rPr>
              <w:t>Role structures, escalation routes and tool ecosystems differed substantially by organisation. Maintenance and alert-processing burdens constrained investigation, while cross-team hand-offs were frequent sources of delay and information loss.</w:t>
            </w:r>
          </w:p>
        </w:tc>
        <w:tc>
          <w:tcPr>
            <w:tcW w:w="2232" w:type="dxa"/>
            <w:tcMar>
              <w:top w:w="70" w:type="dxa"/>
              <w:left w:w="80" w:type="dxa"/>
              <w:bottom w:w="70" w:type="dxa"/>
              <w:right w:w="80" w:type="dxa"/>
            </w:tcMar>
            <w:vAlign w:val="center"/>
          </w:tcPr>
          <w:p w14:paraId="75A5A35C" w14:textId="77777777" w:rsidR="0024466E" w:rsidRDefault="00000000">
            <w:pPr>
              <w:spacing w:after="0" w:line="240" w:lineRule="auto"/>
            </w:pPr>
            <w:r>
              <w:rPr>
                <w:sz w:val="14"/>
              </w:rPr>
              <w:t>Preliminary field findings; observer roles and analysis were only partly described.</w:t>
            </w:r>
          </w:p>
        </w:tc>
      </w:tr>
      <w:tr w:rsidR="0024466E" w14:paraId="00FD3988" w14:textId="77777777">
        <w:trPr>
          <w:cantSplit/>
          <w:jc w:val="center"/>
        </w:trPr>
        <w:tc>
          <w:tcPr>
            <w:tcW w:w="1512" w:type="dxa"/>
            <w:tcMar>
              <w:top w:w="70" w:type="dxa"/>
              <w:left w:w="80" w:type="dxa"/>
              <w:bottom w:w="70" w:type="dxa"/>
              <w:right w:w="80" w:type="dxa"/>
            </w:tcMar>
            <w:vAlign w:val="center"/>
          </w:tcPr>
          <w:p w14:paraId="2FC9D1F3" w14:textId="77777777" w:rsidR="0024466E" w:rsidRDefault="00000000">
            <w:pPr>
              <w:spacing w:after="0" w:line="240" w:lineRule="auto"/>
            </w:pPr>
            <w:r>
              <w:rPr>
                <w:sz w:val="14"/>
              </w:rPr>
              <w:t>Sundaramurthy et al. (2015)</w:t>
            </w:r>
          </w:p>
        </w:tc>
        <w:tc>
          <w:tcPr>
            <w:tcW w:w="2232" w:type="dxa"/>
            <w:tcMar>
              <w:top w:w="70" w:type="dxa"/>
              <w:left w:w="80" w:type="dxa"/>
              <w:bottom w:w="70" w:type="dxa"/>
              <w:right w:w="80" w:type="dxa"/>
            </w:tcMar>
            <w:vAlign w:val="center"/>
          </w:tcPr>
          <w:p w14:paraId="6C8824D3" w14:textId="77777777" w:rsidR="0024466E" w:rsidRDefault="00000000">
            <w:pPr>
              <w:spacing w:after="0" w:line="240" w:lineRule="auto"/>
            </w:pPr>
            <w:r>
              <w:rPr>
                <w:sz w:val="14"/>
              </w:rPr>
              <w:t>United States; Security operations centres</w:t>
            </w:r>
          </w:p>
        </w:tc>
        <w:tc>
          <w:tcPr>
            <w:tcW w:w="2520" w:type="dxa"/>
            <w:tcMar>
              <w:top w:w="70" w:type="dxa"/>
              <w:left w:w="80" w:type="dxa"/>
              <w:bottom w:w="70" w:type="dxa"/>
              <w:right w:w="80" w:type="dxa"/>
            </w:tcMar>
            <w:vAlign w:val="center"/>
          </w:tcPr>
          <w:p w14:paraId="3DF9B2C8" w14:textId="77777777" w:rsidR="0024466E" w:rsidRDefault="00000000">
            <w:pPr>
              <w:spacing w:after="0" w:line="240" w:lineRule="auto"/>
            </w:pPr>
            <w:r>
              <w:rPr>
                <w:sz w:val="14"/>
              </w:rPr>
              <w:t>Qualitative embedded observation and grounded theory; Six months of embedded observation</w:t>
            </w:r>
          </w:p>
        </w:tc>
        <w:tc>
          <w:tcPr>
            <w:tcW w:w="2088" w:type="dxa"/>
            <w:tcMar>
              <w:top w:w="70" w:type="dxa"/>
              <w:left w:w="80" w:type="dxa"/>
              <w:bottom w:w="70" w:type="dxa"/>
              <w:right w:w="80" w:type="dxa"/>
            </w:tcMar>
            <w:vAlign w:val="center"/>
          </w:tcPr>
          <w:p w14:paraId="2F4C6D83" w14:textId="77777777" w:rsidR="0024466E" w:rsidRDefault="00000000">
            <w:pPr>
              <w:spacing w:after="0" w:line="240" w:lineRule="auto"/>
            </w:pPr>
            <w:r>
              <w:rPr>
                <w:sz w:val="14"/>
              </w:rPr>
              <w:t>Burnout, staffing and organisational feedback loops</w:t>
            </w:r>
          </w:p>
        </w:tc>
        <w:tc>
          <w:tcPr>
            <w:tcW w:w="4968" w:type="dxa"/>
            <w:tcMar>
              <w:top w:w="70" w:type="dxa"/>
              <w:left w:w="80" w:type="dxa"/>
              <w:bottom w:w="70" w:type="dxa"/>
              <w:right w:w="80" w:type="dxa"/>
            </w:tcMar>
            <w:vAlign w:val="center"/>
          </w:tcPr>
          <w:p w14:paraId="2211FFAD" w14:textId="77777777" w:rsidR="0024466E" w:rsidRDefault="00000000">
            <w:pPr>
              <w:spacing w:after="0" w:line="240" w:lineRule="auto"/>
            </w:pPr>
            <w:r>
              <w:rPr>
                <w:sz w:val="14"/>
              </w:rPr>
              <w:t>Staffing, automation, operational efficiency, management metrics and analyst wellbeing formed reinforcing cycles. Treating analysts as replaceable increased turnover and burden; investment in human capital could create a virtuous cycle.</w:t>
            </w:r>
          </w:p>
        </w:tc>
        <w:tc>
          <w:tcPr>
            <w:tcW w:w="2232" w:type="dxa"/>
            <w:tcMar>
              <w:top w:w="70" w:type="dxa"/>
              <w:left w:w="80" w:type="dxa"/>
              <w:bottom w:w="70" w:type="dxa"/>
              <w:right w:w="80" w:type="dxa"/>
            </w:tcMar>
            <w:vAlign w:val="center"/>
          </w:tcPr>
          <w:p w14:paraId="278A5575" w14:textId="77777777" w:rsidR="0024466E" w:rsidRDefault="00000000">
            <w:pPr>
              <w:spacing w:after="0" w:line="240" w:lineRule="auto"/>
            </w:pPr>
            <w:r>
              <w:rPr>
                <w:sz w:val="14"/>
              </w:rPr>
              <w:t>Context-specific fieldwork; sample composition was not fully quantified.</w:t>
            </w:r>
          </w:p>
        </w:tc>
      </w:tr>
      <w:tr w:rsidR="0024466E" w14:paraId="6AEBF1EC" w14:textId="77777777">
        <w:trPr>
          <w:cantSplit/>
          <w:jc w:val="center"/>
        </w:trPr>
        <w:tc>
          <w:tcPr>
            <w:tcW w:w="1512" w:type="dxa"/>
            <w:tcMar>
              <w:top w:w="70" w:type="dxa"/>
              <w:left w:w="80" w:type="dxa"/>
              <w:bottom w:w="70" w:type="dxa"/>
              <w:right w:w="80" w:type="dxa"/>
            </w:tcMar>
            <w:vAlign w:val="center"/>
          </w:tcPr>
          <w:p w14:paraId="0D94C996" w14:textId="77777777" w:rsidR="0024466E" w:rsidRDefault="00000000">
            <w:pPr>
              <w:spacing w:after="0" w:line="240" w:lineRule="auto"/>
            </w:pPr>
            <w:r>
              <w:rPr>
                <w:sz w:val="14"/>
              </w:rPr>
              <w:t>Bartnes et al. (2016)</w:t>
            </w:r>
          </w:p>
        </w:tc>
        <w:tc>
          <w:tcPr>
            <w:tcW w:w="2232" w:type="dxa"/>
            <w:tcMar>
              <w:top w:w="70" w:type="dxa"/>
              <w:left w:w="80" w:type="dxa"/>
              <w:bottom w:w="70" w:type="dxa"/>
              <w:right w:w="80" w:type="dxa"/>
            </w:tcMar>
            <w:vAlign w:val="center"/>
          </w:tcPr>
          <w:p w14:paraId="2006354B" w14:textId="77777777" w:rsidR="0024466E" w:rsidRDefault="00000000">
            <w:pPr>
              <w:spacing w:after="0" w:line="240" w:lineRule="auto"/>
            </w:pPr>
            <w:r>
              <w:rPr>
                <w:sz w:val="14"/>
              </w:rPr>
              <w:t>Norway; Electrical power companies</w:t>
            </w:r>
          </w:p>
        </w:tc>
        <w:tc>
          <w:tcPr>
            <w:tcW w:w="2520" w:type="dxa"/>
            <w:tcMar>
              <w:top w:w="70" w:type="dxa"/>
              <w:left w:w="80" w:type="dxa"/>
              <w:bottom w:w="70" w:type="dxa"/>
              <w:right w:w="80" w:type="dxa"/>
            </w:tcMar>
            <w:vAlign w:val="center"/>
          </w:tcPr>
          <w:p w14:paraId="29374D42" w14:textId="77777777" w:rsidR="0024466E" w:rsidRDefault="00000000">
            <w:pPr>
              <w:spacing w:after="0" w:line="240" w:lineRule="auto"/>
            </w:pPr>
            <w:r>
              <w:rPr>
                <w:sz w:val="14"/>
              </w:rPr>
              <w:t>Longitudinal qualitative case study; 2.5 years; interviews, documents, survey and participant observation</w:t>
            </w:r>
          </w:p>
        </w:tc>
        <w:tc>
          <w:tcPr>
            <w:tcW w:w="2088" w:type="dxa"/>
            <w:tcMar>
              <w:top w:w="70" w:type="dxa"/>
              <w:left w:w="80" w:type="dxa"/>
              <w:bottom w:w="70" w:type="dxa"/>
              <w:right w:w="80" w:type="dxa"/>
            </w:tcMar>
            <w:vAlign w:val="center"/>
          </w:tcPr>
          <w:p w14:paraId="499BB85A" w14:textId="77777777" w:rsidR="0024466E" w:rsidRDefault="00000000">
            <w:pPr>
              <w:spacing w:after="0" w:line="240" w:lineRule="auto"/>
            </w:pPr>
            <w:r>
              <w:rPr>
                <w:sz w:val="14"/>
              </w:rPr>
              <w:t>Incident-management training and organisational preparedness</w:t>
            </w:r>
          </w:p>
        </w:tc>
        <w:tc>
          <w:tcPr>
            <w:tcW w:w="4968" w:type="dxa"/>
            <w:tcMar>
              <w:top w:w="70" w:type="dxa"/>
              <w:left w:w="80" w:type="dxa"/>
              <w:bottom w:w="70" w:type="dxa"/>
              <w:right w:w="80" w:type="dxa"/>
            </w:tcMar>
            <w:vAlign w:val="center"/>
          </w:tcPr>
          <w:p w14:paraId="75FC2EF2" w14:textId="77777777" w:rsidR="0024466E" w:rsidRDefault="00000000">
            <w:pPr>
              <w:spacing w:after="0" w:line="240" w:lineRule="auto"/>
            </w:pPr>
            <w:r>
              <w:rPr>
                <w:sz w:val="14"/>
              </w:rPr>
              <w:t>Training was often accorded low priority and divided by information-technology and industrial-control silos. Cross-functional teams, regular rehearsal, evaluation and learning from minor events were identified as necessary for preparedness.</w:t>
            </w:r>
          </w:p>
        </w:tc>
        <w:tc>
          <w:tcPr>
            <w:tcW w:w="2232" w:type="dxa"/>
            <w:tcMar>
              <w:top w:w="70" w:type="dxa"/>
              <w:left w:w="80" w:type="dxa"/>
              <w:bottom w:w="70" w:type="dxa"/>
              <w:right w:w="80" w:type="dxa"/>
            </w:tcMar>
            <w:vAlign w:val="center"/>
          </w:tcPr>
          <w:p w14:paraId="66A1DEC4" w14:textId="77777777" w:rsidR="0024466E" w:rsidRDefault="00000000">
            <w:pPr>
              <w:spacing w:after="0" w:line="240" w:lineRule="auto"/>
            </w:pPr>
            <w:r>
              <w:rPr>
                <w:sz w:val="14"/>
              </w:rPr>
              <w:t>Sector- and country-specific programme; quantitative survey details were limited in the accessible report.</w:t>
            </w:r>
          </w:p>
        </w:tc>
      </w:tr>
      <w:tr w:rsidR="0024466E" w14:paraId="2C79741D" w14:textId="77777777">
        <w:trPr>
          <w:cantSplit/>
          <w:jc w:val="center"/>
        </w:trPr>
        <w:tc>
          <w:tcPr>
            <w:tcW w:w="1512" w:type="dxa"/>
            <w:tcMar>
              <w:top w:w="70" w:type="dxa"/>
              <w:left w:w="80" w:type="dxa"/>
              <w:bottom w:w="70" w:type="dxa"/>
              <w:right w:w="80" w:type="dxa"/>
            </w:tcMar>
            <w:vAlign w:val="center"/>
          </w:tcPr>
          <w:p w14:paraId="78ACDA13" w14:textId="77777777" w:rsidR="0024466E" w:rsidRDefault="00000000">
            <w:pPr>
              <w:spacing w:after="0" w:line="240" w:lineRule="auto"/>
            </w:pPr>
            <w:r>
              <w:rPr>
                <w:sz w:val="14"/>
              </w:rPr>
              <w:t>Bartnes and Moe (2017)</w:t>
            </w:r>
          </w:p>
        </w:tc>
        <w:tc>
          <w:tcPr>
            <w:tcW w:w="2232" w:type="dxa"/>
            <w:tcMar>
              <w:top w:w="70" w:type="dxa"/>
              <w:left w:w="80" w:type="dxa"/>
              <w:bottom w:w="70" w:type="dxa"/>
              <w:right w:w="80" w:type="dxa"/>
            </w:tcMar>
            <w:vAlign w:val="center"/>
          </w:tcPr>
          <w:p w14:paraId="1A37081C" w14:textId="77777777" w:rsidR="0024466E" w:rsidRDefault="00000000">
            <w:pPr>
              <w:spacing w:after="0" w:line="240" w:lineRule="auto"/>
            </w:pPr>
            <w:r>
              <w:rPr>
                <w:sz w:val="14"/>
              </w:rPr>
              <w:t>Norway; Six teams in three electrical power organisations</w:t>
            </w:r>
          </w:p>
        </w:tc>
        <w:tc>
          <w:tcPr>
            <w:tcW w:w="2520" w:type="dxa"/>
            <w:tcMar>
              <w:top w:w="70" w:type="dxa"/>
              <w:left w:w="80" w:type="dxa"/>
              <w:bottom w:w="70" w:type="dxa"/>
              <w:right w:w="80" w:type="dxa"/>
            </w:tcMar>
            <w:vAlign w:val="center"/>
          </w:tcPr>
          <w:p w14:paraId="4C3EE1BA" w14:textId="77777777" w:rsidR="0024466E" w:rsidRDefault="00000000">
            <w:pPr>
              <w:spacing w:after="0" w:line="240" w:lineRule="auto"/>
            </w:pPr>
            <w:r>
              <w:rPr>
                <w:sz w:val="14"/>
              </w:rPr>
              <w:t>Multiple qualitative case study; 6 teams in 3 organisations; interviews, participant observation and process artefacts</w:t>
            </w:r>
          </w:p>
        </w:tc>
        <w:tc>
          <w:tcPr>
            <w:tcW w:w="2088" w:type="dxa"/>
            <w:tcMar>
              <w:top w:w="70" w:type="dxa"/>
              <w:left w:w="80" w:type="dxa"/>
              <w:bottom w:w="70" w:type="dxa"/>
              <w:right w:w="80" w:type="dxa"/>
            </w:tcMar>
            <w:vAlign w:val="center"/>
          </w:tcPr>
          <w:p w14:paraId="23668852" w14:textId="77777777" w:rsidR="0024466E" w:rsidRDefault="00000000">
            <w:pPr>
              <w:spacing w:after="0" w:line="240" w:lineRule="auto"/>
            </w:pPr>
            <w:r>
              <w:rPr>
                <w:sz w:val="14"/>
              </w:rPr>
              <w:t>Preparedness-exercise design and execution</w:t>
            </w:r>
          </w:p>
        </w:tc>
        <w:tc>
          <w:tcPr>
            <w:tcW w:w="4968" w:type="dxa"/>
            <w:tcMar>
              <w:top w:w="70" w:type="dxa"/>
              <w:left w:w="80" w:type="dxa"/>
              <w:bottom w:w="70" w:type="dxa"/>
              <w:right w:w="80" w:type="dxa"/>
            </w:tcMar>
            <w:vAlign w:val="center"/>
          </w:tcPr>
          <w:p w14:paraId="2F886CE9" w14:textId="77777777" w:rsidR="0024466E" w:rsidRDefault="00000000">
            <w:pPr>
              <w:spacing w:after="0" w:line="240" w:lineRule="auto"/>
            </w:pPr>
            <w:r>
              <w:rPr>
                <w:sz w:val="14"/>
              </w:rPr>
              <w:t>Exercises exposed six recurring challenges involving team composition, access to external expertise, goal definition, documentation, information flow and time management. Exercise design needed to follow a single explicit objective and include all required competence.</w:t>
            </w:r>
          </w:p>
        </w:tc>
        <w:tc>
          <w:tcPr>
            <w:tcW w:w="2232" w:type="dxa"/>
            <w:tcMar>
              <w:top w:w="70" w:type="dxa"/>
              <w:left w:w="80" w:type="dxa"/>
              <w:bottom w:w="70" w:type="dxa"/>
              <w:right w:w="80" w:type="dxa"/>
            </w:tcMar>
            <w:vAlign w:val="center"/>
          </w:tcPr>
          <w:p w14:paraId="1FC6E630" w14:textId="77777777" w:rsidR="0024466E" w:rsidRDefault="00000000">
            <w:pPr>
              <w:spacing w:after="0" w:line="240" w:lineRule="auto"/>
            </w:pPr>
            <w:r>
              <w:rPr>
                <w:sz w:val="14"/>
              </w:rPr>
              <w:t>Linked to the broader Norwegian power-sector programme; participant numbers were not reported as a single denominator.</w:t>
            </w:r>
          </w:p>
        </w:tc>
      </w:tr>
      <w:tr w:rsidR="0024466E" w14:paraId="08A0E923" w14:textId="77777777">
        <w:trPr>
          <w:cantSplit/>
          <w:jc w:val="center"/>
        </w:trPr>
        <w:tc>
          <w:tcPr>
            <w:tcW w:w="1512" w:type="dxa"/>
            <w:tcMar>
              <w:top w:w="70" w:type="dxa"/>
              <w:left w:w="80" w:type="dxa"/>
              <w:bottom w:w="70" w:type="dxa"/>
              <w:right w:w="80" w:type="dxa"/>
            </w:tcMar>
            <w:vAlign w:val="center"/>
          </w:tcPr>
          <w:p w14:paraId="4A684A9C" w14:textId="77777777" w:rsidR="0024466E" w:rsidRDefault="00000000">
            <w:pPr>
              <w:spacing w:after="0" w:line="240" w:lineRule="auto"/>
            </w:pPr>
            <w:r>
              <w:rPr>
                <w:sz w:val="14"/>
              </w:rPr>
              <w:t>van der Kleij et al. (2017)</w:t>
            </w:r>
          </w:p>
        </w:tc>
        <w:tc>
          <w:tcPr>
            <w:tcW w:w="2232" w:type="dxa"/>
            <w:tcMar>
              <w:top w:w="70" w:type="dxa"/>
              <w:left w:w="80" w:type="dxa"/>
              <w:bottom w:w="70" w:type="dxa"/>
              <w:right w:w="80" w:type="dxa"/>
            </w:tcMar>
            <w:vAlign w:val="center"/>
          </w:tcPr>
          <w:p w14:paraId="1E0326DA" w14:textId="77777777" w:rsidR="0024466E" w:rsidRDefault="00000000">
            <w:pPr>
              <w:spacing w:after="0" w:line="240" w:lineRule="auto"/>
            </w:pPr>
            <w:r>
              <w:rPr>
                <w:sz w:val="14"/>
              </w:rPr>
              <w:t>Netherlands; Five public- and private-sector CSIRTs</w:t>
            </w:r>
          </w:p>
        </w:tc>
        <w:tc>
          <w:tcPr>
            <w:tcW w:w="2520" w:type="dxa"/>
            <w:tcMar>
              <w:top w:w="70" w:type="dxa"/>
              <w:left w:w="80" w:type="dxa"/>
              <w:bottom w:w="70" w:type="dxa"/>
              <w:right w:w="80" w:type="dxa"/>
            </w:tcMar>
            <w:vAlign w:val="center"/>
          </w:tcPr>
          <w:p w14:paraId="79F64D69" w14:textId="77777777" w:rsidR="0024466E" w:rsidRDefault="00000000">
            <w:pPr>
              <w:spacing w:after="0" w:line="240" w:lineRule="auto"/>
            </w:pPr>
            <w:r>
              <w:rPr>
                <w:sz w:val="14"/>
              </w:rPr>
              <w:t>Qualitative needs assessment; 5 semi-structured interviews with senior managers or coordinators</w:t>
            </w:r>
          </w:p>
        </w:tc>
        <w:tc>
          <w:tcPr>
            <w:tcW w:w="2088" w:type="dxa"/>
            <w:tcMar>
              <w:top w:w="70" w:type="dxa"/>
              <w:left w:w="80" w:type="dxa"/>
              <w:bottom w:w="70" w:type="dxa"/>
              <w:right w:w="80" w:type="dxa"/>
            </w:tcMar>
            <w:vAlign w:val="center"/>
          </w:tcPr>
          <w:p w14:paraId="7904BBA3" w14:textId="77777777" w:rsidR="0024466E" w:rsidRDefault="00000000">
            <w:pPr>
              <w:spacing w:after="0" w:line="240" w:lineRule="auto"/>
            </w:pPr>
            <w:r>
              <w:rPr>
                <w:sz w:val="14"/>
              </w:rPr>
              <w:t>Organisational, team, individual and instrumental needs</w:t>
            </w:r>
          </w:p>
        </w:tc>
        <w:tc>
          <w:tcPr>
            <w:tcW w:w="4968" w:type="dxa"/>
            <w:tcMar>
              <w:top w:w="70" w:type="dxa"/>
              <w:left w:w="80" w:type="dxa"/>
              <w:bottom w:w="70" w:type="dxa"/>
              <w:right w:w="80" w:type="dxa"/>
            </w:tcMar>
            <w:vAlign w:val="center"/>
          </w:tcPr>
          <w:p w14:paraId="459F5E37" w14:textId="77777777" w:rsidR="0024466E" w:rsidRDefault="00000000">
            <w:pPr>
              <w:spacing w:after="0" w:line="240" w:lineRule="auto"/>
            </w:pPr>
            <w:r>
              <w:rPr>
                <w:sz w:val="14"/>
              </w:rPr>
              <w:t>Needs included external coordination, learning, meaningful metrics, shared awareness, reliable shift hand-offs, competence retention, escalation support, workload management and usable communication and reporting tools.</w:t>
            </w:r>
          </w:p>
        </w:tc>
        <w:tc>
          <w:tcPr>
            <w:tcW w:w="2232" w:type="dxa"/>
            <w:tcMar>
              <w:top w:w="70" w:type="dxa"/>
              <w:left w:w="80" w:type="dxa"/>
              <w:bottom w:w="70" w:type="dxa"/>
              <w:right w:w="80" w:type="dxa"/>
            </w:tcMar>
            <w:vAlign w:val="center"/>
          </w:tcPr>
          <w:p w14:paraId="0DEE4384" w14:textId="77777777" w:rsidR="0024466E" w:rsidRDefault="00000000">
            <w:pPr>
              <w:spacing w:after="0" w:line="240" w:lineRule="auto"/>
            </w:pPr>
            <w:r>
              <w:rPr>
                <w:sz w:val="14"/>
              </w:rPr>
              <w:t>Small senior-manager sample and indirect representation of frontline staff.</w:t>
            </w:r>
          </w:p>
        </w:tc>
      </w:tr>
      <w:tr w:rsidR="0024466E" w14:paraId="1B100A91" w14:textId="77777777">
        <w:trPr>
          <w:cantSplit/>
          <w:jc w:val="center"/>
        </w:trPr>
        <w:tc>
          <w:tcPr>
            <w:tcW w:w="1512" w:type="dxa"/>
            <w:tcMar>
              <w:top w:w="70" w:type="dxa"/>
              <w:left w:w="80" w:type="dxa"/>
              <w:bottom w:w="70" w:type="dxa"/>
              <w:right w:w="80" w:type="dxa"/>
            </w:tcMar>
            <w:vAlign w:val="center"/>
          </w:tcPr>
          <w:p w14:paraId="201C9073" w14:textId="77777777" w:rsidR="0024466E" w:rsidRDefault="00000000">
            <w:pPr>
              <w:spacing w:after="0" w:line="240" w:lineRule="auto"/>
            </w:pPr>
            <w:r>
              <w:rPr>
                <w:sz w:val="14"/>
              </w:rPr>
              <w:t>Ioannou et al. (2019)</w:t>
            </w:r>
          </w:p>
        </w:tc>
        <w:tc>
          <w:tcPr>
            <w:tcW w:w="2232" w:type="dxa"/>
            <w:tcMar>
              <w:top w:w="70" w:type="dxa"/>
              <w:left w:w="80" w:type="dxa"/>
              <w:bottom w:w="70" w:type="dxa"/>
              <w:right w:w="80" w:type="dxa"/>
            </w:tcMar>
            <w:vAlign w:val="center"/>
          </w:tcPr>
          <w:p w14:paraId="02DE501E" w14:textId="77777777" w:rsidR="0024466E" w:rsidRDefault="00000000">
            <w:pPr>
              <w:spacing w:after="0" w:line="240" w:lineRule="auto"/>
            </w:pPr>
            <w:r>
              <w:rPr>
                <w:sz w:val="14"/>
              </w:rPr>
              <w:t>International; CSIRT experts from 23 countries</w:t>
            </w:r>
          </w:p>
        </w:tc>
        <w:tc>
          <w:tcPr>
            <w:tcW w:w="2520" w:type="dxa"/>
            <w:tcMar>
              <w:top w:w="70" w:type="dxa"/>
              <w:left w:w="80" w:type="dxa"/>
              <w:bottom w:w="70" w:type="dxa"/>
              <w:right w:w="80" w:type="dxa"/>
            </w:tcMar>
            <w:vAlign w:val="center"/>
          </w:tcPr>
          <w:p w14:paraId="25B43530" w14:textId="77777777" w:rsidR="0024466E" w:rsidRDefault="00000000">
            <w:pPr>
              <w:spacing w:after="0" w:line="240" w:lineRule="auto"/>
            </w:pPr>
            <w:r>
              <w:rPr>
                <w:sz w:val="14"/>
              </w:rPr>
              <w:t>Cross-sectional online survey; 25 respondents</w:t>
            </w:r>
          </w:p>
        </w:tc>
        <w:tc>
          <w:tcPr>
            <w:tcW w:w="2088" w:type="dxa"/>
            <w:tcMar>
              <w:top w:w="70" w:type="dxa"/>
              <w:left w:w="80" w:type="dxa"/>
              <w:bottom w:w="70" w:type="dxa"/>
              <w:right w:w="80" w:type="dxa"/>
            </w:tcMar>
            <w:vAlign w:val="center"/>
          </w:tcPr>
          <w:p w14:paraId="0D694550" w14:textId="77777777" w:rsidR="0024466E" w:rsidRDefault="00000000">
            <w:pPr>
              <w:spacing w:after="0" w:line="240" w:lineRule="auto"/>
            </w:pPr>
            <w:r>
              <w:rPr>
                <w:sz w:val="14"/>
              </w:rPr>
              <w:t>Communication, coordination, trust and cybersecurity culture</w:t>
            </w:r>
          </w:p>
        </w:tc>
        <w:tc>
          <w:tcPr>
            <w:tcW w:w="4968" w:type="dxa"/>
            <w:tcMar>
              <w:top w:w="70" w:type="dxa"/>
              <w:left w:w="80" w:type="dxa"/>
              <w:bottom w:w="70" w:type="dxa"/>
              <w:right w:w="80" w:type="dxa"/>
            </w:tcMar>
            <w:vAlign w:val="center"/>
          </w:tcPr>
          <w:p w14:paraId="1A94D47F" w14:textId="77777777" w:rsidR="0024466E" w:rsidRDefault="00000000">
            <w:pPr>
              <w:spacing w:after="0" w:line="240" w:lineRule="auto"/>
            </w:pPr>
            <w:r>
              <w:rPr>
                <w:sz w:val="14"/>
              </w:rPr>
              <w:t>Respondents reported unclear roles, lack of trust, limited collaborative-behaviour training and sparse communication or coordination metrics. The study recommended role clarification, trust-building and explicit collaborative training.</w:t>
            </w:r>
          </w:p>
        </w:tc>
        <w:tc>
          <w:tcPr>
            <w:tcW w:w="2232" w:type="dxa"/>
            <w:tcMar>
              <w:top w:w="70" w:type="dxa"/>
              <w:left w:w="80" w:type="dxa"/>
              <w:bottom w:w="70" w:type="dxa"/>
              <w:right w:w="80" w:type="dxa"/>
            </w:tcMar>
            <w:vAlign w:val="center"/>
          </w:tcPr>
          <w:p w14:paraId="5AA8DC15" w14:textId="77777777" w:rsidR="0024466E" w:rsidRDefault="00000000">
            <w:pPr>
              <w:spacing w:after="0" w:line="240" w:lineRule="auto"/>
            </w:pPr>
            <w:r>
              <w:rPr>
                <w:sz w:val="14"/>
              </w:rPr>
              <w:t>Small self-selected sample; questionnaire psychometrics and non-response were not reported.</w:t>
            </w:r>
          </w:p>
        </w:tc>
      </w:tr>
      <w:tr w:rsidR="0024466E" w14:paraId="1E51D957" w14:textId="77777777">
        <w:trPr>
          <w:cantSplit/>
          <w:jc w:val="center"/>
        </w:trPr>
        <w:tc>
          <w:tcPr>
            <w:tcW w:w="1512" w:type="dxa"/>
            <w:tcMar>
              <w:top w:w="70" w:type="dxa"/>
              <w:left w:w="80" w:type="dxa"/>
              <w:bottom w:w="70" w:type="dxa"/>
              <w:right w:w="80" w:type="dxa"/>
            </w:tcMar>
            <w:vAlign w:val="center"/>
          </w:tcPr>
          <w:p w14:paraId="51721698" w14:textId="77777777" w:rsidR="0024466E" w:rsidRDefault="00000000">
            <w:pPr>
              <w:spacing w:after="0" w:line="240" w:lineRule="auto"/>
            </w:pPr>
            <w:r>
              <w:rPr>
                <w:sz w:val="14"/>
              </w:rPr>
              <w:t>Nyre-Yu et al. (2019)</w:t>
            </w:r>
          </w:p>
        </w:tc>
        <w:tc>
          <w:tcPr>
            <w:tcW w:w="2232" w:type="dxa"/>
            <w:tcMar>
              <w:top w:w="70" w:type="dxa"/>
              <w:left w:w="80" w:type="dxa"/>
              <w:bottom w:w="70" w:type="dxa"/>
              <w:right w:w="80" w:type="dxa"/>
            </w:tcMar>
            <w:vAlign w:val="center"/>
          </w:tcPr>
          <w:p w14:paraId="20D9AEB8" w14:textId="77777777" w:rsidR="0024466E" w:rsidRDefault="00000000">
            <w:pPr>
              <w:spacing w:after="0" w:line="240" w:lineRule="auto"/>
            </w:pPr>
            <w:r>
              <w:rPr>
                <w:sz w:val="14"/>
              </w:rPr>
              <w:t>United States; Government, academic and private-sector CSIRTs</w:t>
            </w:r>
          </w:p>
        </w:tc>
        <w:tc>
          <w:tcPr>
            <w:tcW w:w="2520" w:type="dxa"/>
            <w:tcMar>
              <w:top w:w="70" w:type="dxa"/>
              <w:left w:w="80" w:type="dxa"/>
              <w:bottom w:w="70" w:type="dxa"/>
              <w:right w:w="80" w:type="dxa"/>
            </w:tcMar>
            <w:vAlign w:val="center"/>
          </w:tcPr>
          <w:p w14:paraId="5A109917" w14:textId="77777777" w:rsidR="0024466E" w:rsidRDefault="00000000">
            <w:pPr>
              <w:spacing w:after="0" w:line="240" w:lineRule="auto"/>
            </w:pPr>
            <w:r>
              <w:rPr>
                <w:sz w:val="14"/>
              </w:rPr>
              <w:t>Qualitative multi-site field research; 3 sites observed for 3-5 business days, with interviews and simulated incidents</w:t>
            </w:r>
          </w:p>
        </w:tc>
        <w:tc>
          <w:tcPr>
            <w:tcW w:w="2088" w:type="dxa"/>
            <w:tcMar>
              <w:top w:w="70" w:type="dxa"/>
              <w:left w:w="80" w:type="dxa"/>
              <w:bottom w:w="70" w:type="dxa"/>
              <w:right w:w="80" w:type="dxa"/>
            </w:tcMar>
            <w:vAlign w:val="center"/>
          </w:tcPr>
          <w:p w14:paraId="49CDF5CD" w14:textId="77777777" w:rsidR="0024466E" w:rsidRDefault="00000000">
            <w:pPr>
              <w:spacing w:after="0" w:line="240" w:lineRule="auto"/>
            </w:pPr>
            <w:r>
              <w:rPr>
                <w:sz w:val="14"/>
              </w:rPr>
              <w:t>Information sharing, organisation, learning and automation</w:t>
            </w:r>
          </w:p>
        </w:tc>
        <w:tc>
          <w:tcPr>
            <w:tcW w:w="4968" w:type="dxa"/>
            <w:tcMar>
              <w:top w:w="70" w:type="dxa"/>
              <w:left w:w="80" w:type="dxa"/>
              <w:bottom w:w="70" w:type="dxa"/>
              <w:right w:w="80" w:type="dxa"/>
            </w:tcMar>
            <w:vAlign w:val="center"/>
          </w:tcPr>
          <w:p w14:paraId="7D5B8945" w14:textId="77777777" w:rsidR="0024466E" w:rsidRDefault="00000000">
            <w:pPr>
              <w:spacing w:after="0" w:line="240" w:lineRule="auto"/>
            </w:pPr>
            <w:r>
              <w:rPr>
                <w:sz w:val="14"/>
              </w:rPr>
              <w:t>Information-sharing boundaries between tiers, organisations and security-clearance levels impeded access to expertise. Themes also included training, automation and the need to integrate response vertically across the organisation.</w:t>
            </w:r>
          </w:p>
        </w:tc>
        <w:tc>
          <w:tcPr>
            <w:tcW w:w="2232" w:type="dxa"/>
            <w:tcMar>
              <w:top w:w="70" w:type="dxa"/>
              <w:left w:w="80" w:type="dxa"/>
              <w:bottom w:w="70" w:type="dxa"/>
              <w:right w:w="80" w:type="dxa"/>
            </w:tcMar>
            <w:vAlign w:val="center"/>
          </w:tcPr>
          <w:p w14:paraId="3BAE0711" w14:textId="77777777" w:rsidR="0024466E" w:rsidRDefault="00000000">
            <w:pPr>
              <w:spacing w:after="0" w:line="240" w:lineRule="auto"/>
            </w:pPr>
            <w:r>
              <w:rPr>
                <w:sz w:val="14"/>
              </w:rPr>
              <w:t>Brief site visits and limited detail on participant numbers and analytic saturation.</w:t>
            </w:r>
          </w:p>
        </w:tc>
      </w:tr>
      <w:tr w:rsidR="0024466E" w14:paraId="1EAFBB09" w14:textId="77777777">
        <w:trPr>
          <w:cantSplit/>
          <w:jc w:val="center"/>
        </w:trPr>
        <w:tc>
          <w:tcPr>
            <w:tcW w:w="1512" w:type="dxa"/>
            <w:tcMar>
              <w:top w:w="70" w:type="dxa"/>
              <w:left w:w="80" w:type="dxa"/>
              <w:bottom w:w="70" w:type="dxa"/>
              <w:right w:w="80" w:type="dxa"/>
            </w:tcMar>
            <w:vAlign w:val="center"/>
          </w:tcPr>
          <w:p w14:paraId="450BA0FE" w14:textId="77777777" w:rsidR="0024466E" w:rsidRDefault="00000000">
            <w:pPr>
              <w:spacing w:after="0" w:line="240" w:lineRule="auto"/>
            </w:pPr>
            <w:r>
              <w:rPr>
                <w:sz w:val="14"/>
              </w:rPr>
              <w:lastRenderedPageBreak/>
              <w:t>Kokulu et al. (2019)</w:t>
            </w:r>
          </w:p>
        </w:tc>
        <w:tc>
          <w:tcPr>
            <w:tcW w:w="2232" w:type="dxa"/>
            <w:tcMar>
              <w:top w:w="70" w:type="dxa"/>
              <w:left w:w="80" w:type="dxa"/>
              <w:bottom w:w="70" w:type="dxa"/>
              <w:right w:w="80" w:type="dxa"/>
            </w:tcMar>
            <w:vAlign w:val="center"/>
          </w:tcPr>
          <w:p w14:paraId="6A2C0790" w14:textId="77777777" w:rsidR="0024466E" w:rsidRDefault="00000000">
            <w:pPr>
              <w:spacing w:after="0" w:line="240" w:lineRule="auto"/>
            </w:pPr>
            <w:r>
              <w:rPr>
                <w:sz w:val="14"/>
              </w:rPr>
              <w:t>United States and international; SOCs across industries</w:t>
            </w:r>
          </w:p>
        </w:tc>
        <w:tc>
          <w:tcPr>
            <w:tcW w:w="2520" w:type="dxa"/>
            <w:tcMar>
              <w:top w:w="70" w:type="dxa"/>
              <w:left w:w="80" w:type="dxa"/>
              <w:bottom w:w="70" w:type="dxa"/>
              <w:right w:w="80" w:type="dxa"/>
            </w:tcMar>
            <w:vAlign w:val="center"/>
          </w:tcPr>
          <w:p w14:paraId="362B109B" w14:textId="77777777" w:rsidR="0024466E" w:rsidRDefault="00000000">
            <w:pPr>
              <w:spacing w:after="0" w:line="240" w:lineRule="auto"/>
            </w:pPr>
            <w:r>
              <w:rPr>
                <w:sz w:val="14"/>
              </w:rPr>
              <w:t>Qualitative interview study; 18 semi-structured interviews over 1 year</w:t>
            </w:r>
          </w:p>
        </w:tc>
        <w:tc>
          <w:tcPr>
            <w:tcW w:w="2088" w:type="dxa"/>
            <w:tcMar>
              <w:top w:w="70" w:type="dxa"/>
              <w:left w:w="80" w:type="dxa"/>
              <w:bottom w:w="70" w:type="dxa"/>
              <w:right w:w="80" w:type="dxa"/>
            </w:tcMar>
            <w:vAlign w:val="center"/>
          </w:tcPr>
          <w:p w14:paraId="2D28D65D" w14:textId="77777777" w:rsidR="0024466E" w:rsidRDefault="00000000">
            <w:pPr>
              <w:spacing w:after="0" w:line="240" w:lineRule="auto"/>
            </w:pPr>
            <w:r>
              <w:rPr>
                <w:sz w:val="14"/>
              </w:rPr>
              <w:t>SOC operational problems and manager-analyst alignment</w:t>
            </w:r>
          </w:p>
        </w:tc>
        <w:tc>
          <w:tcPr>
            <w:tcW w:w="4968" w:type="dxa"/>
            <w:tcMar>
              <w:top w:w="70" w:type="dxa"/>
              <w:left w:w="80" w:type="dxa"/>
              <w:bottom w:w="70" w:type="dxa"/>
              <w:right w:w="80" w:type="dxa"/>
            </w:tcMar>
            <w:vAlign w:val="center"/>
          </w:tcPr>
          <w:p w14:paraId="12B46F47" w14:textId="77777777" w:rsidR="0024466E" w:rsidRDefault="00000000">
            <w:pPr>
              <w:spacing w:after="0" w:line="240" w:lineRule="auto"/>
            </w:pPr>
            <w:r>
              <w:rPr>
                <w:sz w:val="14"/>
              </w:rPr>
              <w:t>Alert burden, tool limitations, weak metrics, uneven training and communication were recurring problems. Managers and analysts sometimes held materially different views of priorities and operating conditions.</w:t>
            </w:r>
          </w:p>
        </w:tc>
        <w:tc>
          <w:tcPr>
            <w:tcW w:w="2232" w:type="dxa"/>
            <w:tcMar>
              <w:top w:w="70" w:type="dxa"/>
              <w:left w:w="80" w:type="dxa"/>
              <w:bottom w:w="70" w:type="dxa"/>
              <w:right w:w="80" w:type="dxa"/>
            </w:tcMar>
            <w:vAlign w:val="center"/>
          </w:tcPr>
          <w:p w14:paraId="2F1DA0D4" w14:textId="77777777" w:rsidR="0024466E" w:rsidRDefault="00000000">
            <w:pPr>
              <w:spacing w:after="0" w:line="240" w:lineRule="auto"/>
            </w:pPr>
            <w:r>
              <w:rPr>
                <w:sz w:val="14"/>
              </w:rPr>
              <w:t>Purposive sample; organisational context and outcome measures were heterogeneous.</w:t>
            </w:r>
          </w:p>
        </w:tc>
      </w:tr>
      <w:tr w:rsidR="0024466E" w14:paraId="26A0F74B" w14:textId="77777777">
        <w:trPr>
          <w:cantSplit/>
          <w:jc w:val="center"/>
        </w:trPr>
        <w:tc>
          <w:tcPr>
            <w:tcW w:w="1512" w:type="dxa"/>
            <w:tcMar>
              <w:top w:w="70" w:type="dxa"/>
              <w:left w:w="80" w:type="dxa"/>
              <w:bottom w:w="70" w:type="dxa"/>
              <w:right w:w="80" w:type="dxa"/>
            </w:tcMar>
            <w:vAlign w:val="center"/>
          </w:tcPr>
          <w:p w14:paraId="56A70FD3" w14:textId="77777777" w:rsidR="0024466E" w:rsidRDefault="00000000">
            <w:pPr>
              <w:spacing w:after="0" w:line="240" w:lineRule="auto"/>
            </w:pPr>
            <w:r>
              <w:rPr>
                <w:sz w:val="14"/>
              </w:rPr>
              <w:t>Grispos et al. (2019)</w:t>
            </w:r>
          </w:p>
        </w:tc>
        <w:tc>
          <w:tcPr>
            <w:tcW w:w="2232" w:type="dxa"/>
            <w:tcMar>
              <w:top w:w="70" w:type="dxa"/>
              <w:left w:w="80" w:type="dxa"/>
              <w:bottom w:w="70" w:type="dxa"/>
              <w:right w:w="80" w:type="dxa"/>
            </w:tcMar>
            <w:vAlign w:val="center"/>
          </w:tcPr>
          <w:p w14:paraId="6216FD66" w14:textId="77777777" w:rsidR="0024466E" w:rsidRDefault="00000000">
            <w:pPr>
              <w:spacing w:after="0" w:line="240" w:lineRule="auto"/>
            </w:pPr>
            <w:r>
              <w:rPr>
                <w:sz w:val="14"/>
              </w:rPr>
              <w:t>United States; Fortune 500 organisation</w:t>
            </w:r>
          </w:p>
        </w:tc>
        <w:tc>
          <w:tcPr>
            <w:tcW w:w="2520" w:type="dxa"/>
            <w:tcMar>
              <w:top w:w="70" w:type="dxa"/>
              <w:left w:w="80" w:type="dxa"/>
              <w:bottom w:w="70" w:type="dxa"/>
              <w:right w:w="80" w:type="dxa"/>
            </w:tcMar>
            <w:vAlign w:val="center"/>
          </w:tcPr>
          <w:p w14:paraId="2704138A" w14:textId="77777777" w:rsidR="0024466E" w:rsidRDefault="00000000">
            <w:pPr>
              <w:spacing w:after="0" w:line="240" w:lineRule="auto"/>
            </w:pPr>
            <w:r>
              <w:rPr>
                <w:sz w:val="14"/>
              </w:rPr>
              <w:t>Qualitative case study; Organisational incident-response case; sample size not reported</w:t>
            </w:r>
          </w:p>
        </w:tc>
        <w:tc>
          <w:tcPr>
            <w:tcW w:w="2088" w:type="dxa"/>
            <w:tcMar>
              <w:top w:w="70" w:type="dxa"/>
              <w:left w:w="80" w:type="dxa"/>
              <w:bottom w:w="70" w:type="dxa"/>
              <w:right w:w="80" w:type="dxa"/>
            </w:tcMar>
            <w:vAlign w:val="center"/>
          </w:tcPr>
          <w:p w14:paraId="626E54AC" w14:textId="77777777" w:rsidR="0024466E" w:rsidRDefault="00000000">
            <w:pPr>
              <w:spacing w:after="0" w:line="240" w:lineRule="auto"/>
            </w:pPr>
            <w:r>
              <w:rPr>
                <w:sz w:val="14"/>
              </w:rPr>
              <w:t>Quality and downstream usability of incident data</w:t>
            </w:r>
          </w:p>
        </w:tc>
        <w:tc>
          <w:tcPr>
            <w:tcW w:w="4968" w:type="dxa"/>
            <w:tcMar>
              <w:top w:w="70" w:type="dxa"/>
              <w:left w:w="80" w:type="dxa"/>
              <w:bottom w:w="70" w:type="dxa"/>
              <w:right w:w="80" w:type="dxa"/>
            </w:tcMar>
            <w:vAlign w:val="center"/>
          </w:tcPr>
          <w:p w14:paraId="3DB32586" w14:textId="77777777" w:rsidR="0024466E" w:rsidRDefault="00000000">
            <w:pPr>
              <w:spacing w:after="0" w:line="240" w:lineRule="auto"/>
            </w:pPr>
            <w:r>
              <w:rPr>
                <w:sz w:val="14"/>
              </w:rPr>
              <w:t>Completeness, context and provenance deficiencies reduced the value of evidence for investigation, reporting and learning. Data collection was not consistently designed for downstream organisational use.</w:t>
            </w:r>
          </w:p>
        </w:tc>
        <w:tc>
          <w:tcPr>
            <w:tcW w:w="2232" w:type="dxa"/>
            <w:tcMar>
              <w:top w:w="70" w:type="dxa"/>
              <w:left w:w="80" w:type="dxa"/>
              <w:bottom w:w="70" w:type="dxa"/>
              <w:right w:w="80" w:type="dxa"/>
            </w:tcMar>
            <w:vAlign w:val="center"/>
          </w:tcPr>
          <w:p w14:paraId="1CB353C2" w14:textId="77777777" w:rsidR="0024466E" w:rsidRDefault="00000000">
            <w:pPr>
              <w:spacing w:after="0" w:line="240" w:lineRule="auto"/>
            </w:pPr>
            <w:r>
              <w:rPr>
                <w:sz w:val="14"/>
              </w:rPr>
              <w:t>Single organisational case and limited reporting of sampling and analysis.</w:t>
            </w:r>
          </w:p>
        </w:tc>
      </w:tr>
      <w:tr w:rsidR="0024466E" w14:paraId="395480F5" w14:textId="77777777">
        <w:trPr>
          <w:cantSplit/>
          <w:jc w:val="center"/>
        </w:trPr>
        <w:tc>
          <w:tcPr>
            <w:tcW w:w="1512" w:type="dxa"/>
            <w:tcMar>
              <w:top w:w="70" w:type="dxa"/>
              <w:left w:w="80" w:type="dxa"/>
              <w:bottom w:w="70" w:type="dxa"/>
              <w:right w:w="80" w:type="dxa"/>
            </w:tcMar>
            <w:vAlign w:val="center"/>
          </w:tcPr>
          <w:p w14:paraId="083BCC78" w14:textId="77777777" w:rsidR="0024466E" w:rsidRDefault="00000000">
            <w:pPr>
              <w:spacing w:after="0" w:line="240" w:lineRule="auto"/>
            </w:pPr>
            <w:r>
              <w:rPr>
                <w:sz w:val="14"/>
              </w:rPr>
              <w:t>Cho et al. (2020)</w:t>
            </w:r>
          </w:p>
        </w:tc>
        <w:tc>
          <w:tcPr>
            <w:tcW w:w="2232" w:type="dxa"/>
            <w:tcMar>
              <w:top w:w="70" w:type="dxa"/>
              <w:left w:w="80" w:type="dxa"/>
              <w:bottom w:w="70" w:type="dxa"/>
              <w:right w:w="80" w:type="dxa"/>
            </w:tcMar>
            <w:vAlign w:val="center"/>
          </w:tcPr>
          <w:p w14:paraId="791FD15C" w14:textId="77777777" w:rsidR="0024466E" w:rsidRDefault="00000000">
            <w:pPr>
              <w:spacing w:after="0" w:line="240" w:lineRule="auto"/>
            </w:pPr>
            <w:r>
              <w:rPr>
                <w:sz w:val="14"/>
              </w:rPr>
              <w:t>United Kingdom and international; SOC analysts</w:t>
            </w:r>
          </w:p>
        </w:tc>
        <w:tc>
          <w:tcPr>
            <w:tcW w:w="2520" w:type="dxa"/>
            <w:tcMar>
              <w:top w:w="70" w:type="dxa"/>
              <w:left w:w="80" w:type="dxa"/>
              <w:bottom w:w="70" w:type="dxa"/>
              <w:right w:w="80" w:type="dxa"/>
            </w:tcMar>
            <w:vAlign w:val="center"/>
          </w:tcPr>
          <w:p w14:paraId="54AFB859" w14:textId="77777777" w:rsidR="0024466E" w:rsidRDefault="00000000">
            <w:pPr>
              <w:spacing w:after="0" w:line="240" w:lineRule="auto"/>
            </w:pPr>
            <w:r>
              <w:rPr>
                <w:sz w:val="14"/>
              </w:rPr>
              <w:t>Qualitative interview and scenario study; 10 analysts; semi-structured interviews and 3 hypothetical scenarios</w:t>
            </w:r>
          </w:p>
        </w:tc>
        <w:tc>
          <w:tcPr>
            <w:tcW w:w="2088" w:type="dxa"/>
            <w:tcMar>
              <w:top w:w="70" w:type="dxa"/>
              <w:left w:w="80" w:type="dxa"/>
              <w:bottom w:w="70" w:type="dxa"/>
              <w:right w:w="80" w:type="dxa"/>
            </w:tcMar>
            <w:vAlign w:val="center"/>
          </w:tcPr>
          <w:p w14:paraId="744006F8" w14:textId="77777777" w:rsidR="0024466E" w:rsidRDefault="00000000">
            <w:pPr>
              <w:spacing w:after="0" w:line="240" w:lineRule="auto"/>
            </w:pPr>
            <w:r>
              <w:rPr>
                <w:sz w:val="14"/>
              </w:rPr>
              <w:t>Tacit knowledge, escalation and knowledge transfer</w:t>
            </w:r>
          </w:p>
        </w:tc>
        <w:tc>
          <w:tcPr>
            <w:tcW w:w="4968" w:type="dxa"/>
            <w:tcMar>
              <w:top w:w="70" w:type="dxa"/>
              <w:left w:w="80" w:type="dxa"/>
              <w:bottom w:w="70" w:type="dxa"/>
              <w:right w:w="80" w:type="dxa"/>
            </w:tcMar>
            <w:vAlign w:val="center"/>
          </w:tcPr>
          <w:p w14:paraId="575853B9" w14:textId="77777777" w:rsidR="0024466E" w:rsidRDefault="00000000">
            <w:pPr>
              <w:spacing w:after="0" w:line="240" w:lineRule="auto"/>
            </w:pPr>
            <w:r>
              <w:rPr>
                <w:sz w:val="14"/>
              </w:rPr>
              <w:t>Analysts used experience-based pattern recognition, root-cause reasoning and staged escalation. Scenario rehearsal and physical or social proximity supported transfer of tacit knowledge that was poorly represented in formal artefacts.</w:t>
            </w:r>
          </w:p>
        </w:tc>
        <w:tc>
          <w:tcPr>
            <w:tcW w:w="2232" w:type="dxa"/>
            <w:tcMar>
              <w:top w:w="70" w:type="dxa"/>
              <w:left w:w="80" w:type="dxa"/>
              <w:bottom w:w="70" w:type="dxa"/>
              <w:right w:w="80" w:type="dxa"/>
            </w:tcMar>
            <w:vAlign w:val="center"/>
          </w:tcPr>
          <w:p w14:paraId="7290D551" w14:textId="77777777" w:rsidR="0024466E" w:rsidRDefault="00000000">
            <w:pPr>
              <w:spacing w:after="0" w:line="240" w:lineRule="auto"/>
            </w:pPr>
            <w:r>
              <w:rPr>
                <w:sz w:val="14"/>
              </w:rPr>
              <w:t>Small convenience sample and hypothetical scenarios; operational outcomes were not objectively measured.</w:t>
            </w:r>
          </w:p>
        </w:tc>
      </w:tr>
      <w:tr w:rsidR="0024466E" w14:paraId="61B7D36D" w14:textId="77777777">
        <w:trPr>
          <w:cantSplit/>
          <w:jc w:val="center"/>
        </w:trPr>
        <w:tc>
          <w:tcPr>
            <w:tcW w:w="1512" w:type="dxa"/>
            <w:tcMar>
              <w:top w:w="70" w:type="dxa"/>
              <w:left w:w="80" w:type="dxa"/>
              <w:bottom w:w="70" w:type="dxa"/>
              <w:right w:w="80" w:type="dxa"/>
            </w:tcMar>
            <w:vAlign w:val="center"/>
          </w:tcPr>
          <w:p w14:paraId="79E40CA5" w14:textId="77777777" w:rsidR="0024466E" w:rsidRDefault="00000000">
            <w:pPr>
              <w:spacing w:after="0" w:line="240" w:lineRule="auto"/>
            </w:pPr>
            <w:r>
              <w:rPr>
                <w:sz w:val="14"/>
              </w:rPr>
              <w:t>Ahmad et al. (2021)</w:t>
            </w:r>
          </w:p>
        </w:tc>
        <w:tc>
          <w:tcPr>
            <w:tcW w:w="2232" w:type="dxa"/>
            <w:tcMar>
              <w:top w:w="70" w:type="dxa"/>
              <w:left w:w="80" w:type="dxa"/>
              <w:bottom w:w="70" w:type="dxa"/>
              <w:right w:w="80" w:type="dxa"/>
            </w:tcMar>
            <w:vAlign w:val="center"/>
          </w:tcPr>
          <w:p w14:paraId="3CC60762" w14:textId="77777777" w:rsidR="0024466E" w:rsidRDefault="00000000">
            <w:pPr>
              <w:spacing w:after="0" w:line="240" w:lineRule="auto"/>
            </w:pPr>
            <w:r>
              <w:rPr>
                <w:sz w:val="14"/>
              </w:rPr>
              <w:t>Multinational organisation; Mature financial-services organisation</w:t>
            </w:r>
          </w:p>
        </w:tc>
        <w:tc>
          <w:tcPr>
            <w:tcW w:w="2520" w:type="dxa"/>
            <w:tcMar>
              <w:top w:w="70" w:type="dxa"/>
              <w:left w:w="80" w:type="dxa"/>
              <w:bottom w:w="70" w:type="dxa"/>
              <w:right w:w="80" w:type="dxa"/>
            </w:tcMar>
            <w:vAlign w:val="center"/>
          </w:tcPr>
          <w:p w14:paraId="141614BE" w14:textId="77777777" w:rsidR="0024466E" w:rsidRDefault="00000000">
            <w:pPr>
              <w:spacing w:after="0" w:line="240" w:lineRule="auto"/>
            </w:pPr>
            <w:r>
              <w:rPr>
                <w:sz w:val="14"/>
              </w:rPr>
              <w:t>In-depth qualitative case study; Multiple management and technical sources; denominator not reported in the accessible record</w:t>
            </w:r>
          </w:p>
        </w:tc>
        <w:tc>
          <w:tcPr>
            <w:tcW w:w="2088" w:type="dxa"/>
            <w:tcMar>
              <w:top w:w="70" w:type="dxa"/>
              <w:left w:w="80" w:type="dxa"/>
              <w:bottom w:w="70" w:type="dxa"/>
              <w:right w:w="80" w:type="dxa"/>
            </w:tcMar>
            <w:vAlign w:val="center"/>
          </w:tcPr>
          <w:p w14:paraId="2E268435" w14:textId="77777777" w:rsidR="0024466E" w:rsidRDefault="00000000">
            <w:pPr>
              <w:spacing w:after="0" w:line="240" w:lineRule="auto"/>
            </w:pPr>
            <w:r>
              <w:rPr>
                <w:sz w:val="14"/>
              </w:rPr>
              <w:t>Situation awareness across technical and business levels</w:t>
            </w:r>
          </w:p>
        </w:tc>
        <w:tc>
          <w:tcPr>
            <w:tcW w:w="4968" w:type="dxa"/>
            <w:tcMar>
              <w:top w:w="70" w:type="dxa"/>
              <w:left w:w="80" w:type="dxa"/>
              <w:bottom w:w="70" w:type="dxa"/>
              <w:right w:w="80" w:type="dxa"/>
            </w:tcMar>
            <w:vAlign w:val="center"/>
          </w:tcPr>
          <w:p w14:paraId="16AAAE29" w14:textId="77777777" w:rsidR="0024466E" w:rsidRDefault="00000000">
            <w:pPr>
              <w:spacing w:after="0" w:line="240" w:lineRule="auto"/>
            </w:pPr>
            <w:r>
              <w:rPr>
                <w:sz w:val="14"/>
              </w:rPr>
              <w:t>Situation awareness depended on integrating technical evidence with business context and translating information between operational, tactical and strategic levels. Poor visibility outside information technology constrained the response picture.</w:t>
            </w:r>
          </w:p>
        </w:tc>
        <w:tc>
          <w:tcPr>
            <w:tcW w:w="2232" w:type="dxa"/>
            <w:tcMar>
              <w:top w:w="70" w:type="dxa"/>
              <w:left w:w="80" w:type="dxa"/>
              <w:bottom w:w="70" w:type="dxa"/>
              <w:right w:w="80" w:type="dxa"/>
            </w:tcMar>
            <w:vAlign w:val="center"/>
          </w:tcPr>
          <w:p w14:paraId="2CE82A9F" w14:textId="77777777" w:rsidR="0024466E" w:rsidRDefault="00000000">
            <w:pPr>
              <w:spacing w:after="0" w:line="240" w:lineRule="auto"/>
            </w:pPr>
            <w:r>
              <w:rPr>
                <w:sz w:val="14"/>
              </w:rPr>
              <w:t>Single mature organisation; accessible metadata did not report a complete participant denominator.</w:t>
            </w:r>
          </w:p>
        </w:tc>
      </w:tr>
      <w:tr w:rsidR="0024466E" w14:paraId="58F15FF3" w14:textId="77777777">
        <w:trPr>
          <w:cantSplit/>
          <w:jc w:val="center"/>
        </w:trPr>
        <w:tc>
          <w:tcPr>
            <w:tcW w:w="1512" w:type="dxa"/>
            <w:tcMar>
              <w:top w:w="70" w:type="dxa"/>
              <w:left w:w="80" w:type="dxa"/>
              <w:bottom w:w="70" w:type="dxa"/>
              <w:right w:w="80" w:type="dxa"/>
            </w:tcMar>
            <w:vAlign w:val="center"/>
          </w:tcPr>
          <w:p w14:paraId="6436E93E" w14:textId="77777777" w:rsidR="0024466E" w:rsidRDefault="00000000">
            <w:pPr>
              <w:spacing w:after="0" w:line="240" w:lineRule="auto"/>
            </w:pPr>
            <w:r>
              <w:rPr>
                <w:sz w:val="14"/>
              </w:rPr>
              <w:t>Willing et al. (2021)</w:t>
            </w:r>
          </w:p>
        </w:tc>
        <w:tc>
          <w:tcPr>
            <w:tcW w:w="2232" w:type="dxa"/>
            <w:tcMar>
              <w:top w:w="70" w:type="dxa"/>
              <w:left w:w="80" w:type="dxa"/>
              <w:bottom w:w="70" w:type="dxa"/>
              <w:right w:w="80" w:type="dxa"/>
            </w:tcMar>
            <w:vAlign w:val="center"/>
          </w:tcPr>
          <w:p w14:paraId="299ED7E6" w14:textId="77777777" w:rsidR="0024466E" w:rsidRDefault="00000000">
            <w:pPr>
              <w:spacing w:after="0" w:line="240" w:lineRule="auto"/>
            </w:pPr>
            <w:r>
              <w:rPr>
                <w:sz w:val="14"/>
              </w:rPr>
              <w:t>Germany; Hospital training environment; intermediate/intensive care nurses</w:t>
            </w:r>
          </w:p>
        </w:tc>
        <w:tc>
          <w:tcPr>
            <w:tcW w:w="2520" w:type="dxa"/>
            <w:tcMar>
              <w:top w:w="70" w:type="dxa"/>
              <w:left w:w="80" w:type="dxa"/>
              <w:bottom w:w="70" w:type="dxa"/>
              <w:right w:w="80" w:type="dxa"/>
            </w:tcMar>
            <w:vAlign w:val="center"/>
          </w:tcPr>
          <w:p w14:paraId="4DCD6D5E" w14:textId="77777777" w:rsidR="0024466E" w:rsidRDefault="00000000">
            <w:pPr>
              <w:spacing w:after="0" w:line="240" w:lineRule="auto"/>
            </w:pPr>
            <w:r>
              <w:rPr>
                <w:sz w:val="14"/>
              </w:rPr>
              <w:t>High-fidelity non-randomised simulation with qualitative behavioural analysis; 20 nurses</w:t>
            </w:r>
          </w:p>
        </w:tc>
        <w:tc>
          <w:tcPr>
            <w:tcW w:w="2088" w:type="dxa"/>
            <w:tcMar>
              <w:top w:w="70" w:type="dxa"/>
              <w:left w:w="80" w:type="dxa"/>
              <w:bottom w:w="70" w:type="dxa"/>
              <w:right w:w="80" w:type="dxa"/>
            </w:tcMar>
            <w:vAlign w:val="center"/>
          </w:tcPr>
          <w:p w14:paraId="5CE98EAE" w14:textId="77777777" w:rsidR="0024466E" w:rsidRDefault="00000000">
            <w:pPr>
              <w:spacing w:after="0" w:line="240" w:lineRule="auto"/>
            </w:pPr>
            <w:r>
              <w:rPr>
                <w:sz w:val="14"/>
              </w:rPr>
              <w:t>Recognition and management of manipulated patient-monitor data</w:t>
            </w:r>
          </w:p>
        </w:tc>
        <w:tc>
          <w:tcPr>
            <w:tcW w:w="4968" w:type="dxa"/>
            <w:tcMar>
              <w:top w:w="70" w:type="dxa"/>
              <w:left w:w="80" w:type="dxa"/>
              <w:bottom w:w="70" w:type="dxa"/>
              <w:right w:w="80" w:type="dxa"/>
            </w:tcMar>
            <w:vAlign w:val="center"/>
          </w:tcPr>
          <w:p w14:paraId="071399C2" w14:textId="77777777" w:rsidR="0024466E" w:rsidRDefault="00000000">
            <w:pPr>
              <w:spacing w:after="0" w:line="240" w:lineRule="auto"/>
            </w:pPr>
            <w:r>
              <w:rPr>
                <w:sz w:val="14"/>
              </w:rPr>
              <w:t>Twelve of 20 participants recognised the monitor or system problem and adapted; eight did not. Effective responders communicated, questioned system-level behaviour, used manual verification and sought technical support. Four participants continued potentially harmful treatment.</w:t>
            </w:r>
          </w:p>
        </w:tc>
        <w:tc>
          <w:tcPr>
            <w:tcW w:w="2232" w:type="dxa"/>
            <w:tcMar>
              <w:top w:w="70" w:type="dxa"/>
              <w:left w:w="80" w:type="dxa"/>
              <w:bottom w:w="70" w:type="dxa"/>
              <w:right w:w="80" w:type="dxa"/>
            </w:tcMar>
            <w:vAlign w:val="center"/>
          </w:tcPr>
          <w:p w14:paraId="15FE5436" w14:textId="77777777" w:rsidR="0024466E" w:rsidRDefault="00000000">
            <w:pPr>
              <w:spacing w:after="0" w:line="240" w:lineRule="auto"/>
            </w:pPr>
            <w:r>
              <w:rPr>
                <w:sz w:val="14"/>
              </w:rPr>
              <w:t>Small single-site simulation; no random allocation or prospective comparison; behaviour may differ in real incidents.</w:t>
            </w:r>
          </w:p>
        </w:tc>
      </w:tr>
      <w:tr w:rsidR="0024466E" w14:paraId="79EB0E12" w14:textId="77777777">
        <w:trPr>
          <w:cantSplit/>
          <w:jc w:val="center"/>
        </w:trPr>
        <w:tc>
          <w:tcPr>
            <w:tcW w:w="1512" w:type="dxa"/>
            <w:tcMar>
              <w:top w:w="70" w:type="dxa"/>
              <w:left w:w="80" w:type="dxa"/>
              <w:bottom w:w="70" w:type="dxa"/>
              <w:right w:w="80" w:type="dxa"/>
            </w:tcMar>
            <w:vAlign w:val="center"/>
          </w:tcPr>
          <w:p w14:paraId="3EFAE04B" w14:textId="77777777" w:rsidR="0024466E" w:rsidRDefault="00000000">
            <w:pPr>
              <w:spacing w:after="0" w:line="240" w:lineRule="auto"/>
            </w:pPr>
            <w:r>
              <w:rPr>
                <w:sz w:val="14"/>
              </w:rPr>
              <w:t>Kassim et al. (2022)</w:t>
            </w:r>
          </w:p>
        </w:tc>
        <w:tc>
          <w:tcPr>
            <w:tcW w:w="2232" w:type="dxa"/>
            <w:tcMar>
              <w:top w:w="70" w:type="dxa"/>
              <w:left w:w="80" w:type="dxa"/>
              <w:bottom w:w="70" w:type="dxa"/>
              <w:right w:w="80" w:type="dxa"/>
            </w:tcMar>
            <w:vAlign w:val="center"/>
          </w:tcPr>
          <w:p w14:paraId="397B701E" w14:textId="77777777" w:rsidR="0024466E" w:rsidRDefault="00000000">
            <w:pPr>
              <w:spacing w:after="0" w:line="240" w:lineRule="auto"/>
            </w:pPr>
            <w:r>
              <w:rPr>
                <w:sz w:val="14"/>
              </w:rPr>
              <w:t>International; National CSIRTs</w:t>
            </w:r>
          </w:p>
        </w:tc>
        <w:tc>
          <w:tcPr>
            <w:tcW w:w="2520" w:type="dxa"/>
            <w:tcMar>
              <w:top w:w="70" w:type="dxa"/>
              <w:left w:w="80" w:type="dxa"/>
              <w:bottom w:w="70" w:type="dxa"/>
              <w:right w:w="80" w:type="dxa"/>
            </w:tcMar>
            <w:vAlign w:val="center"/>
          </w:tcPr>
          <w:p w14:paraId="4F8904B1" w14:textId="77777777" w:rsidR="0024466E" w:rsidRDefault="00000000">
            <w:pPr>
              <w:spacing w:after="0" w:line="240" w:lineRule="auto"/>
            </w:pPr>
            <w:r>
              <w:rPr>
                <w:sz w:val="14"/>
              </w:rPr>
              <w:t>Mixed-methods survey and interview study; 25 staff from 13 national CSIRTs; 12 follow-up interviews</w:t>
            </w:r>
          </w:p>
        </w:tc>
        <w:tc>
          <w:tcPr>
            <w:tcW w:w="2088" w:type="dxa"/>
            <w:tcMar>
              <w:top w:w="70" w:type="dxa"/>
              <w:left w:w="80" w:type="dxa"/>
              <w:bottom w:w="70" w:type="dxa"/>
              <w:right w:w="80" w:type="dxa"/>
            </w:tcMar>
            <w:vAlign w:val="center"/>
          </w:tcPr>
          <w:p w14:paraId="5685D351" w14:textId="77777777" w:rsidR="0024466E" w:rsidRDefault="00000000">
            <w:pPr>
              <w:spacing w:after="0" w:line="240" w:lineRule="auto"/>
            </w:pPr>
            <w:r>
              <w:rPr>
                <w:sz w:val="14"/>
              </w:rPr>
              <w:t>Use and validation of public data, open-source intelligence and free tools</w:t>
            </w:r>
          </w:p>
        </w:tc>
        <w:tc>
          <w:tcPr>
            <w:tcW w:w="4968" w:type="dxa"/>
            <w:tcMar>
              <w:top w:w="70" w:type="dxa"/>
              <w:left w:w="80" w:type="dxa"/>
              <w:bottom w:w="70" w:type="dxa"/>
              <w:right w:w="80" w:type="dxa"/>
            </w:tcMar>
            <w:vAlign w:val="center"/>
          </w:tcPr>
          <w:p w14:paraId="67089C2C" w14:textId="77777777" w:rsidR="0024466E" w:rsidRDefault="00000000">
            <w:pPr>
              <w:spacing w:after="0" w:line="240" w:lineRule="auto"/>
            </w:pPr>
            <w:r>
              <w:rPr>
                <w:sz w:val="14"/>
              </w:rPr>
              <w:t>All respondents used public data and 23 of 25 considered public data, open-source intelligence or free tools useful. Validation and operational use were variable and often lacked standardisation.</w:t>
            </w:r>
          </w:p>
        </w:tc>
        <w:tc>
          <w:tcPr>
            <w:tcW w:w="2232" w:type="dxa"/>
            <w:tcMar>
              <w:top w:w="70" w:type="dxa"/>
              <w:left w:w="80" w:type="dxa"/>
              <w:bottom w:w="70" w:type="dxa"/>
              <w:right w:w="80" w:type="dxa"/>
            </w:tcMar>
            <w:vAlign w:val="center"/>
          </w:tcPr>
          <w:p w14:paraId="505C2457" w14:textId="77777777" w:rsidR="0024466E" w:rsidRDefault="00000000">
            <w:pPr>
              <w:spacing w:after="0" w:line="240" w:lineRule="auto"/>
            </w:pPr>
            <w:r>
              <w:rPr>
                <w:sz w:val="14"/>
              </w:rPr>
              <w:t>Small self-selected international sample and reliance on reported practice rather than objective performance.</w:t>
            </w:r>
          </w:p>
        </w:tc>
      </w:tr>
      <w:tr w:rsidR="0024466E" w14:paraId="58EFB0D4" w14:textId="77777777">
        <w:trPr>
          <w:cantSplit/>
          <w:jc w:val="center"/>
        </w:trPr>
        <w:tc>
          <w:tcPr>
            <w:tcW w:w="1512" w:type="dxa"/>
            <w:tcMar>
              <w:top w:w="70" w:type="dxa"/>
              <w:left w:w="80" w:type="dxa"/>
              <w:bottom w:w="70" w:type="dxa"/>
              <w:right w:w="80" w:type="dxa"/>
            </w:tcMar>
            <w:vAlign w:val="center"/>
          </w:tcPr>
          <w:p w14:paraId="4987BB07" w14:textId="77777777" w:rsidR="0024466E" w:rsidRDefault="00000000">
            <w:pPr>
              <w:spacing w:after="0" w:line="240" w:lineRule="auto"/>
            </w:pPr>
            <w:r>
              <w:rPr>
                <w:sz w:val="14"/>
              </w:rPr>
              <w:t>Reisser et al. (2022)</w:t>
            </w:r>
          </w:p>
        </w:tc>
        <w:tc>
          <w:tcPr>
            <w:tcW w:w="2232" w:type="dxa"/>
            <w:tcMar>
              <w:top w:w="70" w:type="dxa"/>
              <w:left w:w="80" w:type="dxa"/>
              <w:bottom w:w="70" w:type="dxa"/>
              <w:right w:w="80" w:type="dxa"/>
            </w:tcMar>
            <w:vAlign w:val="center"/>
          </w:tcPr>
          <w:p w14:paraId="771EEA5C" w14:textId="77777777" w:rsidR="0024466E" w:rsidRDefault="00000000">
            <w:pPr>
              <w:spacing w:after="0" w:line="240" w:lineRule="auto"/>
            </w:pPr>
            <w:r>
              <w:rPr>
                <w:sz w:val="14"/>
              </w:rPr>
              <w:t>Europe; SOC, CERT and incident-response leaders and consultants</w:t>
            </w:r>
          </w:p>
        </w:tc>
        <w:tc>
          <w:tcPr>
            <w:tcW w:w="2520" w:type="dxa"/>
            <w:tcMar>
              <w:top w:w="70" w:type="dxa"/>
              <w:left w:w="80" w:type="dxa"/>
              <w:bottom w:w="70" w:type="dxa"/>
              <w:right w:w="80" w:type="dxa"/>
            </w:tcMar>
            <w:vAlign w:val="center"/>
          </w:tcPr>
          <w:p w14:paraId="7811BE0F" w14:textId="77777777" w:rsidR="0024466E" w:rsidRDefault="00000000">
            <w:pPr>
              <w:spacing w:after="0" w:line="240" w:lineRule="auto"/>
            </w:pPr>
            <w:r>
              <w:rPr>
                <w:sz w:val="14"/>
              </w:rPr>
              <w:t>Qualitative expert interview study; 8 expert interviews</w:t>
            </w:r>
          </w:p>
        </w:tc>
        <w:tc>
          <w:tcPr>
            <w:tcW w:w="2088" w:type="dxa"/>
            <w:tcMar>
              <w:top w:w="70" w:type="dxa"/>
              <w:left w:w="80" w:type="dxa"/>
              <w:bottom w:w="70" w:type="dxa"/>
              <w:right w:w="80" w:type="dxa"/>
            </w:tcMar>
            <w:vAlign w:val="center"/>
          </w:tcPr>
          <w:p w14:paraId="5BB5425A" w14:textId="77777777" w:rsidR="0024466E" w:rsidRDefault="00000000">
            <w:pPr>
              <w:spacing w:after="0" w:line="240" w:lineRule="auto"/>
            </w:pPr>
            <w:r>
              <w:rPr>
                <w:sz w:val="14"/>
              </w:rPr>
              <w:t>Role structures, skills and organisational interfaces</w:t>
            </w:r>
          </w:p>
        </w:tc>
        <w:tc>
          <w:tcPr>
            <w:tcW w:w="4968" w:type="dxa"/>
            <w:tcMar>
              <w:top w:w="70" w:type="dxa"/>
              <w:left w:w="80" w:type="dxa"/>
              <w:bottom w:w="70" w:type="dxa"/>
              <w:right w:w="80" w:type="dxa"/>
            </w:tcMar>
            <w:vAlign w:val="center"/>
          </w:tcPr>
          <w:p w14:paraId="53BF6F1B" w14:textId="77777777" w:rsidR="0024466E" w:rsidRDefault="00000000">
            <w:pPr>
              <w:spacing w:after="0" w:line="240" w:lineRule="auto"/>
            </w:pPr>
            <w:r>
              <w:rPr>
                <w:sz w:val="14"/>
              </w:rPr>
              <w:t>No uniform role structure was observed; tiers varied with organisation size. Broad information-technology knowledge, teamwork, communication, creativity and resilience were repeatedly valued, and effective response required interfaces with management, operations, service desks, human resources and external communities.</w:t>
            </w:r>
          </w:p>
        </w:tc>
        <w:tc>
          <w:tcPr>
            <w:tcW w:w="2232" w:type="dxa"/>
            <w:tcMar>
              <w:top w:w="70" w:type="dxa"/>
              <w:left w:w="80" w:type="dxa"/>
              <w:bottom w:w="70" w:type="dxa"/>
              <w:right w:w="80" w:type="dxa"/>
            </w:tcMar>
            <w:vAlign w:val="center"/>
          </w:tcPr>
          <w:p w14:paraId="721634AC" w14:textId="77777777" w:rsidR="0024466E" w:rsidRDefault="00000000">
            <w:pPr>
              <w:spacing w:after="0" w:line="240" w:lineRule="auto"/>
            </w:pPr>
            <w:r>
              <w:rPr>
                <w:sz w:val="14"/>
              </w:rPr>
              <w:t>Small expert sample and possible selection bias; outcome effects were not measured.</w:t>
            </w:r>
          </w:p>
        </w:tc>
      </w:tr>
      <w:tr w:rsidR="0024466E" w14:paraId="29628191" w14:textId="77777777">
        <w:trPr>
          <w:cantSplit/>
          <w:jc w:val="center"/>
        </w:trPr>
        <w:tc>
          <w:tcPr>
            <w:tcW w:w="1512" w:type="dxa"/>
            <w:tcMar>
              <w:top w:w="70" w:type="dxa"/>
              <w:left w:w="80" w:type="dxa"/>
              <w:bottom w:w="70" w:type="dxa"/>
              <w:right w:w="80" w:type="dxa"/>
            </w:tcMar>
            <w:vAlign w:val="center"/>
          </w:tcPr>
          <w:p w14:paraId="7E5FA913" w14:textId="77777777" w:rsidR="0024466E" w:rsidRDefault="00000000">
            <w:pPr>
              <w:spacing w:after="0" w:line="240" w:lineRule="auto"/>
            </w:pPr>
            <w:r>
              <w:rPr>
                <w:sz w:val="14"/>
              </w:rPr>
              <w:t>Angafor et al. (2023)</w:t>
            </w:r>
          </w:p>
        </w:tc>
        <w:tc>
          <w:tcPr>
            <w:tcW w:w="2232" w:type="dxa"/>
            <w:tcMar>
              <w:top w:w="70" w:type="dxa"/>
              <w:left w:w="80" w:type="dxa"/>
              <w:bottom w:w="70" w:type="dxa"/>
              <w:right w:w="80" w:type="dxa"/>
            </w:tcMar>
            <w:vAlign w:val="center"/>
          </w:tcPr>
          <w:p w14:paraId="36E64BF8" w14:textId="77777777" w:rsidR="0024466E" w:rsidRDefault="00000000">
            <w:pPr>
              <w:spacing w:after="0" w:line="240" w:lineRule="auto"/>
            </w:pPr>
            <w:r>
              <w:rPr>
                <w:sz w:val="14"/>
              </w:rPr>
              <w:t>United Kingdom / virtual setting; Cross-functional remote tabletop exercise</w:t>
            </w:r>
          </w:p>
        </w:tc>
        <w:tc>
          <w:tcPr>
            <w:tcW w:w="2520" w:type="dxa"/>
            <w:tcMar>
              <w:top w:w="70" w:type="dxa"/>
              <w:left w:w="80" w:type="dxa"/>
              <w:bottom w:w="70" w:type="dxa"/>
              <w:right w:w="80" w:type="dxa"/>
            </w:tcMar>
            <w:vAlign w:val="center"/>
          </w:tcPr>
          <w:p w14:paraId="3BFD2B8E" w14:textId="77777777" w:rsidR="0024466E" w:rsidRDefault="00000000">
            <w:pPr>
              <w:spacing w:after="0" w:line="240" w:lineRule="auto"/>
            </w:pPr>
            <w:r>
              <w:rPr>
                <w:sz w:val="14"/>
              </w:rPr>
              <w:t>Qualitative exercise evaluation; Participant number not reported in the accessible record</w:t>
            </w:r>
          </w:p>
        </w:tc>
        <w:tc>
          <w:tcPr>
            <w:tcW w:w="2088" w:type="dxa"/>
            <w:tcMar>
              <w:top w:w="70" w:type="dxa"/>
              <w:left w:w="80" w:type="dxa"/>
              <w:bottom w:w="70" w:type="dxa"/>
              <w:right w:w="80" w:type="dxa"/>
            </w:tcMar>
            <w:vAlign w:val="center"/>
          </w:tcPr>
          <w:p w14:paraId="7A7CC4D8" w14:textId="77777777" w:rsidR="0024466E" w:rsidRDefault="00000000">
            <w:pPr>
              <w:spacing w:after="0" w:line="240" w:lineRule="auto"/>
            </w:pPr>
            <w:r>
              <w:rPr>
                <w:sz w:val="14"/>
              </w:rPr>
              <w:t>Experiential virtual tabletop training</w:t>
            </w:r>
          </w:p>
        </w:tc>
        <w:tc>
          <w:tcPr>
            <w:tcW w:w="4968" w:type="dxa"/>
            <w:tcMar>
              <w:top w:w="70" w:type="dxa"/>
              <w:left w:w="80" w:type="dxa"/>
              <w:bottom w:w="70" w:type="dxa"/>
              <w:right w:w="80" w:type="dxa"/>
            </w:tcMar>
            <w:vAlign w:val="center"/>
          </w:tcPr>
          <w:p w14:paraId="1F987FA4" w14:textId="77777777" w:rsidR="0024466E" w:rsidRDefault="00000000">
            <w:pPr>
              <w:spacing w:after="0" w:line="240" w:lineRule="auto"/>
            </w:pPr>
            <w:r>
              <w:rPr>
                <w:sz w:val="14"/>
              </w:rPr>
              <w:t>The exercise surfaced gaps across prevention, detection, mitigation, response, recovery and communication. Realistic cross-functional scenarios made hidden process dependencies and role ambiguities visible.</w:t>
            </w:r>
          </w:p>
        </w:tc>
        <w:tc>
          <w:tcPr>
            <w:tcW w:w="2232" w:type="dxa"/>
            <w:tcMar>
              <w:top w:w="70" w:type="dxa"/>
              <w:left w:w="80" w:type="dxa"/>
              <w:bottom w:w="70" w:type="dxa"/>
              <w:right w:w="80" w:type="dxa"/>
            </w:tcMar>
            <w:vAlign w:val="center"/>
          </w:tcPr>
          <w:p w14:paraId="38658315" w14:textId="77777777" w:rsidR="0024466E" w:rsidRDefault="00000000">
            <w:pPr>
              <w:spacing w:after="0" w:line="240" w:lineRule="auto"/>
            </w:pPr>
            <w:r>
              <w:rPr>
                <w:sz w:val="14"/>
              </w:rPr>
              <w:t>Participant denominator and comparative outcomes were not reported; conclusions were based on one exercise format.</w:t>
            </w:r>
          </w:p>
        </w:tc>
      </w:tr>
      <w:tr w:rsidR="0024466E" w14:paraId="516017B4" w14:textId="77777777">
        <w:trPr>
          <w:cantSplit/>
          <w:jc w:val="center"/>
        </w:trPr>
        <w:tc>
          <w:tcPr>
            <w:tcW w:w="1512" w:type="dxa"/>
            <w:tcMar>
              <w:top w:w="70" w:type="dxa"/>
              <w:left w:w="80" w:type="dxa"/>
              <w:bottom w:w="70" w:type="dxa"/>
              <w:right w:w="80" w:type="dxa"/>
            </w:tcMar>
            <w:vAlign w:val="center"/>
          </w:tcPr>
          <w:p w14:paraId="43114F59" w14:textId="77777777" w:rsidR="0024466E" w:rsidRDefault="00000000">
            <w:pPr>
              <w:spacing w:after="0" w:line="240" w:lineRule="auto"/>
            </w:pPr>
            <w:r>
              <w:rPr>
                <w:sz w:val="14"/>
              </w:rPr>
              <w:t>Patterson et al. (2024)</w:t>
            </w:r>
          </w:p>
        </w:tc>
        <w:tc>
          <w:tcPr>
            <w:tcW w:w="2232" w:type="dxa"/>
            <w:tcMar>
              <w:top w:w="70" w:type="dxa"/>
              <w:left w:w="80" w:type="dxa"/>
              <w:bottom w:w="70" w:type="dxa"/>
              <w:right w:w="80" w:type="dxa"/>
            </w:tcMar>
            <w:vAlign w:val="center"/>
          </w:tcPr>
          <w:p w14:paraId="0A1DE19A" w14:textId="77777777" w:rsidR="0024466E" w:rsidRDefault="00000000">
            <w:pPr>
              <w:spacing w:after="0" w:line="240" w:lineRule="auto"/>
            </w:pPr>
            <w:r>
              <w:rPr>
                <w:sz w:val="14"/>
              </w:rPr>
              <w:t>United Kingdom; Organisations across industries</w:t>
            </w:r>
          </w:p>
        </w:tc>
        <w:tc>
          <w:tcPr>
            <w:tcW w:w="2520" w:type="dxa"/>
            <w:tcMar>
              <w:top w:w="70" w:type="dxa"/>
              <w:left w:w="80" w:type="dxa"/>
              <w:bottom w:w="70" w:type="dxa"/>
              <w:right w:w="80" w:type="dxa"/>
            </w:tcMar>
            <w:vAlign w:val="center"/>
          </w:tcPr>
          <w:p w14:paraId="3764835F" w14:textId="77777777" w:rsidR="0024466E" w:rsidRDefault="00000000">
            <w:pPr>
              <w:spacing w:after="0" w:line="240" w:lineRule="auto"/>
            </w:pPr>
            <w:r>
              <w:rPr>
                <w:sz w:val="14"/>
              </w:rPr>
              <w:t>Qualitative interview study; 34 security practitioners</w:t>
            </w:r>
          </w:p>
        </w:tc>
        <w:tc>
          <w:tcPr>
            <w:tcW w:w="2088" w:type="dxa"/>
            <w:tcMar>
              <w:top w:w="70" w:type="dxa"/>
              <w:left w:w="80" w:type="dxa"/>
              <w:bottom w:w="70" w:type="dxa"/>
              <w:right w:w="80" w:type="dxa"/>
            </w:tcMar>
            <w:vAlign w:val="center"/>
          </w:tcPr>
          <w:p w14:paraId="2610B6B8" w14:textId="77777777" w:rsidR="0024466E" w:rsidRDefault="00000000">
            <w:pPr>
              <w:spacing w:after="0" w:line="240" w:lineRule="auto"/>
            </w:pPr>
            <w:r>
              <w:rPr>
                <w:sz w:val="14"/>
              </w:rPr>
              <w:t>Organisational learning after incidents</w:t>
            </w:r>
          </w:p>
        </w:tc>
        <w:tc>
          <w:tcPr>
            <w:tcW w:w="4968" w:type="dxa"/>
            <w:tcMar>
              <w:top w:w="70" w:type="dxa"/>
              <w:left w:w="80" w:type="dxa"/>
              <w:bottom w:w="70" w:type="dxa"/>
              <w:right w:w="80" w:type="dxa"/>
            </w:tcMar>
            <w:vAlign w:val="center"/>
          </w:tcPr>
          <w:p w14:paraId="6A3E7733" w14:textId="77777777" w:rsidR="0024466E" w:rsidRDefault="00000000">
            <w:pPr>
              <w:spacing w:after="0" w:line="240" w:lineRule="auto"/>
            </w:pPr>
            <w:r>
              <w:rPr>
                <w:sz w:val="14"/>
              </w:rPr>
              <w:t>Learning practices were rarely designed as a coherent system. Defensiveness, time pressure, culture and superficial review limited learning; stronger practice required openness, deliberate incident selection, broad participation, implementation follow-through and checks on impact.</w:t>
            </w:r>
          </w:p>
        </w:tc>
        <w:tc>
          <w:tcPr>
            <w:tcW w:w="2232" w:type="dxa"/>
            <w:tcMar>
              <w:top w:w="70" w:type="dxa"/>
              <w:left w:w="80" w:type="dxa"/>
              <w:bottom w:w="70" w:type="dxa"/>
              <w:right w:w="80" w:type="dxa"/>
            </w:tcMar>
            <w:vAlign w:val="center"/>
          </w:tcPr>
          <w:p w14:paraId="796FCEDE" w14:textId="77777777" w:rsidR="0024466E" w:rsidRDefault="00000000">
            <w:pPr>
              <w:spacing w:after="0" w:line="240" w:lineRule="auto"/>
            </w:pPr>
            <w:r>
              <w:rPr>
                <w:sz w:val="14"/>
              </w:rPr>
              <w:t>Self-reported practice and UK context; organisations may have differed substantially in maturity.</w:t>
            </w:r>
          </w:p>
        </w:tc>
      </w:tr>
      <w:tr w:rsidR="0024466E" w14:paraId="309E08AD" w14:textId="77777777">
        <w:trPr>
          <w:cantSplit/>
          <w:jc w:val="center"/>
        </w:trPr>
        <w:tc>
          <w:tcPr>
            <w:tcW w:w="1512" w:type="dxa"/>
            <w:tcMar>
              <w:top w:w="70" w:type="dxa"/>
              <w:left w:w="80" w:type="dxa"/>
              <w:bottom w:w="70" w:type="dxa"/>
              <w:right w:w="80" w:type="dxa"/>
            </w:tcMar>
            <w:vAlign w:val="center"/>
          </w:tcPr>
          <w:p w14:paraId="6E7A345F" w14:textId="77777777" w:rsidR="0024466E" w:rsidRDefault="00000000">
            <w:pPr>
              <w:spacing w:after="0" w:line="240" w:lineRule="auto"/>
            </w:pPr>
            <w:r>
              <w:rPr>
                <w:sz w:val="14"/>
              </w:rPr>
              <w:t>Moore et al. (2023)</w:t>
            </w:r>
          </w:p>
        </w:tc>
        <w:tc>
          <w:tcPr>
            <w:tcW w:w="2232" w:type="dxa"/>
            <w:tcMar>
              <w:top w:w="70" w:type="dxa"/>
              <w:left w:w="80" w:type="dxa"/>
              <w:bottom w:w="70" w:type="dxa"/>
              <w:right w:w="80" w:type="dxa"/>
            </w:tcMar>
            <w:vAlign w:val="center"/>
          </w:tcPr>
          <w:p w14:paraId="61381480" w14:textId="77777777" w:rsidR="0024466E" w:rsidRDefault="00000000">
            <w:pPr>
              <w:spacing w:after="0" w:line="240" w:lineRule="auto"/>
            </w:pPr>
            <w:r>
              <w:rPr>
                <w:sz w:val="14"/>
              </w:rPr>
              <w:t>Ireland; National health service organisations</w:t>
            </w:r>
          </w:p>
        </w:tc>
        <w:tc>
          <w:tcPr>
            <w:tcW w:w="2520" w:type="dxa"/>
            <w:tcMar>
              <w:top w:w="70" w:type="dxa"/>
              <w:left w:w="80" w:type="dxa"/>
              <w:bottom w:w="70" w:type="dxa"/>
              <w:right w:w="80" w:type="dxa"/>
            </w:tcMar>
            <w:vAlign w:val="center"/>
          </w:tcPr>
          <w:p w14:paraId="3F77533C" w14:textId="77777777" w:rsidR="0024466E" w:rsidRDefault="00000000">
            <w:pPr>
              <w:spacing w:after="0" w:line="240" w:lineRule="auto"/>
            </w:pPr>
            <w:r>
              <w:rPr>
                <w:sz w:val="14"/>
              </w:rPr>
              <w:t>Qualitative focus-group study; 8 focus groups; 36 participants</w:t>
            </w:r>
          </w:p>
        </w:tc>
        <w:tc>
          <w:tcPr>
            <w:tcW w:w="2088" w:type="dxa"/>
            <w:tcMar>
              <w:top w:w="70" w:type="dxa"/>
              <w:left w:w="80" w:type="dxa"/>
              <w:bottom w:w="70" w:type="dxa"/>
              <w:right w:w="80" w:type="dxa"/>
            </w:tcMar>
            <w:vAlign w:val="center"/>
          </w:tcPr>
          <w:p w14:paraId="5FC0EB61" w14:textId="77777777" w:rsidR="0024466E" w:rsidRDefault="00000000">
            <w:pPr>
              <w:spacing w:after="0" w:line="240" w:lineRule="auto"/>
            </w:pPr>
            <w:r>
              <w:rPr>
                <w:sz w:val="14"/>
              </w:rPr>
              <w:t>Workforce adaptation, service continuity and patient safety after a national cyber-attack</w:t>
            </w:r>
          </w:p>
        </w:tc>
        <w:tc>
          <w:tcPr>
            <w:tcW w:w="4968" w:type="dxa"/>
            <w:tcMar>
              <w:top w:w="70" w:type="dxa"/>
              <w:left w:w="80" w:type="dxa"/>
              <w:bottom w:w="70" w:type="dxa"/>
              <w:right w:w="80" w:type="dxa"/>
            </w:tcMar>
            <w:vAlign w:val="center"/>
          </w:tcPr>
          <w:p w14:paraId="0712C621" w14:textId="77777777" w:rsidR="0024466E" w:rsidRDefault="00000000">
            <w:pPr>
              <w:spacing w:after="0" w:line="240" w:lineRule="auto"/>
            </w:pPr>
            <w:r>
              <w:rPr>
                <w:sz w:val="14"/>
              </w:rPr>
              <w:t>Local workarounds, flattened hierarchy, teamwork and communication sustained care, but disruption varied with digital dependence and support. Gaps in top-down communication and prolonged stress shifted the burden of resilience to staff.</w:t>
            </w:r>
          </w:p>
        </w:tc>
        <w:tc>
          <w:tcPr>
            <w:tcW w:w="2232" w:type="dxa"/>
            <w:tcMar>
              <w:top w:w="70" w:type="dxa"/>
              <w:left w:w="80" w:type="dxa"/>
              <w:bottom w:w="70" w:type="dxa"/>
              <w:right w:w="80" w:type="dxa"/>
            </w:tcMar>
            <w:vAlign w:val="center"/>
          </w:tcPr>
          <w:p w14:paraId="764783F3" w14:textId="77777777" w:rsidR="0024466E" w:rsidRDefault="00000000">
            <w:pPr>
              <w:spacing w:after="0" w:line="240" w:lineRule="auto"/>
            </w:pPr>
            <w:r>
              <w:rPr>
                <w:sz w:val="14"/>
              </w:rPr>
              <w:t>Retrospective self-report, voluntary participation and one national incident; patient outcomes were not quantitatively estimated.</w:t>
            </w:r>
          </w:p>
        </w:tc>
      </w:tr>
      <w:tr w:rsidR="0024466E" w14:paraId="2AD0DA45" w14:textId="77777777">
        <w:trPr>
          <w:cantSplit/>
          <w:jc w:val="center"/>
        </w:trPr>
        <w:tc>
          <w:tcPr>
            <w:tcW w:w="1512" w:type="dxa"/>
            <w:tcMar>
              <w:top w:w="70" w:type="dxa"/>
              <w:left w:w="80" w:type="dxa"/>
              <w:bottom w:w="70" w:type="dxa"/>
              <w:right w:w="80" w:type="dxa"/>
            </w:tcMar>
            <w:vAlign w:val="center"/>
          </w:tcPr>
          <w:p w14:paraId="39BF9104" w14:textId="77777777" w:rsidR="0024466E" w:rsidRDefault="00000000">
            <w:pPr>
              <w:spacing w:after="0" w:line="240" w:lineRule="auto"/>
            </w:pPr>
            <w:r>
              <w:rPr>
                <w:sz w:val="14"/>
              </w:rPr>
              <w:t>Nepal et al. (2024)</w:t>
            </w:r>
          </w:p>
        </w:tc>
        <w:tc>
          <w:tcPr>
            <w:tcW w:w="2232" w:type="dxa"/>
            <w:tcMar>
              <w:top w:w="70" w:type="dxa"/>
              <w:left w:w="80" w:type="dxa"/>
              <w:bottom w:w="70" w:type="dxa"/>
              <w:right w:w="80" w:type="dxa"/>
            </w:tcMar>
            <w:vAlign w:val="center"/>
          </w:tcPr>
          <w:p w14:paraId="052B1AD4" w14:textId="77777777" w:rsidR="0024466E" w:rsidRDefault="00000000">
            <w:pPr>
              <w:spacing w:after="0" w:line="240" w:lineRule="auto"/>
            </w:pPr>
            <w:r>
              <w:rPr>
                <w:sz w:val="14"/>
              </w:rPr>
              <w:t>United States; Cybersecurity incident responders</w:t>
            </w:r>
          </w:p>
        </w:tc>
        <w:tc>
          <w:tcPr>
            <w:tcW w:w="2520" w:type="dxa"/>
            <w:tcMar>
              <w:top w:w="70" w:type="dxa"/>
              <w:left w:w="80" w:type="dxa"/>
              <w:bottom w:w="70" w:type="dxa"/>
              <w:right w:w="80" w:type="dxa"/>
            </w:tcMar>
            <w:vAlign w:val="center"/>
          </w:tcPr>
          <w:p w14:paraId="61B0D85B" w14:textId="77777777" w:rsidR="0024466E" w:rsidRDefault="00000000">
            <w:pPr>
              <w:spacing w:after="0" w:line="240" w:lineRule="auto"/>
            </w:pPr>
            <w:r>
              <w:rPr>
                <w:sz w:val="14"/>
              </w:rPr>
              <w:t>Mixed-methods cross-sectional study with digital-activity data; 35 responders; 19 classified as experiencing burnout</w:t>
            </w:r>
          </w:p>
        </w:tc>
        <w:tc>
          <w:tcPr>
            <w:tcW w:w="2088" w:type="dxa"/>
            <w:tcMar>
              <w:top w:w="70" w:type="dxa"/>
              <w:left w:w="80" w:type="dxa"/>
              <w:bottom w:w="70" w:type="dxa"/>
              <w:right w:w="80" w:type="dxa"/>
            </w:tcMar>
            <w:vAlign w:val="center"/>
          </w:tcPr>
          <w:p w14:paraId="586914BE" w14:textId="77777777" w:rsidR="0024466E" w:rsidRDefault="00000000">
            <w:pPr>
              <w:spacing w:after="0" w:line="240" w:lineRule="auto"/>
            </w:pPr>
            <w:r>
              <w:rPr>
                <w:sz w:val="14"/>
              </w:rPr>
              <w:t>Burnout, workload, control, teamwork, recognition and digital work patterns</w:t>
            </w:r>
          </w:p>
        </w:tc>
        <w:tc>
          <w:tcPr>
            <w:tcW w:w="4968" w:type="dxa"/>
            <w:tcMar>
              <w:top w:w="70" w:type="dxa"/>
              <w:left w:w="80" w:type="dxa"/>
              <w:bottom w:w="70" w:type="dxa"/>
              <w:right w:w="80" w:type="dxa"/>
            </w:tcMar>
            <w:vAlign w:val="center"/>
          </w:tcPr>
          <w:p w14:paraId="524D9643" w14:textId="77777777" w:rsidR="0024466E" w:rsidRDefault="00000000">
            <w:pPr>
              <w:spacing w:after="0" w:line="240" w:lineRule="auto"/>
            </w:pPr>
            <w:r>
              <w:rPr>
                <w:sz w:val="14"/>
              </w:rPr>
              <w:t>Burnout was associated with high workload and time pressure, limited control, weak teamwork and inadequate recognition. Burned-out responders more often worked beyond 40 hours, reported poorer sleep and showed more email, meeting and after-hours activity.</w:t>
            </w:r>
          </w:p>
        </w:tc>
        <w:tc>
          <w:tcPr>
            <w:tcW w:w="2232" w:type="dxa"/>
            <w:tcMar>
              <w:top w:w="70" w:type="dxa"/>
              <w:left w:w="80" w:type="dxa"/>
              <w:bottom w:w="70" w:type="dxa"/>
              <w:right w:w="80" w:type="dxa"/>
            </w:tcMar>
            <w:vAlign w:val="center"/>
          </w:tcPr>
          <w:p w14:paraId="058A6EFF" w14:textId="77777777" w:rsidR="0024466E" w:rsidRDefault="00000000">
            <w:pPr>
              <w:spacing w:after="0" w:line="240" w:lineRule="auto"/>
            </w:pPr>
            <w:r>
              <w:rPr>
                <w:sz w:val="14"/>
              </w:rPr>
              <w:t>Small convenience sample, cross-sectional associations and potential measurement reactivity; causality cannot be inferred.</w:t>
            </w:r>
          </w:p>
        </w:tc>
      </w:tr>
      <w:tr w:rsidR="0024466E" w14:paraId="153B3CAD" w14:textId="77777777">
        <w:trPr>
          <w:cantSplit/>
          <w:jc w:val="center"/>
        </w:trPr>
        <w:tc>
          <w:tcPr>
            <w:tcW w:w="1512" w:type="dxa"/>
            <w:tcMar>
              <w:top w:w="70" w:type="dxa"/>
              <w:left w:w="80" w:type="dxa"/>
              <w:bottom w:w="70" w:type="dxa"/>
              <w:right w:w="80" w:type="dxa"/>
            </w:tcMar>
            <w:vAlign w:val="center"/>
          </w:tcPr>
          <w:p w14:paraId="2952544C" w14:textId="77777777" w:rsidR="0024466E" w:rsidRDefault="00000000">
            <w:pPr>
              <w:spacing w:after="0" w:line="240" w:lineRule="auto"/>
            </w:pPr>
            <w:r>
              <w:rPr>
                <w:sz w:val="14"/>
              </w:rPr>
              <w:t>Steffensen and Gnanasekaran (2024)</w:t>
            </w:r>
          </w:p>
        </w:tc>
        <w:tc>
          <w:tcPr>
            <w:tcW w:w="2232" w:type="dxa"/>
            <w:tcMar>
              <w:top w:w="70" w:type="dxa"/>
              <w:left w:w="80" w:type="dxa"/>
              <w:bottom w:w="70" w:type="dxa"/>
              <w:right w:w="80" w:type="dxa"/>
            </w:tcMar>
            <w:vAlign w:val="center"/>
          </w:tcPr>
          <w:p w14:paraId="5678A92C" w14:textId="77777777" w:rsidR="0024466E" w:rsidRDefault="00000000">
            <w:pPr>
              <w:spacing w:after="0" w:line="240" w:lineRule="auto"/>
            </w:pPr>
            <w:r>
              <w:rPr>
                <w:sz w:val="14"/>
              </w:rPr>
              <w:t>Norway; Sector CSIRT and municipalities</w:t>
            </w:r>
          </w:p>
        </w:tc>
        <w:tc>
          <w:tcPr>
            <w:tcW w:w="2520" w:type="dxa"/>
            <w:tcMar>
              <w:top w:w="70" w:type="dxa"/>
              <w:left w:w="80" w:type="dxa"/>
              <w:bottom w:w="70" w:type="dxa"/>
              <w:right w:w="80" w:type="dxa"/>
            </w:tcMar>
            <w:vAlign w:val="center"/>
          </w:tcPr>
          <w:p w14:paraId="6DFED459" w14:textId="77777777" w:rsidR="0024466E" w:rsidRDefault="00000000">
            <w:pPr>
              <w:spacing w:after="0" w:line="240" w:lineRule="auto"/>
            </w:pPr>
            <w:r>
              <w:rPr>
                <w:sz w:val="14"/>
              </w:rPr>
              <w:t>Qualitative interview study; 10 interviews with 11 participants</w:t>
            </w:r>
          </w:p>
        </w:tc>
        <w:tc>
          <w:tcPr>
            <w:tcW w:w="2088" w:type="dxa"/>
            <w:tcMar>
              <w:top w:w="70" w:type="dxa"/>
              <w:left w:w="80" w:type="dxa"/>
              <w:bottom w:w="70" w:type="dxa"/>
              <w:right w:w="80" w:type="dxa"/>
            </w:tcMar>
            <w:vAlign w:val="center"/>
          </w:tcPr>
          <w:p w14:paraId="64255297" w14:textId="77777777" w:rsidR="0024466E" w:rsidRDefault="00000000">
            <w:pPr>
              <w:spacing w:after="0" w:line="240" w:lineRule="auto"/>
            </w:pPr>
            <w:r>
              <w:rPr>
                <w:sz w:val="14"/>
              </w:rPr>
              <w:t>Information sharing between a sector CSIRT and member organisations</w:t>
            </w:r>
          </w:p>
        </w:tc>
        <w:tc>
          <w:tcPr>
            <w:tcW w:w="4968" w:type="dxa"/>
            <w:tcMar>
              <w:top w:w="70" w:type="dxa"/>
              <w:left w:w="80" w:type="dxa"/>
              <w:bottom w:w="70" w:type="dxa"/>
              <w:right w:w="80" w:type="dxa"/>
            </w:tcMar>
            <w:vAlign w:val="center"/>
          </w:tcPr>
          <w:p w14:paraId="06DE593B" w14:textId="77777777" w:rsidR="0024466E" w:rsidRDefault="00000000">
            <w:pPr>
              <w:spacing w:after="0" w:line="240" w:lineRule="auto"/>
            </w:pPr>
            <w:r>
              <w:rPr>
                <w:sz w:val="14"/>
              </w:rPr>
              <w:t>Municipality size, resources, geography and limited personal networks constrained information sharing. Ad hoc channels could accelerate exchange, but durable formal access and trusted relationships remained important.</w:t>
            </w:r>
          </w:p>
        </w:tc>
        <w:tc>
          <w:tcPr>
            <w:tcW w:w="2232" w:type="dxa"/>
            <w:tcMar>
              <w:top w:w="70" w:type="dxa"/>
              <w:left w:w="80" w:type="dxa"/>
              <w:bottom w:w="70" w:type="dxa"/>
              <w:right w:w="80" w:type="dxa"/>
            </w:tcMar>
            <w:vAlign w:val="center"/>
          </w:tcPr>
          <w:p w14:paraId="1B11CEE7" w14:textId="77777777" w:rsidR="0024466E" w:rsidRDefault="00000000">
            <w:pPr>
              <w:spacing w:after="0" w:line="240" w:lineRule="auto"/>
            </w:pPr>
            <w:r>
              <w:rPr>
                <w:sz w:val="14"/>
              </w:rPr>
              <w:t>Small Norwegian sector sample and limited reporting of analytic reflexivity.</w:t>
            </w:r>
          </w:p>
        </w:tc>
      </w:tr>
      <w:tr w:rsidR="0024466E" w14:paraId="7DD669D9" w14:textId="77777777">
        <w:trPr>
          <w:cantSplit/>
          <w:jc w:val="center"/>
        </w:trPr>
        <w:tc>
          <w:tcPr>
            <w:tcW w:w="1512" w:type="dxa"/>
            <w:tcMar>
              <w:top w:w="70" w:type="dxa"/>
              <w:left w:w="80" w:type="dxa"/>
              <w:bottom w:w="70" w:type="dxa"/>
              <w:right w:w="80" w:type="dxa"/>
            </w:tcMar>
            <w:vAlign w:val="center"/>
          </w:tcPr>
          <w:p w14:paraId="1C937AA3" w14:textId="77777777" w:rsidR="0024466E" w:rsidRDefault="00000000">
            <w:pPr>
              <w:spacing w:after="0" w:line="240" w:lineRule="auto"/>
            </w:pPr>
            <w:r>
              <w:rPr>
                <w:sz w:val="14"/>
              </w:rPr>
              <w:lastRenderedPageBreak/>
              <w:t>Ryan (2025)</w:t>
            </w:r>
          </w:p>
        </w:tc>
        <w:tc>
          <w:tcPr>
            <w:tcW w:w="2232" w:type="dxa"/>
            <w:tcMar>
              <w:top w:w="70" w:type="dxa"/>
              <w:left w:w="80" w:type="dxa"/>
              <w:bottom w:w="70" w:type="dxa"/>
              <w:right w:w="80" w:type="dxa"/>
            </w:tcMar>
            <w:vAlign w:val="center"/>
          </w:tcPr>
          <w:p w14:paraId="60D4851F" w14:textId="77777777" w:rsidR="0024466E" w:rsidRDefault="00000000">
            <w:pPr>
              <w:spacing w:after="0" w:line="240" w:lineRule="auto"/>
            </w:pPr>
            <w:r>
              <w:rPr>
                <w:sz w:val="14"/>
              </w:rPr>
              <w:t>United States; Cybersecurity professionals involved with SolarWinds or Log4Shell response</w:t>
            </w:r>
          </w:p>
        </w:tc>
        <w:tc>
          <w:tcPr>
            <w:tcW w:w="2520" w:type="dxa"/>
            <w:tcMar>
              <w:top w:w="70" w:type="dxa"/>
              <w:left w:w="80" w:type="dxa"/>
              <w:bottom w:w="70" w:type="dxa"/>
              <w:right w:w="80" w:type="dxa"/>
            </w:tcMar>
            <w:vAlign w:val="center"/>
          </w:tcPr>
          <w:p w14:paraId="5403E228" w14:textId="77777777" w:rsidR="0024466E" w:rsidRDefault="00000000">
            <w:pPr>
              <w:spacing w:after="0" w:line="240" w:lineRule="auto"/>
            </w:pPr>
            <w:r>
              <w:rPr>
                <w:sz w:val="14"/>
              </w:rPr>
              <w:t>Sequential explanatory mixed-methods dissertation; Survey n=31; interviews n=10</w:t>
            </w:r>
          </w:p>
        </w:tc>
        <w:tc>
          <w:tcPr>
            <w:tcW w:w="2088" w:type="dxa"/>
            <w:tcMar>
              <w:top w:w="70" w:type="dxa"/>
              <w:left w:w="80" w:type="dxa"/>
              <w:bottom w:w="70" w:type="dxa"/>
              <w:right w:w="80" w:type="dxa"/>
            </w:tcMar>
            <w:vAlign w:val="center"/>
          </w:tcPr>
          <w:p w14:paraId="340807F3" w14:textId="77777777" w:rsidR="0024466E" w:rsidRDefault="00000000">
            <w:pPr>
              <w:spacing w:after="0" w:line="240" w:lineRule="auto"/>
            </w:pPr>
            <w:r>
              <w:rPr>
                <w:sz w:val="14"/>
              </w:rPr>
              <w:t>Role-contingent sensemaking and learning across two major incidents</w:t>
            </w:r>
          </w:p>
        </w:tc>
        <w:tc>
          <w:tcPr>
            <w:tcW w:w="4968" w:type="dxa"/>
            <w:tcMar>
              <w:top w:w="70" w:type="dxa"/>
              <w:left w:w="80" w:type="dxa"/>
              <w:bottom w:w="70" w:type="dxa"/>
              <w:right w:w="80" w:type="dxa"/>
            </w:tcMar>
            <w:vAlign w:val="center"/>
          </w:tcPr>
          <w:p w14:paraId="3325D2F0" w14:textId="77777777" w:rsidR="0024466E" w:rsidRDefault="00000000">
            <w:pPr>
              <w:spacing w:after="0" w:line="240" w:lineRule="auto"/>
            </w:pPr>
            <w:r>
              <w:rPr>
                <w:sz w:val="14"/>
              </w:rPr>
              <w:t>Technical staff and executives constructed materially different accounts of the same events. Alignment emerged most clearly around implemented artefacts such as threat-hunting teams and web-application-firewall deployments rather than around abstract agreement.</w:t>
            </w:r>
          </w:p>
        </w:tc>
        <w:tc>
          <w:tcPr>
            <w:tcW w:w="2232" w:type="dxa"/>
            <w:tcMar>
              <w:top w:w="70" w:type="dxa"/>
              <w:left w:w="80" w:type="dxa"/>
              <w:bottom w:w="70" w:type="dxa"/>
              <w:right w:w="80" w:type="dxa"/>
            </w:tcMar>
            <w:vAlign w:val="center"/>
          </w:tcPr>
          <w:p w14:paraId="4D1A1CF9" w14:textId="77777777" w:rsidR="0024466E" w:rsidRDefault="00000000">
            <w:pPr>
              <w:spacing w:after="0" w:line="240" w:lineRule="auto"/>
            </w:pPr>
            <w:r>
              <w:rPr>
                <w:sz w:val="14"/>
              </w:rPr>
              <w:t>Small self-selected dissertation sample and retrospective accounts; subgroup estimates were imprecise.</w:t>
            </w:r>
          </w:p>
        </w:tc>
      </w:tr>
      <w:tr w:rsidR="0024466E" w14:paraId="72884579" w14:textId="77777777">
        <w:trPr>
          <w:cantSplit/>
          <w:jc w:val="center"/>
        </w:trPr>
        <w:tc>
          <w:tcPr>
            <w:tcW w:w="1512" w:type="dxa"/>
            <w:tcMar>
              <w:top w:w="70" w:type="dxa"/>
              <w:left w:w="80" w:type="dxa"/>
              <w:bottom w:w="70" w:type="dxa"/>
              <w:right w:w="80" w:type="dxa"/>
            </w:tcMar>
            <w:vAlign w:val="center"/>
          </w:tcPr>
          <w:p w14:paraId="25A7B187" w14:textId="77777777" w:rsidR="0024466E" w:rsidRDefault="00000000">
            <w:pPr>
              <w:spacing w:after="0" w:line="240" w:lineRule="auto"/>
            </w:pPr>
            <w:r>
              <w:rPr>
                <w:sz w:val="14"/>
              </w:rPr>
              <w:t>Andreasson et al. (2025)</w:t>
            </w:r>
          </w:p>
        </w:tc>
        <w:tc>
          <w:tcPr>
            <w:tcW w:w="2232" w:type="dxa"/>
            <w:tcMar>
              <w:top w:w="70" w:type="dxa"/>
              <w:left w:w="80" w:type="dxa"/>
              <w:bottom w:w="70" w:type="dxa"/>
              <w:right w:w="80" w:type="dxa"/>
            </w:tcMar>
            <w:vAlign w:val="center"/>
          </w:tcPr>
          <w:p w14:paraId="2D526016" w14:textId="77777777" w:rsidR="0024466E" w:rsidRDefault="00000000">
            <w:pPr>
              <w:spacing w:after="0" w:line="240" w:lineRule="auto"/>
            </w:pPr>
            <w:r>
              <w:rPr>
                <w:sz w:val="14"/>
              </w:rPr>
              <w:t>Sweden; Large complex public-sector organisation during Log4Shell response</w:t>
            </w:r>
          </w:p>
        </w:tc>
        <w:tc>
          <w:tcPr>
            <w:tcW w:w="2520" w:type="dxa"/>
            <w:tcMar>
              <w:top w:w="70" w:type="dxa"/>
              <w:left w:w="80" w:type="dxa"/>
              <w:bottom w:w="70" w:type="dxa"/>
              <w:right w:w="80" w:type="dxa"/>
            </w:tcMar>
            <w:vAlign w:val="center"/>
          </w:tcPr>
          <w:p w14:paraId="4C3CEFE0" w14:textId="77777777" w:rsidR="0024466E" w:rsidRDefault="00000000">
            <w:pPr>
              <w:spacing w:after="0" w:line="240" w:lineRule="auto"/>
            </w:pPr>
            <w:r>
              <w:rPr>
                <w:sz w:val="14"/>
              </w:rPr>
              <w:t>Qualitative case study; 10 semi-structured interviews plus internal documents</w:t>
            </w:r>
          </w:p>
        </w:tc>
        <w:tc>
          <w:tcPr>
            <w:tcW w:w="2088" w:type="dxa"/>
            <w:tcMar>
              <w:top w:w="70" w:type="dxa"/>
              <w:left w:w="80" w:type="dxa"/>
              <w:bottom w:w="70" w:type="dxa"/>
              <w:right w:w="80" w:type="dxa"/>
            </w:tcMar>
            <w:vAlign w:val="center"/>
          </w:tcPr>
          <w:p w14:paraId="58CB53F1" w14:textId="77777777" w:rsidR="0024466E" w:rsidRDefault="00000000">
            <w:pPr>
              <w:spacing w:after="0" w:line="240" w:lineRule="auto"/>
            </w:pPr>
            <w:r>
              <w:rPr>
                <w:sz w:val="14"/>
              </w:rPr>
              <w:t>Organisation-wide situation awareness during an emerging threat</w:t>
            </w:r>
          </w:p>
        </w:tc>
        <w:tc>
          <w:tcPr>
            <w:tcW w:w="4968" w:type="dxa"/>
            <w:tcMar>
              <w:top w:w="70" w:type="dxa"/>
              <w:left w:w="80" w:type="dxa"/>
              <w:bottom w:w="70" w:type="dxa"/>
              <w:right w:w="80" w:type="dxa"/>
            </w:tcMar>
            <w:vAlign w:val="center"/>
          </w:tcPr>
          <w:p w14:paraId="0B603027" w14:textId="77777777" w:rsidR="0024466E" w:rsidRDefault="00000000">
            <w:pPr>
              <w:spacing w:after="0" w:line="240" w:lineRule="auto"/>
            </w:pPr>
            <w:r>
              <w:rPr>
                <w:sz w:val="14"/>
              </w:rPr>
              <w:t>The organisation lacked a common operational picture; information was delayed, sometimes inaccurate and often one-way. Local expertise did not reliably translate into organisation-wide prioritisation and coordinated action.</w:t>
            </w:r>
          </w:p>
        </w:tc>
        <w:tc>
          <w:tcPr>
            <w:tcW w:w="2232" w:type="dxa"/>
            <w:tcMar>
              <w:top w:w="70" w:type="dxa"/>
              <w:left w:w="80" w:type="dxa"/>
              <w:bottom w:w="70" w:type="dxa"/>
              <w:right w:w="80" w:type="dxa"/>
            </w:tcMar>
            <w:vAlign w:val="center"/>
          </w:tcPr>
          <w:p w14:paraId="0423F55B" w14:textId="77777777" w:rsidR="0024466E" w:rsidRDefault="00000000">
            <w:pPr>
              <w:spacing w:after="0" w:line="240" w:lineRule="auto"/>
            </w:pPr>
            <w:r>
              <w:rPr>
                <w:sz w:val="14"/>
              </w:rPr>
              <w:t>Single organisation and retrospective interviewing; publisher issued a corrected publication, for which the current version was used.</w:t>
            </w:r>
          </w:p>
        </w:tc>
      </w:tr>
      <w:tr w:rsidR="0024466E" w14:paraId="2CE7F274" w14:textId="77777777">
        <w:trPr>
          <w:cantSplit/>
          <w:jc w:val="center"/>
        </w:trPr>
        <w:tc>
          <w:tcPr>
            <w:tcW w:w="1512" w:type="dxa"/>
            <w:tcMar>
              <w:top w:w="70" w:type="dxa"/>
              <w:left w:w="80" w:type="dxa"/>
              <w:bottom w:w="70" w:type="dxa"/>
              <w:right w:w="80" w:type="dxa"/>
            </w:tcMar>
            <w:vAlign w:val="center"/>
          </w:tcPr>
          <w:p w14:paraId="70DE339B" w14:textId="77777777" w:rsidR="0024466E" w:rsidRDefault="00000000">
            <w:pPr>
              <w:spacing w:after="0" w:line="240" w:lineRule="auto"/>
            </w:pPr>
            <w:r>
              <w:rPr>
                <w:sz w:val="14"/>
              </w:rPr>
              <w:t>Woodward (2026)</w:t>
            </w:r>
          </w:p>
        </w:tc>
        <w:tc>
          <w:tcPr>
            <w:tcW w:w="2232" w:type="dxa"/>
            <w:tcMar>
              <w:top w:w="70" w:type="dxa"/>
              <w:left w:w="80" w:type="dxa"/>
              <w:bottom w:w="70" w:type="dxa"/>
              <w:right w:w="80" w:type="dxa"/>
            </w:tcMar>
            <w:vAlign w:val="center"/>
          </w:tcPr>
          <w:p w14:paraId="176EBCDE" w14:textId="77777777" w:rsidR="0024466E" w:rsidRDefault="00000000">
            <w:pPr>
              <w:spacing w:after="0" w:line="240" w:lineRule="auto"/>
            </w:pPr>
            <w:r>
              <w:rPr>
                <w:sz w:val="14"/>
              </w:rPr>
              <w:t>United Kingdom; Practitioners and stakeholders from multiple organisations</w:t>
            </w:r>
          </w:p>
        </w:tc>
        <w:tc>
          <w:tcPr>
            <w:tcW w:w="2520" w:type="dxa"/>
            <w:tcMar>
              <w:top w:w="70" w:type="dxa"/>
              <w:left w:w="80" w:type="dxa"/>
              <w:bottom w:w="70" w:type="dxa"/>
              <w:right w:w="80" w:type="dxa"/>
            </w:tcMar>
            <w:vAlign w:val="center"/>
          </w:tcPr>
          <w:p w14:paraId="0E50585C" w14:textId="77777777" w:rsidR="0024466E" w:rsidRDefault="00000000">
            <w:pPr>
              <w:spacing w:after="0" w:line="240" w:lineRule="auto"/>
            </w:pPr>
            <w:r>
              <w:rPr>
                <w:sz w:val="14"/>
              </w:rPr>
              <w:t>Multi-study qualitative systemic-design thesis; Study 1: workshop across 4 organisations; Study 2: 7 interviews; Study 3: 15 guided interviews</w:t>
            </w:r>
          </w:p>
        </w:tc>
        <w:tc>
          <w:tcPr>
            <w:tcW w:w="2088" w:type="dxa"/>
            <w:tcMar>
              <w:top w:w="70" w:type="dxa"/>
              <w:left w:w="80" w:type="dxa"/>
              <w:bottom w:w="70" w:type="dxa"/>
              <w:right w:w="80" w:type="dxa"/>
            </w:tcMar>
            <w:vAlign w:val="center"/>
          </w:tcPr>
          <w:p w14:paraId="3B5A6E61" w14:textId="77777777" w:rsidR="0024466E" w:rsidRDefault="00000000">
            <w:pPr>
              <w:spacing w:after="0" w:line="240" w:lineRule="auto"/>
            </w:pPr>
            <w:r>
              <w:rPr>
                <w:sz w:val="14"/>
              </w:rPr>
              <w:t>Definitions, measurement and systemic determinants of incident-response effectiveness</w:t>
            </w:r>
          </w:p>
        </w:tc>
        <w:tc>
          <w:tcPr>
            <w:tcW w:w="4968" w:type="dxa"/>
            <w:tcMar>
              <w:top w:w="70" w:type="dxa"/>
              <w:left w:w="80" w:type="dxa"/>
              <w:bottom w:w="70" w:type="dxa"/>
              <w:right w:w="80" w:type="dxa"/>
            </w:tcMar>
            <w:vAlign w:val="center"/>
          </w:tcPr>
          <w:p w14:paraId="1749587B" w14:textId="77777777" w:rsidR="0024466E" w:rsidRDefault="00000000">
            <w:pPr>
              <w:spacing w:after="0" w:line="240" w:lineRule="auto"/>
            </w:pPr>
            <w:r>
              <w:rPr>
                <w:sz w:val="14"/>
              </w:rPr>
              <w:t>There was no standard definition or measurement of incident-response effectiveness. Performance emerged from interdependencies among people, processes, tools, technologies and environments; local optimisation could impair the whole response system.</w:t>
            </w:r>
          </w:p>
        </w:tc>
        <w:tc>
          <w:tcPr>
            <w:tcW w:w="2232" w:type="dxa"/>
            <w:tcMar>
              <w:top w:w="70" w:type="dxa"/>
              <w:left w:w="80" w:type="dxa"/>
              <w:bottom w:w="70" w:type="dxa"/>
              <w:right w:w="80" w:type="dxa"/>
            </w:tcMar>
            <w:vAlign w:val="center"/>
          </w:tcPr>
          <w:p w14:paraId="73D426F8" w14:textId="77777777" w:rsidR="0024466E" w:rsidRDefault="00000000">
            <w:pPr>
              <w:spacing w:after="0" w:line="240" w:lineRule="auto"/>
            </w:pPr>
            <w:r>
              <w:rPr>
                <w:sz w:val="14"/>
              </w:rPr>
              <w:t>Thesis-based qualitative programme, largely UK context, and no objective comparative effect estimates.</w:t>
            </w:r>
          </w:p>
        </w:tc>
      </w:tr>
      <w:tr w:rsidR="0024466E" w14:paraId="10371FBD" w14:textId="77777777">
        <w:trPr>
          <w:cantSplit/>
          <w:jc w:val="center"/>
        </w:trPr>
        <w:tc>
          <w:tcPr>
            <w:tcW w:w="1512" w:type="dxa"/>
            <w:tcMar>
              <w:top w:w="70" w:type="dxa"/>
              <w:left w:w="80" w:type="dxa"/>
              <w:bottom w:w="70" w:type="dxa"/>
              <w:right w:w="80" w:type="dxa"/>
            </w:tcMar>
            <w:vAlign w:val="center"/>
          </w:tcPr>
          <w:p w14:paraId="594D1771" w14:textId="77777777" w:rsidR="0024466E" w:rsidRDefault="00000000">
            <w:pPr>
              <w:spacing w:after="0" w:line="240" w:lineRule="auto"/>
            </w:pPr>
            <w:r>
              <w:rPr>
                <w:sz w:val="14"/>
              </w:rPr>
              <w:t>Falowo and Bou Abdo (2026)</w:t>
            </w:r>
          </w:p>
        </w:tc>
        <w:tc>
          <w:tcPr>
            <w:tcW w:w="2232" w:type="dxa"/>
            <w:tcMar>
              <w:top w:w="70" w:type="dxa"/>
              <w:left w:w="80" w:type="dxa"/>
              <w:bottom w:w="70" w:type="dxa"/>
              <w:right w:w="80" w:type="dxa"/>
            </w:tcMar>
            <w:vAlign w:val="center"/>
          </w:tcPr>
          <w:p w14:paraId="7D8938F1" w14:textId="77777777" w:rsidR="0024466E" w:rsidRDefault="00000000">
            <w:pPr>
              <w:spacing w:after="0" w:line="240" w:lineRule="auto"/>
            </w:pPr>
            <w:r>
              <w:rPr>
                <w:sz w:val="14"/>
              </w:rPr>
              <w:t>United States; Cybersecurity professionals</w:t>
            </w:r>
          </w:p>
        </w:tc>
        <w:tc>
          <w:tcPr>
            <w:tcW w:w="2520" w:type="dxa"/>
            <w:tcMar>
              <w:top w:w="70" w:type="dxa"/>
              <w:left w:w="80" w:type="dxa"/>
              <w:bottom w:w="70" w:type="dxa"/>
              <w:right w:w="80" w:type="dxa"/>
            </w:tcMar>
            <w:vAlign w:val="center"/>
          </w:tcPr>
          <w:p w14:paraId="145A6F2A" w14:textId="77777777" w:rsidR="0024466E" w:rsidRDefault="00000000">
            <w:pPr>
              <w:spacing w:after="0" w:line="240" w:lineRule="auto"/>
            </w:pPr>
            <w:r>
              <w:rPr>
                <w:sz w:val="14"/>
              </w:rPr>
              <w:t>Cross-sectional structured survey; 194 respondents</w:t>
            </w:r>
          </w:p>
        </w:tc>
        <w:tc>
          <w:tcPr>
            <w:tcW w:w="2088" w:type="dxa"/>
            <w:tcMar>
              <w:top w:w="70" w:type="dxa"/>
              <w:left w:w="80" w:type="dxa"/>
              <w:bottom w:w="70" w:type="dxa"/>
              <w:right w:w="80" w:type="dxa"/>
            </w:tcMar>
            <w:vAlign w:val="center"/>
          </w:tcPr>
          <w:p w14:paraId="6C674A3D" w14:textId="77777777" w:rsidR="0024466E" w:rsidRPr="0027531E" w:rsidRDefault="00000000">
            <w:pPr>
              <w:spacing w:after="0" w:line="240" w:lineRule="auto"/>
            </w:pPr>
            <w:r w:rsidRPr="0027531E">
              <w:rPr>
                <w:sz w:val="14"/>
              </w:rPr>
              <w:t>Perceived automation benefit, trust in artificial intelligence and framework readiness</w:t>
            </w:r>
          </w:p>
        </w:tc>
        <w:tc>
          <w:tcPr>
            <w:tcW w:w="4968" w:type="dxa"/>
            <w:tcMar>
              <w:top w:w="70" w:type="dxa"/>
              <w:left w:w="80" w:type="dxa"/>
              <w:bottom w:w="70" w:type="dxa"/>
              <w:right w:w="80" w:type="dxa"/>
            </w:tcMar>
            <w:vAlign w:val="center"/>
          </w:tcPr>
          <w:p w14:paraId="5197F7E7" w14:textId="77777777" w:rsidR="0024466E" w:rsidRPr="0027531E" w:rsidRDefault="00000000">
            <w:pPr>
              <w:spacing w:after="0" w:line="240" w:lineRule="auto"/>
            </w:pPr>
            <w:r w:rsidRPr="0027531E">
              <w:rPr>
                <w:sz w:val="14"/>
              </w:rPr>
              <w:t>Ninety-two per cent reported that automation reduced mean time to detect or respond, but only 13% trusted artificial-intelligence decisions without human intervention. Eighty-four per cent reported integration of agentic artificial intelligence. These were practitioner perceptions rather than independently verified operational measures.</w:t>
            </w:r>
          </w:p>
        </w:tc>
        <w:tc>
          <w:tcPr>
            <w:tcW w:w="2232" w:type="dxa"/>
            <w:tcMar>
              <w:top w:w="70" w:type="dxa"/>
              <w:left w:w="80" w:type="dxa"/>
              <w:bottom w:w="70" w:type="dxa"/>
              <w:right w:w="80" w:type="dxa"/>
            </w:tcMar>
            <w:vAlign w:val="center"/>
          </w:tcPr>
          <w:p w14:paraId="4E0E2891" w14:textId="77777777" w:rsidR="0024466E" w:rsidRDefault="00000000">
            <w:pPr>
              <w:spacing w:after="0" w:line="240" w:lineRule="auto"/>
            </w:pPr>
            <w:r>
              <w:rPr>
                <w:sz w:val="14"/>
              </w:rPr>
              <w:t>Self-reported binary-response survey, unclear sampling frame and no objective baseline or comparator.</w:t>
            </w:r>
          </w:p>
        </w:tc>
      </w:tr>
    </w:tbl>
    <w:p w14:paraId="2DC96011" w14:textId="77777777" w:rsidR="0024466E" w:rsidRDefault="00000000">
      <w:pPr>
        <w:pStyle w:val="TableNote"/>
      </w:pPr>
      <w:r>
        <w:t>"Not reported" is used where the accessible source did not provide a denominator or study-level item. Report and study identifiers are provided in the evidence ledger.</w:t>
      </w:r>
    </w:p>
    <w:p w14:paraId="21772DD1" w14:textId="77777777" w:rsidR="0024466E" w:rsidRDefault="0024466E">
      <w:pPr>
        <w:sectPr w:rsidR="0024466E">
          <w:headerReference w:type="even" r:id="rId15"/>
          <w:headerReference w:type="default" r:id="rId16"/>
          <w:footerReference w:type="default" r:id="rId17"/>
          <w:headerReference w:type="first" r:id="rId18"/>
          <w:pgSz w:w="16838" w:h="11906" w:orient="landscape"/>
          <w:pgMar w:top="964" w:right="850" w:bottom="850" w:left="850" w:header="397" w:footer="397" w:gutter="0"/>
          <w:cols w:space="720"/>
          <w:docGrid w:linePitch="360"/>
        </w:sectPr>
      </w:pPr>
    </w:p>
    <w:p w14:paraId="742562E5" w14:textId="77777777" w:rsidR="0024466E" w:rsidRDefault="00000000">
      <w:r>
        <w:lastRenderedPageBreak/>
        <w:t>The evidence base was geographically concentrated in North America and Europe, with international survey samples supplying some broader representation. Incident types included routine security alerts, organisational incident portfolios, the Log4Shell and SolarWinds crises, attacks on patient monitoring, a national health-service cyber-attack and realistic tabletop scenarios. Only a minority of studies measured observable operational behaviour or linked organisational conditions to a timed response outcome. Most examined experiences, perceived needs, practices, barriers or organisational learning.</w:t>
      </w:r>
    </w:p>
    <w:p w14:paraId="594FDF54" w14:textId="77777777" w:rsidR="0024466E" w:rsidRDefault="00000000">
      <w:pPr>
        <w:pStyle w:val="Heading2"/>
      </w:pPr>
      <w:r>
        <w:t>3.3 Methodological appraisal</w:t>
      </w:r>
    </w:p>
    <w:p w14:paraId="68378855" w14:textId="77777777" w:rsidR="0024466E" w:rsidRDefault="00000000">
      <w:r>
        <w:t>MMAT screening questions were met for all included reports because each posed an empirical question and collected data capable of addressing it. Methodological strength was greatest in the richer multi-source case studies, prolonged field research, the national health-service focus-group study and the sequential mixed-methods dissertation. Recurring concerns were small purposive samples, limited description of recruitment or reflexivity, uncertain saturation, unclear survey sampling frames and non-response, and reliance on retrospective self-report.</w:t>
      </w:r>
    </w:p>
    <w:p w14:paraId="35761785" w14:textId="77777777" w:rsidR="0024466E" w:rsidRDefault="00000000">
      <w:r>
        <w:t>The 2026 automation survey had the largest respondent sample but did not provide an objective operational baseline and used binary self-reported items; representativeness and non-response therefore remained uncertain. The hospital simulation directly observed behaviour, but its small single-site, non-randomised design did not control confounding. These limitations did not negate the observed phenomena, but they restricted estimates of frequency, effect size and transportability.</w:t>
      </w:r>
    </w:p>
    <w:p w14:paraId="0E711FB6" w14:textId="77777777" w:rsidR="0024466E" w:rsidRDefault="00000000">
      <w:r>
        <w:t>Appraisal patterns were more informative at the domain level than as a single label. Table 4 summarises the recurrent strengths and limitations by design family; the report-level MMAT judgements and rationales are supplied in the supplement. This makes clear why coherent qualitative themes can warrant moderate confidence even when no study estimates a causal intervention effect.</w:t>
      </w:r>
    </w:p>
    <w:p w14:paraId="24DA4D27" w14:textId="77777777" w:rsidR="0024466E" w:rsidRDefault="00000000">
      <w:pPr>
        <w:pStyle w:val="TableCaption"/>
      </w:pPr>
      <w:r>
        <w:t>Table 4. MMAT appraisal patterns by design family</w:t>
      </w:r>
    </w:p>
    <w:tbl>
      <w:tblPr>
        <w:tblStyle w:val="TableGrid"/>
        <w:tblW w:w="0" w:type="auto"/>
        <w:jc w:val="center"/>
        <w:tblLayout w:type="fixed"/>
        <w:tblLook w:val="04A0" w:firstRow="1" w:lastRow="0" w:firstColumn="1" w:lastColumn="0" w:noHBand="0" w:noVBand="1"/>
      </w:tblPr>
      <w:tblGrid>
        <w:gridCol w:w="1800"/>
        <w:gridCol w:w="2736"/>
        <w:gridCol w:w="2951"/>
        <w:gridCol w:w="2592"/>
      </w:tblGrid>
      <w:tr w:rsidR="0024466E" w14:paraId="077D700D" w14:textId="77777777">
        <w:trPr>
          <w:tblHeader/>
          <w:jc w:val="center"/>
        </w:trPr>
        <w:tc>
          <w:tcPr>
            <w:tcW w:w="1800" w:type="dxa"/>
            <w:shd w:val="clear" w:color="auto" w:fill="17365D"/>
            <w:tcMar>
              <w:top w:w="100" w:type="dxa"/>
              <w:left w:w="85" w:type="dxa"/>
              <w:bottom w:w="100" w:type="dxa"/>
              <w:right w:w="85" w:type="dxa"/>
            </w:tcMar>
            <w:vAlign w:val="center"/>
          </w:tcPr>
          <w:p w14:paraId="65CEA84F" w14:textId="77777777" w:rsidR="0024466E" w:rsidRDefault="00000000">
            <w:pPr>
              <w:spacing w:after="0"/>
              <w:jc w:val="center"/>
            </w:pPr>
            <w:r>
              <w:rPr>
                <w:rFonts w:ascii="Arial" w:hAnsi="Arial"/>
                <w:b/>
                <w:color w:val="FFFFFF"/>
                <w:sz w:val="16"/>
              </w:rPr>
              <w:t>Design family</w:t>
            </w:r>
          </w:p>
        </w:tc>
        <w:tc>
          <w:tcPr>
            <w:tcW w:w="2736" w:type="dxa"/>
            <w:shd w:val="clear" w:color="auto" w:fill="17365D"/>
            <w:tcMar>
              <w:top w:w="100" w:type="dxa"/>
              <w:left w:w="85" w:type="dxa"/>
              <w:bottom w:w="100" w:type="dxa"/>
              <w:right w:w="85" w:type="dxa"/>
            </w:tcMar>
            <w:vAlign w:val="center"/>
          </w:tcPr>
          <w:p w14:paraId="441BC20E" w14:textId="77777777" w:rsidR="0024466E" w:rsidRDefault="00000000">
            <w:pPr>
              <w:spacing w:after="0"/>
              <w:jc w:val="center"/>
            </w:pPr>
            <w:r>
              <w:rPr>
                <w:rFonts w:ascii="Arial" w:hAnsi="Arial"/>
                <w:b/>
                <w:color w:val="FFFFFF"/>
                <w:sz w:val="16"/>
              </w:rPr>
              <w:t>Recurring strengths</w:t>
            </w:r>
          </w:p>
        </w:tc>
        <w:tc>
          <w:tcPr>
            <w:tcW w:w="2951" w:type="dxa"/>
            <w:shd w:val="clear" w:color="auto" w:fill="17365D"/>
            <w:tcMar>
              <w:top w:w="100" w:type="dxa"/>
              <w:left w:w="85" w:type="dxa"/>
              <w:bottom w:w="100" w:type="dxa"/>
              <w:right w:w="85" w:type="dxa"/>
            </w:tcMar>
            <w:vAlign w:val="center"/>
          </w:tcPr>
          <w:p w14:paraId="77F06761" w14:textId="77777777" w:rsidR="0024466E" w:rsidRDefault="00000000">
            <w:pPr>
              <w:spacing w:after="0"/>
              <w:jc w:val="center"/>
            </w:pPr>
            <w:r>
              <w:rPr>
                <w:rFonts w:ascii="Arial" w:hAnsi="Arial"/>
                <w:b/>
                <w:color w:val="FFFFFF"/>
                <w:sz w:val="16"/>
              </w:rPr>
              <w:t>Recurring limitations</w:t>
            </w:r>
          </w:p>
        </w:tc>
        <w:tc>
          <w:tcPr>
            <w:tcW w:w="2592" w:type="dxa"/>
            <w:shd w:val="clear" w:color="auto" w:fill="17365D"/>
            <w:tcMar>
              <w:top w:w="100" w:type="dxa"/>
              <w:left w:w="85" w:type="dxa"/>
              <w:bottom w:w="100" w:type="dxa"/>
              <w:right w:w="85" w:type="dxa"/>
            </w:tcMar>
            <w:vAlign w:val="center"/>
          </w:tcPr>
          <w:p w14:paraId="5CBADB57" w14:textId="77777777" w:rsidR="0024466E" w:rsidRDefault="00000000">
            <w:pPr>
              <w:spacing w:after="0"/>
              <w:jc w:val="center"/>
            </w:pPr>
            <w:r>
              <w:rPr>
                <w:rFonts w:ascii="Arial" w:hAnsi="Arial"/>
                <w:b/>
                <w:color w:val="FFFFFF"/>
                <w:sz w:val="16"/>
              </w:rPr>
              <w:t>Interpretive consequence</w:t>
            </w:r>
          </w:p>
        </w:tc>
      </w:tr>
      <w:tr w:rsidR="0024466E" w14:paraId="0984AD6F" w14:textId="77777777">
        <w:trPr>
          <w:cantSplit/>
          <w:jc w:val="center"/>
        </w:trPr>
        <w:tc>
          <w:tcPr>
            <w:tcW w:w="1800" w:type="dxa"/>
            <w:tcMar>
              <w:top w:w="90" w:type="dxa"/>
              <w:left w:w="80" w:type="dxa"/>
              <w:bottom w:w="90" w:type="dxa"/>
              <w:right w:w="80" w:type="dxa"/>
            </w:tcMar>
            <w:vAlign w:val="center"/>
          </w:tcPr>
          <w:p w14:paraId="72405539" w14:textId="77777777" w:rsidR="0024466E" w:rsidRDefault="00000000">
            <w:pPr>
              <w:spacing w:after="0" w:line="240" w:lineRule="auto"/>
            </w:pPr>
            <w:r>
              <w:rPr>
                <w:sz w:val="16"/>
              </w:rPr>
              <w:t>Qualitative (20 reports)</w:t>
            </w:r>
          </w:p>
        </w:tc>
        <w:tc>
          <w:tcPr>
            <w:tcW w:w="2736" w:type="dxa"/>
            <w:tcMar>
              <w:top w:w="90" w:type="dxa"/>
              <w:left w:w="80" w:type="dxa"/>
              <w:bottom w:w="90" w:type="dxa"/>
              <w:right w:w="80" w:type="dxa"/>
            </w:tcMar>
            <w:vAlign w:val="center"/>
          </w:tcPr>
          <w:p w14:paraId="291255E2" w14:textId="77777777" w:rsidR="0024466E" w:rsidRDefault="00000000">
            <w:pPr>
              <w:spacing w:after="0" w:line="240" w:lineRule="auto"/>
            </w:pPr>
            <w:r>
              <w:rPr>
                <w:sz w:val="16"/>
              </w:rPr>
              <w:t>Appropriate case, interview, focus-group or field methods; recurrent triangulation and contextual depth.</w:t>
            </w:r>
          </w:p>
        </w:tc>
        <w:tc>
          <w:tcPr>
            <w:tcW w:w="2951" w:type="dxa"/>
            <w:tcMar>
              <w:top w:w="90" w:type="dxa"/>
              <w:left w:w="80" w:type="dxa"/>
              <w:bottom w:w="90" w:type="dxa"/>
              <w:right w:w="80" w:type="dxa"/>
            </w:tcMar>
            <w:vAlign w:val="center"/>
          </w:tcPr>
          <w:p w14:paraId="3F75816A" w14:textId="77777777" w:rsidR="0024466E" w:rsidRDefault="00000000">
            <w:pPr>
              <w:spacing w:after="0" w:line="240" w:lineRule="auto"/>
            </w:pPr>
            <w:r>
              <w:rPr>
                <w:sz w:val="16"/>
              </w:rPr>
              <w:t>Small purposive samples; incomplete recruitment, reflexivity or saturation reporting; context-specific transferability.</w:t>
            </w:r>
          </w:p>
        </w:tc>
        <w:tc>
          <w:tcPr>
            <w:tcW w:w="2592" w:type="dxa"/>
            <w:tcMar>
              <w:top w:w="90" w:type="dxa"/>
              <w:left w:w="80" w:type="dxa"/>
              <w:bottom w:w="90" w:type="dxa"/>
              <w:right w:w="80" w:type="dxa"/>
            </w:tcMar>
            <w:vAlign w:val="center"/>
          </w:tcPr>
          <w:p w14:paraId="19F28FD5" w14:textId="77777777" w:rsidR="0024466E" w:rsidRDefault="00000000">
            <w:pPr>
              <w:spacing w:after="0" w:line="240" w:lineRule="auto"/>
            </w:pPr>
            <w:r>
              <w:rPr>
                <w:sz w:val="16"/>
              </w:rPr>
              <w:t>Use qualitative convergence to explain mechanisms; do not infer prevalence or causal effect size.</w:t>
            </w:r>
          </w:p>
        </w:tc>
      </w:tr>
      <w:tr w:rsidR="0024466E" w14:paraId="590DFE52" w14:textId="77777777">
        <w:trPr>
          <w:cantSplit/>
          <w:jc w:val="center"/>
        </w:trPr>
        <w:tc>
          <w:tcPr>
            <w:tcW w:w="1800" w:type="dxa"/>
            <w:tcMar>
              <w:top w:w="90" w:type="dxa"/>
              <w:left w:w="80" w:type="dxa"/>
              <w:bottom w:w="90" w:type="dxa"/>
              <w:right w:w="80" w:type="dxa"/>
            </w:tcMar>
            <w:vAlign w:val="center"/>
          </w:tcPr>
          <w:p w14:paraId="41FE20A4" w14:textId="77777777" w:rsidR="0024466E" w:rsidRDefault="00000000">
            <w:pPr>
              <w:spacing w:after="0" w:line="240" w:lineRule="auto"/>
            </w:pPr>
            <w:r>
              <w:rPr>
                <w:sz w:val="16"/>
              </w:rPr>
              <w:t>Quantitative descriptive (2 reports)</w:t>
            </w:r>
          </w:p>
        </w:tc>
        <w:tc>
          <w:tcPr>
            <w:tcW w:w="2736" w:type="dxa"/>
            <w:tcMar>
              <w:top w:w="90" w:type="dxa"/>
              <w:left w:w="80" w:type="dxa"/>
              <w:bottom w:w="90" w:type="dxa"/>
              <w:right w:w="80" w:type="dxa"/>
            </w:tcMar>
            <w:vAlign w:val="center"/>
          </w:tcPr>
          <w:p w14:paraId="4D36F896" w14:textId="77777777" w:rsidR="0024466E" w:rsidRDefault="00000000">
            <w:pPr>
              <w:spacing w:after="0" w:line="240" w:lineRule="auto"/>
            </w:pPr>
            <w:r>
              <w:rPr>
                <w:sz w:val="16"/>
              </w:rPr>
              <w:t>Direct practitioner surveys and explicit descriptive percentages.</w:t>
            </w:r>
          </w:p>
        </w:tc>
        <w:tc>
          <w:tcPr>
            <w:tcW w:w="2951" w:type="dxa"/>
            <w:tcMar>
              <w:top w:w="90" w:type="dxa"/>
              <w:left w:w="80" w:type="dxa"/>
              <w:bottom w:w="90" w:type="dxa"/>
              <w:right w:w="80" w:type="dxa"/>
            </w:tcMar>
            <w:vAlign w:val="center"/>
          </w:tcPr>
          <w:p w14:paraId="50EB777F" w14:textId="77777777" w:rsidR="0024466E" w:rsidRDefault="00000000">
            <w:pPr>
              <w:spacing w:after="0" w:line="240" w:lineRule="auto"/>
            </w:pPr>
            <w:r>
              <w:rPr>
                <w:sz w:val="16"/>
              </w:rPr>
              <w:t>Sampling frame, representativeness and non-response often unclear; self-reported rather than objective outcomes.</w:t>
            </w:r>
          </w:p>
        </w:tc>
        <w:tc>
          <w:tcPr>
            <w:tcW w:w="2592" w:type="dxa"/>
            <w:tcMar>
              <w:top w:w="90" w:type="dxa"/>
              <w:left w:w="80" w:type="dxa"/>
              <w:bottom w:w="90" w:type="dxa"/>
              <w:right w:w="80" w:type="dxa"/>
            </w:tcMar>
            <w:vAlign w:val="center"/>
          </w:tcPr>
          <w:p w14:paraId="74541747" w14:textId="77777777" w:rsidR="0024466E" w:rsidRDefault="00000000">
            <w:pPr>
              <w:spacing w:after="0" w:line="240" w:lineRule="auto"/>
            </w:pPr>
            <w:r>
              <w:rPr>
                <w:sz w:val="16"/>
              </w:rPr>
              <w:t>Treat percentages as study-specific perceptions, not pooled prevalence.</w:t>
            </w:r>
          </w:p>
        </w:tc>
      </w:tr>
      <w:tr w:rsidR="0024466E" w14:paraId="28927F88" w14:textId="77777777">
        <w:trPr>
          <w:cantSplit/>
          <w:jc w:val="center"/>
        </w:trPr>
        <w:tc>
          <w:tcPr>
            <w:tcW w:w="1800" w:type="dxa"/>
            <w:tcMar>
              <w:top w:w="90" w:type="dxa"/>
              <w:left w:w="80" w:type="dxa"/>
              <w:bottom w:w="90" w:type="dxa"/>
              <w:right w:w="80" w:type="dxa"/>
            </w:tcMar>
            <w:vAlign w:val="center"/>
          </w:tcPr>
          <w:p w14:paraId="08E26FA0" w14:textId="77777777" w:rsidR="0024466E" w:rsidRDefault="00000000">
            <w:pPr>
              <w:spacing w:after="0" w:line="240" w:lineRule="auto"/>
            </w:pPr>
            <w:r>
              <w:rPr>
                <w:sz w:val="16"/>
              </w:rPr>
              <w:t>Mixed methods (3 reports)</w:t>
            </w:r>
          </w:p>
        </w:tc>
        <w:tc>
          <w:tcPr>
            <w:tcW w:w="2736" w:type="dxa"/>
            <w:tcMar>
              <w:top w:w="90" w:type="dxa"/>
              <w:left w:w="80" w:type="dxa"/>
              <w:bottom w:w="90" w:type="dxa"/>
              <w:right w:w="80" w:type="dxa"/>
            </w:tcMar>
            <w:vAlign w:val="center"/>
          </w:tcPr>
          <w:p w14:paraId="71E10CD0" w14:textId="77777777" w:rsidR="0024466E" w:rsidRDefault="00000000">
            <w:pPr>
              <w:spacing w:after="0" w:line="240" w:lineRule="auto"/>
            </w:pPr>
            <w:r>
              <w:rPr>
                <w:sz w:val="16"/>
              </w:rPr>
              <w:t>Combination of survey, interview or digital-activity data; explanatory integration in the stronger studies.</w:t>
            </w:r>
          </w:p>
        </w:tc>
        <w:tc>
          <w:tcPr>
            <w:tcW w:w="2951" w:type="dxa"/>
            <w:tcMar>
              <w:top w:w="90" w:type="dxa"/>
              <w:left w:w="80" w:type="dxa"/>
              <w:bottom w:w="90" w:type="dxa"/>
              <w:right w:w="80" w:type="dxa"/>
            </w:tcMar>
            <w:vAlign w:val="center"/>
          </w:tcPr>
          <w:p w14:paraId="61B57089" w14:textId="77777777" w:rsidR="0024466E" w:rsidRDefault="00000000">
            <w:pPr>
              <w:spacing w:after="0" w:line="240" w:lineRule="auto"/>
            </w:pPr>
            <w:r>
              <w:rPr>
                <w:sz w:val="16"/>
              </w:rPr>
              <w:t>Small component samples, cross-sectional designs and uneven component quality.</w:t>
            </w:r>
          </w:p>
        </w:tc>
        <w:tc>
          <w:tcPr>
            <w:tcW w:w="2592" w:type="dxa"/>
            <w:tcMar>
              <w:top w:w="90" w:type="dxa"/>
              <w:left w:w="80" w:type="dxa"/>
              <w:bottom w:w="90" w:type="dxa"/>
              <w:right w:w="80" w:type="dxa"/>
            </w:tcMar>
            <w:vAlign w:val="center"/>
          </w:tcPr>
          <w:p w14:paraId="08AB240B" w14:textId="77777777" w:rsidR="0024466E" w:rsidRDefault="00000000">
            <w:pPr>
              <w:spacing w:after="0" w:line="240" w:lineRule="auto"/>
            </w:pPr>
            <w:r>
              <w:rPr>
                <w:sz w:val="16"/>
              </w:rPr>
              <w:t>Use integration to strengthen mechanism interpretation; avoid causal attribution.</w:t>
            </w:r>
          </w:p>
        </w:tc>
      </w:tr>
      <w:tr w:rsidR="0024466E" w14:paraId="3ED3267A" w14:textId="77777777">
        <w:trPr>
          <w:cantSplit/>
          <w:jc w:val="center"/>
        </w:trPr>
        <w:tc>
          <w:tcPr>
            <w:tcW w:w="1800" w:type="dxa"/>
            <w:tcMar>
              <w:top w:w="90" w:type="dxa"/>
              <w:left w:w="80" w:type="dxa"/>
              <w:bottom w:w="90" w:type="dxa"/>
              <w:right w:w="80" w:type="dxa"/>
            </w:tcMar>
            <w:vAlign w:val="center"/>
          </w:tcPr>
          <w:p w14:paraId="17334D77" w14:textId="77777777" w:rsidR="0024466E" w:rsidRDefault="00000000">
            <w:pPr>
              <w:spacing w:after="0" w:line="240" w:lineRule="auto"/>
            </w:pPr>
            <w:r>
              <w:rPr>
                <w:sz w:val="16"/>
              </w:rPr>
              <w:t>Non-randomised simulation (1 report)</w:t>
            </w:r>
          </w:p>
        </w:tc>
        <w:tc>
          <w:tcPr>
            <w:tcW w:w="2736" w:type="dxa"/>
            <w:tcMar>
              <w:top w:w="90" w:type="dxa"/>
              <w:left w:w="80" w:type="dxa"/>
              <w:bottom w:w="90" w:type="dxa"/>
              <w:right w:w="80" w:type="dxa"/>
            </w:tcMar>
            <w:vAlign w:val="center"/>
          </w:tcPr>
          <w:p w14:paraId="262F8588" w14:textId="77777777" w:rsidR="0024466E" w:rsidRDefault="00000000">
            <w:pPr>
              <w:spacing w:after="0" w:line="240" w:lineRule="auto"/>
            </w:pPr>
            <w:r>
              <w:rPr>
                <w:sz w:val="16"/>
              </w:rPr>
              <w:t>Observed behaviour in a high-fidelity clinical scenario with structured coding.</w:t>
            </w:r>
          </w:p>
        </w:tc>
        <w:tc>
          <w:tcPr>
            <w:tcW w:w="2951" w:type="dxa"/>
            <w:tcMar>
              <w:top w:w="90" w:type="dxa"/>
              <w:left w:w="80" w:type="dxa"/>
              <w:bottom w:w="90" w:type="dxa"/>
              <w:right w:w="80" w:type="dxa"/>
            </w:tcMar>
            <w:vAlign w:val="center"/>
          </w:tcPr>
          <w:p w14:paraId="082267D5" w14:textId="77777777" w:rsidR="0024466E" w:rsidRDefault="00000000">
            <w:pPr>
              <w:spacing w:after="0" w:line="240" w:lineRule="auto"/>
            </w:pPr>
            <w:r>
              <w:rPr>
                <w:sz w:val="16"/>
              </w:rPr>
              <w:t>Small single-site sample, no randomisation and limited confounding control.</w:t>
            </w:r>
          </w:p>
        </w:tc>
        <w:tc>
          <w:tcPr>
            <w:tcW w:w="2592" w:type="dxa"/>
            <w:tcMar>
              <w:top w:w="90" w:type="dxa"/>
              <w:left w:w="80" w:type="dxa"/>
              <w:bottom w:w="90" w:type="dxa"/>
              <w:right w:w="80" w:type="dxa"/>
            </w:tcMar>
            <w:vAlign w:val="center"/>
          </w:tcPr>
          <w:p w14:paraId="2AF61D6A" w14:textId="77777777" w:rsidR="0024466E" w:rsidRDefault="00000000">
            <w:pPr>
              <w:spacing w:after="0" w:line="240" w:lineRule="auto"/>
            </w:pPr>
            <w:r>
              <w:rPr>
                <w:sz w:val="16"/>
              </w:rPr>
              <w:t>Directly relevant behavioural evidence, but no generalisable intervention effect estimate.</w:t>
            </w:r>
          </w:p>
        </w:tc>
      </w:tr>
    </w:tbl>
    <w:p w14:paraId="4577EE49" w14:textId="77777777" w:rsidR="0024466E" w:rsidRDefault="00000000">
      <w:pPr>
        <w:pStyle w:val="TableNote"/>
      </w:pPr>
      <w:r>
        <w:t>MMAT 2018 criteria were applied at report level without numerical total scores. Detailed judgements and rationales appear in Supplementary Table S4.</w:t>
      </w:r>
    </w:p>
    <w:p w14:paraId="24FD49CD" w14:textId="77777777" w:rsidR="0024466E" w:rsidRDefault="00000000">
      <w:pPr>
        <w:pStyle w:val="Heading2"/>
      </w:pPr>
      <w:r>
        <w:t>3.4 Synthesis by determinant and outcome domain</w:t>
      </w:r>
    </w:p>
    <w:p w14:paraId="24050ACD" w14:textId="77777777" w:rsidR="0024466E" w:rsidRDefault="00000000">
      <w:r>
        <w:rPr>
          <w:b/>
        </w:rPr>
        <w:t xml:space="preserve">Communication, coordination and shared situation awareness. </w:t>
      </w:r>
      <w:r>
        <w:t xml:space="preserve">Across early diagnostic work, multi-site CSIRT observations, manager interviews, surveys and recent crisis case studies, response performance depended on converting fragmented local observations into a shared and actionable picture. Responders had to understand not only what a tool reported, but what colleagues were doing, which assets or services mattered, who held authority and how technical evidence translated into business or safety consequences (Ahmad et al., 2021; Nyre-Yu et al., 2019; van der Kleij et al., 2017; Werlinger et al., 2010). Barriers appeared at shift changes, tier boundaries, security-clearance boundaries, organisational interfaces and management hand-offs. In the Log4Shell public-sector case, information was delayed, sometimes inaccurate and often one-way, preventing an organisation-wide common operational picture (Andreasson et al., 2025). In the CSIRT survey, 36% of respondents reported unclear roles, 32% reported lack of trust, 40% reported no collaborative-behaviour training and 44% reported no communication or coordination key </w:t>
      </w:r>
      <w:r>
        <w:lastRenderedPageBreak/>
        <w:t>performance indicators (Ioannou et al., 2019). These percentages describe a small survey and should not be generalised as prevalence estimates, but their direction accords with the qualitative evidence.</w:t>
      </w:r>
    </w:p>
    <w:p w14:paraId="707C1F54" w14:textId="77777777" w:rsidR="0024466E" w:rsidRDefault="00000000">
      <w:r>
        <w:rPr>
          <w:b/>
        </w:rPr>
        <w:t xml:space="preserve">Role clarity, staffing, workload and burnout. </w:t>
      </w:r>
      <w:r>
        <w:t>SOC field studies showed that formal tier structures did not eliminate ambiguity about ownership, escalation or the boundary between monitoring, investigation and engineering. Organisational size and maturity shaped which roles existed, while effective work also depended on interfaces with service desks, human resources, leadership and external CERT communities (Reisser et al., 2022; Sundaramurthy et al., 2014). The human-capital model described reinforcing cycles in which high workload, inefficient tools and weak recognition increased burnout and turnover, leaving fewer experienced analysts to absorb the same or greater burden (Sundaramurthy et al., 2015). Nepal et al. (2024) provided complementary mixed-methods evidence: 19 of 35 responders met the study’s burnout classification, and burnout was associated with workload, time pressure, limited control, weak teamwork, insufficient recognition, poorer sleep and more after-hours digital activity. Cross-sectional data cannot establish whether these factors caused burnout, but the convergence across methods supports staffing and wellbeing as operational-capability concerns rather than peripheral employment issues.</w:t>
      </w:r>
    </w:p>
    <w:p w14:paraId="64CAD6F2" w14:textId="77777777" w:rsidR="0024466E" w:rsidRDefault="00000000">
      <w:r>
        <w:rPr>
          <w:b/>
        </w:rPr>
        <w:t xml:space="preserve">Training, preparedness and realistic exercises. </w:t>
      </w:r>
      <w:r>
        <w:t>Evidence favoured repeated, cross-functional and objective-driven rehearsal over generic awareness activities. In electrical power organisations, training was often a low priority and separated by information-technology and industrial-control silos; preparedness improved conceptually when exercises included the necessary expertise, an explicit goal, documentation, time management and evaluation (Bartnes et al., 2016; Bartnes &amp; Moe, 2017). Scenario studies suggested that realistic cases can externalise tacit reasoning, make escalation practices discussable and reveal dependencies that routine documentation misses (Angafor et al., 2023; Cho et al., 2020). The hospital simulation supplied direct behavioural evidence: 12 of 20 nurses recognised the system problem and adapted, whereas eight did not, and four continued potentially harmful treatment (Willing et al., 2021). Effective responders communicated, questioned system behaviour, used manual verification and sought technical support. The evidence establishes the diagnostic value of realistic practice more strongly than it establishes the size or durability of a training effect, because controlled comparisons and follow-up were rare.</w:t>
      </w:r>
    </w:p>
    <w:p w14:paraId="54A4DE73" w14:textId="77777777" w:rsidR="0024466E" w:rsidRDefault="00000000">
      <w:r>
        <w:rPr>
          <w:b/>
        </w:rPr>
        <w:t xml:space="preserve">Post-incident learning and organisational integration. </w:t>
      </w:r>
      <w:r>
        <w:t>Multiple studies found that response organisations learn, but often in ways that are informal, technically narrow or poorly connected to governance. Informal peer learning helps teams adapt rapidly, yet it can leave critical knowledge undocumented and dependent on particular people (Shedden et al., 2011). The financial-sector case found that low-impact incidents and near misses were rarely reviewed and that high-impact reviews concentrated on immediate technical restoration rather than systemic risk, policy or organisational assumptions (Ahmad et al., 2012). Patterson et al. (2024) similarly found that learning practices were not consciously designed as a coherent system; defensiveness, time pressure and superficial review inhibited implementation and verification of lessons. Ryan’s (2025) comparison of SolarWinds and Log4Shell suggested that divergent role-based interpretations converged most reliably around implemented artefacts, such as new threat-hunting teams or deployed controls, rather than around abstract agreement. Collectively, the evidence supports deliberate incident selection, psychologically safer review, cross-functional participation, assigned ownership and follow-up on whether corrective actions changed practice.</w:t>
      </w:r>
    </w:p>
    <w:p w14:paraId="53F6C821" w14:textId="77777777" w:rsidR="0024466E" w:rsidRDefault="00000000">
      <w:r>
        <w:rPr>
          <w:b/>
        </w:rPr>
        <w:t xml:space="preserve">Tool usability, data quality and automation with human oversight. </w:t>
      </w:r>
      <w:r>
        <w:t xml:space="preserve">Tools were indispensable but rarely neutral. Responders customised them to local conditions, reconciled conflicting outputs and relied on tacit knowledge when systems lacked context or interoperability (Kokulu et al., 2019; Werlinger et al., 2010). Incident data could be incomplete, poorly contextualised or weakly traceable, reducing its value for investigation and post-incident learning (Grispos et al., 2019). National CSIRT practitioners reported broad use of public data, open-source intelligence and free tools, but validation and operationalisation were not standardised (Kassim et al., 2022). </w:t>
      </w:r>
      <w:r w:rsidRPr="0027531E">
        <w:t>In the 2026 survey of 194 United States professionals, 92% perceived that automation reduced mean time to detect or respond, 84% reported integration of agentic artificial intelligence and only 13% trusted artificial-intelligence decisions without human intervention (Falowo &amp; Bou Abdo, 2026).</w:t>
      </w:r>
      <w:r>
        <w:t xml:space="preserve"> The contrast indicates enthusiasm for workload reduction alongside demand for human oversight, auditability and modular governance. Because these were self-reported perceptions without objective baselines, they do not establish an effect size or safe level of autonomy.</w:t>
      </w:r>
    </w:p>
    <w:p w14:paraId="3D687879" w14:textId="77777777" w:rsidR="0024466E" w:rsidRDefault="00000000">
      <w:r>
        <w:rPr>
          <w:b/>
        </w:rPr>
        <w:lastRenderedPageBreak/>
        <w:t xml:space="preserve">Healthcare continuity, patient safety and workforce adaptation. </w:t>
      </w:r>
      <w:r>
        <w:t>Two healthcare studies directly linked cybersecurity response with care delivery. During the Irish national health-service attack, eight focus groups involving 36 staff described wide variation in disruption according to digital dependence and local support. Workarounds, flattened hierarchy, teamwork and communication sustained services, but incomplete top-down communication and prolonged stress shifted the burden of resilience to staff (Moore et al., 2023). The hospital simulation showed that the ability to question the digital system, verify manually and coordinate with colleagues could distinguish successful from unsuccessful responses (Willing et al., 2021). Together, the studies suggest that downtime procedures must be usable, rehearsed and integrated with clinical escalation; however, preserving service through improvisation should not be mistaken for a resilient system if safety risk, cognitive load and workforce strain are merely transferred to frontline personnel.</w:t>
      </w:r>
    </w:p>
    <w:p w14:paraId="6BE295AB" w14:textId="77777777" w:rsidR="0024466E" w:rsidRDefault="00000000">
      <w:r>
        <w:t>Across themes, the evidence does not support a single best process or technology. It instead identifies recurring conditions under which response work becomes more reliable: a shared operational picture, explicit authority, cross-functional relationships, sustainable workload, realistic rehearsal, usable information and deliberate learning. Table 5 links each theme to the contributing evidence, observed direction and practical interpretation while retaining the limitations that prevent causal or pooled claims.</w:t>
      </w:r>
    </w:p>
    <w:p w14:paraId="6E94A78C" w14:textId="77777777" w:rsidR="0024466E" w:rsidRDefault="00000000">
      <w:pPr>
        <w:pStyle w:val="TableCaption"/>
      </w:pPr>
      <w:r>
        <w:t>Table 5. Narrative synthesis of incident-response determinants</w:t>
      </w:r>
    </w:p>
    <w:tbl>
      <w:tblPr>
        <w:tblStyle w:val="TableGrid"/>
        <w:tblW w:w="0" w:type="auto"/>
        <w:jc w:val="center"/>
        <w:tblLayout w:type="fixed"/>
        <w:tblLook w:val="04A0" w:firstRow="1" w:lastRow="0" w:firstColumn="1" w:lastColumn="0" w:noHBand="0" w:noVBand="1"/>
      </w:tblPr>
      <w:tblGrid>
        <w:gridCol w:w="1800"/>
        <w:gridCol w:w="1655"/>
        <w:gridCol w:w="3600"/>
        <w:gridCol w:w="2880"/>
      </w:tblGrid>
      <w:tr w:rsidR="0024466E" w14:paraId="34F922AD" w14:textId="77777777">
        <w:trPr>
          <w:tblHeader/>
          <w:jc w:val="center"/>
        </w:trPr>
        <w:tc>
          <w:tcPr>
            <w:tcW w:w="1800" w:type="dxa"/>
            <w:shd w:val="clear" w:color="auto" w:fill="17365D"/>
            <w:tcMar>
              <w:top w:w="100" w:type="dxa"/>
              <w:left w:w="85" w:type="dxa"/>
              <w:bottom w:w="100" w:type="dxa"/>
              <w:right w:w="85" w:type="dxa"/>
            </w:tcMar>
            <w:vAlign w:val="center"/>
          </w:tcPr>
          <w:p w14:paraId="57EC8B63" w14:textId="77777777" w:rsidR="0024466E" w:rsidRDefault="00000000">
            <w:pPr>
              <w:spacing w:after="0"/>
              <w:jc w:val="center"/>
            </w:pPr>
            <w:r>
              <w:rPr>
                <w:rFonts w:ascii="Arial" w:hAnsi="Arial"/>
                <w:b/>
                <w:color w:val="FFFFFF"/>
                <w:sz w:val="15"/>
              </w:rPr>
              <w:t>Domain</w:t>
            </w:r>
          </w:p>
        </w:tc>
        <w:tc>
          <w:tcPr>
            <w:tcW w:w="1655" w:type="dxa"/>
            <w:shd w:val="clear" w:color="auto" w:fill="17365D"/>
            <w:tcMar>
              <w:top w:w="100" w:type="dxa"/>
              <w:left w:w="85" w:type="dxa"/>
              <w:bottom w:w="100" w:type="dxa"/>
              <w:right w:w="85" w:type="dxa"/>
            </w:tcMar>
            <w:vAlign w:val="center"/>
          </w:tcPr>
          <w:p w14:paraId="28AC339A" w14:textId="77777777" w:rsidR="0024466E" w:rsidRDefault="00000000">
            <w:pPr>
              <w:spacing w:after="0"/>
              <w:jc w:val="center"/>
            </w:pPr>
            <w:r>
              <w:rPr>
                <w:rFonts w:ascii="Arial" w:hAnsi="Arial"/>
                <w:b/>
                <w:color w:val="FFFFFF"/>
                <w:sz w:val="15"/>
              </w:rPr>
              <w:t>Contributing reports</w:t>
            </w:r>
          </w:p>
        </w:tc>
        <w:tc>
          <w:tcPr>
            <w:tcW w:w="3600" w:type="dxa"/>
            <w:shd w:val="clear" w:color="auto" w:fill="17365D"/>
            <w:tcMar>
              <w:top w:w="100" w:type="dxa"/>
              <w:left w:w="85" w:type="dxa"/>
              <w:bottom w:w="100" w:type="dxa"/>
              <w:right w:w="85" w:type="dxa"/>
            </w:tcMar>
            <w:vAlign w:val="center"/>
          </w:tcPr>
          <w:p w14:paraId="71445E3A" w14:textId="77777777" w:rsidR="0024466E" w:rsidRDefault="00000000">
            <w:pPr>
              <w:spacing w:after="0"/>
              <w:jc w:val="center"/>
            </w:pPr>
            <w:r>
              <w:rPr>
                <w:rFonts w:ascii="Arial" w:hAnsi="Arial"/>
                <w:b/>
                <w:color w:val="FFFFFF"/>
                <w:sz w:val="15"/>
              </w:rPr>
              <w:t>Direction and interpretation</w:t>
            </w:r>
          </w:p>
        </w:tc>
        <w:tc>
          <w:tcPr>
            <w:tcW w:w="2880" w:type="dxa"/>
            <w:shd w:val="clear" w:color="auto" w:fill="17365D"/>
            <w:tcMar>
              <w:top w:w="100" w:type="dxa"/>
              <w:left w:w="85" w:type="dxa"/>
              <w:bottom w:w="100" w:type="dxa"/>
              <w:right w:w="85" w:type="dxa"/>
            </w:tcMar>
            <w:vAlign w:val="center"/>
          </w:tcPr>
          <w:p w14:paraId="66DFDB9E" w14:textId="77777777" w:rsidR="0024466E" w:rsidRDefault="00000000">
            <w:pPr>
              <w:spacing w:after="0"/>
              <w:jc w:val="center"/>
            </w:pPr>
            <w:r>
              <w:rPr>
                <w:rFonts w:ascii="Arial" w:hAnsi="Arial"/>
                <w:b/>
                <w:color w:val="FFFFFF"/>
                <w:sz w:val="15"/>
              </w:rPr>
              <w:t>Operational implication</w:t>
            </w:r>
          </w:p>
        </w:tc>
      </w:tr>
      <w:tr w:rsidR="0024466E" w14:paraId="610FB9F2" w14:textId="77777777">
        <w:trPr>
          <w:cantSplit/>
          <w:jc w:val="center"/>
        </w:trPr>
        <w:tc>
          <w:tcPr>
            <w:tcW w:w="1800" w:type="dxa"/>
            <w:tcMar>
              <w:top w:w="90" w:type="dxa"/>
              <w:left w:w="80" w:type="dxa"/>
              <w:bottom w:w="90" w:type="dxa"/>
              <w:right w:w="80" w:type="dxa"/>
            </w:tcMar>
            <w:vAlign w:val="center"/>
          </w:tcPr>
          <w:p w14:paraId="54B41E5D" w14:textId="77777777" w:rsidR="0024466E" w:rsidRDefault="00000000">
            <w:pPr>
              <w:spacing w:after="0" w:line="240" w:lineRule="auto"/>
            </w:pPr>
            <w:r>
              <w:rPr>
                <w:sz w:val="15"/>
              </w:rPr>
              <w:t>Shared situation awareness and coordination</w:t>
            </w:r>
          </w:p>
        </w:tc>
        <w:tc>
          <w:tcPr>
            <w:tcW w:w="1655" w:type="dxa"/>
            <w:tcMar>
              <w:top w:w="90" w:type="dxa"/>
              <w:left w:w="80" w:type="dxa"/>
              <w:bottom w:w="90" w:type="dxa"/>
              <w:right w:w="80" w:type="dxa"/>
            </w:tcMar>
            <w:vAlign w:val="center"/>
          </w:tcPr>
          <w:p w14:paraId="1CFDB59F" w14:textId="77777777" w:rsidR="0024466E" w:rsidRDefault="00000000">
            <w:pPr>
              <w:spacing w:after="0" w:line="240" w:lineRule="auto"/>
            </w:pPr>
            <w:r>
              <w:rPr>
                <w:sz w:val="15"/>
              </w:rPr>
              <w:t>R01, R04, R08-R11, R14, R17, R20, R22-R24</w:t>
            </w:r>
          </w:p>
        </w:tc>
        <w:tc>
          <w:tcPr>
            <w:tcW w:w="3600" w:type="dxa"/>
            <w:tcMar>
              <w:top w:w="90" w:type="dxa"/>
              <w:left w:w="80" w:type="dxa"/>
              <w:bottom w:w="90" w:type="dxa"/>
              <w:right w:w="80" w:type="dxa"/>
            </w:tcMar>
            <w:vAlign w:val="center"/>
          </w:tcPr>
          <w:p w14:paraId="4C2D5473" w14:textId="77777777" w:rsidR="0024466E" w:rsidRDefault="00000000">
            <w:pPr>
              <w:spacing w:after="0" w:line="240" w:lineRule="auto"/>
            </w:pPr>
            <w:r>
              <w:rPr>
                <w:sz w:val="15"/>
              </w:rPr>
              <w:t>Consistently beneficial when information crosses tiers, shifts, disciplines and management levels; deficits delay or fragment response.</w:t>
            </w:r>
          </w:p>
        </w:tc>
        <w:tc>
          <w:tcPr>
            <w:tcW w:w="2880" w:type="dxa"/>
            <w:tcMar>
              <w:top w:w="90" w:type="dxa"/>
              <w:left w:w="80" w:type="dxa"/>
              <w:bottom w:w="90" w:type="dxa"/>
              <w:right w:w="80" w:type="dxa"/>
            </w:tcMar>
            <w:vAlign w:val="center"/>
          </w:tcPr>
          <w:p w14:paraId="020DA8C2" w14:textId="77777777" w:rsidR="0024466E" w:rsidRDefault="00000000">
            <w:pPr>
              <w:spacing w:after="0" w:line="240" w:lineRule="auto"/>
            </w:pPr>
            <w:r>
              <w:rPr>
                <w:sz w:val="15"/>
              </w:rPr>
              <w:t>Maintain an explicit common operational picture; design hand-offs and escalation around decisions and uncertainty, not ticket status alone.</w:t>
            </w:r>
          </w:p>
        </w:tc>
      </w:tr>
      <w:tr w:rsidR="0024466E" w14:paraId="35F13620" w14:textId="77777777">
        <w:trPr>
          <w:cantSplit/>
          <w:jc w:val="center"/>
        </w:trPr>
        <w:tc>
          <w:tcPr>
            <w:tcW w:w="1800" w:type="dxa"/>
            <w:tcMar>
              <w:top w:w="90" w:type="dxa"/>
              <w:left w:w="80" w:type="dxa"/>
              <w:bottom w:w="90" w:type="dxa"/>
              <w:right w:w="80" w:type="dxa"/>
            </w:tcMar>
            <w:vAlign w:val="center"/>
          </w:tcPr>
          <w:p w14:paraId="335D5DD9" w14:textId="77777777" w:rsidR="0024466E" w:rsidRDefault="00000000">
            <w:pPr>
              <w:spacing w:after="0" w:line="240" w:lineRule="auto"/>
            </w:pPr>
            <w:r>
              <w:rPr>
                <w:sz w:val="15"/>
              </w:rPr>
              <w:t>Role clarity, staffing and wellbeing</w:t>
            </w:r>
          </w:p>
        </w:tc>
        <w:tc>
          <w:tcPr>
            <w:tcW w:w="1655" w:type="dxa"/>
            <w:tcMar>
              <w:top w:w="90" w:type="dxa"/>
              <w:left w:w="80" w:type="dxa"/>
              <w:bottom w:w="90" w:type="dxa"/>
              <w:right w:w="80" w:type="dxa"/>
            </w:tcMar>
            <w:vAlign w:val="center"/>
          </w:tcPr>
          <w:p w14:paraId="1FE60BA6" w14:textId="77777777" w:rsidR="0024466E" w:rsidRDefault="00000000">
            <w:pPr>
              <w:spacing w:after="0" w:line="240" w:lineRule="auto"/>
            </w:pPr>
            <w:r>
              <w:rPr>
                <w:sz w:val="15"/>
              </w:rPr>
              <w:t>R04, R05, R08, R09, R11, R17, R21, R25</w:t>
            </w:r>
          </w:p>
        </w:tc>
        <w:tc>
          <w:tcPr>
            <w:tcW w:w="3600" w:type="dxa"/>
            <w:tcMar>
              <w:top w:w="90" w:type="dxa"/>
              <w:left w:w="80" w:type="dxa"/>
              <w:bottom w:w="90" w:type="dxa"/>
              <w:right w:w="80" w:type="dxa"/>
            </w:tcMar>
            <w:vAlign w:val="center"/>
          </w:tcPr>
          <w:p w14:paraId="5759B386" w14:textId="77777777" w:rsidR="0024466E" w:rsidRDefault="00000000">
            <w:pPr>
              <w:spacing w:after="0" w:line="240" w:lineRule="auto"/>
            </w:pPr>
            <w:r>
              <w:rPr>
                <w:sz w:val="15"/>
              </w:rPr>
              <w:t>Ambiguity, workload, low control and weak recognition are associated with operational friction and burnout.</w:t>
            </w:r>
          </w:p>
        </w:tc>
        <w:tc>
          <w:tcPr>
            <w:tcW w:w="2880" w:type="dxa"/>
            <w:tcMar>
              <w:top w:w="90" w:type="dxa"/>
              <w:left w:w="80" w:type="dxa"/>
              <w:bottom w:w="90" w:type="dxa"/>
              <w:right w:w="80" w:type="dxa"/>
            </w:tcMar>
            <w:vAlign w:val="center"/>
          </w:tcPr>
          <w:p w14:paraId="2748FBD1" w14:textId="77777777" w:rsidR="0024466E" w:rsidRDefault="00000000">
            <w:pPr>
              <w:spacing w:after="0" w:line="240" w:lineRule="auto"/>
            </w:pPr>
            <w:r>
              <w:rPr>
                <w:sz w:val="15"/>
              </w:rPr>
              <w:t>Specify authority and interfaces; monitor workload, after-hours burden, retention and access to expertise as capability indicators.</w:t>
            </w:r>
          </w:p>
        </w:tc>
      </w:tr>
      <w:tr w:rsidR="0024466E" w14:paraId="39C99782" w14:textId="77777777">
        <w:trPr>
          <w:cantSplit/>
          <w:jc w:val="center"/>
        </w:trPr>
        <w:tc>
          <w:tcPr>
            <w:tcW w:w="1800" w:type="dxa"/>
            <w:tcMar>
              <w:top w:w="90" w:type="dxa"/>
              <w:left w:w="80" w:type="dxa"/>
              <w:bottom w:w="90" w:type="dxa"/>
              <w:right w:w="80" w:type="dxa"/>
            </w:tcMar>
            <w:vAlign w:val="center"/>
          </w:tcPr>
          <w:p w14:paraId="01B6421F" w14:textId="77777777" w:rsidR="0024466E" w:rsidRDefault="00000000">
            <w:pPr>
              <w:spacing w:after="0" w:line="240" w:lineRule="auto"/>
            </w:pPr>
            <w:r>
              <w:rPr>
                <w:sz w:val="15"/>
              </w:rPr>
              <w:t>Training and exercises</w:t>
            </w:r>
          </w:p>
        </w:tc>
        <w:tc>
          <w:tcPr>
            <w:tcW w:w="1655" w:type="dxa"/>
            <w:tcMar>
              <w:top w:w="90" w:type="dxa"/>
              <w:left w:w="80" w:type="dxa"/>
              <w:bottom w:w="90" w:type="dxa"/>
              <w:right w:w="80" w:type="dxa"/>
            </w:tcMar>
            <w:vAlign w:val="center"/>
          </w:tcPr>
          <w:p w14:paraId="4813403B" w14:textId="77777777" w:rsidR="0024466E" w:rsidRDefault="00000000">
            <w:pPr>
              <w:spacing w:after="0" w:line="240" w:lineRule="auto"/>
            </w:pPr>
            <w:r>
              <w:rPr>
                <w:sz w:val="15"/>
              </w:rPr>
              <w:t>R06, R07, R13, R15, R18</w:t>
            </w:r>
          </w:p>
        </w:tc>
        <w:tc>
          <w:tcPr>
            <w:tcW w:w="3600" w:type="dxa"/>
            <w:tcMar>
              <w:top w:w="90" w:type="dxa"/>
              <w:left w:w="80" w:type="dxa"/>
              <w:bottom w:w="90" w:type="dxa"/>
              <w:right w:w="80" w:type="dxa"/>
            </w:tcMar>
            <w:vAlign w:val="center"/>
          </w:tcPr>
          <w:p w14:paraId="2593EE48" w14:textId="77777777" w:rsidR="0024466E" w:rsidRDefault="00000000">
            <w:pPr>
              <w:spacing w:after="0" w:line="240" w:lineRule="auto"/>
            </w:pPr>
            <w:r>
              <w:rPr>
                <w:sz w:val="15"/>
              </w:rPr>
              <w:t>Realistic, repeated and cross-functional scenarios expose hidden dependencies and support adaptive behaviour; durable effect size not established.</w:t>
            </w:r>
          </w:p>
        </w:tc>
        <w:tc>
          <w:tcPr>
            <w:tcW w:w="2880" w:type="dxa"/>
            <w:tcMar>
              <w:top w:w="90" w:type="dxa"/>
              <w:left w:w="80" w:type="dxa"/>
              <w:bottom w:w="90" w:type="dxa"/>
              <w:right w:w="80" w:type="dxa"/>
            </w:tcMar>
            <w:vAlign w:val="center"/>
          </w:tcPr>
          <w:p w14:paraId="3728F847" w14:textId="77777777" w:rsidR="0024466E" w:rsidRDefault="00000000">
            <w:pPr>
              <w:spacing w:after="0" w:line="240" w:lineRule="auto"/>
            </w:pPr>
            <w:r>
              <w:rPr>
                <w:sz w:val="15"/>
              </w:rPr>
              <w:t>Use objective-driven exercises with all required roles, evidence capture, debriefing, ownership and follow-up.</w:t>
            </w:r>
          </w:p>
        </w:tc>
      </w:tr>
      <w:tr w:rsidR="0024466E" w14:paraId="4EF6FCA4" w14:textId="77777777">
        <w:trPr>
          <w:cantSplit/>
          <w:jc w:val="center"/>
        </w:trPr>
        <w:tc>
          <w:tcPr>
            <w:tcW w:w="1800" w:type="dxa"/>
            <w:tcMar>
              <w:top w:w="90" w:type="dxa"/>
              <w:left w:w="80" w:type="dxa"/>
              <w:bottom w:w="90" w:type="dxa"/>
              <w:right w:w="80" w:type="dxa"/>
            </w:tcMar>
            <w:vAlign w:val="center"/>
          </w:tcPr>
          <w:p w14:paraId="05C6164B" w14:textId="77777777" w:rsidR="0024466E" w:rsidRDefault="00000000">
            <w:pPr>
              <w:spacing w:after="0" w:line="240" w:lineRule="auto"/>
            </w:pPr>
            <w:r>
              <w:rPr>
                <w:sz w:val="15"/>
              </w:rPr>
              <w:t>Organisational learning</w:t>
            </w:r>
          </w:p>
        </w:tc>
        <w:tc>
          <w:tcPr>
            <w:tcW w:w="1655" w:type="dxa"/>
            <w:tcMar>
              <w:top w:w="90" w:type="dxa"/>
              <w:left w:w="80" w:type="dxa"/>
              <w:bottom w:w="90" w:type="dxa"/>
              <w:right w:w="80" w:type="dxa"/>
            </w:tcMar>
            <w:vAlign w:val="center"/>
          </w:tcPr>
          <w:p w14:paraId="1B51FA57" w14:textId="77777777" w:rsidR="0024466E" w:rsidRDefault="00000000">
            <w:pPr>
              <w:spacing w:after="0" w:line="240" w:lineRule="auto"/>
            </w:pPr>
            <w:r>
              <w:rPr>
                <w:sz w:val="15"/>
              </w:rPr>
              <w:t>R02, R03, R06, R12, R19, R23, R25</w:t>
            </w:r>
          </w:p>
        </w:tc>
        <w:tc>
          <w:tcPr>
            <w:tcW w:w="3600" w:type="dxa"/>
            <w:tcMar>
              <w:top w:w="90" w:type="dxa"/>
              <w:left w:w="80" w:type="dxa"/>
              <w:bottom w:w="90" w:type="dxa"/>
              <w:right w:w="80" w:type="dxa"/>
            </w:tcMar>
            <w:vAlign w:val="center"/>
          </w:tcPr>
          <w:p w14:paraId="32FD8CD6" w14:textId="77777777" w:rsidR="0024466E" w:rsidRDefault="00000000">
            <w:pPr>
              <w:spacing w:after="0" w:line="240" w:lineRule="auto"/>
            </w:pPr>
            <w:r>
              <w:rPr>
                <w:sz w:val="15"/>
              </w:rPr>
              <w:t>Learning is often informal or technically narrow; near misses and systemic causes receive insufficient attention.</w:t>
            </w:r>
          </w:p>
        </w:tc>
        <w:tc>
          <w:tcPr>
            <w:tcW w:w="2880" w:type="dxa"/>
            <w:tcMar>
              <w:top w:w="90" w:type="dxa"/>
              <w:left w:w="80" w:type="dxa"/>
              <w:bottom w:w="90" w:type="dxa"/>
              <w:right w:w="80" w:type="dxa"/>
            </w:tcMar>
            <w:vAlign w:val="center"/>
          </w:tcPr>
          <w:p w14:paraId="4410AE2E" w14:textId="77777777" w:rsidR="0024466E" w:rsidRDefault="00000000">
            <w:pPr>
              <w:spacing w:after="0" w:line="240" w:lineRule="auto"/>
            </w:pPr>
            <w:r>
              <w:rPr>
                <w:sz w:val="15"/>
              </w:rPr>
              <w:t>Select incidents deliberately, include cross-functional perspectives, assign actions and verify implementation and impact.</w:t>
            </w:r>
          </w:p>
        </w:tc>
      </w:tr>
      <w:tr w:rsidR="0024466E" w14:paraId="51D48B53" w14:textId="77777777">
        <w:trPr>
          <w:cantSplit/>
          <w:jc w:val="center"/>
        </w:trPr>
        <w:tc>
          <w:tcPr>
            <w:tcW w:w="1800" w:type="dxa"/>
            <w:tcMar>
              <w:top w:w="90" w:type="dxa"/>
              <w:left w:w="80" w:type="dxa"/>
              <w:bottom w:w="90" w:type="dxa"/>
              <w:right w:w="80" w:type="dxa"/>
            </w:tcMar>
            <w:vAlign w:val="center"/>
          </w:tcPr>
          <w:p w14:paraId="744708ED" w14:textId="77777777" w:rsidR="0024466E" w:rsidRDefault="00000000">
            <w:pPr>
              <w:spacing w:after="0" w:line="240" w:lineRule="auto"/>
            </w:pPr>
            <w:r>
              <w:rPr>
                <w:sz w:val="15"/>
              </w:rPr>
              <w:t>Tools, data and automation</w:t>
            </w:r>
          </w:p>
        </w:tc>
        <w:tc>
          <w:tcPr>
            <w:tcW w:w="1655" w:type="dxa"/>
            <w:tcMar>
              <w:top w:w="90" w:type="dxa"/>
              <w:left w:w="80" w:type="dxa"/>
              <w:bottom w:w="90" w:type="dxa"/>
              <w:right w:w="80" w:type="dxa"/>
            </w:tcMar>
            <w:vAlign w:val="center"/>
          </w:tcPr>
          <w:p w14:paraId="642E54C5" w14:textId="77777777" w:rsidR="0024466E" w:rsidRDefault="00000000">
            <w:pPr>
              <w:spacing w:after="0" w:line="240" w:lineRule="auto"/>
            </w:pPr>
            <w:r>
              <w:rPr>
                <w:sz w:val="15"/>
              </w:rPr>
              <w:t>R01, R04, R08, R11-R13, R16, R26</w:t>
            </w:r>
          </w:p>
        </w:tc>
        <w:tc>
          <w:tcPr>
            <w:tcW w:w="3600" w:type="dxa"/>
            <w:tcMar>
              <w:top w:w="90" w:type="dxa"/>
              <w:left w:w="80" w:type="dxa"/>
              <w:bottom w:w="90" w:type="dxa"/>
              <w:right w:w="80" w:type="dxa"/>
            </w:tcMar>
            <w:vAlign w:val="center"/>
          </w:tcPr>
          <w:p w14:paraId="60770053" w14:textId="77777777" w:rsidR="0024466E" w:rsidRDefault="00000000">
            <w:pPr>
              <w:spacing w:after="0" w:line="240" w:lineRule="auto"/>
            </w:pPr>
            <w:r>
              <w:rPr>
                <w:sz w:val="15"/>
              </w:rPr>
              <w:t>Context, interoperability and provenance matter; automation is perceived as useful but trust in autonomous decisions is low.</w:t>
            </w:r>
          </w:p>
        </w:tc>
        <w:tc>
          <w:tcPr>
            <w:tcW w:w="2880" w:type="dxa"/>
            <w:tcMar>
              <w:top w:w="90" w:type="dxa"/>
              <w:left w:w="80" w:type="dxa"/>
              <w:bottom w:w="90" w:type="dxa"/>
              <w:right w:w="80" w:type="dxa"/>
            </w:tcMar>
            <w:vAlign w:val="center"/>
          </w:tcPr>
          <w:p w14:paraId="50546C88" w14:textId="77777777" w:rsidR="0024466E" w:rsidRDefault="00000000">
            <w:pPr>
              <w:spacing w:after="0" w:line="240" w:lineRule="auto"/>
            </w:pPr>
            <w:r>
              <w:rPr>
                <w:sz w:val="15"/>
              </w:rPr>
              <w:t>Evaluate objective benefit and harm; preserve auditability, human override, escalation and accountability.</w:t>
            </w:r>
          </w:p>
        </w:tc>
      </w:tr>
      <w:tr w:rsidR="0024466E" w14:paraId="7D80A940" w14:textId="77777777">
        <w:trPr>
          <w:cantSplit/>
          <w:jc w:val="center"/>
        </w:trPr>
        <w:tc>
          <w:tcPr>
            <w:tcW w:w="1800" w:type="dxa"/>
            <w:tcMar>
              <w:top w:w="90" w:type="dxa"/>
              <w:left w:w="80" w:type="dxa"/>
              <w:bottom w:w="90" w:type="dxa"/>
              <w:right w:w="80" w:type="dxa"/>
            </w:tcMar>
            <w:vAlign w:val="center"/>
          </w:tcPr>
          <w:p w14:paraId="61F1DAE6" w14:textId="77777777" w:rsidR="0024466E" w:rsidRDefault="00000000">
            <w:pPr>
              <w:spacing w:after="0" w:line="240" w:lineRule="auto"/>
            </w:pPr>
            <w:r>
              <w:rPr>
                <w:sz w:val="15"/>
              </w:rPr>
              <w:t>Healthcare continuity and safety</w:t>
            </w:r>
          </w:p>
        </w:tc>
        <w:tc>
          <w:tcPr>
            <w:tcW w:w="1655" w:type="dxa"/>
            <w:tcMar>
              <w:top w:w="90" w:type="dxa"/>
              <w:left w:w="80" w:type="dxa"/>
              <w:bottom w:w="90" w:type="dxa"/>
              <w:right w:w="80" w:type="dxa"/>
            </w:tcMar>
            <w:vAlign w:val="center"/>
          </w:tcPr>
          <w:p w14:paraId="16678B0A" w14:textId="77777777" w:rsidR="0024466E" w:rsidRDefault="00000000">
            <w:pPr>
              <w:spacing w:after="0" w:line="240" w:lineRule="auto"/>
            </w:pPr>
            <w:r>
              <w:rPr>
                <w:sz w:val="15"/>
              </w:rPr>
              <w:t>R15, R20</w:t>
            </w:r>
          </w:p>
        </w:tc>
        <w:tc>
          <w:tcPr>
            <w:tcW w:w="3600" w:type="dxa"/>
            <w:tcMar>
              <w:top w:w="90" w:type="dxa"/>
              <w:left w:w="80" w:type="dxa"/>
              <w:bottom w:w="90" w:type="dxa"/>
              <w:right w:w="80" w:type="dxa"/>
            </w:tcMar>
            <w:vAlign w:val="center"/>
          </w:tcPr>
          <w:p w14:paraId="1D4DBE2D" w14:textId="77777777" w:rsidR="0024466E" w:rsidRDefault="00000000">
            <w:pPr>
              <w:spacing w:after="0" w:line="240" w:lineRule="auto"/>
            </w:pPr>
            <w:r>
              <w:rPr>
                <w:sz w:val="15"/>
              </w:rPr>
              <w:t>Communication, manual alternatives and local adaptation can preserve care, but may transfer risk and strain to staff.</w:t>
            </w:r>
          </w:p>
        </w:tc>
        <w:tc>
          <w:tcPr>
            <w:tcW w:w="2880" w:type="dxa"/>
            <w:tcMar>
              <w:top w:w="90" w:type="dxa"/>
              <w:left w:w="80" w:type="dxa"/>
              <w:bottom w:w="90" w:type="dxa"/>
              <w:right w:w="80" w:type="dxa"/>
            </w:tcMar>
            <w:vAlign w:val="center"/>
          </w:tcPr>
          <w:p w14:paraId="4A857906" w14:textId="77777777" w:rsidR="0024466E" w:rsidRDefault="00000000">
            <w:pPr>
              <w:spacing w:after="0" w:line="240" w:lineRule="auto"/>
            </w:pPr>
            <w:r>
              <w:rPr>
                <w:sz w:val="15"/>
              </w:rPr>
              <w:t>Integrate cyber response with patient-safety and downtime systems; rehearse manual verification and technical escalation.</w:t>
            </w:r>
          </w:p>
        </w:tc>
      </w:tr>
    </w:tbl>
    <w:p w14:paraId="4BEA06CB" w14:textId="77777777" w:rsidR="0024466E" w:rsidRDefault="00000000">
      <w:pPr>
        <w:pStyle w:val="TableNote"/>
      </w:pPr>
      <w:r>
        <w:t>Report identifiers correspond to Table 3 and the evidence ledger. No pooled effect or significance-based vote count was calculated.</w:t>
      </w:r>
    </w:p>
    <w:p w14:paraId="6C136E0A" w14:textId="77777777" w:rsidR="0024466E" w:rsidRDefault="00000000">
      <w:pPr>
        <w:pStyle w:val="Heading2"/>
      </w:pPr>
      <w:r>
        <w:t>3.5 Structured confidence in the evidence</w:t>
      </w:r>
    </w:p>
    <w:p w14:paraId="40715CBC" w14:textId="77777777" w:rsidR="0024466E" w:rsidRDefault="00000000">
      <w:r>
        <w:t>Confidence was highest where independent studies in different sectors described the same mechanism and where the mechanism was supported by more than one method. It was lower where a theme depended on a small number of simulations, a single national event or self-reported automation benefits. Table 6 provides a structured confidence assessment rather than a false GRADE rating for non-comparable organisational evidence.</w:t>
      </w:r>
    </w:p>
    <w:p w14:paraId="57FF6FBD" w14:textId="77777777" w:rsidR="0024466E" w:rsidRDefault="00000000">
      <w:pPr>
        <w:pStyle w:val="TableCaption"/>
      </w:pPr>
      <w:r>
        <w:t>Table 6. Structured confidence assessment by synthesis theme</w:t>
      </w:r>
    </w:p>
    <w:tbl>
      <w:tblPr>
        <w:tblStyle w:val="TableGrid"/>
        <w:tblW w:w="0" w:type="auto"/>
        <w:jc w:val="center"/>
        <w:tblLayout w:type="fixed"/>
        <w:tblLook w:val="04A0" w:firstRow="1" w:lastRow="0" w:firstColumn="1" w:lastColumn="0" w:noHBand="0" w:noVBand="1"/>
      </w:tblPr>
      <w:tblGrid>
        <w:gridCol w:w="2880"/>
        <w:gridCol w:w="1440"/>
        <w:gridCol w:w="5616"/>
      </w:tblGrid>
      <w:tr w:rsidR="0024466E" w14:paraId="08948657" w14:textId="77777777">
        <w:trPr>
          <w:tblHeader/>
          <w:jc w:val="center"/>
        </w:trPr>
        <w:tc>
          <w:tcPr>
            <w:tcW w:w="2880" w:type="dxa"/>
            <w:shd w:val="clear" w:color="auto" w:fill="17365D"/>
            <w:tcMar>
              <w:top w:w="100" w:type="dxa"/>
              <w:left w:w="85" w:type="dxa"/>
              <w:bottom w:w="100" w:type="dxa"/>
              <w:right w:w="85" w:type="dxa"/>
            </w:tcMar>
            <w:vAlign w:val="center"/>
          </w:tcPr>
          <w:p w14:paraId="7D6E7E86" w14:textId="77777777" w:rsidR="0024466E" w:rsidRDefault="00000000">
            <w:pPr>
              <w:spacing w:after="0"/>
              <w:jc w:val="center"/>
            </w:pPr>
            <w:r>
              <w:rPr>
                <w:rFonts w:ascii="Arial" w:hAnsi="Arial"/>
                <w:b/>
                <w:color w:val="FFFFFF"/>
                <w:sz w:val="16"/>
              </w:rPr>
              <w:t>Theme</w:t>
            </w:r>
          </w:p>
        </w:tc>
        <w:tc>
          <w:tcPr>
            <w:tcW w:w="1440" w:type="dxa"/>
            <w:shd w:val="clear" w:color="auto" w:fill="17365D"/>
            <w:tcMar>
              <w:top w:w="100" w:type="dxa"/>
              <w:left w:w="85" w:type="dxa"/>
              <w:bottom w:w="100" w:type="dxa"/>
              <w:right w:w="85" w:type="dxa"/>
            </w:tcMar>
            <w:vAlign w:val="center"/>
          </w:tcPr>
          <w:p w14:paraId="12F8C4DB" w14:textId="77777777" w:rsidR="0024466E" w:rsidRDefault="00000000">
            <w:pPr>
              <w:spacing w:after="0"/>
              <w:jc w:val="center"/>
            </w:pPr>
            <w:r>
              <w:rPr>
                <w:rFonts w:ascii="Arial" w:hAnsi="Arial"/>
                <w:b/>
                <w:color w:val="FFFFFF"/>
                <w:sz w:val="16"/>
              </w:rPr>
              <w:t>Confidence</w:t>
            </w:r>
          </w:p>
        </w:tc>
        <w:tc>
          <w:tcPr>
            <w:tcW w:w="5616" w:type="dxa"/>
            <w:shd w:val="clear" w:color="auto" w:fill="17365D"/>
            <w:tcMar>
              <w:top w:w="100" w:type="dxa"/>
              <w:left w:w="85" w:type="dxa"/>
              <w:bottom w:w="100" w:type="dxa"/>
              <w:right w:w="85" w:type="dxa"/>
            </w:tcMar>
            <w:vAlign w:val="center"/>
          </w:tcPr>
          <w:p w14:paraId="6CA4C7DE" w14:textId="77777777" w:rsidR="0024466E" w:rsidRDefault="00000000">
            <w:pPr>
              <w:spacing w:after="0"/>
              <w:jc w:val="center"/>
            </w:pPr>
            <w:r>
              <w:rPr>
                <w:rFonts w:ascii="Arial" w:hAnsi="Arial"/>
                <w:b/>
                <w:color w:val="FFFFFF"/>
                <w:sz w:val="16"/>
              </w:rPr>
              <w:t>Basis</w:t>
            </w:r>
          </w:p>
        </w:tc>
      </w:tr>
      <w:tr w:rsidR="0024466E" w14:paraId="75F39DCF" w14:textId="77777777">
        <w:trPr>
          <w:cantSplit/>
          <w:jc w:val="center"/>
        </w:trPr>
        <w:tc>
          <w:tcPr>
            <w:tcW w:w="2880" w:type="dxa"/>
            <w:tcMar>
              <w:top w:w="90" w:type="dxa"/>
              <w:left w:w="80" w:type="dxa"/>
              <w:bottom w:w="90" w:type="dxa"/>
              <w:right w:w="80" w:type="dxa"/>
            </w:tcMar>
            <w:vAlign w:val="center"/>
          </w:tcPr>
          <w:p w14:paraId="44F2604B" w14:textId="77777777" w:rsidR="0024466E" w:rsidRDefault="00000000">
            <w:pPr>
              <w:spacing w:after="0" w:line="240" w:lineRule="auto"/>
            </w:pPr>
            <w:r>
              <w:rPr>
                <w:sz w:val="16"/>
              </w:rPr>
              <w:t>Communication, coordination and shared situation awareness</w:t>
            </w:r>
          </w:p>
        </w:tc>
        <w:tc>
          <w:tcPr>
            <w:tcW w:w="1440" w:type="dxa"/>
            <w:tcMar>
              <w:top w:w="90" w:type="dxa"/>
              <w:left w:w="80" w:type="dxa"/>
              <w:bottom w:w="90" w:type="dxa"/>
              <w:right w:w="80" w:type="dxa"/>
            </w:tcMar>
            <w:vAlign w:val="center"/>
          </w:tcPr>
          <w:p w14:paraId="2164E8ED"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3748911C" w14:textId="77777777" w:rsidR="0024466E" w:rsidRDefault="00000000">
            <w:pPr>
              <w:spacing w:after="0" w:line="240" w:lineRule="auto"/>
            </w:pPr>
            <w:r>
              <w:rPr>
                <w:sz w:val="16"/>
              </w:rPr>
              <w:t>Consistent, recurrent findings across public, private, national-CSIRT, SOC, financial, healthcare and public-sector settings. Confidence is limited by predominantly qualitative designs, small purposive samples and few objective operational measures.</w:t>
            </w:r>
          </w:p>
        </w:tc>
      </w:tr>
      <w:tr w:rsidR="0024466E" w14:paraId="6DD39617" w14:textId="77777777">
        <w:trPr>
          <w:cantSplit/>
          <w:jc w:val="center"/>
        </w:trPr>
        <w:tc>
          <w:tcPr>
            <w:tcW w:w="2880" w:type="dxa"/>
            <w:tcMar>
              <w:top w:w="90" w:type="dxa"/>
              <w:left w:w="80" w:type="dxa"/>
              <w:bottom w:w="90" w:type="dxa"/>
              <w:right w:w="80" w:type="dxa"/>
            </w:tcMar>
            <w:vAlign w:val="center"/>
          </w:tcPr>
          <w:p w14:paraId="1DFA08B6" w14:textId="77777777" w:rsidR="0024466E" w:rsidRDefault="00000000">
            <w:pPr>
              <w:spacing w:after="0" w:line="240" w:lineRule="auto"/>
            </w:pPr>
            <w:r>
              <w:rPr>
                <w:sz w:val="16"/>
              </w:rPr>
              <w:t>Role clarity, staffing, workload and burnout</w:t>
            </w:r>
          </w:p>
        </w:tc>
        <w:tc>
          <w:tcPr>
            <w:tcW w:w="1440" w:type="dxa"/>
            <w:tcMar>
              <w:top w:w="90" w:type="dxa"/>
              <w:left w:w="80" w:type="dxa"/>
              <w:bottom w:w="90" w:type="dxa"/>
              <w:right w:w="80" w:type="dxa"/>
            </w:tcMar>
            <w:vAlign w:val="center"/>
          </w:tcPr>
          <w:p w14:paraId="1C2CE0FF"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00C056EE" w14:textId="77777777" w:rsidR="0024466E" w:rsidRDefault="00000000">
            <w:pPr>
              <w:spacing w:after="0" w:line="240" w:lineRule="auto"/>
            </w:pPr>
            <w:r>
              <w:rPr>
                <w:sz w:val="16"/>
              </w:rPr>
              <w:t>Coherent evidence links role ambiguity, staffing constraints, hand-off burden and limited control with operational friction and burnout. Most evidence is observational or qualitative, and temporal or causal effects are uncertain.</w:t>
            </w:r>
          </w:p>
        </w:tc>
      </w:tr>
      <w:tr w:rsidR="0024466E" w14:paraId="352E4204" w14:textId="77777777">
        <w:trPr>
          <w:cantSplit/>
          <w:jc w:val="center"/>
        </w:trPr>
        <w:tc>
          <w:tcPr>
            <w:tcW w:w="2880" w:type="dxa"/>
            <w:tcMar>
              <w:top w:w="90" w:type="dxa"/>
              <w:left w:w="80" w:type="dxa"/>
              <w:bottom w:w="90" w:type="dxa"/>
              <w:right w:w="80" w:type="dxa"/>
            </w:tcMar>
            <w:vAlign w:val="center"/>
          </w:tcPr>
          <w:p w14:paraId="6931E1F2" w14:textId="77777777" w:rsidR="0024466E" w:rsidRDefault="00000000">
            <w:pPr>
              <w:spacing w:after="0" w:line="240" w:lineRule="auto"/>
            </w:pPr>
            <w:r>
              <w:rPr>
                <w:sz w:val="16"/>
              </w:rPr>
              <w:lastRenderedPageBreak/>
              <w:t>Training, preparedness and realistic exercises</w:t>
            </w:r>
          </w:p>
        </w:tc>
        <w:tc>
          <w:tcPr>
            <w:tcW w:w="1440" w:type="dxa"/>
            <w:tcMar>
              <w:top w:w="90" w:type="dxa"/>
              <w:left w:w="80" w:type="dxa"/>
              <w:bottom w:w="90" w:type="dxa"/>
              <w:right w:w="80" w:type="dxa"/>
            </w:tcMar>
            <w:vAlign w:val="center"/>
          </w:tcPr>
          <w:p w14:paraId="39B5F461"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146D038F" w14:textId="77777777" w:rsidR="0024466E" w:rsidRDefault="00000000">
            <w:pPr>
              <w:spacing w:after="0" w:line="240" w:lineRule="auto"/>
            </w:pPr>
            <w:r>
              <w:rPr>
                <w:sz w:val="16"/>
              </w:rPr>
              <w:t>Case studies and simulations consistently show that realistic cross-functional practice exposes hidden dependencies and supports adaptation. Direct comparative evaluations and durable post-training outcomes are sparse.</w:t>
            </w:r>
          </w:p>
        </w:tc>
      </w:tr>
      <w:tr w:rsidR="0024466E" w14:paraId="704FE9EA" w14:textId="77777777">
        <w:trPr>
          <w:cantSplit/>
          <w:jc w:val="center"/>
        </w:trPr>
        <w:tc>
          <w:tcPr>
            <w:tcW w:w="2880" w:type="dxa"/>
            <w:tcMar>
              <w:top w:w="90" w:type="dxa"/>
              <w:left w:w="80" w:type="dxa"/>
              <w:bottom w:w="90" w:type="dxa"/>
              <w:right w:w="80" w:type="dxa"/>
            </w:tcMar>
            <w:vAlign w:val="center"/>
          </w:tcPr>
          <w:p w14:paraId="4AA76EB7" w14:textId="77777777" w:rsidR="0024466E" w:rsidRDefault="00000000">
            <w:pPr>
              <w:spacing w:after="0" w:line="240" w:lineRule="auto"/>
            </w:pPr>
            <w:r>
              <w:rPr>
                <w:sz w:val="16"/>
              </w:rPr>
              <w:t>Post-incident learning and organisational integration</w:t>
            </w:r>
          </w:p>
        </w:tc>
        <w:tc>
          <w:tcPr>
            <w:tcW w:w="1440" w:type="dxa"/>
            <w:tcMar>
              <w:top w:w="90" w:type="dxa"/>
              <w:left w:w="80" w:type="dxa"/>
              <w:bottom w:w="90" w:type="dxa"/>
              <w:right w:w="80" w:type="dxa"/>
            </w:tcMar>
            <w:vAlign w:val="center"/>
          </w:tcPr>
          <w:p w14:paraId="144F4577" w14:textId="77777777" w:rsidR="0024466E" w:rsidRDefault="00000000">
            <w:pPr>
              <w:spacing w:after="0" w:line="240" w:lineRule="auto"/>
              <w:jc w:val="center"/>
            </w:pPr>
            <w:r>
              <w:rPr>
                <w:sz w:val="16"/>
              </w:rPr>
              <w:t>Moderate</w:t>
            </w:r>
          </w:p>
        </w:tc>
        <w:tc>
          <w:tcPr>
            <w:tcW w:w="5616" w:type="dxa"/>
            <w:tcMar>
              <w:top w:w="90" w:type="dxa"/>
              <w:left w:w="80" w:type="dxa"/>
              <w:bottom w:w="90" w:type="dxa"/>
              <w:right w:w="80" w:type="dxa"/>
            </w:tcMar>
            <w:vAlign w:val="center"/>
          </w:tcPr>
          <w:p w14:paraId="402897AF" w14:textId="77777777" w:rsidR="0024466E" w:rsidRDefault="00000000">
            <w:pPr>
              <w:spacing w:after="0" w:line="240" w:lineRule="auto"/>
            </w:pPr>
            <w:r>
              <w:rPr>
                <w:sz w:val="16"/>
              </w:rPr>
              <w:t>Multiple studies describe technically narrow reviews, informal learning and weak follow-through. Convergence is strong, but most studies use retrospective self-report and lack independent measures of organisational change.</w:t>
            </w:r>
          </w:p>
        </w:tc>
      </w:tr>
      <w:tr w:rsidR="0024466E" w14:paraId="3B9CF2E1" w14:textId="77777777">
        <w:trPr>
          <w:cantSplit/>
          <w:jc w:val="center"/>
        </w:trPr>
        <w:tc>
          <w:tcPr>
            <w:tcW w:w="2880" w:type="dxa"/>
            <w:tcMar>
              <w:top w:w="90" w:type="dxa"/>
              <w:left w:w="80" w:type="dxa"/>
              <w:bottom w:w="90" w:type="dxa"/>
              <w:right w:w="80" w:type="dxa"/>
            </w:tcMar>
            <w:vAlign w:val="center"/>
          </w:tcPr>
          <w:p w14:paraId="44CDB1F0" w14:textId="77777777" w:rsidR="0024466E" w:rsidRDefault="00000000">
            <w:pPr>
              <w:spacing w:after="0" w:line="240" w:lineRule="auto"/>
            </w:pPr>
            <w:r>
              <w:rPr>
                <w:sz w:val="16"/>
              </w:rPr>
              <w:t>Tool usability, data quality and automation with human oversight</w:t>
            </w:r>
          </w:p>
        </w:tc>
        <w:tc>
          <w:tcPr>
            <w:tcW w:w="1440" w:type="dxa"/>
            <w:tcMar>
              <w:top w:w="90" w:type="dxa"/>
              <w:left w:w="80" w:type="dxa"/>
              <w:bottom w:w="90" w:type="dxa"/>
              <w:right w:w="80" w:type="dxa"/>
            </w:tcMar>
            <w:vAlign w:val="center"/>
          </w:tcPr>
          <w:p w14:paraId="22302ED0"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2D80A73F" w14:textId="77777777" w:rsidR="0024466E" w:rsidRDefault="00000000">
            <w:pPr>
              <w:spacing w:after="0" w:line="240" w:lineRule="auto"/>
            </w:pPr>
            <w:r>
              <w:rPr>
                <w:sz w:val="16"/>
              </w:rPr>
              <w:t>Evidence repeatedly identifies fragmented tools, poor data context and dependence on tacit workarounds. Recent automation findings are largely perceptual and do not establish objective effect sizes or safe delegation thresholds.</w:t>
            </w:r>
          </w:p>
        </w:tc>
      </w:tr>
      <w:tr w:rsidR="0024466E" w14:paraId="7AB6C986" w14:textId="77777777">
        <w:trPr>
          <w:cantSplit/>
          <w:jc w:val="center"/>
        </w:trPr>
        <w:tc>
          <w:tcPr>
            <w:tcW w:w="2880" w:type="dxa"/>
            <w:tcMar>
              <w:top w:w="90" w:type="dxa"/>
              <w:left w:w="80" w:type="dxa"/>
              <w:bottom w:w="90" w:type="dxa"/>
              <w:right w:w="80" w:type="dxa"/>
            </w:tcMar>
            <w:vAlign w:val="center"/>
          </w:tcPr>
          <w:p w14:paraId="0F1E7729" w14:textId="77777777" w:rsidR="0024466E" w:rsidRDefault="00000000">
            <w:pPr>
              <w:spacing w:after="0" w:line="240" w:lineRule="auto"/>
            </w:pPr>
            <w:r>
              <w:rPr>
                <w:sz w:val="16"/>
              </w:rPr>
              <w:t>Healthcare continuity, patient safety and workforce adaptation</w:t>
            </w:r>
          </w:p>
        </w:tc>
        <w:tc>
          <w:tcPr>
            <w:tcW w:w="1440" w:type="dxa"/>
            <w:tcMar>
              <w:top w:w="90" w:type="dxa"/>
              <w:left w:w="80" w:type="dxa"/>
              <w:bottom w:w="90" w:type="dxa"/>
              <w:right w:w="80" w:type="dxa"/>
            </w:tcMar>
            <w:vAlign w:val="center"/>
          </w:tcPr>
          <w:p w14:paraId="1ECE1612" w14:textId="77777777" w:rsidR="0024466E" w:rsidRDefault="00000000">
            <w:pPr>
              <w:spacing w:after="0" w:line="240" w:lineRule="auto"/>
              <w:jc w:val="center"/>
            </w:pPr>
            <w:r>
              <w:rPr>
                <w:sz w:val="16"/>
              </w:rPr>
              <w:t>Low to moderate</w:t>
            </w:r>
          </w:p>
        </w:tc>
        <w:tc>
          <w:tcPr>
            <w:tcW w:w="5616" w:type="dxa"/>
            <w:tcMar>
              <w:top w:w="90" w:type="dxa"/>
              <w:left w:w="80" w:type="dxa"/>
              <w:bottom w:w="90" w:type="dxa"/>
              <w:right w:w="80" w:type="dxa"/>
            </w:tcMar>
            <w:vAlign w:val="center"/>
          </w:tcPr>
          <w:p w14:paraId="63317087" w14:textId="77777777" w:rsidR="0024466E" w:rsidRDefault="00000000">
            <w:pPr>
              <w:spacing w:after="0" w:line="240" w:lineRule="auto"/>
            </w:pPr>
            <w:r>
              <w:rPr>
                <w:sz w:val="16"/>
              </w:rPr>
              <w:t>One high-fidelity simulation and one post-incident qualitative study provide directly relevant healthcare evidence, with consistent emphasis on communication, manual alternatives and workforce burden. Breadth and quantitative outcome evidence are limited.</w:t>
            </w:r>
          </w:p>
        </w:tc>
      </w:tr>
    </w:tbl>
    <w:p w14:paraId="515E1BC1" w14:textId="77777777" w:rsidR="0024466E" w:rsidRDefault="00000000">
      <w:pPr>
        <w:pStyle w:val="TableNote"/>
      </w:pPr>
      <w:r>
        <w:t>Confidence considered methodological limitations, coherence, directness, breadth of settings and adequacy of supporting data. These are structured judgements, not formal GRADE ratings.</w:t>
      </w:r>
    </w:p>
    <w:p w14:paraId="225BA18B" w14:textId="77777777" w:rsidR="0024466E" w:rsidRDefault="00000000">
      <w:pPr>
        <w:pStyle w:val="Heading1"/>
      </w:pPr>
      <w:r>
        <w:t>4. Discussion</w:t>
      </w:r>
    </w:p>
    <w:p w14:paraId="30511096" w14:textId="77777777" w:rsidR="0024466E" w:rsidRDefault="00000000">
      <w:r>
        <w:t>The principal finding is that incident response is best understood as a temporary, high-consequence socio-technical system. Technical detection and containment remain essential, but the evidence repeatedly located failure at interfaces: between tools, shifts, tiers, teams, professional languages and organisational levels. A technically correct alert can still produce a poor response if it is not placed in business context, if authority is unclear, if the next shift cannot reconstruct the reasoning, or if managers receive information too late to protect critical services. Conversely, strong informal networks and manual alternatives can compensate for imperfect systems, though often at a cost to consistency and workforce wellbeing.</w:t>
      </w:r>
    </w:p>
    <w:p w14:paraId="30F62216" w14:textId="77777777" w:rsidR="0024466E" w:rsidRDefault="00000000">
      <w:r>
        <w:t>Shared situation awareness provides a unifying explanation for several themes. Responders need an evolving account of the threat, affected assets, operational consequences, actions completed, decisions pending and uncertainties that remain. The evidence suggests that this account is not produced by a dashboard alone. It is negotiated through communication and depends on whether information can travel across technical and organisational boundaries. The 2025 Log4Shell case showed that abundant local activity did not create a common operational picture when information was delayed or one-way (Andreasson et al., 2025). Earlier field research reached a similar conclusion from different contexts: expertise may exist in the organisation but remain inaccessible across tier, clearance or team boundaries (Nyre-Yu et al., 2019).</w:t>
      </w:r>
    </w:p>
    <w:p w14:paraId="6D86666E" w14:textId="77777777" w:rsidR="0024466E" w:rsidRDefault="00000000">
      <w:r>
        <w:t>Role clarity should not be reduced to a static organisational chart. Incidents create tasks and dependencies that cross normal responsibilities, so effective role design must specify authority, escalation, decision rights and hand-off expectations while allowing adaptive reconfiguration. This explains why both formal and informal structures matter. Informal networks can accelerate access to trusted expertise, but organisations that depend on them exclusively create fragility when key people are absent or when smaller member organisations lack access to the network. The Norwegian information-sharing study made this inequity visible: municipality size, geography, resources and personal relationships shaped the ability to obtain and use information (Steffensen &amp; Gnanasekaran, 2024).</w:t>
      </w:r>
    </w:p>
    <w:p w14:paraId="58146BE4" w14:textId="77777777" w:rsidR="0024466E" w:rsidRDefault="00000000">
      <w:r>
        <w:t>The review also challenges the assumption that response performance can be improved simply by increasing alert throughput. Metrics that reward closure volume or speed may encourage local optimisation while masking investigation quality, learning, staff strain or service consequences. Woodward (2026) found no standard definition or measurement of incident-response effectiveness, and the broader evidence supports that concern. Useful measurement should be multi-dimensional: timely detection and containment, decision quality, continuity, safety, communication reliability, rework, learning implementation and sustainable workload. Metrics should be interpreted in context rather than used as isolated targets.</w:t>
      </w:r>
    </w:p>
    <w:p w14:paraId="227BF341" w14:textId="77777777" w:rsidR="0024466E" w:rsidRDefault="00000000">
      <w:r>
        <w:t xml:space="preserve">Training evidence supports realism and cross-functional participation, but not a universal exercise format. Exercises were valuable because they revealed hidden dependencies, missing competence, unclear goals and documentation gaps. Scenario work also enabled tacit reasoning to be articulated. The hospital </w:t>
      </w:r>
      <w:r>
        <w:lastRenderedPageBreak/>
        <w:t>simulation is particularly instructive because the observable outcome was not a quiz score but whether clinicians noticed and safely managed manipulated monitoring behaviour. The study does not prove that a specific training package improves patient outcomes, yet it demonstrates why clinical cyber preparedness must include behavioural rehearsal, manual verification and routes to technical support.</w:t>
      </w:r>
    </w:p>
    <w:p w14:paraId="082FCDE6" w14:textId="77777777" w:rsidR="0024466E" w:rsidRDefault="00000000">
      <w:r>
        <w:t>Organisational learning emerged as a persistent weakness. Teams often restored service and made immediate technical corrections without examining why the organisation was vulnerable, why information did not flow, or why warning signs failed to trigger action. A learning system requires more than a final report: criteria for selecting incidents and near misses, a psychologically safer review process, participation across technical and business functions, ownership of corrective actions, verification of implementation and assessment of whether the change reduced future risk. The difference between documenting a lesson and changing the system is central.</w:t>
      </w:r>
    </w:p>
    <w:p w14:paraId="2CFA9665" w14:textId="77777777" w:rsidR="0024466E" w:rsidRDefault="00000000">
      <w:r>
        <w:t>Automation may alter the distribution of work rather than remove the need for expertise. The recent survey indicates perceived reductions in detection or response time alongside low willingness to trust autonomous decisions without human intervention (Falowo &amp; Bou Abdo, 2026). This pattern is consistent with earlier tool studies in which analysts combined automated outputs with tacit context and custom workarounds. Safe automation should therefore support triage, evidence aggregation, repetitive containment and documentation while preserving traceability, override, escalation and accountability. Objective comparative studies are needed before claims about mean time to detect or respond can be accepted as measured effects.</w:t>
      </w:r>
    </w:p>
    <w:p w14:paraId="2468701E" w14:textId="77777777" w:rsidR="0024466E" w:rsidRDefault="00000000">
      <w:r>
        <w:t>For healthcare and other critical services, resilience should be judged by both continuity and the conditions under which continuity was achieved. Staff improvisation, flattened hierarchy and manual workarounds can be adaptive, but a system that survives only through prolonged cognitive and emotional overextension may be operationally brittle. Cyber incident planning should be integrated with safety and business-continuity systems, including downtime communication, manual alternatives, escalation to technical support, prioritisation of critical functions and monitoring of workforce strain.</w:t>
      </w:r>
    </w:p>
    <w:p w14:paraId="55A1F70E" w14:textId="77777777" w:rsidR="0024466E" w:rsidRDefault="00000000">
      <w:r>
        <w:t>The evidence does not justify a pooled estimate or a causal statement that any single intervention improves response. It does justify a coherent set of propositions for practice and research. Response capability is strengthened when information is shared in a form that supports a common picture; roles and decision rights are explicit; staffing and workload are sustainable; training is realistic and cross-functional; tools preserve context and provenance; automation remains auditable; and post-incident review changes systems rather than only repairing the immediate technical fault.</w:t>
      </w:r>
    </w:p>
    <w:p w14:paraId="418FAADA" w14:textId="77777777" w:rsidR="0024466E" w:rsidRDefault="00000000">
      <w:pPr>
        <w:pStyle w:val="Heading1"/>
      </w:pPr>
      <w:r>
        <w:t>5. Strengths and Limitations</w:t>
      </w:r>
    </w:p>
    <w:p w14:paraId="3F9A5412" w14:textId="77777777" w:rsidR="0024466E" w:rsidRDefault="00000000">
      <w:r>
        <w:t>A strength of this review is the integration of evidence that is usually separated by disciplinary and sector boundaries. The ledger distinguishes records, reports and studies, preserves exact queries and counts, and links two reports from one underlying programme. Study-level data were limited to accessible source text or authoritative records, and absent items were reported as "Not reported". Design-specific MMAT judgements were used without unsupported totals, and the synthesis avoided significance voting and numerical pooling of incompatible outcomes.</w:t>
      </w:r>
    </w:p>
    <w:p w14:paraId="1E981F71" w14:textId="77777777" w:rsidR="0024466E" w:rsidRDefault="00000000">
      <w:r>
        <w:t>The principal review limitation is the acquisition strategy. The corpus was located through six open web searches and backward citation checking rather than a full set of bibliographic and citation databases. Subscription sources were not searched, and no separate PubMed/MEDLINE, Embase, Scopus or Web of Science export was available. Search algorithms are not fully transparent and may vary over time; exact result-card counts are auditable for this execution but do not guarantee comprehensive recall. Only English-language reports were eligible, three apparently relevant reports could not be retrieved, and grey literature was included selectively when an institutional thesis record and sufficient source text were available.</w:t>
      </w:r>
    </w:p>
    <w:p w14:paraId="4CFAF0EA" w14:textId="2ACAB736" w:rsidR="0024466E" w:rsidRDefault="00000000">
      <w:r w:rsidRPr="0027531E">
        <w:t xml:space="preserve">All review steps were performed </w:t>
      </w:r>
      <w:r w:rsidR="0027531E" w:rsidRPr="0027531E">
        <w:t xml:space="preserve">by a single reviewer. </w:t>
      </w:r>
      <w:r>
        <w:t xml:space="preserve">This creates risk of selection, extraction and interpretive error. The evidence itself was dominated by qualitative and cross-sectional designs, small purposive samples, self-report and settings in Europe or North America. Objective operational outcomes were uncommon, definitions of effectiveness varied, and adverse or safety outcomes were reported inconsistently. Publication and missing-evidence bias could not be formally assessed. The structured </w:t>
      </w:r>
      <w:r>
        <w:lastRenderedPageBreak/>
        <w:t>confidence judgements should therefore be read as transparent interpretive assessments rather than formal GRADE ratings.</w:t>
      </w:r>
    </w:p>
    <w:p w14:paraId="51F92A0E" w14:textId="77777777" w:rsidR="0024466E" w:rsidRDefault="00000000">
      <w:pPr>
        <w:pStyle w:val="Heading1"/>
      </w:pPr>
      <w:r>
        <w:t>6. Organisational, Safety and Research Implications</w:t>
      </w:r>
    </w:p>
    <w:p w14:paraId="5ECF4E40" w14:textId="77777777" w:rsidR="0024466E" w:rsidRDefault="00000000">
      <w:r>
        <w:t>Organisations can act on the convergent findings without treating them as proof of a particular commercial solution. Incident command should maintain an explicit common operational picture containing affected services, uncertainties, decisions, owners and next review points. Shift and team hand-offs should transfer reasoning and unresolved questions, not only ticket status. Escalation thresholds and authority should be rehearsed across security, operations, leadership, communications, legal and, where relevant, clinical safety functions.</w:t>
      </w:r>
    </w:p>
    <w:p w14:paraId="51F9CE0E" w14:textId="77777777" w:rsidR="0024466E" w:rsidRDefault="00000000">
      <w:r>
        <w:t>Preparedness programmes should use realistic, role-based scenarios that test communication, manual alternatives, external dependencies and recovery priorities. Exercises should have one or more clearly stated objectives, include the competence required to meet those objectives, preserve a decision and evidence trail, and result in owned corrective actions with follow-up. Organisations should monitor workload, after-hours burden, recognition and turnover as response-capability indicators. Automation should be evaluated against objective operational and safety outcomes and should preserve auditability, human override and accountability.</w:t>
      </w:r>
    </w:p>
    <w:p w14:paraId="7762E2FF" w14:textId="77777777" w:rsidR="0024466E" w:rsidRDefault="00000000">
      <w:r>
        <w:t>Future research should move from descriptive recognition of problems to prospective evaluation. Multi-site studies should define a core outcome set covering detection, triage, escalation, containment, recovery, continuity, safety, decision quality, communication reliability, learning implementation and workforce wellbeing. Controlled simulations can test communication structures, hand-off tools, decision support and automation while preserving realism. Natural experiments and interrupted time-series designs may be feasible when organisations introduce new response structures. Qualitative process evaluation should accompany quantitative outcomes to explain why an intervention worked, failed or created unintended burden.</w:t>
      </w:r>
    </w:p>
    <w:p w14:paraId="27AB50C4" w14:textId="77777777" w:rsidR="0024466E" w:rsidRDefault="00000000">
      <w:r>
        <w:t xml:space="preserve">Healthcare research should include patient-safety outcomes, downtime duration, medication and diagnostic process effects, recovery of digital services and workforce consequences. </w:t>
      </w:r>
      <w:r w:rsidRPr="0027531E">
        <w:t>Studies of artificial intelligence should report the decision delegated, false-positive and false-negative consequences, human review burden, override behaviour and the comparison condition.</w:t>
      </w:r>
      <w:r>
        <w:t xml:space="preserve"> Protocol registration, transparent sampling, data-sharing where safe, and reporting of null or adverse findings would materially improve the evidence base.</w:t>
      </w:r>
    </w:p>
    <w:p w14:paraId="72463A0E" w14:textId="77777777" w:rsidR="0024466E" w:rsidRDefault="00000000">
      <w:pPr>
        <w:pStyle w:val="Heading1"/>
      </w:pPr>
      <w:r>
        <w:t>7. Conclusion</w:t>
      </w:r>
    </w:p>
    <w:p w14:paraId="0B2E1689" w14:textId="77777777" w:rsidR="0024466E" w:rsidRDefault="00000000">
      <w:r>
        <w:t>The available evidence indicates that cybersecurity incident-response performance is shaped as much by organisational relationships, shared understanding and workforce conditions as by technical detection and containment. Across sectors, effective response was associated with timely information sharing, clear decision rights, trusted cross-functional coordination, sustainable staffing, realistic rehearsal, usable and contextualised data, and learning that changes underlying systems. In healthcare, these conditions also affect continuity and safety.</w:t>
      </w:r>
    </w:p>
    <w:p w14:paraId="02234B88" w14:textId="77777777" w:rsidR="0024466E" w:rsidRDefault="00000000">
      <w:r>
        <w:t>Confidence is moderate for the importance of communication, situation awareness, role clarity, workload and organisational learning, and low to moderate for specific training effects, automation benefits and healthcare outcome effects. The corpus does not support a pooled estimate or a claim that any single framework or technology is superior. Progress requires prospectively evaluated, multi-site socio-technical interventions with common operational, safety and wellbeing outcomes.</w:t>
      </w:r>
    </w:p>
    <w:p w14:paraId="1F155801" w14:textId="77777777" w:rsidR="0024466E" w:rsidRDefault="00000000">
      <w:pPr>
        <w:pStyle w:val="Heading1"/>
      </w:pPr>
      <w:r>
        <w:t>Declarations</w:t>
      </w:r>
    </w:p>
    <w:p w14:paraId="10DDEFAB" w14:textId="77777777" w:rsidR="0024466E" w:rsidRDefault="00000000">
      <w:pPr>
        <w:spacing w:after="80"/>
      </w:pPr>
      <w:r>
        <w:rPr>
          <w:b/>
        </w:rPr>
        <w:t xml:space="preserve">Protocol and registration: </w:t>
      </w:r>
      <w:r>
        <w:t>The review was not registered and no prospective public protocol was available.</w:t>
      </w:r>
    </w:p>
    <w:p w14:paraId="2D401A4F" w14:textId="77777777" w:rsidR="0024466E" w:rsidRDefault="00000000">
      <w:pPr>
        <w:spacing w:after="80"/>
      </w:pPr>
      <w:r>
        <w:rPr>
          <w:b/>
        </w:rPr>
        <w:t xml:space="preserve">Ethics approval and consent: </w:t>
      </w:r>
      <w:r>
        <w:t>This review analysed publicly available study reports and did not enrol participants; new participant ethics approval and consent were not required.</w:t>
      </w:r>
    </w:p>
    <w:p w14:paraId="4D754402" w14:textId="77777777" w:rsidR="00251CE7" w:rsidRDefault="00251CE7">
      <w:pPr>
        <w:spacing w:after="80"/>
        <w:rPr>
          <w:b/>
        </w:rPr>
      </w:pPr>
    </w:p>
    <w:p w14:paraId="5DBCF9EF" w14:textId="1AA52B27" w:rsidR="0024466E" w:rsidRDefault="00000000">
      <w:pPr>
        <w:spacing w:after="80"/>
      </w:pPr>
      <w:r>
        <w:rPr>
          <w:b/>
        </w:rPr>
        <w:lastRenderedPageBreak/>
        <w:t xml:space="preserve">Competing interests: </w:t>
      </w:r>
      <w:r>
        <w:t>No.</w:t>
      </w:r>
    </w:p>
    <w:p w14:paraId="35CD2356" w14:textId="77777777" w:rsidR="0024466E" w:rsidRDefault="00000000">
      <w:pPr>
        <w:spacing w:after="80"/>
      </w:pPr>
      <w:r>
        <w:rPr>
          <w:b/>
        </w:rPr>
        <w:t xml:space="preserve">Patient and public involvement: </w:t>
      </w:r>
      <w:r>
        <w:t>No patient or public involvement in this review was documented.</w:t>
      </w:r>
    </w:p>
    <w:p w14:paraId="19D16818" w14:textId="77777777" w:rsidR="0024466E" w:rsidRDefault="00000000">
      <w:pPr>
        <w:spacing w:after="80"/>
      </w:pPr>
      <w:r>
        <w:rPr>
          <w:b/>
        </w:rPr>
        <w:t xml:space="preserve">Data availability: </w:t>
      </w:r>
      <w:r>
        <w:t>The evidence ledger and supplementary material supplied with the manuscript contain the auditable search, screening, extraction, appraisal and reference-verification trail.</w:t>
      </w:r>
    </w:p>
    <w:p w14:paraId="24255D86" w14:textId="77777777" w:rsidR="008050B6" w:rsidRDefault="008050B6" w:rsidP="008050B6">
      <w:pPr>
        <w:spacing w:after="0" w:line="240" w:lineRule="auto"/>
        <w:rPr>
          <w:rFonts w:cs="Times New Roman"/>
          <w:b/>
        </w:rPr>
      </w:pPr>
      <w:r w:rsidRPr="000839CE">
        <w:rPr>
          <w:rFonts w:cs="Times New Roman"/>
          <w:b/>
        </w:rPr>
        <w:t>Declaration of AI Use</w:t>
      </w:r>
    </w:p>
    <w:p w14:paraId="48819A12" w14:textId="77777777" w:rsidR="008050B6" w:rsidRDefault="008050B6" w:rsidP="008050B6">
      <w:pPr>
        <w:spacing w:after="0" w:line="240" w:lineRule="auto"/>
        <w:rPr>
          <w:rFonts w:cs="Times New Roman"/>
          <w:b/>
        </w:rPr>
      </w:pPr>
    </w:p>
    <w:p w14:paraId="2F008DD1" w14:textId="77777777" w:rsidR="008050B6" w:rsidRDefault="008050B6" w:rsidP="008050B6">
      <w:pPr>
        <w:spacing w:after="0" w:line="240" w:lineRule="auto"/>
        <w:rPr>
          <w:rFonts w:cs="Times New Roman"/>
          <w:b/>
        </w:rPr>
      </w:pPr>
    </w:p>
    <w:p w14:paraId="434D4645" w14:textId="77777777" w:rsidR="008050B6" w:rsidRDefault="008050B6" w:rsidP="008050B6">
      <w:pPr>
        <w:spacing w:after="0" w:line="240" w:lineRule="auto"/>
        <w:rPr>
          <w:rFonts w:cs="Times New Roman"/>
          <w:b/>
        </w:rPr>
      </w:pPr>
    </w:p>
    <w:p w14:paraId="068D9984" w14:textId="77777777" w:rsidR="008050B6" w:rsidRPr="002D08AC" w:rsidRDefault="008050B6" w:rsidP="008050B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56BD05D" w14:textId="77777777" w:rsidR="008050B6" w:rsidRDefault="008050B6">
      <w:pPr>
        <w:spacing w:after="80"/>
      </w:pPr>
    </w:p>
    <w:p w14:paraId="56A503DB" w14:textId="77777777" w:rsidR="0024466E" w:rsidRDefault="00000000">
      <w:pPr>
        <w:pStyle w:val="Heading1"/>
      </w:pPr>
      <w:r>
        <w:t>References</w:t>
      </w:r>
    </w:p>
    <w:p w14:paraId="1391C792" w14:textId="77777777" w:rsidR="0024466E" w:rsidRDefault="00000000">
      <w:pPr>
        <w:pStyle w:val="Reference"/>
      </w:pPr>
      <w:r>
        <w:t>Ahmad, A., Hadgkiss, J., &amp; Ruighaver, A. B. (2012). Incident response teams - Challenges in supporting the organisational security function. Computers &amp; Security, 31(5), 643-652. https://doi.org/10.1016/j.cose.2012.04.001</w:t>
      </w:r>
    </w:p>
    <w:p w14:paraId="5AA1EBCD" w14:textId="77777777" w:rsidR="0024466E" w:rsidRDefault="00000000">
      <w:pPr>
        <w:pStyle w:val="Reference"/>
      </w:pPr>
      <w:r>
        <w:t>Ahmad, A., Maynard, S. B., Desouza, K. C., Kotsias, J., Whitty, M. T., &amp; Baskerville, R. L. (2021). How can organizations develop situation awareness for incident response: A case study of management practice. Computers &amp; Security, 101, 102122. https://doi.org/10.1016/j.cose.2020.102122</w:t>
      </w:r>
    </w:p>
    <w:p w14:paraId="10E0076B" w14:textId="77777777" w:rsidR="0024466E" w:rsidRDefault="00000000">
      <w:pPr>
        <w:pStyle w:val="Reference"/>
      </w:pPr>
      <w:r>
        <w:t>Andreasson, A., Artman, H., Brynielsson, J., &amp; Franke, U. (2025). Cyber situation awareness during an emerging cyberthreat: A case study. International Journal of Information Security, 24, 217. https://doi.org/10.1007/s10207-025-01106-z</w:t>
      </w:r>
    </w:p>
    <w:p w14:paraId="7D895594" w14:textId="77777777" w:rsidR="0024466E" w:rsidRDefault="00000000">
      <w:pPr>
        <w:pStyle w:val="Reference"/>
      </w:pPr>
      <w:r>
        <w:t>Angafor, G. N., Yevseyeva, I., &amp; Maglaras, L. (2023). Scenario-based incident response training: Lessons learnt from conducting an experiential learning virtual incident response tabletop exercise. Information and Computer Security, 31(4), 404-426. https://doi.org/10.1108/ICS-05-2022-0085</w:t>
      </w:r>
    </w:p>
    <w:p w14:paraId="18A51A6F" w14:textId="77777777" w:rsidR="0024466E" w:rsidRDefault="00000000">
      <w:pPr>
        <w:pStyle w:val="Reference"/>
      </w:pPr>
      <w:r>
        <w:t>Bartnes, M., Moe, N. B., &amp; Heegaard, P. E. (2016). The future of information security incident management training: A case study of electrical power companies. Computers &amp; Security, 61, 32-45. https://doi.org/10.1016/j.cose.2016.05.004</w:t>
      </w:r>
    </w:p>
    <w:p w14:paraId="10F3DDFB" w14:textId="77777777" w:rsidR="0024466E" w:rsidRDefault="00000000">
      <w:pPr>
        <w:pStyle w:val="Reference"/>
      </w:pPr>
      <w:r>
        <w:t>Bartnes, M., &amp; Moe, N. B. (2017). Challenges in IT security preparedness exercises: A case study. Computers &amp; Security, 67, 280-290. https://doi.org/10.1016/j.cose.2016.11.017</w:t>
      </w:r>
    </w:p>
    <w:p w14:paraId="7697AEDC" w14:textId="77777777" w:rsidR="0024466E" w:rsidRDefault="00000000">
      <w:pPr>
        <w:pStyle w:val="Reference"/>
      </w:pPr>
      <w:r>
        <w:t>Campbell, M., McKenzie, J. E., Sowden, A., Katikireddi, S. V., Brennan, S. E., Ellis, S., Hartmann-Boyce, J., Ryan, R., Shepperd, S., Thomas, J., Welch, V., &amp; Thomson, H. (2020). Synthesis without meta-analysis (SWiM) in systematic reviews: Reporting guideline. BMJ, 368, l6890. https://doi.org/10.1136/bmj.l6890</w:t>
      </w:r>
    </w:p>
    <w:p w14:paraId="341C3578" w14:textId="77777777" w:rsidR="0024466E" w:rsidRDefault="00000000">
      <w:pPr>
        <w:pStyle w:val="Reference"/>
      </w:pPr>
      <w:r>
        <w:t>Cho, S., Happa, J., &amp; Creese, S. (2020). Capturing tacit knowledge in security operation centres. IEEE Access, 8, 42021-42041. https://doi.org/10.1109/ACCESS.2020.2976076</w:t>
      </w:r>
    </w:p>
    <w:p w14:paraId="393C06B3" w14:textId="77777777" w:rsidR="0024466E" w:rsidRDefault="00000000">
      <w:pPr>
        <w:pStyle w:val="Reference"/>
      </w:pPr>
      <w:r>
        <w:t xml:space="preserve">Falowo, O. I., &amp; Bou Abdo, J. (2026). </w:t>
      </w:r>
      <w:r w:rsidRPr="0027531E">
        <w:t>Empirical study on automation, AI trust, and framework readiness in cybersecurity incident response. Algorithms, 19(1),</w:t>
      </w:r>
      <w:r>
        <w:t xml:space="preserve"> 62. https://doi.org/10.3390/a19010062</w:t>
      </w:r>
    </w:p>
    <w:p w14:paraId="4ED9CD27" w14:textId="77777777" w:rsidR="0024466E" w:rsidRDefault="00000000">
      <w:pPr>
        <w:pStyle w:val="Reference"/>
      </w:pPr>
      <w:r>
        <w:t>Grispos, G., Glisson, W. B., &amp; Storer, T. (2019). How good is your data? Investigating the quality of data generated during security incident response investigations. Proceedings of the 52nd Hawaii International Conference on System Sciences, 7156-7165. https://doi.org/10.24251/HICSS.2019.859</w:t>
      </w:r>
    </w:p>
    <w:p w14:paraId="14A03FFD" w14:textId="77777777" w:rsidR="0024466E" w:rsidRDefault="00000000">
      <w:pPr>
        <w:pStyle w:val="Reference"/>
      </w:pPr>
      <w:r>
        <w:t>Hong, Q. N., Pluye, P., Fabregues, S., Bartlett, G., Boardman, F., Cargo, M., Dagenais, P., Gagnon, M.-P., Griffiths, F., Nicolau, B., O'Cathain, A., Rousseau, M.-C., &amp; Vedel, I. (2018). Mixed Methods Appraisal Tool (MMAT), version 2018: User guide. McGill University.</w:t>
      </w:r>
    </w:p>
    <w:p w14:paraId="62C3992F" w14:textId="77777777" w:rsidR="0024466E" w:rsidRDefault="00000000">
      <w:pPr>
        <w:pStyle w:val="Reference"/>
      </w:pPr>
      <w:r>
        <w:t>Ioannou, M., Stavrou, E., &amp; Bada, M. (2019). Cybersecurity culture in computer security incident response teams: Investigating difficulties in communication and coordination. 2019 International Conference on Cyber Security and Protection of Digital Services. https://doi.org/10.1109/CyberSecPODS.2019.8885240</w:t>
      </w:r>
    </w:p>
    <w:p w14:paraId="04D89CD5" w14:textId="77777777" w:rsidR="0024466E" w:rsidRDefault="00000000">
      <w:pPr>
        <w:pStyle w:val="Reference"/>
      </w:pPr>
      <w:r>
        <w:t>Kassim, S. R. B. M., Li, S., &amp; Arief, B. (2022). How national CSIRTs leverage public data, OSINT and free tools in operational practices: An empirical study. Cyber Security: A Peer-Reviewed Journal, 5(3), 251-276. https://doi.org/10.69554/NFNP6432</w:t>
      </w:r>
    </w:p>
    <w:p w14:paraId="05055B6B" w14:textId="77777777" w:rsidR="0024466E" w:rsidRDefault="00000000">
      <w:pPr>
        <w:pStyle w:val="Reference"/>
      </w:pPr>
      <w:r>
        <w:t>Kokulu, F. B., Soneji, A., Bao, T., Shoshitaishvili, Y., Zhao, Z., Doupe, A., &amp; Ahn, G.-J. (2019). Matched and mismatched SOCs: A qualitative study on security operations center issues. Proceedings of the 2019 ACM SIGSAC Conference on Computer and Communications Security, 1955-1970. https://doi.org/10.1145/3319535.3354239</w:t>
      </w:r>
    </w:p>
    <w:p w14:paraId="3990C8A6" w14:textId="77777777" w:rsidR="0024466E" w:rsidRDefault="00000000">
      <w:pPr>
        <w:pStyle w:val="Reference"/>
      </w:pPr>
      <w:r>
        <w:t>Moore, G., Khurshid, Z., McDonnell, T., Rogers, L., &amp; Healy, O. (2023). A resilient workforce: Patient safety and the workforce response to a cyber-attack on the ICT systems of the national health service in Ireland. BMC Health Services Research, 23, 1112. https://doi.org/10.1186/s12913-023-10076-8</w:t>
      </w:r>
    </w:p>
    <w:p w14:paraId="026E6BAA" w14:textId="77777777" w:rsidR="0024466E" w:rsidRDefault="00000000">
      <w:pPr>
        <w:pStyle w:val="Reference"/>
      </w:pPr>
      <w:r>
        <w:t>Nepal, S., Hernandez, J., Lewis, R., Chaudhry, A., Houck, B., Knudsen, E., Rojas, R., Tankus, B., Prafullchandra, H., &amp; Czerwinski, M. (2024). Burnout in cybersecurity incident responders: Exploring the factors that light the fire. Proceedings of the ACM on Human-Computer Interaction, 8(CSCW1), 1-35. https://doi.org/10.1145/3637304</w:t>
      </w:r>
    </w:p>
    <w:p w14:paraId="612506B0" w14:textId="77777777" w:rsidR="0024466E" w:rsidRDefault="00000000">
      <w:pPr>
        <w:pStyle w:val="Reference"/>
      </w:pPr>
      <w:r>
        <w:t>National Institute of Standards and Technology. (2025). Incident response recommendations and considerations for cybersecurity risk management: A CSF 2.0 community profile (NIST SP 800-61 Rev. 3). https://doi.org/10.6028/NIST.SP.800-61r3</w:t>
      </w:r>
    </w:p>
    <w:p w14:paraId="647E750A" w14:textId="77777777" w:rsidR="0024466E" w:rsidRDefault="00000000">
      <w:pPr>
        <w:pStyle w:val="Reference"/>
      </w:pPr>
      <w:r>
        <w:lastRenderedPageBreak/>
        <w:t>Nyre-Yu, M., Gutzwiller, R. S., &amp; Caldwell, B. S. (2019). Observing cyber security incident response: Qualitative themes from field research. Proceedings of the Human Factors and Ergonomics Society Annual Meeting, 63(1), 437-441. https://doi.org/10.1177/1071181319631016</w:t>
      </w:r>
    </w:p>
    <w:p w14:paraId="625CEF13" w14:textId="77777777" w:rsidR="0024466E" w:rsidRDefault="00000000">
      <w:pPr>
        <w:pStyle w:val="Reference"/>
      </w:pPr>
      <w:r>
        <w:t>Page, M. J., McKenzie, J. E., Bossuyt, P. M., Boutron, I., Hoffmann, T. C., Mulrow, C. D., Shamseer, L., Tetzlaff, J. M., Akl, E. A., Brennan, S. E., Chou, R., Glanville, J., Grimshaw, J. M., Hrobjartsson, A., Lalu, M. M., Li, T., Loder, E. W., Mayo-Wilson, E., McDonald, S., ... Moher, D. (2021). The PRISMA 2020 statement: An updated guideline for reporting systematic reviews. BMJ, 372, n71. https://doi.org/10.1136/bmj.n71</w:t>
      </w:r>
    </w:p>
    <w:p w14:paraId="224CA211" w14:textId="77777777" w:rsidR="0024466E" w:rsidRDefault="00000000">
      <w:pPr>
        <w:pStyle w:val="Reference"/>
      </w:pPr>
      <w:r>
        <w:t>Page, M. J., Moher, D., Bossuyt, P. M., Boutron, I., Hoffmann, T. C., Mulrow, C. D., Shamseer, L., Tetzlaff, J. M., Akl, E. A., Brennan, S. E., Chou, R., Glanville, J., Grimshaw, J. M., Hrobjartsson, A., Lalu, M. M., Li, T., Loder, E. W., Mayo-Wilson, E., McDonald, S., ... McKenzie, J. E. (2021). PRISMA 2020 explanation and elaboration: Updated guidance and exemplars for reporting systematic reviews. BMJ, 372, n160. https://doi.org/10.1136/bmj.n160</w:t>
      </w:r>
    </w:p>
    <w:p w14:paraId="70F22ACF" w14:textId="77777777" w:rsidR="0024466E" w:rsidRDefault="00000000">
      <w:pPr>
        <w:pStyle w:val="Reference"/>
      </w:pPr>
      <w:r>
        <w:t>Patterson, C. M., Nurse, J. R. C., &amp; Franqueira, V. N. L. (2024). "I don't think we're there yet": The practices and challenges of organisational learning from cyber security incidents. Computers &amp; Security, 139, 103699. https://doi.org/10.1016/j.cose.2023.103699</w:t>
      </w:r>
    </w:p>
    <w:p w14:paraId="15612FBA" w14:textId="77777777" w:rsidR="0024466E" w:rsidRDefault="00000000">
      <w:pPr>
        <w:pStyle w:val="Reference"/>
      </w:pPr>
      <w:r>
        <w:t>Reisser, A., Vielberth, M., Fohringer, S., &amp; Pernul, G. (2022). Security operations center roles and skills: A comparison of theory and practice. In Data and Applications Security and Privacy XXXVI (Lecture Notes in Computer Science, Vol. 13383, pp. 316-327). Springer. https://doi.org/10.1007/978-3-031-10684-2_18</w:t>
      </w:r>
    </w:p>
    <w:p w14:paraId="4C70B508" w14:textId="77777777" w:rsidR="0024466E" w:rsidRDefault="00000000">
      <w:pPr>
        <w:pStyle w:val="Reference"/>
      </w:pPr>
      <w:r>
        <w:t>Rethlefsen, M. L., Kirtley, S., Waffenschmidt, S., Ayala, A. P., Moher, D., Page, M. J., Koffel, J. B., &amp; PRISMA-S Group. (2021). PRISMA-S: An extension to the PRISMA statement for reporting literature searches in systematic reviews. Journal of the Medical Library Association, 109(2), 174-200. https://doi.org/10.5195/jmla.2021.962</w:t>
      </w:r>
    </w:p>
    <w:p w14:paraId="1ADDD22B" w14:textId="77777777" w:rsidR="0024466E" w:rsidRDefault="00000000">
      <w:pPr>
        <w:pStyle w:val="Reference"/>
      </w:pPr>
      <w:r>
        <w:t>Ryan, M. (2025). A mixed methods comparative analysis of organizational incident response to SolarWinds and Log4Shell [Doctoral dissertation, Dakota State University]. https://scholar.dsu.edu/theses/494/</w:t>
      </w:r>
    </w:p>
    <w:p w14:paraId="4AD4826E" w14:textId="77777777" w:rsidR="0024466E" w:rsidRDefault="00000000">
      <w:pPr>
        <w:pStyle w:val="Reference"/>
      </w:pPr>
      <w:r>
        <w:t>Shedden, P., Ahmad, A., &amp; Ruighaver, A. B. (2011). Informal learning in security incident response teams. Australasian Conference on Information Systems 2011 Proceedings, Paper 37. https://aisel.aisnet.org/acis2011/37/</w:t>
      </w:r>
    </w:p>
    <w:p w14:paraId="559C8263" w14:textId="77777777" w:rsidR="0024466E" w:rsidRDefault="00000000">
      <w:pPr>
        <w:pStyle w:val="Reference"/>
      </w:pPr>
      <w:r>
        <w:t>Steffensen, V., &amp; Gnanasekaran, V. (2024). Information sharing between the computer security incident response team and its members: An empirical study. Norsk IKT-konferanse for forskning og utdanning, 3.</w:t>
      </w:r>
    </w:p>
    <w:p w14:paraId="7042F44B" w14:textId="77777777" w:rsidR="0024466E" w:rsidRDefault="00000000">
      <w:pPr>
        <w:pStyle w:val="Reference"/>
      </w:pPr>
      <w:r>
        <w:t>Sundaramurthy, S. C., Case, J., Truong, T., Zomlot, L., &amp; Hoffmann, M. (2014). A tale of three security operation centers. Proceedings of the 2014 ACM Workshop on Security Information Workers. https://doi.org/10.1145/2663887.2663904</w:t>
      </w:r>
    </w:p>
    <w:p w14:paraId="53A2C367" w14:textId="77777777" w:rsidR="0024466E" w:rsidRDefault="00000000">
      <w:pPr>
        <w:pStyle w:val="Reference"/>
      </w:pPr>
      <w:r>
        <w:t>Sundaramurthy, S. C., Bardas, A. G., Case, J., Ou, X., Wesch, M., McHugh, J., &amp; Rajagopalan, S. R. (2015). A human capital model for mitigating security analyst burnout. Eleventh Symposium on Usable Privacy and Security, 347-359. https://www.usenix.org/conference/soups2015/proceedings/presentation/sundaramurthy</w:t>
      </w:r>
    </w:p>
    <w:p w14:paraId="262F1E76" w14:textId="77777777" w:rsidR="0024466E" w:rsidRDefault="00000000">
      <w:pPr>
        <w:pStyle w:val="Reference"/>
      </w:pPr>
      <w:r>
        <w:t>van der Kleij, R., Kleinhuis, G., &amp; Young, H. (2017). Computer security incident response team effectiveness: A needs assessment. Frontiers in Psychology, 8, 2179. https://doi.org/10.3389/fpsyg.2017.02179</w:t>
      </w:r>
    </w:p>
    <w:p w14:paraId="78B058C0" w14:textId="77777777" w:rsidR="0024466E" w:rsidRDefault="00000000">
      <w:pPr>
        <w:pStyle w:val="Reference"/>
      </w:pPr>
      <w:r>
        <w:t>Werlinger, R., Muldner, K., Hawkey, K., &amp; Beznosov, K. (2010). Preparation, detection, and analysis: The diagnostic work of IT security incident response. Information Management &amp; Computer Security, 18(1), 26-42. https://doi.org/10.1108/09685221011035241</w:t>
      </w:r>
    </w:p>
    <w:p w14:paraId="2049AD52" w14:textId="77777777" w:rsidR="0024466E" w:rsidRDefault="00000000">
      <w:pPr>
        <w:pStyle w:val="Reference"/>
      </w:pPr>
      <w:r>
        <w:t>Willing, M., Dresen, C., Gerlitz, E., Haering, M., Smith, M., Binnewies, C., Guess, T., Haverkamp, U., &amp; Schinzel, S. (2021). Behavioral responses to a cyber attack in a hospital environment. Scientific Reports, 11, 19352. https://doi.org/10.1038/s41598-021-98576-7</w:t>
      </w:r>
    </w:p>
    <w:p w14:paraId="458AE819" w14:textId="77777777" w:rsidR="0024466E" w:rsidRDefault="00000000">
      <w:pPr>
        <w:pStyle w:val="Reference"/>
      </w:pPr>
      <w:r>
        <w:t>Woodward, E. (2026). Reimagining the art of organising chaos: A systemic design inquiry into the effectiveness of cyber security incident response [Doctoral thesis, University of Bath]. https://researchportal.bath.ac.uk/en/studentTheses/reimagining-the-art-of-organising-chaos-a-systemic-design-inquiry/</w:t>
      </w:r>
    </w:p>
    <w:sectPr w:rsidR="0024466E" w:rsidSect="00034616">
      <w:headerReference w:type="even" r:id="rId19"/>
      <w:headerReference w:type="default" r:id="rId20"/>
      <w:footerReference w:type="default" r:id="rId21"/>
      <w:headerReference w:type="first" r:id="rId22"/>
      <w:pgSz w:w="11906" w:h="16838"/>
      <w:pgMar w:top="1134" w:right="1191" w:bottom="102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CC159" w14:textId="77777777" w:rsidR="006F521E" w:rsidRDefault="006F521E">
      <w:pPr>
        <w:spacing w:after="0" w:line="240" w:lineRule="auto"/>
      </w:pPr>
      <w:r>
        <w:separator/>
      </w:r>
    </w:p>
  </w:endnote>
  <w:endnote w:type="continuationSeparator" w:id="0">
    <w:p w14:paraId="0E920457" w14:textId="77777777" w:rsidR="006F521E" w:rsidRDefault="006F5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8E8A" w14:textId="77777777" w:rsidR="00251CE7" w:rsidRDefault="00251C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34B8E"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257E1" w14:textId="77777777" w:rsidR="00251CE7" w:rsidRDefault="00251C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AB12C"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C408" w14:textId="77777777" w:rsidR="0024466E" w:rsidRDefault="00000000">
    <w:pPr>
      <w:pStyle w:val="Footer"/>
      <w:jc w:val="center"/>
    </w:pPr>
    <w:r>
      <w:rPr>
        <w:rFonts w:ascii="Arial" w:hAnsi="Arial"/>
        <w:color w:val="4F4F4F"/>
        <w:sz w:val="16"/>
      </w:rPr>
      <w:t xml:space="preserve">Page </w:t>
    </w:r>
    <w:r>
      <w:rPr>
        <w:rFonts w:ascii="Arial" w:hAnsi="Arial"/>
        <w:color w:val="4F4F4F"/>
        <w:sz w:val="16"/>
      </w:rPr>
      <w:fldChar w:fldCharType="begin"/>
    </w:r>
    <w:r>
      <w:rPr>
        <w:rFonts w:ascii="Arial" w:hAnsi="Arial"/>
        <w:color w:val="4F4F4F"/>
        <w:sz w:val="16"/>
      </w:rPr>
      <w:instrText>PAGE</w:instrText>
    </w:r>
    <w:r>
      <w:rPr>
        <w:rFonts w:ascii="Arial" w:hAnsi="Arial"/>
        <w:color w:val="4F4F4F"/>
        <w:sz w:val="16"/>
      </w:rPr>
      <w:fldChar w:fldCharType="separate"/>
    </w:r>
    <w:r>
      <w:rPr>
        <w:rFonts w:ascii="Arial" w:hAnsi="Arial"/>
        <w:color w:val="4F4F4F"/>
        <w:sz w:val="16"/>
      </w:rPr>
      <w:t>1</w:t>
    </w:r>
    <w:r>
      <w:rPr>
        <w:rFonts w:ascii="Arial" w:hAnsi="Arial"/>
        <w:color w:val="4F4F4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950D" w14:textId="77777777" w:rsidR="006F521E" w:rsidRDefault="006F521E">
      <w:pPr>
        <w:spacing w:after="0" w:line="240" w:lineRule="auto"/>
      </w:pPr>
      <w:r>
        <w:separator/>
      </w:r>
    </w:p>
  </w:footnote>
  <w:footnote w:type="continuationSeparator" w:id="0">
    <w:p w14:paraId="4BF2D0C6" w14:textId="77777777" w:rsidR="006F521E" w:rsidRDefault="006F5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DD75" w14:textId="5026670E" w:rsidR="00251CE7" w:rsidRDefault="00251CE7">
    <w:pPr>
      <w:pStyle w:val="Header"/>
    </w:pPr>
    <w:r>
      <w:rPr>
        <w:noProof/>
      </w:rPr>
      <w:pict w14:anchorId="0552AF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1" o:spid="_x0000_s1026" type="#_x0000_t136" style="position:absolute;margin-left:0;margin-top:0;width:604.25pt;height:67.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7DC2" w14:textId="1ACF5375" w:rsidR="00251CE7" w:rsidRDefault="00251CE7">
    <w:pPr>
      <w:pStyle w:val="Header"/>
    </w:pPr>
    <w:r>
      <w:rPr>
        <w:noProof/>
      </w:rPr>
      <w:pict w14:anchorId="125D2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2" o:spid="_x0000_s1027" type="#_x0000_t136" style="position:absolute;margin-left:0;margin-top:0;width:604.25pt;height:67.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D7BB" w14:textId="391CFE0C" w:rsidR="00251CE7" w:rsidRDefault="00251CE7">
    <w:pPr>
      <w:pStyle w:val="Header"/>
    </w:pPr>
    <w:r>
      <w:rPr>
        <w:noProof/>
      </w:rPr>
      <w:pict w14:anchorId="26D449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0" o:spid="_x0000_s1025" type="#_x0000_t136" style="position:absolute;margin-left:0;margin-top:0;width:604.25pt;height:67.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8AAD" w14:textId="30FACECC" w:rsidR="00251CE7" w:rsidRDefault="00251CE7">
    <w:pPr>
      <w:pStyle w:val="Header"/>
    </w:pPr>
    <w:r>
      <w:rPr>
        <w:noProof/>
      </w:rPr>
      <w:pict w14:anchorId="00A40F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4" o:spid="_x0000_s1031" type="#_x0000_t136" style="position:absolute;margin-left:0;margin-top:0;width:604.25pt;height:67.1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3931F833">
        <v:shape id="_x0000_s1030" type="#_x0000_t136" style="position:absolute;margin-left:0;margin-top:0;width:604.25pt;height:67.1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5BF2" w14:textId="39B18A94" w:rsidR="00251CE7" w:rsidRDefault="00251CE7">
    <w:pPr>
      <w:pStyle w:val="Header"/>
    </w:pPr>
    <w:r>
      <w:rPr>
        <w:noProof/>
      </w:rPr>
      <w:pict w14:anchorId="0C371F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5" o:spid="_x0000_s1033" type="#_x0000_t136" style="position:absolute;margin-left:0;margin-top:0;width:604.25pt;height:67.1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D55DDDD">
        <v:shape id="_x0000_s1032" type="#_x0000_t136" style="position:absolute;margin-left:0;margin-top:0;width:604.25pt;height:67.1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6F88" w14:textId="2C1DA199" w:rsidR="00251CE7" w:rsidRDefault="00251CE7">
    <w:pPr>
      <w:pStyle w:val="Header"/>
    </w:pPr>
    <w:r>
      <w:rPr>
        <w:noProof/>
      </w:rPr>
      <w:pict w14:anchorId="271D5A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3" o:spid="_x0000_s1029" type="#_x0000_t136" style="position:absolute;margin-left:0;margin-top:0;width:604.25pt;height:67.1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5FC8E3C2">
        <v:shape id="_x0000_s1028" type="#_x0000_t136" style="position:absolute;margin-left:0;margin-top:0;width:604.25pt;height:67.1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F0C0" w14:textId="474D0EF8" w:rsidR="00251CE7" w:rsidRDefault="00251CE7">
    <w:pPr>
      <w:pStyle w:val="Header"/>
    </w:pPr>
    <w:r>
      <w:rPr>
        <w:noProof/>
      </w:rPr>
      <w:pict w14:anchorId="3BDDCE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7" o:spid="_x0000_s1039" type="#_x0000_t136" style="position:absolute;margin-left:0;margin-top:0;width:604.25pt;height:67.1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796AAC93">
        <v:shape id="_x0000_s1038" type="#_x0000_t136" style="position:absolute;margin-left:0;margin-top:0;width:604.25pt;height:67.1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C6B8E2C">
        <v:shape id="_x0000_s1037" type="#_x0000_t136" style="position:absolute;margin-left:0;margin-top:0;width:604.25pt;height:67.1pt;rotation:315;z-index:-25163366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B9B41" w14:textId="5C905AEC" w:rsidR="00251CE7" w:rsidRDefault="00251CE7">
    <w:pPr>
      <w:pStyle w:val="Header"/>
    </w:pPr>
    <w:r>
      <w:rPr>
        <w:noProof/>
      </w:rPr>
      <w:pict w14:anchorId="7F723C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8" o:spid="_x0000_s1042" type="#_x0000_t136" style="position:absolute;margin-left:0;margin-top:0;width:604.25pt;height:67.1pt;rotation:315;z-index:-25162547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11C76A73">
        <v:shape id="_x0000_s1041" type="#_x0000_t136" style="position:absolute;margin-left:0;margin-top:0;width:604.25pt;height:67.1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A4B71DB">
        <v:shape id="_x0000_s1040" type="#_x0000_t136" style="position:absolute;margin-left:0;margin-top:0;width:604.25pt;height:67.1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0287" w14:textId="7AAC917B" w:rsidR="00251CE7" w:rsidRDefault="00251CE7">
    <w:pPr>
      <w:pStyle w:val="Header"/>
    </w:pPr>
    <w:r>
      <w:rPr>
        <w:noProof/>
      </w:rPr>
      <w:pict w14:anchorId="7A99D5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232756" o:spid="_x0000_s1036" type="#_x0000_t136" style="position:absolute;margin-left:0;margin-top:0;width:604.25pt;height:67.1pt;rotation:315;z-index:-251635712;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492423CA">
        <v:shape id="_x0000_s1035" type="#_x0000_t136" style="position:absolute;margin-left:0;margin-top:0;width:604.25pt;height:67.1pt;rotation:315;z-index:-251637760;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A7DD181">
        <v:shape id="_x0000_s1034" type="#_x0000_t136" style="position:absolute;margin-left:0;margin-top:0;width:604.25pt;height:67.1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6146999">
    <w:abstractNumId w:val="8"/>
  </w:num>
  <w:num w:numId="2" w16cid:durableId="995497297">
    <w:abstractNumId w:val="6"/>
  </w:num>
  <w:num w:numId="3" w16cid:durableId="1765809363">
    <w:abstractNumId w:val="5"/>
  </w:num>
  <w:num w:numId="4" w16cid:durableId="1832940689">
    <w:abstractNumId w:val="4"/>
  </w:num>
  <w:num w:numId="5" w16cid:durableId="121074207">
    <w:abstractNumId w:val="7"/>
  </w:num>
  <w:num w:numId="6" w16cid:durableId="2001229175">
    <w:abstractNumId w:val="3"/>
  </w:num>
  <w:num w:numId="7" w16cid:durableId="1431774827">
    <w:abstractNumId w:val="2"/>
  </w:num>
  <w:num w:numId="8" w16cid:durableId="481119579">
    <w:abstractNumId w:val="1"/>
  </w:num>
  <w:num w:numId="9" w16cid:durableId="347299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3C71"/>
    <w:rsid w:val="0024466E"/>
    <w:rsid w:val="00251CE7"/>
    <w:rsid w:val="0027531E"/>
    <w:rsid w:val="0029639D"/>
    <w:rsid w:val="00326F90"/>
    <w:rsid w:val="006D7F12"/>
    <w:rsid w:val="006F521E"/>
    <w:rsid w:val="007E56AD"/>
    <w:rsid w:val="008050B6"/>
    <w:rsid w:val="00974CE2"/>
    <w:rsid w:val="009D5BE1"/>
    <w:rsid w:val="009E46E8"/>
    <w:rsid w:val="00A37754"/>
    <w:rsid w:val="00AA1D8D"/>
    <w:rsid w:val="00B47730"/>
    <w:rsid w:val="00C52F4F"/>
    <w:rsid w:val="00CB0664"/>
    <w:rsid w:val="00F443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BC57F1"/>
  <w14:defaultImageDpi w14:val="300"/>
  <w15:docId w15:val="{A08B4AB2-BB13-4030-AFBB-DC98E3939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597"/>
      <w:sz w:val="25"/>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4F4F4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color w:val="17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00" w:after="60"/>
    </w:pPr>
    <w:rPr>
      <w:rFonts w:ascii="Arial" w:hAnsi="Arial"/>
      <w:b/>
      <w:color w:val="17365D"/>
      <w:sz w:val="19"/>
    </w:rPr>
  </w:style>
  <w:style w:type="paragraph" w:customStyle="1" w:styleId="TableNote">
    <w:name w:val="Table Note"/>
    <w:pPr>
      <w:spacing w:before="40" w:after="120"/>
    </w:pPr>
    <w:rPr>
      <w:rFonts w:ascii="Times New Roman" w:hAnsi="Times New Roman"/>
      <w:i/>
      <w:color w:val="4F4F4F"/>
      <w:sz w:val="17"/>
    </w:rPr>
  </w:style>
  <w:style w:type="paragraph" w:customStyle="1" w:styleId="Reference">
    <w:name w:val="Reference"/>
    <w:pPr>
      <w:spacing w:after="60" w:line="240" w:lineRule="auto"/>
      <w:ind w:left="369" w:hanging="369"/>
    </w:pPr>
    <w:rPr>
      <w:rFonts w:ascii="Times New Roman" w:hAnsi="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11411</Words>
  <Characters>65046</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8</cp:revision>
  <dcterms:created xsi:type="dcterms:W3CDTF">2013-12-23T23:15:00Z</dcterms:created>
  <dcterms:modified xsi:type="dcterms:W3CDTF">2026-08-29T12:24:00Z</dcterms:modified>
  <cp:category/>
</cp:coreProperties>
</file>