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7FD2D" w14:textId="7EE26D1C" w:rsidR="00576581" w:rsidRDefault="00576581" w:rsidP="009A1071">
      <w:pPr>
        <w:spacing w:line="360" w:lineRule="auto"/>
        <w:jc w:val="center"/>
        <w:rPr>
          <w:rFonts w:cs="Times New Roman"/>
          <w:b/>
          <w:bCs/>
          <w:szCs w:val="24"/>
        </w:rPr>
      </w:pPr>
      <w:r w:rsidRPr="00576581">
        <w:rPr>
          <w:rFonts w:cs="Times New Roman"/>
          <w:b/>
          <w:bCs/>
          <w:szCs w:val="24"/>
        </w:rPr>
        <w:t xml:space="preserve">Occurrence, Pathogenicity, Antimicrobial Resistance and Biofilm Formation of </w:t>
      </w:r>
      <w:r w:rsidRPr="00576581">
        <w:rPr>
          <w:rFonts w:cs="Times New Roman"/>
          <w:b/>
          <w:bCs/>
          <w:i/>
          <w:iCs/>
          <w:szCs w:val="24"/>
        </w:rPr>
        <w:t>Yersinia enterocolitica</w:t>
      </w:r>
      <w:r w:rsidRPr="00576581">
        <w:rPr>
          <w:rFonts w:cs="Times New Roman"/>
          <w:b/>
          <w:bCs/>
          <w:szCs w:val="24"/>
        </w:rPr>
        <w:t xml:space="preserve"> Isolated from Pork and Pig Slaughterhouse Environment in Puducherry</w:t>
      </w:r>
    </w:p>
    <w:p w14:paraId="644039E5" w14:textId="77777777" w:rsidR="001B75D7" w:rsidRDefault="001B75D7" w:rsidP="00804AF0">
      <w:pPr>
        <w:spacing w:before="240" w:line="360" w:lineRule="auto"/>
        <w:jc w:val="center"/>
        <w:rPr>
          <w:rFonts w:eastAsia="Times New Roman" w:cs="Times New Roman"/>
          <w:b/>
          <w:bCs/>
        </w:rPr>
      </w:pPr>
    </w:p>
    <w:p w14:paraId="2578A909" w14:textId="77777777" w:rsidR="001B75D7" w:rsidRDefault="001B75D7" w:rsidP="00804AF0">
      <w:pPr>
        <w:spacing w:before="240" w:line="360" w:lineRule="auto"/>
        <w:jc w:val="center"/>
        <w:rPr>
          <w:rFonts w:eastAsia="Times New Roman" w:cs="Times New Roman"/>
          <w:b/>
          <w:bCs/>
        </w:rPr>
      </w:pPr>
    </w:p>
    <w:p w14:paraId="57A6A541" w14:textId="0EF9EFFE" w:rsidR="002D3AA2" w:rsidRPr="00804AF0" w:rsidRDefault="00804AF0" w:rsidP="00804AF0">
      <w:pPr>
        <w:spacing w:before="240" w:line="360" w:lineRule="auto"/>
        <w:jc w:val="center"/>
        <w:rPr>
          <w:rFonts w:eastAsia="Times New Roman" w:cs="Times New Roman"/>
          <w:b/>
          <w:bCs/>
        </w:rPr>
      </w:pPr>
      <w:r w:rsidRPr="00804AF0">
        <w:rPr>
          <w:rFonts w:eastAsia="Times New Roman" w:cs="Times New Roman"/>
          <w:b/>
          <w:bCs/>
        </w:rPr>
        <w:t>Abstract</w:t>
      </w:r>
    </w:p>
    <w:p w14:paraId="6D618FC0" w14:textId="355D51CA" w:rsidR="00997BF9" w:rsidRDefault="00DE65A8" w:rsidP="00DE65A8">
      <w:pPr>
        <w:spacing w:line="360" w:lineRule="auto"/>
        <w:jc w:val="both"/>
        <w:rPr>
          <w:rFonts w:cs="Times New Roman"/>
          <w:szCs w:val="24"/>
        </w:rPr>
      </w:pPr>
      <w:r w:rsidRPr="00DE65A8">
        <w:rPr>
          <w:rFonts w:cs="Times New Roman"/>
          <w:i/>
          <w:iCs/>
          <w:szCs w:val="24"/>
        </w:rPr>
        <w:t>Yersinia enterocolitica</w:t>
      </w:r>
      <w:r w:rsidRPr="00DE65A8">
        <w:rPr>
          <w:rFonts w:cs="Times New Roman"/>
          <w:szCs w:val="24"/>
        </w:rPr>
        <w:t xml:space="preserve"> is an important foodborne zoonotic pathogen commonly associated with pigs and pork products. The present study investigated the occurrence, pathogenicity, antimicrobial susceptibility and biofilm-forming ability of </w:t>
      </w:r>
      <w:r w:rsidRPr="00F879CA">
        <w:rPr>
          <w:rFonts w:cs="Times New Roman"/>
          <w:i/>
          <w:iCs/>
          <w:szCs w:val="24"/>
        </w:rPr>
        <w:t>Y. enterocolitica</w:t>
      </w:r>
      <w:r w:rsidRPr="00DE65A8">
        <w:rPr>
          <w:rFonts w:cs="Times New Roman"/>
          <w:szCs w:val="24"/>
        </w:rPr>
        <w:t xml:space="preserve"> isolated from the pork production chain in Puducherry, India. A total of 250 samples comprising pork (n = 100), pig intestinal contents (n = 100) and slaughterhouse soil (n = 50) were analysed using cold enrichment followed by selective isolation on Yersinia Selective Agar. Presumptive isolates were confirmed by morphological and biochemical characterization. Pathogenicity was evaluated by calcium dependency and Congo Red absorption tests and further confirmed by polymerase chain reaction targeting the </w:t>
      </w:r>
      <w:r w:rsidRPr="00F879CA">
        <w:rPr>
          <w:rFonts w:cs="Times New Roman"/>
          <w:i/>
          <w:iCs/>
          <w:szCs w:val="24"/>
        </w:rPr>
        <w:t>ail</w:t>
      </w:r>
      <w:r w:rsidRPr="00DE65A8">
        <w:rPr>
          <w:rFonts w:cs="Times New Roman"/>
          <w:szCs w:val="24"/>
        </w:rPr>
        <w:t xml:space="preserve"> gene. Antimicrobial susceptibility was determined by the Kirby–Bauer disc diffusion method, while biofilm formation was assessed using Congo Red Agar. Eleven (4.4%) </w:t>
      </w:r>
      <w:r w:rsidRPr="00F879CA">
        <w:rPr>
          <w:rFonts w:cs="Times New Roman"/>
          <w:i/>
          <w:iCs/>
          <w:szCs w:val="24"/>
        </w:rPr>
        <w:t>Y. enterocolitica</w:t>
      </w:r>
      <w:r w:rsidRPr="00DE65A8">
        <w:rPr>
          <w:rFonts w:cs="Times New Roman"/>
          <w:szCs w:val="24"/>
        </w:rPr>
        <w:t xml:space="preserve"> isolates were recovered, including seven from pork, two from pig intestinal contents and two from slaughterhouse soil. Nine (81.8%) isolates exhibited pathogenic phenotypes and were positive for the </w:t>
      </w:r>
      <w:r w:rsidRPr="00F879CA">
        <w:rPr>
          <w:rFonts w:cs="Times New Roman"/>
          <w:i/>
          <w:iCs/>
          <w:szCs w:val="24"/>
        </w:rPr>
        <w:t>ail</w:t>
      </w:r>
      <w:r w:rsidRPr="00DE65A8">
        <w:rPr>
          <w:rFonts w:cs="Times New Roman"/>
          <w:szCs w:val="24"/>
        </w:rPr>
        <w:t xml:space="preserve"> gene, demonstrating complete agreement between conventional and molecular methods. All pathogenic isolates produced biofilms</w:t>
      </w:r>
      <w:r w:rsidR="004304E2">
        <w:rPr>
          <w:rFonts w:cs="Times New Roman"/>
          <w:szCs w:val="24"/>
        </w:rPr>
        <w:t xml:space="preserve">. </w:t>
      </w:r>
      <w:r w:rsidR="00500C40">
        <w:rPr>
          <w:rFonts w:cs="Times New Roman"/>
          <w:szCs w:val="24"/>
        </w:rPr>
        <w:t xml:space="preserve">Antibiogram revealed that all isolates </w:t>
      </w:r>
      <w:r w:rsidRPr="00DE65A8">
        <w:rPr>
          <w:rFonts w:cs="Times New Roman"/>
          <w:szCs w:val="24"/>
        </w:rPr>
        <w:t xml:space="preserve">were resistant to ampicillin and amoxicillin–clavulanic acid, while susceptible to the other antimicrobials tested. The findings highlight pork and slaughterhouse environments as potential reservoirs of pathogenic </w:t>
      </w:r>
      <w:r w:rsidRPr="000A5A3E">
        <w:rPr>
          <w:rFonts w:cs="Times New Roman"/>
          <w:i/>
          <w:iCs/>
          <w:szCs w:val="24"/>
        </w:rPr>
        <w:t>Y. enterocolitica</w:t>
      </w:r>
      <w:r w:rsidRPr="00DE65A8">
        <w:rPr>
          <w:rFonts w:cs="Times New Roman"/>
          <w:szCs w:val="24"/>
        </w:rPr>
        <w:t xml:space="preserve"> and emphasize the need for continuous surveillance, improved hygiene practices and prudent antimicrobial stewardship to minimize foodborne public health risks.</w:t>
      </w:r>
    </w:p>
    <w:p w14:paraId="2BDAD54C" w14:textId="1CD00AD3" w:rsidR="00ED79EA" w:rsidRPr="00BF52DA" w:rsidRDefault="000A5A3E" w:rsidP="00ED79EA">
      <w:pPr>
        <w:spacing w:line="360" w:lineRule="auto"/>
        <w:rPr>
          <w:rFonts w:cs="Times New Roman"/>
          <w:szCs w:val="24"/>
        </w:rPr>
      </w:pPr>
      <w:r w:rsidRPr="000A5A3E">
        <w:rPr>
          <w:rFonts w:cs="Times New Roman"/>
          <w:b/>
          <w:bCs/>
          <w:szCs w:val="24"/>
        </w:rPr>
        <w:t>Keywords:</w:t>
      </w:r>
      <w:r w:rsidRPr="000A5A3E">
        <w:rPr>
          <w:rFonts w:cs="Times New Roman"/>
          <w:szCs w:val="24"/>
        </w:rPr>
        <w:t xml:space="preserve"> </w:t>
      </w:r>
      <w:r w:rsidRPr="000A5A3E">
        <w:rPr>
          <w:rFonts w:cs="Times New Roman"/>
          <w:i/>
          <w:iCs/>
          <w:szCs w:val="24"/>
        </w:rPr>
        <w:t>Yersinia enterocolitica</w:t>
      </w:r>
      <w:r w:rsidR="00924A00">
        <w:rPr>
          <w:rFonts w:cs="Times New Roman"/>
          <w:szCs w:val="24"/>
        </w:rPr>
        <w:t>,</w:t>
      </w:r>
      <w:r w:rsidRPr="000A5A3E">
        <w:rPr>
          <w:rFonts w:cs="Times New Roman"/>
          <w:szCs w:val="24"/>
        </w:rPr>
        <w:t xml:space="preserve"> Pork</w:t>
      </w:r>
      <w:r>
        <w:rPr>
          <w:rFonts w:cs="Times New Roman"/>
          <w:szCs w:val="24"/>
        </w:rPr>
        <w:t>,</w:t>
      </w:r>
      <w:r w:rsidRPr="000A5A3E">
        <w:rPr>
          <w:rFonts w:cs="Times New Roman"/>
          <w:szCs w:val="24"/>
        </w:rPr>
        <w:t xml:space="preserve"> Pathogenicity</w:t>
      </w:r>
      <w:r>
        <w:rPr>
          <w:rFonts w:cs="Times New Roman"/>
          <w:szCs w:val="24"/>
        </w:rPr>
        <w:t>,</w:t>
      </w:r>
      <w:r w:rsidRPr="000A5A3E">
        <w:rPr>
          <w:rFonts w:cs="Times New Roman"/>
          <w:szCs w:val="24"/>
        </w:rPr>
        <w:t xml:space="preserve"> Biofilm</w:t>
      </w:r>
      <w:r>
        <w:rPr>
          <w:rFonts w:cs="Times New Roman"/>
          <w:szCs w:val="24"/>
        </w:rPr>
        <w:t>,</w:t>
      </w:r>
      <w:r w:rsidRPr="000A5A3E">
        <w:rPr>
          <w:rFonts w:cs="Times New Roman"/>
          <w:szCs w:val="24"/>
        </w:rPr>
        <w:t xml:space="preserve"> Antimicrobial resistance.</w:t>
      </w:r>
    </w:p>
    <w:p w14:paraId="227FE260" w14:textId="64E34131" w:rsidR="007F3AB4" w:rsidRPr="00CD2D44" w:rsidRDefault="001D3EA5" w:rsidP="00F8510A">
      <w:pPr>
        <w:spacing w:line="360" w:lineRule="auto"/>
        <w:rPr>
          <w:rFonts w:cs="Times New Roman"/>
          <w:b/>
          <w:bCs/>
          <w:szCs w:val="24"/>
        </w:rPr>
      </w:pPr>
      <w:r>
        <w:rPr>
          <w:rFonts w:cs="Times New Roman"/>
          <w:b/>
          <w:bCs/>
          <w:szCs w:val="24"/>
        </w:rPr>
        <w:t xml:space="preserve">1. </w:t>
      </w:r>
      <w:r w:rsidR="00471E54" w:rsidRPr="00CD2D44">
        <w:rPr>
          <w:rFonts w:cs="Times New Roman"/>
          <w:b/>
          <w:bCs/>
          <w:szCs w:val="24"/>
        </w:rPr>
        <w:t>Introduction</w:t>
      </w:r>
    </w:p>
    <w:p w14:paraId="365C9671" w14:textId="17BB9824" w:rsidR="00266E2F" w:rsidRPr="00CD2D44" w:rsidRDefault="00266E2F" w:rsidP="00B86AFF">
      <w:pPr>
        <w:spacing w:line="360" w:lineRule="auto"/>
        <w:ind w:firstLine="720"/>
        <w:jc w:val="both"/>
        <w:rPr>
          <w:rFonts w:cs="Times New Roman"/>
          <w:szCs w:val="24"/>
        </w:rPr>
      </w:pPr>
      <w:r w:rsidRPr="00CD2D44">
        <w:rPr>
          <w:rFonts w:cs="Times New Roman"/>
          <w:szCs w:val="24"/>
        </w:rPr>
        <w:t xml:space="preserve">Pork is one of the most widely consumed animal protein sources globally and plays an important role in food security and nutrition. In India, pig farming is a significant livelihood activity, particularly among rural and tribal communities and is increasingly shifting towards improved production systems (Drewnowski, 2024; Gupta </w:t>
      </w:r>
      <w:r w:rsidRPr="00CD2D44">
        <w:rPr>
          <w:rFonts w:cs="Times New Roman"/>
          <w:i/>
          <w:iCs/>
          <w:szCs w:val="24"/>
        </w:rPr>
        <w:t>et al</w:t>
      </w:r>
      <w:r w:rsidRPr="00CD2D44">
        <w:rPr>
          <w:rFonts w:cs="Times New Roman"/>
          <w:szCs w:val="24"/>
        </w:rPr>
        <w:t xml:space="preserve">., 2024). Foodborne diseases </w:t>
      </w:r>
      <w:r w:rsidRPr="00CD2D44">
        <w:rPr>
          <w:rFonts w:cs="Times New Roman"/>
          <w:szCs w:val="24"/>
        </w:rPr>
        <w:lastRenderedPageBreak/>
        <w:t xml:space="preserve">remain a major public health concern worldwide, with unsafe food causing millions of illnesses and deaths annually (WHO, 2026). Among foodborne bacterial pathogens, </w:t>
      </w:r>
      <w:r w:rsidRPr="00CD2D44">
        <w:rPr>
          <w:rFonts w:cs="Times New Roman"/>
          <w:i/>
          <w:iCs/>
          <w:szCs w:val="24"/>
        </w:rPr>
        <w:t>Yersinia enterocolitica</w:t>
      </w:r>
      <w:r w:rsidRPr="00CD2D44">
        <w:rPr>
          <w:rFonts w:cs="Times New Roman"/>
          <w:szCs w:val="24"/>
        </w:rPr>
        <w:t xml:space="preserve"> is an important zoonotic agent associated with contaminated foods of animal origin, particularly pork and pork products (Saraiva </w:t>
      </w:r>
      <w:r w:rsidRPr="008506F1">
        <w:rPr>
          <w:rFonts w:cs="Times New Roman"/>
          <w:i/>
          <w:iCs/>
          <w:szCs w:val="24"/>
        </w:rPr>
        <w:t>et al</w:t>
      </w:r>
      <w:r w:rsidRPr="00CD2D44">
        <w:rPr>
          <w:rFonts w:cs="Times New Roman"/>
          <w:szCs w:val="24"/>
        </w:rPr>
        <w:t>., 2025</w:t>
      </w:r>
      <w:r w:rsidR="00BA659D" w:rsidRPr="00CD2D44">
        <w:rPr>
          <w:rFonts w:cs="Times New Roman"/>
          <w:szCs w:val="24"/>
        </w:rPr>
        <w:t>)</w:t>
      </w:r>
      <w:r w:rsidRPr="00CD2D44">
        <w:rPr>
          <w:rFonts w:cs="Times New Roman"/>
          <w:szCs w:val="24"/>
        </w:rPr>
        <w:t xml:space="preserve"> </w:t>
      </w:r>
    </w:p>
    <w:p w14:paraId="44C228F8" w14:textId="079D4299" w:rsidR="00BF75F8" w:rsidRPr="00CD2D44" w:rsidRDefault="00266E2F" w:rsidP="00B86AFF">
      <w:pPr>
        <w:spacing w:line="360" w:lineRule="auto"/>
        <w:ind w:firstLine="720"/>
        <w:jc w:val="both"/>
        <w:rPr>
          <w:rFonts w:cs="Times New Roman"/>
          <w:szCs w:val="24"/>
        </w:rPr>
      </w:pPr>
      <w:r w:rsidRPr="00CD2D44">
        <w:rPr>
          <w:rFonts w:cs="Times New Roman"/>
          <w:i/>
          <w:iCs/>
          <w:szCs w:val="24"/>
        </w:rPr>
        <w:t>Y. enterocolitica</w:t>
      </w:r>
      <w:r w:rsidRPr="00CD2D44">
        <w:rPr>
          <w:rFonts w:cs="Times New Roman"/>
          <w:szCs w:val="24"/>
        </w:rPr>
        <w:t xml:space="preserve"> is a Gram-negative, facultatively anaerobic bacterium belonging to the family Enterobacteriaceae. The organism can survive and multiply at refrigeration temperatures, facilitating its persistence in chilled foods. Pigs are considered the principal reservoir of pathogenic </w:t>
      </w:r>
      <w:r w:rsidRPr="00CD2D44">
        <w:rPr>
          <w:rFonts w:cs="Times New Roman"/>
          <w:i/>
          <w:iCs/>
          <w:szCs w:val="24"/>
        </w:rPr>
        <w:t>Y. enterocolitica</w:t>
      </w:r>
      <w:r w:rsidRPr="00CD2D44">
        <w:rPr>
          <w:rFonts w:cs="Times New Roman"/>
          <w:szCs w:val="24"/>
        </w:rPr>
        <w:t xml:space="preserve"> strains, with the bacterium commonly colonizing the tonsils and intestinal tract of healthy animals. Contamination of pork carcasses during slaughter and processing may result in transmission to humans through the food chain</w:t>
      </w:r>
      <w:r w:rsidR="00BA659D" w:rsidRPr="00CD2D44">
        <w:rPr>
          <w:rFonts w:cs="Times New Roman"/>
          <w:szCs w:val="24"/>
        </w:rPr>
        <w:t xml:space="preserve"> (Aziz and Rausch-Phung, 2026).</w:t>
      </w:r>
    </w:p>
    <w:p w14:paraId="67AA87E2" w14:textId="3B84627D" w:rsidR="00BF75F8" w:rsidRPr="00CD2D44" w:rsidRDefault="00BF75F8" w:rsidP="00B86AFF">
      <w:pPr>
        <w:spacing w:line="360" w:lineRule="auto"/>
        <w:ind w:firstLine="720"/>
        <w:jc w:val="both"/>
        <w:rPr>
          <w:rFonts w:cs="Times New Roman"/>
          <w:szCs w:val="24"/>
        </w:rPr>
      </w:pPr>
      <w:r w:rsidRPr="00CD2D44">
        <w:rPr>
          <w:rFonts w:cs="Times New Roman"/>
          <w:szCs w:val="24"/>
        </w:rPr>
        <w:t>Consumption of raw or undercooked pork and pork products remains one of the major risk factors associated with human yersiniosis. Children are particularly susceptible to infection, often presenting with fever, abdominal pain, diarrhea and symptoms resembling acute appendicitis. In adults, extra-intestinal manifestations such as reactive arthritis, erythema nodosum and glomerulonephritis may occur. Although infections are generally self-limiting, severe cases can result in septicemia, particularly among immunocompromised individuals</w:t>
      </w:r>
      <w:r w:rsidR="00BA659D" w:rsidRPr="00CD2D44">
        <w:rPr>
          <w:rFonts w:cs="Times New Roman"/>
          <w:szCs w:val="24"/>
        </w:rPr>
        <w:t xml:space="preserve"> (</w:t>
      </w:r>
      <w:r w:rsidR="00B5192E" w:rsidRPr="00CD2D44">
        <w:rPr>
          <w:rFonts w:cs="Times New Roman"/>
          <w:szCs w:val="24"/>
        </w:rPr>
        <w:t xml:space="preserve">Fredriksson-Ahomaa and Korkeala </w:t>
      </w:r>
      <w:r w:rsidR="00B5192E" w:rsidRPr="00CD2D44">
        <w:rPr>
          <w:rFonts w:cs="Times New Roman"/>
          <w:i/>
          <w:iCs/>
          <w:szCs w:val="24"/>
        </w:rPr>
        <w:t>et al</w:t>
      </w:r>
      <w:r w:rsidR="00B5192E" w:rsidRPr="00CD2D44">
        <w:rPr>
          <w:rFonts w:cs="Times New Roman"/>
          <w:szCs w:val="24"/>
        </w:rPr>
        <w:t xml:space="preserve">., 2003; </w:t>
      </w:r>
      <w:r w:rsidR="00BA659D" w:rsidRPr="00CD2D44">
        <w:rPr>
          <w:rFonts w:cs="Times New Roman"/>
          <w:szCs w:val="24"/>
        </w:rPr>
        <w:t xml:space="preserve">Bari </w:t>
      </w:r>
      <w:r w:rsidR="00BA659D" w:rsidRPr="00CD2D44">
        <w:rPr>
          <w:rFonts w:cs="Times New Roman"/>
          <w:i/>
          <w:iCs/>
          <w:szCs w:val="24"/>
        </w:rPr>
        <w:t>et al</w:t>
      </w:r>
      <w:r w:rsidR="00BA659D" w:rsidRPr="00CD2D44">
        <w:rPr>
          <w:rFonts w:cs="Times New Roman"/>
          <w:szCs w:val="24"/>
        </w:rPr>
        <w:t>., 2011)</w:t>
      </w:r>
      <w:r w:rsidR="00924A00">
        <w:rPr>
          <w:rFonts w:cs="Times New Roman"/>
          <w:szCs w:val="24"/>
        </w:rPr>
        <w:t>.</w:t>
      </w:r>
    </w:p>
    <w:p w14:paraId="45A41E9B" w14:textId="1180E45C" w:rsidR="00BF75F8" w:rsidRPr="00CD2D44" w:rsidRDefault="00BF75F8" w:rsidP="00B86AFF">
      <w:pPr>
        <w:spacing w:line="360" w:lineRule="auto"/>
        <w:ind w:firstLine="720"/>
        <w:jc w:val="both"/>
        <w:rPr>
          <w:rFonts w:cs="Times New Roman"/>
          <w:szCs w:val="24"/>
        </w:rPr>
      </w:pPr>
      <w:r w:rsidRPr="00CD2D44">
        <w:rPr>
          <w:rFonts w:cs="Times New Roman"/>
          <w:szCs w:val="24"/>
        </w:rPr>
        <w:t xml:space="preserve">The pathogenicity of </w:t>
      </w:r>
      <w:r w:rsidRPr="00CD2D44">
        <w:rPr>
          <w:rFonts w:cs="Times New Roman"/>
          <w:i/>
          <w:iCs/>
          <w:szCs w:val="24"/>
        </w:rPr>
        <w:t>Y. enterocolitica</w:t>
      </w:r>
      <w:r w:rsidRPr="00CD2D44">
        <w:rPr>
          <w:rFonts w:cs="Times New Roman"/>
          <w:szCs w:val="24"/>
        </w:rPr>
        <w:t xml:space="preserve"> is associated with several chromosomal and plasmid-borne virulence determinants, including the attachment-invasion locus (</w:t>
      </w:r>
      <w:r w:rsidRPr="00CD2D44">
        <w:rPr>
          <w:rFonts w:cs="Times New Roman"/>
          <w:i/>
          <w:iCs/>
          <w:szCs w:val="24"/>
        </w:rPr>
        <w:t>ail</w:t>
      </w:r>
      <w:r w:rsidRPr="00CD2D44">
        <w:rPr>
          <w:rFonts w:cs="Times New Roman"/>
          <w:szCs w:val="24"/>
        </w:rPr>
        <w:t>), invasion gene (</w:t>
      </w:r>
      <w:r w:rsidRPr="00CD2D44">
        <w:rPr>
          <w:rFonts w:cs="Times New Roman"/>
          <w:i/>
          <w:iCs/>
          <w:szCs w:val="24"/>
        </w:rPr>
        <w:t>inv</w:t>
      </w:r>
      <w:r w:rsidRPr="00CD2D44">
        <w:rPr>
          <w:rFonts w:cs="Times New Roman"/>
          <w:szCs w:val="24"/>
        </w:rPr>
        <w:t>), heat-stable enterotoxin genes (</w:t>
      </w:r>
      <w:r w:rsidRPr="00CD2D44">
        <w:rPr>
          <w:rFonts w:cs="Times New Roman"/>
          <w:i/>
          <w:iCs/>
          <w:szCs w:val="24"/>
        </w:rPr>
        <w:t>ystA</w:t>
      </w:r>
      <w:r w:rsidR="00B5192E" w:rsidRPr="00CD2D44">
        <w:rPr>
          <w:rFonts w:cs="Times New Roman"/>
          <w:szCs w:val="24"/>
        </w:rPr>
        <w:t xml:space="preserve">, </w:t>
      </w:r>
      <w:r w:rsidRPr="00CD2D44">
        <w:rPr>
          <w:rFonts w:cs="Times New Roman"/>
          <w:i/>
          <w:iCs/>
          <w:szCs w:val="24"/>
        </w:rPr>
        <w:t>ystB</w:t>
      </w:r>
      <w:r w:rsidR="00B5192E" w:rsidRPr="00CD2D44">
        <w:rPr>
          <w:rFonts w:cs="Times New Roman"/>
          <w:i/>
          <w:iCs/>
          <w:szCs w:val="24"/>
        </w:rPr>
        <w:t xml:space="preserve"> </w:t>
      </w:r>
      <w:r w:rsidR="00B5192E" w:rsidRPr="00CD2D44">
        <w:rPr>
          <w:rFonts w:cs="Times New Roman"/>
          <w:szCs w:val="24"/>
        </w:rPr>
        <w:t>and</w:t>
      </w:r>
      <w:r w:rsidR="00B5192E" w:rsidRPr="00CD2D44">
        <w:rPr>
          <w:rFonts w:cs="Times New Roman"/>
          <w:i/>
          <w:iCs/>
          <w:color w:val="1B1B1B"/>
          <w:szCs w:val="24"/>
          <w:shd w:val="clear" w:color="auto" w:fill="FFFFFF"/>
        </w:rPr>
        <w:t xml:space="preserve"> </w:t>
      </w:r>
      <w:r w:rsidR="00B5192E" w:rsidRPr="00CD2D44">
        <w:rPr>
          <w:rFonts w:cs="Times New Roman"/>
          <w:i/>
          <w:iCs/>
          <w:szCs w:val="24"/>
        </w:rPr>
        <w:t>ystC</w:t>
      </w:r>
      <w:r w:rsidRPr="00CD2D44">
        <w:rPr>
          <w:rFonts w:cs="Times New Roman"/>
          <w:szCs w:val="24"/>
        </w:rPr>
        <w:t>) and the virulence plasmid (pYV)</w:t>
      </w:r>
      <w:r w:rsidR="00B5192E" w:rsidRPr="00CD2D44">
        <w:rPr>
          <w:rFonts w:cs="Times New Roman"/>
          <w:szCs w:val="24"/>
        </w:rPr>
        <w:t xml:space="preserve"> (Platt-Samoraj, 2022)</w:t>
      </w:r>
      <w:r w:rsidRPr="00CD2D44">
        <w:rPr>
          <w:rFonts w:cs="Times New Roman"/>
          <w:szCs w:val="24"/>
        </w:rPr>
        <w:t>.</w:t>
      </w:r>
      <w:r w:rsidR="00B5192E" w:rsidRPr="00CD2D44">
        <w:rPr>
          <w:rFonts w:cs="Times New Roman"/>
          <w:szCs w:val="24"/>
        </w:rPr>
        <w:t xml:space="preserve"> </w:t>
      </w:r>
      <w:r w:rsidRPr="00CD2D44">
        <w:rPr>
          <w:rFonts w:cs="Times New Roman"/>
          <w:szCs w:val="24"/>
        </w:rPr>
        <w:t xml:space="preserve">Given the importance of pork as a vehicle for foodborne pathogens and the continued global burden of yersiniosis, </w:t>
      </w:r>
      <w:r w:rsidR="00425E91" w:rsidRPr="00CD2D44">
        <w:rPr>
          <w:rFonts w:cs="Times New Roman"/>
          <w:szCs w:val="24"/>
        </w:rPr>
        <w:t xml:space="preserve">the present study was carried out to detect the presence of </w:t>
      </w:r>
      <w:r w:rsidR="00425E91" w:rsidRPr="00CD2D44">
        <w:rPr>
          <w:rFonts w:cs="Times New Roman"/>
          <w:i/>
          <w:iCs/>
          <w:szCs w:val="24"/>
        </w:rPr>
        <w:t>Y</w:t>
      </w:r>
      <w:r w:rsidR="00B5192E" w:rsidRPr="00CD2D44">
        <w:rPr>
          <w:rFonts w:cs="Times New Roman"/>
          <w:i/>
          <w:iCs/>
          <w:szCs w:val="24"/>
        </w:rPr>
        <w:t>.</w:t>
      </w:r>
      <w:r w:rsidR="00425E91" w:rsidRPr="00CD2D44">
        <w:rPr>
          <w:rFonts w:cs="Times New Roman"/>
          <w:i/>
          <w:iCs/>
          <w:szCs w:val="24"/>
        </w:rPr>
        <w:t xml:space="preserve"> enterocolitica</w:t>
      </w:r>
      <w:r w:rsidR="00425E91" w:rsidRPr="00CD2D44">
        <w:rPr>
          <w:rFonts w:cs="Times New Roman"/>
          <w:szCs w:val="24"/>
        </w:rPr>
        <w:t xml:space="preserve"> in pork, pig intestinal contents and pig slaughter premises in Puducherry.</w:t>
      </w:r>
    </w:p>
    <w:p w14:paraId="237B9AFA" w14:textId="1698E65B" w:rsidR="002C441D" w:rsidRPr="00CD2D44" w:rsidRDefault="001D3EA5" w:rsidP="00F8510A">
      <w:pPr>
        <w:spacing w:line="360" w:lineRule="auto"/>
        <w:rPr>
          <w:rFonts w:cs="Times New Roman"/>
          <w:b/>
          <w:bCs/>
          <w:szCs w:val="24"/>
        </w:rPr>
      </w:pPr>
      <w:r>
        <w:rPr>
          <w:rFonts w:cs="Times New Roman"/>
          <w:b/>
          <w:bCs/>
          <w:szCs w:val="24"/>
        </w:rPr>
        <w:t xml:space="preserve">2. </w:t>
      </w:r>
      <w:r w:rsidR="00471E54" w:rsidRPr="00CD2D44">
        <w:rPr>
          <w:rFonts w:cs="Times New Roman"/>
          <w:b/>
          <w:bCs/>
          <w:szCs w:val="24"/>
        </w:rPr>
        <w:t xml:space="preserve">Materials and </w:t>
      </w:r>
      <w:r w:rsidR="00471E54">
        <w:rPr>
          <w:rFonts w:cs="Times New Roman"/>
          <w:b/>
          <w:bCs/>
          <w:szCs w:val="24"/>
        </w:rPr>
        <w:t>M</w:t>
      </w:r>
      <w:r w:rsidR="00471E54" w:rsidRPr="00CD2D44">
        <w:rPr>
          <w:rFonts w:cs="Times New Roman"/>
          <w:b/>
          <w:bCs/>
          <w:szCs w:val="24"/>
        </w:rPr>
        <w:t>ethods</w:t>
      </w:r>
    </w:p>
    <w:p w14:paraId="51AABF9C" w14:textId="2D21CD52" w:rsidR="00B5192E" w:rsidRPr="00CD2D44" w:rsidRDefault="00B5192E" w:rsidP="00B86AFF">
      <w:pPr>
        <w:spacing w:line="360" w:lineRule="auto"/>
        <w:ind w:firstLine="720"/>
        <w:jc w:val="both"/>
        <w:rPr>
          <w:rFonts w:cs="Times New Roman"/>
          <w:szCs w:val="24"/>
        </w:rPr>
      </w:pPr>
      <w:r w:rsidRPr="00CD2D44">
        <w:rPr>
          <w:rFonts w:cs="Times New Roman"/>
          <w:szCs w:val="24"/>
        </w:rPr>
        <w:t xml:space="preserve">A total of 250 samples comprising of pork (100), pig intestinal content (100) and soil samples (50) from pig slaughter premises were collected from different parts of Puducherry. </w:t>
      </w:r>
      <w:r w:rsidR="00F115F8" w:rsidRPr="00CD2D44">
        <w:rPr>
          <w:rFonts w:cs="Times New Roman"/>
          <w:szCs w:val="24"/>
        </w:rPr>
        <w:t xml:space="preserve">All the samples were collected in sterile polythene bags and immediately transported to laboratory in ice box for further analysis. The samples were processed in the Biosafety Level II laboratory in the Department of Veterinary Public Health and Epidemiology, RIVER, Puducherry.  </w:t>
      </w:r>
    </w:p>
    <w:p w14:paraId="1960774B" w14:textId="34598AF8" w:rsidR="005A79C5" w:rsidRPr="00CD2D44" w:rsidRDefault="001D3EA5" w:rsidP="00B86AFF">
      <w:pPr>
        <w:spacing w:line="360" w:lineRule="auto"/>
        <w:jc w:val="both"/>
        <w:rPr>
          <w:rFonts w:cs="Times New Roman"/>
          <w:b/>
          <w:bCs/>
          <w:szCs w:val="24"/>
        </w:rPr>
      </w:pPr>
      <w:r>
        <w:rPr>
          <w:rFonts w:cs="Times New Roman"/>
          <w:b/>
          <w:bCs/>
          <w:szCs w:val="24"/>
        </w:rPr>
        <w:lastRenderedPageBreak/>
        <w:t xml:space="preserve">2.1 </w:t>
      </w:r>
      <w:r w:rsidR="005A79C5" w:rsidRPr="00CD2D44">
        <w:rPr>
          <w:rFonts w:cs="Times New Roman"/>
          <w:b/>
          <w:bCs/>
          <w:szCs w:val="24"/>
        </w:rPr>
        <w:t xml:space="preserve">Isolation </w:t>
      </w:r>
      <w:r w:rsidR="00CD72B5" w:rsidRPr="00CD2D44">
        <w:rPr>
          <w:rFonts w:cs="Times New Roman"/>
          <w:b/>
          <w:bCs/>
          <w:szCs w:val="24"/>
        </w:rPr>
        <w:t xml:space="preserve">and identification </w:t>
      </w:r>
      <w:r w:rsidR="005A79C5" w:rsidRPr="00CD2D44">
        <w:rPr>
          <w:rFonts w:cs="Times New Roman"/>
          <w:b/>
          <w:bCs/>
          <w:szCs w:val="24"/>
        </w:rPr>
        <w:t xml:space="preserve">of </w:t>
      </w:r>
      <w:r w:rsidR="00480BC5" w:rsidRPr="00CD2D44">
        <w:rPr>
          <w:rFonts w:cs="Times New Roman"/>
          <w:b/>
          <w:bCs/>
          <w:i/>
          <w:iCs/>
          <w:szCs w:val="24"/>
        </w:rPr>
        <w:t>Y. enterocolitica</w:t>
      </w:r>
      <w:r w:rsidR="005A79C5" w:rsidRPr="00CD2D44">
        <w:rPr>
          <w:rFonts w:cs="Times New Roman"/>
          <w:b/>
          <w:bCs/>
          <w:szCs w:val="24"/>
        </w:rPr>
        <w:t>:</w:t>
      </w:r>
    </w:p>
    <w:p w14:paraId="79F4BF75" w14:textId="7A3BED9C" w:rsidR="005A79C5" w:rsidRDefault="009D5BE4" w:rsidP="00B86AFF">
      <w:pPr>
        <w:spacing w:line="360" w:lineRule="auto"/>
        <w:ind w:firstLine="720"/>
        <w:jc w:val="both"/>
        <w:rPr>
          <w:rFonts w:cs="Times New Roman"/>
          <w:szCs w:val="24"/>
        </w:rPr>
      </w:pPr>
      <w:r w:rsidRPr="00CD2D44">
        <w:rPr>
          <w:rFonts w:cs="Times New Roman"/>
          <w:szCs w:val="24"/>
        </w:rPr>
        <w:t>I</w:t>
      </w:r>
      <w:r w:rsidR="005A79C5" w:rsidRPr="00CD2D44">
        <w:rPr>
          <w:rFonts w:cs="Times New Roman"/>
          <w:szCs w:val="24"/>
        </w:rPr>
        <w:t>solat</w:t>
      </w:r>
      <w:r w:rsidRPr="00CD2D44">
        <w:rPr>
          <w:rFonts w:cs="Times New Roman"/>
          <w:szCs w:val="24"/>
        </w:rPr>
        <w:t xml:space="preserve">ion of </w:t>
      </w:r>
      <w:r w:rsidRPr="00CD2D44">
        <w:rPr>
          <w:rFonts w:cs="Times New Roman"/>
          <w:i/>
          <w:iCs/>
          <w:szCs w:val="24"/>
        </w:rPr>
        <w:t xml:space="preserve">Y. </w:t>
      </w:r>
      <w:r w:rsidR="00480BC5" w:rsidRPr="00CD2D44">
        <w:rPr>
          <w:rFonts w:cs="Times New Roman"/>
          <w:i/>
          <w:iCs/>
          <w:szCs w:val="24"/>
        </w:rPr>
        <w:t>enterocolitica</w:t>
      </w:r>
      <w:r w:rsidR="00480BC5" w:rsidRPr="00CD2D44">
        <w:rPr>
          <w:rFonts w:cs="Times New Roman"/>
          <w:szCs w:val="24"/>
        </w:rPr>
        <w:t xml:space="preserve"> was carried out </w:t>
      </w:r>
      <w:r w:rsidR="005A79C5" w:rsidRPr="00CD2D44">
        <w:rPr>
          <w:rFonts w:cs="Times New Roman"/>
          <w:szCs w:val="24"/>
        </w:rPr>
        <w:t xml:space="preserve">using cold enrichment method followed by selective plating as described by Lal </w:t>
      </w:r>
      <w:r w:rsidR="005A79C5" w:rsidRPr="00CD2D44">
        <w:rPr>
          <w:rFonts w:cs="Times New Roman"/>
          <w:i/>
          <w:iCs/>
          <w:szCs w:val="24"/>
        </w:rPr>
        <w:t>et al</w:t>
      </w:r>
      <w:r w:rsidR="005A79C5" w:rsidRPr="00CD2D44">
        <w:rPr>
          <w:rFonts w:cs="Times New Roman"/>
          <w:szCs w:val="24"/>
        </w:rPr>
        <w:t>. (2003). Briefly, 25 g of pork</w:t>
      </w:r>
      <w:r w:rsidR="00BD46E6" w:rsidRPr="00CD2D44">
        <w:rPr>
          <w:rFonts w:cs="Times New Roman"/>
          <w:szCs w:val="24"/>
        </w:rPr>
        <w:t xml:space="preserve">, </w:t>
      </w:r>
      <w:r w:rsidR="005A79C5" w:rsidRPr="00CD2D44">
        <w:rPr>
          <w:rFonts w:cs="Times New Roman"/>
          <w:szCs w:val="24"/>
        </w:rPr>
        <w:t>10 g of intestinal content</w:t>
      </w:r>
      <w:r w:rsidR="00CD72B5" w:rsidRPr="00CD2D44">
        <w:rPr>
          <w:rFonts w:cs="Times New Roman"/>
          <w:szCs w:val="24"/>
        </w:rPr>
        <w:t xml:space="preserve"> and 10 g of </w:t>
      </w:r>
      <w:r w:rsidR="005A79C5" w:rsidRPr="00CD2D44">
        <w:rPr>
          <w:rFonts w:cs="Times New Roman"/>
          <w:szCs w:val="24"/>
        </w:rPr>
        <w:t xml:space="preserve">soil was homogenized in phosphate-buffered saline at a 1:10 dilution and incubated at 4°C for 21 days. Following enrichment, a loopful of the culture was streaked onto Yersinia Selective Agar supplemented with cefsulodin, triclosan (irgasan) and novobiocin and incubated at 37°C for 24 h. Presumptive </w:t>
      </w:r>
      <w:r w:rsidR="005A79C5" w:rsidRPr="00CD2D44">
        <w:rPr>
          <w:rFonts w:cs="Times New Roman"/>
          <w:i/>
          <w:iCs/>
          <w:szCs w:val="24"/>
        </w:rPr>
        <w:t>Y. enterocolitica</w:t>
      </w:r>
      <w:r w:rsidR="005A79C5" w:rsidRPr="00CD2D44">
        <w:rPr>
          <w:rFonts w:cs="Times New Roman"/>
          <w:szCs w:val="24"/>
        </w:rPr>
        <w:t xml:space="preserve"> colonies exhibiting </w:t>
      </w:r>
      <w:r w:rsidR="00B82CAA" w:rsidRPr="00CD2D44">
        <w:rPr>
          <w:rFonts w:cs="Times New Roman"/>
          <w:szCs w:val="24"/>
        </w:rPr>
        <w:t>deep red center (bull’s eye) and a sharp border surrounded by a translucent zone</w:t>
      </w:r>
      <w:r w:rsidR="005A79C5" w:rsidRPr="00CD2D44">
        <w:rPr>
          <w:rFonts w:cs="Times New Roman"/>
          <w:szCs w:val="24"/>
        </w:rPr>
        <w:t xml:space="preserve"> were selected and subjected to biochemical characterization according to Bergey’s Manual of Systematic Bacteriology (1984)</w:t>
      </w:r>
      <w:r w:rsidR="00424C7A" w:rsidRPr="00CD2D44">
        <w:rPr>
          <w:rFonts w:cs="Times New Roman"/>
          <w:szCs w:val="24"/>
        </w:rPr>
        <w:t xml:space="preserve"> (Table 1)</w:t>
      </w:r>
      <w:r w:rsidR="00FB7BDC" w:rsidRPr="00CD2D44">
        <w:rPr>
          <w:rFonts w:cs="Times New Roman"/>
          <w:szCs w:val="24"/>
        </w:rPr>
        <w:t>.</w:t>
      </w:r>
    </w:p>
    <w:p w14:paraId="65C18D4A" w14:textId="2802F2BA" w:rsidR="00166DB8" w:rsidRPr="00CD2D44" w:rsidRDefault="00166DB8" w:rsidP="00B86AFF">
      <w:pPr>
        <w:spacing w:line="360" w:lineRule="auto"/>
        <w:jc w:val="center"/>
        <w:rPr>
          <w:rFonts w:cs="Times New Roman"/>
          <w:b/>
          <w:bCs/>
          <w:szCs w:val="24"/>
        </w:rPr>
      </w:pPr>
      <w:r w:rsidRPr="00CD2D44">
        <w:rPr>
          <w:rFonts w:cs="Times New Roman"/>
          <w:b/>
          <w:bCs/>
          <w:szCs w:val="24"/>
        </w:rPr>
        <w:t>Table 1</w:t>
      </w:r>
      <w:r w:rsidR="00424C7A" w:rsidRPr="00CD2D44">
        <w:rPr>
          <w:rFonts w:cs="Times New Roman"/>
          <w:b/>
          <w:bCs/>
          <w:szCs w:val="24"/>
        </w:rPr>
        <w:t xml:space="preserve">. </w:t>
      </w:r>
      <w:r w:rsidRPr="00CD2D44">
        <w:rPr>
          <w:rFonts w:cs="Times New Roman"/>
          <w:b/>
          <w:bCs/>
          <w:szCs w:val="24"/>
        </w:rPr>
        <w:t xml:space="preserve"> </w:t>
      </w:r>
      <w:r w:rsidR="00424C7A" w:rsidRPr="00CD2D44">
        <w:rPr>
          <w:rFonts w:cs="Times New Roman"/>
          <w:b/>
          <w:bCs/>
          <w:szCs w:val="24"/>
        </w:rPr>
        <w:t xml:space="preserve">Identification tests for </w:t>
      </w:r>
      <w:r w:rsidR="00424C7A" w:rsidRPr="00CD2D44">
        <w:rPr>
          <w:rFonts w:cs="Times New Roman"/>
          <w:b/>
          <w:bCs/>
          <w:i/>
          <w:iCs/>
          <w:szCs w:val="24"/>
        </w:rPr>
        <w:t>Y. enterocolitica</w:t>
      </w:r>
    </w:p>
    <w:tbl>
      <w:tblPr>
        <w:tblStyle w:val="TableGrid"/>
        <w:tblW w:w="0" w:type="auto"/>
        <w:jc w:val="center"/>
        <w:tblLook w:val="04A0" w:firstRow="1" w:lastRow="0" w:firstColumn="1" w:lastColumn="0" w:noHBand="0" w:noVBand="1"/>
      </w:tblPr>
      <w:tblGrid>
        <w:gridCol w:w="823"/>
        <w:gridCol w:w="2874"/>
        <w:gridCol w:w="3056"/>
      </w:tblGrid>
      <w:tr w:rsidR="00B9068C" w:rsidRPr="00CD2D44" w14:paraId="083FBCFE" w14:textId="77777777" w:rsidTr="00424C7A">
        <w:trPr>
          <w:jc w:val="center"/>
        </w:trPr>
        <w:tc>
          <w:tcPr>
            <w:tcW w:w="0" w:type="auto"/>
            <w:hideMark/>
          </w:tcPr>
          <w:p w14:paraId="3580142C" w14:textId="77777777" w:rsidR="00B9068C" w:rsidRPr="00CD2D44" w:rsidRDefault="00B9068C" w:rsidP="003D70A8">
            <w:pPr>
              <w:spacing w:after="160"/>
              <w:jc w:val="both"/>
              <w:rPr>
                <w:rFonts w:cs="Times New Roman"/>
                <w:b/>
                <w:bCs/>
                <w:szCs w:val="24"/>
              </w:rPr>
            </w:pPr>
            <w:r w:rsidRPr="00CD2D44">
              <w:rPr>
                <w:rFonts w:cs="Times New Roman"/>
                <w:b/>
                <w:bCs/>
                <w:szCs w:val="24"/>
              </w:rPr>
              <w:t>S. No.</w:t>
            </w:r>
          </w:p>
        </w:tc>
        <w:tc>
          <w:tcPr>
            <w:tcW w:w="0" w:type="auto"/>
            <w:hideMark/>
          </w:tcPr>
          <w:p w14:paraId="0D92A7D1" w14:textId="77777777" w:rsidR="00B9068C" w:rsidRPr="00CD2D44" w:rsidRDefault="00B9068C" w:rsidP="003D70A8">
            <w:pPr>
              <w:spacing w:after="160"/>
              <w:jc w:val="both"/>
              <w:rPr>
                <w:rFonts w:cs="Times New Roman"/>
                <w:b/>
                <w:bCs/>
                <w:szCs w:val="24"/>
              </w:rPr>
            </w:pPr>
            <w:r w:rsidRPr="00CD2D44">
              <w:rPr>
                <w:rFonts w:cs="Times New Roman"/>
                <w:b/>
                <w:bCs/>
                <w:szCs w:val="24"/>
              </w:rPr>
              <w:t>Identification Test</w:t>
            </w:r>
          </w:p>
        </w:tc>
        <w:tc>
          <w:tcPr>
            <w:tcW w:w="0" w:type="auto"/>
            <w:hideMark/>
          </w:tcPr>
          <w:p w14:paraId="4E3CA982" w14:textId="77777777" w:rsidR="00B9068C" w:rsidRPr="00CD2D44" w:rsidRDefault="00B9068C" w:rsidP="003D70A8">
            <w:pPr>
              <w:spacing w:after="160"/>
              <w:jc w:val="center"/>
              <w:rPr>
                <w:rFonts w:cs="Times New Roman"/>
                <w:b/>
                <w:bCs/>
                <w:szCs w:val="24"/>
              </w:rPr>
            </w:pPr>
            <w:r w:rsidRPr="00CD2D44">
              <w:rPr>
                <w:rFonts w:cs="Times New Roman"/>
                <w:b/>
                <w:bCs/>
                <w:szCs w:val="24"/>
              </w:rPr>
              <w:t>Characterization / Reaction</w:t>
            </w:r>
          </w:p>
        </w:tc>
      </w:tr>
      <w:tr w:rsidR="00B9068C" w:rsidRPr="00CD2D44" w14:paraId="6558DCF7" w14:textId="77777777" w:rsidTr="00424C7A">
        <w:trPr>
          <w:jc w:val="center"/>
        </w:trPr>
        <w:tc>
          <w:tcPr>
            <w:tcW w:w="0" w:type="auto"/>
            <w:hideMark/>
          </w:tcPr>
          <w:p w14:paraId="10420ACF" w14:textId="77777777" w:rsidR="00B9068C" w:rsidRPr="00CD2D44" w:rsidRDefault="00B9068C" w:rsidP="003D70A8">
            <w:pPr>
              <w:spacing w:after="160"/>
              <w:jc w:val="center"/>
              <w:rPr>
                <w:rFonts w:cs="Times New Roman"/>
                <w:szCs w:val="24"/>
              </w:rPr>
            </w:pPr>
            <w:r w:rsidRPr="00CD2D44">
              <w:rPr>
                <w:rFonts w:cs="Times New Roman"/>
                <w:szCs w:val="24"/>
              </w:rPr>
              <w:t>1</w:t>
            </w:r>
          </w:p>
        </w:tc>
        <w:tc>
          <w:tcPr>
            <w:tcW w:w="0" w:type="auto"/>
            <w:hideMark/>
          </w:tcPr>
          <w:p w14:paraId="50A552F5" w14:textId="77777777" w:rsidR="00B9068C" w:rsidRPr="00CD2D44" w:rsidRDefault="00B9068C" w:rsidP="003D70A8">
            <w:pPr>
              <w:spacing w:after="160"/>
              <w:jc w:val="both"/>
              <w:rPr>
                <w:rFonts w:cs="Times New Roman"/>
                <w:szCs w:val="24"/>
              </w:rPr>
            </w:pPr>
            <w:r w:rsidRPr="00CD2D44">
              <w:rPr>
                <w:rFonts w:cs="Times New Roman"/>
                <w:szCs w:val="24"/>
              </w:rPr>
              <w:t>Gram’s staining</w:t>
            </w:r>
          </w:p>
        </w:tc>
        <w:tc>
          <w:tcPr>
            <w:tcW w:w="0" w:type="auto"/>
            <w:hideMark/>
          </w:tcPr>
          <w:p w14:paraId="716C5DD6" w14:textId="77777777" w:rsidR="00B9068C" w:rsidRPr="00CD2D44" w:rsidRDefault="00B9068C" w:rsidP="003D70A8">
            <w:pPr>
              <w:spacing w:after="160"/>
              <w:jc w:val="center"/>
              <w:rPr>
                <w:rFonts w:cs="Times New Roman"/>
                <w:szCs w:val="24"/>
              </w:rPr>
            </w:pPr>
            <w:r w:rsidRPr="00CD2D44">
              <w:rPr>
                <w:rFonts w:cs="Times New Roman"/>
                <w:szCs w:val="24"/>
              </w:rPr>
              <w:t>Gram-negative rods</w:t>
            </w:r>
          </w:p>
        </w:tc>
      </w:tr>
      <w:tr w:rsidR="00B9068C" w:rsidRPr="00CD2D44" w14:paraId="5EC5C3A3" w14:textId="77777777" w:rsidTr="00424C7A">
        <w:trPr>
          <w:jc w:val="center"/>
        </w:trPr>
        <w:tc>
          <w:tcPr>
            <w:tcW w:w="0" w:type="auto"/>
            <w:hideMark/>
          </w:tcPr>
          <w:p w14:paraId="1D21E43F" w14:textId="77777777" w:rsidR="00B9068C" w:rsidRPr="00CD2D44" w:rsidRDefault="00B9068C" w:rsidP="003D70A8">
            <w:pPr>
              <w:spacing w:after="160"/>
              <w:jc w:val="center"/>
              <w:rPr>
                <w:rFonts w:cs="Times New Roman"/>
                <w:szCs w:val="24"/>
              </w:rPr>
            </w:pPr>
            <w:r w:rsidRPr="00CD2D44">
              <w:rPr>
                <w:rFonts w:cs="Times New Roman"/>
                <w:szCs w:val="24"/>
              </w:rPr>
              <w:t>2</w:t>
            </w:r>
          </w:p>
        </w:tc>
        <w:tc>
          <w:tcPr>
            <w:tcW w:w="0" w:type="auto"/>
            <w:hideMark/>
          </w:tcPr>
          <w:p w14:paraId="383E09AC" w14:textId="77777777" w:rsidR="00B9068C" w:rsidRPr="00CD2D44" w:rsidRDefault="00B9068C" w:rsidP="003D70A8">
            <w:pPr>
              <w:spacing w:after="160"/>
              <w:jc w:val="both"/>
              <w:rPr>
                <w:rFonts w:cs="Times New Roman"/>
                <w:szCs w:val="24"/>
              </w:rPr>
            </w:pPr>
            <w:r w:rsidRPr="00CD2D44">
              <w:rPr>
                <w:rFonts w:cs="Times New Roman"/>
                <w:szCs w:val="24"/>
              </w:rPr>
              <w:t>Catalase</w:t>
            </w:r>
          </w:p>
        </w:tc>
        <w:tc>
          <w:tcPr>
            <w:tcW w:w="0" w:type="auto"/>
            <w:hideMark/>
          </w:tcPr>
          <w:p w14:paraId="3F05DB95"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37B63D02" w14:textId="77777777" w:rsidTr="00424C7A">
        <w:trPr>
          <w:jc w:val="center"/>
        </w:trPr>
        <w:tc>
          <w:tcPr>
            <w:tcW w:w="0" w:type="auto"/>
            <w:hideMark/>
          </w:tcPr>
          <w:p w14:paraId="63EF1C41" w14:textId="77777777" w:rsidR="00B9068C" w:rsidRPr="00CD2D44" w:rsidRDefault="00B9068C" w:rsidP="003D70A8">
            <w:pPr>
              <w:spacing w:after="160"/>
              <w:jc w:val="center"/>
              <w:rPr>
                <w:rFonts w:cs="Times New Roman"/>
                <w:szCs w:val="24"/>
              </w:rPr>
            </w:pPr>
            <w:r w:rsidRPr="00CD2D44">
              <w:rPr>
                <w:rFonts w:cs="Times New Roman"/>
                <w:szCs w:val="24"/>
              </w:rPr>
              <w:t>3</w:t>
            </w:r>
          </w:p>
        </w:tc>
        <w:tc>
          <w:tcPr>
            <w:tcW w:w="0" w:type="auto"/>
            <w:hideMark/>
          </w:tcPr>
          <w:p w14:paraId="671BD3DC" w14:textId="77777777" w:rsidR="00B9068C" w:rsidRPr="00CD2D44" w:rsidRDefault="00B9068C" w:rsidP="003D70A8">
            <w:pPr>
              <w:spacing w:after="160"/>
              <w:jc w:val="both"/>
              <w:rPr>
                <w:rFonts w:cs="Times New Roman"/>
                <w:szCs w:val="24"/>
              </w:rPr>
            </w:pPr>
            <w:r w:rsidRPr="00CD2D44">
              <w:rPr>
                <w:rFonts w:cs="Times New Roman"/>
                <w:szCs w:val="24"/>
              </w:rPr>
              <w:t>Oxidase</w:t>
            </w:r>
          </w:p>
        </w:tc>
        <w:tc>
          <w:tcPr>
            <w:tcW w:w="0" w:type="auto"/>
            <w:hideMark/>
          </w:tcPr>
          <w:p w14:paraId="319B8E7E"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125BC067" w14:textId="77777777" w:rsidTr="00424C7A">
        <w:trPr>
          <w:jc w:val="center"/>
        </w:trPr>
        <w:tc>
          <w:tcPr>
            <w:tcW w:w="0" w:type="auto"/>
            <w:hideMark/>
          </w:tcPr>
          <w:p w14:paraId="654F4945" w14:textId="77777777" w:rsidR="00B9068C" w:rsidRPr="00CD2D44" w:rsidRDefault="00B9068C" w:rsidP="003D70A8">
            <w:pPr>
              <w:spacing w:after="160"/>
              <w:jc w:val="center"/>
              <w:rPr>
                <w:rFonts w:cs="Times New Roman"/>
                <w:szCs w:val="24"/>
              </w:rPr>
            </w:pPr>
            <w:r w:rsidRPr="00CD2D44">
              <w:rPr>
                <w:rFonts w:cs="Times New Roman"/>
                <w:szCs w:val="24"/>
              </w:rPr>
              <w:t>4</w:t>
            </w:r>
          </w:p>
        </w:tc>
        <w:tc>
          <w:tcPr>
            <w:tcW w:w="0" w:type="auto"/>
            <w:hideMark/>
          </w:tcPr>
          <w:p w14:paraId="2DBACA36" w14:textId="77777777" w:rsidR="00B9068C" w:rsidRPr="00CD2D44" w:rsidRDefault="00B9068C" w:rsidP="003D70A8">
            <w:pPr>
              <w:spacing w:after="160"/>
              <w:jc w:val="both"/>
              <w:rPr>
                <w:rFonts w:cs="Times New Roman"/>
                <w:szCs w:val="24"/>
              </w:rPr>
            </w:pPr>
            <w:r w:rsidRPr="00CD2D44">
              <w:rPr>
                <w:rFonts w:cs="Times New Roman"/>
                <w:szCs w:val="24"/>
              </w:rPr>
              <w:t>Motility</w:t>
            </w:r>
          </w:p>
        </w:tc>
        <w:tc>
          <w:tcPr>
            <w:tcW w:w="0" w:type="auto"/>
            <w:hideMark/>
          </w:tcPr>
          <w:p w14:paraId="71EC53E7"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035AB5C4" w14:textId="77777777" w:rsidTr="00424C7A">
        <w:trPr>
          <w:jc w:val="center"/>
        </w:trPr>
        <w:tc>
          <w:tcPr>
            <w:tcW w:w="0" w:type="auto"/>
            <w:hideMark/>
          </w:tcPr>
          <w:p w14:paraId="64F0F014" w14:textId="77777777" w:rsidR="00B9068C" w:rsidRPr="00CD2D44" w:rsidRDefault="00B9068C" w:rsidP="003D70A8">
            <w:pPr>
              <w:spacing w:after="160"/>
              <w:jc w:val="center"/>
              <w:rPr>
                <w:rFonts w:cs="Times New Roman"/>
                <w:szCs w:val="24"/>
              </w:rPr>
            </w:pPr>
            <w:r w:rsidRPr="00CD2D44">
              <w:rPr>
                <w:rFonts w:cs="Times New Roman"/>
                <w:szCs w:val="24"/>
              </w:rPr>
              <w:t>5</w:t>
            </w:r>
          </w:p>
        </w:tc>
        <w:tc>
          <w:tcPr>
            <w:tcW w:w="0" w:type="auto"/>
            <w:hideMark/>
          </w:tcPr>
          <w:p w14:paraId="0A37261B" w14:textId="77777777" w:rsidR="00B9068C" w:rsidRPr="00CD2D44" w:rsidRDefault="00B9068C" w:rsidP="003D70A8">
            <w:pPr>
              <w:spacing w:after="160"/>
              <w:jc w:val="both"/>
              <w:rPr>
                <w:rFonts w:cs="Times New Roman"/>
                <w:szCs w:val="24"/>
              </w:rPr>
            </w:pPr>
            <w:r w:rsidRPr="00CD2D44">
              <w:rPr>
                <w:rFonts w:cs="Times New Roman"/>
                <w:szCs w:val="24"/>
              </w:rPr>
              <w:t>Indole production</w:t>
            </w:r>
          </w:p>
        </w:tc>
        <w:tc>
          <w:tcPr>
            <w:tcW w:w="0" w:type="auto"/>
            <w:hideMark/>
          </w:tcPr>
          <w:p w14:paraId="00BD906F"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4A535537" w14:textId="77777777" w:rsidTr="00424C7A">
        <w:trPr>
          <w:jc w:val="center"/>
        </w:trPr>
        <w:tc>
          <w:tcPr>
            <w:tcW w:w="0" w:type="auto"/>
            <w:hideMark/>
          </w:tcPr>
          <w:p w14:paraId="49FBBF99" w14:textId="77777777" w:rsidR="00B9068C" w:rsidRPr="00CD2D44" w:rsidRDefault="00B9068C" w:rsidP="003D70A8">
            <w:pPr>
              <w:spacing w:after="160"/>
              <w:jc w:val="center"/>
              <w:rPr>
                <w:rFonts w:cs="Times New Roman"/>
                <w:szCs w:val="24"/>
              </w:rPr>
            </w:pPr>
            <w:r w:rsidRPr="00CD2D44">
              <w:rPr>
                <w:rFonts w:cs="Times New Roman"/>
                <w:szCs w:val="24"/>
              </w:rPr>
              <w:t>6</w:t>
            </w:r>
          </w:p>
        </w:tc>
        <w:tc>
          <w:tcPr>
            <w:tcW w:w="0" w:type="auto"/>
            <w:hideMark/>
          </w:tcPr>
          <w:p w14:paraId="59F23A0A" w14:textId="77777777" w:rsidR="00B9068C" w:rsidRPr="00CD2D44" w:rsidRDefault="00B9068C" w:rsidP="003D70A8">
            <w:pPr>
              <w:spacing w:after="160"/>
              <w:jc w:val="both"/>
              <w:rPr>
                <w:rFonts w:cs="Times New Roman"/>
                <w:szCs w:val="24"/>
              </w:rPr>
            </w:pPr>
            <w:r w:rsidRPr="00CD2D44">
              <w:rPr>
                <w:rFonts w:cs="Times New Roman"/>
                <w:szCs w:val="24"/>
              </w:rPr>
              <w:t>Methyl red (MR)</w:t>
            </w:r>
          </w:p>
        </w:tc>
        <w:tc>
          <w:tcPr>
            <w:tcW w:w="0" w:type="auto"/>
            <w:hideMark/>
          </w:tcPr>
          <w:p w14:paraId="3CA969F9"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0E6215E6" w14:textId="77777777" w:rsidTr="00424C7A">
        <w:trPr>
          <w:jc w:val="center"/>
        </w:trPr>
        <w:tc>
          <w:tcPr>
            <w:tcW w:w="0" w:type="auto"/>
            <w:hideMark/>
          </w:tcPr>
          <w:p w14:paraId="79F8FE10" w14:textId="77777777" w:rsidR="00B9068C" w:rsidRPr="00CD2D44" w:rsidRDefault="00B9068C" w:rsidP="003D70A8">
            <w:pPr>
              <w:spacing w:after="160"/>
              <w:jc w:val="center"/>
              <w:rPr>
                <w:rFonts w:cs="Times New Roman"/>
                <w:szCs w:val="24"/>
              </w:rPr>
            </w:pPr>
            <w:r w:rsidRPr="00CD2D44">
              <w:rPr>
                <w:rFonts w:cs="Times New Roman"/>
                <w:szCs w:val="24"/>
              </w:rPr>
              <w:t>7</w:t>
            </w:r>
          </w:p>
        </w:tc>
        <w:tc>
          <w:tcPr>
            <w:tcW w:w="0" w:type="auto"/>
            <w:hideMark/>
          </w:tcPr>
          <w:p w14:paraId="603798E8" w14:textId="77777777" w:rsidR="00B9068C" w:rsidRPr="00CD2D44" w:rsidRDefault="00B9068C" w:rsidP="003D70A8">
            <w:pPr>
              <w:spacing w:after="160"/>
              <w:jc w:val="both"/>
              <w:rPr>
                <w:rFonts w:cs="Times New Roman"/>
                <w:szCs w:val="24"/>
              </w:rPr>
            </w:pPr>
            <w:r w:rsidRPr="00CD2D44">
              <w:rPr>
                <w:rFonts w:cs="Times New Roman"/>
                <w:szCs w:val="24"/>
              </w:rPr>
              <w:t>Voges–Proskauer (VP)</w:t>
            </w:r>
          </w:p>
        </w:tc>
        <w:tc>
          <w:tcPr>
            <w:tcW w:w="0" w:type="auto"/>
            <w:hideMark/>
          </w:tcPr>
          <w:p w14:paraId="4FF1E81A"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416EAD40" w14:textId="77777777" w:rsidTr="00424C7A">
        <w:trPr>
          <w:jc w:val="center"/>
        </w:trPr>
        <w:tc>
          <w:tcPr>
            <w:tcW w:w="0" w:type="auto"/>
            <w:hideMark/>
          </w:tcPr>
          <w:p w14:paraId="63EED3F9" w14:textId="77777777" w:rsidR="00B9068C" w:rsidRPr="00CD2D44" w:rsidRDefault="00B9068C" w:rsidP="003D70A8">
            <w:pPr>
              <w:spacing w:after="160"/>
              <w:jc w:val="center"/>
              <w:rPr>
                <w:rFonts w:cs="Times New Roman"/>
                <w:szCs w:val="24"/>
              </w:rPr>
            </w:pPr>
            <w:r w:rsidRPr="00CD2D44">
              <w:rPr>
                <w:rFonts w:cs="Times New Roman"/>
                <w:szCs w:val="24"/>
              </w:rPr>
              <w:t>8</w:t>
            </w:r>
          </w:p>
        </w:tc>
        <w:tc>
          <w:tcPr>
            <w:tcW w:w="0" w:type="auto"/>
            <w:hideMark/>
          </w:tcPr>
          <w:p w14:paraId="5C46D2DE" w14:textId="77777777" w:rsidR="00B9068C" w:rsidRPr="00CD2D44" w:rsidRDefault="00B9068C" w:rsidP="003D70A8">
            <w:pPr>
              <w:spacing w:after="160"/>
              <w:jc w:val="both"/>
              <w:rPr>
                <w:rFonts w:cs="Times New Roman"/>
                <w:szCs w:val="24"/>
              </w:rPr>
            </w:pPr>
            <w:r w:rsidRPr="00CD2D44">
              <w:rPr>
                <w:rFonts w:cs="Times New Roman"/>
                <w:szCs w:val="24"/>
              </w:rPr>
              <w:t>Citrate utilization</w:t>
            </w:r>
          </w:p>
        </w:tc>
        <w:tc>
          <w:tcPr>
            <w:tcW w:w="0" w:type="auto"/>
            <w:hideMark/>
          </w:tcPr>
          <w:p w14:paraId="24147F91"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1DFAFBFD" w14:textId="77777777" w:rsidTr="00424C7A">
        <w:trPr>
          <w:jc w:val="center"/>
        </w:trPr>
        <w:tc>
          <w:tcPr>
            <w:tcW w:w="0" w:type="auto"/>
            <w:hideMark/>
          </w:tcPr>
          <w:p w14:paraId="4DF94658" w14:textId="77777777" w:rsidR="00B9068C" w:rsidRPr="00CD2D44" w:rsidRDefault="00B9068C" w:rsidP="003D70A8">
            <w:pPr>
              <w:spacing w:after="160"/>
              <w:jc w:val="center"/>
              <w:rPr>
                <w:rFonts w:cs="Times New Roman"/>
                <w:szCs w:val="24"/>
              </w:rPr>
            </w:pPr>
            <w:r w:rsidRPr="00CD2D44">
              <w:rPr>
                <w:rFonts w:cs="Times New Roman"/>
                <w:szCs w:val="24"/>
              </w:rPr>
              <w:t>9</w:t>
            </w:r>
          </w:p>
        </w:tc>
        <w:tc>
          <w:tcPr>
            <w:tcW w:w="0" w:type="auto"/>
            <w:hideMark/>
          </w:tcPr>
          <w:p w14:paraId="6F0C6C7E" w14:textId="77777777" w:rsidR="00B9068C" w:rsidRPr="00CD2D44" w:rsidRDefault="00B9068C" w:rsidP="003D70A8">
            <w:pPr>
              <w:spacing w:after="160"/>
              <w:jc w:val="both"/>
              <w:rPr>
                <w:rFonts w:cs="Times New Roman"/>
                <w:szCs w:val="24"/>
              </w:rPr>
            </w:pPr>
            <w:r w:rsidRPr="00CD2D44">
              <w:rPr>
                <w:rFonts w:cs="Times New Roman"/>
                <w:szCs w:val="24"/>
              </w:rPr>
              <w:t>Triple sugar iron (TSI) agar</w:t>
            </w:r>
          </w:p>
        </w:tc>
        <w:tc>
          <w:tcPr>
            <w:tcW w:w="0" w:type="auto"/>
            <w:hideMark/>
          </w:tcPr>
          <w:p w14:paraId="4AAB0566"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45516B82" w14:textId="77777777" w:rsidTr="00424C7A">
        <w:trPr>
          <w:jc w:val="center"/>
        </w:trPr>
        <w:tc>
          <w:tcPr>
            <w:tcW w:w="0" w:type="auto"/>
            <w:hideMark/>
          </w:tcPr>
          <w:p w14:paraId="40A1DBE5" w14:textId="77777777" w:rsidR="00B9068C" w:rsidRPr="00CD2D44" w:rsidRDefault="00B9068C" w:rsidP="003D70A8">
            <w:pPr>
              <w:spacing w:after="160"/>
              <w:jc w:val="center"/>
              <w:rPr>
                <w:rFonts w:cs="Times New Roman"/>
                <w:szCs w:val="24"/>
              </w:rPr>
            </w:pPr>
            <w:r w:rsidRPr="00CD2D44">
              <w:rPr>
                <w:rFonts w:cs="Times New Roman"/>
                <w:szCs w:val="24"/>
              </w:rPr>
              <w:t>10</w:t>
            </w:r>
          </w:p>
        </w:tc>
        <w:tc>
          <w:tcPr>
            <w:tcW w:w="0" w:type="auto"/>
            <w:hideMark/>
          </w:tcPr>
          <w:p w14:paraId="1C7DC8DE" w14:textId="77777777" w:rsidR="00B9068C" w:rsidRPr="00CD2D44" w:rsidRDefault="00B9068C" w:rsidP="003D70A8">
            <w:pPr>
              <w:spacing w:after="160"/>
              <w:jc w:val="both"/>
              <w:rPr>
                <w:rFonts w:cs="Times New Roman"/>
                <w:szCs w:val="24"/>
              </w:rPr>
            </w:pPr>
            <w:r w:rsidRPr="00CD2D44">
              <w:rPr>
                <w:rFonts w:cs="Times New Roman"/>
                <w:szCs w:val="24"/>
              </w:rPr>
              <w:t>Urease</w:t>
            </w:r>
          </w:p>
        </w:tc>
        <w:tc>
          <w:tcPr>
            <w:tcW w:w="0" w:type="auto"/>
            <w:hideMark/>
          </w:tcPr>
          <w:p w14:paraId="208FBCF9"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5375519C" w14:textId="77777777" w:rsidTr="00424C7A">
        <w:trPr>
          <w:jc w:val="center"/>
        </w:trPr>
        <w:tc>
          <w:tcPr>
            <w:tcW w:w="0" w:type="auto"/>
            <w:hideMark/>
          </w:tcPr>
          <w:p w14:paraId="5F9625E7" w14:textId="77777777" w:rsidR="00B9068C" w:rsidRPr="00CD2D44" w:rsidRDefault="00B9068C" w:rsidP="003D70A8">
            <w:pPr>
              <w:spacing w:after="160"/>
              <w:jc w:val="center"/>
              <w:rPr>
                <w:rFonts w:cs="Times New Roman"/>
                <w:szCs w:val="24"/>
              </w:rPr>
            </w:pPr>
            <w:r w:rsidRPr="00CD2D44">
              <w:rPr>
                <w:rFonts w:cs="Times New Roman"/>
                <w:szCs w:val="24"/>
              </w:rPr>
              <w:t>11</w:t>
            </w:r>
          </w:p>
        </w:tc>
        <w:tc>
          <w:tcPr>
            <w:tcW w:w="0" w:type="auto"/>
            <w:hideMark/>
          </w:tcPr>
          <w:p w14:paraId="1E38FA4B" w14:textId="77777777" w:rsidR="00B9068C" w:rsidRPr="00CD2D44" w:rsidRDefault="00B9068C" w:rsidP="003D70A8">
            <w:pPr>
              <w:spacing w:after="160"/>
              <w:jc w:val="both"/>
              <w:rPr>
                <w:rFonts w:cs="Times New Roman"/>
                <w:szCs w:val="24"/>
              </w:rPr>
            </w:pPr>
            <w:r w:rsidRPr="00CD2D44">
              <w:rPr>
                <w:rFonts w:cs="Times New Roman"/>
                <w:szCs w:val="24"/>
              </w:rPr>
              <w:t>Lysine decarboxylase</w:t>
            </w:r>
          </w:p>
        </w:tc>
        <w:tc>
          <w:tcPr>
            <w:tcW w:w="0" w:type="auto"/>
            <w:hideMark/>
          </w:tcPr>
          <w:p w14:paraId="0AE6CDE4"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7D0D23B6" w14:textId="77777777" w:rsidTr="00424C7A">
        <w:trPr>
          <w:jc w:val="center"/>
        </w:trPr>
        <w:tc>
          <w:tcPr>
            <w:tcW w:w="0" w:type="auto"/>
            <w:hideMark/>
          </w:tcPr>
          <w:p w14:paraId="73C33353" w14:textId="77777777" w:rsidR="00B9068C" w:rsidRPr="00CD2D44" w:rsidRDefault="00B9068C" w:rsidP="003D70A8">
            <w:pPr>
              <w:spacing w:after="160"/>
              <w:jc w:val="center"/>
              <w:rPr>
                <w:rFonts w:cs="Times New Roman"/>
                <w:szCs w:val="24"/>
              </w:rPr>
            </w:pPr>
            <w:r w:rsidRPr="00CD2D44">
              <w:rPr>
                <w:rFonts w:cs="Times New Roman"/>
                <w:szCs w:val="24"/>
              </w:rPr>
              <w:t>12</w:t>
            </w:r>
          </w:p>
        </w:tc>
        <w:tc>
          <w:tcPr>
            <w:tcW w:w="0" w:type="auto"/>
            <w:hideMark/>
          </w:tcPr>
          <w:p w14:paraId="2294E320" w14:textId="65D1C98F" w:rsidR="00B9068C" w:rsidRPr="00CD2D44" w:rsidRDefault="00B9068C" w:rsidP="003D70A8">
            <w:pPr>
              <w:spacing w:after="160"/>
              <w:jc w:val="both"/>
              <w:rPr>
                <w:rFonts w:cs="Times New Roman"/>
                <w:szCs w:val="24"/>
              </w:rPr>
            </w:pPr>
            <w:r w:rsidRPr="00CD2D44">
              <w:rPr>
                <w:rFonts w:cs="Times New Roman"/>
                <w:szCs w:val="24"/>
              </w:rPr>
              <w:t>Glucose</w:t>
            </w:r>
            <w:r w:rsidR="00635944">
              <w:rPr>
                <w:rFonts w:cs="Times New Roman"/>
                <w:szCs w:val="24"/>
              </w:rPr>
              <w:t xml:space="preserve"> fermentation</w:t>
            </w:r>
          </w:p>
        </w:tc>
        <w:tc>
          <w:tcPr>
            <w:tcW w:w="0" w:type="auto"/>
            <w:hideMark/>
          </w:tcPr>
          <w:p w14:paraId="44DA12B9"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026D032D" w14:textId="77777777" w:rsidTr="00424C7A">
        <w:trPr>
          <w:jc w:val="center"/>
        </w:trPr>
        <w:tc>
          <w:tcPr>
            <w:tcW w:w="0" w:type="auto"/>
            <w:hideMark/>
          </w:tcPr>
          <w:p w14:paraId="7C1FFB85" w14:textId="77777777" w:rsidR="00B9068C" w:rsidRPr="00CD2D44" w:rsidRDefault="00B9068C" w:rsidP="003D70A8">
            <w:pPr>
              <w:spacing w:after="160"/>
              <w:jc w:val="center"/>
              <w:rPr>
                <w:rFonts w:cs="Times New Roman"/>
                <w:szCs w:val="24"/>
              </w:rPr>
            </w:pPr>
            <w:r w:rsidRPr="00CD2D44">
              <w:rPr>
                <w:rFonts w:cs="Times New Roman"/>
                <w:szCs w:val="24"/>
              </w:rPr>
              <w:t>13</w:t>
            </w:r>
          </w:p>
        </w:tc>
        <w:tc>
          <w:tcPr>
            <w:tcW w:w="0" w:type="auto"/>
            <w:hideMark/>
          </w:tcPr>
          <w:p w14:paraId="720107A3" w14:textId="76924ACE" w:rsidR="00B9068C" w:rsidRPr="00CD2D44" w:rsidRDefault="00B9068C" w:rsidP="003D70A8">
            <w:pPr>
              <w:spacing w:after="160"/>
              <w:jc w:val="both"/>
              <w:rPr>
                <w:rFonts w:cs="Times New Roman"/>
                <w:szCs w:val="24"/>
              </w:rPr>
            </w:pPr>
            <w:r w:rsidRPr="00CD2D44">
              <w:rPr>
                <w:rFonts w:cs="Times New Roman"/>
                <w:szCs w:val="24"/>
              </w:rPr>
              <w:t>Arabinose</w:t>
            </w:r>
            <w:r w:rsidR="00635944">
              <w:rPr>
                <w:rFonts w:cs="Times New Roman"/>
                <w:szCs w:val="24"/>
              </w:rPr>
              <w:t xml:space="preserve"> fermentation</w:t>
            </w:r>
          </w:p>
        </w:tc>
        <w:tc>
          <w:tcPr>
            <w:tcW w:w="0" w:type="auto"/>
            <w:hideMark/>
          </w:tcPr>
          <w:p w14:paraId="2C8EEED4"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76D25FC7" w14:textId="77777777" w:rsidTr="00424C7A">
        <w:trPr>
          <w:jc w:val="center"/>
        </w:trPr>
        <w:tc>
          <w:tcPr>
            <w:tcW w:w="0" w:type="auto"/>
            <w:hideMark/>
          </w:tcPr>
          <w:p w14:paraId="2B1F85C1" w14:textId="77777777" w:rsidR="00B9068C" w:rsidRPr="00CD2D44" w:rsidRDefault="00B9068C" w:rsidP="003D70A8">
            <w:pPr>
              <w:spacing w:after="160"/>
              <w:jc w:val="center"/>
              <w:rPr>
                <w:rFonts w:cs="Times New Roman"/>
                <w:szCs w:val="24"/>
              </w:rPr>
            </w:pPr>
            <w:r w:rsidRPr="00CD2D44">
              <w:rPr>
                <w:rFonts w:cs="Times New Roman"/>
                <w:szCs w:val="24"/>
              </w:rPr>
              <w:t>14</w:t>
            </w:r>
          </w:p>
        </w:tc>
        <w:tc>
          <w:tcPr>
            <w:tcW w:w="0" w:type="auto"/>
            <w:hideMark/>
          </w:tcPr>
          <w:p w14:paraId="735AFDA0" w14:textId="4C8AEEE5" w:rsidR="00B9068C" w:rsidRPr="00CD2D44" w:rsidRDefault="00B9068C" w:rsidP="003D70A8">
            <w:pPr>
              <w:spacing w:after="160"/>
              <w:jc w:val="both"/>
              <w:rPr>
                <w:rFonts w:cs="Times New Roman"/>
                <w:szCs w:val="24"/>
              </w:rPr>
            </w:pPr>
            <w:r w:rsidRPr="00CD2D44">
              <w:rPr>
                <w:rFonts w:cs="Times New Roman"/>
                <w:szCs w:val="24"/>
              </w:rPr>
              <w:t>Xylose</w:t>
            </w:r>
            <w:r w:rsidR="00635944">
              <w:rPr>
                <w:rFonts w:cs="Times New Roman"/>
                <w:szCs w:val="24"/>
              </w:rPr>
              <w:t xml:space="preserve"> fermentation</w:t>
            </w:r>
          </w:p>
        </w:tc>
        <w:tc>
          <w:tcPr>
            <w:tcW w:w="0" w:type="auto"/>
            <w:hideMark/>
          </w:tcPr>
          <w:p w14:paraId="04C0E308"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038F992B" w14:textId="77777777" w:rsidTr="00424C7A">
        <w:trPr>
          <w:jc w:val="center"/>
        </w:trPr>
        <w:tc>
          <w:tcPr>
            <w:tcW w:w="0" w:type="auto"/>
            <w:hideMark/>
          </w:tcPr>
          <w:p w14:paraId="7FB14622" w14:textId="77777777" w:rsidR="00B9068C" w:rsidRPr="00CD2D44" w:rsidRDefault="00B9068C" w:rsidP="003D70A8">
            <w:pPr>
              <w:spacing w:after="160"/>
              <w:jc w:val="center"/>
              <w:rPr>
                <w:rFonts w:cs="Times New Roman"/>
                <w:szCs w:val="24"/>
              </w:rPr>
            </w:pPr>
            <w:r w:rsidRPr="00CD2D44">
              <w:rPr>
                <w:rFonts w:cs="Times New Roman"/>
                <w:szCs w:val="24"/>
              </w:rPr>
              <w:t>15</w:t>
            </w:r>
          </w:p>
        </w:tc>
        <w:tc>
          <w:tcPr>
            <w:tcW w:w="0" w:type="auto"/>
            <w:hideMark/>
          </w:tcPr>
          <w:p w14:paraId="4EDC7578" w14:textId="3BCFF9E0" w:rsidR="00B9068C" w:rsidRPr="00CD2D44" w:rsidRDefault="00B9068C" w:rsidP="003D70A8">
            <w:pPr>
              <w:spacing w:after="160"/>
              <w:jc w:val="both"/>
              <w:rPr>
                <w:rFonts w:cs="Times New Roman"/>
                <w:szCs w:val="24"/>
              </w:rPr>
            </w:pPr>
            <w:r w:rsidRPr="00CD2D44">
              <w:rPr>
                <w:rFonts w:cs="Times New Roman"/>
                <w:szCs w:val="24"/>
              </w:rPr>
              <w:t>Maltose</w:t>
            </w:r>
            <w:r w:rsidR="00635944">
              <w:rPr>
                <w:rFonts w:cs="Times New Roman"/>
                <w:szCs w:val="24"/>
              </w:rPr>
              <w:t xml:space="preserve"> fermentation</w:t>
            </w:r>
          </w:p>
        </w:tc>
        <w:tc>
          <w:tcPr>
            <w:tcW w:w="0" w:type="auto"/>
            <w:hideMark/>
          </w:tcPr>
          <w:p w14:paraId="7A9364D1"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4CF94C35" w14:textId="77777777" w:rsidTr="00424C7A">
        <w:trPr>
          <w:jc w:val="center"/>
        </w:trPr>
        <w:tc>
          <w:tcPr>
            <w:tcW w:w="0" w:type="auto"/>
            <w:hideMark/>
          </w:tcPr>
          <w:p w14:paraId="36F3C82F" w14:textId="77777777" w:rsidR="00B9068C" w:rsidRPr="00CD2D44" w:rsidRDefault="00B9068C" w:rsidP="003D70A8">
            <w:pPr>
              <w:spacing w:after="160"/>
              <w:jc w:val="center"/>
              <w:rPr>
                <w:rFonts w:cs="Times New Roman"/>
                <w:szCs w:val="24"/>
              </w:rPr>
            </w:pPr>
            <w:r w:rsidRPr="00CD2D44">
              <w:rPr>
                <w:rFonts w:cs="Times New Roman"/>
                <w:szCs w:val="24"/>
              </w:rPr>
              <w:t>16</w:t>
            </w:r>
          </w:p>
        </w:tc>
        <w:tc>
          <w:tcPr>
            <w:tcW w:w="0" w:type="auto"/>
            <w:hideMark/>
          </w:tcPr>
          <w:p w14:paraId="41538A71" w14:textId="2701CF02" w:rsidR="00B9068C" w:rsidRPr="00CD2D44" w:rsidRDefault="00B9068C" w:rsidP="003D70A8">
            <w:pPr>
              <w:spacing w:after="160"/>
              <w:jc w:val="both"/>
              <w:rPr>
                <w:rFonts w:cs="Times New Roman"/>
                <w:szCs w:val="24"/>
              </w:rPr>
            </w:pPr>
            <w:r w:rsidRPr="00CD2D44">
              <w:rPr>
                <w:rFonts w:cs="Times New Roman"/>
                <w:szCs w:val="24"/>
              </w:rPr>
              <w:t>Dextrose</w:t>
            </w:r>
            <w:r w:rsidR="00635944">
              <w:rPr>
                <w:rFonts w:cs="Times New Roman"/>
                <w:szCs w:val="24"/>
              </w:rPr>
              <w:t xml:space="preserve"> fermentation</w:t>
            </w:r>
          </w:p>
        </w:tc>
        <w:tc>
          <w:tcPr>
            <w:tcW w:w="0" w:type="auto"/>
            <w:hideMark/>
          </w:tcPr>
          <w:p w14:paraId="3CF2E2F3"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bl>
    <w:p w14:paraId="63FE13F6" w14:textId="77777777" w:rsidR="003D70A8" w:rsidRDefault="003D70A8" w:rsidP="00B86AFF">
      <w:pPr>
        <w:spacing w:line="360" w:lineRule="auto"/>
        <w:jc w:val="both"/>
        <w:rPr>
          <w:rFonts w:cs="Times New Roman"/>
          <w:b/>
          <w:bCs/>
          <w:i/>
          <w:iCs/>
          <w:szCs w:val="24"/>
        </w:rPr>
      </w:pPr>
    </w:p>
    <w:p w14:paraId="6CE669D5" w14:textId="6F0632D0" w:rsidR="009E3C3D" w:rsidRPr="00CD2D44" w:rsidRDefault="001D3EA5" w:rsidP="00B86AFF">
      <w:pPr>
        <w:spacing w:line="360" w:lineRule="auto"/>
        <w:jc w:val="both"/>
        <w:rPr>
          <w:rFonts w:cs="Times New Roman"/>
          <w:b/>
          <w:bCs/>
          <w:szCs w:val="24"/>
        </w:rPr>
      </w:pPr>
      <w:r>
        <w:rPr>
          <w:rFonts w:cs="Times New Roman"/>
          <w:b/>
          <w:bCs/>
          <w:szCs w:val="24"/>
        </w:rPr>
        <w:t xml:space="preserve">2.2 </w:t>
      </w:r>
      <w:r w:rsidR="00155362">
        <w:rPr>
          <w:rFonts w:cs="Times New Roman"/>
          <w:b/>
          <w:bCs/>
          <w:szCs w:val="24"/>
        </w:rPr>
        <w:t>T</w:t>
      </w:r>
      <w:r w:rsidR="009E3C3D" w:rsidRPr="00CD2D44">
        <w:rPr>
          <w:rFonts w:cs="Times New Roman"/>
          <w:b/>
          <w:bCs/>
          <w:szCs w:val="24"/>
        </w:rPr>
        <w:t xml:space="preserve">ests for pathogenicity </w:t>
      </w:r>
    </w:p>
    <w:p w14:paraId="16543204" w14:textId="3315408F" w:rsidR="009E3C3D" w:rsidRPr="00CD2D44" w:rsidRDefault="007C4B57" w:rsidP="00B86AFF">
      <w:pPr>
        <w:spacing w:line="360" w:lineRule="auto"/>
        <w:ind w:firstLine="720"/>
        <w:jc w:val="both"/>
        <w:rPr>
          <w:rFonts w:cs="Times New Roman"/>
          <w:szCs w:val="24"/>
        </w:rPr>
      </w:pPr>
      <w:r w:rsidRPr="00CD2D44">
        <w:rPr>
          <w:rFonts w:cs="Times New Roman"/>
          <w:szCs w:val="24"/>
        </w:rPr>
        <w:lastRenderedPageBreak/>
        <w:t>P</w:t>
      </w:r>
      <w:r w:rsidR="009E3C3D" w:rsidRPr="00CD2D44">
        <w:rPr>
          <w:rFonts w:cs="Times New Roman"/>
          <w:szCs w:val="24"/>
        </w:rPr>
        <w:t xml:space="preserve">athogenicity of </w:t>
      </w:r>
      <w:r w:rsidR="009E3C3D" w:rsidRPr="00CD2D44">
        <w:rPr>
          <w:rFonts w:cs="Times New Roman"/>
          <w:i/>
          <w:iCs/>
          <w:szCs w:val="24"/>
        </w:rPr>
        <w:t>Y. enterocolitica</w:t>
      </w:r>
      <w:r w:rsidR="009E3C3D" w:rsidRPr="00CD2D44">
        <w:rPr>
          <w:rFonts w:cs="Times New Roman"/>
          <w:szCs w:val="24"/>
        </w:rPr>
        <w:t xml:space="preserve"> isolates were </w:t>
      </w:r>
      <w:r w:rsidRPr="00CD2D44">
        <w:rPr>
          <w:rFonts w:cs="Times New Roman"/>
          <w:szCs w:val="24"/>
        </w:rPr>
        <w:t xml:space="preserve">determined by </w:t>
      </w:r>
      <w:r w:rsidR="009E3C3D" w:rsidRPr="00CD2D44">
        <w:rPr>
          <w:rFonts w:cs="Times New Roman"/>
          <w:szCs w:val="24"/>
        </w:rPr>
        <w:t>Calcium dependency and Congo red absorption test</w:t>
      </w:r>
      <w:r w:rsidRPr="00CD2D44">
        <w:rPr>
          <w:rFonts w:cs="Times New Roman"/>
          <w:szCs w:val="24"/>
        </w:rPr>
        <w:t xml:space="preserve"> </w:t>
      </w:r>
      <w:r w:rsidR="009E3C3D" w:rsidRPr="00CD2D44">
        <w:rPr>
          <w:rFonts w:cs="Times New Roman"/>
          <w:szCs w:val="24"/>
        </w:rPr>
        <w:t xml:space="preserve">as per Bhaduri </w:t>
      </w:r>
      <w:r w:rsidR="009E3C3D" w:rsidRPr="00CD2D44">
        <w:rPr>
          <w:rFonts w:cs="Times New Roman"/>
          <w:i/>
          <w:iCs/>
          <w:szCs w:val="24"/>
        </w:rPr>
        <w:t>et al.</w:t>
      </w:r>
      <w:r w:rsidR="004742F5" w:rsidRPr="00CD2D44">
        <w:rPr>
          <w:rFonts w:cs="Times New Roman"/>
          <w:i/>
          <w:iCs/>
          <w:szCs w:val="24"/>
        </w:rPr>
        <w:t xml:space="preserve"> </w:t>
      </w:r>
      <w:r w:rsidR="004742F5" w:rsidRPr="00CD2D44">
        <w:rPr>
          <w:rFonts w:cs="Times New Roman"/>
          <w:szCs w:val="24"/>
        </w:rPr>
        <w:t>(</w:t>
      </w:r>
      <w:r w:rsidR="009E3C3D" w:rsidRPr="00CD2D44">
        <w:rPr>
          <w:rFonts w:cs="Times New Roman"/>
          <w:szCs w:val="24"/>
        </w:rPr>
        <w:t>1987</w:t>
      </w:r>
      <w:r w:rsidR="004742F5" w:rsidRPr="00CD2D44">
        <w:rPr>
          <w:rFonts w:cs="Times New Roman"/>
          <w:szCs w:val="24"/>
        </w:rPr>
        <w:t>)</w:t>
      </w:r>
      <w:r w:rsidR="009E3C3D" w:rsidRPr="00CD2D44">
        <w:rPr>
          <w:rFonts w:cs="Times New Roman"/>
          <w:szCs w:val="24"/>
        </w:rPr>
        <w:t xml:space="preserve"> and Farmer </w:t>
      </w:r>
      <w:r w:rsidR="009E3C3D" w:rsidRPr="00CD2D44">
        <w:rPr>
          <w:rFonts w:cs="Times New Roman"/>
          <w:i/>
          <w:iCs/>
          <w:szCs w:val="24"/>
        </w:rPr>
        <w:t>et al</w:t>
      </w:r>
      <w:r w:rsidR="009E3C3D" w:rsidRPr="00CD2D44">
        <w:rPr>
          <w:rFonts w:cs="Times New Roman"/>
          <w:szCs w:val="24"/>
        </w:rPr>
        <w:t xml:space="preserve">. </w:t>
      </w:r>
      <w:r w:rsidR="00366970" w:rsidRPr="00CD2D44">
        <w:rPr>
          <w:rFonts w:cs="Times New Roman"/>
          <w:szCs w:val="24"/>
        </w:rPr>
        <w:t>(</w:t>
      </w:r>
      <w:r w:rsidR="009E3C3D" w:rsidRPr="00CD2D44">
        <w:rPr>
          <w:rFonts w:cs="Times New Roman"/>
          <w:szCs w:val="24"/>
        </w:rPr>
        <w:t>1992</w:t>
      </w:r>
      <w:r w:rsidR="00366970" w:rsidRPr="00CD2D44">
        <w:rPr>
          <w:rFonts w:cs="Times New Roman"/>
          <w:szCs w:val="24"/>
        </w:rPr>
        <w:t>)</w:t>
      </w:r>
      <w:r w:rsidR="009E3C3D" w:rsidRPr="00CD2D44">
        <w:rPr>
          <w:rFonts w:cs="Times New Roman"/>
          <w:szCs w:val="24"/>
        </w:rPr>
        <w:t xml:space="preserve">. </w:t>
      </w:r>
    </w:p>
    <w:p w14:paraId="6496DCAD" w14:textId="464B9751" w:rsidR="009E3C3D" w:rsidRPr="00CD2D44" w:rsidRDefault="001D3EA5" w:rsidP="00B86AFF">
      <w:pPr>
        <w:spacing w:line="360" w:lineRule="auto"/>
        <w:jc w:val="both"/>
        <w:rPr>
          <w:rFonts w:cs="Times New Roman"/>
          <w:b/>
          <w:bCs/>
          <w:szCs w:val="24"/>
        </w:rPr>
      </w:pPr>
      <w:r>
        <w:rPr>
          <w:rFonts w:cs="Times New Roman"/>
          <w:b/>
          <w:bCs/>
          <w:szCs w:val="24"/>
        </w:rPr>
        <w:t xml:space="preserve">2.2.1 </w:t>
      </w:r>
      <w:r w:rsidR="009E3C3D" w:rsidRPr="00CD2D44">
        <w:rPr>
          <w:rFonts w:cs="Times New Roman"/>
          <w:b/>
          <w:bCs/>
          <w:szCs w:val="24"/>
        </w:rPr>
        <w:t xml:space="preserve">Calcium dependency test </w:t>
      </w:r>
    </w:p>
    <w:p w14:paraId="15E46D86" w14:textId="3D5871C9" w:rsidR="00964AE5" w:rsidRPr="00CD2D44" w:rsidRDefault="00964AE5" w:rsidP="00937CDC">
      <w:pPr>
        <w:spacing w:line="360" w:lineRule="auto"/>
        <w:ind w:firstLine="720"/>
        <w:jc w:val="both"/>
        <w:rPr>
          <w:rFonts w:cs="Times New Roman"/>
          <w:szCs w:val="24"/>
        </w:rPr>
      </w:pPr>
      <w:r w:rsidRPr="00CD2D44">
        <w:rPr>
          <w:rFonts w:cs="Times New Roman"/>
          <w:szCs w:val="24"/>
        </w:rPr>
        <w:t xml:space="preserve">The isolates were inoculated onto </w:t>
      </w:r>
      <w:r w:rsidR="00937CDC" w:rsidRPr="00937CDC">
        <w:rPr>
          <w:rFonts w:cs="Times New Roman"/>
          <w:szCs w:val="24"/>
        </w:rPr>
        <w:t xml:space="preserve">magnesium oxalate (MOX) agar, a calcium-deficient medium </w:t>
      </w:r>
      <w:r w:rsidRPr="00CD2D44">
        <w:rPr>
          <w:rFonts w:cs="Times New Roman"/>
          <w:szCs w:val="24"/>
        </w:rPr>
        <w:t>and incubated at 37°C overnight. Pathogenic strains exhibited restricted growth, producing characteristic pinpoint colonies, whereas non-pathogenic isolates formed larger colonies measuring approximately 0.5–1.0 mm in diameter.</w:t>
      </w:r>
    </w:p>
    <w:p w14:paraId="7861226E" w14:textId="46B0ACD8" w:rsidR="00E87B1E" w:rsidRPr="00CD2D44" w:rsidRDefault="001D3EA5" w:rsidP="00B86AFF">
      <w:pPr>
        <w:spacing w:line="360" w:lineRule="auto"/>
        <w:jc w:val="both"/>
        <w:rPr>
          <w:rFonts w:cs="Times New Roman"/>
          <w:b/>
          <w:bCs/>
          <w:szCs w:val="24"/>
        </w:rPr>
      </w:pPr>
      <w:r>
        <w:rPr>
          <w:rFonts w:cs="Times New Roman"/>
          <w:b/>
          <w:bCs/>
          <w:szCs w:val="24"/>
        </w:rPr>
        <w:t xml:space="preserve">2.2.2 </w:t>
      </w:r>
      <w:r w:rsidR="009E3C3D" w:rsidRPr="00CD2D44">
        <w:rPr>
          <w:rFonts w:cs="Times New Roman"/>
          <w:b/>
          <w:bCs/>
          <w:szCs w:val="24"/>
        </w:rPr>
        <w:t xml:space="preserve">Congo red absorption test </w:t>
      </w:r>
    </w:p>
    <w:p w14:paraId="5EF123E4" w14:textId="00F09593" w:rsidR="00F50EDE" w:rsidRDefault="00F50EDE" w:rsidP="00B86AFF">
      <w:pPr>
        <w:spacing w:line="360" w:lineRule="auto"/>
        <w:ind w:firstLine="720"/>
        <w:jc w:val="both"/>
        <w:rPr>
          <w:rFonts w:cs="Times New Roman"/>
          <w:szCs w:val="24"/>
        </w:rPr>
      </w:pPr>
      <w:r w:rsidRPr="00CD2D44">
        <w:rPr>
          <w:rFonts w:cs="Times New Roman"/>
          <w:szCs w:val="24"/>
        </w:rPr>
        <w:t xml:space="preserve">The isolates were streaked onto </w:t>
      </w:r>
      <w:r w:rsidR="00FE6F99" w:rsidRPr="00CD2D44">
        <w:rPr>
          <w:rFonts w:cs="Times New Roman"/>
          <w:szCs w:val="24"/>
        </w:rPr>
        <w:t>Congo Red–Morpholine Propane Sulphonic Acid (</w:t>
      </w:r>
      <w:r w:rsidR="001A4A6E">
        <w:rPr>
          <w:rFonts w:cs="Times New Roman"/>
          <w:szCs w:val="24"/>
        </w:rPr>
        <w:t>CRAMP</w:t>
      </w:r>
      <w:r w:rsidR="00FE6F99" w:rsidRPr="00CD2D44">
        <w:rPr>
          <w:rFonts w:cs="Times New Roman"/>
          <w:szCs w:val="24"/>
        </w:rPr>
        <w:t xml:space="preserve">) </w:t>
      </w:r>
      <w:r w:rsidRPr="00CD2D44">
        <w:rPr>
          <w:rFonts w:cs="Times New Roman"/>
          <w:szCs w:val="24"/>
        </w:rPr>
        <w:t>medium and incubated at 25°C for 72 h. Virulent isolates absorbed the Congo red dye and produced characteristic red colonies, whereas non-pathogenic isolates formed colourless to pale pink colonies.</w:t>
      </w:r>
    </w:p>
    <w:p w14:paraId="66457625" w14:textId="77777777" w:rsidR="009A29DB" w:rsidRPr="00CD2D44" w:rsidRDefault="009A29DB" w:rsidP="00B86AFF">
      <w:pPr>
        <w:spacing w:line="360" w:lineRule="auto"/>
        <w:ind w:firstLine="720"/>
        <w:jc w:val="both"/>
        <w:rPr>
          <w:rFonts w:cs="Times New Roman"/>
          <w:szCs w:val="24"/>
        </w:rPr>
      </w:pPr>
    </w:p>
    <w:p w14:paraId="777AD1AE" w14:textId="24AAB97F" w:rsidR="00EB5BEF" w:rsidRPr="00CD2D44" w:rsidRDefault="001D3EA5" w:rsidP="00B86AFF">
      <w:pPr>
        <w:spacing w:line="360" w:lineRule="auto"/>
        <w:jc w:val="both"/>
        <w:rPr>
          <w:rFonts w:cs="Times New Roman"/>
          <w:b/>
          <w:bCs/>
          <w:szCs w:val="24"/>
        </w:rPr>
      </w:pPr>
      <w:r>
        <w:rPr>
          <w:rFonts w:cs="Times New Roman"/>
          <w:b/>
          <w:bCs/>
          <w:szCs w:val="24"/>
        </w:rPr>
        <w:t xml:space="preserve">2.3 </w:t>
      </w:r>
      <w:r w:rsidR="00EB5BEF" w:rsidRPr="00CD2D44">
        <w:rPr>
          <w:rFonts w:cs="Times New Roman"/>
          <w:b/>
          <w:bCs/>
          <w:szCs w:val="24"/>
        </w:rPr>
        <w:t xml:space="preserve">Molecular Confirmation of Pathogenic </w:t>
      </w:r>
      <w:r w:rsidR="00EB5BEF" w:rsidRPr="00CD2D44">
        <w:rPr>
          <w:rFonts w:cs="Times New Roman"/>
          <w:b/>
          <w:bCs/>
          <w:i/>
          <w:iCs/>
          <w:szCs w:val="24"/>
        </w:rPr>
        <w:t>Y</w:t>
      </w:r>
      <w:r w:rsidR="00996A70" w:rsidRPr="00CD2D44">
        <w:rPr>
          <w:rFonts w:cs="Times New Roman"/>
          <w:b/>
          <w:bCs/>
          <w:i/>
          <w:iCs/>
          <w:szCs w:val="24"/>
        </w:rPr>
        <w:t>.</w:t>
      </w:r>
      <w:r w:rsidR="00EB5BEF" w:rsidRPr="00CD2D44">
        <w:rPr>
          <w:rFonts w:cs="Times New Roman"/>
          <w:b/>
          <w:bCs/>
          <w:i/>
          <w:iCs/>
          <w:szCs w:val="24"/>
        </w:rPr>
        <w:t xml:space="preserve"> enterocolitica</w:t>
      </w:r>
    </w:p>
    <w:p w14:paraId="307F8CCF" w14:textId="333280FE" w:rsidR="00EB5BEF" w:rsidRDefault="00916EDD" w:rsidP="00CA2C82">
      <w:pPr>
        <w:spacing w:after="0" w:line="360" w:lineRule="auto"/>
        <w:ind w:firstLine="720"/>
        <w:jc w:val="both"/>
        <w:rPr>
          <w:rFonts w:cs="Times New Roman"/>
          <w:szCs w:val="24"/>
        </w:rPr>
      </w:pPr>
      <w:r w:rsidRPr="00CD2D44">
        <w:rPr>
          <w:rFonts w:cs="Times New Roman"/>
          <w:szCs w:val="24"/>
        </w:rPr>
        <w:t xml:space="preserve">Molecular Confirmation of Pathogenic </w:t>
      </w:r>
      <w:r w:rsidRPr="00CD2D44">
        <w:rPr>
          <w:rFonts w:cs="Times New Roman"/>
          <w:i/>
          <w:iCs/>
          <w:szCs w:val="24"/>
        </w:rPr>
        <w:t>Y. enterocolitica</w:t>
      </w:r>
      <w:r w:rsidRPr="00CD2D44">
        <w:rPr>
          <w:rFonts w:cs="Times New Roman"/>
          <w:szCs w:val="24"/>
        </w:rPr>
        <w:t xml:space="preserve"> was carried out </w:t>
      </w:r>
      <w:r w:rsidR="00FC3BD2" w:rsidRPr="00CD2D44">
        <w:rPr>
          <w:rFonts w:cs="Times New Roman"/>
          <w:szCs w:val="24"/>
        </w:rPr>
        <w:t xml:space="preserve">by </w:t>
      </w:r>
      <w:r w:rsidR="00EB5BEF" w:rsidRPr="00CD2D44">
        <w:rPr>
          <w:rFonts w:cs="Times New Roman"/>
          <w:szCs w:val="24"/>
        </w:rPr>
        <w:t>detection of the attachment-invasion locus (</w:t>
      </w:r>
      <w:r w:rsidR="00EB5BEF" w:rsidRPr="00CD2D44">
        <w:rPr>
          <w:rFonts w:cs="Times New Roman"/>
          <w:i/>
          <w:iCs/>
          <w:szCs w:val="24"/>
        </w:rPr>
        <w:t>ail</w:t>
      </w:r>
      <w:r w:rsidR="00EB5BEF" w:rsidRPr="00CD2D44">
        <w:rPr>
          <w:rFonts w:cs="Times New Roman"/>
          <w:szCs w:val="24"/>
        </w:rPr>
        <w:t xml:space="preserve">) gene using polymerase chain reaction (PCR). Genomic DNA was extracted by the boiling and snap-chilling method as described by Lee </w:t>
      </w:r>
      <w:r w:rsidR="00EB5BEF" w:rsidRPr="00CD2D44">
        <w:rPr>
          <w:rFonts w:cs="Times New Roman"/>
          <w:i/>
          <w:iCs/>
          <w:szCs w:val="24"/>
        </w:rPr>
        <w:t>et al</w:t>
      </w:r>
      <w:r w:rsidR="00EB5BEF" w:rsidRPr="00CD2D44">
        <w:rPr>
          <w:rFonts w:cs="Times New Roman"/>
          <w:szCs w:val="24"/>
        </w:rPr>
        <w:t xml:space="preserve">. (2009). PCR amplification of the </w:t>
      </w:r>
      <w:r w:rsidR="00EB5BEF" w:rsidRPr="00CD2D44">
        <w:rPr>
          <w:rFonts w:cs="Times New Roman"/>
          <w:i/>
          <w:iCs/>
          <w:szCs w:val="24"/>
        </w:rPr>
        <w:t>ail</w:t>
      </w:r>
      <w:r w:rsidR="00EB5BEF" w:rsidRPr="00CD2D44">
        <w:rPr>
          <w:rFonts w:cs="Times New Roman"/>
          <w:szCs w:val="24"/>
        </w:rPr>
        <w:t xml:space="preserve"> gene was carried out using specific primers described by Anju </w:t>
      </w:r>
      <w:r w:rsidR="00EB5BEF" w:rsidRPr="00CD2D44">
        <w:rPr>
          <w:rFonts w:cs="Times New Roman"/>
          <w:i/>
          <w:iCs/>
          <w:szCs w:val="24"/>
        </w:rPr>
        <w:t>et al</w:t>
      </w:r>
      <w:r w:rsidR="00EB5BEF" w:rsidRPr="00CD2D44">
        <w:rPr>
          <w:rFonts w:cs="Times New Roman"/>
          <w:szCs w:val="24"/>
        </w:rPr>
        <w:t>. (2014)</w:t>
      </w:r>
      <w:r w:rsidR="0086731F">
        <w:rPr>
          <w:rFonts w:cs="Times New Roman"/>
          <w:szCs w:val="24"/>
        </w:rPr>
        <w:t xml:space="preserve"> (Table 2)</w:t>
      </w:r>
      <w:r w:rsidR="00EB5BEF" w:rsidRPr="00CD2D44">
        <w:rPr>
          <w:rFonts w:cs="Times New Roman"/>
          <w:szCs w:val="24"/>
        </w:rPr>
        <w:t xml:space="preserve">. </w:t>
      </w:r>
      <w:r w:rsidR="009A0C63" w:rsidRPr="00CD2D44">
        <w:rPr>
          <w:rFonts w:cs="Times New Roman"/>
          <w:szCs w:val="24"/>
        </w:rPr>
        <w:t xml:space="preserve">The PCR assay was performed in 25 μl reaction volume containing 12.5 μl of master mix, 1 μl of forward and reverse primers each (10 pmol), 5 μl of DNA template and 5.5 μl of nuclease free water. The cyclic condition of the PCR included </w:t>
      </w:r>
      <w:r w:rsidR="00924A00">
        <w:rPr>
          <w:rFonts w:cs="Times New Roman"/>
          <w:szCs w:val="24"/>
        </w:rPr>
        <w:t>initial</w:t>
      </w:r>
      <w:r w:rsidR="009A0C63" w:rsidRPr="00CD2D44">
        <w:rPr>
          <w:rFonts w:cs="Times New Roman"/>
          <w:szCs w:val="24"/>
        </w:rPr>
        <w:t xml:space="preserve"> denaturation at 95</w:t>
      </w:r>
      <w:r w:rsidR="009A0C63" w:rsidRPr="0029589E">
        <w:rPr>
          <w:rFonts w:cs="Times New Roman"/>
          <w:szCs w:val="24"/>
          <w:vertAlign w:val="superscript"/>
        </w:rPr>
        <w:t>o</w:t>
      </w:r>
      <w:r w:rsidR="009A0C63" w:rsidRPr="00CD2D44">
        <w:rPr>
          <w:rFonts w:cs="Times New Roman"/>
          <w:szCs w:val="24"/>
        </w:rPr>
        <w:t xml:space="preserve">C for </w:t>
      </w:r>
      <w:r w:rsidR="00E465B0" w:rsidRPr="00CD2D44">
        <w:rPr>
          <w:rFonts w:cs="Times New Roman"/>
          <w:szCs w:val="24"/>
        </w:rPr>
        <w:t>7</w:t>
      </w:r>
      <w:r w:rsidR="009A0C63" w:rsidRPr="00CD2D44">
        <w:rPr>
          <w:rFonts w:cs="Times New Roman"/>
          <w:szCs w:val="24"/>
        </w:rPr>
        <w:t xml:space="preserve"> min followed by 3</w:t>
      </w:r>
      <w:r w:rsidR="00D63AC2" w:rsidRPr="00CD2D44">
        <w:rPr>
          <w:rFonts w:cs="Times New Roman"/>
          <w:szCs w:val="24"/>
        </w:rPr>
        <w:t>5</w:t>
      </w:r>
      <w:r w:rsidR="009A0C63" w:rsidRPr="00CD2D44">
        <w:rPr>
          <w:rFonts w:cs="Times New Roman"/>
          <w:szCs w:val="24"/>
        </w:rPr>
        <w:t xml:space="preserve"> cycles of denaturation at 95</w:t>
      </w:r>
      <w:r w:rsidR="009A0C63" w:rsidRPr="0029589E">
        <w:rPr>
          <w:rFonts w:cs="Times New Roman"/>
          <w:szCs w:val="24"/>
          <w:vertAlign w:val="superscript"/>
        </w:rPr>
        <w:t>o</w:t>
      </w:r>
      <w:r w:rsidR="009A0C63" w:rsidRPr="00CD2D44">
        <w:rPr>
          <w:rFonts w:cs="Times New Roman"/>
          <w:szCs w:val="24"/>
        </w:rPr>
        <w:t xml:space="preserve">C for </w:t>
      </w:r>
      <w:r w:rsidR="00D63AC2" w:rsidRPr="00CD2D44">
        <w:rPr>
          <w:rFonts w:cs="Times New Roman"/>
          <w:szCs w:val="24"/>
        </w:rPr>
        <w:t>1 min</w:t>
      </w:r>
      <w:r w:rsidR="009A0C63" w:rsidRPr="00CD2D44">
        <w:rPr>
          <w:rFonts w:cs="Times New Roman"/>
          <w:szCs w:val="24"/>
        </w:rPr>
        <w:t>, annealing at 60</w:t>
      </w:r>
      <w:r w:rsidR="009A0C63" w:rsidRPr="0029589E">
        <w:rPr>
          <w:rFonts w:cs="Times New Roman"/>
          <w:szCs w:val="24"/>
          <w:vertAlign w:val="superscript"/>
        </w:rPr>
        <w:t>o</w:t>
      </w:r>
      <w:r w:rsidR="009A0C63" w:rsidRPr="00CD2D44">
        <w:rPr>
          <w:rFonts w:cs="Times New Roman"/>
          <w:szCs w:val="24"/>
        </w:rPr>
        <w:t xml:space="preserve">C for </w:t>
      </w:r>
      <w:r w:rsidR="00D63AC2" w:rsidRPr="00CD2D44">
        <w:rPr>
          <w:rFonts w:cs="Times New Roman"/>
          <w:szCs w:val="24"/>
        </w:rPr>
        <w:t>4</w:t>
      </w:r>
      <w:r w:rsidR="009A0C63" w:rsidRPr="00CD2D44">
        <w:rPr>
          <w:rFonts w:cs="Times New Roman"/>
          <w:szCs w:val="24"/>
        </w:rPr>
        <w:t>0 sec and extension at 72</w:t>
      </w:r>
      <w:r w:rsidR="009A0C63" w:rsidRPr="0029589E">
        <w:rPr>
          <w:rFonts w:cs="Times New Roman"/>
          <w:szCs w:val="24"/>
          <w:vertAlign w:val="superscript"/>
        </w:rPr>
        <w:t>o</w:t>
      </w:r>
      <w:r w:rsidR="009A0C63" w:rsidRPr="00CD2D44">
        <w:rPr>
          <w:rFonts w:cs="Times New Roman"/>
          <w:szCs w:val="24"/>
        </w:rPr>
        <w:t xml:space="preserve">C for </w:t>
      </w:r>
      <w:r w:rsidR="00D63AC2" w:rsidRPr="00CD2D44">
        <w:rPr>
          <w:rFonts w:cs="Times New Roman"/>
          <w:szCs w:val="24"/>
        </w:rPr>
        <w:t>2 min</w:t>
      </w:r>
      <w:r w:rsidR="009A0C63" w:rsidRPr="00CD2D44">
        <w:rPr>
          <w:rFonts w:cs="Times New Roman"/>
          <w:szCs w:val="24"/>
        </w:rPr>
        <w:t>. Final extension was carried out at 72</w:t>
      </w:r>
      <w:r w:rsidR="009A0C63" w:rsidRPr="0029589E">
        <w:rPr>
          <w:rFonts w:cs="Times New Roman"/>
          <w:szCs w:val="24"/>
          <w:vertAlign w:val="superscript"/>
        </w:rPr>
        <w:t>o</w:t>
      </w:r>
      <w:r w:rsidR="009A0C63" w:rsidRPr="00CD2D44">
        <w:rPr>
          <w:rFonts w:cs="Times New Roman"/>
          <w:szCs w:val="24"/>
        </w:rPr>
        <w:t xml:space="preserve">C for 10 min. </w:t>
      </w:r>
      <w:r w:rsidR="00EB5BEF" w:rsidRPr="00CD2D44">
        <w:rPr>
          <w:rFonts w:cs="Times New Roman"/>
          <w:szCs w:val="24"/>
        </w:rPr>
        <w:t xml:space="preserve">DNA extracted from a reference pathogenic </w:t>
      </w:r>
      <w:r w:rsidR="00EB5BEF" w:rsidRPr="00CD2D44">
        <w:rPr>
          <w:rFonts w:cs="Times New Roman"/>
          <w:i/>
          <w:iCs/>
          <w:szCs w:val="24"/>
        </w:rPr>
        <w:t>Y. enterocolitica</w:t>
      </w:r>
      <w:r w:rsidR="00EB5BEF" w:rsidRPr="00CD2D44">
        <w:rPr>
          <w:rFonts w:cs="Times New Roman"/>
          <w:szCs w:val="24"/>
        </w:rPr>
        <w:t xml:space="preserve"> strain</w:t>
      </w:r>
      <w:r w:rsidR="001F194A" w:rsidRPr="00CD2D44">
        <w:rPr>
          <w:rFonts w:cs="Times New Roman"/>
          <w:szCs w:val="24"/>
        </w:rPr>
        <w:t xml:space="preserve"> (MTCC 859)</w:t>
      </w:r>
      <w:r w:rsidR="00EB5BEF" w:rsidRPr="00CD2D44">
        <w:rPr>
          <w:rFonts w:cs="Times New Roman"/>
          <w:szCs w:val="24"/>
        </w:rPr>
        <w:t xml:space="preserve"> was </w:t>
      </w:r>
      <w:r w:rsidR="0055024E">
        <w:rPr>
          <w:rFonts w:cs="Times New Roman"/>
          <w:szCs w:val="24"/>
        </w:rPr>
        <w:t>used</w:t>
      </w:r>
      <w:r w:rsidR="00EB5BEF" w:rsidRPr="00CD2D44">
        <w:rPr>
          <w:rFonts w:cs="Times New Roman"/>
          <w:szCs w:val="24"/>
        </w:rPr>
        <w:t xml:space="preserve"> as a positive control, while nuclease-free water served as the negative control. Amplified products were analyzed by agarose gel electrophoresis and visualized under gel documentation system.</w:t>
      </w:r>
    </w:p>
    <w:p w14:paraId="0856002A" w14:textId="329A3D0B" w:rsidR="00514039" w:rsidRPr="00514039" w:rsidRDefault="00514039" w:rsidP="00514039">
      <w:pPr>
        <w:spacing w:line="360" w:lineRule="auto"/>
        <w:jc w:val="center"/>
        <w:rPr>
          <w:rFonts w:cs="Times New Roman"/>
          <w:b/>
          <w:bCs/>
          <w:szCs w:val="24"/>
        </w:rPr>
      </w:pPr>
      <w:r w:rsidRPr="00514039">
        <w:rPr>
          <w:rFonts w:cs="Times New Roman"/>
          <w:b/>
          <w:bCs/>
          <w:szCs w:val="24"/>
        </w:rPr>
        <w:t>Table 2. Details of primers used</w:t>
      </w:r>
    </w:p>
    <w:tbl>
      <w:tblPr>
        <w:tblStyle w:val="TableGrid"/>
        <w:tblW w:w="0" w:type="auto"/>
        <w:jc w:val="center"/>
        <w:tblLook w:val="04A0" w:firstRow="1" w:lastRow="0" w:firstColumn="1" w:lastColumn="0" w:noHBand="0" w:noVBand="1"/>
      </w:tblPr>
      <w:tblGrid>
        <w:gridCol w:w="1803"/>
        <w:gridCol w:w="1432"/>
        <w:gridCol w:w="3098"/>
        <w:gridCol w:w="1803"/>
      </w:tblGrid>
      <w:tr w:rsidR="00973FD8" w14:paraId="26FFBE75" w14:textId="77777777" w:rsidTr="00514039">
        <w:trPr>
          <w:jc w:val="center"/>
        </w:trPr>
        <w:tc>
          <w:tcPr>
            <w:tcW w:w="1803" w:type="dxa"/>
            <w:vAlign w:val="center"/>
          </w:tcPr>
          <w:p w14:paraId="68ABB943" w14:textId="60948901" w:rsidR="00973FD8" w:rsidRPr="00514039" w:rsidRDefault="00973FD8" w:rsidP="00514039">
            <w:pPr>
              <w:spacing w:line="360" w:lineRule="auto"/>
              <w:jc w:val="center"/>
              <w:rPr>
                <w:rFonts w:cs="Times New Roman"/>
                <w:b/>
                <w:bCs/>
                <w:szCs w:val="24"/>
              </w:rPr>
            </w:pPr>
            <w:r w:rsidRPr="00514039">
              <w:rPr>
                <w:rFonts w:cs="Times New Roman"/>
                <w:b/>
                <w:bCs/>
                <w:szCs w:val="24"/>
              </w:rPr>
              <w:t>Target gene</w:t>
            </w:r>
          </w:p>
        </w:tc>
        <w:tc>
          <w:tcPr>
            <w:tcW w:w="1432" w:type="dxa"/>
            <w:vAlign w:val="center"/>
          </w:tcPr>
          <w:p w14:paraId="237D44C3" w14:textId="7353FA67" w:rsidR="00973FD8" w:rsidRPr="00514039" w:rsidRDefault="00973FD8" w:rsidP="00514039">
            <w:pPr>
              <w:spacing w:line="360" w:lineRule="auto"/>
              <w:jc w:val="center"/>
              <w:rPr>
                <w:rFonts w:cs="Times New Roman"/>
                <w:b/>
                <w:bCs/>
                <w:szCs w:val="24"/>
              </w:rPr>
            </w:pPr>
            <w:r w:rsidRPr="00514039">
              <w:rPr>
                <w:rFonts w:cs="Times New Roman"/>
                <w:b/>
                <w:bCs/>
                <w:szCs w:val="24"/>
              </w:rPr>
              <w:t>Primer</w:t>
            </w:r>
          </w:p>
        </w:tc>
        <w:tc>
          <w:tcPr>
            <w:tcW w:w="3098" w:type="dxa"/>
            <w:vAlign w:val="center"/>
          </w:tcPr>
          <w:p w14:paraId="1EEF3A86" w14:textId="1227A6D7" w:rsidR="00973FD8" w:rsidRPr="00514039" w:rsidRDefault="00973FD8" w:rsidP="00514039">
            <w:pPr>
              <w:spacing w:line="360" w:lineRule="auto"/>
              <w:jc w:val="center"/>
              <w:rPr>
                <w:rFonts w:cs="Times New Roman"/>
                <w:b/>
                <w:bCs/>
                <w:szCs w:val="24"/>
              </w:rPr>
            </w:pPr>
            <w:r w:rsidRPr="00514039">
              <w:rPr>
                <w:rFonts w:cs="Times New Roman"/>
                <w:b/>
                <w:bCs/>
                <w:szCs w:val="24"/>
              </w:rPr>
              <w:t xml:space="preserve">Sequence (5' </w:t>
            </w:r>
            <w:r w:rsidR="00930020" w:rsidRPr="00514039">
              <w:rPr>
                <w:rFonts w:cs="Times New Roman"/>
                <w:b/>
                <w:bCs/>
                <w:szCs w:val="24"/>
              </w:rPr>
              <w:sym w:font="Wingdings" w:char="F0E0"/>
            </w:r>
            <w:r w:rsidR="00930020" w:rsidRPr="00514039">
              <w:rPr>
                <w:rFonts w:cs="Times New Roman"/>
                <w:b/>
                <w:bCs/>
                <w:szCs w:val="24"/>
              </w:rPr>
              <w:t xml:space="preserve"> 3'</w:t>
            </w:r>
            <w:r w:rsidR="00514039">
              <w:rPr>
                <w:rFonts w:cs="Times New Roman"/>
                <w:b/>
                <w:bCs/>
                <w:szCs w:val="24"/>
              </w:rPr>
              <w:t>)</w:t>
            </w:r>
          </w:p>
        </w:tc>
        <w:tc>
          <w:tcPr>
            <w:tcW w:w="1803" w:type="dxa"/>
            <w:vAlign w:val="center"/>
          </w:tcPr>
          <w:p w14:paraId="5AA4F1D5" w14:textId="3D58C919" w:rsidR="00973FD8" w:rsidRPr="00514039" w:rsidRDefault="00973FD8" w:rsidP="00514039">
            <w:pPr>
              <w:spacing w:line="360" w:lineRule="auto"/>
              <w:jc w:val="center"/>
              <w:rPr>
                <w:rFonts w:cs="Times New Roman"/>
                <w:b/>
                <w:bCs/>
                <w:szCs w:val="24"/>
              </w:rPr>
            </w:pPr>
            <w:r w:rsidRPr="00514039">
              <w:rPr>
                <w:rFonts w:cs="Times New Roman"/>
                <w:b/>
                <w:bCs/>
                <w:szCs w:val="24"/>
              </w:rPr>
              <w:t>Product size (bp)</w:t>
            </w:r>
          </w:p>
        </w:tc>
      </w:tr>
      <w:tr w:rsidR="00514039" w14:paraId="7B2D006F" w14:textId="77777777" w:rsidTr="00514039">
        <w:trPr>
          <w:trHeight w:val="169"/>
          <w:jc w:val="center"/>
        </w:trPr>
        <w:tc>
          <w:tcPr>
            <w:tcW w:w="1803" w:type="dxa"/>
            <w:vMerge w:val="restart"/>
            <w:vAlign w:val="center"/>
          </w:tcPr>
          <w:p w14:paraId="3C3A59F5" w14:textId="3370E5C7" w:rsidR="00514039" w:rsidRPr="00930020" w:rsidRDefault="00514039" w:rsidP="00514039">
            <w:pPr>
              <w:spacing w:line="360" w:lineRule="auto"/>
              <w:jc w:val="center"/>
              <w:rPr>
                <w:rFonts w:cs="Times New Roman"/>
                <w:i/>
                <w:iCs/>
                <w:szCs w:val="24"/>
              </w:rPr>
            </w:pPr>
            <w:r w:rsidRPr="00930020">
              <w:rPr>
                <w:rFonts w:cs="Times New Roman"/>
                <w:i/>
                <w:iCs/>
                <w:szCs w:val="24"/>
              </w:rPr>
              <w:t>ail</w:t>
            </w:r>
          </w:p>
        </w:tc>
        <w:tc>
          <w:tcPr>
            <w:tcW w:w="1432" w:type="dxa"/>
            <w:vAlign w:val="center"/>
          </w:tcPr>
          <w:p w14:paraId="24A04DBD" w14:textId="573B963E" w:rsidR="00514039" w:rsidRDefault="00514039" w:rsidP="00514039">
            <w:pPr>
              <w:spacing w:line="360" w:lineRule="auto"/>
              <w:jc w:val="center"/>
              <w:rPr>
                <w:rFonts w:cs="Times New Roman"/>
                <w:szCs w:val="24"/>
              </w:rPr>
            </w:pPr>
            <w:r>
              <w:rPr>
                <w:rFonts w:cs="Times New Roman"/>
                <w:szCs w:val="24"/>
              </w:rPr>
              <w:t>Forward</w:t>
            </w:r>
          </w:p>
        </w:tc>
        <w:tc>
          <w:tcPr>
            <w:tcW w:w="3098" w:type="dxa"/>
            <w:vAlign w:val="center"/>
          </w:tcPr>
          <w:p w14:paraId="2599E279" w14:textId="38ED8CF5" w:rsidR="00514039" w:rsidRDefault="00514039" w:rsidP="00514039">
            <w:pPr>
              <w:spacing w:line="360" w:lineRule="auto"/>
              <w:jc w:val="center"/>
              <w:rPr>
                <w:rFonts w:cs="Times New Roman"/>
                <w:szCs w:val="24"/>
              </w:rPr>
            </w:pPr>
            <w:r w:rsidRPr="00514039">
              <w:rPr>
                <w:rFonts w:cs="Times New Roman"/>
                <w:szCs w:val="24"/>
              </w:rPr>
              <w:t>TAATGTGTACGCTGCGAG</w:t>
            </w:r>
          </w:p>
        </w:tc>
        <w:tc>
          <w:tcPr>
            <w:tcW w:w="1803" w:type="dxa"/>
            <w:vMerge w:val="restart"/>
            <w:vAlign w:val="center"/>
          </w:tcPr>
          <w:p w14:paraId="1B9206F6" w14:textId="5C5C6B7D" w:rsidR="00514039" w:rsidRDefault="00514039" w:rsidP="00514039">
            <w:pPr>
              <w:spacing w:line="360" w:lineRule="auto"/>
              <w:jc w:val="center"/>
              <w:rPr>
                <w:rFonts w:cs="Times New Roman"/>
                <w:szCs w:val="24"/>
              </w:rPr>
            </w:pPr>
            <w:r>
              <w:rPr>
                <w:rFonts w:cs="Times New Roman"/>
                <w:szCs w:val="24"/>
              </w:rPr>
              <w:t>351</w:t>
            </w:r>
          </w:p>
        </w:tc>
      </w:tr>
      <w:tr w:rsidR="00514039" w14:paraId="53E5B26B" w14:textId="77777777" w:rsidTr="00514039">
        <w:trPr>
          <w:trHeight w:val="168"/>
          <w:jc w:val="center"/>
        </w:trPr>
        <w:tc>
          <w:tcPr>
            <w:tcW w:w="1803" w:type="dxa"/>
            <w:vMerge/>
            <w:vAlign w:val="center"/>
          </w:tcPr>
          <w:p w14:paraId="52E7A655" w14:textId="77777777" w:rsidR="00514039" w:rsidRPr="00930020" w:rsidRDefault="00514039" w:rsidP="00930020">
            <w:pPr>
              <w:spacing w:line="360" w:lineRule="auto"/>
              <w:jc w:val="center"/>
              <w:rPr>
                <w:rFonts w:cs="Times New Roman"/>
                <w:i/>
                <w:iCs/>
                <w:szCs w:val="24"/>
              </w:rPr>
            </w:pPr>
          </w:p>
        </w:tc>
        <w:tc>
          <w:tcPr>
            <w:tcW w:w="1432" w:type="dxa"/>
            <w:vAlign w:val="center"/>
          </w:tcPr>
          <w:p w14:paraId="1BE4F042" w14:textId="555F9C50" w:rsidR="00514039" w:rsidRDefault="00514039" w:rsidP="00514039">
            <w:pPr>
              <w:spacing w:line="360" w:lineRule="auto"/>
              <w:jc w:val="center"/>
              <w:rPr>
                <w:rFonts w:cs="Times New Roman"/>
                <w:szCs w:val="24"/>
              </w:rPr>
            </w:pPr>
            <w:r>
              <w:rPr>
                <w:rFonts w:cs="Times New Roman"/>
                <w:szCs w:val="24"/>
              </w:rPr>
              <w:t>Reverse</w:t>
            </w:r>
          </w:p>
        </w:tc>
        <w:tc>
          <w:tcPr>
            <w:tcW w:w="3098" w:type="dxa"/>
            <w:vAlign w:val="center"/>
          </w:tcPr>
          <w:p w14:paraId="38E1E49A" w14:textId="193D44E8" w:rsidR="00514039" w:rsidRDefault="00514039" w:rsidP="00514039">
            <w:pPr>
              <w:spacing w:line="360" w:lineRule="auto"/>
              <w:jc w:val="center"/>
              <w:rPr>
                <w:rFonts w:cs="Times New Roman"/>
                <w:szCs w:val="24"/>
              </w:rPr>
            </w:pPr>
            <w:r w:rsidRPr="00514039">
              <w:rPr>
                <w:rFonts w:cs="Times New Roman"/>
                <w:szCs w:val="24"/>
              </w:rPr>
              <w:t>GACGTCTTACTTGCACTG</w:t>
            </w:r>
          </w:p>
        </w:tc>
        <w:tc>
          <w:tcPr>
            <w:tcW w:w="1803" w:type="dxa"/>
            <w:vMerge/>
            <w:vAlign w:val="center"/>
          </w:tcPr>
          <w:p w14:paraId="4D0BAC81" w14:textId="77777777" w:rsidR="00514039" w:rsidRDefault="00514039" w:rsidP="00B86AFF">
            <w:pPr>
              <w:spacing w:line="360" w:lineRule="auto"/>
              <w:jc w:val="both"/>
              <w:rPr>
                <w:rFonts w:cs="Times New Roman"/>
                <w:szCs w:val="24"/>
              </w:rPr>
            </w:pPr>
          </w:p>
        </w:tc>
      </w:tr>
    </w:tbl>
    <w:p w14:paraId="50126EFE" w14:textId="61046EA8" w:rsidR="004D4CD4" w:rsidRPr="00CD2D44" w:rsidRDefault="001D3EA5" w:rsidP="00CA2C82">
      <w:pPr>
        <w:spacing w:before="240" w:line="360" w:lineRule="auto"/>
        <w:jc w:val="both"/>
        <w:rPr>
          <w:rFonts w:cs="Times New Roman"/>
          <w:b/>
          <w:bCs/>
          <w:szCs w:val="24"/>
        </w:rPr>
      </w:pPr>
      <w:r>
        <w:rPr>
          <w:rFonts w:cs="Times New Roman"/>
          <w:b/>
          <w:bCs/>
          <w:szCs w:val="24"/>
        </w:rPr>
        <w:t xml:space="preserve">2.4 </w:t>
      </w:r>
      <w:r w:rsidR="004D4CD4" w:rsidRPr="00CD2D44">
        <w:rPr>
          <w:rFonts w:cs="Times New Roman"/>
          <w:b/>
          <w:bCs/>
          <w:szCs w:val="24"/>
        </w:rPr>
        <w:t xml:space="preserve">Antibiogram: </w:t>
      </w:r>
    </w:p>
    <w:p w14:paraId="220C563E" w14:textId="0D58DBC8" w:rsidR="004D4CD4" w:rsidRPr="00CD2D44" w:rsidRDefault="004D4CD4" w:rsidP="00B86AFF">
      <w:pPr>
        <w:spacing w:line="360" w:lineRule="auto"/>
        <w:ind w:firstLine="720"/>
        <w:jc w:val="both"/>
        <w:rPr>
          <w:rFonts w:cs="Times New Roman"/>
          <w:szCs w:val="24"/>
        </w:rPr>
      </w:pPr>
      <w:r w:rsidRPr="00CD2D44">
        <w:rPr>
          <w:rFonts w:cs="Times New Roman"/>
          <w:szCs w:val="24"/>
        </w:rPr>
        <w:t xml:space="preserve">Antibiotic susceptibility tests were performed for </w:t>
      </w:r>
      <w:r w:rsidR="00EE3B0E">
        <w:rPr>
          <w:rFonts w:cs="Times New Roman"/>
          <w:i/>
          <w:iCs/>
          <w:szCs w:val="24"/>
        </w:rPr>
        <w:t xml:space="preserve">Y. </w:t>
      </w:r>
      <w:r w:rsidR="00EE3B0E" w:rsidRPr="00CD2D44">
        <w:rPr>
          <w:rFonts w:cs="Times New Roman"/>
          <w:i/>
          <w:iCs/>
          <w:szCs w:val="24"/>
        </w:rPr>
        <w:t>enterocolitica</w:t>
      </w:r>
      <w:r w:rsidRPr="00CD2D44">
        <w:rPr>
          <w:rFonts w:cs="Times New Roman"/>
          <w:i/>
          <w:iCs/>
          <w:szCs w:val="24"/>
        </w:rPr>
        <w:t xml:space="preserve"> </w:t>
      </w:r>
      <w:r w:rsidRPr="00CD2D44">
        <w:rPr>
          <w:rFonts w:cs="Times New Roman"/>
          <w:szCs w:val="24"/>
        </w:rPr>
        <w:t xml:space="preserve">by Kirby-Bauer disc diffusion method </w:t>
      </w:r>
      <w:r w:rsidR="001F194A" w:rsidRPr="00CD2D44">
        <w:rPr>
          <w:rFonts w:cs="Times New Roman"/>
          <w:szCs w:val="24"/>
        </w:rPr>
        <w:t xml:space="preserve">(Bauer </w:t>
      </w:r>
      <w:r w:rsidR="001F194A" w:rsidRPr="00CD2D44">
        <w:rPr>
          <w:rFonts w:cs="Times New Roman"/>
          <w:i/>
          <w:iCs/>
          <w:szCs w:val="24"/>
        </w:rPr>
        <w:t>et al</w:t>
      </w:r>
      <w:r w:rsidR="001F194A" w:rsidRPr="00CD2D44">
        <w:rPr>
          <w:rFonts w:cs="Times New Roman"/>
          <w:szCs w:val="24"/>
        </w:rPr>
        <w:t>., 1966)</w:t>
      </w:r>
      <w:r w:rsidRPr="00CD2D44">
        <w:rPr>
          <w:rFonts w:cs="Times New Roman"/>
          <w:szCs w:val="24"/>
        </w:rPr>
        <w:t xml:space="preserve"> using commonly used </w:t>
      </w:r>
      <w:r w:rsidR="00C371C7" w:rsidRPr="00CD2D44">
        <w:rPr>
          <w:rFonts w:cs="Times New Roman"/>
          <w:szCs w:val="24"/>
        </w:rPr>
        <w:t>antibiotics</w:t>
      </w:r>
      <w:r w:rsidRPr="00CD2D44">
        <w:rPr>
          <w:rFonts w:cs="Times New Roman"/>
          <w:szCs w:val="24"/>
        </w:rPr>
        <w:t>. Briefly the isolates were grown in nutrient broth at 37</w:t>
      </w:r>
      <w:r w:rsidRPr="00CD2D44">
        <w:rPr>
          <w:rFonts w:cs="Times New Roman"/>
          <w:szCs w:val="24"/>
          <w:vertAlign w:val="superscript"/>
        </w:rPr>
        <w:t>o</w:t>
      </w:r>
      <w:r w:rsidRPr="00CD2D44">
        <w:rPr>
          <w:rFonts w:cs="Times New Roman"/>
          <w:szCs w:val="24"/>
        </w:rPr>
        <w:t xml:space="preserve">C for </w:t>
      </w:r>
      <w:r w:rsidR="009C6506" w:rsidRPr="00CD2D44">
        <w:rPr>
          <w:rFonts w:cs="Times New Roman"/>
          <w:szCs w:val="24"/>
        </w:rPr>
        <w:t>24</w:t>
      </w:r>
      <w:r w:rsidRPr="00CD2D44">
        <w:rPr>
          <w:rFonts w:cs="Times New Roman"/>
          <w:szCs w:val="24"/>
        </w:rPr>
        <w:t xml:space="preserve"> h</w:t>
      </w:r>
      <w:r w:rsidR="002802C7" w:rsidRPr="00CD2D44">
        <w:rPr>
          <w:rFonts w:cs="Times New Roman"/>
          <w:szCs w:val="24"/>
        </w:rPr>
        <w:t xml:space="preserve"> and the turbidity of each culture was adjusted to 0.5 McFarland standard</w:t>
      </w:r>
      <w:r w:rsidRPr="00CD2D44">
        <w:rPr>
          <w:rFonts w:cs="Times New Roman"/>
          <w:szCs w:val="24"/>
        </w:rPr>
        <w:t xml:space="preserve">. </w:t>
      </w:r>
      <w:r w:rsidR="00C371C7" w:rsidRPr="00CD2D44">
        <w:rPr>
          <w:rFonts w:cs="Times New Roman"/>
          <w:szCs w:val="24"/>
        </w:rPr>
        <w:t xml:space="preserve">The standardized inoculum was swabbed uniformly </w:t>
      </w:r>
      <w:r w:rsidRPr="00CD2D44">
        <w:rPr>
          <w:rFonts w:cs="Times New Roman"/>
          <w:szCs w:val="24"/>
        </w:rPr>
        <w:t>on the Mueller-Hinton (MH) agar plates with the help of sterile cotton swabs. The plates were allowed to dry for few minutes. The antibiotic discs were placed on the agar surface within 15 minutes of inoculation of plates and incubated overnight at 37</w:t>
      </w:r>
      <w:r w:rsidRPr="00CD2D44">
        <w:rPr>
          <w:rFonts w:cs="Times New Roman"/>
          <w:szCs w:val="24"/>
          <w:vertAlign w:val="superscript"/>
        </w:rPr>
        <w:t>o</w:t>
      </w:r>
      <w:r w:rsidRPr="00CD2D44">
        <w:rPr>
          <w:rFonts w:cs="Times New Roman"/>
          <w:szCs w:val="24"/>
        </w:rPr>
        <w:t xml:space="preserve">C. The isolates were tested against </w:t>
      </w:r>
      <w:r w:rsidR="009F7F94">
        <w:rPr>
          <w:rFonts w:cs="Times New Roman"/>
          <w:szCs w:val="24"/>
        </w:rPr>
        <w:t>a</w:t>
      </w:r>
      <w:r w:rsidR="00C5163F" w:rsidRPr="00CD2D44">
        <w:rPr>
          <w:rFonts w:cs="Times New Roman"/>
          <w:szCs w:val="24"/>
        </w:rPr>
        <w:t xml:space="preserve">mpicillin (10 µg), </w:t>
      </w:r>
      <w:r w:rsidR="009F7F94" w:rsidRPr="00112047">
        <w:rPr>
          <w:rFonts w:cs="Times New Roman"/>
          <w:szCs w:val="24"/>
        </w:rPr>
        <w:t>amoxicillin–clavulanic acid</w:t>
      </w:r>
      <w:r w:rsidR="009F7F94" w:rsidRPr="00CD2D44">
        <w:rPr>
          <w:rFonts w:cs="Times New Roman"/>
          <w:szCs w:val="24"/>
        </w:rPr>
        <w:t xml:space="preserve"> </w:t>
      </w:r>
      <w:r w:rsidR="00C5163F" w:rsidRPr="00CD2D44">
        <w:rPr>
          <w:rFonts w:cs="Times New Roman"/>
          <w:szCs w:val="24"/>
        </w:rPr>
        <w:t xml:space="preserve">(30 µg), </w:t>
      </w:r>
      <w:r w:rsidR="009F7F94">
        <w:rPr>
          <w:rFonts w:cs="Times New Roman"/>
          <w:szCs w:val="24"/>
        </w:rPr>
        <w:t>a</w:t>
      </w:r>
      <w:r w:rsidR="00C5163F" w:rsidRPr="00CD2D44">
        <w:rPr>
          <w:rFonts w:cs="Times New Roman"/>
          <w:szCs w:val="24"/>
        </w:rPr>
        <w:t xml:space="preserve">mikacin (30 µg), </w:t>
      </w:r>
      <w:r w:rsidR="009F7F94">
        <w:rPr>
          <w:rFonts w:cs="Times New Roman"/>
          <w:szCs w:val="24"/>
        </w:rPr>
        <w:t>c</w:t>
      </w:r>
      <w:r w:rsidR="00C5163F" w:rsidRPr="00CD2D44">
        <w:rPr>
          <w:rFonts w:cs="Times New Roman"/>
          <w:szCs w:val="24"/>
        </w:rPr>
        <w:t xml:space="preserve">efotaxime (10 µg), </w:t>
      </w:r>
      <w:r w:rsidR="009F7F94">
        <w:rPr>
          <w:rFonts w:cs="Times New Roman"/>
          <w:szCs w:val="24"/>
        </w:rPr>
        <w:t>c</w:t>
      </w:r>
      <w:r w:rsidR="00C5163F" w:rsidRPr="00CD2D44">
        <w:rPr>
          <w:rFonts w:cs="Times New Roman"/>
          <w:szCs w:val="24"/>
        </w:rPr>
        <w:t xml:space="preserve">eftriaxone (30 µg), </w:t>
      </w:r>
      <w:r w:rsidR="009F7F94">
        <w:rPr>
          <w:rFonts w:cs="Times New Roman"/>
          <w:szCs w:val="24"/>
        </w:rPr>
        <w:t>c</w:t>
      </w:r>
      <w:r w:rsidR="00C5163F" w:rsidRPr="00CD2D44">
        <w:rPr>
          <w:rFonts w:cs="Times New Roman"/>
          <w:szCs w:val="24"/>
        </w:rPr>
        <w:t xml:space="preserve">hloramphenicol (10 µg), </w:t>
      </w:r>
      <w:r w:rsidR="009F7F94">
        <w:rPr>
          <w:rFonts w:cs="Times New Roman"/>
          <w:szCs w:val="24"/>
        </w:rPr>
        <w:t>c</w:t>
      </w:r>
      <w:r w:rsidR="00C5163F" w:rsidRPr="00CD2D44">
        <w:rPr>
          <w:rFonts w:cs="Times New Roman"/>
          <w:szCs w:val="24"/>
        </w:rPr>
        <w:t xml:space="preserve">iprofloxacin (1 µg), </w:t>
      </w:r>
      <w:r w:rsidR="009F7F94">
        <w:rPr>
          <w:rFonts w:cs="Times New Roman"/>
          <w:szCs w:val="24"/>
        </w:rPr>
        <w:t>c</w:t>
      </w:r>
      <w:r w:rsidR="00C5163F" w:rsidRPr="00CD2D44">
        <w:rPr>
          <w:rFonts w:cs="Times New Roman"/>
          <w:szCs w:val="24"/>
        </w:rPr>
        <w:t xml:space="preserve">o-trimoxazole (25 µg), </w:t>
      </w:r>
      <w:r w:rsidR="009F7F94">
        <w:rPr>
          <w:rFonts w:cs="Times New Roman"/>
          <w:szCs w:val="24"/>
        </w:rPr>
        <w:t>g</w:t>
      </w:r>
      <w:r w:rsidR="00C5163F" w:rsidRPr="00CD2D44">
        <w:rPr>
          <w:rFonts w:cs="Times New Roman"/>
          <w:szCs w:val="24"/>
        </w:rPr>
        <w:t xml:space="preserve">entamicin (10 µg), </w:t>
      </w:r>
      <w:r w:rsidR="009F7F94">
        <w:rPr>
          <w:rFonts w:cs="Times New Roman"/>
          <w:szCs w:val="24"/>
        </w:rPr>
        <w:t>n</w:t>
      </w:r>
      <w:r w:rsidR="00C5163F" w:rsidRPr="00CD2D44">
        <w:rPr>
          <w:rFonts w:cs="Times New Roman"/>
          <w:szCs w:val="24"/>
        </w:rPr>
        <w:t xml:space="preserve">alidixic acid (30 µg), </w:t>
      </w:r>
      <w:r w:rsidR="009F7F94">
        <w:rPr>
          <w:rFonts w:cs="Times New Roman"/>
          <w:szCs w:val="24"/>
        </w:rPr>
        <w:t>n</w:t>
      </w:r>
      <w:r w:rsidR="00C5163F" w:rsidRPr="00CD2D44">
        <w:rPr>
          <w:rFonts w:cs="Times New Roman"/>
          <w:szCs w:val="24"/>
        </w:rPr>
        <w:t>orfloxacin (30 µg)</w:t>
      </w:r>
      <w:r w:rsidR="009F7F94">
        <w:rPr>
          <w:rFonts w:cs="Times New Roman"/>
          <w:szCs w:val="24"/>
        </w:rPr>
        <w:t xml:space="preserve"> </w:t>
      </w:r>
      <w:r w:rsidR="00C5163F" w:rsidRPr="00CD2D44">
        <w:rPr>
          <w:rFonts w:cs="Times New Roman"/>
          <w:szCs w:val="24"/>
        </w:rPr>
        <w:t xml:space="preserve">and </w:t>
      </w:r>
      <w:r w:rsidR="009F7F94">
        <w:rPr>
          <w:rFonts w:cs="Times New Roman"/>
          <w:szCs w:val="24"/>
        </w:rPr>
        <w:t>t</w:t>
      </w:r>
      <w:r w:rsidR="00C5163F" w:rsidRPr="00CD2D44">
        <w:rPr>
          <w:rFonts w:cs="Times New Roman"/>
          <w:szCs w:val="24"/>
        </w:rPr>
        <w:t>etracycline (30 µg)</w:t>
      </w:r>
      <w:r w:rsidRPr="00CD2D44">
        <w:rPr>
          <w:rFonts w:cs="Times New Roman"/>
          <w:szCs w:val="24"/>
        </w:rPr>
        <w:t xml:space="preserve">. Based on the zone of inhibition, the isolates were graded as sensitive, intermediate and resistant as per the </w:t>
      </w:r>
      <w:r w:rsidR="00C5163F" w:rsidRPr="00CD2D44">
        <w:rPr>
          <w:rFonts w:cs="Times New Roman"/>
          <w:szCs w:val="24"/>
        </w:rPr>
        <w:t>CLSI guidelines, 2025 (CLSI, 2025).</w:t>
      </w:r>
    </w:p>
    <w:p w14:paraId="06D1AFE5" w14:textId="0EC66454" w:rsidR="00E57E44" w:rsidRPr="00CD2D44" w:rsidRDefault="001D3EA5" w:rsidP="00B86AFF">
      <w:pPr>
        <w:spacing w:line="360" w:lineRule="auto"/>
        <w:jc w:val="both"/>
        <w:rPr>
          <w:rFonts w:cs="Times New Roman"/>
          <w:b/>
          <w:bCs/>
          <w:szCs w:val="24"/>
        </w:rPr>
      </w:pPr>
      <w:r>
        <w:rPr>
          <w:rFonts w:cs="Times New Roman"/>
          <w:b/>
          <w:bCs/>
          <w:szCs w:val="24"/>
        </w:rPr>
        <w:t xml:space="preserve">2.5 </w:t>
      </w:r>
      <w:r w:rsidR="005212A2" w:rsidRPr="00CD2D44">
        <w:rPr>
          <w:rFonts w:cs="Times New Roman"/>
          <w:b/>
          <w:bCs/>
          <w:szCs w:val="24"/>
        </w:rPr>
        <w:t>Biofilm</w:t>
      </w:r>
      <w:r w:rsidR="00E57E44" w:rsidRPr="00CD2D44">
        <w:rPr>
          <w:rFonts w:cs="Times New Roman"/>
          <w:b/>
          <w:bCs/>
          <w:szCs w:val="24"/>
        </w:rPr>
        <w:t xml:space="preserve"> production assay </w:t>
      </w:r>
    </w:p>
    <w:p w14:paraId="32888D42" w14:textId="129FF201" w:rsidR="00EB5BEF" w:rsidRDefault="00E57E44" w:rsidP="00B86AFF">
      <w:pPr>
        <w:spacing w:line="360" w:lineRule="auto"/>
        <w:ind w:firstLine="720"/>
        <w:jc w:val="both"/>
        <w:rPr>
          <w:rFonts w:cs="Times New Roman"/>
          <w:szCs w:val="24"/>
        </w:rPr>
      </w:pPr>
      <w:r w:rsidRPr="00CD2D44">
        <w:rPr>
          <w:rFonts w:cs="Times New Roman"/>
          <w:szCs w:val="24"/>
        </w:rPr>
        <w:t xml:space="preserve">Biofilm production ability of the isolates was determined by cultivation on Congo Red Agar (CRA) plates (Dhanalakshmi </w:t>
      </w:r>
      <w:r w:rsidRPr="00CD2D44">
        <w:rPr>
          <w:rFonts w:cs="Times New Roman"/>
          <w:i/>
          <w:iCs/>
          <w:szCs w:val="24"/>
        </w:rPr>
        <w:t>et al</w:t>
      </w:r>
      <w:r w:rsidRPr="00CD2D44">
        <w:rPr>
          <w:rFonts w:cs="Times New Roman"/>
          <w:szCs w:val="24"/>
        </w:rPr>
        <w:t xml:space="preserve">., 2015 and Freeman </w:t>
      </w:r>
      <w:r w:rsidRPr="00CD2D44">
        <w:rPr>
          <w:rFonts w:cs="Times New Roman"/>
          <w:i/>
          <w:iCs/>
          <w:szCs w:val="24"/>
        </w:rPr>
        <w:t>et al</w:t>
      </w:r>
      <w:r w:rsidRPr="00CD2D44">
        <w:rPr>
          <w:rFonts w:cs="Times New Roman"/>
          <w:szCs w:val="24"/>
        </w:rPr>
        <w:t xml:space="preserve">., 1989). A </w:t>
      </w:r>
      <w:r w:rsidR="00C371C7" w:rsidRPr="00CD2D44">
        <w:rPr>
          <w:rFonts w:cs="Times New Roman"/>
          <w:szCs w:val="24"/>
        </w:rPr>
        <w:t>loopful</w:t>
      </w:r>
      <w:r w:rsidRPr="00CD2D44">
        <w:rPr>
          <w:rFonts w:cs="Times New Roman"/>
          <w:szCs w:val="24"/>
        </w:rPr>
        <w:t xml:space="preserve"> of isolate was streaked onto CRA plates</w:t>
      </w:r>
      <w:r w:rsidR="00B03942">
        <w:rPr>
          <w:rFonts w:cs="Times New Roman"/>
          <w:szCs w:val="24"/>
        </w:rPr>
        <w:t xml:space="preserve"> and </w:t>
      </w:r>
      <w:r w:rsidRPr="00CD2D44">
        <w:rPr>
          <w:rFonts w:cs="Times New Roman"/>
          <w:szCs w:val="24"/>
        </w:rPr>
        <w:t>were incubated at 37°C for 24 h followed by storage at room temperature for 48 h. The production of rough black colonies by bacterial cultures indicated the ability of the isolates for biofilm production, whereas the isolates incapable of biofilm production produced pink colonies.</w:t>
      </w:r>
    </w:p>
    <w:p w14:paraId="5A54F97D" w14:textId="0F580E0C" w:rsidR="009A1071" w:rsidRDefault="001D3EA5" w:rsidP="00F8510A">
      <w:pPr>
        <w:spacing w:line="360" w:lineRule="auto"/>
        <w:rPr>
          <w:rFonts w:cs="Times New Roman"/>
          <w:b/>
          <w:bCs/>
          <w:szCs w:val="24"/>
        </w:rPr>
      </w:pPr>
      <w:r>
        <w:rPr>
          <w:rFonts w:cs="Times New Roman"/>
          <w:b/>
          <w:bCs/>
          <w:szCs w:val="24"/>
        </w:rPr>
        <w:t xml:space="preserve">3. </w:t>
      </w:r>
      <w:r w:rsidR="00471E54" w:rsidRPr="009A1071">
        <w:rPr>
          <w:rFonts w:cs="Times New Roman"/>
          <w:b/>
          <w:bCs/>
          <w:szCs w:val="24"/>
        </w:rPr>
        <w:t xml:space="preserve">Results and </w:t>
      </w:r>
      <w:r w:rsidR="00471E54">
        <w:rPr>
          <w:rFonts w:cs="Times New Roman"/>
          <w:b/>
          <w:bCs/>
          <w:szCs w:val="24"/>
        </w:rPr>
        <w:t>D</w:t>
      </w:r>
      <w:r w:rsidR="00471E54" w:rsidRPr="009A1071">
        <w:rPr>
          <w:rFonts w:cs="Times New Roman"/>
          <w:b/>
          <w:bCs/>
          <w:szCs w:val="24"/>
        </w:rPr>
        <w:t>iscussion</w:t>
      </w:r>
    </w:p>
    <w:p w14:paraId="46E66F0F" w14:textId="6B6FD350" w:rsidR="00B86AFF" w:rsidRPr="00B86AFF" w:rsidRDefault="001D3EA5" w:rsidP="00B86AFF">
      <w:pPr>
        <w:spacing w:line="360" w:lineRule="auto"/>
        <w:jc w:val="both"/>
        <w:rPr>
          <w:rFonts w:cs="Times New Roman"/>
          <w:b/>
          <w:bCs/>
          <w:szCs w:val="24"/>
        </w:rPr>
      </w:pPr>
      <w:r>
        <w:rPr>
          <w:rFonts w:cs="Times New Roman"/>
          <w:b/>
          <w:bCs/>
          <w:szCs w:val="24"/>
        </w:rPr>
        <w:t xml:space="preserve">3.1 </w:t>
      </w:r>
      <w:r w:rsidR="00B86AFF" w:rsidRPr="00B86AFF">
        <w:rPr>
          <w:rFonts w:cs="Times New Roman"/>
          <w:b/>
          <w:bCs/>
          <w:szCs w:val="24"/>
        </w:rPr>
        <w:t xml:space="preserve">Isolation of </w:t>
      </w:r>
      <w:r w:rsidR="00B86AFF" w:rsidRPr="00A545AF">
        <w:rPr>
          <w:rFonts w:cs="Times New Roman"/>
          <w:b/>
          <w:bCs/>
          <w:i/>
          <w:iCs/>
          <w:szCs w:val="24"/>
        </w:rPr>
        <w:t>Y</w:t>
      </w:r>
      <w:r w:rsidR="002B0E30">
        <w:rPr>
          <w:rFonts w:cs="Times New Roman"/>
          <w:b/>
          <w:bCs/>
          <w:i/>
          <w:iCs/>
          <w:szCs w:val="24"/>
        </w:rPr>
        <w:t>.</w:t>
      </w:r>
      <w:r w:rsidR="00B86AFF" w:rsidRPr="00A545AF">
        <w:rPr>
          <w:rFonts w:cs="Times New Roman"/>
          <w:b/>
          <w:bCs/>
          <w:i/>
          <w:iCs/>
          <w:szCs w:val="24"/>
        </w:rPr>
        <w:t xml:space="preserve"> enterocolitica</w:t>
      </w:r>
    </w:p>
    <w:p w14:paraId="598A3BC4" w14:textId="12E8EFE8" w:rsidR="004742A1" w:rsidRDefault="00FD5373" w:rsidP="002D4980">
      <w:pPr>
        <w:spacing w:line="360" w:lineRule="auto"/>
        <w:ind w:firstLine="720"/>
        <w:jc w:val="both"/>
        <w:rPr>
          <w:rFonts w:cs="Times New Roman"/>
          <w:szCs w:val="24"/>
        </w:rPr>
      </w:pPr>
      <w:r>
        <w:rPr>
          <w:rFonts w:cs="Times New Roman"/>
          <w:szCs w:val="24"/>
        </w:rPr>
        <w:t xml:space="preserve">In the present study, </w:t>
      </w:r>
      <w:r w:rsidR="00634FD9">
        <w:rPr>
          <w:rFonts w:cs="Times New Roman"/>
          <w:szCs w:val="24"/>
        </w:rPr>
        <w:t>out of</w:t>
      </w:r>
      <w:r w:rsidR="00B86AFF" w:rsidRPr="00B86AFF">
        <w:rPr>
          <w:rFonts w:cs="Times New Roman"/>
          <w:szCs w:val="24"/>
        </w:rPr>
        <w:t xml:space="preserve"> 250 samples</w:t>
      </w:r>
      <w:r w:rsidR="00634FD9">
        <w:rPr>
          <w:rFonts w:cs="Times New Roman"/>
          <w:szCs w:val="24"/>
        </w:rPr>
        <w:t xml:space="preserve"> screened</w:t>
      </w:r>
      <w:r w:rsidR="004742A1">
        <w:rPr>
          <w:rFonts w:cs="Times New Roman"/>
          <w:szCs w:val="24"/>
        </w:rPr>
        <w:t xml:space="preserve">, seven samples from pork (7 %), </w:t>
      </w:r>
      <w:r w:rsidR="00DC30E2">
        <w:rPr>
          <w:rFonts w:cs="Times New Roman"/>
          <w:szCs w:val="24"/>
        </w:rPr>
        <w:t>two samples from slaughterhouse soil (4 %) and two samples from pig intestinal contents (2 %)</w:t>
      </w:r>
      <w:r w:rsidR="0051181C">
        <w:rPr>
          <w:rFonts w:cs="Times New Roman"/>
          <w:szCs w:val="24"/>
        </w:rPr>
        <w:t xml:space="preserve"> produced </w:t>
      </w:r>
      <w:r w:rsidR="0051181C" w:rsidRPr="00B86AFF">
        <w:rPr>
          <w:rFonts w:cs="Times New Roman"/>
          <w:szCs w:val="24"/>
        </w:rPr>
        <w:t>characteristic bull's-eye morphology with a deep red centre</w:t>
      </w:r>
      <w:r w:rsidR="0051181C">
        <w:rPr>
          <w:rFonts w:cs="Times New Roman"/>
          <w:szCs w:val="24"/>
        </w:rPr>
        <w:t xml:space="preserve"> colonies</w:t>
      </w:r>
      <w:r w:rsidR="0051181C" w:rsidRPr="00B86AFF">
        <w:rPr>
          <w:rFonts w:cs="Times New Roman"/>
          <w:szCs w:val="24"/>
        </w:rPr>
        <w:t xml:space="preserve"> surrounded by a transparent peripheral zone</w:t>
      </w:r>
      <w:r w:rsidR="0039491A">
        <w:rPr>
          <w:rFonts w:cs="Times New Roman"/>
          <w:szCs w:val="24"/>
        </w:rPr>
        <w:t xml:space="preserve"> (Fig. 1)</w:t>
      </w:r>
      <w:r w:rsidR="009E640E">
        <w:rPr>
          <w:rFonts w:cs="Times New Roman"/>
          <w:szCs w:val="24"/>
        </w:rPr>
        <w:t xml:space="preserve"> with an overall occurrence of 4.4 %</w:t>
      </w:r>
      <w:r w:rsidR="0051181C">
        <w:rPr>
          <w:rFonts w:cs="Times New Roman"/>
          <w:szCs w:val="24"/>
        </w:rPr>
        <w:t>.</w:t>
      </w:r>
      <w:r w:rsidR="006444EC">
        <w:rPr>
          <w:rFonts w:cs="Times New Roman"/>
          <w:szCs w:val="24"/>
        </w:rPr>
        <w:t xml:space="preserve"> When subjected to morphological and biochemical characterization, it was found that all the isolates</w:t>
      </w:r>
      <w:r w:rsidR="00F07528">
        <w:rPr>
          <w:rFonts w:cs="Times New Roman"/>
          <w:szCs w:val="24"/>
        </w:rPr>
        <w:t xml:space="preserve"> </w:t>
      </w:r>
      <w:r w:rsidR="00F07528" w:rsidRPr="00F07528">
        <w:rPr>
          <w:rFonts w:cs="Times New Roman"/>
          <w:szCs w:val="24"/>
        </w:rPr>
        <w:t xml:space="preserve">were Gram-negative rods and uniformly positive for catalase, motility, methyl red, lysine decarboxylase, Triple Sugar Iron (TSI) reaction and fermentation of D-glucose, dextrose, arabinose, xylose and maltose with acid production. </w:t>
      </w:r>
      <w:r w:rsidR="00A90458">
        <w:rPr>
          <w:rFonts w:cs="Times New Roman"/>
          <w:szCs w:val="24"/>
        </w:rPr>
        <w:t>On the other hand, a</w:t>
      </w:r>
      <w:r w:rsidR="00F07528" w:rsidRPr="00F07528">
        <w:rPr>
          <w:rFonts w:cs="Times New Roman"/>
          <w:szCs w:val="24"/>
        </w:rPr>
        <w:t xml:space="preserve">ll isolates were negative for oxidase, </w:t>
      </w:r>
      <w:r w:rsidR="00F07528" w:rsidRPr="00F07528">
        <w:rPr>
          <w:rFonts w:cs="Times New Roman"/>
          <w:szCs w:val="24"/>
        </w:rPr>
        <w:lastRenderedPageBreak/>
        <w:t xml:space="preserve">indole production, Voges–Proskauer, citrate utilization and urease tests, confirming their identity as </w:t>
      </w:r>
      <w:r w:rsidR="00F07528" w:rsidRPr="00A90458">
        <w:rPr>
          <w:rFonts w:cs="Times New Roman"/>
          <w:i/>
          <w:iCs/>
          <w:szCs w:val="24"/>
        </w:rPr>
        <w:t>Y. enterocolitica</w:t>
      </w:r>
      <w:r w:rsidR="00F07528" w:rsidRPr="00F07528">
        <w:rPr>
          <w:rFonts w:cs="Times New Roman"/>
          <w:szCs w:val="24"/>
        </w:rPr>
        <w:t>.</w:t>
      </w:r>
    </w:p>
    <w:p w14:paraId="19A1E748" w14:textId="69F81561" w:rsidR="00084B40" w:rsidRDefault="00084B40" w:rsidP="009A0401">
      <w:pPr>
        <w:spacing w:line="360" w:lineRule="auto"/>
        <w:ind w:firstLine="720"/>
        <w:jc w:val="center"/>
        <w:rPr>
          <w:rFonts w:cs="Times New Roman"/>
          <w:szCs w:val="24"/>
        </w:rPr>
      </w:pPr>
      <w:r w:rsidRPr="00084B40">
        <w:rPr>
          <w:rFonts w:cs="Times New Roman"/>
          <w:noProof/>
          <w:szCs w:val="24"/>
        </w:rPr>
        <w:drawing>
          <wp:inline distT="0" distB="0" distL="0" distR="0" wp14:anchorId="0C78A7A6" wp14:editId="257FD55A">
            <wp:extent cx="2820112" cy="2363962"/>
            <wp:effectExtent l="0" t="0" r="0" b="0"/>
            <wp:docPr id="967815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1927" cy="2382249"/>
                    </a:xfrm>
                    <a:prstGeom prst="rect">
                      <a:avLst/>
                    </a:prstGeom>
                    <a:noFill/>
                    <a:ln>
                      <a:noFill/>
                    </a:ln>
                  </pic:spPr>
                </pic:pic>
              </a:graphicData>
            </a:graphic>
          </wp:inline>
        </w:drawing>
      </w:r>
    </w:p>
    <w:p w14:paraId="17750732" w14:textId="17AE1024" w:rsidR="00084B40" w:rsidRPr="009A0401" w:rsidRDefault="00084B40" w:rsidP="009A0401">
      <w:pPr>
        <w:spacing w:line="360" w:lineRule="auto"/>
        <w:ind w:firstLine="720"/>
        <w:jc w:val="center"/>
        <w:rPr>
          <w:rFonts w:cs="Times New Roman"/>
          <w:b/>
          <w:bCs/>
          <w:szCs w:val="24"/>
        </w:rPr>
      </w:pPr>
      <w:r w:rsidRPr="009A0401">
        <w:rPr>
          <w:rFonts w:cs="Times New Roman"/>
          <w:b/>
          <w:bCs/>
          <w:szCs w:val="24"/>
        </w:rPr>
        <w:t>Fig. 1</w:t>
      </w:r>
      <w:r w:rsidR="009A0401" w:rsidRPr="009A0401">
        <w:rPr>
          <w:rFonts w:cs="Times New Roman"/>
          <w:b/>
          <w:bCs/>
          <w:szCs w:val="24"/>
        </w:rPr>
        <w:t xml:space="preserve"> </w:t>
      </w:r>
      <w:r w:rsidR="009A0401" w:rsidRPr="009A0401">
        <w:rPr>
          <w:rFonts w:cs="Times New Roman"/>
          <w:b/>
          <w:bCs/>
          <w:i/>
          <w:iCs/>
          <w:szCs w:val="24"/>
        </w:rPr>
        <w:t xml:space="preserve">Y. enterocolitica </w:t>
      </w:r>
      <w:r w:rsidR="009A0401" w:rsidRPr="009A0401">
        <w:rPr>
          <w:rFonts w:cs="Times New Roman"/>
          <w:b/>
          <w:bCs/>
          <w:szCs w:val="24"/>
        </w:rPr>
        <w:t>on Yersinia Selective agar</w:t>
      </w:r>
    </w:p>
    <w:p w14:paraId="35BC9634" w14:textId="7FE65CBC" w:rsidR="002875B2" w:rsidRPr="004927F9" w:rsidRDefault="002875B2" w:rsidP="002875B2">
      <w:pPr>
        <w:spacing w:line="360" w:lineRule="auto"/>
        <w:ind w:firstLine="720"/>
        <w:jc w:val="both"/>
        <w:rPr>
          <w:rFonts w:cs="Times New Roman"/>
          <w:szCs w:val="24"/>
        </w:rPr>
      </w:pPr>
      <w:r w:rsidRPr="004927F9">
        <w:rPr>
          <w:rFonts w:cs="Times New Roman"/>
          <w:szCs w:val="24"/>
        </w:rPr>
        <w:t xml:space="preserve">The occurrence of </w:t>
      </w:r>
      <w:r w:rsidR="00FB0088" w:rsidRPr="004927F9">
        <w:rPr>
          <w:rFonts w:cs="Times New Roman"/>
          <w:i/>
          <w:iCs/>
          <w:szCs w:val="24"/>
        </w:rPr>
        <w:t>Y. enterocolitica</w:t>
      </w:r>
      <w:r w:rsidR="00FB0088" w:rsidRPr="004927F9">
        <w:rPr>
          <w:rFonts w:cs="Times New Roman"/>
          <w:szCs w:val="24"/>
        </w:rPr>
        <w:t xml:space="preserve"> </w:t>
      </w:r>
      <w:r w:rsidRPr="004927F9">
        <w:rPr>
          <w:rFonts w:cs="Times New Roman"/>
          <w:szCs w:val="24"/>
        </w:rPr>
        <w:t xml:space="preserve">in pork samples in the present study was 7.0%, which was </w:t>
      </w:r>
      <w:r w:rsidR="00FB0088" w:rsidRPr="004927F9">
        <w:rPr>
          <w:rFonts w:cs="Times New Roman"/>
          <w:szCs w:val="24"/>
        </w:rPr>
        <w:t>almost in agreement with</w:t>
      </w:r>
      <w:r w:rsidRPr="004927F9">
        <w:rPr>
          <w:rFonts w:cs="Times New Roman"/>
          <w:szCs w:val="24"/>
        </w:rPr>
        <w:t xml:space="preserve"> </w:t>
      </w:r>
      <w:r w:rsidR="00FB0088" w:rsidRPr="004927F9">
        <w:rPr>
          <w:rFonts w:cs="Times New Roman"/>
          <w:szCs w:val="24"/>
        </w:rPr>
        <w:t xml:space="preserve">Venkata Lakshmi </w:t>
      </w:r>
      <w:r w:rsidR="00FB0088" w:rsidRPr="004927F9">
        <w:rPr>
          <w:rFonts w:cs="Times New Roman"/>
          <w:i/>
          <w:iCs/>
          <w:szCs w:val="24"/>
        </w:rPr>
        <w:t>et al.</w:t>
      </w:r>
      <w:r w:rsidR="00FB0088" w:rsidRPr="004927F9">
        <w:rPr>
          <w:rFonts w:cs="Times New Roman"/>
          <w:szCs w:val="24"/>
        </w:rPr>
        <w:t xml:space="preserve"> (2025) who reported </w:t>
      </w:r>
      <w:r w:rsidRPr="004927F9">
        <w:rPr>
          <w:rFonts w:cs="Times New Roman"/>
          <w:szCs w:val="24"/>
        </w:rPr>
        <w:t xml:space="preserve">7.6% </w:t>
      </w:r>
      <w:r w:rsidR="000007D8">
        <w:rPr>
          <w:rFonts w:cs="Times New Roman"/>
          <w:szCs w:val="24"/>
        </w:rPr>
        <w:t xml:space="preserve">                              </w:t>
      </w:r>
      <w:r w:rsidR="00FB0088" w:rsidRPr="004927F9">
        <w:rPr>
          <w:rFonts w:cs="Times New Roman"/>
          <w:i/>
          <w:iCs/>
          <w:szCs w:val="24"/>
        </w:rPr>
        <w:t>Y. enterocolitica</w:t>
      </w:r>
      <w:r w:rsidR="00FB0088" w:rsidRPr="004927F9">
        <w:rPr>
          <w:rFonts w:cs="Times New Roman"/>
          <w:szCs w:val="24"/>
        </w:rPr>
        <w:t xml:space="preserve"> </w:t>
      </w:r>
      <w:r w:rsidRPr="004927F9">
        <w:rPr>
          <w:rFonts w:cs="Times New Roman"/>
          <w:szCs w:val="24"/>
        </w:rPr>
        <w:t>in retail pork samples from Tirupati, India</w:t>
      </w:r>
      <w:r w:rsidR="004927F9" w:rsidRPr="004927F9">
        <w:rPr>
          <w:rFonts w:cs="Times New Roman"/>
          <w:szCs w:val="24"/>
        </w:rPr>
        <w:t xml:space="preserve">, </w:t>
      </w:r>
      <w:r w:rsidR="004D389E" w:rsidRPr="004927F9">
        <w:rPr>
          <w:rFonts w:cs="Times New Roman"/>
          <w:szCs w:val="24"/>
        </w:rPr>
        <w:t xml:space="preserve">but slightly higher than </w:t>
      </w:r>
      <w:r w:rsidR="00B06804" w:rsidRPr="004927F9">
        <w:rPr>
          <w:rFonts w:cs="Times New Roman"/>
          <w:szCs w:val="24"/>
        </w:rPr>
        <w:t xml:space="preserve">Angelovska </w:t>
      </w:r>
      <w:r w:rsidR="00B06804" w:rsidRPr="004927F9">
        <w:rPr>
          <w:rFonts w:cs="Times New Roman"/>
          <w:i/>
          <w:iCs/>
          <w:szCs w:val="24"/>
        </w:rPr>
        <w:t>et al.</w:t>
      </w:r>
      <w:r w:rsidR="00B06804" w:rsidRPr="004927F9">
        <w:rPr>
          <w:rFonts w:cs="Times New Roman"/>
          <w:szCs w:val="24"/>
        </w:rPr>
        <w:t xml:space="preserve"> (2023) </w:t>
      </w:r>
      <w:r w:rsidR="00B06804">
        <w:rPr>
          <w:rFonts w:cs="Times New Roman"/>
          <w:szCs w:val="24"/>
        </w:rPr>
        <w:t>who</w:t>
      </w:r>
      <w:r w:rsidR="004D389E" w:rsidRPr="004927F9">
        <w:rPr>
          <w:rFonts w:cs="Times New Roman"/>
          <w:szCs w:val="24"/>
        </w:rPr>
        <w:t xml:space="preserve"> </w:t>
      </w:r>
      <w:r w:rsidR="00B06804" w:rsidRPr="004927F9">
        <w:rPr>
          <w:rFonts w:cs="Times New Roman"/>
          <w:szCs w:val="24"/>
        </w:rPr>
        <w:t xml:space="preserve">reported </w:t>
      </w:r>
      <w:r w:rsidR="004D389E" w:rsidRPr="004927F9">
        <w:rPr>
          <w:rFonts w:cs="Times New Roman"/>
          <w:szCs w:val="24"/>
        </w:rPr>
        <w:t xml:space="preserve">6.7% among slaughter pigs in Bulgaria. In contrast, Hadziabdic </w:t>
      </w:r>
      <w:r w:rsidR="004D389E" w:rsidRPr="004927F9">
        <w:rPr>
          <w:rFonts w:cs="Times New Roman"/>
          <w:i/>
          <w:iCs/>
          <w:szCs w:val="24"/>
        </w:rPr>
        <w:t>et al.</w:t>
      </w:r>
      <w:r w:rsidR="004D389E" w:rsidRPr="004927F9">
        <w:rPr>
          <w:rFonts w:cs="Times New Roman"/>
          <w:szCs w:val="24"/>
        </w:rPr>
        <w:t xml:space="preserve"> (2023) reported a higher </w:t>
      </w:r>
      <w:r w:rsidR="00B06804">
        <w:rPr>
          <w:rFonts w:cs="Times New Roman"/>
          <w:szCs w:val="24"/>
        </w:rPr>
        <w:t>occurrence</w:t>
      </w:r>
      <w:r w:rsidR="004D389E" w:rsidRPr="004927F9">
        <w:rPr>
          <w:rFonts w:cs="Times New Roman"/>
          <w:szCs w:val="24"/>
        </w:rPr>
        <w:t xml:space="preserve"> </w:t>
      </w:r>
      <w:r w:rsidR="004927F9">
        <w:rPr>
          <w:rFonts w:cs="Times New Roman"/>
          <w:szCs w:val="24"/>
        </w:rPr>
        <w:t xml:space="preserve">of </w:t>
      </w:r>
      <w:r w:rsidR="004D389E" w:rsidRPr="004927F9">
        <w:rPr>
          <w:rFonts w:cs="Times New Roman"/>
          <w:szCs w:val="24"/>
        </w:rPr>
        <w:t>16.3% in pre-packed fresh minced pork from Southern Berlin and Brandenburg</w:t>
      </w:r>
      <w:r w:rsidRPr="004927F9">
        <w:rPr>
          <w:rFonts w:cs="Times New Roman"/>
          <w:szCs w:val="24"/>
        </w:rPr>
        <w:t>. Differences in prevalence among studies may be attributed to variations in geographical location, sample type, slaughterhouse hygiene, enrichment procedures and detection methods.</w:t>
      </w:r>
    </w:p>
    <w:p w14:paraId="1EDB0656" w14:textId="732B8E12" w:rsidR="002875B2" w:rsidRDefault="002875B2" w:rsidP="002875B2">
      <w:pPr>
        <w:spacing w:line="360" w:lineRule="auto"/>
        <w:ind w:firstLine="720"/>
        <w:jc w:val="both"/>
        <w:rPr>
          <w:rFonts w:cs="Times New Roman"/>
          <w:szCs w:val="24"/>
        </w:rPr>
      </w:pPr>
      <w:r w:rsidRPr="005D04D4">
        <w:rPr>
          <w:rFonts w:cs="Times New Roman"/>
          <w:szCs w:val="24"/>
        </w:rPr>
        <w:t xml:space="preserve">Pork showed the highest recovery rate among all sample types, supporting the role of pigs as the principal reservoir of pathogenic </w:t>
      </w:r>
      <w:r w:rsidRPr="005D04D4">
        <w:rPr>
          <w:rFonts w:cs="Times New Roman"/>
          <w:i/>
          <w:iCs/>
          <w:szCs w:val="24"/>
        </w:rPr>
        <w:t>Y. enterocolitica</w:t>
      </w:r>
      <w:r w:rsidRPr="005D04D4">
        <w:rPr>
          <w:rFonts w:cs="Times New Roman"/>
          <w:szCs w:val="24"/>
        </w:rPr>
        <w:t xml:space="preserve">. Similarly, Yue </w:t>
      </w:r>
      <w:r w:rsidRPr="005D04D4">
        <w:rPr>
          <w:rFonts w:cs="Times New Roman"/>
          <w:i/>
          <w:iCs/>
          <w:szCs w:val="24"/>
        </w:rPr>
        <w:t>et al.</w:t>
      </w:r>
      <w:r w:rsidRPr="005D04D4">
        <w:rPr>
          <w:rFonts w:cs="Times New Roman"/>
          <w:szCs w:val="24"/>
        </w:rPr>
        <w:t xml:space="preserve"> (2023) identified pigs as the primary reservoir and highlighted the pork production chain as the major source of human infection. Furthermore, the isolation of </w:t>
      </w:r>
      <w:r w:rsidRPr="005D04D4">
        <w:rPr>
          <w:rFonts w:cs="Times New Roman"/>
          <w:i/>
          <w:iCs/>
          <w:szCs w:val="24"/>
        </w:rPr>
        <w:t>Y. enterocolitica</w:t>
      </w:r>
      <w:r w:rsidRPr="005D04D4">
        <w:rPr>
          <w:rFonts w:cs="Times New Roman"/>
          <w:szCs w:val="24"/>
        </w:rPr>
        <w:t xml:space="preserve"> from slaughterhouse soil (4.0%) indicates environmental persistence and the potential for cross-contamination during carcass processing. This observation is in agreement with Arsić </w:t>
      </w:r>
      <w:r w:rsidRPr="005D04D4">
        <w:rPr>
          <w:rFonts w:cs="Times New Roman"/>
          <w:i/>
          <w:iCs/>
          <w:szCs w:val="24"/>
        </w:rPr>
        <w:t>et al.</w:t>
      </w:r>
      <w:r w:rsidRPr="005D04D4">
        <w:rPr>
          <w:rFonts w:cs="Times New Roman"/>
          <w:szCs w:val="24"/>
        </w:rPr>
        <w:t xml:space="preserve"> (2023), who emphasized the importance of slaughterhouse hygiene and contaminated processing environments in the dissemination of </w:t>
      </w:r>
      <w:r w:rsidRPr="005D04D4">
        <w:rPr>
          <w:rFonts w:cs="Times New Roman"/>
          <w:i/>
          <w:iCs/>
          <w:szCs w:val="24"/>
        </w:rPr>
        <w:t>Y. enterocolitica</w:t>
      </w:r>
      <w:r w:rsidRPr="005D04D4">
        <w:rPr>
          <w:rFonts w:cs="Times New Roman"/>
          <w:szCs w:val="24"/>
        </w:rPr>
        <w:t xml:space="preserve"> throughout the pork production chain.</w:t>
      </w:r>
    </w:p>
    <w:p w14:paraId="676E8DA2" w14:textId="315E55ED" w:rsidR="004253D6" w:rsidRDefault="001D3EA5" w:rsidP="004253D6">
      <w:pPr>
        <w:spacing w:line="360" w:lineRule="auto"/>
        <w:jc w:val="both"/>
        <w:rPr>
          <w:rFonts w:cs="Times New Roman"/>
          <w:szCs w:val="24"/>
        </w:rPr>
      </w:pPr>
      <w:r>
        <w:rPr>
          <w:rFonts w:cs="Times New Roman"/>
          <w:b/>
          <w:bCs/>
          <w:szCs w:val="24"/>
        </w:rPr>
        <w:t xml:space="preserve">3.2 </w:t>
      </w:r>
      <w:r w:rsidR="004253D6">
        <w:rPr>
          <w:rFonts w:cs="Times New Roman"/>
          <w:b/>
          <w:bCs/>
          <w:szCs w:val="24"/>
        </w:rPr>
        <w:t>T</w:t>
      </w:r>
      <w:r w:rsidR="004253D6" w:rsidRPr="00CD2D44">
        <w:rPr>
          <w:rFonts w:cs="Times New Roman"/>
          <w:b/>
          <w:bCs/>
          <w:szCs w:val="24"/>
        </w:rPr>
        <w:t>ests for pathogenicity</w:t>
      </w:r>
    </w:p>
    <w:p w14:paraId="6A12AB68" w14:textId="4E41AF8C" w:rsidR="00A45D96" w:rsidRDefault="00BE6DF3" w:rsidP="001E3007">
      <w:pPr>
        <w:spacing w:line="360" w:lineRule="auto"/>
        <w:ind w:firstLine="720"/>
        <w:jc w:val="both"/>
        <w:rPr>
          <w:rFonts w:cs="Times New Roman"/>
          <w:szCs w:val="24"/>
        </w:rPr>
      </w:pPr>
      <w:r w:rsidRPr="00BE6DF3">
        <w:rPr>
          <w:rFonts w:cs="Times New Roman"/>
          <w:szCs w:val="24"/>
        </w:rPr>
        <w:t xml:space="preserve">The pathogenic potential of </w:t>
      </w:r>
      <w:r w:rsidR="005E563B">
        <w:rPr>
          <w:rFonts w:cs="Times New Roman"/>
          <w:szCs w:val="24"/>
        </w:rPr>
        <w:t>the</w:t>
      </w:r>
      <w:r w:rsidRPr="00BE6DF3">
        <w:rPr>
          <w:rFonts w:cs="Times New Roman"/>
          <w:szCs w:val="24"/>
        </w:rPr>
        <w:t xml:space="preserve"> isolates was evaluated using calcium dependency on MOX agar and Congo Red absorption on CRAMP agar</w:t>
      </w:r>
      <w:r w:rsidR="0033460A">
        <w:rPr>
          <w:rFonts w:cs="Times New Roman"/>
          <w:szCs w:val="24"/>
        </w:rPr>
        <w:t xml:space="preserve"> (Fig. 2 &amp; 3)</w:t>
      </w:r>
      <w:r w:rsidRPr="00BE6DF3">
        <w:rPr>
          <w:rFonts w:cs="Times New Roman"/>
          <w:szCs w:val="24"/>
        </w:rPr>
        <w:t xml:space="preserve">. Nine (81.8%) isolates </w:t>
      </w:r>
      <w:r w:rsidRPr="00BE6DF3">
        <w:rPr>
          <w:rFonts w:cs="Times New Roman"/>
          <w:szCs w:val="24"/>
        </w:rPr>
        <w:lastRenderedPageBreak/>
        <w:t>exhibited calcium dependency and Congo Red uptake, while two isolates were negative in both assays. Among the pathogenic isolates, six originated from pork, two from pig intestinal contents and one from slaughterhouse soil.</w:t>
      </w:r>
      <w:r w:rsidR="00581FF5">
        <w:rPr>
          <w:rFonts w:cs="Times New Roman"/>
          <w:szCs w:val="24"/>
        </w:rPr>
        <w:t xml:space="preserve"> A</w:t>
      </w:r>
      <w:r w:rsidR="00DC037E" w:rsidRPr="00DC037E">
        <w:rPr>
          <w:rFonts w:cs="Times New Roman"/>
          <w:szCs w:val="24"/>
        </w:rPr>
        <w:t xml:space="preserve">ll nine isolates were confirmed by PCR targeting the </w:t>
      </w:r>
      <w:r w:rsidR="00DC037E" w:rsidRPr="00FA436E">
        <w:rPr>
          <w:rFonts w:cs="Times New Roman"/>
          <w:i/>
          <w:iCs/>
          <w:szCs w:val="24"/>
        </w:rPr>
        <w:t>ail</w:t>
      </w:r>
      <w:r w:rsidR="00DC037E" w:rsidRPr="00DC037E">
        <w:rPr>
          <w:rFonts w:cs="Times New Roman"/>
          <w:szCs w:val="24"/>
        </w:rPr>
        <w:t xml:space="preserve"> gene</w:t>
      </w:r>
      <w:r w:rsidR="004745E5">
        <w:rPr>
          <w:rFonts w:cs="Times New Roman"/>
          <w:szCs w:val="24"/>
        </w:rPr>
        <w:t xml:space="preserve"> (Fig. 4)</w:t>
      </w:r>
      <w:r w:rsidR="00DC037E" w:rsidRPr="00DC037E">
        <w:rPr>
          <w:rFonts w:cs="Times New Roman"/>
          <w:szCs w:val="24"/>
        </w:rPr>
        <w:t>, indicating complete agreement between conventional and molecular methods.</w:t>
      </w:r>
      <w:r w:rsidR="001E3007">
        <w:rPr>
          <w:rFonts w:cs="Times New Roman"/>
          <w:szCs w:val="24"/>
        </w:rPr>
        <w:t xml:space="preserve"> </w:t>
      </w:r>
      <w:r w:rsidR="00C50A5D" w:rsidRPr="00A33B10">
        <w:rPr>
          <w:rFonts w:cs="Times New Roman"/>
          <w:szCs w:val="24"/>
        </w:rPr>
        <w:t xml:space="preserve">Similarly, Venkata Lakshmi </w:t>
      </w:r>
      <w:r w:rsidR="00C50A5D" w:rsidRPr="00A33B10">
        <w:rPr>
          <w:rFonts w:cs="Times New Roman"/>
          <w:i/>
          <w:iCs/>
          <w:szCs w:val="24"/>
        </w:rPr>
        <w:t>et al.</w:t>
      </w:r>
      <w:r w:rsidR="00C50A5D" w:rsidRPr="00A33B10">
        <w:rPr>
          <w:rFonts w:cs="Times New Roman"/>
          <w:szCs w:val="24"/>
        </w:rPr>
        <w:t xml:space="preserve"> </w:t>
      </w:r>
      <w:r w:rsidR="00C50A5D" w:rsidRPr="00C50A5D">
        <w:rPr>
          <w:rFonts w:cs="Times New Roman"/>
          <w:szCs w:val="24"/>
        </w:rPr>
        <w:t xml:space="preserve">(2025) detected the </w:t>
      </w:r>
      <w:r w:rsidR="00C50A5D" w:rsidRPr="009E5DE8">
        <w:rPr>
          <w:rFonts w:cs="Times New Roman"/>
          <w:i/>
          <w:iCs/>
          <w:szCs w:val="24"/>
        </w:rPr>
        <w:t>ail</w:t>
      </w:r>
      <w:r w:rsidR="00C50A5D" w:rsidRPr="00C50A5D">
        <w:rPr>
          <w:rFonts w:cs="Times New Roman"/>
          <w:szCs w:val="24"/>
        </w:rPr>
        <w:t xml:space="preserve"> gene in pathogenic </w:t>
      </w:r>
      <w:r w:rsidR="00C50A5D" w:rsidRPr="008D67C9">
        <w:rPr>
          <w:rFonts w:cs="Times New Roman"/>
          <w:i/>
          <w:iCs/>
          <w:szCs w:val="24"/>
        </w:rPr>
        <w:t>Y. enterocolitica</w:t>
      </w:r>
      <w:r w:rsidR="00C50A5D" w:rsidRPr="00C50A5D">
        <w:rPr>
          <w:rFonts w:cs="Times New Roman"/>
          <w:szCs w:val="24"/>
        </w:rPr>
        <w:t xml:space="preserve"> isolates recovered from pig carcasses</w:t>
      </w:r>
      <w:r w:rsidR="008D67C9">
        <w:rPr>
          <w:rFonts w:cs="Times New Roman"/>
          <w:szCs w:val="24"/>
        </w:rPr>
        <w:t xml:space="preserve"> (</w:t>
      </w:r>
      <w:r w:rsidR="00C50A5D" w:rsidRPr="00C50A5D">
        <w:rPr>
          <w:rFonts w:cs="Times New Roman"/>
          <w:szCs w:val="24"/>
        </w:rPr>
        <w:t>7.8%</w:t>
      </w:r>
      <w:r w:rsidR="008D67C9">
        <w:rPr>
          <w:rFonts w:cs="Times New Roman"/>
          <w:szCs w:val="24"/>
        </w:rPr>
        <w:t>)</w:t>
      </w:r>
      <w:r w:rsidR="00C50A5D" w:rsidRPr="00C50A5D">
        <w:rPr>
          <w:rFonts w:cs="Times New Roman"/>
          <w:szCs w:val="24"/>
        </w:rPr>
        <w:t xml:space="preserve">, thereby supporting the use of </w:t>
      </w:r>
      <w:r w:rsidR="00C50A5D" w:rsidRPr="009E5DE8">
        <w:rPr>
          <w:rFonts w:cs="Times New Roman"/>
          <w:i/>
          <w:iCs/>
          <w:szCs w:val="24"/>
        </w:rPr>
        <w:t>ail</w:t>
      </w:r>
      <w:r w:rsidR="00C50A5D" w:rsidRPr="00C50A5D">
        <w:rPr>
          <w:rFonts w:cs="Times New Roman"/>
          <w:szCs w:val="24"/>
        </w:rPr>
        <w:t xml:space="preserve"> </w:t>
      </w:r>
      <w:r w:rsidR="009E5DE8">
        <w:rPr>
          <w:rFonts w:cs="Times New Roman"/>
          <w:szCs w:val="24"/>
        </w:rPr>
        <w:t xml:space="preserve">gene </w:t>
      </w:r>
      <w:r w:rsidR="00C50A5D" w:rsidRPr="00C50A5D">
        <w:rPr>
          <w:rFonts w:cs="Times New Roman"/>
          <w:szCs w:val="24"/>
        </w:rPr>
        <w:t xml:space="preserve">as a reliable molecular marker for pathogenic strains. Furthermore, Al-Rawe </w:t>
      </w:r>
      <w:r w:rsidR="00C50A5D" w:rsidRPr="008D67C9">
        <w:rPr>
          <w:rFonts w:cs="Times New Roman"/>
          <w:i/>
          <w:iCs/>
          <w:szCs w:val="24"/>
        </w:rPr>
        <w:t>et al</w:t>
      </w:r>
      <w:r w:rsidR="00C50A5D" w:rsidRPr="00C50A5D">
        <w:rPr>
          <w:rFonts w:cs="Times New Roman"/>
          <w:szCs w:val="24"/>
        </w:rPr>
        <w:t xml:space="preserve">. (2023) demonstrated through comparative genomic analysis that virulence genes involved in adhesion and invasion are highly conserved among pathogenic </w:t>
      </w:r>
      <w:r w:rsidR="00C50A5D" w:rsidRPr="0090608E">
        <w:rPr>
          <w:rFonts w:cs="Times New Roman"/>
          <w:i/>
          <w:iCs/>
          <w:szCs w:val="24"/>
        </w:rPr>
        <w:t>Y. enterocolitica</w:t>
      </w:r>
      <w:r w:rsidR="00C50A5D" w:rsidRPr="00C50A5D">
        <w:rPr>
          <w:rFonts w:cs="Times New Roman"/>
          <w:szCs w:val="24"/>
        </w:rPr>
        <w:t xml:space="preserve">. </w:t>
      </w:r>
    </w:p>
    <w:p w14:paraId="5C752BBE" w14:textId="00BEDCED" w:rsidR="00F67F15" w:rsidRDefault="00F67F15" w:rsidP="00611446">
      <w:pPr>
        <w:spacing w:line="360" w:lineRule="auto"/>
        <w:jc w:val="center"/>
        <w:rPr>
          <w:rFonts w:cs="Times New Roman"/>
          <w:szCs w:val="24"/>
        </w:rPr>
      </w:pPr>
      <w:r w:rsidRPr="00F67F15">
        <w:rPr>
          <w:rFonts w:cs="Times New Roman"/>
          <w:noProof/>
          <w:szCs w:val="24"/>
        </w:rPr>
        <w:drawing>
          <wp:inline distT="0" distB="0" distL="0" distR="0" wp14:anchorId="39678D3A" wp14:editId="55DED76B">
            <wp:extent cx="2934119" cy="2800918"/>
            <wp:effectExtent l="0" t="0" r="0" b="0"/>
            <wp:docPr id="1895503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3169" cy="2828650"/>
                    </a:xfrm>
                    <a:prstGeom prst="rect">
                      <a:avLst/>
                    </a:prstGeom>
                    <a:noFill/>
                    <a:ln>
                      <a:noFill/>
                    </a:ln>
                  </pic:spPr>
                </pic:pic>
              </a:graphicData>
            </a:graphic>
          </wp:inline>
        </w:drawing>
      </w:r>
    </w:p>
    <w:p w14:paraId="7700B8A5" w14:textId="77777777" w:rsidR="00611446" w:rsidRPr="00611446" w:rsidRDefault="00611446" w:rsidP="00611446">
      <w:pPr>
        <w:spacing w:line="240" w:lineRule="auto"/>
        <w:jc w:val="center"/>
        <w:rPr>
          <w:rFonts w:cs="Times New Roman"/>
          <w:b/>
          <w:bCs/>
          <w:szCs w:val="24"/>
        </w:rPr>
      </w:pPr>
      <w:r w:rsidRPr="00611446">
        <w:rPr>
          <w:rFonts w:cs="Times New Roman"/>
          <w:b/>
          <w:bCs/>
          <w:szCs w:val="24"/>
        </w:rPr>
        <w:t xml:space="preserve">Fig. 2 Pathogenic </w:t>
      </w:r>
      <w:r w:rsidRPr="00611446">
        <w:rPr>
          <w:rFonts w:cs="Times New Roman"/>
          <w:b/>
          <w:bCs/>
          <w:i/>
          <w:iCs/>
          <w:szCs w:val="24"/>
        </w:rPr>
        <w:t xml:space="preserve">Y. enterocolitica </w:t>
      </w:r>
      <w:r w:rsidRPr="00611446">
        <w:rPr>
          <w:rFonts w:cs="Times New Roman"/>
          <w:b/>
          <w:bCs/>
          <w:szCs w:val="24"/>
        </w:rPr>
        <w:t>on MOX agar</w:t>
      </w:r>
    </w:p>
    <w:p w14:paraId="2A58EFA6" w14:textId="306B9E86" w:rsidR="002875B2" w:rsidRDefault="002875B2" w:rsidP="002D4980">
      <w:pPr>
        <w:spacing w:line="360" w:lineRule="auto"/>
        <w:ind w:firstLine="720"/>
        <w:jc w:val="both"/>
        <w:rPr>
          <w:rFonts w:cs="Times New Roman"/>
          <w:szCs w:val="24"/>
        </w:rPr>
      </w:pPr>
    </w:p>
    <w:p w14:paraId="22724A3B" w14:textId="0604D5C8" w:rsidR="00611446" w:rsidRDefault="00611446" w:rsidP="00611446">
      <w:pPr>
        <w:spacing w:line="360" w:lineRule="auto"/>
        <w:jc w:val="center"/>
        <w:rPr>
          <w:rFonts w:cs="Times New Roman"/>
          <w:szCs w:val="24"/>
        </w:rPr>
      </w:pPr>
      <w:r w:rsidRPr="00C21954">
        <w:rPr>
          <w:rFonts w:cs="Times New Roman"/>
          <w:noProof/>
          <w:szCs w:val="24"/>
        </w:rPr>
        <w:drawing>
          <wp:inline distT="0" distB="0" distL="0" distR="0" wp14:anchorId="028A1BF9" wp14:editId="4B2D0B83">
            <wp:extent cx="2873828" cy="2575570"/>
            <wp:effectExtent l="0" t="0" r="3175" b="0"/>
            <wp:docPr id="52397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3556" cy="2611175"/>
                    </a:xfrm>
                    <a:prstGeom prst="rect">
                      <a:avLst/>
                    </a:prstGeom>
                    <a:noFill/>
                    <a:ln>
                      <a:noFill/>
                    </a:ln>
                  </pic:spPr>
                </pic:pic>
              </a:graphicData>
            </a:graphic>
          </wp:inline>
        </w:drawing>
      </w:r>
    </w:p>
    <w:p w14:paraId="2005A69B" w14:textId="36E4A65F" w:rsidR="00611446" w:rsidRPr="00611446" w:rsidRDefault="00611446" w:rsidP="00611446">
      <w:pPr>
        <w:spacing w:line="240" w:lineRule="auto"/>
        <w:jc w:val="center"/>
        <w:rPr>
          <w:rFonts w:cs="Times New Roman"/>
          <w:b/>
          <w:bCs/>
          <w:szCs w:val="24"/>
        </w:rPr>
      </w:pPr>
      <w:r w:rsidRPr="002303BE">
        <w:rPr>
          <w:rFonts w:cs="Times New Roman"/>
          <w:b/>
          <w:bCs/>
          <w:szCs w:val="24"/>
        </w:rPr>
        <w:lastRenderedPageBreak/>
        <w:t xml:space="preserve">Fig. </w:t>
      </w:r>
      <w:r>
        <w:rPr>
          <w:rFonts w:cs="Times New Roman"/>
          <w:b/>
          <w:bCs/>
          <w:szCs w:val="24"/>
        </w:rPr>
        <w:t>3</w:t>
      </w:r>
      <w:r w:rsidRPr="002303BE">
        <w:rPr>
          <w:rFonts w:cs="Times New Roman"/>
          <w:b/>
          <w:bCs/>
          <w:szCs w:val="24"/>
        </w:rPr>
        <w:t xml:space="preserve"> Pathogenic </w:t>
      </w:r>
      <w:r w:rsidRPr="002303BE">
        <w:rPr>
          <w:rFonts w:cs="Times New Roman"/>
          <w:b/>
          <w:bCs/>
          <w:i/>
          <w:iCs/>
          <w:szCs w:val="24"/>
        </w:rPr>
        <w:t xml:space="preserve">Y. enterocolitica </w:t>
      </w:r>
      <w:r w:rsidRPr="002303BE">
        <w:rPr>
          <w:rFonts w:cs="Times New Roman"/>
          <w:b/>
          <w:bCs/>
          <w:szCs w:val="24"/>
        </w:rPr>
        <w:t>on CRAMP agar</w:t>
      </w:r>
    </w:p>
    <w:p w14:paraId="7B5706A8" w14:textId="77777777" w:rsidR="00611446" w:rsidRPr="009A58A6" w:rsidRDefault="00611446" w:rsidP="002D4980">
      <w:pPr>
        <w:spacing w:line="360" w:lineRule="auto"/>
        <w:ind w:firstLine="720"/>
        <w:jc w:val="both"/>
        <w:rPr>
          <w:rFonts w:cs="Times New Roman"/>
          <w:szCs w:val="24"/>
        </w:rPr>
      </w:pPr>
    </w:p>
    <w:p w14:paraId="7B0882B5" w14:textId="1DDCF5D9" w:rsidR="004745E5" w:rsidRPr="009A58A6" w:rsidRDefault="004979F8" w:rsidP="00C41D2B">
      <w:pPr>
        <w:spacing w:before="240" w:line="360" w:lineRule="auto"/>
        <w:jc w:val="center"/>
        <w:rPr>
          <w:rFonts w:cs="Times New Roman"/>
          <w:b/>
          <w:bCs/>
          <w:szCs w:val="24"/>
        </w:rPr>
      </w:pPr>
      <w:r w:rsidRPr="004745E5">
        <w:rPr>
          <w:rFonts w:cs="Times New Roman"/>
          <w:b/>
          <w:bCs/>
          <w:noProof/>
          <w:szCs w:val="24"/>
          <w:lang w:val="it-IT"/>
        </w:rPr>
        <w:drawing>
          <wp:inline distT="0" distB="0" distL="0" distR="0" wp14:anchorId="35B45388" wp14:editId="36B5D395">
            <wp:extent cx="4406900" cy="3136900"/>
            <wp:effectExtent l="0" t="0" r="0" b="6350"/>
            <wp:docPr id="1844468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68642" name=""/>
                    <pic:cNvPicPr/>
                  </pic:nvPicPr>
                  <pic:blipFill>
                    <a:blip r:embed="rId11">
                      <a:extLst>
                        <a:ext uri="{28A0092B-C50C-407E-A947-70E740481C1C}">
                          <a14:useLocalDpi xmlns:a14="http://schemas.microsoft.com/office/drawing/2010/main" val="0"/>
                        </a:ext>
                      </a:extLst>
                    </a:blip>
                    <a:stretch>
                      <a:fillRect/>
                    </a:stretch>
                  </pic:blipFill>
                  <pic:spPr>
                    <a:xfrm>
                      <a:off x="0" y="0"/>
                      <a:ext cx="4406900" cy="3136900"/>
                    </a:xfrm>
                    <a:prstGeom prst="rect">
                      <a:avLst/>
                    </a:prstGeom>
                  </pic:spPr>
                </pic:pic>
              </a:graphicData>
            </a:graphic>
          </wp:inline>
        </w:drawing>
      </w:r>
    </w:p>
    <w:p w14:paraId="359C7D39" w14:textId="77777777" w:rsidR="00C41D2B" w:rsidRPr="009A58A6" w:rsidRDefault="00C41D2B" w:rsidP="00471E54">
      <w:pPr>
        <w:spacing w:line="360" w:lineRule="auto"/>
        <w:jc w:val="center"/>
        <w:rPr>
          <w:rFonts w:cs="Times New Roman"/>
          <w:b/>
          <w:bCs/>
          <w:szCs w:val="24"/>
        </w:rPr>
      </w:pPr>
      <w:r w:rsidRPr="002303BE">
        <w:rPr>
          <w:rFonts w:cs="Times New Roman"/>
          <w:b/>
          <w:bCs/>
          <w:szCs w:val="24"/>
        </w:rPr>
        <w:t xml:space="preserve">Fig. </w:t>
      </w:r>
      <w:r>
        <w:rPr>
          <w:rFonts w:cs="Times New Roman"/>
          <w:b/>
          <w:bCs/>
          <w:szCs w:val="24"/>
        </w:rPr>
        <w:t>4</w:t>
      </w:r>
      <w:r w:rsidRPr="002303BE">
        <w:rPr>
          <w:rFonts w:cs="Times New Roman"/>
          <w:b/>
          <w:bCs/>
          <w:szCs w:val="24"/>
        </w:rPr>
        <w:t xml:space="preserve"> </w:t>
      </w:r>
      <w:r>
        <w:rPr>
          <w:rFonts w:cs="Times New Roman"/>
          <w:b/>
          <w:bCs/>
          <w:szCs w:val="24"/>
        </w:rPr>
        <w:t xml:space="preserve">Molecular confirmation of Pathogenic </w:t>
      </w:r>
      <w:r w:rsidRPr="00966EC9">
        <w:rPr>
          <w:rFonts w:cs="Times New Roman"/>
          <w:b/>
          <w:bCs/>
          <w:i/>
          <w:iCs/>
          <w:szCs w:val="24"/>
        </w:rPr>
        <w:t xml:space="preserve">Y. enterocolitica </w:t>
      </w:r>
      <w:r>
        <w:rPr>
          <w:rFonts w:cs="Times New Roman"/>
          <w:b/>
          <w:bCs/>
          <w:szCs w:val="24"/>
        </w:rPr>
        <w:t xml:space="preserve">targeting </w:t>
      </w:r>
      <w:r w:rsidRPr="00966EC9">
        <w:rPr>
          <w:rFonts w:cs="Times New Roman"/>
          <w:b/>
          <w:bCs/>
          <w:i/>
          <w:iCs/>
          <w:szCs w:val="24"/>
        </w:rPr>
        <w:t>ail</w:t>
      </w:r>
      <w:r>
        <w:rPr>
          <w:rFonts w:cs="Times New Roman"/>
          <w:b/>
          <w:bCs/>
          <w:szCs w:val="24"/>
        </w:rPr>
        <w:t xml:space="preserve"> gene</w:t>
      </w:r>
    </w:p>
    <w:p w14:paraId="12A41CF6" w14:textId="02642AF5" w:rsidR="00003D5B" w:rsidRPr="00904351" w:rsidRDefault="001D3EA5" w:rsidP="00824B2E">
      <w:pPr>
        <w:spacing w:before="240" w:line="360" w:lineRule="auto"/>
        <w:jc w:val="both"/>
        <w:rPr>
          <w:rFonts w:cs="Times New Roman"/>
          <w:b/>
          <w:bCs/>
          <w:szCs w:val="24"/>
        </w:rPr>
      </w:pPr>
      <w:r>
        <w:rPr>
          <w:rFonts w:cs="Times New Roman"/>
          <w:b/>
          <w:bCs/>
          <w:szCs w:val="24"/>
        </w:rPr>
        <w:t xml:space="preserve">3.3 </w:t>
      </w:r>
      <w:r w:rsidR="00003D5B" w:rsidRPr="00904351">
        <w:rPr>
          <w:rFonts w:cs="Times New Roman"/>
          <w:b/>
          <w:bCs/>
          <w:szCs w:val="24"/>
        </w:rPr>
        <w:t>Antibiogram</w:t>
      </w:r>
    </w:p>
    <w:p w14:paraId="195A4A43" w14:textId="65229E4F" w:rsidR="00B86AFF" w:rsidRDefault="00B86AFF" w:rsidP="00725F35">
      <w:pPr>
        <w:spacing w:line="360" w:lineRule="auto"/>
        <w:ind w:firstLine="720"/>
        <w:jc w:val="both"/>
        <w:rPr>
          <w:rFonts w:cs="Times New Roman"/>
          <w:szCs w:val="24"/>
        </w:rPr>
      </w:pPr>
      <w:r w:rsidRPr="00112047">
        <w:rPr>
          <w:rFonts w:cs="Times New Roman"/>
          <w:szCs w:val="24"/>
        </w:rPr>
        <w:t xml:space="preserve">The </w:t>
      </w:r>
      <w:r w:rsidR="008C255D">
        <w:rPr>
          <w:rFonts w:cs="Times New Roman"/>
          <w:szCs w:val="24"/>
        </w:rPr>
        <w:t>antibiotic</w:t>
      </w:r>
      <w:r w:rsidRPr="00112047">
        <w:rPr>
          <w:rFonts w:cs="Times New Roman"/>
          <w:szCs w:val="24"/>
        </w:rPr>
        <w:t xml:space="preserve"> susceptibility pattern of all eleven </w:t>
      </w:r>
      <w:r w:rsidRPr="006507F4">
        <w:rPr>
          <w:rFonts w:cs="Times New Roman"/>
          <w:i/>
          <w:iCs/>
          <w:szCs w:val="24"/>
        </w:rPr>
        <w:t>Y. enterocolitica</w:t>
      </w:r>
      <w:r w:rsidRPr="00112047">
        <w:rPr>
          <w:rFonts w:cs="Times New Roman"/>
          <w:szCs w:val="24"/>
        </w:rPr>
        <w:t xml:space="preserve"> isolates was determined using the disc diffusion method</w:t>
      </w:r>
      <w:r w:rsidR="00904351">
        <w:rPr>
          <w:rFonts w:cs="Times New Roman"/>
          <w:szCs w:val="24"/>
        </w:rPr>
        <w:t xml:space="preserve"> (Fig. 5)</w:t>
      </w:r>
      <w:r w:rsidRPr="00112047">
        <w:rPr>
          <w:rFonts w:cs="Times New Roman"/>
          <w:szCs w:val="24"/>
        </w:rPr>
        <w:t>. All isolates (100%) were resistant to ampicillin and amoxicillin–clavulanic acid. Conversely, all isolates were susceptible to tetracycline, gentamicin, nalidixic acid, co-trimoxazole, ciprofloxacin, chloramphenicol and norfloxacin, indicating a uniform susceptibility profile to these antimicrobial agents.</w:t>
      </w:r>
    </w:p>
    <w:p w14:paraId="7C3BB61A" w14:textId="77777777" w:rsidR="00C41D2B" w:rsidRDefault="00C41D2B" w:rsidP="00725F35">
      <w:pPr>
        <w:spacing w:line="360" w:lineRule="auto"/>
        <w:ind w:firstLine="720"/>
        <w:jc w:val="both"/>
        <w:rPr>
          <w:rFonts w:cs="Times New Roman"/>
          <w:szCs w:val="24"/>
        </w:rPr>
      </w:pPr>
    </w:p>
    <w:p w14:paraId="675C5497" w14:textId="5206339E" w:rsidR="00904351" w:rsidRDefault="00904351" w:rsidP="00471659">
      <w:pPr>
        <w:spacing w:line="360" w:lineRule="auto"/>
        <w:jc w:val="center"/>
        <w:rPr>
          <w:rFonts w:cs="Times New Roman"/>
          <w:szCs w:val="24"/>
        </w:rPr>
      </w:pPr>
      <w:r w:rsidRPr="00904351">
        <w:rPr>
          <w:rFonts w:cs="Times New Roman"/>
          <w:noProof/>
          <w:szCs w:val="24"/>
        </w:rPr>
        <w:lastRenderedPageBreak/>
        <w:drawing>
          <wp:inline distT="0" distB="0" distL="0" distR="0" wp14:anchorId="584086A2" wp14:editId="0AA67532">
            <wp:extent cx="2870200" cy="2395756"/>
            <wp:effectExtent l="0" t="0" r="6350" b="5080"/>
            <wp:docPr id="14259913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2333" cy="2405883"/>
                    </a:xfrm>
                    <a:prstGeom prst="rect">
                      <a:avLst/>
                    </a:prstGeom>
                    <a:noFill/>
                    <a:ln>
                      <a:noFill/>
                    </a:ln>
                  </pic:spPr>
                </pic:pic>
              </a:graphicData>
            </a:graphic>
          </wp:inline>
        </w:drawing>
      </w:r>
    </w:p>
    <w:p w14:paraId="0ECB6634" w14:textId="03C9D4B0" w:rsidR="00904351" w:rsidRPr="00AE5919" w:rsidRDefault="00AE5919" w:rsidP="00471659">
      <w:pPr>
        <w:spacing w:before="240" w:line="360" w:lineRule="auto"/>
        <w:jc w:val="center"/>
        <w:rPr>
          <w:rFonts w:cs="Times New Roman"/>
          <w:b/>
          <w:bCs/>
          <w:szCs w:val="24"/>
        </w:rPr>
      </w:pPr>
      <w:r w:rsidRPr="00AE5919">
        <w:rPr>
          <w:rFonts w:cs="Times New Roman"/>
          <w:b/>
          <w:bCs/>
          <w:szCs w:val="24"/>
        </w:rPr>
        <w:t xml:space="preserve">Fig. 5 </w:t>
      </w:r>
      <w:r w:rsidR="00471659" w:rsidRPr="00904351">
        <w:rPr>
          <w:rFonts w:cs="Times New Roman"/>
          <w:b/>
          <w:bCs/>
          <w:szCs w:val="24"/>
        </w:rPr>
        <w:t>Antibiogram</w:t>
      </w:r>
      <w:r w:rsidR="00471659">
        <w:rPr>
          <w:rFonts w:cs="Times New Roman"/>
          <w:b/>
          <w:bCs/>
          <w:szCs w:val="24"/>
        </w:rPr>
        <w:t xml:space="preserve"> </w:t>
      </w:r>
      <w:r w:rsidRPr="00AE5919">
        <w:rPr>
          <w:rFonts w:cs="Times New Roman"/>
          <w:b/>
          <w:bCs/>
          <w:szCs w:val="24"/>
        </w:rPr>
        <w:t xml:space="preserve">of </w:t>
      </w:r>
      <w:r w:rsidRPr="00AE5919">
        <w:rPr>
          <w:rFonts w:cs="Times New Roman"/>
          <w:b/>
          <w:bCs/>
          <w:i/>
          <w:iCs/>
          <w:szCs w:val="24"/>
        </w:rPr>
        <w:t>Y. enterocolitica</w:t>
      </w:r>
    </w:p>
    <w:p w14:paraId="1C306200" w14:textId="32FDAABF" w:rsidR="00B86AFF" w:rsidRDefault="00262C9A" w:rsidP="00824B2E">
      <w:pPr>
        <w:spacing w:line="360" w:lineRule="auto"/>
        <w:ind w:firstLine="720"/>
        <w:jc w:val="both"/>
        <w:rPr>
          <w:rFonts w:cs="Times New Roman"/>
          <w:szCs w:val="24"/>
        </w:rPr>
      </w:pPr>
      <w:r w:rsidRPr="00262C9A">
        <w:rPr>
          <w:rFonts w:cs="Times New Roman"/>
          <w:szCs w:val="24"/>
        </w:rPr>
        <w:t xml:space="preserve">Complete resistance to ampicillin observed in the present study </w:t>
      </w:r>
      <w:r w:rsidR="00F21B5D" w:rsidRPr="00F21B5D">
        <w:rPr>
          <w:rFonts w:cs="Times New Roman"/>
          <w:szCs w:val="24"/>
        </w:rPr>
        <w:t xml:space="preserve">was comparable to the high level of ampicillin resistance (94%) reported by Seakamela </w:t>
      </w:r>
      <w:r w:rsidR="00F21B5D" w:rsidRPr="00F21B5D">
        <w:rPr>
          <w:rFonts w:cs="Times New Roman"/>
          <w:i/>
          <w:iCs/>
          <w:szCs w:val="24"/>
        </w:rPr>
        <w:t>et al.</w:t>
      </w:r>
      <w:r w:rsidR="00F21B5D" w:rsidRPr="00F21B5D">
        <w:rPr>
          <w:rFonts w:cs="Times New Roman"/>
          <w:szCs w:val="24"/>
        </w:rPr>
        <w:t xml:space="preserve"> (2022) among </w:t>
      </w:r>
      <w:r w:rsidR="007B035B">
        <w:rPr>
          <w:rFonts w:cs="Times New Roman"/>
          <w:szCs w:val="24"/>
        </w:rPr>
        <w:t xml:space="preserve">                              </w:t>
      </w:r>
      <w:r w:rsidR="00F21B5D" w:rsidRPr="007B035B">
        <w:rPr>
          <w:rFonts w:cs="Times New Roman"/>
          <w:i/>
          <w:iCs/>
          <w:szCs w:val="24"/>
        </w:rPr>
        <w:t>Y</w:t>
      </w:r>
      <w:r w:rsidR="007B035B" w:rsidRPr="007B035B">
        <w:rPr>
          <w:rFonts w:cs="Times New Roman"/>
          <w:i/>
          <w:iCs/>
          <w:szCs w:val="24"/>
        </w:rPr>
        <w:t>.</w:t>
      </w:r>
      <w:r w:rsidR="00F21B5D" w:rsidRPr="007B035B">
        <w:rPr>
          <w:rFonts w:cs="Times New Roman"/>
          <w:i/>
          <w:iCs/>
          <w:szCs w:val="24"/>
        </w:rPr>
        <w:t xml:space="preserve"> enterocolitica</w:t>
      </w:r>
      <w:r w:rsidR="00F21B5D" w:rsidRPr="00F21B5D">
        <w:rPr>
          <w:rFonts w:cs="Times New Roman"/>
          <w:szCs w:val="24"/>
        </w:rPr>
        <w:t xml:space="preserve"> isolates recovered from meat samples in South Africa.</w:t>
      </w:r>
      <w:r w:rsidR="00F21B5D">
        <w:rPr>
          <w:rFonts w:cs="Times New Roman"/>
          <w:szCs w:val="24"/>
        </w:rPr>
        <w:t xml:space="preserve"> </w:t>
      </w:r>
      <w:r w:rsidRPr="00262C9A">
        <w:rPr>
          <w:rFonts w:cs="Times New Roman"/>
          <w:szCs w:val="24"/>
        </w:rPr>
        <w:t xml:space="preserve">Similarly, Lou </w:t>
      </w:r>
      <w:r w:rsidRPr="00262C9A">
        <w:rPr>
          <w:rFonts w:cs="Times New Roman"/>
          <w:i/>
          <w:iCs/>
          <w:szCs w:val="24"/>
        </w:rPr>
        <w:t>et al</w:t>
      </w:r>
      <w:r w:rsidRPr="00262C9A">
        <w:rPr>
          <w:rFonts w:cs="Times New Roman"/>
          <w:szCs w:val="24"/>
        </w:rPr>
        <w:t>. (2026) reported resistance to ampicillin, amoxicillin</w:t>
      </w:r>
      <w:r w:rsidR="007B035B">
        <w:rPr>
          <w:rFonts w:cs="Times New Roman"/>
          <w:szCs w:val="24"/>
        </w:rPr>
        <w:t>-</w:t>
      </w:r>
      <w:r w:rsidRPr="00262C9A">
        <w:rPr>
          <w:rFonts w:cs="Times New Roman"/>
          <w:szCs w:val="24"/>
        </w:rPr>
        <w:t xml:space="preserve">clavulanic acid and nalidixic acid in foodborne </w:t>
      </w:r>
      <w:r w:rsidRPr="005A14CE">
        <w:rPr>
          <w:rFonts w:cs="Times New Roman"/>
          <w:i/>
          <w:iCs/>
          <w:szCs w:val="24"/>
        </w:rPr>
        <w:t>Y. enterocolitica</w:t>
      </w:r>
      <w:r w:rsidRPr="00262C9A">
        <w:rPr>
          <w:rFonts w:cs="Times New Roman"/>
          <w:szCs w:val="24"/>
        </w:rPr>
        <w:t xml:space="preserve"> isolates at rates of 26.0%, 30.0% and 24.0%, respectively. In contrast, all isolates in the present study were susceptible to nalidixic acid despite exhibiting complete resistance to ampicillin and amoxicillin</w:t>
      </w:r>
      <w:r w:rsidR="00E57798">
        <w:rPr>
          <w:rFonts w:cs="Times New Roman"/>
          <w:szCs w:val="24"/>
        </w:rPr>
        <w:t>-</w:t>
      </w:r>
      <w:r w:rsidRPr="00262C9A">
        <w:rPr>
          <w:rFonts w:cs="Times New Roman"/>
          <w:szCs w:val="24"/>
        </w:rPr>
        <w:t xml:space="preserve">clavulanic acid. Furthermore, Modesto </w:t>
      </w:r>
      <w:r w:rsidRPr="00E57798">
        <w:rPr>
          <w:rFonts w:cs="Times New Roman"/>
          <w:i/>
          <w:iCs/>
          <w:szCs w:val="24"/>
        </w:rPr>
        <w:t>et al</w:t>
      </w:r>
      <w:r w:rsidRPr="00262C9A">
        <w:rPr>
          <w:rFonts w:cs="Times New Roman"/>
          <w:szCs w:val="24"/>
        </w:rPr>
        <w:t xml:space="preserve">. (2021) reported β-lactam resistance among </w:t>
      </w:r>
      <w:r w:rsidRPr="00E57798">
        <w:rPr>
          <w:rFonts w:cs="Times New Roman"/>
          <w:i/>
          <w:iCs/>
          <w:szCs w:val="24"/>
        </w:rPr>
        <w:t>Y. enterocolitica</w:t>
      </w:r>
      <w:r w:rsidRPr="00262C9A">
        <w:rPr>
          <w:rFonts w:cs="Times New Roman"/>
          <w:szCs w:val="24"/>
        </w:rPr>
        <w:t xml:space="preserve"> isolates from wild boars, while Karlsson </w:t>
      </w:r>
      <w:r w:rsidRPr="00924A00">
        <w:rPr>
          <w:rFonts w:cs="Times New Roman"/>
          <w:i/>
          <w:iCs/>
          <w:szCs w:val="24"/>
        </w:rPr>
        <w:t>et al</w:t>
      </w:r>
      <w:r w:rsidRPr="00262C9A">
        <w:rPr>
          <w:rFonts w:cs="Times New Roman"/>
          <w:szCs w:val="24"/>
        </w:rPr>
        <w:t xml:space="preserve">. (2021) characterised multidrug-resistant outbreak strains carrying multiple antimicrobial resistance determinants. These findings highlight geographical variation in antimicrobial resistance profiles and emphasise the importance of continuous surveillance of antimicrobial-resistant </w:t>
      </w:r>
      <w:r w:rsidRPr="00817089">
        <w:rPr>
          <w:rFonts w:cs="Times New Roman"/>
          <w:i/>
          <w:iCs/>
          <w:szCs w:val="24"/>
        </w:rPr>
        <w:t>Y. enterocolitica</w:t>
      </w:r>
      <w:r w:rsidRPr="00262C9A">
        <w:rPr>
          <w:rFonts w:cs="Times New Roman"/>
          <w:szCs w:val="24"/>
        </w:rPr>
        <w:t xml:space="preserve"> within the pork production chain.</w:t>
      </w:r>
    </w:p>
    <w:p w14:paraId="06573040" w14:textId="5CCB68B2" w:rsidR="0021446B" w:rsidRPr="00B86AFF" w:rsidRDefault="001D3EA5" w:rsidP="00B86AFF">
      <w:pPr>
        <w:spacing w:line="360" w:lineRule="auto"/>
        <w:jc w:val="both"/>
        <w:rPr>
          <w:rFonts w:cs="Times New Roman"/>
          <w:b/>
          <w:bCs/>
          <w:szCs w:val="24"/>
        </w:rPr>
      </w:pPr>
      <w:r>
        <w:rPr>
          <w:rFonts w:cs="Times New Roman"/>
          <w:b/>
          <w:bCs/>
          <w:szCs w:val="24"/>
        </w:rPr>
        <w:t xml:space="preserve">3.4 </w:t>
      </w:r>
      <w:r w:rsidR="0021446B" w:rsidRPr="00CD2D44">
        <w:rPr>
          <w:rFonts w:cs="Times New Roman"/>
          <w:b/>
          <w:bCs/>
          <w:szCs w:val="24"/>
        </w:rPr>
        <w:t xml:space="preserve">Biofilm production assay </w:t>
      </w:r>
    </w:p>
    <w:p w14:paraId="78DABFFA" w14:textId="6EDBBC13" w:rsidR="00994AA1" w:rsidRDefault="00B86AFF" w:rsidP="00994AA1">
      <w:pPr>
        <w:spacing w:line="360" w:lineRule="auto"/>
        <w:ind w:firstLine="720"/>
        <w:jc w:val="both"/>
        <w:rPr>
          <w:rFonts w:eastAsia="Times New Roman" w:cs="Times New Roman"/>
          <w:kern w:val="0"/>
          <w:szCs w:val="24"/>
          <w:lang w:eastAsia="en-IN"/>
          <w14:ligatures w14:val="none"/>
        </w:rPr>
      </w:pPr>
      <w:r w:rsidRPr="0012035D">
        <w:rPr>
          <w:rFonts w:cs="Times New Roman"/>
          <w:szCs w:val="24"/>
        </w:rPr>
        <w:t xml:space="preserve">The ability of </w:t>
      </w:r>
      <w:r w:rsidRPr="00817089">
        <w:rPr>
          <w:rFonts w:cs="Times New Roman"/>
          <w:i/>
          <w:iCs/>
          <w:szCs w:val="24"/>
        </w:rPr>
        <w:t>Y. enterocolitica</w:t>
      </w:r>
      <w:r w:rsidRPr="0012035D">
        <w:rPr>
          <w:rFonts w:cs="Times New Roman"/>
          <w:szCs w:val="24"/>
        </w:rPr>
        <w:t xml:space="preserve"> isolates to produce biofilm was assessed using Congo Red Agar</w:t>
      </w:r>
      <w:r w:rsidR="00CE7769">
        <w:rPr>
          <w:rFonts w:cs="Times New Roman"/>
          <w:szCs w:val="24"/>
        </w:rPr>
        <w:t xml:space="preserve"> (Fig. 6)</w:t>
      </w:r>
      <w:r w:rsidRPr="0012035D">
        <w:rPr>
          <w:rFonts w:cs="Times New Roman"/>
          <w:szCs w:val="24"/>
        </w:rPr>
        <w:t xml:space="preserve">. Of the eleven isolates, nine (81.8%) demonstrated biofilm production, whereas two isolates were biofilm-negative. </w:t>
      </w:r>
    </w:p>
    <w:p w14:paraId="7170586A" w14:textId="1203654B" w:rsidR="00D01148" w:rsidRDefault="00D01148" w:rsidP="00D01148">
      <w:pPr>
        <w:spacing w:line="360" w:lineRule="auto"/>
        <w:jc w:val="center"/>
        <w:rPr>
          <w:rFonts w:cs="Times New Roman"/>
          <w:szCs w:val="24"/>
        </w:rPr>
      </w:pPr>
      <w:r w:rsidRPr="00D01148">
        <w:rPr>
          <w:rFonts w:cs="Times New Roman"/>
          <w:noProof/>
          <w:szCs w:val="24"/>
        </w:rPr>
        <w:lastRenderedPageBreak/>
        <w:drawing>
          <wp:inline distT="0" distB="0" distL="0" distR="0" wp14:anchorId="3C5DF9B3" wp14:editId="5B322EE6">
            <wp:extent cx="3162300" cy="2713848"/>
            <wp:effectExtent l="0" t="0" r="0" b="0"/>
            <wp:docPr id="2235389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8026" cy="2727343"/>
                    </a:xfrm>
                    <a:prstGeom prst="rect">
                      <a:avLst/>
                    </a:prstGeom>
                    <a:noFill/>
                    <a:ln>
                      <a:noFill/>
                    </a:ln>
                  </pic:spPr>
                </pic:pic>
              </a:graphicData>
            </a:graphic>
          </wp:inline>
        </w:drawing>
      </w:r>
    </w:p>
    <w:p w14:paraId="0903C7F3" w14:textId="660452ED" w:rsidR="00D01148" w:rsidRPr="00D01148" w:rsidRDefault="00D01148" w:rsidP="00D01148">
      <w:pPr>
        <w:spacing w:line="360" w:lineRule="auto"/>
        <w:jc w:val="center"/>
        <w:rPr>
          <w:rFonts w:cs="Times New Roman"/>
          <w:b/>
          <w:bCs/>
          <w:szCs w:val="24"/>
        </w:rPr>
      </w:pPr>
      <w:r w:rsidRPr="00D01148">
        <w:rPr>
          <w:rFonts w:cs="Times New Roman"/>
          <w:b/>
          <w:bCs/>
          <w:szCs w:val="24"/>
        </w:rPr>
        <w:t xml:space="preserve">Fig. 6 Biofilm producing </w:t>
      </w:r>
      <w:r w:rsidRPr="00D01148">
        <w:rPr>
          <w:rFonts w:cs="Times New Roman"/>
          <w:b/>
          <w:bCs/>
          <w:i/>
          <w:iCs/>
          <w:szCs w:val="24"/>
        </w:rPr>
        <w:t>Y. enterocolitica</w:t>
      </w:r>
    </w:p>
    <w:p w14:paraId="5D0F5284" w14:textId="51C8B513" w:rsidR="00994AA1" w:rsidRPr="0012035D" w:rsidRDefault="00470089" w:rsidP="00CE7769">
      <w:pPr>
        <w:spacing w:line="360" w:lineRule="auto"/>
        <w:ind w:firstLine="720"/>
        <w:jc w:val="both"/>
        <w:rPr>
          <w:rFonts w:cs="Times New Roman"/>
          <w:szCs w:val="24"/>
        </w:rPr>
      </w:pPr>
      <w:r w:rsidRPr="00470089">
        <w:rPr>
          <w:rFonts w:cs="Times New Roman"/>
          <w:szCs w:val="24"/>
        </w:rPr>
        <w:t xml:space="preserve">Although the proportion of biofilm-producing isolates observed in the present study was lower than that reported by Aleksandr </w:t>
      </w:r>
      <w:r w:rsidRPr="00376E13">
        <w:rPr>
          <w:rFonts w:cs="Times New Roman"/>
          <w:i/>
          <w:iCs/>
          <w:szCs w:val="24"/>
        </w:rPr>
        <w:t>et al.</w:t>
      </w:r>
      <w:r w:rsidRPr="00470089">
        <w:rPr>
          <w:rFonts w:cs="Times New Roman"/>
          <w:szCs w:val="24"/>
        </w:rPr>
        <w:t xml:space="preserve"> (2013), who found 100% biofilm production among </w:t>
      </w:r>
      <w:r w:rsidRPr="00376E13">
        <w:rPr>
          <w:rFonts w:cs="Times New Roman"/>
          <w:i/>
          <w:iCs/>
          <w:szCs w:val="24"/>
        </w:rPr>
        <w:t>Y. enterocolitica</w:t>
      </w:r>
      <w:r w:rsidRPr="00470089">
        <w:rPr>
          <w:rFonts w:cs="Times New Roman"/>
          <w:szCs w:val="24"/>
        </w:rPr>
        <w:t xml:space="preserve"> 4/O:3 isolates recovered from the pig production chain, the strong association between pathogenicity and biofilm formation observed in the present investigation supports previous evidence that virulent </w:t>
      </w:r>
      <w:r w:rsidRPr="0018107A">
        <w:rPr>
          <w:rFonts w:cs="Times New Roman"/>
          <w:i/>
          <w:iCs/>
          <w:szCs w:val="24"/>
        </w:rPr>
        <w:t>Y. enterocolitica</w:t>
      </w:r>
      <w:r w:rsidRPr="00470089">
        <w:rPr>
          <w:rFonts w:cs="Times New Roman"/>
          <w:szCs w:val="24"/>
        </w:rPr>
        <w:t xml:space="preserve"> strains possess enhanced persistence within food-processing environments.</w:t>
      </w:r>
      <w:r w:rsidR="00376E13">
        <w:rPr>
          <w:rFonts w:cs="Times New Roman"/>
          <w:szCs w:val="24"/>
        </w:rPr>
        <w:t xml:space="preserve"> </w:t>
      </w:r>
      <w:r w:rsidR="00994AA1" w:rsidRPr="0012035D">
        <w:rPr>
          <w:rFonts w:cs="Times New Roman"/>
          <w:szCs w:val="24"/>
        </w:rPr>
        <w:t xml:space="preserve">Ban-Cucerzan </w:t>
      </w:r>
      <w:r w:rsidR="00994AA1" w:rsidRPr="00D01148">
        <w:rPr>
          <w:rFonts w:cs="Times New Roman"/>
          <w:i/>
          <w:iCs/>
          <w:szCs w:val="24"/>
        </w:rPr>
        <w:t>et al</w:t>
      </w:r>
      <w:r w:rsidR="00994AA1" w:rsidRPr="0012035D">
        <w:rPr>
          <w:rFonts w:cs="Times New Roman"/>
          <w:szCs w:val="24"/>
        </w:rPr>
        <w:t>. (2025) concluded that biofilm formation is one of the principal mechanisms responsible for long-term persistence of foodborne pathogens on food-contact surfaces, contributing substantially to contamination within processing facilities.</w:t>
      </w:r>
      <w:r w:rsidR="00CE7769">
        <w:rPr>
          <w:rFonts w:cs="Times New Roman"/>
          <w:szCs w:val="24"/>
        </w:rPr>
        <w:t xml:space="preserve"> </w:t>
      </w:r>
      <w:r w:rsidR="00994AA1" w:rsidRPr="0012035D">
        <w:rPr>
          <w:rFonts w:cs="Times New Roman"/>
          <w:szCs w:val="24"/>
        </w:rPr>
        <w:t xml:space="preserve">Similarly, Buder </w:t>
      </w:r>
      <w:r w:rsidR="00994AA1" w:rsidRPr="00756B80">
        <w:rPr>
          <w:rFonts w:cs="Times New Roman"/>
          <w:i/>
          <w:iCs/>
          <w:szCs w:val="24"/>
        </w:rPr>
        <w:t>et al.</w:t>
      </w:r>
      <w:r w:rsidR="00994AA1" w:rsidRPr="0012035D">
        <w:rPr>
          <w:rFonts w:cs="Times New Roman"/>
          <w:szCs w:val="24"/>
        </w:rPr>
        <w:t xml:space="preserve"> (2023) identified drinking systems and lairage equipment in pig abattoirs as important reservoirs of zoonotic bacteria because of persistent biofilm formation. </w:t>
      </w:r>
      <w:r w:rsidR="00CA6469" w:rsidRPr="0012035D">
        <w:rPr>
          <w:rFonts w:cs="Times New Roman"/>
          <w:szCs w:val="24"/>
        </w:rPr>
        <w:t xml:space="preserve">Collectively, these findings reinforce the importance of implementing effective biofilm control strategies to minimise the persistence and transmission of pathogenic </w:t>
      </w:r>
      <w:r w:rsidR="00CA6469" w:rsidRPr="0012035D">
        <w:rPr>
          <w:rFonts w:cs="Times New Roman"/>
          <w:i/>
          <w:iCs/>
          <w:szCs w:val="24"/>
        </w:rPr>
        <w:t>Y. enterocolitica</w:t>
      </w:r>
      <w:r w:rsidR="00CA6469" w:rsidRPr="0012035D">
        <w:rPr>
          <w:rFonts w:cs="Times New Roman"/>
          <w:szCs w:val="24"/>
        </w:rPr>
        <w:t xml:space="preserve"> in pork-processing environments.</w:t>
      </w:r>
    </w:p>
    <w:p w14:paraId="50121D65" w14:textId="2A6823CE" w:rsidR="00CA6469" w:rsidRDefault="001D3EA5" w:rsidP="00F8510A">
      <w:pPr>
        <w:spacing w:line="360" w:lineRule="auto"/>
        <w:rPr>
          <w:rFonts w:cs="Times New Roman"/>
          <w:b/>
          <w:bCs/>
          <w:szCs w:val="24"/>
        </w:rPr>
      </w:pPr>
      <w:r>
        <w:rPr>
          <w:rFonts w:cs="Times New Roman"/>
          <w:b/>
          <w:bCs/>
          <w:szCs w:val="24"/>
        </w:rPr>
        <w:t xml:space="preserve">4. </w:t>
      </w:r>
      <w:r w:rsidRPr="00CA6469">
        <w:rPr>
          <w:rFonts w:cs="Times New Roman"/>
          <w:b/>
          <w:bCs/>
          <w:szCs w:val="24"/>
        </w:rPr>
        <w:t>Conclusion</w:t>
      </w:r>
    </w:p>
    <w:p w14:paraId="30973EFD" w14:textId="0594C9B9" w:rsidR="00AC6FF2" w:rsidRDefault="00AC6FF2" w:rsidP="00B67ADD">
      <w:pPr>
        <w:spacing w:line="360" w:lineRule="auto"/>
        <w:ind w:firstLine="720"/>
        <w:jc w:val="both"/>
        <w:rPr>
          <w:rFonts w:cs="Times New Roman"/>
          <w:szCs w:val="24"/>
        </w:rPr>
      </w:pPr>
      <w:r w:rsidRPr="00AC6FF2">
        <w:rPr>
          <w:rFonts w:cs="Times New Roman"/>
          <w:szCs w:val="24"/>
        </w:rPr>
        <w:t xml:space="preserve">Overall, the present study demonstrates the occurrence of pathogenic, biofilm-producing </w:t>
      </w:r>
      <w:r w:rsidRPr="00B67ADD">
        <w:rPr>
          <w:rFonts w:cs="Times New Roman"/>
          <w:i/>
          <w:iCs/>
          <w:szCs w:val="24"/>
        </w:rPr>
        <w:t>Y. enterocolitica</w:t>
      </w:r>
      <w:r w:rsidRPr="00AC6FF2">
        <w:rPr>
          <w:rFonts w:cs="Times New Roman"/>
          <w:szCs w:val="24"/>
        </w:rPr>
        <w:t xml:space="preserve"> in pork and slaughterhouse environments in Puducherry. The complete agreement between phenotypic pathogenicity assays and </w:t>
      </w:r>
      <w:r w:rsidR="00C52D65">
        <w:rPr>
          <w:rFonts w:cs="Times New Roman"/>
          <w:szCs w:val="24"/>
        </w:rPr>
        <w:t xml:space="preserve">PCR targeting </w:t>
      </w:r>
      <w:r w:rsidR="00C52D65" w:rsidRPr="00C52D65">
        <w:rPr>
          <w:rFonts w:cs="Times New Roman"/>
          <w:i/>
          <w:iCs/>
          <w:szCs w:val="24"/>
        </w:rPr>
        <w:t>ail</w:t>
      </w:r>
      <w:r w:rsidR="00C52D65">
        <w:rPr>
          <w:rFonts w:cs="Times New Roman"/>
          <w:szCs w:val="24"/>
        </w:rPr>
        <w:t xml:space="preserve"> gene</w:t>
      </w:r>
      <w:r w:rsidRPr="00AC6FF2">
        <w:rPr>
          <w:rFonts w:cs="Times New Roman"/>
          <w:szCs w:val="24"/>
        </w:rPr>
        <w:t xml:space="preserve"> confirms the value of integrating conventional microbiological methods with molecular diagnostics. Furthermore, the detection of β-lactam-resistant isolates together with strong biofilm-forming ability underscores the importance of implementing enhanced hygiene </w:t>
      </w:r>
      <w:r w:rsidRPr="00AC6FF2">
        <w:rPr>
          <w:rFonts w:cs="Times New Roman"/>
          <w:szCs w:val="24"/>
        </w:rPr>
        <w:lastRenderedPageBreak/>
        <w:t>practices, routine surveillance and antimicrobial stewardship across the pork production chain to reduce the public health risk posed by this zoonotic pathogen.</w:t>
      </w:r>
    </w:p>
    <w:p w14:paraId="5DB54098" w14:textId="77777777" w:rsidR="004251A3" w:rsidRDefault="004251A3" w:rsidP="00D427DA">
      <w:pPr>
        <w:spacing w:after="0" w:line="240" w:lineRule="auto"/>
        <w:rPr>
          <w:rFonts w:cs="Times New Roman"/>
          <w:b/>
        </w:rPr>
      </w:pPr>
    </w:p>
    <w:p w14:paraId="283CD03F" w14:textId="5036B471" w:rsidR="00D427DA" w:rsidRDefault="00D427DA" w:rsidP="00D427DA">
      <w:pPr>
        <w:spacing w:after="0" w:line="240" w:lineRule="auto"/>
        <w:rPr>
          <w:rFonts w:cs="Times New Roman"/>
          <w:b/>
        </w:rPr>
      </w:pPr>
      <w:r w:rsidRPr="000839CE">
        <w:rPr>
          <w:rFonts w:cs="Times New Roman"/>
          <w:b/>
        </w:rPr>
        <w:t>Declaration of AI Use</w:t>
      </w:r>
    </w:p>
    <w:p w14:paraId="400DCFDD" w14:textId="77777777" w:rsidR="00D427DA" w:rsidRDefault="00D427DA" w:rsidP="00D427DA">
      <w:pPr>
        <w:spacing w:after="0" w:line="240" w:lineRule="auto"/>
        <w:rPr>
          <w:rFonts w:cs="Times New Roman"/>
          <w:b/>
        </w:rPr>
      </w:pPr>
    </w:p>
    <w:p w14:paraId="6CEC15FE" w14:textId="77777777" w:rsidR="00D427DA" w:rsidRDefault="00D427DA" w:rsidP="00D427DA">
      <w:pPr>
        <w:spacing w:after="0" w:line="240" w:lineRule="auto"/>
        <w:rPr>
          <w:rFonts w:cs="Times New Roman"/>
          <w:b/>
        </w:rPr>
      </w:pPr>
    </w:p>
    <w:p w14:paraId="3814A0C4" w14:textId="77777777" w:rsidR="00D427DA" w:rsidRDefault="00D427DA" w:rsidP="00D427DA">
      <w:pPr>
        <w:spacing w:after="0" w:line="240" w:lineRule="auto"/>
        <w:rPr>
          <w:rFonts w:cs="Times New Roman"/>
          <w:b/>
        </w:rPr>
      </w:pPr>
    </w:p>
    <w:p w14:paraId="0A6863D6" w14:textId="77777777" w:rsidR="00D427DA" w:rsidRPr="002D08AC" w:rsidRDefault="00D427DA" w:rsidP="00D427D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746245" w14:textId="77777777" w:rsidR="001D3EA5" w:rsidRPr="001D3EA5" w:rsidRDefault="001D3EA5" w:rsidP="001D3EA5">
      <w:pPr>
        <w:spacing w:line="360" w:lineRule="auto"/>
        <w:jc w:val="both"/>
        <w:rPr>
          <w:rFonts w:cs="Times New Roman"/>
          <w:b/>
          <w:bCs/>
          <w:szCs w:val="24"/>
        </w:rPr>
      </w:pPr>
      <w:r w:rsidRPr="001D3EA5">
        <w:rPr>
          <w:rFonts w:cs="Times New Roman"/>
          <w:b/>
          <w:bCs/>
          <w:szCs w:val="24"/>
        </w:rPr>
        <w:t>Competing Interests</w:t>
      </w:r>
    </w:p>
    <w:p w14:paraId="49F062F9" w14:textId="29EAB03C" w:rsidR="001D3EA5" w:rsidRDefault="001D3EA5" w:rsidP="001D3EA5">
      <w:pPr>
        <w:spacing w:line="360" w:lineRule="auto"/>
        <w:ind w:firstLine="720"/>
        <w:jc w:val="both"/>
        <w:rPr>
          <w:rFonts w:cs="Times New Roman"/>
          <w:szCs w:val="24"/>
        </w:rPr>
      </w:pPr>
      <w:r w:rsidRPr="001D3EA5">
        <w:rPr>
          <w:rFonts w:cs="Times New Roman"/>
          <w:szCs w:val="24"/>
        </w:rPr>
        <w:t>Authors have declared that no competing interests exist</w:t>
      </w:r>
      <w:r>
        <w:rPr>
          <w:rFonts w:cs="Times New Roman"/>
          <w:szCs w:val="24"/>
        </w:rPr>
        <w:t>.</w:t>
      </w:r>
    </w:p>
    <w:p w14:paraId="468EA067" w14:textId="77777777" w:rsidR="00D5328D" w:rsidRDefault="00D5328D" w:rsidP="00D5328D">
      <w:pPr>
        <w:spacing w:line="360" w:lineRule="auto"/>
        <w:jc w:val="both"/>
        <w:rPr>
          <w:rFonts w:cs="Times New Roman"/>
          <w:b/>
          <w:bCs/>
          <w:szCs w:val="24"/>
        </w:rPr>
      </w:pPr>
    </w:p>
    <w:p w14:paraId="376350C4" w14:textId="77777777" w:rsidR="00D5328D" w:rsidRDefault="00D5328D" w:rsidP="00D5328D">
      <w:pPr>
        <w:spacing w:line="360" w:lineRule="auto"/>
        <w:jc w:val="both"/>
        <w:rPr>
          <w:rFonts w:cs="Times New Roman"/>
          <w:b/>
          <w:bCs/>
          <w:szCs w:val="24"/>
        </w:rPr>
      </w:pPr>
    </w:p>
    <w:p w14:paraId="4A68BEA1" w14:textId="68AC5C71" w:rsidR="00D5328D" w:rsidRPr="00471E54" w:rsidRDefault="00D5328D" w:rsidP="00D5328D">
      <w:pPr>
        <w:spacing w:line="360" w:lineRule="auto"/>
        <w:jc w:val="both"/>
        <w:rPr>
          <w:rFonts w:cs="Times New Roman"/>
          <w:b/>
          <w:bCs/>
          <w:szCs w:val="24"/>
          <w:lang w:val="it-IT"/>
        </w:rPr>
      </w:pPr>
      <w:r w:rsidRPr="00471E54">
        <w:rPr>
          <w:rFonts w:cs="Times New Roman"/>
          <w:b/>
          <w:bCs/>
          <w:szCs w:val="24"/>
          <w:lang w:val="it-IT"/>
        </w:rPr>
        <w:t>References</w:t>
      </w:r>
    </w:p>
    <w:p w14:paraId="2F65F371" w14:textId="37A2777F" w:rsidR="00D5328D" w:rsidRPr="00D5328D" w:rsidRDefault="00D5328D" w:rsidP="00D5328D">
      <w:pPr>
        <w:spacing w:line="360" w:lineRule="auto"/>
        <w:ind w:left="720" w:hanging="720"/>
        <w:jc w:val="both"/>
        <w:rPr>
          <w:rFonts w:cs="Times New Roman"/>
          <w:szCs w:val="24"/>
        </w:rPr>
      </w:pPr>
      <w:r w:rsidRPr="00D5328D">
        <w:rPr>
          <w:rFonts w:cs="Times New Roman"/>
          <w:szCs w:val="24"/>
          <w:lang w:val="it-IT"/>
        </w:rPr>
        <w:t xml:space="preserve">Aleksandr, N., Loreta, S., Sigita, R., Gintare, Z., &amp; Mindaugas, M. (2013). </w:t>
      </w:r>
      <w:r w:rsidRPr="00D5328D">
        <w:rPr>
          <w:rFonts w:cs="Times New Roman"/>
          <w:szCs w:val="24"/>
        </w:rPr>
        <w:t xml:space="preserve">Comparison of antimicrobial resistance and biofilm formation of </w:t>
      </w:r>
      <w:r w:rsidRPr="00D5328D">
        <w:rPr>
          <w:rFonts w:cs="Times New Roman"/>
          <w:i/>
          <w:iCs/>
          <w:szCs w:val="24"/>
        </w:rPr>
        <w:t>Yersinia enterocolitica</w:t>
      </w:r>
      <w:r w:rsidRPr="00D5328D">
        <w:rPr>
          <w:rFonts w:cs="Times New Roman"/>
          <w:szCs w:val="24"/>
        </w:rPr>
        <w:t xml:space="preserve"> 4/O:3 strains isolated from pig production chain and patient’s clinical specimens. </w:t>
      </w:r>
      <w:r w:rsidRPr="00D5328D">
        <w:rPr>
          <w:rFonts w:cs="Times New Roman"/>
          <w:i/>
          <w:iCs/>
          <w:szCs w:val="24"/>
        </w:rPr>
        <w:t>Veterinarija ir Zootechnika</w:t>
      </w:r>
      <w:r w:rsidRPr="00D5328D">
        <w:rPr>
          <w:rFonts w:cs="Times New Roman"/>
          <w:szCs w:val="24"/>
        </w:rPr>
        <w:t>, 62, 1392–2130.</w:t>
      </w:r>
    </w:p>
    <w:p w14:paraId="7538FE6E"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Al-Rawe, A., Al-Jomaily, O., Yousif, Y., Shaban, S., &amp; Suleiman, A. (2023). Comparative genomics, phylogenetic and functional analysis of </w:t>
      </w:r>
      <w:r w:rsidRPr="00D5328D">
        <w:rPr>
          <w:rFonts w:cs="Times New Roman"/>
          <w:i/>
          <w:iCs/>
          <w:szCs w:val="24"/>
        </w:rPr>
        <w:t>Yersinia enterocolitica</w:t>
      </w:r>
      <w:r w:rsidRPr="00D5328D">
        <w:rPr>
          <w:rFonts w:cs="Times New Roman"/>
          <w:szCs w:val="24"/>
        </w:rPr>
        <w:t xml:space="preserve">, a gastrointestinal pathogen, with other soil-borne bacteria causing diseases. </w:t>
      </w:r>
      <w:r w:rsidRPr="00D5328D">
        <w:rPr>
          <w:rFonts w:cs="Times New Roman"/>
          <w:i/>
          <w:iCs/>
          <w:szCs w:val="24"/>
        </w:rPr>
        <w:t>Mikrobiolohichnyi Zhurnal</w:t>
      </w:r>
      <w:r w:rsidRPr="00D5328D">
        <w:rPr>
          <w:rFonts w:cs="Times New Roman"/>
          <w:szCs w:val="24"/>
        </w:rPr>
        <w:t>, 85(5), 31–41.</w:t>
      </w:r>
    </w:p>
    <w:p w14:paraId="2685ADA3" w14:textId="77777777" w:rsidR="00D5328D" w:rsidRPr="00471E54" w:rsidRDefault="00D5328D" w:rsidP="00D5328D">
      <w:pPr>
        <w:spacing w:line="360" w:lineRule="auto"/>
        <w:ind w:left="720" w:hanging="720"/>
        <w:jc w:val="both"/>
        <w:rPr>
          <w:rFonts w:cs="Times New Roman"/>
          <w:szCs w:val="24"/>
          <w:lang w:val="it-IT"/>
        </w:rPr>
      </w:pPr>
      <w:r w:rsidRPr="00471E54">
        <w:rPr>
          <w:rFonts w:cs="Times New Roman"/>
          <w:szCs w:val="24"/>
        </w:rPr>
        <w:t xml:space="preserve">Angelovska, M., Zaharieva, M., &amp; Najdenski, H. (2023). </w:t>
      </w:r>
      <w:r w:rsidRPr="00D5328D">
        <w:rPr>
          <w:rFonts w:cs="Times New Roman"/>
          <w:i/>
          <w:iCs/>
          <w:szCs w:val="24"/>
        </w:rPr>
        <w:t>Yersinia enterocolitica</w:t>
      </w:r>
      <w:r w:rsidRPr="00D5328D">
        <w:rPr>
          <w:rFonts w:cs="Times New Roman"/>
          <w:szCs w:val="24"/>
        </w:rPr>
        <w:t xml:space="preserve">—isolation, pathogenicity, and prevalence in farms for slaughtered pigs. </w:t>
      </w:r>
      <w:r w:rsidRPr="00471E54">
        <w:rPr>
          <w:rFonts w:cs="Times New Roman"/>
          <w:i/>
          <w:iCs/>
          <w:szCs w:val="24"/>
          <w:lang w:val="it-IT"/>
        </w:rPr>
        <w:t>Acta Microbiologica Bulgarica</w:t>
      </w:r>
      <w:r w:rsidRPr="00471E54">
        <w:rPr>
          <w:rFonts w:cs="Times New Roman"/>
          <w:szCs w:val="24"/>
          <w:lang w:val="it-IT"/>
        </w:rPr>
        <w:t>, 39(2).</w:t>
      </w:r>
    </w:p>
    <w:p w14:paraId="7162FA70" w14:textId="77777777" w:rsidR="00D5328D" w:rsidRPr="00D5328D" w:rsidRDefault="00D5328D" w:rsidP="00D5328D">
      <w:pPr>
        <w:spacing w:line="360" w:lineRule="auto"/>
        <w:ind w:left="720" w:hanging="720"/>
        <w:jc w:val="both"/>
        <w:rPr>
          <w:rFonts w:cs="Times New Roman"/>
          <w:szCs w:val="24"/>
        </w:rPr>
      </w:pPr>
      <w:r w:rsidRPr="00471E54">
        <w:rPr>
          <w:rFonts w:cs="Times New Roman"/>
          <w:szCs w:val="24"/>
          <w:lang w:val="it-IT"/>
        </w:rPr>
        <w:t xml:space="preserve">Anju, P., Latha, C., Sunil, B., &amp; Sethulakshmi. </w:t>
      </w:r>
      <w:r w:rsidRPr="00D5328D">
        <w:rPr>
          <w:rFonts w:cs="Times New Roman"/>
          <w:szCs w:val="24"/>
        </w:rPr>
        <w:t xml:space="preserve">(2014). Detection of </w:t>
      </w:r>
      <w:r w:rsidRPr="00D5328D">
        <w:rPr>
          <w:rFonts w:cs="Times New Roman"/>
          <w:i/>
          <w:iCs/>
          <w:szCs w:val="24"/>
        </w:rPr>
        <w:t>Salmonella</w:t>
      </w:r>
      <w:r w:rsidRPr="00D5328D">
        <w:rPr>
          <w:rFonts w:cs="Times New Roman"/>
          <w:szCs w:val="24"/>
        </w:rPr>
        <w:t xml:space="preserve"> and </w:t>
      </w:r>
      <w:r w:rsidRPr="00D5328D">
        <w:rPr>
          <w:rFonts w:cs="Times New Roman"/>
          <w:i/>
          <w:iCs/>
          <w:szCs w:val="24"/>
        </w:rPr>
        <w:t>Yersinia</w:t>
      </w:r>
      <w:r w:rsidRPr="00D5328D">
        <w:rPr>
          <w:rFonts w:cs="Times New Roman"/>
          <w:szCs w:val="24"/>
        </w:rPr>
        <w:t xml:space="preserve"> spp. in uncooked retail chicken meat in Kerala by multiplex PCR. </w:t>
      </w:r>
      <w:r w:rsidRPr="00D5328D">
        <w:rPr>
          <w:rFonts w:cs="Times New Roman"/>
          <w:i/>
          <w:iCs/>
          <w:szCs w:val="24"/>
        </w:rPr>
        <w:t>International Journal of Current Microbiology and Applied Sciences</w:t>
      </w:r>
      <w:r w:rsidRPr="00D5328D">
        <w:rPr>
          <w:rFonts w:cs="Times New Roman"/>
          <w:szCs w:val="24"/>
        </w:rPr>
        <w:t>, 3, 1028–1034.</w:t>
      </w:r>
    </w:p>
    <w:p w14:paraId="7D2E8BAD" w14:textId="49277159"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Arsić, M., Vićić, I., Petrović, M., Dmitrić, M., &amp; Karabasil, N. (2023). </w:t>
      </w:r>
      <w:r w:rsidRPr="00D5328D">
        <w:rPr>
          <w:rFonts w:cs="Times New Roman"/>
          <w:i/>
          <w:iCs/>
          <w:szCs w:val="24"/>
        </w:rPr>
        <w:t>Yersinia enterocolitica</w:t>
      </w:r>
      <w:r w:rsidRPr="00D5328D">
        <w:rPr>
          <w:rFonts w:cs="Times New Roman"/>
          <w:szCs w:val="24"/>
        </w:rPr>
        <w:t xml:space="preserve"> and control measures for reducing risks in the pork production chain.</w:t>
      </w:r>
      <w:r>
        <w:rPr>
          <w:rFonts w:cs="Times New Roman"/>
          <w:szCs w:val="24"/>
        </w:rPr>
        <w:t xml:space="preserve"> </w:t>
      </w:r>
      <w:r w:rsidRPr="00D5328D">
        <w:rPr>
          <w:rFonts w:cs="Times New Roman"/>
          <w:i/>
          <w:iCs/>
          <w:szCs w:val="24"/>
        </w:rPr>
        <w:t>Meat Technology</w:t>
      </w:r>
      <w:r w:rsidRPr="00D5328D">
        <w:rPr>
          <w:rFonts w:cs="Times New Roman"/>
          <w:szCs w:val="24"/>
        </w:rPr>
        <w:t>, 64(2), 237–241.</w:t>
      </w:r>
    </w:p>
    <w:p w14:paraId="7DB168C0"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lastRenderedPageBreak/>
        <w:t xml:space="preserve">Aziz, M., &amp; Rausch-Phung, E. A. (2026). </w:t>
      </w:r>
      <w:r w:rsidRPr="00D5328D">
        <w:rPr>
          <w:rFonts w:cs="Times New Roman"/>
          <w:i/>
          <w:iCs/>
          <w:szCs w:val="24"/>
        </w:rPr>
        <w:t>Yersinia enterocolitica infection</w:t>
      </w:r>
      <w:r w:rsidRPr="00D5328D">
        <w:rPr>
          <w:rFonts w:cs="Times New Roman"/>
          <w:szCs w:val="24"/>
        </w:rPr>
        <w:t xml:space="preserve">. In </w:t>
      </w:r>
      <w:r w:rsidRPr="00D5328D">
        <w:rPr>
          <w:rFonts w:cs="Times New Roman"/>
          <w:i/>
          <w:iCs/>
          <w:szCs w:val="24"/>
        </w:rPr>
        <w:t>StatPearls</w:t>
      </w:r>
      <w:r w:rsidRPr="00D5328D">
        <w:rPr>
          <w:rFonts w:cs="Times New Roman"/>
          <w:szCs w:val="24"/>
        </w:rPr>
        <w:t xml:space="preserve"> [Internet]. Treasure Island (FL): StatPearls Publishing.</w:t>
      </w:r>
    </w:p>
    <w:p w14:paraId="1A0C862A"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Ban-Cucerzan, A., Imre, K., Morar, A., Marcu, A., Hotea, I., Popa, S.-A., Pătrînjan, R.-T., Bucur, I.-M., Gașpar, C., Plotuna, A.-M., et al. (2025). Persistent threats: A comprehensive review of biofilm formation, control, and economic implications in food processing environments. </w:t>
      </w:r>
      <w:r w:rsidRPr="00D5328D">
        <w:rPr>
          <w:rFonts w:cs="Times New Roman"/>
          <w:i/>
          <w:iCs/>
          <w:szCs w:val="24"/>
        </w:rPr>
        <w:t>Microorganisms</w:t>
      </w:r>
      <w:r w:rsidRPr="00D5328D">
        <w:rPr>
          <w:rFonts w:cs="Times New Roman"/>
          <w:szCs w:val="24"/>
        </w:rPr>
        <w:t>, 13(8), 1805.</w:t>
      </w:r>
    </w:p>
    <w:p w14:paraId="6D83A8D6"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Bari, M. L., Hossain, M. A., Isshiki, K., &amp; Ukuku, D. (2011). Behavior of </w:t>
      </w:r>
      <w:r w:rsidRPr="00D5328D">
        <w:rPr>
          <w:rFonts w:cs="Times New Roman"/>
          <w:i/>
          <w:iCs/>
          <w:szCs w:val="24"/>
        </w:rPr>
        <w:t>Yersinia enterocolitica</w:t>
      </w:r>
      <w:r w:rsidRPr="00D5328D">
        <w:rPr>
          <w:rFonts w:cs="Times New Roman"/>
          <w:szCs w:val="24"/>
        </w:rPr>
        <w:t xml:space="preserve"> in foods. </w:t>
      </w:r>
      <w:r w:rsidRPr="00D5328D">
        <w:rPr>
          <w:rFonts w:cs="Times New Roman"/>
          <w:i/>
          <w:iCs/>
          <w:szCs w:val="24"/>
        </w:rPr>
        <w:t>Journal of Pathogens</w:t>
      </w:r>
      <w:r w:rsidRPr="00D5328D">
        <w:rPr>
          <w:rFonts w:cs="Times New Roman"/>
          <w:szCs w:val="24"/>
        </w:rPr>
        <w:t>, 2011, 420732.</w:t>
      </w:r>
    </w:p>
    <w:p w14:paraId="6EF100B1"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Bauer, A. W., Kirby, W. M., Sherris, J. C., &amp; Turck, M. (1966). Antibiotic susceptibility testing by a standardized single disk method. </w:t>
      </w:r>
      <w:r w:rsidRPr="00D5328D">
        <w:rPr>
          <w:rFonts w:cs="Times New Roman"/>
          <w:i/>
          <w:iCs/>
          <w:szCs w:val="24"/>
        </w:rPr>
        <w:t>American Journal of Clinical Pathology</w:t>
      </w:r>
      <w:r w:rsidRPr="00D5328D">
        <w:rPr>
          <w:rFonts w:cs="Times New Roman"/>
          <w:szCs w:val="24"/>
        </w:rPr>
        <w:t>, 45(4), 493–496.</w:t>
      </w:r>
    </w:p>
    <w:p w14:paraId="2EB47652"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Bergey’s Manual of Systemic Bacteriology. (1984). Vol. I (N. R. Krieg, Ed.) and Vol. II (P. H. A. Sneath, Ed.). Baltimore: Williams &amp; Wilkins.</w:t>
      </w:r>
    </w:p>
    <w:p w14:paraId="5C2BF08B"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Bhaduri, S., Conway, L., &amp; Lachica, R. (1987). Assay of crystal violet binding for rapid identification of virulent plasmid-bearing clones of </w:t>
      </w:r>
      <w:r w:rsidRPr="00D5328D">
        <w:rPr>
          <w:rFonts w:cs="Times New Roman"/>
          <w:i/>
          <w:iCs/>
          <w:szCs w:val="24"/>
        </w:rPr>
        <w:t>Yersinia enterocolitica</w:t>
      </w:r>
      <w:r w:rsidRPr="00D5328D">
        <w:rPr>
          <w:rFonts w:cs="Times New Roman"/>
          <w:szCs w:val="24"/>
        </w:rPr>
        <w:t xml:space="preserve">. </w:t>
      </w:r>
      <w:r w:rsidRPr="00D5328D">
        <w:rPr>
          <w:rFonts w:cs="Times New Roman"/>
          <w:i/>
          <w:iCs/>
          <w:szCs w:val="24"/>
        </w:rPr>
        <w:t>Journal of Clinical Microbiology</w:t>
      </w:r>
      <w:r w:rsidRPr="00D5328D">
        <w:rPr>
          <w:rFonts w:cs="Times New Roman"/>
          <w:szCs w:val="24"/>
        </w:rPr>
        <w:t>, 25, 1039–1042.</w:t>
      </w:r>
    </w:p>
    <w:p w14:paraId="1CB7ECA6"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Buder, C., Meemken, D., Fürstenberg, R., Langforth, S., Kirse, A., &amp; Langkabel, N. (2023). Drinking pipes and nipple drinkers in pig abattoir lairage pens—a source of zoonotic pathogens as a hazard to meat safety. </w:t>
      </w:r>
      <w:r w:rsidRPr="00D5328D">
        <w:rPr>
          <w:rFonts w:cs="Times New Roman"/>
          <w:i/>
          <w:iCs/>
          <w:szCs w:val="24"/>
        </w:rPr>
        <w:t>Microorganisms</w:t>
      </w:r>
      <w:r w:rsidRPr="00D5328D">
        <w:rPr>
          <w:rFonts w:cs="Times New Roman"/>
          <w:szCs w:val="24"/>
        </w:rPr>
        <w:t>, 11(10), 2554.</w:t>
      </w:r>
    </w:p>
    <w:p w14:paraId="56FE6236"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Clinical and Laboratory Standards Institute. (2025). </w:t>
      </w:r>
      <w:r w:rsidRPr="00D5328D">
        <w:rPr>
          <w:rFonts w:cs="Times New Roman"/>
          <w:i/>
          <w:iCs/>
          <w:szCs w:val="24"/>
        </w:rPr>
        <w:t>Performance standards for antimicrobial susceptibility testing</w:t>
      </w:r>
      <w:r w:rsidRPr="00D5328D">
        <w:rPr>
          <w:rFonts w:cs="Times New Roman"/>
          <w:szCs w:val="24"/>
        </w:rPr>
        <w:t xml:space="preserve"> (35th ed.; CLSI supplement M100). Clinical and Laboratory Standards Institute.</w:t>
      </w:r>
    </w:p>
    <w:p w14:paraId="780A9D83"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Dhanalakshmi, G., Prabha, R., &amp; Jagadheesh Kumar, D. (2015). Prevalence, antibiotic resistance and biofilm producing meat isolates in and around Namakkal, Tamil Nadu, India. </w:t>
      </w:r>
      <w:r w:rsidRPr="00D5328D">
        <w:rPr>
          <w:rFonts w:cs="Times New Roman"/>
          <w:i/>
          <w:iCs/>
          <w:szCs w:val="24"/>
        </w:rPr>
        <w:t>International Journal of Advanced Interdisciplinary Research</w:t>
      </w:r>
      <w:r w:rsidRPr="00D5328D">
        <w:rPr>
          <w:rFonts w:cs="Times New Roman"/>
          <w:szCs w:val="24"/>
        </w:rPr>
        <w:t>, 2, 6–10.</w:t>
      </w:r>
    </w:p>
    <w:p w14:paraId="4A499A02"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Drewnowski, A. (2024). Perspective: The place of pork meat in sustainable healthy diets. </w:t>
      </w:r>
      <w:r w:rsidRPr="00D5328D">
        <w:rPr>
          <w:rFonts w:cs="Times New Roman"/>
          <w:i/>
          <w:iCs/>
          <w:szCs w:val="24"/>
        </w:rPr>
        <w:t>Advances in Nutrition</w:t>
      </w:r>
      <w:r w:rsidRPr="00D5328D">
        <w:rPr>
          <w:rFonts w:cs="Times New Roman"/>
          <w:szCs w:val="24"/>
        </w:rPr>
        <w:t>, 15(5), 100213.</w:t>
      </w:r>
    </w:p>
    <w:p w14:paraId="04A61C77"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Farmer, J. J., Carter, G. P., Miller, V. L., Falkow, S., &amp; Wachsmuth, I. K. (1992). Pyrazinamidase, CR-MOX agar, salicin fermentation-esculin hydrolysis and D-xylose </w:t>
      </w:r>
      <w:r w:rsidRPr="00D5328D">
        <w:rPr>
          <w:rFonts w:cs="Times New Roman"/>
          <w:szCs w:val="24"/>
        </w:rPr>
        <w:lastRenderedPageBreak/>
        <w:t xml:space="preserve">fermentation for identifying pathogenic serotypes of </w:t>
      </w:r>
      <w:r w:rsidRPr="00D5328D">
        <w:rPr>
          <w:rFonts w:cs="Times New Roman"/>
          <w:i/>
          <w:iCs/>
          <w:szCs w:val="24"/>
        </w:rPr>
        <w:t>Yersinia enterocolitica</w:t>
      </w:r>
      <w:r w:rsidRPr="00D5328D">
        <w:rPr>
          <w:rFonts w:cs="Times New Roman"/>
          <w:szCs w:val="24"/>
        </w:rPr>
        <w:t xml:space="preserve">. </w:t>
      </w:r>
      <w:r w:rsidRPr="00D5328D">
        <w:rPr>
          <w:rFonts w:cs="Times New Roman"/>
          <w:i/>
          <w:iCs/>
          <w:szCs w:val="24"/>
        </w:rPr>
        <w:t>Journal of Clinical Microbiology</w:t>
      </w:r>
      <w:r w:rsidRPr="00D5328D">
        <w:rPr>
          <w:rFonts w:cs="Times New Roman"/>
          <w:szCs w:val="24"/>
        </w:rPr>
        <w:t>, 30, 2589–2594.</w:t>
      </w:r>
    </w:p>
    <w:p w14:paraId="739EBD9F"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Fredriksson-Ahomaa, M., &amp; Korkeala, H. (2003). Low occurrence of pathogenic </w:t>
      </w:r>
      <w:r w:rsidRPr="00D5328D">
        <w:rPr>
          <w:rFonts w:cs="Times New Roman"/>
          <w:i/>
          <w:iCs/>
          <w:szCs w:val="24"/>
        </w:rPr>
        <w:t>Yersinia enterocolitica</w:t>
      </w:r>
      <w:r w:rsidRPr="00D5328D">
        <w:rPr>
          <w:rFonts w:cs="Times New Roman"/>
          <w:szCs w:val="24"/>
        </w:rPr>
        <w:t xml:space="preserve"> in clinical, food, and environmental samples: A methodological problem. </w:t>
      </w:r>
      <w:r w:rsidRPr="00D5328D">
        <w:rPr>
          <w:rFonts w:cs="Times New Roman"/>
          <w:i/>
          <w:iCs/>
          <w:szCs w:val="24"/>
        </w:rPr>
        <w:t>Clinical Microbiology Reviews</w:t>
      </w:r>
      <w:r w:rsidRPr="00D5328D">
        <w:rPr>
          <w:rFonts w:cs="Times New Roman"/>
          <w:szCs w:val="24"/>
        </w:rPr>
        <w:t>, 16(2), 220–229.</w:t>
      </w:r>
    </w:p>
    <w:p w14:paraId="2BDD660A"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Freeman, D. J., Falkiner, F. R., &amp; Keane, C. T. (1989). New method for detecting slime production by coagulase-negative staphylococci. </w:t>
      </w:r>
      <w:r w:rsidRPr="00D5328D">
        <w:rPr>
          <w:rFonts w:cs="Times New Roman"/>
          <w:i/>
          <w:iCs/>
          <w:szCs w:val="24"/>
        </w:rPr>
        <w:t>Journal of Clinical Pathology</w:t>
      </w:r>
      <w:r w:rsidRPr="00D5328D">
        <w:rPr>
          <w:rFonts w:cs="Times New Roman"/>
          <w:szCs w:val="24"/>
        </w:rPr>
        <w:t>, 42, 872–874.</w:t>
      </w:r>
    </w:p>
    <w:p w14:paraId="67A0490D"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Gupta, V. K., Phand, S., Kar, P., Attupuram, N. M., Islam, R., &amp; Das, S. (2024). </w:t>
      </w:r>
      <w:r w:rsidRPr="00D5328D">
        <w:rPr>
          <w:rFonts w:cs="Times New Roman"/>
          <w:i/>
          <w:iCs/>
          <w:szCs w:val="24"/>
        </w:rPr>
        <w:t>Better livelihoods through scientific pig husbandry</w:t>
      </w:r>
      <w:r w:rsidRPr="00D5328D">
        <w:rPr>
          <w:rFonts w:cs="Times New Roman"/>
          <w:szCs w:val="24"/>
        </w:rPr>
        <w:t>. Hyderabad: ICAR-NRC on Pig, Guwahati &amp; National Institute of Agricultural Extension Management, Hyderabad, India.</w:t>
      </w:r>
    </w:p>
    <w:p w14:paraId="0B1F5324" w14:textId="253D0A62"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Hadziabdic, S., Haase, D., Barac, A., Hertwig, S., &amp; Buschulte, A. (2023). Detection of pathogenic </w:t>
      </w:r>
      <w:r w:rsidRPr="00D5328D">
        <w:rPr>
          <w:rFonts w:cs="Times New Roman"/>
          <w:i/>
          <w:iCs/>
          <w:szCs w:val="24"/>
        </w:rPr>
        <w:t>Yersinia enterocolitica</w:t>
      </w:r>
      <w:r w:rsidRPr="00D5328D">
        <w:rPr>
          <w:rFonts w:cs="Times New Roman"/>
          <w:szCs w:val="24"/>
        </w:rPr>
        <w:t xml:space="preserve"> strains in pre-packed fresh pork minced meat—preliminary data. </w:t>
      </w:r>
      <w:r w:rsidRPr="00D5328D">
        <w:rPr>
          <w:rFonts w:cs="Times New Roman"/>
          <w:i/>
          <w:iCs/>
          <w:szCs w:val="24"/>
        </w:rPr>
        <w:t>Meat Technology</w:t>
      </w:r>
      <w:r w:rsidRPr="00D5328D">
        <w:rPr>
          <w:rFonts w:cs="Times New Roman"/>
          <w:szCs w:val="24"/>
        </w:rPr>
        <w:t>, 64(2), 89–92.</w:t>
      </w:r>
    </w:p>
    <w:p w14:paraId="4BC53045"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Karlsson, P. A., Tano, E., Jernberg, C., Hickman, R. A., Guy, L., Järhult, J. D., &amp; Wang, H. (2021). Molecular characterization of multidrug-resistant </w:t>
      </w:r>
      <w:r w:rsidRPr="00D5328D">
        <w:rPr>
          <w:rFonts w:cs="Times New Roman"/>
          <w:i/>
          <w:iCs/>
          <w:szCs w:val="24"/>
        </w:rPr>
        <w:t>Yersinia enterocolitica</w:t>
      </w:r>
      <w:r w:rsidRPr="00D5328D">
        <w:rPr>
          <w:rFonts w:cs="Times New Roman"/>
          <w:szCs w:val="24"/>
        </w:rPr>
        <w:t xml:space="preserve"> from foodborne outbreaks in Sweden. </w:t>
      </w:r>
      <w:r w:rsidRPr="00D5328D">
        <w:rPr>
          <w:rFonts w:cs="Times New Roman"/>
          <w:i/>
          <w:iCs/>
          <w:szCs w:val="24"/>
        </w:rPr>
        <w:t>Frontiers in Microbiology</w:t>
      </w:r>
      <w:r w:rsidRPr="00D5328D">
        <w:rPr>
          <w:rFonts w:cs="Times New Roman"/>
          <w:szCs w:val="24"/>
        </w:rPr>
        <w:t>, 12, 664665.</w:t>
      </w:r>
    </w:p>
    <w:p w14:paraId="66D996A3"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Lal, M., Kaur, H., &amp; Gupta, L. K. (2003). </w:t>
      </w:r>
      <w:r w:rsidRPr="00D5328D">
        <w:rPr>
          <w:rFonts w:cs="Times New Roman"/>
          <w:i/>
          <w:iCs/>
          <w:szCs w:val="24"/>
        </w:rPr>
        <w:t>Yersinia enterocolitica</w:t>
      </w:r>
      <w:r w:rsidRPr="00D5328D">
        <w:rPr>
          <w:rFonts w:cs="Times New Roman"/>
          <w:szCs w:val="24"/>
        </w:rPr>
        <w:t xml:space="preserve"> gastroenteritis—a prospective study. </w:t>
      </w:r>
      <w:r w:rsidRPr="00D5328D">
        <w:rPr>
          <w:rFonts w:cs="Times New Roman"/>
          <w:i/>
          <w:iCs/>
          <w:szCs w:val="24"/>
        </w:rPr>
        <w:t>Indian Journal of Medical Microbiology</w:t>
      </w:r>
      <w:r w:rsidRPr="00D5328D">
        <w:rPr>
          <w:rFonts w:cs="Times New Roman"/>
          <w:szCs w:val="24"/>
        </w:rPr>
        <w:t>, 21, 186–188.</w:t>
      </w:r>
    </w:p>
    <w:p w14:paraId="4474E7AC"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Lee, S. H., Jung, B. Y., Rayamahji, N., Lee, H. S., Jeon, W. J., Choi, K. S., Kweon, C. H., &amp; Yoo, H. S. (2009). A multiplex real-time PCR for differential detection and quantification of </w:t>
      </w:r>
      <w:r w:rsidRPr="00D5328D">
        <w:rPr>
          <w:rFonts w:cs="Times New Roman"/>
          <w:i/>
          <w:iCs/>
          <w:szCs w:val="24"/>
        </w:rPr>
        <w:t>Salmonella</w:t>
      </w:r>
      <w:r w:rsidRPr="00D5328D">
        <w:rPr>
          <w:rFonts w:cs="Times New Roman"/>
          <w:szCs w:val="24"/>
        </w:rPr>
        <w:t xml:space="preserve"> spp., </w:t>
      </w:r>
      <w:r w:rsidRPr="00D5328D">
        <w:rPr>
          <w:rFonts w:cs="Times New Roman"/>
          <w:i/>
          <w:iCs/>
          <w:szCs w:val="24"/>
        </w:rPr>
        <w:t>Salmonella enterica</w:t>
      </w:r>
      <w:r w:rsidRPr="00D5328D">
        <w:rPr>
          <w:rFonts w:cs="Times New Roman"/>
          <w:szCs w:val="24"/>
        </w:rPr>
        <w:t xml:space="preserve"> serovar Typhimurium and Enteritidis in meats. </w:t>
      </w:r>
      <w:r w:rsidRPr="00D5328D">
        <w:rPr>
          <w:rFonts w:cs="Times New Roman"/>
          <w:i/>
          <w:iCs/>
          <w:szCs w:val="24"/>
        </w:rPr>
        <w:t>Journal of Veterinary Science</w:t>
      </w:r>
      <w:r w:rsidRPr="00D5328D">
        <w:rPr>
          <w:rFonts w:cs="Times New Roman"/>
          <w:szCs w:val="24"/>
        </w:rPr>
        <w:t>, 10, 43–51.</w:t>
      </w:r>
    </w:p>
    <w:p w14:paraId="53E88002" w14:textId="77777777" w:rsidR="00D5328D" w:rsidRPr="00471E54" w:rsidRDefault="00D5328D" w:rsidP="00D5328D">
      <w:pPr>
        <w:spacing w:line="360" w:lineRule="auto"/>
        <w:ind w:left="720" w:hanging="720"/>
        <w:jc w:val="both"/>
        <w:rPr>
          <w:rFonts w:cs="Times New Roman"/>
          <w:szCs w:val="24"/>
          <w:lang w:val="it-IT"/>
        </w:rPr>
      </w:pPr>
      <w:r w:rsidRPr="00D5328D">
        <w:rPr>
          <w:rFonts w:cs="Times New Roman"/>
          <w:szCs w:val="24"/>
        </w:rPr>
        <w:t xml:space="preserve">Lou, X., Mao, J., Wu, Y., Xia, Y., Zhang, W., Gao, J., Wang, Y., Yan, J., Xiao, X., Li, J., &amp; Fang, Z. (2026). From foodborne to environmental </w:t>
      </w:r>
      <w:r w:rsidRPr="00D5328D">
        <w:rPr>
          <w:rFonts w:cs="Times New Roman"/>
          <w:i/>
          <w:iCs/>
          <w:szCs w:val="24"/>
        </w:rPr>
        <w:t>Yersinia enterocolitica</w:t>
      </w:r>
      <w:r w:rsidRPr="00D5328D">
        <w:rPr>
          <w:rFonts w:cs="Times New Roman"/>
          <w:szCs w:val="24"/>
        </w:rPr>
        <w:t xml:space="preserve">: Comparative insights into antimicrobial resistance and virulence for food safety. </w:t>
      </w:r>
      <w:r w:rsidRPr="00471E54">
        <w:rPr>
          <w:rFonts w:cs="Times New Roman"/>
          <w:i/>
          <w:iCs/>
          <w:szCs w:val="24"/>
          <w:lang w:val="it-IT"/>
        </w:rPr>
        <w:t>Food Research International</w:t>
      </w:r>
      <w:r w:rsidRPr="00471E54">
        <w:rPr>
          <w:rFonts w:cs="Times New Roman"/>
          <w:szCs w:val="24"/>
          <w:lang w:val="it-IT"/>
        </w:rPr>
        <w:t>, 119442.</w:t>
      </w:r>
    </w:p>
    <w:p w14:paraId="1983B45B"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lang w:val="it-IT"/>
        </w:rPr>
        <w:t xml:space="preserve">Modesto, P., De Ciucis, C. G., Vencia, W., Pugliano, M. C., Mignone, W., Berio, E., Masotti, C., Ercolini, C., Serracca, L., Andreoli, T., et al. </w:t>
      </w:r>
      <w:r w:rsidRPr="00D5328D">
        <w:rPr>
          <w:rFonts w:cs="Times New Roman"/>
          <w:szCs w:val="24"/>
        </w:rPr>
        <w:t xml:space="preserve">(2021). Evidence of antimicrobial </w:t>
      </w:r>
      <w:r w:rsidRPr="00D5328D">
        <w:rPr>
          <w:rFonts w:cs="Times New Roman"/>
          <w:szCs w:val="24"/>
        </w:rPr>
        <w:lastRenderedPageBreak/>
        <w:t xml:space="preserve">resistance and presence of pathogenicity genes in </w:t>
      </w:r>
      <w:r w:rsidRPr="00D5328D">
        <w:rPr>
          <w:rFonts w:cs="Times New Roman"/>
          <w:i/>
          <w:iCs/>
          <w:szCs w:val="24"/>
        </w:rPr>
        <w:t>Yersinia enterocolitica</w:t>
      </w:r>
      <w:r w:rsidRPr="00D5328D">
        <w:rPr>
          <w:rFonts w:cs="Times New Roman"/>
          <w:szCs w:val="24"/>
        </w:rPr>
        <w:t xml:space="preserve"> isolates from wild boars. </w:t>
      </w:r>
      <w:r w:rsidRPr="00D5328D">
        <w:rPr>
          <w:rFonts w:cs="Times New Roman"/>
          <w:i/>
          <w:iCs/>
          <w:szCs w:val="24"/>
        </w:rPr>
        <w:t>Pathogens</w:t>
      </w:r>
      <w:r w:rsidRPr="00D5328D">
        <w:rPr>
          <w:rFonts w:cs="Times New Roman"/>
          <w:szCs w:val="24"/>
        </w:rPr>
        <w:t>, 10(4), 398.</w:t>
      </w:r>
    </w:p>
    <w:p w14:paraId="6CAAC28D" w14:textId="77777777" w:rsidR="00D5328D" w:rsidRPr="00471E54" w:rsidRDefault="00D5328D" w:rsidP="00D5328D">
      <w:pPr>
        <w:spacing w:line="360" w:lineRule="auto"/>
        <w:ind w:left="720" w:hanging="720"/>
        <w:jc w:val="both"/>
        <w:rPr>
          <w:rFonts w:cs="Times New Roman"/>
          <w:szCs w:val="24"/>
          <w:lang w:val="it-IT"/>
        </w:rPr>
      </w:pPr>
      <w:r w:rsidRPr="00D5328D">
        <w:rPr>
          <w:rFonts w:cs="Times New Roman"/>
          <w:szCs w:val="24"/>
        </w:rPr>
        <w:t xml:space="preserve">Platt-Samoraj, A. (2022). Toxigenic properties of </w:t>
      </w:r>
      <w:r w:rsidRPr="00D5328D">
        <w:rPr>
          <w:rFonts w:cs="Times New Roman"/>
          <w:i/>
          <w:iCs/>
          <w:szCs w:val="24"/>
        </w:rPr>
        <w:t>Yersinia enterocolitica</w:t>
      </w:r>
      <w:r w:rsidRPr="00D5328D">
        <w:rPr>
          <w:rFonts w:cs="Times New Roman"/>
          <w:szCs w:val="24"/>
        </w:rPr>
        <w:t xml:space="preserve"> biotype 1A. </w:t>
      </w:r>
      <w:r w:rsidRPr="00471E54">
        <w:rPr>
          <w:rFonts w:cs="Times New Roman"/>
          <w:i/>
          <w:iCs/>
          <w:szCs w:val="24"/>
          <w:lang w:val="it-IT"/>
        </w:rPr>
        <w:t>Toxins</w:t>
      </w:r>
      <w:r w:rsidRPr="00471E54">
        <w:rPr>
          <w:rFonts w:cs="Times New Roman"/>
          <w:szCs w:val="24"/>
          <w:lang w:val="it-IT"/>
        </w:rPr>
        <w:t>, 14(2), 118.</w:t>
      </w:r>
    </w:p>
    <w:p w14:paraId="6DF67D9A"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lang w:val="it-IT"/>
        </w:rPr>
        <w:t xml:space="preserve">Saraiva, S., García-Díez, J., de Sousa, T., Calouro, R., Fernandes, D., Mourão, A. V., Saraiva, C., Mesquita, J. R., Coelho, A. C., &amp; Poeta, P. (2025). </w:t>
      </w:r>
      <w:r w:rsidRPr="00D5328D">
        <w:rPr>
          <w:rFonts w:cs="Times New Roman"/>
          <w:szCs w:val="24"/>
        </w:rPr>
        <w:t xml:space="preserve">Zoonotic </w:t>
      </w:r>
      <w:r w:rsidRPr="00D5328D">
        <w:rPr>
          <w:rFonts w:cs="Times New Roman"/>
          <w:i/>
          <w:iCs/>
          <w:szCs w:val="24"/>
        </w:rPr>
        <w:t>Yersinia enterocolitica</w:t>
      </w:r>
      <w:r w:rsidRPr="00D5328D">
        <w:rPr>
          <w:rFonts w:cs="Times New Roman"/>
          <w:szCs w:val="24"/>
        </w:rPr>
        <w:t xml:space="preserve"> in swine: One Health implications for food safety and public health. </w:t>
      </w:r>
      <w:r w:rsidRPr="00D5328D">
        <w:rPr>
          <w:rFonts w:cs="Times New Roman"/>
          <w:i/>
          <w:iCs/>
          <w:szCs w:val="24"/>
        </w:rPr>
        <w:t>Veterinary Sciences</w:t>
      </w:r>
      <w:r w:rsidRPr="00D5328D">
        <w:rPr>
          <w:rFonts w:cs="Times New Roman"/>
          <w:szCs w:val="24"/>
        </w:rPr>
        <w:t>, 12(9), 795.</w:t>
      </w:r>
    </w:p>
    <w:p w14:paraId="243D69D1"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Seakamela, E. M., Diseko, L., Malatji, D., Makhado, L., Motau, M., Jambwa, K., Magwedere, K., Ntushelo, N., &amp; Matle, I. (2022). Characterisation and antibiotic resistance of </w:t>
      </w:r>
      <w:r w:rsidRPr="00D5328D">
        <w:rPr>
          <w:rFonts w:cs="Times New Roman"/>
          <w:i/>
          <w:iCs/>
          <w:szCs w:val="24"/>
        </w:rPr>
        <w:t>Yersinia enterocolitica</w:t>
      </w:r>
      <w:r w:rsidRPr="00D5328D">
        <w:rPr>
          <w:rFonts w:cs="Times New Roman"/>
          <w:szCs w:val="24"/>
        </w:rPr>
        <w:t xml:space="preserve"> from various meat categories, South Africa. </w:t>
      </w:r>
      <w:r w:rsidRPr="00D5328D">
        <w:rPr>
          <w:rFonts w:cs="Times New Roman"/>
          <w:i/>
          <w:iCs/>
          <w:szCs w:val="24"/>
        </w:rPr>
        <w:t>Onderstepoort Journal of Veterinary Research</w:t>
      </w:r>
      <w:r w:rsidRPr="00D5328D">
        <w:rPr>
          <w:rFonts w:cs="Times New Roman"/>
          <w:szCs w:val="24"/>
        </w:rPr>
        <w:t>, 89(1), 2006.</w:t>
      </w:r>
    </w:p>
    <w:p w14:paraId="63114DEA"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Venkata Lakshmi, M., Annie Supriya, R., Ramya, P., Sreedevi, B. A., Siva Swetha, C., Sohail Ahmed, Vinayaka Siddartha, P., &amp; Praharshini, N. (2025). Molecular characterization of </w:t>
      </w:r>
      <w:r w:rsidRPr="00D5328D">
        <w:rPr>
          <w:rFonts w:cs="Times New Roman"/>
          <w:i/>
          <w:iCs/>
          <w:szCs w:val="24"/>
        </w:rPr>
        <w:t>Yersinia enterocolitica</w:t>
      </w:r>
      <w:r w:rsidRPr="00D5328D">
        <w:rPr>
          <w:rFonts w:cs="Times New Roman"/>
          <w:szCs w:val="24"/>
        </w:rPr>
        <w:t xml:space="preserve"> isolated from different parts of pig carcasses. </w:t>
      </w:r>
      <w:r w:rsidRPr="00D5328D">
        <w:rPr>
          <w:rFonts w:cs="Times New Roman"/>
          <w:i/>
          <w:iCs/>
          <w:szCs w:val="24"/>
        </w:rPr>
        <w:t>International Journal of Advanced Biochemistry Research</w:t>
      </w:r>
      <w:r w:rsidRPr="00D5328D">
        <w:rPr>
          <w:rFonts w:cs="Times New Roman"/>
          <w:szCs w:val="24"/>
        </w:rPr>
        <w:t>, 9(11), 129–137.</w:t>
      </w:r>
    </w:p>
    <w:p w14:paraId="29E705CB" w14:textId="228244F3"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World Health Organization. (2026). </w:t>
      </w:r>
      <w:r w:rsidRPr="00D5328D">
        <w:rPr>
          <w:rFonts w:cs="Times New Roman"/>
          <w:i/>
          <w:iCs/>
          <w:szCs w:val="24"/>
        </w:rPr>
        <w:t>Unsafe food causes 866 million illnesses and 1.5 million deaths annually—young children at highest risk</w:t>
      </w:r>
      <w:r w:rsidRPr="00D5328D">
        <w:rPr>
          <w:rFonts w:cs="Times New Roman"/>
          <w:szCs w:val="24"/>
        </w:rPr>
        <w:t>.</w:t>
      </w:r>
      <w:r>
        <w:rPr>
          <w:rFonts w:cs="Times New Roman"/>
          <w:szCs w:val="24"/>
        </w:rPr>
        <w:t xml:space="preserve"> </w:t>
      </w:r>
      <w:hyperlink r:id="rId14" w:history="1">
        <w:r w:rsidRPr="00A041CD">
          <w:rPr>
            <w:rStyle w:val="Hyperlink"/>
            <w:rFonts w:cs="Times New Roman"/>
            <w:szCs w:val="24"/>
          </w:rPr>
          <w:t>https://www.who.int/news/item/04-06-2026-unsafe-food-causes-866-million-illnesses-and-1.5-million-deaths-annually--young-children-at-highest-risk</w:t>
        </w:r>
      </w:hyperlink>
      <w:r>
        <w:rPr>
          <w:rFonts w:cs="Times New Roman"/>
          <w:szCs w:val="24"/>
        </w:rPr>
        <w:t xml:space="preserve"> </w:t>
      </w:r>
    </w:p>
    <w:p w14:paraId="1ED5F2EC" w14:textId="77777777" w:rsidR="00D5328D" w:rsidRPr="00D5328D" w:rsidRDefault="00D5328D" w:rsidP="00D5328D">
      <w:pPr>
        <w:spacing w:line="360" w:lineRule="auto"/>
        <w:ind w:left="720" w:hanging="720"/>
        <w:jc w:val="both"/>
        <w:rPr>
          <w:rFonts w:cs="Times New Roman"/>
          <w:szCs w:val="24"/>
        </w:rPr>
      </w:pPr>
      <w:r w:rsidRPr="00D5328D">
        <w:rPr>
          <w:rFonts w:cs="Times New Roman"/>
          <w:szCs w:val="24"/>
        </w:rPr>
        <w:t xml:space="preserve">Yue, Y., Zheng, J., Sheng, M., et al. (2023). Public health implications of </w:t>
      </w:r>
      <w:r w:rsidRPr="00D5328D">
        <w:rPr>
          <w:rFonts w:cs="Times New Roman"/>
          <w:i/>
          <w:iCs/>
          <w:szCs w:val="24"/>
        </w:rPr>
        <w:t>Yersinia enterocolitica</w:t>
      </w:r>
      <w:r w:rsidRPr="00D5328D">
        <w:rPr>
          <w:rFonts w:cs="Times New Roman"/>
          <w:szCs w:val="24"/>
        </w:rPr>
        <w:t xml:space="preserve"> investigation: An ecological modeling and molecular epidemiology study. </w:t>
      </w:r>
      <w:r w:rsidRPr="00D5328D">
        <w:rPr>
          <w:rFonts w:cs="Times New Roman"/>
          <w:i/>
          <w:iCs/>
          <w:szCs w:val="24"/>
        </w:rPr>
        <w:t>Infectious Diseases of Poverty</w:t>
      </w:r>
      <w:r w:rsidRPr="00D5328D">
        <w:rPr>
          <w:rFonts w:cs="Times New Roman"/>
          <w:szCs w:val="24"/>
        </w:rPr>
        <w:t>, 12, 41.</w:t>
      </w:r>
    </w:p>
    <w:p w14:paraId="4CE8AA81" w14:textId="77777777" w:rsidR="00CA6469" w:rsidRPr="00994AA1" w:rsidRDefault="00CA6469" w:rsidP="00D5328D">
      <w:pPr>
        <w:spacing w:line="360" w:lineRule="auto"/>
        <w:jc w:val="both"/>
        <w:rPr>
          <w:rFonts w:cs="Times New Roman"/>
          <w:szCs w:val="24"/>
        </w:rPr>
      </w:pPr>
    </w:p>
    <w:p w14:paraId="6F8B208B" w14:textId="2FDD72FD" w:rsidR="00B86AFF" w:rsidRPr="004679B0" w:rsidRDefault="00B86AFF" w:rsidP="00262C9A">
      <w:pPr>
        <w:spacing w:line="360" w:lineRule="auto"/>
        <w:ind w:firstLine="720"/>
        <w:jc w:val="both"/>
        <w:rPr>
          <w:rFonts w:cs="Times New Roman"/>
          <w:szCs w:val="24"/>
        </w:rPr>
      </w:pPr>
    </w:p>
    <w:p w14:paraId="4FFB0411" w14:textId="77777777" w:rsidR="00B86AFF" w:rsidRPr="00B86AFF" w:rsidRDefault="00B86AFF" w:rsidP="00B86AFF">
      <w:pPr>
        <w:spacing w:line="360" w:lineRule="auto"/>
        <w:jc w:val="both"/>
        <w:rPr>
          <w:rFonts w:cs="Times New Roman"/>
          <w:b/>
          <w:bCs/>
          <w:szCs w:val="24"/>
        </w:rPr>
      </w:pPr>
    </w:p>
    <w:sectPr w:rsidR="00B86AFF" w:rsidRPr="00B86AF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54490" w14:textId="77777777" w:rsidR="00E657C4" w:rsidRDefault="00E657C4" w:rsidP="004251A3">
      <w:pPr>
        <w:spacing w:after="0" w:line="240" w:lineRule="auto"/>
      </w:pPr>
      <w:r>
        <w:separator/>
      </w:r>
    </w:p>
  </w:endnote>
  <w:endnote w:type="continuationSeparator" w:id="0">
    <w:p w14:paraId="0589AFED" w14:textId="77777777" w:rsidR="00E657C4" w:rsidRDefault="00E657C4" w:rsidP="00425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DE8CA" w14:textId="77777777" w:rsidR="004251A3" w:rsidRDefault="00425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8E8D" w14:textId="77777777" w:rsidR="004251A3" w:rsidRDefault="004251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36FB" w14:textId="77777777" w:rsidR="004251A3" w:rsidRDefault="00425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593A2" w14:textId="77777777" w:rsidR="00E657C4" w:rsidRDefault="00E657C4" w:rsidP="004251A3">
      <w:pPr>
        <w:spacing w:after="0" w:line="240" w:lineRule="auto"/>
      </w:pPr>
      <w:r>
        <w:separator/>
      </w:r>
    </w:p>
  </w:footnote>
  <w:footnote w:type="continuationSeparator" w:id="0">
    <w:p w14:paraId="2AF6D1E7" w14:textId="77777777" w:rsidR="00E657C4" w:rsidRDefault="00E657C4" w:rsidP="00425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636E" w14:textId="1A2F1960" w:rsidR="004251A3" w:rsidRDefault="004251A3">
    <w:pPr>
      <w:pStyle w:val="Header"/>
    </w:pPr>
    <w:r>
      <w:rPr>
        <w:noProof/>
      </w:rPr>
      <w:pict w14:anchorId="0F3909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505657"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DF368" w14:textId="72B566BB" w:rsidR="004251A3" w:rsidRDefault="004251A3">
    <w:pPr>
      <w:pStyle w:val="Header"/>
    </w:pPr>
    <w:r>
      <w:rPr>
        <w:noProof/>
      </w:rPr>
      <w:pict w14:anchorId="19371F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505658"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0AD2" w14:textId="2B740287" w:rsidR="004251A3" w:rsidRDefault="004251A3">
    <w:pPr>
      <w:pStyle w:val="Header"/>
    </w:pPr>
    <w:r>
      <w:rPr>
        <w:noProof/>
      </w:rPr>
      <w:pict w14:anchorId="6998F1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505656"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357D7"/>
    <w:multiLevelType w:val="multilevel"/>
    <w:tmpl w:val="4CC45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E60225"/>
    <w:multiLevelType w:val="hybridMultilevel"/>
    <w:tmpl w:val="2F1C9A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15281173">
    <w:abstractNumId w:val="1"/>
  </w:num>
  <w:num w:numId="2" w16cid:durableId="1684745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1D"/>
    <w:rsid w:val="000007D8"/>
    <w:rsid w:val="00003D5B"/>
    <w:rsid w:val="00004EA9"/>
    <w:rsid w:val="00014076"/>
    <w:rsid w:val="00031969"/>
    <w:rsid w:val="00057DA5"/>
    <w:rsid w:val="00071BF9"/>
    <w:rsid w:val="00084B40"/>
    <w:rsid w:val="000A5A3E"/>
    <w:rsid w:val="000C5E9E"/>
    <w:rsid w:val="000F0D8D"/>
    <w:rsid w:val="00105C76"/>
    <w:rsid w:val="00112047"/>
    <w:rsid w:val="00117203"/>
    <w:rsid w:val="0012035D"/>
    <w:rsid w:val="00150C27"/>
    <w:rsid w:val="001523F4"/>
    <w:rsid w:val="00155362"/>
    <w:rsid w:val="001602BF"/>
    <w:rsid w:val="00166DB8"/>
    <w:rsid w:val="0018107A"/>
    <w:rsid w:val="0018685A"/>
    <w:rsid w:val="001A28A5"/>
    <w:rsid w:val="001A4A6E"/>
    <w:rsid w:val="001B75D7"/>
    <w:rsid w:val="001B7CA0"/>
    <w:rsid w:val="001D3EA5"/>
    <w:rsid w:val="001D5A5E"/>
    <w:rsid w:val="001E3007"/>
    <w:rsid w:val="001F194A"/>
    <w:rsid w:val="00203292"/>
    <w:rsid w:val="002106B0"/>
    <w:rsid w:val="0021446B"/>
    <w:rsid w:val="00216B00"/>
    <w:rsid w:val="002206D3"/>
    <w:rsid w:val="00224912"/>
    <w:rsid w:val="002303BE"/>
    <w:rsid w:val="0025348C"/>
    <w:rsid w:val="00262C9A"/>
    <w:rsid w:val="002658A0"/>
    <w:rsid w:val="00266E2F"/>
    <w:rsid w:val="002802C7"/>
    <w:rsid w:val="002875B2"/>
    <w:rsid w:val="0029589E"/>
    <w:rsid w:val="00296A03"/>
    <w:rsid w:val="002B0E30"/>
    <w:rsid w:val="002B23AE"/>
    <w:rsid w:val="002C441D"/>
    <w:rsid w:val="002D3AA2"/>
    <w:rsid w:val="002D4980"/>
    <w:rsid w:val="00301988"/>
    <w:rsid w:val="0033460A"/>
    <w:rsid w:val="0034301F"/>
    <w:rsid w:val="00346AFE"/>
    <w:rsid w:val="00366970"/>
    <w:rsid w:val="003743C5"/>
    <w:rsid w:val="00376E13"/>
    <w:rsid w:val="0039491A"/>
    <w:rsid w:val="00395A7C"/>
    <w:rsid w:val="003C2CC1"/>
    <w:rsid w:val="003D70A8"/>
    <w:rsid w:val="004047A8"/>
    <w:rsid w:val="0040769A"/>
    <w:rsid w:val="00424C7A"/>
    <w:rsid w:val="004251A3"/>
    <w:rsid w:val="004253D6"/>
    <w:rsid w:val="00425E91"/>
    <w:rsid w:val="004304E2"/>
    <w:rsid w:val="004310D3"/>
    <w:rsid w:val="00434627"/>
    <w:rsid w:val="0046492D"/>
    <w:rsid w:val="004679B0"/>
    <w:rsid w:val="00470089"/>
    <w:rsid w:val="00471659"/>
    <w:rsid w:val="00471E54"/>
    <w:rsid w:val="004742A1"/>
    <w:rsid w:val="004742F5"/>
    <w:rsid w:val="004745E5"/>
    <w:rsid w:val="00480BC5"/>
    <w:rsid w:val="00482C41"/>
    <w:rsid w:val="004845DC"/>
    <w:rsid w:val="004927F9"/>
    <w:rsid w:val="004979F8"/>
    <w:rsid w:val="004B3B5A"/>
    <w:rsid w:val="004D389E"/>
    <w:rsid w:val="004D3FF6"/>
    <w:rsid w:val="004D4CD4"/>
    <w:rsid w:val="004D7E3A"/>
    <w:rsid w:val="005007FF"/>
    <w:rsid w:val="00500C40"/>
    <w:rsid w:val="0051181C"/>
    <w:rsid w:val="00514039"/>
    <w:rsid w:val="005212A2"/>
    <w:rsid w:val="0055024E"/>
    <w:rsid w:val="005649FF"/>
    <w:rsid w:val="005672FB"/>
    <w:rsid w:val="00576581"/>
    <w:rsid w:val="00581FF5"/>
    <w:rsid w:val="005A14CE"/>
    <w:rsid w:val="005A79C5"/>
    <w:rsid w:val="005B34DF"/>
    <w:rsid w:val="005D04D4"/>
    <w:rsid w:val="005E0DE9"/>
    <w:rsid w:val="005E15A3"/>
    <w:rsid w:val="005E563B"/>
    <w:rsid w:val="00611446"/>
    <w:rsid w:val="00631EDD"/>
    <w:rsid w:val="00634FD9"/>
    <w:rsid w:val="00635944"/>
    <w:rsid w:val="006444EC"/>
    <w:rsid w:val="006507F4"/>
    <w:rsid w:val="00665A9D"/>
    <w:rsid w:val="00671FE3"/>
    <w:rsid w:val="00680C6F"/>
    <w:rsid w:val="00681C53"/>
    <w:rsid w:val="00685AC8"/>
    <w:rsid w:val="006900F3"/>
    <w:rsid w:val="006911E2"/>
    <w:rsid w:val="0069533C"/>
    <w:rsid w:val="006C3D4C"/>
    <w:rsid w:val="006D0B32"/>
    <w:rsid w:val="006F0D1C"/>
    <w:rsid w:val="006F7CF5"/>
    <w:rsid w:val="006F7DE1"/>
    <w:rsid w:val="00700F6C"/>
    <w:rsid w:val="007179A6"/>
    <w:rsid w:val="00725F35"/>
    <w:rsid w:val="00727F8E"/>
    <w:rsid w:val="00742ADF"/>
    <w:rsid w:val="00744B6B"/>
    <w:rsid w:val="00756B80"/>
    <w:rsid w:val="00760D5C"/>
    <w:rsid w:val="00762947"/>
    <w:rsid w:val="007629DF"/>
    <w:rsid w:val="00772073"/>
    <w:rsid w:val="00774DCC"/>
    <w:rsid w:val="00782929"/>
    <w:rsid w:val="007A22B6"/>
    <w:rsid w:val="007B035B"/>
    <w:rsid w:val="007C4B57"/>
    <w:rsid w:val="007C6E7B"/>
    <w:rsid w:val="007F3AB4"/>
    <w:rsid w:val="007F7B97"/>
    <w:rsid w:val="00804AF0"/>
    <w:rsid w:val="00817089"/>
    <w:rsid w:val="00822D4F"/>
    <w:rsid w:val="00824B2E"/>
    <w:rsid w:val="00833A0F"/>
    <w:rsid w:val="008506F1"/>
    <w:rsid w:val="008620C2"/>
    <w:rsid w:val="008646F5"/>
    <w:rsid w:val="0086535E"/>
    <w:rsid w:val="008669BB"/>
    <w:rsid w:val="0086731F"/>
    <w:rsid w:val="0088413B"/>
    <w:rsid w:val="00895E8D"/>
    <w:rsid w:val="008A2E6A"/>
    <w:rsid w:val="008C255D"/>
    <w:rsid w:val="008D67C9"/>
    <w:rsid w:val="008E77DD"/>
    <w:rsid w:val="00904351"/>
    <w:rsid w:val="0090608E"/>
    <w:rsid w:val="00916EDD"/>
    <w:rsid w:val="00920991"/>
    <w:rsid w:val="00924A00"/>
    <w:rsid w:val="00930020"/>
    <w:rsid w:val="00931764"/>
    <w:rsid w:val="00937CDC"/>
    <w:rsid w:val="00964AE5"/>
    <w:rsid w:val="00966EC9"/>
    <w:rsid w:val="00973FD8"/>
    <w:rsid w:val="00980273"/>
    <w:rsid w:val="00984AA9"/>
    <w:rsid w:val="0098511B"/>
    <w:rsid w:val="00994AA1"/>
    <w:rsid w:val="00996A70"/>
    <w:rsid w:val="00997BF9"/>
    <w:rsid w:val="009A0401"/>
    <w:rsid w:val="009A0C63"/>
    <w:rsid w:val="009A1071"/>
    <w:rsid w:val="009A29DB"/>
    <w:rsid w:val="009A58A6"/>
    <w:rsid w:val="009B6DFC"/>
    <w:rsid w:val="009C47A3"/>
    <w:rsid w:val="009C6506"/>
    <w:rsid w:val="009D5BE4"/>
    <w:rsid w:val="009E3C3D"/>
    <w:rsid w:val="009E5DE8"/>
    <w:rsid w:val="009E640E"/>
    <w:rsid w:val="009F7F94"/>
    <w:rsid w:val="00A10F9A"/>
    <w:rsid w:val="00A16169"/>
    <w:rsid w:val="00A33B10"/>
    <w:rsid w:val="00A34A4C"/>
    <w:rsid w:val="00A45D96"/>
    <w:rsid w:val="00A46394"/>
    <w:rsid w:val="00A545AF"/>
    <w:rsid w:val="00A5653C"/>
    <w:rsid w:val="00A679B1"/>
    <w:rsid w:val="00A82241"/>
    <w:rsid w:val="00A90458"/>
    <w:rsid w:val="00AC2E86"/>
    <w:rsid w:val="00AC6FF2"/>
    <w:rsid w:val="00AE5919"/>
    <w:rsid w:val="00AF11F2"/>
    <w:rsid w:val="00AF235B"/>
    <w:rsid w:val="00B03942"/>
    <w:rsid w:val="00B05A2E"/>
    <w:rsid w:val="00B06804"/>
    <w:rsid w:val="00B10E4A"/>
    <w:rsid w:val="00B26CA4"/>
    <w:rsid w:val="00B5192E"/>
    <w:rsid w:val="00B618C1"/>
    <w:rsid w:val="00B67ADD"/>
    <w:rsid w:val="00B73A90"/>
    <w:rsid w:val="00B808FE"/>
    <w:rsid w:val="00B82CAA"/>
    <w:rsid w:val="00B86AFF"/>
    <w:rsid w:val="00B9068C"/>
    <w:rsid w:val="00BA40A8"/>
    <w:rsid w:val="00BA659D"/>
    <w:rsid w:val="00BB2B6C"/>
    <w:rsid w:val="00BD46E6"/>
    <w:rsid w:val="00BE6DF3"/>
    <w:rsid w:val="00BF52DA"/>
    <w:rsid w:val="00BF75F8"/>
    <w:rsid w:val="00C010FF"/>
    <w:rsid w:val="00C21954"/>
    <w:rsid w:val="00C22867"/>
    <w:rsid w:val="00C371C7"/>
    <w:rsid w:val="00C41D2B"/>
    <w:rsid w:val="00C50A5D"/>
    <w:rsid w:val="00C5163F"/>
    <w:rsid w:val="00C52D65"/>
    <w:rsid w:val="00C537EB"/>
    <w:rsid w:val="00C56BAA"/>
    <w:rsid w:val="00C6678E"/>
    <w:rsid w:val="00C851DD"/>
    <w:rsid w:val="00CA2C82"/>
    <w:rsid w:val="00CA5BB3"/>
    <w:rsid w:val="00CA6469"/>
    <w:rsid w:val="00CD248E"/>
    <w:rsid w:val="00CD2D44"/>
    <w:rsid w:val="00CD72B5"/>
    <w:rsid w:val="00CE7769"/>
    <w:rsid w:val="00D01148"/>
    <w:rsid w:val="00D1345E"/>
    <w:rsid w:val="00D16916"/>
    <w:rsid w:val="00D427DA"/>
    <w:rsid w:val="00D5328D"/>
    <w:rsid w:val="00D605BB"/>
    <w:rsid w:val="00D63AC2"/>
    <w:rsid w:val="00DB1699"/>
    <w:rsid w:val="00DC037E"/>
    <w:rsid w:val="00DC2E50"/>
    <w:rsid w:val="00DC30E2"/>
    <w:rsid w:val="00DD3B67"/>
    <w:rsid w:val="00DE65A8"/>
    <w:rsid w:val="00DF5BC9"/>
    <w:rsid w:val="00E0059F"/>
    <w:rsid w:val="00E0146E"/>
    <w:rsid w:val="00E06222"/>
    <w:rsid w:val="00E34F56"/>
    <w:rsid w:val="00E465B0"/>
    <w:rsid w:val="00E5100E"/>
    <w:rsid w:val="00E57798"/>
    <w:rsid w:val="00E57E44"/>
    <w:rsid w:val="00E657C4"/>
    <w:rsid w:val="00E80648"/>
    <w:rsid w:val="00E87B1E"/>
    <w:rsid w:val="00EB5BEF"/>
    <w:rsid w:val="00EC0D32"/>
    <w:rsid w:val="00EC124F"/>
    <w:rsid w:val="00EC7486"/>
    <w:rsid w:val="00ED79EA"/>
    <w:rsid w:val="00EE3B0E"/>
    <w:rsid w:val="00EE7DA1"/>
    <w:rsid w:val="00EF799F"/>
    <w:rsid w:val="00F07528"/>
    <w:rsid w:val="00F115F8"/>
    <w:rsid w:val="00F21B5D"/>
    <w:rsid w:val="00F43536"/>
    <w:rsid w:val="00F50EDE"/>
    <w:rsid w:val="00F670A5"/>
    <w:rsid w:val="00F67F15"/>
    <w:rsid w:val="00F8510A"/>
    <w:rsid w:val="00F879CA"/>
    <w:rsid w:val="00FA436E"/>
    <w:rsid w:val="00FB0088"/>
    <w:rsid w:val="00FB7BDC"/>
    <w:rsid w:val="00FC3BD2"/>
    <w:rsid w:val="00FD5373"/>
    <w:rsid w:val="00FD746C"/>
    <w:rsid w:val="00FE6F9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883D8"/>
  <w15:chartTrackingRefBased/>
  <w15:docId w15:val="{EC47DEF9-E249-477B-8513-0011A0D9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4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44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441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441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C441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C441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441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441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441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4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44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441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441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C441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C44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C44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C44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C44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C4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4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4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C441D"/>
    <w:pPr>
      <w:spacing w:before="160"/>
      <w:jc w:val="center"/>
    </w:pPr>
    <w:rPr>
      <w:i/>
      <w:iCs/>
      <w:color w:val="404040" w:themeColor="text1" w:themeTint="BF"/>
    </w:rPr>
  </w:style>
  <w:style w:type="character" w:customStyle="1" w:styleId="QuoteChar">
    <w:name w:val="Quote Char"/>
    <w:basedOn w:val="DefaultParagraphFont"/>
    <w:link w:val="Quote"/>
    <w:uiPriority w:val="29"/>
    <w:rsid w:val="002C441D"/>
    <w:rPr>
      <w:i/>
      <w:iCs/>
      <w:color w:val="404040" w:themeColor="text1" w:themeTint="BF"/>
    </w:rPr>
  </w:style>
  <w:style w:type="paragraph" w:styleId="ListParagraph">
    <w:name w:val="List Paragraph"/>
    <w:basedOn w:val="Normal"/>
    <w:uiPriority w:val="34"/>
    <w:qFormat/>
    <w:rsid w:val="002C441D"/>
    <w:pPr>
      <w:ind w:left="720"/>
      <w:contextualSpacing/>
    </w:pPr>
  </w:style>
  <w:style w:type="character" w:styleId="IntenseEmphasis">
    <w:name w:val="Intense Emphasis"/>
    <w:basedOn w:val="DefaultParagraphFont"/>
    <w:uiPriority w:val="21"/>
    <w:qFormat/>
    <w:rsid w:val="002C441D"/>
    <w:rPr>
      <w:i/>
      <w:iCs/>
      <w:color w:val="2F5496" w:themeColor="accent1" w:themeShade="BF"/>
    </w:rPr>
  </w:style>
  <w:style w:type="paragraph" w:styleId="IntenseQuote">
    <w:name w:val="Intense Quote"/>
    <w:basedOn w:val="Normal"/>
    <w:next w:val="Normal"/>
    <w:link w:val="IntenseQuoteChar"/>
    <w:uiPriority w:val="30"/>
    <w:qFormat/>
    <w:rsid w:val="002C44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441D"/>
    <w:rPr>
      <w:i/>
      <w:iCs/>
      <w:color w:val="2F5496" w:themeColor="accent1" w:themeShade="BF"/>
    </w:rPr>
  </w:style>
  <w:style w:type="character" w:styleId="IntenseReference">
    <w:name w:val="Intense Reference"/>
    <w:basedOn w:val="DefaultParagraphFont"/>
    <w:uiPriority w:val="32"/>
    <w:qFormat/>
    <w:rsid w:val="002C441D"/>
    <w:rPr>
      <w:b/>
      <w:bCs/>
      <w:smallCaps/>
      <w:color w:val="2F5496" w:themeColor="accent1" w:themeShade="BF"/>
      <w:spacing w:val="5"/>
    </w:rPr>
  </w:style>
  <w:style w:type="table" w:styleId="TableGrid">
    <w:name w:val="Table Grid"/>
    <w:basedOn w:val="TableNormal"/>
    <w:uiPriority w:val="39"/>
    <w:rsid w:val="00B90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107A"/>
    <w:rPr>
      <w:color w:val="0563C1" w:themeColor="hyperlink"/>
      <w:u w:val="single"/>
    </w:rPr>
  </w:style>
  <w:style w:type="character" w:styleId="Emphasis">
    <w:name w:val="Emphasis"/>
    <w:basedOn w:val="DefaultParagraphFont"/>
    <w:uiPriority w:val="20"/>
    <w:qFormat/>
    <w:rsid w:val="0018107A"/>
    <w:rPr>
      <w:i/>
      <w:iCs/>
    </w:rPr>
  </w:style>
  <w:style w:type="character" w:styleId="UnresolvedMention">
    <w:name w:val="Unresolved Mention"/>
    <w:basedOn w:val="DefaultParagraphFont"/>
    <w:uiPriority w:val="99"/>
    <w:semiHidden/>
    <w:unhideWhenUsed/>
    <w:rsid w:val="00D5328D"/>
    <w:rPr>
      <w:color w:val="605E5C"/>
      <w:shd w:val="clear" w:color="auto" w:fill="E1DFDD"/>
    </w:rPr>
  </w:style>
  <w:style w:type="paragraph" w:styleId="Header">
    <w:name w:val="header"/>
    <w:basedOn w:val="Normal"/>
    <w:link w:val="HeaderChar"/>
    <w:uiPriority w:val="99"/>
    <w:unhideWhenUsed/>
    <w:rsid w:val="00425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1A3"/>
  </w:style>
  <w:style w:type="paragraph" w:styleId="Footer">
    <w:name w:val="footer"/>
    <w:basedOn w:val="Normal"/>
    <w:link w:val="FooterChar"/>
    <w:uiPriority w:val="99"/>
    <w:unhideWhenUsed/>
    <w:rsid w:val="00425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who.int/news/item/04-06-2026-unsafe-food-causes-866-million-illnesses-and-1.5-million-deaths-annually--young-children-at-highest-ris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B4610-E6F0-4875-A61B-F3879ED55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3771</Words>
  <Characters>21495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Sivachandiran R</dc:creator>
  <cp:keywords/>
  <dc:description/>
  <cp:lastModifiedBy>SDI 1084</cp:lastModifiedBy>
  <cp:revision>7</cp:revision>
  <cp:lastPrinted>2026-09-02T06:17:00Z</cp:lastPrinted>
  <dcterms:created xsi:type="dcterms:W3CDTF">2026-09-02T07:28:00Z</dcterms:created>
  <dcterms:modified xsi:type="dcterms:W3CDTF">2026-09-03T06:56:00Z</dcterms:modified>
</cp:coreProperties>
</file>