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318D6" w14:textId="77777777" w:rsidR="00EC1D16" w:rsidRDefault="00EC1D16" w:rsidP="00EC1D16">
      <w:pPr>
        <w:pStyle w:val="Author"/>
        <w:jc w:val="both"/>
        <w:rPr>
          <w:rFonts w:ascii="Arial" w:hAnsi="Arial" w:cs="Arial"/>
          <w:bCs/>
          <w:i/>
          <w:iCs/>
          <w:sz w:val="28"/>
          <w:szCs w:val="28"/>
          <w:u w:val="single"/>
        </w:rPr>
      </w:pPr>
      <w:r w:rsidRPr="00EC1D16">
        <w:rPr>
          <w:rFonts w:ascii="Arial" w:hAnsi="Arial" w:cs="Arial"/>
          <w:bCs/>
          <w:i/>
          <w:iCs/>
          <w:sz w:val="28"/>
          <w:szCs w:val="28"/>
          <w:u w:val="single"/>
        </w:rPr>
        <w:t>Original Research Article</w:t>
      </w:r>
    </w:p>
    <w:p w14:paraId="3C525223" w14:textId="77777777" w:rsidR="00EC1D16" w:rsidRPr="00EC1D16" w:rsidRDefault="00EC1D16" w:rsidP="00EC1D16">
      <w:pPr>
        <w:pStyle w:val="Author"/>
        <w:jc w:val="both"/>
        <w:rPr>
          <w:rFonts w:ascii="Arial" w:hAnsi="Arial" w:cs="Arial"/>
          <w:bCs/>
          <w:i/>
          <w:iCs/>
          <w:sz w:val="28"/>
          <w:szCs w:val="28"/>
          <w:u w:val="single"/>
        </w:rPr>
      </w:pPr>
    </w:p>
    <w:p w14:paraId="7CE6AE09" w14:textId="77777777" w:rsidR="00A258C3" w:rsidRPr="00567297" w:rsidRDefault="00567297" w:rsidP="00441B6F">
      <w:pPr>
        <w:pStyle w:val="Author"/>
        <w:spacing w:line="240" w:lineRule="auto"/>
        <w:jc w:val="both"/>
        <w:rPr>
          <w:rFonts w:ascii="Arial" w:hAnsi="Arial" w:cs="Arial"/>
          <w:sz w:val="28"/>
          <w:szCs w:val="28"/>
        </w:rPr>
      </w:pPr>
      <w:r w:rsidRPr="00567297">
        <w:rPr>
          <w:rFonts w:ascii="Arial" w:hAnsi="Arial" w:cs="Arial"/>
          <w:sz w:val="28"/>
          <w:szCs w:val="28"/>
        </w:rPr>
        <w:t xml:space="preserve">Occurrence and Distribution of Enterobacteriaceae and Molecularly Characterized Yersinia Species Isolated from Pig </w:t>
      </w:r>
      <w:proofErr w:type="spellStart"/>
      <w:r w:rsidRPr="00567297">
        <w:rPr>
          <w:rFonts w:ascii="Arial" w:hAnsi="Arial" w:cs="Arial"/>
          <w:sz w:val="28"/>
          <w:szCs w:val="28"/>
        </w:rPr>
        <w:t>Faeces</w:t>
      </w:r>
      <w:proofErr w:type="spellEnd"/>
      <w:r w:rsidRPr="00567297">
        <w:rPr>
          <w:rFonts w:ascii="Arial" w:hAnsi="Arial" w:cs="Arial"/>
          <w:sz w:val="28"/>
          <w:szCs w:val="28"/>
        </w:rPr>
        <w:t xml:space="preserve"> and Cow Intestines</w:t>
      </w:r>
    </w:p>
    <w:p w14:paraId="38AF8CC6" w14:textId="77777777" w:rsidR="00567297" w:rsidRDefault="00567297" w:rsidP="00441B6F">
      <w:pPr>
        <w:pStyle w:val="Author"/>
        <w:spacing w:line="240" w:lineRule="auto"/>
        <w:rPr>
          <w:rFonts w:ascii="Arial" w:hAnsi="Arial" w:cs="Arial"/>
          <w:sz w:val="20"/>
        </w:rPr>
      </w:pPr>
    </w:p>
    <w:p w14:paraId="37FDB841" w14:textId="77777777" w:rsidR="002C57D2" w:rsidRPr="00FB3A86" w:rsidRDefault="002C57D2" w:rsidP="00441B6F">
      <w:pPr>
        <w:pStyle w:val="Affiliation"/>
        <w:spacing w:after="0" w:line="240" w:lineRule="auto"/>
        <w:jc w:val="both"/>
        <w:rPr>
          <w:rFonts w:ascii="Arial" w:hAnsi="Arial" w:cs="Arial"/>
        </w:rPr>
      </w:pPr>
    </w:p>
    <w:p w14:paraId="1B9273BA" w14:textId="77777777" w:rsidR="00B01FCD" w:rsidRPr="00FB3A86" w:rsidRDefault="003961E6" w:rsidP="00441B6F">
      <w:pPr>
        <w:pStyle w:val="Copyright"/>
        <w:spacing w:after="0" w:line="240" w:lineRule="auto"/>
        <w:jc w:val="both"/>
        <w:rPr>
          <w:rFonts w:ascii="Arial" w:hAnsi="Arial" w:cs="Arial"/>
        </w:rPr>
        <w:sectPr w:rsidR="00B01FCD" w:rsidRPr="00FB3A86" w:rsidSect="00B221A6">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5B9F536E" wp14:editId="0A508DE3">
                <wp:extent cx="5303520" cy="0"/>
                <wp:effectExtent l="9525" t="9525" r="11430" b="952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70748009" id="_x0000_t32" coordsize="21600,21600" o:spt="32" o:oned="t" path="m,l21600,21600e" filled="f">
                <v:path arrowok="t" fillok="f" o:connecttype="none"/>
                <o:lock v:ext="edit" shapetype="t"/>
              </v:shapetype>
              <v:shape id="AutoShape 2" o:spid="_x0000_s1026" type="#_x0000_t32" style="width:417.6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" strokeweight="1.5pt">
                <w10:anchorlock/>
              </v:shape>
            </w:pict>
          </mc:Fallback>
        </mc:AlternateContent>
      </w:r>
      <w:r w:rsidR="00FB3A86">
        <w:rPr>
          <w:rFonts w:ascii="Arial" w:hAnsi="Arial" w:cs="Arial"/>
        </w:rPr>
        <w:t>.</w:t>
      </w:r>
    </w:p>
    <w:p w14:paraId="5C6E5F71" w14:textId="77777777"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115046B9"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47B8276A" w14:textId="77777777" w:rsidTr="001E44FE">
        <w:tc>
          <w:tcPr>
            <w:tcW w:w="9576" w:type="dxa"/>
            <w:shd w:val="clear" w:color="auto" w:fill="F2F2F2"/>
          </w:tcPr>
          <w:p w14:paraId="4FB5E46C" w14:textId="77777777" w:rsidR="00DD4F83" w:rsidRPr="000D0254" w:rsidRDefault="00DD4F83" w:rsidP="00DD4F83">
            <w:pPr>
              <w:pStyle w:val="isselectedend"/>
              <w:jc w:val="both"/>
              <w:rPr>
                <w:rFonts w:ascii="Arial" w:hAnsi="Arial" w:cs="Arial"/>
                <w:sz w:val="20"/>
                <w:szCs w:val="20"/>
              </w:rPr>
            </w:pPr>
            <w:r w:rsidRPr="00DD4F83">
              <w:rPr>
                <w:rStyle w:val="Strong"/>
                <w:rFonts w:ascii="Arial" w:hAnsi="Arial" w:cs="Arial"/>
                <w:sz w:val="22"/>
                <w:szCs w:val="22"/>
              </w:rPr>
              <w:t>AIM:</w:t>
            </w:r>
            <w:r w:rsidRPr="00DD4F83">
              <w:rPr>
                <w:rFonts w:ascii="Arial" w:hAnsi="Arial" w:cs="Arial"/>
                <w:b/>
                <w:sz w:val="22"/>
                <w:szCs w:val="22"/>
              </w:rPr>
              <w:t xml:space="preserve"> </w:t>
            </w:r>
            <w:r w:rsidRPr="000D0254">
              <w:rPr>
                <w:rFonts w:ascii="Arial" w:hAnsi="Arial" w:cs="Arial"/>
                <w:sz w:val="20"/>
                <w:szCs w:val="20"/>
              </w:rPr>
              <w:t xml:space="preserve">To determine the occurrence and distribution of </w:t>
            </w:r>
            <w:r w:rsidRPr="000D0254">
              <w:rPr>
                <w:rStyle w:val="Emphasis"/>
                <w:rFonts w:ascii="Arial" w:hAnsi="Arial" w:cs="Arial"/>
                <w:sz w:val="20"/>
                <w:szCs w:val="20"/>
              </w:rPr>
              <w:t>Enterobacteriaceae</w:t>
            </w:r>
            <w:r w:rsidRPr="000D0254">
              <w:rPr>
                <w:rFonts w:ascii="Arial" w:hAnsi="Arial" w:cs="Arial"/>
                <w:sz w:val="20"/>
                <w:szCs w:val="20"/>
              </w:rPr>
              <w:t xml:space="preserve"> and </w:t>
            </w:r>
            <w:proofErr w:type="spellStart"/>
            <w:r w:rsidRPr="000D0254">
              <w:rPr>
                <w:rStyle w:val="Emphasis"/>
                <w:rFonts w:ascii="Arial" w:hAnsi="Arial" w:cs="Arial"/>
                <w:sz w:val="20"/>
                <w:szCs w:val="20"/>
              </w:rPr>
              <w:t>Yersiniaceae</w:t>
            </w:r>
            <w:proofErr w:type="spellEnd"/>
            <w:r w:rsidRPr="000D0254">
              <w:rPr>
                <w:rFonts w:ascii="Arial" w:hAnsi="Arial" w:cs="Arial"/>
                <w:sz w:val="20"/>
                <w:szCs w:val="20"/>
              </w:rPr>
              <w:t xml:space="preserve"> in pig </w:t>
            </w:r>
            <w:proofErr w:type="spellStart"/>
            <w:r w:rsidRPr="000D0254">
              <w:rPr>
                <w:rFonts w:ascii="Arial" w:hAnsi="Arial" w:cs="Arial"/>
                <w:sz w:val="20"/>
                <w:szCs w:val="20"/>
              </w:rPr>
              <w:t>faeces</w:t>
            </w:r>
            <w:proofErr w:type="spellEnd"/>
            <w:r w:rsidRPr="000D0254">
              <w:rPr>
                <w:rFonts w:ascii="Arial" w:hAnsi="Arial" w:cs="Arial"/>
                <w:sz w:val="20"/>
                <w:szCs w:val="20"/>
              </w:rPr>
              <w:t xml:space="preserve"> and cow intestines and molecularly characterize selected </w:t>
            </w:r>
            <w:r w:rsidRPr="000D0254">
              <w:rPr>
                <w:rStyle w:val="Emphasis"/>
                <w:rFonts w:ascii="Arial" w:hAnsi="Arial" w:cs="Arial"/>
                <w:sz w:val="20"/>
                <w:szCs w:val="20"/>
              </w:rPr>
              <w:t>Yersinia</w:t>
            </w:r>
            <w:r w:rsidRPr="000D0254">
              <w:rPr>
                <w:rFonts w:ascii="Arial" w:hAnsi="Arial" w:cs="Arial"/>
                <w:sz w:val="20"/>
                <w:szCs w:val="20"/>
              </w:rPr>
              <w:t xml:space="preserve"> isolates using 16S rRNA gene sequencing.</w:t>
            </w:r>
          </w:p>
          <w:p w14:paraId="1008EC70" w14:textId="77777777" w:rsidR="00DD4F83" w:rsidRPr="000D0254" w:rsidRDefault="00DD4F83" w:rsidP="00DD4F83">
            <w:pPr>
              <w:pStyle w:val="isselectedend"/>
              <w:jc w:val="both"/>
              <w:rPr>
                <w:rFonts w:ascii="Arial" w:hAnsi="Arial" w:cs="Arial"/>
                <w:sz w:val="20"/>
                <w:szCs w:val="20"/>
              </w:rPr>
            </w:pPr>
            <w:r w:rsidRPr="00DD4F83">
              <w:rPr>
                <w:rStyle w:val="Strong"/>
                <w:rFonts w:ascii="Arial" w:hAnsi="Arial" w:cs="Arial"/>
                <w:sz w:val="22"/>
                <w:szCs w:val="22"/>
              </w:rPr>
              <w:t>STUDY DESIGN:</w:t>
            </w:r>
            <w:r w:rsidRPr="00DD4F83">
              <w:rPr>
                <w:rFonts w:ascii="Arial" w:hAnsi="Arial" w:cs="Arial"/>
                <w:b/>
                <w:sz w:val="22"/>
                <w:szCs w:val="22"/>
              </w:rPr>
              <w:t xml:space="preserve"> </w:t>
            </w:r>
            <w:r w:rsidRPr="000D0254">
              <w:rPr>
                <w:rFonts w:ascii="Arial" w:hAnsi="Arial" w:cs="Arial"/>
                <w:sz w:val="20"/>
                <w:szCs w:val="20"/>
              </w:rPr>
              <w:t>Cross-sectional laboratory study of bacterial isolation, phenotypic identification, and molecular characterization from livestock.</w:t>
            </w:r>
          </w:p>
          <w:p w14:paraId="41633910" w14:textId="77777777" w:rsidR="00DD4F83" w:rsidRPr="00224EB6" w:rsidRDefault="00DD4F83" w:rsidP="00DD4F83">
            <w:pPr>
              <w:pStyle w:val="isselectedend"/>
              <w:jc w:val="both"/>
              <w:rPr>
                <w:rFonts w:ascii="Arial" w:hAnsi="Arial" w:cs="Arial"/>
                <w:sz w:val="20"/>
                <w:szCs w:val="20"/>
              </w:rPr>
            </w:pPr>
            <w:r w:rsidRPr="00DD4F83">
              <w:rPr>
                <w:rStyle w:val="Strong"/>
                <w:rFonts w:ascii="Arial" w:hAnsi="Arial" w:cs="Arial"/>
                <w:sz w:val="22"/>
                <w:szCs w:val="22"/>
              </w:rPr>
              <w:t>METHODOLOGY:</w:t>
            </w:r>
            <w:r w:rsidRPr="00DD4F83">
              <w:rPr>
                <w:rFonts w:ascii="Arial" w:hAnsi="Arial" w:cs="Arial"/>
                <w:b/>
                <w:sz w:val="22"/>
                <w:szCs w:val="22"/>
              </w:rPr>
              <w:t xml:space="preserve"> </w:t>
            </w:r>
            <w:r w:rsidRPr="00224EB6">
              <w:rPr>
                <w:rFonts w:ascii="Arial" w:hAnsi="Arial" w:cs="Arial"/>
                <w:sz w:val="20"/>
                <w:szCs w:val="20"/>
              </w:rPr>
              <w:t xml:space="preserve">A total of 157 samples comprising </w:t>
            </w:r>
            <w:proofErr w:type="spellStart"/>
            <w:r w:rsidRPr="00224EB6">
              <w:rPr>
                <w:rFonts w:ascii="Arial" w:hAnsi="Arial" w:cs="Arial"/>
                <w:sz w:val="20"/>
                <w:szCs w:val="20"/>
              </w:rPr>
              <w:t>faeces</w:t>
            </w:r>
            <w:proofErr w:type="spellEnd"/>
            <w:r w:rsidRPr="00224EB6">
              <w:rPr>
                <w:rFonts w:ascii="Arial" w:hAnsi="Arial" w:cs="Arial"/>
                <w:sz w:val="20"/>
                <w:szCs w:val="20"/>
              </w:rPr>
              <w:t xml:space="preserve"> from adult pigs, growers and finishers, weaners and piglets, and cow intestines were collected and processed using standard microbiological procedures. Bacterial isolates were identified by conventional cultural and biochemical methods. Eleven representative </w:t>
            </w:r>
            <w:r w:rsidRPr="00224EB6">
              <w:rPr>
                <w:rStyle w:val="Emphasis"/>
                <w:rFonts w:ascii="Arial" w:hAnsi="Arial" w:cs="Arial"/>
                <w:sz w:val="20"/>
                <w:szCs w:val="20"/>
              </w:rPr>
              <w:t>Yersinia</w:t>
            </w:r>
            <w:r w:rsidRPr="00224EB6">
              <w:rPr>
                <w:rFonts w:ascii="Arial" w:hAnsi="Arial" w:cs="Arial"/>
                <w:sz w:val="20"/>
                <w:szCs w:val="20"/>
              </w:rPr>
              <w:t xml:space="preserve"> isolates were selected for molecular characterization using 16S rRNA gene amplification and sequencing, followed by sequence comparison for species identification and genetic relatedness.</w:t>
            </w:r>
          </w:p>
          <w:p w14:paraId="1690F361" w14:textId="77777777" w:rsidR="00DD4F83" w:rsidRPr="00DD0071" w:rsidRDefault="00CC6FDF" w:rsidP="00DD4F83">
            <w:pPr>
              <w:pStyle w:val="isselectedend"/>
              <w:jc w:val="both"/>
              <w:rPr>
                <w:rFonts w:ascii="Arial" w:hAnsi="Arial" w:cs="Arial"/>
                <w:sz w:val="20"/>
                <w:szCs w:val="20"/>
              </w:rPr>
            </w:pPr>
            <w:r w:rsidRPr="00CC6FDF">
              <w:rPr>
                <w:rStyle w:val="Strong"/>
                <w:rFonts w:ascii="Arial" w:hAnsi="Arial" w:cs="Arial"/>
                <w:sz w:val="22"/>
                <w:szCs w:val="22"/>
              </w:rPr>
              <w:t>RESULTS:</w:t>
            </w:r>
            <w:r w:rsidR="00DD4F83" w:rsidRPr="00DD4F83">
              <w:rPr>
                <w:rFonts w:ascii="Arial" w:hAnsi="Arial" w:cs="Arial"/>
                <w:b/>
                <w:sz w:val="22"/>
                <w:szCs w:val="22"/>
              </w:rPr>
              <w:t xml:space="preserve"> </w:t>
            </w:r>
            <w:r w:rsidR="00DD4F83" w:rsidRPr="00DD0071">
              <w:rPr>
                <w:rFonts w:ascii="Arial" w:hAnsi="Arial" w:cs="Arial"/>
                <w:sz w:val="20"/>
                <w:szCs w:val="20"/>
              </w:rPr>
              <w:t xml:space="preserve">A total of 213 bacterial isolates belonging to the families </w:t>
            </w:r>
            <w:r w:rsidR="00DD4F83" w:rsidRPr="00DD0071">
              <w:rPr>
                <w:rStyle w:val="Emphasis"/>
                <w:rFonts w:ascii="Arial" w:hAnsi="Arial" w:cs="Arial"/>
                <w:sz w:val="20"/>
                <w:szCs w:val="20"/>
              </w:rPr>
              <w:t>Enterobacteriaceae</w:t>
            </w:r>
            <w:r w:rsidR="00DD4F83" w:rsidRPr="00DD0071">
              <w:rPr>
                <w:rFonts w:ascii="Arial" w:hAnsi="Arial" w:cs="Arial"/>
                <w:sz w:val="20"/>
                <w:szCs w:val="20"/>
              </w:rPr>
              <w:t xml:space="preserve"> and </w:t>
            </w:r>
            <w:proofErr w:type="spellStart"/>
            <w:r w:rsidR="00DD4F83" w:rsidRPr="00DD0071">
              <w:rPr>
                <w:rStyle w:val="Emphasis"/>
                <w:rFonts w:ascii="Arial" w:hAnsi="Arial" w:cs="Arial"/>
                <w:sz w:val="20"/>
                <w:szCs w:val="20"/>
              </w:rPr>
              <w:t>Yersiniaceae</w:t>
            </w:r>
            <w:proofErr w:type="spellEnd"/>
            <w:r w:rsidR="00DD4F83" w:rsidRPr="00DD0071">
              <w:rPr>
                <w:rFonts w:ascii="Arial" w:hAnsi="Arial" w:cs="Arial"/>
                <w:sz w:val="20"/>
                <w:szCs w:val="20"/>
              </w:rPr>
              <w:t xml:space="preserve"> were recovered. </w:t>
            </w:r>
            <w:r w:rsidR="00DD4F83" w:rsidRPr="00DD0071">
              <w:rPr>
                <w:rStyle w:val="Emphasis"/>
                <w:rFonts w:ascii="Arial" w:hAnsi="Arial" w:cs="Arial"/>
                <w:sz w:val="20"/>
                <w:szCs w:val="20"/>
              </w:rPr>
              <w:t>Yersinia</w:t>
            </w:r>
            <w:r w:rsidR="00DD4F83" w:rsidRPr="00DD0071">
              <w:rPr>
                <w:rFonts w:ascii="Arial" w:hAnsi="Arial" w:cs="Arial"/>
                <w:sz w:val="20"/>
                <w:szCs w:val="20"/>
              </w:rPr>
              <w:t xml:space="preserve"> species constituted the largest proportion of isolates (40.38%), followed by </w:t>
            </w:r>
            <w:r w:rsidR="00DD4F83" w:rsidRPr="00DD0071">
              <w:rPr>
                <w:rStyle w:val="Emphasis"/>
                <w:rFonts w:ascii="Arial" w:hAnsi="Arial" w:cs="Arial"/>
                <w:sz w:val="20"/>
                <w:szCs w:val="20"/>
              </w:rPr>
              <w:t>Enterobacter aerogenes</w:t>
            </w:r>
            <w:r w:rsidR="00DD4F83" w:rsidRPr="00DD0071">
              <w:rPr>
                <w:rFonts w:ascii="Arial" w:hAnsi="Arial" w:cs="Arial"/>
                <w:sz w:val="20"/>
                <w:szCs w:val="20"/>
              </w:rPr>
              <w:t xml:space="preserve"> (12.68%), </w:t>
            </w:r>
            <w:r w:rsidR="00DD4F83" w:rsidRPr="00DD0071">
              <w:rPr>
                <w:rStyle w:val="Emphasis"/>
                <w:rFonts w:ascii="Arial" w:hAnsi="Arial" w:cs="Arial"/>
                <w:sz w:val="20"/>
                <w:szCs w:val="20"/>
              </w:rPr>
              <w:t>Proteus mirabilis</w:t>
            </w:r>
            <w:r w:rsidR="00DD4F83" w:rsidRPr="00DD0071">
              <w:rPr>
                <w:rFonts w:ascii="Arial" w:hAnsi="Arial" w:cs="Arial"/>
                <w:sz w:val="20"/>
                <w:szCs w:val="20"/>
              </w:rPr>
              <w:t xml:space="preserve"> (7.51%), </w:t>
            </w:r>
            <w:r w:rsidR="00DD4F83" w:rsidRPr="00DD0071">
              <w:rPr>
                <w:rStyle w:val="Emphasis"/>
                <w:rFonts w:ascii="Arial" w:hAnsi="Arial" w:cs="Arial"/>
                <w:sz w:val="20"/>
                <w:szCs w:val="20"/>
              </w:rPr>
              <w:t>Enterobacter cloacae</w:t>
            </w:r>
            <w:r w:rsidR="00DD4F83" w:rsidRPr="00DD0071">
              <w:rPr>
                <w:rFonts w:ascii="Arial" w:hAnsi="Arial" w:cs="Arial"/>
                <w:sz w:val="20"/>
                <w:szCs w:val="20"/>
              </w:rPr>
              <w:t xml:space="preserve"> (6.10%), and </w:t>
            </w:r>
            <w:r w:rsidR="00DD4F83" w:rsidRPr="00DD0071">
              <w:rPr>
                <w:rStyle w:val="Emphasis"/>
                <w:rFonts w:ascii="Arial" w:hAnsi="Arial" w:cs="Arial"/>
                <w:sz w:val="20"/>
                <w:szCs w:val="20"/>
              </w:rPr>
              <w:t xml:space="preserve">Citrobacter </w:t>
            </w:r>
            <w:proofErr w:type="spellStart"/>
            <w:r w:rsidR="00DD4F83" w:rsidRPr="00DD0071">
              <w:rPr>
                <w:rStyle w:val="Emphasis"/>
                <w:rFonts w:ascii="Arial" w:hAnsi="Arial" w:cs="Arial"/>
                <w:sz w:val="20"/>
                <w:szCs w:val="20"/>
              </w:rPr>
              <w:t>freundii</w:t>
            </w:r>
            <w:proofErr w:type="spellEnd"/>
            <w:r w:rsidR="00DD4F83" w:rsidRPr="00DD0071">
              <w:rPr>
                <w:rFonts w:ascii="Arial" w:hAnsi="Arial" w:cs="Arial"/>
                <w:sz w:val="20"/>
                <w:szCs w:val="20"/>
              </w:rPr>
              <w:t xml:space="preserve"> (5.16%). Other organisms identified included </w:t>
            </w:r>
            <w:r w:rsidR="00DD4F83" w:rsidRPr="00DD0071">
              <w:rPr>
                <w:rStyle w:val="Emphasis"/>
                <w:rFonts w:ascii="Arial" w:hAnsi="Arial" w:cs="Arial"/>
                <w:sz w:val="20"/>
                <w:szCs w:val="20"/>
              </w:rPr>
              <w:t>Escherichia coli</w:t>
            </w:r>
            <w:r w:rsidR="00DD4F83" w:rsidRPr="00DD0071">
              <w:rPr>
                <w:rFonts w:ascii="Arial" w:hAnsi="Arial" w:cs="Arial"/>
                <w:sz w:val="20"/>
                <w:szCs w:val="20"/>
              </w:rPr>
              <w:t xml:space="preserve">, </w:t>
            </w:r>
            <w:r w:rsidR="00DD4F83" w:rsidRPr="00DD0071">
              <w:rPr>
                <w:rStyle w:val="Emphasis"/>
                <w:rFonts w:ascii="Arial" w:hAnsi="Arial" w:cs="Arial"/>
                <w:sz w:val="20"/>
                <w:szCs w:val="20"/>
              </w:rPr>
              <w:t>Klebsiella pneumoniae</w:t>
            </w:r>
            <w:r w:rsidR="00DD4F83" w:rsidRPr="00DD0071">
              <w:rPr>
                <w:rFonts w:ascii="Arial" w:hAnsi="Arial" w:cs="Arial"/>
                <w:sz w:val="20"/>
                <w:szCs w:val="20"/>
              </w:rPr>
              <w:t xml:space="preserve">, </w:t>
            </w:r>
            <w:r w:rsidR="00DD4F83" w:rsidRPr="00DD0071">
              <w:rPr>
                <w:rStyle w:val="Emphasis"/>
                <w:rFonts w:ascii="Arial" w:hAnsi="Arial" w:cs="Arial"/>
                <w:sz w:val="20"/>
                <w:szCs w:val="20"/>
              </w:rPr>
              <w:t>Alcaligenes faecalis</w:t>
            </w:r>
            <w:r w:rsidR="00DD4F83" w:rsidRPr="00DD0071">
              <w:rPr>
                <w:rFonts w:ascii="Arial" w:hAnsi="Arial" w:cs="Arial"/>
                <w:sz w:val="20"/>
                <w:szCs w:val="20"/>
              </w:rPr>
              <w:t xml:space="preserve">, </w:t>
            </w:r>
            <w:r w:rsidR="00DD4F83" w:rsidRPr="00DD0071">
              <w:rPr>
                <w:rStyle w:val="Emphasis"/>
                <w:rFonts w:ascii="Arial" w:hAnsi="Arial" w:cs="Arial"/>
                <w:sz w:val="20"/>
                <w:szCs w:val="20"/>
              </w:rPr>
              <w:t>Shigella</w:t>
            </w:r>
            <w:r w:rsidR="00DD4F83" w:rsidRPr="00DD0071">
              <w:rPr>
                <w:rFonts w:ascii="Arial" w:hAnsi="Arial" w:cs="Arial"/>
                <w:sz w:val="20"/>
                <w:szCs w:val="20"/>
              </w:rPr>
              <w:t xml:space="preserve"> spp., </w:t>
            </w:r>
            <w:r w:rsidR="00DD4F83" w:rsidRPr="00DD0071">
              <w:rPr>
                <w:rStyle w:val="Emphasis"/>
                <w:rFonts w:ascii="Arial" w:hAnsi="Arial" w:cs="Arial"/>
                <w:sz w:val="20"/>
                <w:szCs w:val="20"/>
              </w:rPr>
              <w:t>Salmonella Typhi</w:t>
            </w:r>
            <w:r w:rsidR="00DD4F83" w:rsidRPr="00DD0071">
              <w:rPr>
                <w:rFonts w:ascii="Arial" w:hAnsi="Arial" w:cs="Arial"/>
                <w:sz w:val="20"/>
                <w:szCs w:val="20"/>
              </w:rPr>
              <w:t xml:space="preserve">, </w:t>
            </w:r>
            <w:r w:rsidR="00DD4F83" w:rsidRPr="00DD0071">
              <w:rPr>
                <w:rStyle w:val="Emphasis"/>
                <w:rFonts w:ascii="Arial" w:hAnsi="Arial" w:cs="Arial"/>
                <w:sz w:val="20"/>
                <w:szCs w:val="20"/>
              </w:rPr>
              <w:t xml:space="preserve">Providencia </w:t>
            </w:r>
            <w:proofErr w:type="spellStart"/>
            <w:r w:rsidR="00DD4F83" w:rsidRPr="00DD0071">
              <w:rPr>
                <w:rStyle w:val="Emphasis"/>
                <w:rFonts w:ascii="Arial" w:hAnsi="Arial" w:cs="Arial"/>
                <w:sz w:val="20"/>
                <w:szCs w:val="20"/>
              </w:rPr>
              <w:t>alcalifaciens</w:t>
            </w:r>
            <w:proofErr w:type="spellEnd"/>
            <w:r w:rsidR="00DD4F83" w:rsidRPr="00DD0071">
              <w:rPr>
                <w:rFonts w:ascii="Arial" w:hAnsi="Arial" w:cs="Arial"/>
                <w:sz w:val="20"/>
                <w:szCs w:val="20"/>
              </w:rPr>
              <w:t xml:space="preserve">, </w:t>
            </w:r>
            <w:r w:rsidR="00DD4F83" w:rsidRPr="00DD0071">
              <w:rPr>
                <w:rStyle w:val="Emphasis"/>
                <w:rFonts w:ascii="Arial" w:hAnsi="Arial" w:cs="Arial"/>
                <w:sz w:val="20"/>
                <w:szCs w:val="20"/>
              </w:rPr>
              <w:t xml:space="preserve">Aeromonas </w:t>
            </w:r>
            <w:proofErr w:type="spellStart"/>
            <w:r w:rsidR="00DD4F83" w:rsidRPr="00DD0071">
              <w:rPr>
                <w:rStyle w:val="Emphasis"/>
                <w:rFonts w:ascii="Arial" w:hAnsi="Arial" w:cs="Arial"/>
                <w:sz w:val="20"/>
                <w:szCs w:val="20"/>
              </w:rPr>
              <w:t>jandaei</w:t>
            </w:r>
            <w:proofErr w:type="spellEnd"/>
            <w:r w:rsidR="00DD4F83" w:rsidRPr="00DD0071">
              <w:rPr>
                <w:rFonts w:ascii="Arial" w:hAnsi="Arial" w:cs="Arial"/>
                <w:sz w:val="20"/>
                <w:szCs w:val="20"/>
              </w:rPr>
              <w:t xml:space="preserve">, and </w:t>
            </w:r>
            <w:r w:rsidR="00DD4F83" w:rsidRPr="00DD0071">
              <w:rPr>
                <w:rStyle w:val="Emphasis"/>
                <w:rFonts w:ascii="Arial" w:hAnsi="Arial" w:cs="Arial"/>
                <w:sz w:val="20"/>
                <w:szCs w:val="20"/>
              </w:rPr>
              <w:t>Pseudomonas</w:t>
            </w:r>
            <w:r w:rsidR="00DD4F83" w:rsidRPr="00DD0071">
              <w:rPr>
                <w:rFonts w:ascii="Arial" w:hAnsi="Arial" w:cs="Arial"/>
                <w:sz w:val="20"/>
                <w:szCs w:val="20"/>
              </w:rPr>
              <w:t xml:space="preserve"> species. Molecular analysis identified four </w:t>
            </w:r>
            <w:r w:rsidR="00DD4F83" w:rsidRPr="00DD0071">
              <w:rPr>
                <w:rStyle w:val="Emphasis"/>
                <w:rFonts w:ascii="Arial" w:hAnsi="Arial" w:cs="Arial"/>
                <w:sz w:val="20"/>
                <w:szCs w:val="20"/>
              </w:rPr>
              <w:t>Yersinia</w:t>
            </w:r>
            <w:r w:rsidR="00DD4F83" w:rsidRPr="00DD0071">
              <w:rPr>
                <w:rFonts w:ascii="Arial" w:hAnsi="Arial" w:cs="Arial"/>
                <w:sz w:val="20"/>
                <w:szCs w:val="20"/>
              </w:rPr>
              <w:t xml:space="preserve"> species, namely </w:t>
            </w:r>
            <w:r w:rsidR="00DD4F83" w:rsidRPr="00DD0071">
              <w:rPr>
                <w:rStyle w:val="Emphasis"/>
                <w:rFonts w:ascii="Arial" w:hAnsi="Arial" w:cs="Arial"/>
                <w:sz w:val="20"/>
                <w:szCs w:val="20"/>
              </w:rPr>
              <w:t>Yersinia enterocolitica</w:t>
            </w:r>
            <w:r w:rsidR="00DD4F83" w:rsidRPr="00DD0071">
              <w:rPr>
                <w:rFonts w:ascii="Arial" w:hAnsi="Arial" w:cs="Arial"/>
                <w:sz w:val="20"/>
                <w:szCs w:val="20"/>
              </w:rPr>
              <w:t xml:space="preserve">, </w:t>
            </w:r>
            <w:r w:rsidR="00DD4F83" w:rsidRPr="00DD0071">
              <w:rPr>
                <w:rStyle w:val="Emphasis"/>
                <w:rFonts w:ascii="Arial" w:hAnsi="Arial" w:cs="Arial"/>
                <w:sz w:val="20"/>
                <w:szCs w:val="20"/>
              </w:rPr>
              <w:t>Yersinia pseudotuberculosis</w:t>
            </w:r>
            <w:r w:rsidR="00DD4F83" w:rsidRPr="00DD0071">
              <w:rPr>
                <w:rFonts w:ascii="Arial" w:hAnsi="Arial" w:cs="Arial"/>
                <w:sz w:val="20"/>
                <w:szCs w:val="20"/>
              </w:rPr>
              <w:t xml:space="preserve">, </w:t>
            </w:r>
            <w:r w:rsidR="00DD4F83" w:rsidRPr="00DD0071">
              <w:rPr>
                <w:rStyle w:val="Emphasis"/>
                <w:rFonts w:ascii="Arial" w:hAnsi="Arial" w:cs="Arial"/>
                <w:sz w:val="20"/>
                <w:szCs w:val="20"/>
              </w:rPr>
              <w:t>Yersinia intermedia</w:t>
            </w:r>
            <w:r w:rsidR="00DD4F83" w:rsidRPr="00DD0071">
              <w:rPr>
                <w:rFonts w:ascii="Arial" w:hAnsi="Arial" w:cs="Arial"/>
                <w:sz w:val="20"/>
                <w:szCs w:val="20"/>
              </w:rPr>
              <w:t xml:space="preserve">, and </w:t>
            </w:r>
            <w:r w:rsidR="00DD4F83" w:rsidRPr="00DD0071">
              <w:rPr>
                <w:rStyle w:val="Emphasis"/>
                <w:rFonts w:ascii="Arial" w:hAnsi="Arial" w:cs="Arial"/>
                <w:sz w:val="20"/>
                <w:szCs w:val="20"/>
              </w:rPr>
              <w:t xml:space="preserve">Yersinia </w:t>
            </w:r>
            <w:proofErr w:type="spellStart"/>
            <w:r w:rsidR="00DD4F83" w:rsidRPr="00DD0071">
              <w:rPr>
                <w:rStyle w:val="Emphasis"/>
                <w:rFonts w:ascii="Arial" w:hAnsi="Arial" w:cs="Arial"/>
                <w:sz w:val="20"/>
                <w:szCs w:val="20"/>
              </w:rPr>
              <w:t>kristensenii</w:t>
            </w:r>
            <w:proofErr w:type="spellEnd"/>
            <w:r w:rsidR="00DD4F83" w:rsidRPr="00DD0071">
              <w:rPr>
                <w:rFonts w:ascii="Arial" w:hAnsi="Arial" w:cs="Arial"/>
                <w:sz w:val="20"/>
                <w:szCs w:val="20"/>
              </w:rPr>
              <w:t xml:space="preserve">. Grower and finisher pigs accounted for the highest proportion of </w:t>
            </w:r>
            <w:r w:rsidR="00DD4F83" w:rsidRPr="00DD0071">
              <w:rPr>
                <w:rStyle w:val="Emphasis"/>
                <w:rFonts w:ascii="Arial" w:hAnsi="Arial" w:cs="Arial"/>
                <w:sz w:val="20"/>
                <w:szCs w:val="20"/>
              </w:rPr>
              <w:t>Yersinia</w:t>
            </w:r>
            <w:r w:rsidR="00DD4F83" w:rsidRPr="00DD0071">
              <w:rPr>
                <w:rFonts w:ascii="Arial" w:hAnsi="Arial" w:cs="Arial"/>
                <w:sz w:val="20"/>
                <w:szCs w:val="20"/>
              </w:rPr>
              <w:t xml:space="preserve"> isolates (54.5%), whereas adult pigs and weaners/piglets each contributed 18.2%, and cow intestines accounted for 9.1%. Sequence analysis revealed high genetic relatedness among the characterized isolates, with nucleotide sequence similarities ranging from 99.59% to 100%.</w:t>
            </w:r>
          </w:p>
          <w:p w14:paraId="51D59E8A" w14:textId="77777777" w:rsidR="00DD4F83" w:rsidRPr="00637D31" w:rsidRDefault="00CC6FDF" w:rsidP="00DD4F83">
            <w:pPr>
              <w:spacing w:before="100" w:beforeAutospacing="1" w:after="100" w:afterAutospacing="1"/>
              <w:jc w:val="both"/>
              <w:rPr>
                <w:rFonts w:ascii="Arial" w:hAnsi="Arial" w:cs="Arial"/>
              </w:rPr>
            </w:pPr>
            <w:r w:rsidRPr="00CC6FDF">
              <w:rPr>
                <w:rStyle w:val="Strong"/>
                <w:rFonts w:ascii="Arial" w:hAnsi="Arial" w:cs="Arial"/>
                <w:sz w:val="22"/>
                <w:szCs w:val="22"/>
              </w:rPr>
              <w:t>CONCLUSION:</w:t>
            </w:r>
            <w:r w:rsidR="00DD4F83" w:rsidRPr="00DD4F83">
              <w:rPr>
                <w:rFonts w:ascii="Arial" w:hAnsi="Arial" w:cs="Arial"/>
                <w:b/>
                <w:sz w:val="22"/>
                <w:szCs w:val="22"/>
              </w:rPr>
              <w:t xml:space="preserve"> </w:t>
            </w:r>
            <w:r w:rsidR="00DD4F83" w:rsidRPr="00637D31">
              <w:rPr>
                <w:rFonts w:ascii="Arial" w:hAnsi="Arial" w:cs="Arial"/>
              </w:rPr>
              <w:t xml:space="preserve">The predominance of </w:t>
            </w:r>
            <w:r w:rsidR="00DD4F83" w:rsidRPr="00637D31">
              <w:rPr>
                <w:rFonts w:ascii="Arial" w:hAnsi="Arial" w:cs="Arial"/>
                <w:i/>
              </w:rPr>
              <w:t>Yersinia</w:t>
            </w:r>
            <w:r w:rsidR="00DD4F83" w:rsidRPr="00637D31">
              <w:rPr>
                <w:rFonts w:ascii="Arial" w:hAnsi="Arial" w:cs="Arial"/>
              </w:rPr>
              <w:t xml:space="preserve"> species, particularly </w:t>
            </w:r>
            <w:r w:rsidR="00DD4F83" w:rsidRPr="00637D31">
              <w:rPr>
                <w:rFonts w:ascii="Arial" w:hAnsi="Arial" w:cs="Arial"/>
                <w:i/>
              </w:rPr>
              <w:t>Y. enterocolitica</w:t>
            </w:r>
            <w:r w:rsidR="00DD4F83" w:rsidRPr="00637D31">
              <w:rPr>
                <w:rFonts w:ascii="Arial" w:hAnsi="Arial" w:cs="Arial"/>
              </w:rPr>
              <w:t>, among pig samples confirms the important role of swine as</w:t>
            </w:r>
            <w:r w:rsidR="00DD4F83" w:rsidRPr="00637D31">
              <w:rPr>
                <w:rFonts w:ascii="Arial" w:hAnsi="Arial" w:cs="Arial"/>
                <w:b/>
              </w:rPr>
              <w:t xml:space="preserve"> </w:t>
            </w:r>
            <w:r w:rsidR="00DD4F83" w:rsidRPr="00637D31">
              <w:rPr>
                <w:rFonts w:ascii="Arial" w:hAnsi="Arial" w:cs="Arial"/>
              </w:rPr>
              <w:t xml:space="preserve">reservoirs of potentially pathogenic </w:t>
            </w:r>
            <w:r w:rsidR="00DD4F83" w:rsidRPr="00637D31">
              <w:rPr>
                <w:rFonts w:ascii="Arial" w:hAnsi="Arial" w:cs="Arial"/>
                <w:i/>
              </w:rPr>
              <w:t>Yersinia</w:t>
            </w:r>
            <w:r w:rsidR="00DD4F83" w:rsidRPr="00637D31">
              <w:rPr>
                <w:rFonts w:ascii="Arial" w:hAnsi="Arial" w:cs="Arial"/>
              </w:rPr>
              <w:t xml:space="preserve">. The occurrence of </w:t>
            </w:r>
            <w:r w:rsidR="00DD4F83" w:rsidRPr="00637D31">
              <w:rPr>
                <w:rFonts w:ascii="Arial" w:hAnsi="Arial" w:cs="Arial"/>
                <w:i/>
              </w:rPr>
              <w:t>Y. pseudotuberculosis</w:t>
            </w:r>
            <w:r w:rsidR="00DD4F83" w:rsidRPr="00637D31">
              <w:rPr>
                <w:rFonts w:ascii="Arial" w:hAnsi="Arial" w:cs="Arial"/>
              </w:rPr>
              <w:t xml:space="preserve"> further highlights the zoonotic significance of these animals. The findings emphasize the need for</w:t>
            </w:r>
            <w:r w:rsidR="00DD4F83" w:rsidRPr="00637D31">
              <w:rPr>
                <w:rFonts w:ascii="Arial" w:hAnsi="Arial" w:cs="Arial"/>
                <w:b/>
              </w:rPr>
              <w:t xml:space="preserve"> </w:t>
            </w:r>
            <w:r w:rsidR="00DD4F83" w:rsidRPr="00637D31">
              <w:rPr>
                <w:rFonts w:ascii="Arial" w:hAnsi="Arial" w:cs="Arial"/>
              </w:rPr>
              <w:t>continuous surveillance, improved farm hygiene, and molecular monitoring of livestock-associated bacterial pathogens to reduce the risk of foodborne transmission and safeguard public health.</w:t>
            </w:r>
          </w:p>
          <w:p w14:paraId="0B2FE6DB" w14:textId="77777777" w:rsidR="00505F06" w:rsidRPr="00BA1B01" w:rsidRDefault="00505F06" w:rsidP="00441B6F">
            <w:pPr>
              <w:pStyle w:val="Body"/>
              <w:spacing w:after="0"/>
              <w:rPr>
                <w:rFonts w:ascii="Arial" w:eastAsia="Calibri" w:hAnsi="Arial" w:cs="Arial"/>
                <w:szCs w:val="22"/>
              </w:rPr>
            </w:pPr>
          </w:p>
        </w:tc>
      </w:tr>
    </w:tbl>
    <w:p w14:paraId="7ECCEEC3" w14:textId="77777777" w:rsidR="00636EB2" w:rsidRDefault="00636EB2" w:rsidP="00441B6F">
      <w:pPr>
        <w:pStyle w:val="Body"/>
        <w:spacing w:after="0"/>
        <w:rPr>
          <w:rFonts w:ascii="Arial" w:hAnsi="Arial" w:cs="Arial"/>
          <w:i/>
        </w:rPr>
      </w:pPr>
    </w:p>
    <w:p w14:paraId="16F0A634" w14:textId="77777777" w:rsidR="00BB08B7" w:rsidRPr="006E6E58" w:rsidRDefault="00A24E7E" w:rsidP="006E6E58">
      <w:pPr>
        <w:spacing w:before="100" w:beforeAutospacing="1" w:after="100" w:afterAutospacing="1"/>
        <w:rPr>
          <w:rFonts w:ascii="Times New Roman" w:hAnsi="Times New Roman"/>
          <w:sz w:val="24"/>
          <w:szCs w:val="24"/>
        </w:rPr>
      </w:pPr>
      <w:r>
        <w:rPr>
          <w:rFonts w:ascii="Arial" w:hAnsi="Arial" w:cs="Arial"/>
          <w:i/>
        </w:rPr>
        <w:t xml:space="preserve">Keywords: </w:t>
      </w:r>
      <w:r w:rsidR="006E6E58" w:rsidRPr="006E6E58">
        <w:rPr>
          <w:rFonts w:ascii="Arial" w:hAnsi="Arial" w:cs="Arial"/>
          <w:i/>
        </w:rPr>
        <w:t xml:space="preserve">Yersinia enterocolitica, Yersinia pseudotuberculosis, Enterobacteriaceae, </w:t>
      </w:r>
      <w:proofErr w:type="spellStart"/>
      <w:r w:rsidR="006E6E58" w:rsidRPr="006E6E58">
        <w:rPr>
          <w:rFonts w:ascii="Arial" w:hAnsi="Arial" w:cs="Arial"/>
          <w:i/>
        </w:rPr>
        <w:t>Yersiniaceae</w:t>
      </w:r>
      <w:proofErr w:type="spellEnd"/>
      <w:r w:rsidR="006E6E58" w:rsidRPr="006E6E58">
        <w:rPr>
          <w:rFonts w:ascii="Arial" w:hAnsi="Arial" w:cs="Arial"/>
          <w:i/>
        </w:rPr>
        <w:t>, livestock, molecular characterization, zoonosis.</w:t>
      </w:r>
    </w:p>
    <w:p w14:paraId="2924DA01" w14:textId="77777777" w:rsidR="0024282C" w:rsidRDefault="0024282C" w:rsidP="00441B6F">
      <w:pPr>
        <w:pStyle w:val="Body"/>
        <w:spacing w:after="0"/>
        <w:rPr>
          <w:rFonts w:ascii="Arial" w:hAnsi="Arial" w:cs="Arial"/>
          <w:i/>
          <w:sz w:val="18"/>
        </w:rPr>
      </w:pPr>
    </w:p>
    <w:p w14:paraId="05CC2C49" w14:textId="77777777" w:rsidR="00505F06" w:rsidRPr="00A24E7E" w:rsidRDefault="00505F06" w:rsidP="00441B6F">
      <w:pPr>
        <w:pStyle w:val="Body"/>
        <w:spacing w:after="0"/>
        <w:rPr>
          <w:rFonts w:ascii="Arial" w:hAnsi="Arial" w:cs="Arial"/>
          <w:i/>
        </w:rPr>
      </w:pPr>
    </w:p>
    <w:p w14:paraId="04CBB0C8" w14:textId="77777777" w:rsidR="00790ADA" w:rsidRPr="00B7218B" w:rsidRDefault="00902823" w:rsidP="00441B6F">
      <w:pPr>
        <w:pStyle w:val="AbstHead"/>
        <w:spacing w:after="0"/>
        <w:jc w:val="both"/>
        <w:rPr>
          <w:rFonts w:ascii="Arial" w:hAnsi="Arial" w:cs="Arial"/>
          <w:sz w:val="20"/>
        </w:rPr>
      </w:pPr>
      <w:r w:rsidRPr="00B7218B">
        <w:rPr>
          <w:rFonts w:ascii="Arial" w:hAnsi="Arial" w:cs="Arial"/>
          <w:sz w:val="20"/>
        </w:rPr>
        <w:t xml:space="preserve">1. </w:t>
      </w:r>
      <w:r w:rsidR="00B01FCD" w:rsidRPr="00B7218B">
        <w:rPr>
          <w:rFonts w:ascii="Arial" w:hAnsi="Arial" w:cs="Arial"/>
          <w:sz w:val="20"/>
        </w:rPr>
        <w:t>INTRODUCTION</w:t>
      </w:r>
      <w:r w:rsidR="007F7B32" w:rsidRPr="00B7218B">
        <w:rPr>
          <w:rFonts w:ascii="Arial" w:hAnsi="Arial" w:cs="Arial"/>
          <w:sz w:val="20"/>
        </w:rPr>
        <w:t xml:space="preserve"> </w:t>
      </w:r>
    </w:p>
    <w:p w14:paraId="1549AE58" w14:textId="77777777" w:rsidR="009103AB" w:rsidRPr="009103AB" w:rsidRDefault="009103AB" w:rsidP="009103AB">
      <w:pPr>
        <w:pStyle w:val="Body"/>
        <w:rPr>
          <w:rFonts w:ascii="Arial" w:hAnsi="Arial" w:cs="Arial"/>
        </w:rPr>
      </w:pPr>
      <w:r w:rsidRPr="009103AB">
        <w:rPr>
          <w:rFonts w:ascii="Arial" w:hAnsi="Arial" w:cs="Arial"/>
        </w:rPr>
        <w:t xml:space="preserve">Food-producing animals can </w:t>
      </w:r>
      <w:proofErr w:type="spellStart"/>
      <w:r w:rsidRPr="009103AB">
        <w:rPr>
          <w:rFonts w:ascii="Arial" w:hAnsi="Arial" w:cs="Arial"/>
        </w:rPr>
        <w:t>harbour</w:t>
      </w:r>
      <w:proofErr w:type="spellEnd"/>
      <w:r w:rsidRPr="009103AB">
        <w:rPr>
          <w:rFonts w:ascii="Arial" w:hAnsi="Arial" w:cs="Arial"/>
        </w:rPr>
        <w:t xml:space="preserve"> bacterial pathogens of public health importance, creating opportunities for zoonotic transmission through direct animal contact, contaminated environments, and consumption of contaminated animal-derived foods, including meat, milk, and eggs (Food and Agriculture Organization of the United Nations [FAO], 2026; World Health Organization [WHO], 2020). Among these microorganisms, members of the family Enterobacteriaceae constitute an important group of bacteria because they include numerous pathogenic and opportunistic species capable of causing gastrointestinal diseases, systemic infections, and zoonotic illnesses in both humans and animals. Prominent genera within this family include </w:t>
      </w:r>
      <w:r w:rsidRPr="00BC63DA">
        <w:rPr>
          <w:rFonts w:ascii="Arial" w:hAnsi="Arial" w:cs="Arial"/>
          <w:i/>
        </w:rPr>
        <w:t>Escherichia, Salmonella, Klebsiella, Enteroba</w:t>
      </w:r>
      <w:r w:rsidR="00BC63DA" w:rsidRPr="00BC63DA">
        <w:rPr>
          <w:rFonts w:ascii="Arial" w:hAnsi="Arial" w:cs="Arial"/>
          <w:i/>
        </w:rPr>
        <w:t>cter, Citrobacter, Proteus, Shigella</w:t>
      </w:r>
      <w:r w:rsidR="00BC63DA">
        <w:rPr>
          <w:rFonts w:ascii="Arial" w:hAnsi="Arial" w:cs="Arial"/>
        </w:rPr>
        <w:t xml:space="preserve"> and </w:t>
      </w:r>
      <w:r w:rsidR="00BC63DA" w:rsidRPr="00BC63DA">
        <w:rPr>
          <w:rFonts w:ascii="Arial" w:hAnsi="Arial" w:cs="Arial"/>
          <w:i/>
        </w:rPr>
        <w:t>Yersinia</w:t>
      </w:r>
      <w:r w:rsidR="00BC63DA">
        <w:rPr>
          <w:rFonts w:ascii="Arial" w:hAnsi="Arial" w:cs="Arial"/>
        </w:rPr>
        <w:t xml:space="preserve">, </w:t>
      </w:r>
      <w:r w:rsidRPr="009103AB">
        <w:rPr>
          <w:rFonts w:ascii="Arial" w:hAnsi="Arial" w:cs="Arial"/>
        </w:rPr>
        <w:t xml:space="preserve">many of which are frequently implicated in foodborne infections and healthcare-associated diseases (Adeolu </w:t>
      </w:r>
      <w:r w:rsidRPr="00652349">
        <w:rPr>
          <w:rFonts w:ascii="Arial" w:hAnsi="Arial" w:cs="Arial"/>
          <w:i/>
        </w:rPr>
        <w:t>et al</w:t>
      </w:r>
      <w:r w:rsidRPr="009103AB">
        <w:rPr>
          <w:rFonts w:ascii="Arial" w:hAnsi="Arial" w:cs="Arial"/>
        </w:rPr>
        <w:t>., 2016; Bergey's Manual of Systematics of Archaea and Bacteria, 2015–2024; WHO, 2024</w:t>
      </w:r>
      <w:r w:rsidR="00BC63DA">
        <w:rPr>
          <w:rFonts w:ascii="Arial" w:hAnsi="Arial" w:cs="Arial"/>
        </w:rPr>
        <w:t xml:space="preserve">, Alimi </w:t>
      </w:r>
      <w:r w:rsidR="00BC63DA" w:rsidRPr="00652349">
        <w:rPr>
          <w:rFonts w:ascii="Arial" w:hAnsi="Arial" w:cs="Arial"/>
          <w:i/>
        </w:rPr>
        <w:t>et al</w:t>
      </w:r>
      <w:r w:rsidR="00BC63DA">
        <w:rPr>
          <w:rFonts w:ascii="Arial" w:hAnsi="Arial" w:cs="Arial"/>
        </w:rPr>
        <w:t>., 2025</w:t>
      </w:r>
      <w:r w:rsidRPr="009103AB">
        <w:rPr>
          <w:rFonts w:ascii="Arial" w:hAnsi="Arial" w:cs="Arial"/>
        </w:rPr>
        <w:t xml:space="preserve">). The pathogenic potential of bacterial species is influenced by their repertoire of virulence determinants, while antimicrobial resistance mechanisms can further compromise effective treatment. Together, these characteristics may facilitate bacterial survival, persistence, and successful colonization of hosts, thereby increasing the potential for infections to be maintained and disseminated across human and animal populations (Smith </w:t>
      </w:r>
      <w:r w:rsidRPr="00652349">
        <w:rPr>
          <w:rFonts w:ascii="Arial" w:hAnsi="Arial" w:cs="Arial"/>
          <w:i/>
        </w:rPr>
        <w:t>et al</w:t>
      </w:r>
      <w:r w:rsidRPr="009103AB">
        <w:rPr>
          <w:rFonts w:ascii="Arial" w:hAnsi="Arial" w:cs="Arial"/>
        </w:rPr>
        <w:t>., 2023; World Health Organization [WHO], 2024).</w:t>
      </w:r>
    </w:p>
    <w:p w14:paraId="46B21699" w14:textId="77777777" w:rsidR="009103AB" w:rsidRPr="009103AB" w:rsidRDefault="009103AB" w:rsidP="009103AB">
      <w:pPr>
        <w:pStyle w:val="Body"/>
        <w:rPr>
          <w:rFonts w:ascii="Arial" w:hAnsi="Arial" w:cs="Arial"/>
        </w:rPr>
      </w:pPr>
      <w:r w:rsidRPr="009103AB">
        <w:rPr>
          <w:rFonts w:ascii="Arial" w:hAnsi="Arial" w:cs="Arial"/>
        </w:rPr>
        <w:t xml:space="preserve">Yersinia is a bacterial genus classified within the family </w:t>
      </w:r>
      <w:proofErr w:type="spellStart"/>
      <w:r w:rsidRPr="009103AB">
        <w:rPr>
          <w:rFonts w:ascii="Arial" w:hAnsi="Arial" w:cs="Arial"/>
        </w:rPr>
        <w:t>Yersiniaceae</w:t>
      </w:r>
      <w:proofErr w:type="spellEnd"/>
      <w:r w:rsidRPr="009103AB">
        <w:rPr>
          <w:rFonts w:ascii="Arial" w:hAnsi="Arial" w:cs="Arial"/>
        </w:rPr>
        <w:t xml:space="preserve"> and includes species that are of considerable significance in human medicine and veterinary practice because of their ability to cause disease in a variety of hosts (Bottone, 2024). Within the genus, </w:t>
      </w:r>
      <w:r w:rsidRPr="00652349">
        <w:rPr>
          <w:rFonts w:ascii="Arial" w:hAnsi="Arial" w:cs="Arial"/>
          <w:i/>
        </w:rPr>
        <w:t>Yersinia enterocolitica</w:t>
      </w:r>
      <w:r w:rsidRPr="009103AB">
        <w:rPr>
          <w:rFonts w:ascii="Arial" w:hAnsi="Arial" w:cs="Arial"/>
        </w:rPr>
        <w:t xml:space="preserve"> and </w:t>
      </w:r>
      <w:r w:rsidRPr="00652349">
        <w:rPr>
          <w:rFonts w:ascii="Arial" w:hAnsi="Arial" w:cs="Arial"/>
          <w:i/>
        </w:rPr>
        <w:t>Yersinia pseudotuberculosis</w:t>
      </w:r>
      <w:r w:rsidRPr="009103AB">
        <w:rPr>
          <w:rFonts w:ascii="Arial" w:hAnsi="Arial" w:cs="Arial"/>
        </w:rPr>
        <w:t xml:space="preserve"> are the species most closely associated with human yersiniosis. Infection is primarily linked to exposure to contaminated food, particularly pork and certain fresh produce, making yersiniosis an important foodborne zoonotic disease of public health concern (European Food Safety Authority [EFSA] &amp; European Centre for Disease Prevention and Control [ECDC], 2024), characterized by enteritis, abdominal pain, fever, mesenteric lymphadenitis, and, in severe cases, septicemia and extraintestinal complications (Fredriksson-</w:t>
      </w:r>
      <w:proofErr w:type="spellStart"/>
      <w:r w:rsidRPr="009103AB">
        <w:rPr>
          <w:rFonts w:ascii="Arial" w:hAnsi="Arial" w:cs="Arial"/>
        </w:rPr>
        <w:t>Ahomaa</w:t>
      </w:r>
      <w:proofErr w:type="spellEnd"/>
      <w:r w:rsidRPr="009103AB">
        <w:rPr>
          <w:rFonts w:ascii="Arial" w:hAnsi="Arial" w:cs="Arial"/>
        </w:rPr>
        <w:t xml:space="preserve"> </w:t>
      </w:r>
      <w:r w:rsidRPr="00652349">
        <w:rPr>
          <w:rFonts w:ascii="Arial" w:hAnsi="Arial" w:cs="Arial"/>
          <w:i/>
        </w:rPr>
        <w:t>et al</w:t>
      </w:r>
      <w:r w:rsidRPr="009103AB">
        <w:rPr>
          <w:rFonts w:ascii="Arial" w:hAnsi="Arial" w:cs="Arial"/>
        </w:rPr>
        <w:t xml:space="preserve">., 2024; Bottone, 2024). In contrast, species such as </w:t>
      </w:r>
      <w:r w:rsidRPr="00652349">
        <w:rPr>
          <w:rFonts w:ascii="Arial" w:hAnsi="Arial" w:cs="Arial"/>
          <w:i/>
        </w:rPr>
        <w:t>Yersinia intermedia</w:t>
      </w:r>
      <w:r w:rsidRPr="009103AB">
        <w:rPr>
          <w:rFonts w:ascii="Arial" w:hAnsi="Arial" w:cs="Arial"/>
        </w:rPr>
        <w:t xml:space="preserve"> and </w:t>
      </w:r>
      <w:r w:rsidRPr="00652349">
        <w:rPr>
          <w:rFonts w:ascii="Arial" w:hAnsi="Arial" w:cs="Arial"/>
          <w:i/>
        </w:rPr>
        <w:t xml:space="preserve">Yersinia </w:t>
      </w:r>
      <w:proofErr w:type="spellStart"/>
      <w:r w:rsidRPr="00652349">
        <w:rPr>
          <w:rFonts w:ascii="Arial" w:hAnsi="Arial" w:cs="Arial"/>
          <w:i/>
        </w:rPr>
        <w:t>kristensenii</w:t>
      </w:r>
      <w:proofErr w:type="spellEnd"/>
      <w:r w:rsidRPr="009103AB">
        <w:rPr>
          <w:rFonts w:ascii="Arial" w:hAnsi="Arial" w:cs="Arial"/>
        </w:rPr>
        <w:t xml:space="preserve"> are generally regarded as less pathogenic, although they are frequently recovered from environmental sources, food products, and animal hosts (Sprague </w:t>
      </w:r>
      <w:r w:rsidRPr="00652349">
        <w:rPr>
          <w:rFonts w:ascii="Arial" w:hAnsi="Arial" w:cs="Arial"/>
          <w:i/>
        </w:rPr>
        <w:t>et al</w:t>
      </w:r>
      <w:r w:rsidRPr="009103AB">
        <w:rPr>
          <w:rFonts w:ascii="Arial" w:hAnsi="Arial" w:cs="Arial"/>
        </w:rPr>
        <w:t xml:space="preserve">., 2023). The capacity of </w:t>
      </w:r>
      <w:r w:rsidRPr="00652349">
        <w:rPr>
          <w:rFonts w:ascii="Arial" w:hAnsi="Arial" w:cs="Arial"/>
          <w:i/>
        </w:rPr>
        <w:t>Yersinia</w:t>
      </w:r>
      <w:r w:rsidRPr="009103AB">
        <w:rPr>
          <w:rFonts w:ascii="Arial" w:hAnsi="Arial" w:cs="Arial"/>
        </w:rPr>
        <w:t xml:space="preserve"> species to survive under diverse environmental conditions and colonize animal gastrointestinal tracts contributes to their persistence and widespread occurrence in livestock production systems (Bonardi, 2023).</w:t>
      </w:r>
    </w:p>
    <w:p w14:paraId="3919C100" w14:textId="77777777" w:rsidR="009103AB" w:rsidRPr="009103AB" w:rsidRDefault="009103AB" w:rsidP="009103AB">
      <w:pPr>
        <w:pStyle w:val="Body"/>
        <w:rPr>
          <w:rFonts w:ascii="Arial" w:hAnsi="Arial" w:cs="Arial"/>
        </w:rPr>
      </w:pPr>
      <w:r w:rsidRPr="009103AB">
        <w:rPr>
          <w:rFonts w:ascii="Arial" w:hAnsi="Arial" w:cs="Arial"/>
        </w:rPr>
        <w:t>Current epidemiological evidence indicates that domestic pigs constitute the primary animal host for pathogenic Yersinia species, especially Yersinia enterocolitica, making swine an important source of human infection through the food chain (Bonardi, 2023; EFSA, 2024). The bacterium is capable of colonizing the tonsils and intestinal tract of clinically healthy pigs, resulting in asymptomatic carriage and prolonged shedding into the environment (Fredriksson-</w:t>
      </w:r>
      <w:proofErr w:type="spellStart"/>
      <w:r w:rsidRPr="009103AB">
        <w:rPr>
          <w:rFonts w:ascii="Arial" w:hAnsi="Arial" w:cs="Arial"/>
        </w:rPr>
        <w:t>Ahomaa</w:t>
      </w:r>
      <w:proofErr w:type="spellEnd"/>
      <w:r w:rsidRPr="009103AB">
        <w:rPr>
          <w:rFonts w:ascii="Arial" w:hAnsi="Arial" w:cs="Arial"/>
        </w:rPr>
        <w:t xml:space="preserve"> </w:t>
      </w:r>
      <w:r w:rsidR="00DF01AD">
        <w:rPr>
          <w:rFonts w:ascii="Arial" w:hAnsi="Arial" w:cs="Arial"/>
          <w:i/>
        </w:rPr>
        <w:t>s</w:t>
      </w:r>
      <w:r w:rsidRPr="009103AB">
        <w:rPr>
          <w:rFonts w:ascii="Arial" w:hAnsi="Arial" w:cs="Arial"/>
        </w:rPr>
        <w:t xml:space="preserve">., 2024). During slaughter and carcass processing, contamination of pork products may occur, creating opportunities for transmission to humans through the food chain. Consequently, swine-associated </w:t>
      </w:r>
      <w:r w:rsidRPr="00DF01AD">
        <w:rPr>
          <w:rFonts w:ascii="Arial" w:hAnsi="Arial" w:cs="Arial"/>
          <w:i/>
        </w:rPr>
        <w:t>Yersinia</w:t>
      </w:r>
      <w:r w:rsidRPr="009103AB">
        <w:rPr>
          <w:rFonts w:ascii="Arial" w:hAnsi="Arial" w:cs="Arial"/>
        </w:rPr>
        <w:t xml:space="preserve"> infections continue to represent an important food safety and public health challenge worldwide (EFSA, 2024; WHO, 2024). Although cattle and other livestock species may also harbor </w:t>
      </w:r>
      <w:r w:rsidRPr="008D3B79">
        <w:rPr>
          <w:rFonts w:ascii="Arial" w:hAnsi="Arial" w:cs="Arial"/>
          <w:i/>
        </w:rPr>
        <w:t>Yersinia</w:t>
      </w:r>
      <w:r w:rsidRPr="009103AB">
        <w:rPr>
          <w:rFonts w:ascii="Arial" w:hAnsi="Arial" w:cs="Arial"/>
        </w:rPr>
        <w:t xml:space="preserve"> organisms, their epidemiological contribution is generally considered less significant than that of pigs (Bonardi, 2023).</w:t>
      </w:r>
    </w:p>
    <w:p w14:paraId="2C0DF98A" w14:textId="77777777" w:rsidR="009103AB" w:rsidRPr="009103AB" w:rsidRDefault="009103AB" w:rsidP="009103AB">
      <w:pPr>
        <w:pStyle w:val="Body"/>
        <w:rPr>
          <w:rFonts w:ascii="Arial" w:hAnsi="Arial" w:cs="Arial"/>
        </w:rPr>
      </w:pPr>
      <w:r w:rsidRPr="009103AB">
        <w:rPr>
          <w:rFonts w:ascii="Arial" w:hAnsi="Arial" w:cs="Arial"/>
        </w:rPr>
        <w:lastRenderedPageBreak/>
        <w:t xml:space="preserve">The gastrointestinal system of food-producing animals contains a diverse and dynamic microbiota comprising beneficial microorganisms, commensal bacteria, opportunistic species, and pathogenic organisms. The structure and diversity of this microbial ecosystem are shaped by numerous host and environmental factors, including the animal's age, diet, housing system, husbandry practices, stocking density, sanitation standards, and the quality of drinking water (Valdes </w:t>
      </w:r>
      <w:r w:rsidRPr="00015B63">
        <w:rPr>
          <w:rFonts w:ascii="Arial" w:hAnsi="Arial" w:cs="Arial"/>
          <w:i/>
        </w:rPr>
        <w:t>et al</w:t>
      </w:r>
      <w:r w:rsidRPr="009103AB">
        <w:rPr>
          <w:rFonts w:ascii="Arial" w:hAnsi="Arial" w:cs="Arial"/>
        </w:rPr>
        <w:t xml:space="preserve">., 2018). Investigating the bacterial populations associated with livestock provides important information for understanding their potential role in maintaining and disseminating zoonotic organisms. Such evidence can inform assessment of animal-to-human transmission risks and strengthen surveillance, prevention, and control measures through an integrated One Health approach (FAO </w:t>
      </w:r>
      <w:r w:rsidRPr="00015B63">
        <w:rPr>
          <w:rFonts w:ascii="Arial" w:hAnsi="Arial" w:cs="Arial"/>
          <w:i/>
        </w:rPr>
        <w:t>et al</w:t>
      </w:r>
      <w:r w:rsidRPr="009103AB">
        <w:rPr>
          <w:rFonts w:ascii="Arial" w:hAnsi="Arial" w:cs="Arial"/>
        </w:rPr>
        <w:t xml:space="preserve">., 2022; EFSA &amp; ECDC, 2024). </w:t>
      </w:r>
    </w:p>
    <w:p w14:paraId="2F2AE31F" w14:textId="77777777" w:rsidR="009103AB" w:rsidRPr="009103AB" w:rsidRDefault="009103AB" w:rsidP="009103AB">
      <w:pPr>
        <w:pStyle w:val="Body"/>
        <w:rPr>
          <w:rFonts w:ascii="Arial" w:hAnsi="Arial" w:cs="Arial"/>
        </w:rPr>
      </w:pPr>
      <w:r w:rsidRPr="009103AB">
        <w:rPr>
          <w:rFonts w:ascii="Arial" w:hAnsi="Arial" w:cs="Arial"/>
        </w:rPr>
        <w:t xml:space="preserve">Conventional microbiological techniques remain indispensable for the isolation and preliminary characterization of bacterial pathogens. However, molecular methods provide greater precision in species identification and facilitate the assessment of genetic relationships among isolates (Sachdeva &amp; Virdi, 2004; Falcão </w:t>
      </w:r>
      <w:r w:rsidRPr="00015B63">
        <w:rPr>
          <w:rFonts w:ascii="Arial" w:hAnsi="Arial" w:cs="Arial"/>
          <w:i/>
        </w:rPr>
        <w:t>et al</w:t>
      </w:r>
      <w:r w:rsidRPr="009103AB">
        <w:rPr>
          <w:rFonts w:ascii="Arial" w:hAnsi="Arial" w:cs="Arial"/>
        </w:rPr>
        <w:t xml:space="preserve">., 2006). The 16S rRNA gene remains an important molecular marker for bacterial identification and phylogenetic analysis. Its usefulness derives from the combination of conserved segments, which provide suitable targets for broadly applicable primers, and intervening variable regions that contain taxonomically informative sequence differences. These characteristics permit comparison of bacterial isolates with reference sequences and facilitate their assignment to appropriate taxonomic groups, although closely related species may require additional genetic markers for definitive discrimination (Church </w:t>
      </w:r>
      <w:r w:rsidRPr="00015B63">
        <w:rPr>
          <w:rFonts w:ascii="Arial" w:hAnsi="Arial" w:cs="Arial"/>
          <w:i/>
        </w:rPr>
        <w:t>et al</w:t>
      </w:r>
      <w:r w:rsidRPr="009103AB">
        <w:rPr>
          <w:rFonts w:ascii="Arial" w:hAnsi="Arial" w:cs="Arial"/>
        </w:rPr>
        <w:t xml:space="preserve">., 2020; Regueira-Iglesias </w:t>
      </w:r>
      <w:r w:rsidRPr="00015B63">
        <w:rPr>
          <w:rFonts w:ascii="Arial" w:hAnsi="Arial" w:cs="Arial"/>
          <w:i/>
        </w:rPr>
        <w:t>et al</w:t>
      </w:r>
      <w:r w:rsidRPr="009103AB">
        <w:rPr>
          <w:rFonts w:ascii="Arial" w:hAnsi="Arial" w:cs="Arial"/>
        </w:rPr>
        <w:t>., 2023). In addition, molecular characterization supports epidemiological investigations by providing insights into bacterial diversity, evolutionary relationships, and transmission dynamics (Clarridge, 2004).</w:t>
      </w:r>
    </w:p>
    <w:p w14:paraId="1B57FAC0" w14:textId="77777777" w:rsidR="009103AB" w:rsidRPr="009103AB" w:rsidRDefault="009103AB" w:rsidP="009103AB">
      <w:pPr>
        <w:pStyle w:val="Body"/>
        <w:rPr>
          <w:rFonts w:ascii="Arial" w:hAnsi="Arial" w:cs="Arial"/>
        </w:rPr>
      </w:pPr>
      <w:r w:rsidRPr="009103AB">
        <w:rPr>
          <w:rFonts w:ascii="Arial" w:hAnsi="Arial" w:cs="Arial"/>
        </w:rPr>
        <w:t>Although</w:t>
      </w:r>
      <w:r w:rsidR="00E7528C">
        <w:rPr>
          <w:rFonts w:ascii="Arial" w:hAnsi="Arial" w:cs="Arial"/>
        </w:rPr>
        <w:t xml:space="preserve"> </w:t>
      </w:r>
      <w:r w:rsidRPr="00E7528C">
        <w:rPr>
          <w:rFonts w:ascii="Arial" w:hAnsi="Arial" w:cs="Arial"/>
          <w:i/>
        </w:rPr>
        <w:t xml:space="preserve">Yersinia </w:t>
      </w:r>
      <w:r w:rsidRPr="009103AB">
        <w:rPr>
          <w:rFonts w:ascii="Arial" w:hAnsi="Arial" w:cs="Arial"/>
        </w:rPr>
        <w:t xml:space="preserve">species are well established as important foodborne pathogens, evidence describing their distribution, genetic diversity, and molecular epidemiology within livestock populations remains scarce in many low- and middle-income countries. This knowledge gap limits a comprehensive understanding of their epidemiology and public health impact. The coexistence of Yersinia with other members of the Enterobacteriaceae in the gastrointestinal microbiota of food-producing animals is epidemiologically relevant because these organisms share environments in which antimicrobial selection and genetic exchange can occur. Such microbial communities may provide opportunities for the maintenance and circulation of antimicrobial resistance determinants, particularly when resistance genes are carried on mobile genetic elements capable of transfer between bacterial populations (Liu </w:t>
      </w:r>
      <w:r w:rsidRPr="00015B63">
        <w:rPr>
          <w:rFonts w:ascii="Arial" w:hAnsi="Arial" w:cs="Arial"/>
          <w:i/>
        </w:rPr>
        <w:t>et al</w:t>
      </w:r>
      <w:r w:rsidRPr="009103AB">
        <w:rPr>
          <w:rFonts w:ascii="Arial" w:hAnsi="Arial" w:cs="Arial"/>
        </w:rPr>
        <w:t xml:space="preserve">., 2022; </w:t>
      </w:r>
      <w:proofErr w:type="spellStart"/>
      <w:r w:rsidRPr="009103AB">
        <w:rPr>
          <w:rFonts w:ascii="Arial" w:hAnsi="Arial" w:cs="Arial"/>
        </w:rPr>
        <w:t>Vikesland</w:t>
      </w:r>
      <w:proofErr w:type="spellEnd"/>
      <w:r w:rsidRPr="009103AB">
        <w:rPr>
          <w:rFonts w:ascii="Arial" w:hAnsi="Arial" w:cs="Arial"/>
        </w:rPr>
        <w:t xml:space="preserve"> </w:t>
      </w:r>
      <w:r w:rsidRPr="00015B63">
        <w:rPr>
          <w:rFonts w:ascii="Arial" w:hAnsi="Arial" w:cs="Arial"/>
          <w:i/>
        </w:rPr>
        <w:t>et al</w:t>
      </w:r>
      <w:r w:rsidRPr="009103AB">
        <w:rPr>
          <w:rFonts w:ascii="Arial" w:hAnsi="Arial" w:cs="Arial"/>
        </w:rPr>
        <w:t>., 2022). Comprehensive studies integrating conventional bacteriological techniques with molecular characterization are therefore necessary to improve understanding of their epidemiology and public health significance.</w:t>
      </w:r>
    </w:p>
    <w:p w14:paraId="193B4D1A" w14:textId="77777777" w:rsidR="00790ADA" w:rsidRPr="00B7218B" w:rsidRDefault="009103AB" w:rsidP="009103AB">
      <w:pPr>
        <w:pStyle w:val="Body"/>
        <w:spacing w:after="0"/>
        <w:rPr>
          <w:rFonts w:ascii="Arial" w:hAnsi="Arial" w:cs="Arial"/>
        </w:rPr>
      </w:pPr>
      <w:r w:rsidRPr="009103AB">
        <w:rPr>
          <w:rFonts w:ascii="Arial" w:hAnsi="Arial" w:cs="Arial"/>
        </w:rPr>
        <w:t xml:space="preserve">This study was undertaken to determine the distribution of Enterobacteriaceae and </w:t>
      </w:r>
      <w:proofErr w:type="spellStart"/>
      <w:r w:rsidRPr="009103AB">
        <w:rPr>
          <w:rFonts w:ascii="Arial" w:hAnsi="Arial" w:cs="Arial"/>
        </w:rPr>
        <w:t>Yersiniaceae</w:t>
      </w:r>
      <w:proofErr w:type="spellEnd"/>
      <w:r w:rsidRPr="009103AB">
        <w:rPr>
          <w:rFonts w:ascii="Arial" w:hAnsi="Arial" w:cs="Arial"/>
        </w:rPr>
        <w:t xml:space="preserve"> isolated from pig </w:t>
      </w:r>
      <w:proofErr w:type="spellStart"/>
      <w:r w:rsidRPr="009103AB">
        <w:rPr>
          <w:rFonts w:ascii="Arial" w:hAnsi="Arial" w:cs="Arial"/>
        </w:rPr>
        <w:t>faeces</w:t>
      </w:r>
      <w:proofErr w:type="spellEnd"/>
      <w:r w:rsidRPr="009103AB">
        <w:rPr>
          <w:rFonts w:ascii="Arial" w:hAnsi="Arial" w:cs="Arial"/>
        </w:rPr>
        <w:t xml:space="preserve"> and cow intestines and to molecularly characterize selected </w:t>
      </w:r>
      <w:r w:rsidRPr="00E7528C">
        <w:rPr>
          <w:rFonts w:ascii="Arial" w:hAnsi="Arial" w:cs="Arial"/>
          <w:i/>
        </w:rPr>
        <w:t>Yersinia</w:t>
      </w:r>
      <w:r w:rsidRPr="009103AB">
        <w:rPr>
          <w:rFonts w:ascii="Arial" w:hAnsi="Arial" w:cs="Arial"/>
        </w:rPr>
        <w:t xml:space="preserve"> isolates recovered from these samples. The findings provide valuable information on the diversity, prevalence, and potential zoonotic importance of </w:t>
      </w:r>
      <w:r w:rsidRPr="00E7528C">
        <w:rPr>
          <w:rFonts w:ascii="Arial" w:hAnsi="Arial" w:cs="Arial"/>
          <w:i/>
        </w:rPr>
        <w:t xml:space="preserve">Yersinia </w:t>
      </w:r>
      <w:r w:rsidRPr="009103AB">
        <w:rPr>
          <w:rFonts w:ascii="Arial" w:hAnsi="Arial" w:cs="Arial"/>
        </w:rPr>
        <w:t>species and other enteric bacteria associated with livestock production systems.</w:t>
      </w:r>
    </w:p>
    <w:p w14:paraId="13099E83" w14:textId="77777777" w:rsidR="00720D6B" w:rsidRDefault="00720D6B" w:rsidP="00FD7C1D">
      <w:pPr>
        <w:pStyle w:val="AbstHead"/>
        <w:spacing w:after="0"/>
        <w:jc w:val="both"/>
        <w:rPr>
          <w:rFonts w:ascii="Arial" w:hAnsi="Arial" w:cs="Arial"/>
          <w:sz w:val="20"/>
        </w:rPr>
      </w:pPr>
    </w:p>
    <w:p w14:paraId="7312C6AD" w14:textId="77777777" w:rsidR="00720D6B" w:rsidRDefault="00720D6B" w:rsidP="00FD7C1D">
      <w:pPr>
        <w:pStyle w:val="AbstHead"/>
        <w:spacing w:after="0"/>
        <w:jc w:val="both"/>
        <w:rPr>
          <w:rFonts w:ascii="Arial" w:hAnsi="Arial" w:cs="Arial"/>
          <w:sz w:val="20"/>
        </w:rPr>
      </w:pPr>
    </w:p>
    <w:p w14:paraId="325CD8CE" w14:textId="77777777" w:rsidR="00E66E10" w:rsidRPr="00B7218B" w:rsidRDefault="00902823" w:rsidP="00FD7C1D">
      <w:pPr>
        <w:pStyle w:val="AbstHead"/>
        <w:spacing w:after="0"/>
        <w:jc w:val="both"/>
        <w:rPr>
          <w:rFonts w:ascii="Arial" w:hAnsi="Arial" w:cs="Arial"/>
          <w:sz w:val="20"/>
        </w:rPr>
      </w:pPr>
      <w:r w:rsidRPr="00B7218B">
        <w:rPr>
          <w:rFonts w:ascii="Arial" w:hAnsi="Arial" w:cs="Arial"/>
          <w:sz w:val="20"/>
        </w:rPr>
        <w:t>2. material and method</w:t>
      </w:r>
      <w:r w:rsidR="00000F8F" w:rsidRPr="00B7218B">
        <w:rPr>
          <w:rFonts w:ascii="Arial" w:hAnsi="Arial" w:cs="Arial"/>
          <w:sz w:val="20"/>
        </w:rPr>
        <w:t xml:space="preserve">s </w:t>
      </w:r>
    </w:p>
    <w:p w14:paraId="2EF6175A" w14:textId="77777777" w:rsidR="00790ADA" w:rsidRPr="00B7218B" w:rsidRDefault="00790ADA" w:rsidP="00441B6F">
      <w:pPr>
        <w:pStyle w:val="Body"/>
        <w:spacing w:after="0"/>
        <w:rPr>
          <w:rFonts w:ascii="Arial" w:hAnsi="Arial" w:cs="Arial"/>
        </w:rPr>
      </w:pPr>
    </w:p>
    <w:p w14:paraId="31EA9A3C" w14:textId="77777777" w:rsidR="00505F06" w:rsidRDefault="00FD7C1D" w:rsidP="009103AB">
      <w:pPr>
        <w:pStyle w:val="NormalWeb"/>
        <w:jc w:val="both"/>
        <w:rPr>
          <w:rFonts w:ascii="Arial" w:hAnsi="Arial" w:cs="Arial"/>
        </w:rPr>
      </w:pPr>
      <w:r w:rsidRPr="009103AB">
        <w:rPr>
          <w:rFonts w:ascii="Arial" w:hAnsi="Arial" w:cs="Arial"/>
          <w:b/>
          <w:sz w:val="22"/>
          <w:szCs w:val="22"/>
        </w:rPr>
        <w:t>2.1 Study Area</w:t>
      </w:r>
      <w:r w:rsidRPr="00B7218B">
        <w:rPr>
          <w:rFonts w:ascii="Arial" w:hAnsi="Arial" w:cs="Arial"/>
          <w:b/>
          <w:sz w:val="20"/>
          <w:szCs w:val="20"/>
        </w:rPr>
        <w:t>:</w:t>
      </w:r>
      <w:r w:rsidRPr="00B7218B">
        <w:rPr>
          <w:rFonts w:ascii="Arial" w:hAnsi="Arial" w:cs="Arial"/>
          <w:sz w:val="20"/>
          <w:szCs w:val="20"/>
        </w:rPr>
        <w:t xml:space="preserve"> </w:t>
      </w:r>
      <w:r w:rsidR="009103AB" w:rsidRPr="009103AB">
        <w:rPr>
          <w:rFonts w:ascii="Arial" w:hAnsi="Arial" w:cs="Arial"/>
          <w:sz w:val="20"/>
          <w:szCs w:val="20"/>
        </w:rPr>
        <w:t xml:space="preserve">The study was conducted at </w:t>
      </w:r>
      <w:proofErr w:type="spellStart"/>
      <w:r w:rsidR="009103AB" w:rsidRPr="009103AB">
        <w:rPr>
          <w:rFonts w:ascii="Arial" w:hAnsi="Arial" w:cs="Arial"/>
          <w:sz w:val="20"/>
          <w:szCs w:val="20"/>
        </w:rPr>
        <w:t>Dejavu</w:t>
      </w:r>
      <w:proofErr w:type="spellEnd"/>
      <w:r w:rsidR="009103AB" w:rsidRPr="009103AB">
        <w:rPr>
          <w:rFonts w:ascii="Arial" w:hAnsi="Arial" w:cs="Arial"/>
          <w:sz w:val="20"/>
          <w:szCs w:val="20"/>
        </w:rPr>
        <w:t xml:space="preserve"> Pig Farm, located in the Federal Government Estate, New Era community, Asa Local Government, Ilorin, Kwara State, Nigeria. </w:t>
      </w:r>
      <w:proofErr w:type="spellStart"/>
      <w:r w:rsidR="009103AB" w:rsidRPr="009103AB">
        <w:rPr>
          <w:rFonts w:ascii="Arial" w:hAnsi="Arial" w:cs="Arial"/>
          <w:sz w:val="20"/>
          <w:szCs w:val="20"/>
        </w:rPr>
        <w:t>Faecal</w:t>
      </w:r>
      <w:proofErr w:type="spellEnd"/>
      <w:r w:rsidR="009103AB" w:rsidRPr="009103AB">
        <w:rPr>
          <w:rFonts w:ascii="Arial" w:hAnsi="Arial" w:cs="Arial"/>
          <w:sz w:val="20"/>
          <w:szCs w:val="20"/>
        </w:rPr>
        <w:t xml:space="preserve"> samples were obtained from healthy pigs across various piggery houses, categorized by age, and intestinal samples from mature cows obtained from Mandate </w:t>
      </w:r>
      <w:r w:rsidR="009103AB" w:rsidRPr="009103AB">
        <w:rPr>
          <w:rFonts w:ascii="Arial" w:hAnsi="Arial" w:cs="Arial"/>
          <w:sz w:val="20"/>
          <w:szCs w:val="20"/>
        </w:rPr>
        <w:lastRenderedPageBreak/>
        <w:t>Market, Ilorin, Kwara State, Nigeria, were analyzed to determine the presence of the Yersinia species within this community.</w:t>
      </w:r>
    </w:p>
    <w:p w14:paraId="102BAEAA" w14:textId="77777777" w:rsidR="009103AB" w:rsidRPr="009103AB" w:rsidRDefault="00FD7C1D" w:rsidP="009103AB">
      <w:pPr>
        <w:spacing w:before="100" w:beforeAutospacing="1" w:after="100" w:afterAutospacing="1"/>
        <w:jc w:val="both"/>
        <w:rPr>
          <w:rFonts w:ascii="Arial" w:hAnsi="Arial" w:cs="Arial"/>
        </w:rPr>
      </w:pPr>
      <w:r w:rsidRPr="00FD7C1D">
        <w:rPr>
          <w:rFonts w:ascii="Arial" w:hAnsi="Arial" w:cs="Arial"/>
          <w:b/>
          <w:sz w:val="22"/>
          <w:szCs w:val="22"/>
        </w:rPr>
        <w:t xml:space="preserve">2.2 </w:t>
      </w:r>
      <w:r w:rsidR="009103AB" w:rsidRPr="009103AB">
        <w:rPr>
          <w:rFonts w:ascii="Arial" w:hAnsi="Arial" w:cs="Arial"/>
          <w:b/>
          <w:sz w:val="22"/>
          <w:szCs w:val="22"/>
        </w:rPr>
        <w:t xml:space="preserve">Sample Collection: </w:t>
      </w:r>
      <w:r w:rsidR="009103AB" w:rsidRPr="009103AB">
        <w:rPr>
          <w:rFonts w:ascii="Arial" w:hAnsi="Arial" w:cs="Arial"/>
        </w:rPr>
        <w:t>Pig fecal and cow intestinal samples were collected. The healthy pigs of various age groups, including adult males and females (over one year old), Growers and Finishers (5–6 months), as well as Weaners and piglets (0–16 weeks), all with no history or signs of illness, were used. These samples were gathered in sterile bottles from designated sections of the farm; likewise, the cow intestine from the market. Immediately after collection, they were transported to the laboratory for microbial analysis.</w:t>
      </w:r>
    </w:p>
    <w:p w14:paraId="76D87271" w14:textId="77777777" w:rsidR="00FC4E7F" w:rsidRDefault="00FC4E7F" w:rsidP="00720D6B">
      <w:pPr>
        <w:spacing w:before="100" w:beforeAutospacing="1" w:after="100" w:afterAutospacing="1"/>
        <w:jc w:val="both"/>
        <w:rPr>
          <w:rFonts w:ascii="Arial" w:hAnsi="Arial" w:cs="Arial"/>
          <w:b/>
          <w:i/>
          <w:sz w:val="22"/>
          <w:szCs w:val="22"/>
        </w:rPr>
      </w:pPr>
      <w:r w:rsidRPr="00FC4E7F">
        <w:rPr>
          <w:rFonts w:ascii="Arial" w:hAnsi="Arial" w:cs="Arial"/>
          <w:b/>
          <w:i/>
          <w:sz w:val="22"/>
          <w:szCs w:val="22"/>
        </w:rPr>
        <w:t xml:space="preserve">2.2.1 Isolation and Identification of </w:t>
      </w:r>
      <w:proofErr w:type="spellStart"/>
      <w:r w:rsidRPr="00FC4E7F">
        <w:rPr>
          <w:rFonts w:ascii="Arial" w:hAnsi="Arial" w:cs="Arial"/>
          <w:b/>
          <w:i/>
          <w:sz w:val="22"/>
          <w:szCs w:val="22"/>
        </w:rPr>
        <w:t>Enterobactericeae</w:t>
      </w:r>
      <w:proofErr w:type="spellEnd"/>
      <w:r w:rsidRPr="00FC4E7F">
        <w:rPr>
          <w:rFonts w:ascii="Arial" w:hAnsi="Arial" w:cs="Arial"/>
          <w:b/>
          <w:i/>
          <w:sz w:val="22"/>
          <w:szCs w:val="22"/>
        </w:rPr>
        <w:t xml:space="preserve"> and Yersinia species</w:t>
      </w:r>
    </w:p>
    <w:p w14:paraId="68AB4C37" w14:textId="77777777" w:rsidR="00FC4E7F" w:rsidRPr="00587690" w:rsidRDefault="00FC4E7F" w:rsidP="00FC4E7F">
      <w:pPr>
        <w:pStyle w:val="Body"/>
        <w:rPr>
          <w:rFonts w:ascii="Arial" w:hAnsi="Arial" w:cs="Arial"/>
        </w:rPr>
      </w:pPr>
      <w:r w:rsidRPr="00587690">
        <w:rPr>
          <w:rFonts w:ascii="Arial" w:hAnsi="Arial" w:cs="Arial"/>
        </w:rPr>
        <w:t xml:space="preserve">Approximately 10 g of each pig </w:t>
      </w:r>
      <w:proofErr w:type="spellStart"/>
      <w:r w:rsidRPr="00587690">
        <w:rPr>
          <w:rFonts w:ascii="Arial" w:hAnsi="Arial" w:cs="Arial"/>
        </w:rPr>
        <w:t>faecal</w:t>
      </w:r>
      <w:proofErr w:type="spellEnd"/>
      <w:r w:rsidRPr="00587690">
        <w:rPr>
          <w:rFonts w:ascii="Arial" w:hAnsi="Arial" w:cs="Arial"/>
        </w:rPr>
        <w:t xml:space="preserve"> sample and bovine intestinal content was aseptically transferred into separate sterile containers containing 90 mL of sterile distilled water. Each suspension was </w:t>
      </w:r>
      <w:proofErr w:type="spellStart"/>
      <w:r w:rsidRPr="00587690">
        <w:rPr>
          <w:rFonts w:ascii="Arial" w:hAnsi="Arial" w:cs="Arial"/>
        </w:rPr>
        <w:t>homogenised</w:t>
      </w:r>
      <w:proofErr w:type="spellEnd"/>
      <w:r w:rsidRPr="00587690">
        <w:rPr>
          <w:rFonts w:ascii="Arial" w:hAnsi="Arial" w:cs="Arial"/>
        </w:rPr>
        <w:t xml:space="preserve"> thoroughly to ensure even distribution of the microorganisms and was subsequently subjected to serial ten-fold dilution. Suitable dilutions were inoculated onto MacConkey agar supplemented with bile salts using the pour-plate method, followed by aerobic incubation at 37°C for 24–48 h. Following incubation, representative lactose-fermenting and non-lactose-fermenting colonies were selected based on their cultural characteristics and purified through repeated streaking onto fresh culture media. Pure cultures were preserved on nutrient agar slants at 4°C until required for further investigations. The isolates were examined for macroscopic characteristics, including colony size, form, pigmentation, surface texture, margin, elevation, and lactose fermentation reaction (American Public Health Association [APHA], 2015; ISO, 2017).</w:t>
      </w:r>
    </w:p>
    <w:p w14:paraId="0E97BADE" w14:textId="77777777" w:rsidR="00B9714C" w:rsidRPr="00587690" w:rsidRDefault="00FC4E7F" w:rsidP="00FC4E7F">
      <w:pPr>
        <w:pStyle w:val="Body"/>
        <w:spacing w:after="0"/>
        <w:rPr>
          <w:rFonts w:ascii="Arial" w:hAnsi="Arial" w:cs="Arial"/>
        </w:rPr>
      </w:pPr>
      <w:r w:rsidRPr="00587690">
        <w:rPr>
          <w:rFonts w:ascii="Arial" w:hAnsi="Arial" w:cs="Arial"/>
        </w:rPr>
        <w:t xml:space="preserve">Preliminary identification of the recovered bacterial isolates was based on observable colony characteristics and microscopic morphology, following standard microbiological procedures (Tille, 2017). The preliminary identities of the isolates were verified using a panel of phenotypic tests. Gram reaction was determined by staining, while catalase production, citrate utilization, methyl red and Voges–Proskauer reactions, indole formation, and cellular motility were assessed using established bacteriological procedures. Carbohydrate utilization patterns were subsequently determined using glucose, maltose, xylose, sucrose, lactose, fructose, galactose, and rhamnose as test substrates. The resulting biochemical profiles were compared with established characteristics used for the differentiation and identification of bacterial taxa (Tille, 2017; </w:t>
      </w:r>
      <w:proofErr w:type="spellStart"/>
      <w:r w:rsidRPr="00587690">
        <w:rPr>
          <w:rFonts w:ascii="Arial" w:hAnsi="Arial" w:cs="Arial"/>
        </w:rPr>
        <w:t>MacFaddin</w:t>
      </w:r>
      <w:proofErr w:type="spellEnd"/>
      <w:r w:rsidRPr="00587690">
        <w:rPr>
          <w:rFonts w:ascii="Arial" w:hAnsi="Arial" w:cs="Arial"/>
        </w:rPr>
        <w:t>, 2000).</w:t>
      </w:r>
    </w:p>
    <w:p w14:paraId="6DE884CD" w14:textId="77777777" w:rsidR="001F3271" w:rsidRPr="00587690" w:rsidRDefault="00B9714C" w:rsidP="009B46C5">
      <w:pPr>
        <w:spacing w:before="100" w:beforeAutospacing="1" w:after="100" w:afterAutospacing="1"/>
        <w:jc w:val="both"/>
        <w:rPr>
          <w:rFonts w:ascii="Arial" w:hAnsi="Arial" w:cs="Arial"/>
        </w:rPr>
      </w:pPr>
      <w:r w:rsidRPr="00587690">
        <w:rPr>
          <w:rFonts w:ascii="Arial" w:hAnsi="Arial" w:cs="Arial"/>
          <w:b/>
        </w:rPr>
        <w:t>2.3 Molecular Analysis:</w:t>
      </w:r>
      <w:r w:rsidRPr="00587690">
        <w:rPr>
          <w:rFonts w:ascii="Arial" w:hAnsi="Arial" w:cs="Arial"/>
        </w:rPr>
        <w:t xml:space="preserve"> </w:t>
      </w:r>
      <w:r w:rsidR="009B46C5" w:rsidRPr="00587690">
        <w:rPr>
          <w:rFonts w:ascii="Arial" w:hAnsi="Arial" w:cs="Arial"/>
        </w:rPr>
        <w:t xml:space="preserve">Molecular confirmation of the presumptively identified bacterial isolates was undertaken by targeting the 16S rRNA gene. The target region was amplified by PCR, and the resulting amplicons were subjected to sequence-based molecular analysis for taxonomic assignment and confirmation of isolate identity (Church </w:t>
      </w:r>
      <w:r w:rsidR="009B46C5" w:rsidRPr="00015B63">
        <w:rPr>
          <w:rFonts w:ascii="Arial" w:hAnsi="Arial" w:cs="Arial"/>
          <w:i/>
        </w:rPr>
        <w:t>et al</w:t>
      </w:r>
      <w:r w:rsidR="009B46C5" w:rsidRPr="00587690">
        <w:rPr>
          <w:rFonts w:ascii="Arial" w:hAnsi="Arial" w:cs="Arial"/>
        </w:rPr>
        <w:t xml:space="preserve">., 2020; Regueira-Iglesias </w:t>
      </w:r>
      <w:r w:rsidR="009B46C5" w:rsidRPr="00015B63">
        <w:rPr>
          <w:rFonts w:ascii="Arial" w:hAnsi="Arial" w:cs="Arial"/>
          <w:i/>
        </w:rPr>
        <w:t>et al</w:t>
      </w:r>
      <w:r w:rsidR="009B46C5" w:rsidRPr="00587690">
        <w:rPr>
          <w:rFonts w:ascii="Arial" w:hAnsi="Arial" w:cs="Arial"/>
        </w:rPr>
        <w:t>., 2023).</w:t>
      </w:r>
    </w:p>
    <w:p w14:paraId="0C3BA87C" w14:textId="77777777" w:rsidR="001F3271" w:rsidRPr="00BB7CFC" w:rsidRDefault="001F3271" w:rsidP="001F3271">
      <w:pPr>
        <w:pStyle w:val="Body"/>
        <w:rPr>
          <w:rFonts w:ascii="Arial" w:hAnsi="Arial" w:cs="Arial"/>
          <w:b/>
          <w:i/>
          <w:sz w:val="22"/>
          <w:szCs w:val="22"/>
        </w:rPr>
      </w:pPr>
      <w:r w:rsidRPr="00BB7CFC">
        <w:rPr>
          <w:rFonts w:ascii="Arial" w:hAnsi="Arial" w:cs="Arial"/>
          <w:b/>
          <w:i/>
          <w:sz w:val="22"/>
          <w:szCs w:val="22"/>
        </w:rPr>
        <w:t>2.3.1 DNA Extraction</w:t>
      </w:r>
    </w:p>
    <w:p w14:paraId="67BB41D6" w14:textId="77777777" w:rsidR="00A97A9A" w:rsidRPr="0026306B" w:rsidRDefault="00A97A9A" w:rsidP="00A97A9A">
      <w:pPr>
        <w:pStyle w:val="Body"/>
        <w:rPr>
          <w:rFonts w:ascii="Arial" w:hAnsi="Arial" w:cs="Arial"/>
        </w:rPr>
      </w:pPr>
      <w:r w:rsidRPr="0026306B">
        <w:rPr>
          <w:rFonts w:ascii="Arial" w:hAnsi="Arial" w:cs="Arial"/>
        </w:rPr>
        <w:t xml:space="preserve">Genomic DNA was isolated from the purified bacterial cultures using a CTAB-based extraction procedure adapted from Wilson (2001) and Sambrook and Russell (2001), with minor modifications. Briefly, a discrete, well-separated colony from each isolate was transferred into 1.5 mL of sterile liquid growth medium and cultivated at 28°C for 48 h with agitation to generate adequate cellular biomass. The cultures were subsequently centrifuged at 4,600 × g for 5 min, and the harvested cells were suspended in 520 </w:t>
      </w:r>
      <w:proofErr w:type="spellStart"/>
      <w:r w:rsidRPr="0026306B">
        <w:rPr>
          <w:rFonts w:ascii="Arial" w:hAnsi="Arial" w:cs="Arial"/>
        </w:rPr>
        <w:t>μL</w:t>
      </w:r>
      <w:proofErr w:type="spellEnd"/>
      <w:r w:rsidRPr="0026306B">
        <w:rPr>
          <w:rFonts w:ascii="Arial" w:hAnsi="Arial" w:cs="Arial"/>
        </w:rPr>
        <w:t xml:space="preserve"> of TE buffer containing 10 mM Tris-HCl and 1 mM EDTA at pH 8.0.</w:t>
      </w:r>
    </w:p>
    <w:p w14:paraId="15D98FB4" w14:textId="77777777" w:rsidR="00A97A9A" w:rsidRPr="0026306B" w:rsidRDefault="00A97A9A" w:rsidP="00A97A9A">
      <w:pPr>
        <w:pStyle w:val="Body"/>
        <w:rPr>
          <w:rFonts w:ascii="Arial" w:hAnsi="Arial" w:cs="Arial"/>
        </w:rPr>
      </w:pPr>
      <w:r w:rsidRPr="0026306B">
        <w:rPr>
          <w:rFonts w:ascii="Arial" w:hAnsi="Arial" w:cs="Arial"/>
        </w:rPr>
        <w:lastRenderedPageBreak/>
        <w:t xml:space="preserve">For cell lysis, 15 </w:t>
      </w:r>
      <w:proofErr w:type="spellStart"/>
      <w:r w:rsidRPr="0026306B">
        <w:rPr>
          <w:rFonts w:ascii="Arial" w:hAnsi="Arial" w:cs="Arial"/>
        </w:rPr>
        <w:t>μL</w:t>
      </w:r>
      <w:proofErr w:type="spellEnd"/>
      <w:r w:rsidRPr="0026306B">
        <w:rPr>
          <w:rFonts w:ascii="Arial" w:hAnsi="Arial" w:cs="Arial"/>
        </w:rPr>
        <w:t xml:space="preserve"> of 20% sodium dodecyl sulphate (SDS) and 3 </w:t>
      </w:r>
      <w:proofErr w:type="spellStart"/>
      <w:r w:rsidRPr="0026306B">
        <w:rPr>
          <w:rFonts w:ascii="Arial" w:hAnsi="Arial" w:cs="Arial"/>
        </w:rPr>
        <w:t>μL</w:t>
      </w:r>
      <w:proofErr w:type="spellEnd"/>
      <w:r w:rsidRPr="0026306B">
        <w:rPr>
          <w:rFonts w:ascii="Arial" w:hAnsi="Arial" w:cs="Arial"/>
        </w:rPr>
        <w:t xml:space="preserve"> of Proteinase K (20 mg/mL) were incorporated into each suspension. The preparations were mixed gently and maintained at 37°C for 1 h to facilitate cellular disruption and degradation of proteinaceous material. Subsequently, 100 </w:t>
      </w:r>
      <w:proofErr w:type="spellStart"/>
      <w:r w:rsidRPr="0026306B">
        <w:rPr>
          <w:rFonts w:ascii="Arial" w:hAnsi="Arial" w:cs="Arial"/>
        </w:rPr>
        <w:t>μL</w:t>
      </w:r>
      <w:proofErr w:type="spellEnd"/>
      <w:r w:rsidRPr="0026306B">
        <w:rPr>
          <w:rFonts w:ascii="Arial" w:hAnsi="Arial" w:cs="Arial"/>
        </w:rPr>
        <w:t xml:space="preserve"> of 5 M NaCl and 80 </w:t>
      </w:r>
      <w:proofErr w:type="spellStart"/>
      <w:r w:rsidRPr="0026306B">
        <w:rPr>
          <w:rFonts w:ascii="Arial" w:hAnsi="Arial" w:cs="Arial"/>
        </w:rPr>
        <w:t>μL</w:t>
      </w:r>
      <w:proofErr w:type="spellEnd"/>
      <w:r w:rsidRPr="0026306B">
        <w:rPr>
          <w:rFonts w:ascii="Arial" w:hAnsi="Arial" w:cs="Arial"/>
        </w:rPr>
        <w:t xml:space="preserve"> of 10% CTAB in 0.7 M NaCl were added, followed by thorough mixing. The resulting lysates were incubated at 65°C for 10 min to assist in the removal of polysaccharide-associated contaminants and proteins. The preparations were then cooled on ice for 15 min.</w:t>
      </w:r>
    </w:p>
    <w:p w14:paraId="566AA184" w14:textId="77777777" w:rsidR="00A97A9A" w:rsidRPr="0026306B" w:rsidRDefault="00A97A9A" w:rsidP="00A97A9A">
      <w:pPr>
        <w:pStyle w:val="Body"/>
        <w:rPr>
          <w:rFonts w:ascii="Arial" w:hAnsi="Arial" w:cs="Arial"/>
        </w:rPr>
      </w:pPr>
      <w:r w:rsidRPr="0026306B">
        <w:rPr>
          <w:rFonts w:ascii="Arial" w:hAnsi="Arial" w:cs="Arial"/>
        </w:rPr>
        <w:t>The lysates were clarified by extraction with an equal volume of chloroform alcohol (24:1, v/v). After gentle inversion and a 5-min incubation on ice, the mixtures were centrifuged at 7,200 × g for 20 min. The upper aqueous layer was transferred carefully into sterile microcentrifuge tubes, avoiding the interfacial material. Genomic DNA was precipitated by adding 0.6 volumes of isopropanol to the recovered aqueous phase and incubating the preparations at −20°C for approximately 16 h.</w:t>
      </w:r>
    </w:p>
    <w:p w14:paraId="53C31679" w14:textId="77777777" w:rsidR="00FD7C1D" w:rsidRPr="0026306B" w:rsidRDefault="00A97A9A" w:rsidP="00A97A9A">
      <w:pPr>
        <w:pStyle w:val="Body"/>
        <w:spacing w:after="0"/>
        <w:rPr>
          <w:rFonts w:ascii="Arial" w:hAnsi="Arial" w:cs="Arial"/>
        </w:rPr>
      </w:pPr>
      <w:r w:rsidRPr="0026306B">
        <w:rPr>
          <w:rFonts w:ascii="Arial" w:hAnsi="Arial" w:cs="Arial"/>
        </w:rPr>
        <w:t xml:space="preserve">DNA was subsequently collected by centrifugation at 13,000 × g for 10 min. The pellets were rinsed with 500 </w:t>
      </w:r>
      <w:proofErr w:type="spellStart"/>
      <w:r w:rsidRPr="0026306B">
        <w:rPr>
          <w:rFonts w:ascii="Arial" w:hAnsi="Arial" w:cs="Arial"/>
        </w:rPr>
        <w:t>μL</w:t>
      </w:r>
      <w:proofErr w:type="spellEnd"/>
      <w:r w:rsidRPr="0026306B">
        <w:rPr>
          <w:rFonts w:ascii="Arial" w:hAnsi="Arial" w:cs="Arial"/>
        </w:rPr>
        <w:t xml:space="preserve"> of 70% ethanol to eliminate residual salts and other contaminants. After removal of the ethanol, the DNA pellets were allowed to air-dry at room temperature for approximately 3 h before being reconstituted in 50 </w:t>
      </w:r>
      <w:proofErr w:type="spellStart"/>
      <w:r w:rsidRPr="0026306B">
        <w:rPr>
          <w:rFonts w:ascii="Arial" w:hAnsi="Arial" w:cs="Arial"/>
        </w:rPr>
        <w:t>μL</w:t>
      </w:r>
      <w:proofErr w:type="spellEnd"/>
      <w:r w:rsidRPr="0026306B">
        <w:rPr>
          <w:rFonts w:ascii="Arial" w:hAnsi="Arial" w:cs="Arial"/>
        </w:rPr>
        <w:t xml:space="preserve"> of TE buffer. The extracted genomic DNA was stored appropriately until required for subsequent molecular procedures, including PCR amplification and sequencing (Wilson, 2001; Sambrook &amp; Russell, 2001).</w:t>
      </w:r>
    </w:p>
    <w:p w14:paraId="7E4211C5" w14:textId="77777777" w:rsidR="00BB7CFC" w:rsidRPr="00C03CE0" w:rsidRDefault="00BB7CFC" w:rsidP="00BB7CFC">
      <w:pPr>
        <w:pStyle w:val="isselectedend"/>
        <w:jc w:val="both"/>
        <w:rPr>
          <w:rFonts w:ascii="Arial" w:hAnsi="Arial" w:cs="Arial"/>
          <w:i/>
          <w:color w:val="FF0000"/>
          <w:sz w:val="22"/>
          <w:szCs w:val="22"/>
        </w:rPr>
      </w:pPr>
      <w:r w:rsidRPr="00C03CE0">
        <w:rPr>
          <w:rFonts w:ascii="Arial" w:hAnsi="Arial" w:cs="Arial"/>
          <w:b/>
          <w:i/>
          <w:sz w:val="22"/>
          <w:szCs w:val="22"/>
        </w:rPr>
        <w:t>2.3.2 PCR Amplification and Molecular Confirmation of Bacterial Isolates</w:t>
      </w:r>
    </w:p>
    <w:p w14:paraId="47B0AF66" w14:textId="77777777" w:rsidR="001030B8" w:rsidRPr="001030B8" w:rsidRDefault="001030B8" w:rsidP="001030B8">
      <w:pPr>
        <w:pStyle w:val="Body"/>
        <w:rPr>
          <w:rFonts w:ascii="Arial" w:hAnsi="Arial" w:cs="Arial"/>
        </w:rPr>
      </w:pPr>
      <w:r w:rsidRPr="001030B8">
        <w:rPr>
          <w:rFonts w:ascii="Arial" w:hAnsi="Arial" w:cs="Arial"/>
        </w:rPr>
        <w:t xml:space="preserve">Molecular confirmation of selected bacterial isolates was undertaken by amplification and subsequent analysis of an approximately 1.5-kb region of the bacterial 16S ribosomal RNA (16S rRNA) gene. This locus was used because the bacterial 16S rRNA gene contains conserved regions suitable for broad-range primer binding together with variable regions that facilitate taxonomic discrimination among bacterial groups (Lane, 1991; Frank </w:t>
      </w:r>
      <w:r w:rsidRPr="00015B63">
        <w:rPr>
          <w:rFonts w:ascii="Arial" w:hAnsi="Arial" w:cs="Arial"/>
          <w:i/>
        </w:rPr>
        <w:t>et al</w:t>
      </w:r>
      <w:r w:rsidRPr="001030B8">
        <w:rPr>
          <w:rFonts w:ascii="Arial" w:hAnsi="Arial" w:cs="Arial"/>
        </w:rPr>
        <w:t>., 2008).</w:t>
      </w:r>
    </w:p>
    <w:p w14:paraId="6045A735" w14:textId="77777777" w:rsidR="001030B8" w:rsidRPr="001030B8" w:rsidRDefault="001030B8" w:rsidP="001030B8">
      <w:pPr>
        <w:pStyle w:val="Body"/>
        <w:rPr>
          <w:rFonts w:ascii="Arial" w:hAnsi="Arial" w:cs="Arial"/>
        </w:rPr>
      </w:pPr>
      <w:r w:rsidRPr="001030B8">
        <w:rPr>
          <w:rFonts w:ascii="Arial" w:hAnsi="Arial" w:cs="Arial"/>
        </w:rPr>
        <w:t xml:space="preserve">PCR was performed in a final reaction volume of 50 </w:t>
      </w:r>
      <w:proofErr w:type="spellStart"/>
      <w:r w:rsidRPr="001030B8">
        <w:rPr>
          <w:rFonts w:ascii="Arial" w:hAnsi="Arial" w:cs="Arial"/>
        </w:rPr>
        <w:t>μL</w:t>
      </w:r>
      <w:proofErr w:type="spellEnd"/>
      <w:r w:rsidRPr="001030B8">
        <w:rPr>
          <w:rFonts w:ascii="Arial" w:hAnsi="Arial" w:cs="Arial"/>
        </w:rPr>
        <w:t xml:space="preserve">. The reaction mixture comprised 10 </w:t>
      </w:r>
      <w:proofErr w:type="spellStart"/>
      <w:r w:rsidRPr="001030B8">
        <w:rPr>
          <w:rFonts w:ascii="Arial" w:hAnsi="Arial" w:cs="Arial"/>
        </w:rPr>
        <w:t>μL</w:t>
      </w:r>
      <w:proofErr w:type="spellEnd"/>
      <w:r w:rsidRPr="001030B8">
        <w:rPr>
          <w:rFonts w:ascii="Arial" w:hAnsi="Arial" w:cs="Arial"/>
        </w:rPr>
        <w:t xml:space="preserve"> of 5× </w:t>
      </w:r>
      <w:proofErr w:type="spellStart"/>
      <w:r w:rsidRPr="001030B8">
        <w:rPr>
          <w:rFonts w:ascii="Arial" w:hAnsi="Arial" w:cs="Arial"/>
        </w:rPr>
        <w:t>GoTaq</w:t>
      </w:r>
      <w:proofErr w:type="spellEnd"/>
      <w:r w:rsidRPr="001030B8">
        <w:rPr>
          <w:rFonts w:ascii="Arial" w:hAnsi="Arial" w:cs="Arial"/>
        </w:rPr>
        <w:t xml:space="preserve"> </w:t>
      </w:r>
      <w:proofErr w:type="spellStart"/>
      <w:r w:rsidRPr="001030B8">
        <w:rPr>
          <w:rFonts w:ascii="Arial" w:hAnsi="Arial" w:cs="Arial"/>
        </w:rPr>
        <w:t>colourless</w:t>
      </w:r>
      <w:proofErr w:type="spellEnd"/>
      <w:r w:rsidRPr="001030B8">
        <w:rPr>
          <w:rFonts w:ascii="Arial" w:hAnsi="Arial" w:cs="Arial"/>
        </w:rPr>
        <w:t xml:space="preserve"> reaction buffer (Promega, USA), 3 </w:t>
      </w:r>
      <w:proofErr w:type="spellStart"/>
      <w:r w:rsidRPr="001030B8">
        <w:rPr>
          <w:rFonts w:ascii="Arial" w:hAnsi="Arial" w:cs="Arial"/>
        </w:rPr>
        <w:t>μL</w:t>
      </w:r>
      <w:proofErr w:type="spellEnd"/>
      <w:r w:rsidRPr="001030B8">
        <w:rPr>
          <w:rFonts w:ascii="Arial" w:hAnsi="Arial" w:cs="Arial"/>
        </w:rPr>
        <w:t xml:space="preserve"> of 25 mM </w:t>
      </w:r>
      <w:proofErr w:type="spellStart"/>
      <w:r w:rsidRPr="001030B8">
        <w:rPr>
          <w:rFonts w:ascii="Arial" w:hAnsi="Arial" w:cs="Arial"/>
        </w:rPr>
        <w:t>MgCl</w:t>
      </w:r>
      <w:proofErr w:type="spellEnd"/>
      <w:r w:rsidRPr="001030B8">
        <w:rPr>
          <w:rFonts w:ascii="Cambria Math" w:hAnsi="Cambria Math" w:cs="Cambria Math"/>
        </w:rPr>
        <w:t>₂</w:t>
      </w:r>
      <w:r w:rsidRPr="001030B8">
        <w:rPr>
          <w:rFonts w:ascii="Arial" w:hAnsi="Arial" w:cs="Arial"/>
        </w:rPr>
        <w:t xml:space="preserve">, 1 </w:t>
      </w:r>
      <w:proofErr w:type="spellStart"/>
      <w:r w:rsidRPr="001030B8">
        <w:rPr>
          <w:rFonts w:ascii="Arial" w:hAnsi="Arial" w:cs="Arial"/>
        </w:rPr>
        <w:t>μL</w:t>
      </w:r>
      <w:proofErr w:type="spellEnd"/>
      <w:r w:rsidRPr="001030B8">
        <w:rPr>
          <w:rFonts w:ascii="Arial" w:hAnsi="Arial" w:cs="Arial"/>
        </w:rPr>
        <w:t xml:space="preserve"> of 10 mM deoxynucleotide triphosphate (dNTP) mixture, 1 </w:t>
      </w:r>
      <w:proofErr w:type="spellStart"/>
      <w:r w:rsidRPr="001030B8">
        <w:rPr>
          <w:rFonts w:ascii="Arial" w:hAnsi="Arial" w:cs="Arial"/>
        </w:rPr>
        <w:t>μL</w:t>
      </w:r>
      <w:proofErr w:type="spellEnd"/>
      <w:r w:rsidRPr="001030B8">
        <w:rPr>
          <w:rFonts w:ascii="Arial" w:hAnsi="Arial" w:cs="Arial"/>
        </w:rPr>
        <w:t xml:space="preserve"> each of the universal bacterial forward primer 27F (5′-AGAGTTTGATCCTGGCTCAG-3′) and reverse primer 1492R (5′-GGTTACCTTGTTACGACTT-3′), 0.3 U of </w:t>
      </w:r>
      <w:proofErr w:type="spellStart"/>
      <w:r w:rsidRPr="001030B8">
        <w:rPr>
          <w:rFonts w:ascii="Arial" w:hAnsi="Arial" w:cs="Arial"/>
        </w:rPr>
        <w:t>GoTaq</w:t>
      </w:r>
      <w:proofErr w:type="spellEnd"/>
      <w:r w:rsidRPr="001030B8">
        <w:rPr>
          <w:rFonts w:ascii="Arial" w:hAnsi="Arial" w:cs="Arial"/>
        </w:rPr>
        <w:t xml:space="preserve"> DNA polymerase (Promega, USA), and 8 </w:t>
      </w:r>
      <w:proofErr w:type="spellStart"/>
      <w:r w:rsidRPr="001030B8">
        <w:rPr>
          <w:rFonts w:ascii="Arial" w:hAnsi="Arial" w:cs="Arial"/>
        </w:rPr>
        <w:t>μL</w:t>
      </w:r>
      <w:proofErr w:type="spellEnd"/>
      <w:r w:rsidRPr="001030B8">
        <w:rPr>
          <w:rFonts w:ascii="Arial" w:hAnsi="Arial" w:cs="Arial"/>
        </w:rPr>
        <w:t xml:space="preserve"> of purified genomic DNA. Nuclease-free water was added to compensate for the volumes of the individual components and obtain the required final reaction volume. The selected primer pair was used for broad-range amplification of bacterial 16S rRNA gene sequences, which are widely applied in bacterial identification and taxonomic characterization (Lane, 1991; Frank </w:t>
      </w:r>
      <w:r w:rsidRPr="00015B63">
        <w:rPr>
          <w:rFonts w:ascii="Arial" w:hAnsi="Arial" w:cs="Arial"/>
          <w:i/>
        </w:rPr>
        <w:t>et al</w:t>
      </w:r>
      <w:r w:rsidRPr="001030B8">
        <w:rPr>
          <w:rFonts w:ascii="Arial" w:hAnsi="Arial" w:cs="Arial"/>
        </w:rPr>
        <w:t>., 2008).</w:t>
      </w:r>
    </w:p>
    <w:p w14:paraId="6B2C7D35" w14:textId="77777777" w:rsidR="001030B8" w:rsidRPr="001030B8" w:rsidRDefault="001030B8" w:rsidP="001030B8">
      <w:pPr>
        <w:pStyle w:val="Body"/>
        <w:rPr>
          <w:rFonts w:ascii="Arial" w:hAnsi="Arial" w:cs="Arial"/>
        </w:rPr>
      </w:pPr>
      <w:r w:rsidRPr="001030B8">
        <w:rPr>
          <w:rFonts w:ascii="Arial" w:hAnsi="Arial" w:cs="Arial"/>
        </w:rPr>
        <w:t xml:space="preserve">Amplification was carried out in a </w:t>
      </w:r>
      <w:proofErr w:type="spellStart"/>
      <w:r w:rsidRPr="001030B8">
        <w:rPr>
          <w:rFonts w:ascii="Arial" w:hAnsi="Arial" w:cs="Arial"/>
        </w:rPr>
        <w:t>GeneAmp</w:t>
      </w:r>
      <w:proofErr w:type="spellEnd"/>
      <w:r w:rsidRPr="001030B8">
        <w:rPr>
          <w:rFonts w:ascii="Arial" w:hAnsi="Arial" w:cs="Arial"/>
        </w:rPr>
        <w:t xml:space="preserve">® PCR System 9700 thermal cycler (Applied Biosystems, Foster City, CA, USA). The reaction </w:t>
      </w:r>
      <w:proofErr w:type="spellStart"/>
      <w:r w:rsidRPr="001030B8">
        <w:rPr>
          <w:rFonts w:ascii="Arial" w:hAnsi="Arial" w:cs="Arial"/>
        </w:rPr>
        <w:t>programme</w:t>
      </w:r>
      <w:proofErr w:type="spellEnd"/>
      <w:r w:rsidRPr="001030B8">
        <w:rPr>
          <w:rFonts w:ascii="Arial" w:hAnsi="Arial" w:cs="Arial"/>
        </w:rPr>
        <w:t xml:space="preserve"> commenced with denaturation at 94°C for 5 min, followed by 30 cycles of denaturation at 94°C for 30 s, primer annealing at 50°C for 60 s, and extension at 72°C for 90 s. A terminal extension at 72°C for 10 min was subsequently applied to facilitate completion of the amplified products. Following amplification, the reactions were maintained at 4°C until electrophoretic analysis.</w:t>
      </w:r>
    </w:p>
    <w:p w14:paraId="24CC5C1B" w14:textId="77777777" w:rsidR="001030B8" w:rsidRPr="001030B8" w:rsidRDefault="001030B8" w:rsidP="001030B8">
      <w:pPr>
        <w:pStyle w:val="Body"/>
        <w:rPr>
          <w:rFonts w:ascii="Arial" w:hAnsi="Arial" w:cs="Arial"/>
        </w:rPr>
      </w:pPr>
      <w:r w:rsidRPr="001030B8">
        <w:rPr>
          <w:rFonts w:ascii="Arial" w:hAnsi="Arial" w:cs="Arial"/>
        </w:rPr>
        <w:t xml:space="preserve">The amplification products were examined by agarose gel electrophoresis to verify successful amplification and determine whether the products corresponded to the anticipated size. A 1.5% (w/v) agarose gel was prepared using 1× Tris–acetate–EDTA (TAE) buffer. The agarose suspension was heated until completely dissolved and subsequently cooled to approximately 60°C. Ethidium bromide (3 </w:t>
      </w:r>
      <w:proofErr w:type="spellStart"/>
      <w:r w:rsidRPr="001030B8">
        <w:rPr>
          <w:rFonts w:ascii="Arial" w:hAnsi="Arial" w:cs="Arial"/>
        </w:rPr>
        <w:t>μL</w:t>
      </w:r>
      <w:proofErr w:type="spellEnd"/>
      <w:r w:rsidRPr="001030B8">
        <w:rPr>
          <w:rFonts w:ascii="Arial" w:hAnsi="Arial" w:cs="Arial"/>
        </w:rPr>
        <w:t xml:space="preserve">) was incorporated into the molten gel </w:t>
      </w:r>
      <w:r w:rsidRPr="001030B8">
        <w:rPr>
          <w:rFonts w:ascii="Arial" w:hAnsi="Arial" w:cs="Arial"/>
        </w:rPr>
        <w:lastRenderedPageBreak/>
        <w:t xml:space="preserve">to achieve a final concentration of 0.5 </w:t>
      </w:r>
      <w:proofErr w:type="spellStart"/>
      <w:r w:rsidRPr="001030B8">
        <w:rPr>
          <w:rFonts w:ascii="Arial" w:hAnsi="Arial" w:cs="Arial"/>
        </w:rPr>
        <w:t>μg</w:t>
      </w:r>
      <w:proofErr w:type="spellEnd"/>
      <w:r w:rsidRPr="001030B8">
        <w:rPr>
          <w:rFonts w:ascii="Arial" w:hAnsi="Arial" w:cs="Arial"/>
        </w:rPr>
        <w:t>/</w:t>
      </w:r>
      <w:proofErr w:type="spellStart"/>
      <w:r w:rsidRPr="001030B8">
        <w:rPr>
          <w:rFonts w:ascii="Arial" w:hAnsi="Arial" w:cs="Arial"/>
        </w:rPr>
        <w:t>mL.</w:t>
      </w:r>
      <w:proofErr w:type="spellEnd"/>
      <w:r w:rsidRPr="001030B8">
        <w:rPr>
          <w:rFonts w:ascii="Arial" w:hAnsi="Arial" w:cs="Arial"/>
        </w:rPr>
        <w:t xml:space="preserve"> The gel was then poured into a horizontal electrophoresis tray fitted with a comb and allowed to </w:t>
      </w:r>
      <w:proofErr w:type="spellStart"/>
      <w:r w:rsidRPr="001030B8">
        <w:rPr>
          <w:rFonts w:ascii="Arial" w:hAnsi="Arial" w:cs="Arial"/>
        </w:rPr>
        <w:t>polymerise</w:t>
      </w:r>
      <w:proofErr w:type="spellEnd"/>
      <w:r w:rsidRPr="001030B8">
        <w:rPr>
          <w:rFonts w:ascii="Arial" w:hAnsi="Arial" w:cs="Arial"/>
        </w:rPr>
        <w:t xml:space="preserve"> at room temperature.</w:t>
      </w:r>
    </w:p>
    <w:p w14:paraId="4EF64968" w14:textId="77777777" w:rsidR="001030B8" w:rsidRPr="001030B8" w:rsidRDefault="001030B8" w:rsidP="001030B8">
      <w:pPr>
        <w:pStyle w:val="Body"/>
        <w:rPr>
          <w:rFonts w:ascii="Arial" w:hAnsi="Arial" w:cs="Arial"/>
        </w:rPr>
      </w:pPr>
      <w:r w:rsidRPr="001030B8">
        <w:rPr>
          <w:rFonts w:ascii="Arial" w:hAnsi="Arial" w:cs="Arial"/>
        </w:rPr>
        <w:t xml:space="preserve">After the gel had solidified, it was placed in an electrophoresis chamber and submerged in 1× TAE running buffer. Prior to loading, 4 </w:t>
      </w:r>
      <w:proofErr w:type="spellStart"/>
      <w:r w:rsidRPr="001030B8">
        <w:rPr>
          <w:rFonts w:ascii="Arial" w:hAnsi="Arial" w:cs="Arial"/>
        </w:rPr>
        <w:t>μL</w:t>
      </w:r>
      <w:proofErr w:type="spellEnd"/>
      <w:r w:rsidRPr="001030B8">
        <w:rPr>
          <w:rFonts w:ascii="Arial" w:hAnsi="Arial" w:cs="Arial"/>
        </w:rPr>
        <w:t xml:space="preserve"> of each PCR product was mixed with 2 </w:t>
      </w:r>
      <w:proofErr w:type="spellStart"/>
      <w:r w:rsidRPr="001030B8">
        <w:rPr>
          <w:rFonts w:ascii="Arial" w:hAnsi="Arial" w:cs="Arial"/>
        </w:rPr>
        <w:t>μL</w:t>
      </w:r>
      <w:proofErr w:type="spellEnd"/>
      <w:r w:rsidRPr="001030B8">
        <w:rPr>
          <w:rFonts w:ascii="Arial" w:hAnsi="Arial" w:cs="Arial"/>
        </w:rPr>
        <w:t xml:space="preserve"> of 10× loading dye. A 100-bp DNA ladder was included as the molecular size reference. Electrophoresis was performed at 120 V for approximately 45 min. DNA fragments were subsequently </w:t>
      </w:r>
      <w:proofErr w:type="spellStart"/>
      <w:r w:rsidRPr="001030B8">
        <w:rPr>
          <w:rFonts w:ascii="Arial" w:hAnsi="Arial" w:cs="Arial"/>
        </w:rPr>
        <w:t>visualised</w:t>
      </w:r>
      <w:proofErr w:type="spellEnd"/>
      <w:r w:rsidRPr="001030B8">
        <w:rPr>
          <w:rFonts w:ascii="Arial" w:hAnsi="Arial" w:cs="Arial"/>
        </w:rPr>
        <w:t xml:space="preserve"> under ultraviolet illumination using a transilluminator, and digital images of the gels were obtained for record keeping. PCR products producing discrete bands at approximately 1.5 kb were regarded as appropriate for downstream purification and sequence analysis. The use of near-full-length 16S rRNA gene amplification followed by sequence analysis is an established approach for bacterial identification and characterization (Clarridge, 2004; Janda &amp; Abbott, 2007).</w:t>
      </w:r>
    </w:p>
    <w:p w14:paraId="596AED33" w14:textId="77777777" w:rsidR="001030B8" w:rsidRPr="001030B8" w:rsidRDefault="001030B8" w:rsidP="001030B8">
      <w:pPr>
        <w:pStyle w:val="Body"/>
        <w:rPr>
          <w:rFonts w:ascii="Arial" w:hAnsi="Arial" w:cs="Arial"/>
        </w:rPr>
      </w:pPr>
      <w:r w:rsidRPr="001030B8">
        <w:rPr>
          <w:rFonts w:ascii="Arial" w:hAnsi="Arial" w:cs="Arial"/>
        </w:rPr>
        <w:t>Amplicons selected for sequencing were purified by ethanol precipitation. Purification was performed to remove residual primers, unincorporated dNTPs, salts, and other constituents of the PCR mixture that could interfere with subsequent sequencing reactions (Sambrook &amp; Russell, 2001; Green &amp; Sambrook, 2012).</w:t>
      </w:r>
    </w:p>
    <w:p w14:paraId="761AB63C" w14:textId="77777777" w:rsidR="001030B8" w:rsidRPr="001030B8" w:rsidRDefault="001030B8" w:rsidP="001030B8">
      <w:pPr>
        <w:pStyle w:val="Body"/>
        <w:rPr>
          <w:rFonts w:ascii="Arial" w:hAnsi="Arial" w:cs="Arial"/>
        </w:rPr>
      </w:pPr>
      <w:r w:rsidRPr="001030B8">
        <w:rPr>
          <w:rFonts w:ascii="Arial" w:hAnsi="Arial" w:cs="Arial"/>
        </w:rPr>
        <w:t xml:space="preserve">For each sample, 40 </w:t>
      </w:r>
      <w:proofErr w:type="spellStart"/>
      <w:r w:rsidRPr="001030B8">
        <w:rPr>
          <w:rFonts w:ascii="Arial" w:hAnsi="Arial" w:cs="Arial"/>
        </w:rPr>
        <w:t>μL</w:t>
      </w:r>
      <w:proofErr w:type="spellEnd"/>
      <w:r w:rsidRPr="001030B8">
        <w:rPr>
          <w:rFonts w:ascii="Arial" w:hAnsi="Arial" w:cs="Arial"/>
        </w:rPr>
        <w:t xml:space="preserve"> of the PCR product was transferred into a sterile 1.5-mL microcentrifuge tube. Sodium acetate (7.6 </w:t>
      </w:r>
      <w:proofErr w:type="spellStart"/>
      <w:r w:rsidRPr="001030B8">
        <w:rPr>
          <w:rFonts w:ascii="Arial" w:hAnsi="Arial" w:cs="Arial"/>
        </w:rPr>
        <w:t>μL</w:t>
      </w:r>
      <w:proofErr w:type="spellEnd"/>
      <w:r w:rsidRPr="001030B8">
        <w:rPr>
          <w:rFonts w:ascii="Arial" w:hAnsi="Arial" w:cs="Arial"/>
        </w:rPr>
        <w:t xml:space="preserve"> of 3 M solution) was added, followed by 240 </w:t>
      </w:r>
      <w:proofErr w:type="spellStart"/>
      <w:r w:rsidRPr="001030B8">
        <w:rPr>
          <w:rFonts w:ascii="Arial" w:hAnsi="Arial" w:cs="Arial"/>
        </w:rPr>
        <w:t>μL</w:t>
      </w:r>
      <w:proofErr w:type="spellEnd"/>
      <w:r w:rsidRPr="001030B8">
        <w:rPr>
          <w:rFonts w:ascii="Arial" w:hAnsi="Arial" w:cs="Arial"/>
        </w:rPr>
        <w:t xml:space="preserve"> of chilled 95% ethanol. The contents of each tube were thoroughly vortex-mixed and incubated at −20°C for at least 30 min to promote precipitation of the amplified DNA.</w:t>
      </w:r>
    </w:p>
    <w:p w14:paraId="79CE0D89" w14:textId="77777777" w:rsidR="001030B8" w:rsidRPr="001030B8" w:rsidRDefault="001030B8" w:rsidP="001030B8">
      <w:pPr>
        <w:pStyle w:val="Body"/>
        <w:rPr>
          <w:rFonts w:ascii="Arial" w:hAnsi="Arial" w:cs="Arial"/>
        </w:rPr>
      </w:pPr>
      <w:r w:rsidRPr="001030B8">
        <w:rPr>
          <w:rFonts w:ascii="Arial" w:hAnsi="Arial" w:cs="Arial"/>
        </w:rPr>
        <w:t xml:space="preserve">The precipitated DNA was recovered by centrifugation at 13,000 × g for 10 min at 4°C. The supernatant was carefully removed without disturbing the DNA pellet. The pellet was subsequently washed with 150 </w:t>
      </w:r>
      <w:proofErr w:type="spellStart"/>
      <w:r w:rsidRPr="001030B8">
        <w:rPr>
          <w:rFonts w:ascii="Arial" w:hAnsi="Arial" w:cs="Arial"/>
        </w:rPr>
        <w:t>μL</w:t>
      </w:r>
      <w:proofErr w:type="spellEnd"/>
      <w:r w:rsidRPr="001030B8">
        <w:rPr>
          <w:rFonts w:ascii="Arial" w:hAnsi="Arial" w:cs="Arial"/>
        </w:rPr>
        <w:t xml:space="preserve"> of 70% ethanol and gently mixed before centrifugation at 7,500 × g for 15 min at 4°C. The wash solution was discarded, and the tubes were inverted over absorbent paper and allowed to air-dry in a fume hood at ambient temperature for approximately 10–15 min. The dried DNA pellets were reconstituted in 20 </w:t>
      </w:r>
      <w:proofErr w:type="spellStart"/>
      <w:r w:rsidRPr="001030B8">
        <w:rPr>
          <w:rFonts w:ascii="Arial" w:hAnsi="Arial" w:cs="Arial"/>
        </w:rPr>
        <w:t>μL</w:t>
      </w:r>
      <w:proofErr w:type="spellEnd"/>
      <w:r w:rsidRPr="001030B8">
        <w:rPr>
          <w:rFonts w:ascii="Arial" w:hAnsi="Arial" w:cs="Arial"/>
        </w:rPr>
        <w:t xml:space="preserve"> of sterile nuclease-free water and stored at −20°C pending sequencing.</w:t>
      </w:r>
    </w:p>
    <w:p w14:paraId="70EA36C7" w14:textId="77777777" w:rsidR="001030B8" w:rsidRPr="001030B8" w:rsidRDefault="001030B8" w:rsidP="001030B8">
      <w:pPr>
        <w:pStyle w:val="Body"/>
        <w:rPr>
          <w:rFonts w:ascii="Arial" w:hAnsi="Arial" w:cs="Arial"/>
        </w:rPr>
      </w:pPr>
      <w:r w:rsidRPr="001030B8">
        <w:rPr>
          <w:rFonts w:ascii="Arial" w:hAnsi="Arial" w:cs="Arial"/>
        </w:rPr>
        <w:t>Following purification, the PCR products were subjected to a second electrophoretic assessment to confirm recovery of the amplified DNA fragments. A 1.5% agarose gel was prepared in 1× TAE buffer, and electrophoresis was performed at 110 V for approximately 1 h. Samples yielding discrete DNA bands at the expected approximate size were considered to have satisfactory recovery of the target amplicon and were retained for sequence analysis.</w:t>
      </w:r>
    </w:p>
    <w:p w14:paraId="644473CA" w14:textId="77777777" w:rsidR="005C2F07" w:rsidRDefault="001030B8" w:rsidP="001030B8">
      <w:pPr>
        <w:pStyle w:val="Body"/>
        <w:spacing w:after="0"/>
        <w:rPr>
          <w:rFonts w:ascii="Arial" w:hAnsi="Arial" w:cs="Arial"/>
        </w:rPr>
      </w:pPr>
      <w:r w:rsidRPr="001030B8">
        <w:rPr>
          <w:rFonts w:ascii="Arial" w:hAnsi="Arial" w:cs="Arial"/>
        </w:rPr>
        <w:t xml:space="preserve">The concentration and purity of the purified DNA were subsequently determined using a </w:t>
      </w:r>
      <w:proofErr w:type="spellStart"/>
      <w:r w:rsidRPr="001030B8">
        <w:rPr>
          <w:rFonts w:ascii="Arial" w:hAnsi="Arial" w:cs="Arial"/>
        </w:rPr>
        <w:t>NanoDrop</w:t>
      </w:r>
      <w:proofErr w:type="spellEnd"/>
      <w:r w:rsidRPr="001030B8">
        <w:rPr>
          <w:rFonts w:ascii="Arial" w:hAnsi="Arial" w:cs="Arial"/>
        </w:rPr>
        <w:t>™ 2000 spectrophotometer (</w:t>
      </w:r>
      <w:proofErr w:type="spellStart"/>
      <w:r w:rsidRPr="001030B8">
        <w:rPr>
          <w:rFonts w:ascii="Arial" w:hAnsi="Arial" w:cs="Arial"/>
        </w:rPr>
        <w:t>Thermo</w:t>
      </w:r>
      <w:proofErr w:type="spellEnd"/>
      <w:r w:rsidRPr="001030B8">
        <w:rPr>
          <w:rFonts w:ascii="Arial" w:hAnsi="Arial" w:cs="Arial"/>
        </w:rPr>
        <w:t xml:space="preserve"> Scientific, Wilmington, DE, USA). Amplicons that demonstrated satisfactory electrophoretic recovery and suitable DNA quality were considered ready for downstream sequencing.</w:t>
      </w:r>
    </w:p>
    <w:p w14:paraId="311B0432" w14:textId="77777777" w:rsidR="001030B8" w:rsidRDefault="001030B8" w:rsidP="001030B8">
      <w:pPr>
        <w:pStyle w:val="Body"/>
        <w:spacing w:after="0"/>
        <w:rPr>
          <w:rFonts w:ascii="Arial" w:hAnsi="Arial" w:cs="Arial"/>
        </w:rPr>
      </w:pPr>
    </w:p>
    <w:p w14:paraId="747CB6A5" w14:textId="77777777" w:rsidR="005C2F07" w:rsidRPr="00D208D1" w:rsidRDefault="005C2F07" w:rsidP="005C2F07">
      <w:pPr>
        <w:pStyle w:val="Body"/>
        <w:rPr>
          <w:rFonts w:ascii="Arial" w:hAnsi="Arial" w:cs="Arial"/>
          <w:b/>
          <w:i/>
          <w:sz w:val="22"/>
          <w:szCs w:val="22"/>
        </w:rPr>
      </w:pPr>
      <w:r w:rsidRPr="00D208D1">
        <w:rPr>
          <w:rFonts w:ascii="Arial" w:hAnsi="Arial" w:cs="Arial"/>
          <w:b/>
          <w:i/>
          <w:sz w:val="22"/>
          <w:szCs w:val="22"/>
        </w:rPr>
        <w:t>2.3.3 DNA Sequencing, Sequence Analysis, and GenBank Submission</w:t>
      </w:r>
    </w:p>
    <w:p w14:paraId="6F77D8E4" w14:textId="77777777" w:rsidR="001B1246" w:rsidRPr="00D208D1" w:rsidRDefault="001B1246" w:rsidP="001B1246">
      <w:pPr>
        <w:pStyle w:val="Body"/>
        <w:rPr>
          <w:rFonts w:ascii="Arial" w:hAnsi="Arial" w:cs="Arial"/>
        </w:rPr>
      </w:pPr>
      <w:r w:rsidRPr="00D208D1">
        <w:rPr>
          <w:rFonts w:ascii="Arial" w:hAnsi="Arial" w:cs="Arial"/>
        </w:rPr>
        <w:t xml:space="preserve">Purified PCR products corresponding to the amplified 16S rRNA gene were prepared for nucleotide sequence determination using bidirectional Sanger sequencing. Sequencing reactions were carried out with the </w:t>
      </w:r>
      <w:proofErr w:type="spellStart"/>
      <w:r w:rsidRPr="00D208D1">
        <w:rPr>
          <w:rFonts w:ascii="Arial" w:hAnsi="Arial" w:cs="Arial"/>
        </w:rPr>
        <w:t>BigDye</w:t>
      </w:r>
      <w:proofErr w:type="spellEnd"/>
      <w:r w:rsidRPr="00D208D1">
        <w:rPr>
          <w:rFonts w:ascii="Arial" w:hAnsi="Arial" w:cs="Arial"/>
        </w:rPr>
        <w:t xml:space="preserve">® Terminator v3.1 Cycle Sequencing Kit (Applied Biosystems), using the purified amplicons as templates. The resulting extension products were resolved on an Applied Biosystems 3130xl Genetic Analyzer (Applied Biosystems, Foster City, CA, USA). The instrument is compatible with the </w:t>
      </w:r>
      <w:proofErr w:type="spellStart"/>
      <w:r w:rsidRPr="00D208D1">
        <w:rPr>
          <w:rFonts w:ascii="Arial" w:hAnsi="Arial" w:cs="Arial"/>
        </w:rPr>
        <w:t>BigDye</w:t>
      </w:r>
      <w:proofErr w:type="spellEnd"/>
      <w:r w:rsidRPr="00D208D1">
        <w:rPr>
          <w:rFonts w:ascii="Arial" w:hAnsi="Arial" w:cs="Arial"/>
        </w:rPr>
        <w:t xml:space="preserve"> Terminator v3.1 chemistry for automated capillary DNA sequencing (Applied Biosystems, 2010). Bidirectional </w:t>
      </w:r>
      <w:r w:rsidRPr="00D208D1">
        <w:rPr>
          <w:rFonts w:ascii="Arial" w:hAnsi="Arial" w:cs="Arial"/>
        </w:rPr>
        <w:lastRenderedPageBreak/>
        <w:t>sequencing was employed to obtain sequence information from both ends of the amplified fragment, thereby providing complementary reads for subsequent sequence assembly and identification.</w:t>
      </w:r>
    </w:p>
    <w:p w14:paraId="63C893E5" w14:textId="77777777" w:rsidR="001B1246" w:rsidRPr="00D208D1" w:rsidRDefault="001B1246" w:rsidP="001B1246">
      <w:pPr>
        <w:pStyle w:val="Body"/>
        <w:rPr>
          <w:rFonts w:ascii="Arial" w:hAnsi="Arial" w:cs="Arial"/>
        </w:rPr>
      </w:pPr>
      <w:r w:rsidRPr="00D208D1">
        <w:rPr>
          <w:rFonts w:ascii="Arial" w:hAnsi="Arial" w:cs="Arial"/>
        </w:rPr>
        <w:t xml:space="preserve">The use of 16S rRNA gene sequence information for bacterial identification is well established because this genetic marker contains conserved and variable regions that permit comparison of bacterial isolates with reference sequences. Sanger sequencing of amplified 16S rRNA genes remains a routinely applied approach for molecular identification of bacterial isolates (Janda &amp; Abbott, 2007; Locher </w:t>
      </w:r>
      <w:r w:rsidRPr="00015B63">
        <w:rPr>
          <w:rFonts w:ascii="Arial" w:hAnsi="Arial" w:cs="Arial"/>
          <w:i/>
        </w:rPr>
        <w:t>et al</w:t>
      </w:r>
      <w:r w:rsidRPr="00D208D1">
        <w:rPr>
          <w:rFonts w:ascii="Arial" w:hAnsi="Arial" w:cs="Arial"/>
        </w:rPr>
        <w:t>., 2022).</w:t>
      </w:r>
    </w:p>
    <w:p w14:paraId="20DE95C7" w14:textId="77777777" w:rsidR="001B1246" w:rsidRPr="00D208D1" w:rsidRDefault="001B1246" w:rsidP="001B1246">
      <w:pPr>
        <w:pStyle w:val="Body"/>
        <w:rPr>
          <w:rFonts w:ascii="Arial" w:hAnsi="Arial" w:cs="Arial"/>
        </w:rPr>
      </w:pPr>
      <w:r w:rsidRPr="00D208D1">
        <w:rPr>
          <w:rFonts w:ascii="Arial" w:hAnsi="Arial" w:cs="Arial"/>
        </w:rPr>
        <w:t>The quality of the generated chromatograms was first assessed to identify sequence reads suitable for downstream analysis. Sequences that passed this quality assessment were compared against reference nucleotide sequences in the National Center for Biotechnology Information (NCBI) database using the nucleotide Basic Local Alignment Search Tool (</w:t>
      </w:r>
      <w:proofErr w:type="spellStart"/>
      <w:r w:rsidRPr="00D208D1">
        <w:rPr>
          <w:rFonts w:ascii="Arial" w:hAnsi="Arial" w:cs="Arial"/>
        </w:rPr>
        <w:t>BLASTn</w:t>
      </w:r>
      <w:proofErr w:type="spellEnd"/>
      <w:r w:rsidRPr="00D208D1">
        <w:rPr>
          <w:rFonts w:ascii="Arial" w:hAnsi="Arial" w:cs="Arial"/>
        </w:rPr>
        <w:t xml:space="preserve">). Sequence identity was inferred from the similarity of the query sequences to database entries, with the BLAST algorithm providing statistical measures for evaluating the significance of the observed alignments (Altschul et al., 1990). The NCBI BLAST platform was used for the sequence-comparison analysis because it enables nucleotide queries to be matched against curated sequence databases and reports the corresponding alignment statistics and similarity relationships (National Center for Biotechnology Information [NCBI], 2026). The nucleotide sequences obtained from the purified 16S rRNA gene amplicons were subjected to comparative sequence analysis using the GenBank database. Each query sequence was aligned against available nucleotide records through the Basic Local Alignment Search Tool (BLAST), and the resulting matches were evaluated using the alignment statistics generated by the search. BLAST provides a framework for determining sequence similarity between a query sequence and sequences deposited in reference databases (Altschul </w:t>
      </w:r>
      <w:r w:rsidRPr="00015B63">
        <w:rPr>
          <w:rFonts w:ascii="Arial" w:hAnsi="Arial" w:cs="Arial"/>
          <w:i/>
        </w:rPr>
        <w:t>et al</w:t>
      </w:r>
      <w:r w:rsidRPr="00D208D1">
        <w:rPr>
          <w:rFonts w:ascii="Arial" w:hAnsi="Arial" w:cs="Arial"/>
        </w:rPr>
        <w:t xml:space="preserve">., 1990; Johnson </w:t>
      </w:r>
      <w:r w:rsidRPr="00015B63">
        <w:rPr>
          <w:rFonts w:ascii="Arial" w:hAnsi="Arial" w:cs="Arial"/>
          <w:i/>
        </w:rPr>
        <w:t>et al</w:t>
      </w:r>
      <w:r w:rsidRPr="00D208D1">
        <w:rPr>
          <w:rFonts w:ascii="Arial" w:hAnsi="Arial" w:cs="Arial"/>
        </w:rPr>
        <w:t>., 2008).</w:t>
      </w:r>
    </w:p>
    <w:p w14:paraId="1624C81D" w14:textId="77777777" w:rsidR="001B1246" w:rsidRPr="00D208D1" w:rsidRDefault="001B1246" w:rsidP="001B1246">
      <w:pPr>
        <w:pStyle w:val="Body"/>
        <w:rPr>
          <w:rFonts w:ascii="Arial" w:hAnsi="Arial" w:cs="Arial"/>
        </w:rPr>
      </w:pPr>
      <w:r w:rsidRPr="00D208D1">
        <w:rPr>
          <w:rFonts w:ascii="Arial" w:hAnsi="Arial" w:cs="Arial"/>
        </w:rPr>
        <w:t>Bacterial identification was based on the combination of sequence similarity and the proportion of the query sequence represented by the alignment. The best-supported taxonomic assignment was selected by considering the percentage identity and query coverage of the match, together with the reliability and taxonomic status of the corresponding reference sequence. This approach was adopted because 16S rRNA-based identification requires consideration of sequence similarity, database quality, and the taxonomic resolution of the marker rather than reliance on a similarity value alone (Janda &amp; Abbott, 2007).</w:t>
      </w:r>
    </w:p>
    <w:p w14:paraId="1C1DCBB1" w14:textId="77777777" w:rsidR="001B1246" w:rsidRPr="00D208D1" w:rsidRDefault="001B1246" w:rsidP="001B1246">
      <w:pPr>
        <w:pStyle w:val="Body"/>
        <w:rPr>
          <w:rFonts w:ascii="Arial" w:hAnsi="Arial" w:cs="Arial"/>
        </w:rPr>
      </w:pPr>
      <w:r w:rsidRPr="00D208D1">
        <w:rPr>
          <w:rFonts w:ascii="Arial" w:hAnsi="Arial" w:cs="Arial"/>
        </w:rPr>
        <w:t>Where closely related bacterial taxa produced comparable sequence matches, the identity of the isolate was interpreted conservatively and supported by comparison with appropriate reference sequences. This consideration is particularly important for 16S rRNA analysis because the resolving power of the gene may vary among bacterial groups and some closely related taxa cannot be reliably differentiated solely from 16S rRNA sequence similarity (Janda &amp; Abbott, 2007).</w:t>
      </w:r>
    </w:p>
    <w:p w14:paraId="3E1BFFE5" w14:textId="77777777" w:rsidR="00134AF0" w:rsidRPr="00D208D1" w:rsidRDefault="001B1246" w:rsidP="001B1246">
      <w:pPr>
        <w:pStyle w:val="Body"/>
        <w:spacing w:after="0"/>
        <w:rPr>
          <w:rFonts w:ascii="Arial" w:hAnsi="Arial" w:cs="Arial"/>
        </w:rPr>
      </w:pPr>
      <w:r w:rsidRPr="00D208D1">
        <w:rPr>
          <w:rFonts w:ascii="Arial" w:hAnsi="Arial" w:cs="Arial"/>
        </w:rPr>
        <w:t xml:space="preserve">Following sequence quality assessment and taxonomic confirmation, the nucleotide sequences generated in this study were submitted to the National Center for Biotechnology Information (NCBI) GenBank database to facilitate public access and future retrieval. Each successfully processed sequence record was assigned a unique GenBank accession number by the database. These accession numbers were subsequently used to identify and retrieve the corresponding nucleotide records and to provide a permanent reference for the bacterial isolates characterized in this study (Benson et al., 2018; National Center for Biotechnology Information [NCBI], 2026). GenBank accession numbers identify individual </w:t>
      </w:r>
      <w:r w:rsidRPr="00D208D1">
        <w:rPr>
          <w:rFonts w:ascii="Arial" w:hAnsi="Arial" w:cs="Arial"/>
        </w:rPr>
        <w:lastRenderedPageBreak/>
        <w:t>sequence records, while accession-version identifiers distinguish successive versions when sequence data are subsequently modified (NCBI, 2026).</w:t>
      </w:r>
    </w:p>
    <w:p w14:paraId="5334CFAE" w14:textId="77777777" w:rsidR="001B1246" w:rsidRDefault="001B1246" w:rsidP="001B1246">
      <w:pPr>
        <w:pStyle w:val="Body"/>
        <w:spacing w:after="0"/>
        <w:rPr>
          <w:rFonts w:ascii="Arial" w:hAnsi="Arial" w:cs="Arial"/>
        </w:rPr>
      </w:pPr>
    </w:p>
    <w:p w14:paraId="2C1017BC"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006B52C1" w14:textId="77777777" w:rsidR="00790ADA" w:rsidRDefault="00790ADA" w:rsidP="00441B6F">
      <w:pPr>
        <w:pStyle w:val="Head1"/>
        <w:spacing w:after="0"/>
        <w:jc w:val="both"/>
        <w:rPr>
          <w:rFonts w:ascii="Arial" w:hAnsi="Arial" w:cs="Arial"/>
        </w:rPr>
      </w:pPr>
    </w:p>
    <w:p w14:paraId="30526638" w14:textId="77777777" w:rsidR="007F63AF" w:rsidRPr="007A70A7" w:rsidRDefault="007F63AF" w:rsidP="007F63AF">
      <w:pPr>
        <w:rPr>
          <w:rFonts w:ascii="Arial" w:hAnsi="Arial" w:cs="Arial"/>
          <w:b/>
          <w:i/>
        </w:rPr>
      </w:pPr>
      <w:r w:rsidRPr="007A70A7">
        <w:rPr>
          <w:rFonts w:ascii="Arial" w:hAnsi="Arial" w:cs="Arial"/>
          <w:b/>
          <w:i/>
        </w:rPr>
        <w:t>3.1</w:t>
      </w:r>
      <w:r w:rsidRPr="007A70A7">
        <w:rPr>
          <w:rFonts w:ascii="Arial" w:hAnsi="Arial" w:cs="Arial"/>
        </w:rPr>
        <w:t xml:space="preserve"> </w:t>
      </w:r>
      <w:r w:rsidRPr="007A70A7">
        <w:rPr>
          <w:rFonts w:ascii="Arial" w:hAnsi="Arial" w:cs="Arial"/>
          <w:b/>
          <w:i/>
        </w:rPr>
        <w:t xml:space="preserve">Morphological, Biochemical Characteristics and Sugar fermentation pattern of </w:t>
      </w:r>
      <w:proofErr w:type="spellStart"/>
      <w:r w:rsidRPr="007A70A7">
        <w:rPr>
          <w:rFonts w:ascii="Arial" w:hAnsi="Arial" w:cs="Arial"/>
          <w:b/>
          <w:i/>
        </w:rPr>
        <w:t>Enterbacteriaceae</w:t>
      </w:r>
      <w:proofErr w:type="spellEnd"/>
      <w:r w:rsidRPr="007A70A7">
        <w:rPr>
          <w:rFonts w:ascii="Arial" w:hAnsi="Arial" w:cs="Arial"/>
          <w:b/>
          <w:i/>
        </w:rPr>
        <w:t xml:space="preserve"> species isolated from Pigs’ </w:t>
      </w:r>
      <w:proofErr w:type="spellStart"/>
      <w:r w:rsidRPr="007A70A7">
        <w:rPr>
          <w:rFonts w:ascii="Arial" w:hAnsi="Arial" w:cs="Arial"/>
          <w:b/>
          <w:i/>
        </w:rPr>
        <w:t>faeces</w:t>
      </w:r>
      <w:proofErr w:type="spellEnd"/>
      <w:r w:rsidRPr="007A70A7">
        <w:rPr>
          <w:rFonts w:ascii="Arial" w:hAnsi="Arial" w:cs="Arial"/>
          <w:b/>
          <w:i/>
        </w:rPr>
        <w:t xml:space="preserve"> and Cow Intestines</w:t>
      </w:r>
    </w:p>
    <w:p w14:paraId="64283D59" w14:textId="77777777" w:rsidR="007F63AF" w:rsidRPr="00FB3A86" w:rsidRDefault="007F63AF" w:rsidP="00441B6F">
      <w:pPr>
        <w:pStyle w:val="Head1"/>
        <w:spacing w:after="0"/>
        <w:jc w:val="both"/>
        <w:rPr>
          <w:rFonts w:ascii="Arial" w:hAnsi="Arial" w:cs="Arial"/>
        </w:rPr>
      </w:pPr>
    </w:p>
    <w:p w14:paraId="76C65DDA" w14:textId="77777777" w:rsidR="00513825" w:rsidRPr="00D208D1" w:rsidRDefault="00513825" w:rsidP="00F56ED8">
      <w:pPr>
        <w:jc w:val="both"/>
        <w:rPr>
          <w:rFonts w:ascii="Arial" w:hAnsi="Arial" w:cs="Arial"/>
        </w:rPr>
      </w:pPr>
      <w:r w:rsidRPr="00D208D1">
        <w:rPr>
          <w:rFonts w:ascii="Arial" w:hAnsi="Arial" w:cs="Arial"/>
        </w:rPr>
        <w:t xml:space="preserve">The morphological, biochemical, and carbohydrate fermentation characteristics of bacterial isolates recovered from pig </w:t>
      </w:r>
      <w:proofErr w:type="spellStart"/>
      <w:r w:rsidRPr="00D208D1">
        <w:rPr>
          <w:rFonts w:ascii="Arial" w:hAnsi="Arial" w:cs="Arial"/>
        </w:rPr>
        <w:t>faeces</w:t>
      </w:r>
      <w:proofErr w:type="spellEnd"/>
      <w:r w:rsidRPr="00D208D1">
        <w:rPr>
          <w:rFonts w:ascii="Arial" w:hAnsi="Arial" w:cs="Arial"/>
        </w:rPr>
        <w:t xml:space="preserve"> and cow intestines revealed a diverse community of Gram-negative bacteria, comprising members of the family Enterobacteriaceae as well as other intestinal microorganisms (Table 1). The gastrointestinal tract of food-producing animals represents a complex microbial ecosystem containing numerous bacterial taxa with varying ecological and clinical significance. Among the organisms commonly associated with this intestinal community are members of the family Enterobacteriaceae, including </w:t>
      </w:r>
      <w:r w:rsidRPr="00C7643B">
        <w:rPr>
          <w:rFonts w:ascii="Arial" w:hAnsi="Arial" w:cs="Arial"/>
          <w:i/>
        </w:rPr>
        <w:t xml:space="preserve">Escherichia coli, Klebsiella pneumoniae, Enterobacter cloacae, Citrobacter </w:t>
      </w:r>
      <w:proofErr w:type="spellStart"/>
      <w:r w:rsidRPr="00C7643B">
        <w:rPr>
          <w:rFonts w:ascii="Arial" w:hAnsi="Arial" w:cs="Arial"/>
          <w:i/>
        </w:rPr>
        <w:t>freundii</w:t>
      </w:r>
      <w:proofErr w:type="spellEnd"/>
      <w:r w:rsidRPr="00C7643B">
        <w:rPr>
          <w:rFonts w:ascii="Arial" w:hAnsi="Arial" w:cs="Arial"/>
          <w:i/>
        </w:rPr>
        <w:t xml:space="preserve">, Proteus mirabilis, Salmonella enterica </w:t>
      </w:r>
      <w:r w:rsidRPr="00C7643B">
        <w:rPr>
          <w:rFonts w:ascii="Arial" w:hAnsi="Arial" w:cs="Arial"/>
        </w:rPr>
        <w:t>and</w:t>
      </w:r>
      <w:r w:rsidRPr="00C7643B">
        <w:rPr>
          <w:rFonts w:ascii="Arial" w:hAnsi="Arial" w:cs="Arial"/>
          <w:i/>
        </w:rPr>
        <w:t xml:space="preserve"> Shigella spp</w:t>
      </w:r>
      <w:r w:rsidRPr="00D208D1">
        <w:rPr>
          <w:rFonts w:ascii="Arial" w:hAnsi="Arial" w:cs="Arial"/>
        </w:rPr>
        <w:t xml:space="preserve">., together with several species of </w:t>
      </w:r>
      <w:r w:rsidRPr="00C7643B">
        <w:rPr>
          <w:rFonts w:ascii="Arial" w:hAnsi="Arial" w:cs="Arial"/>
          <w:i/>
        </w:rPr>
        <w:t>Yersinia</w:t>
      </w:r>
      <w:r w:rsidRPr="00D208D1">
        <w:rPr>
          <w:rFonts w:ascii="Arial" w:hAnsi="Arial" w:cs="Arial"/>
        </w:rPr>
        <w:t xml:space="preserve">. While many intestinal members occur as commensals, others possess pathogenic potential and could serve as reservoirs of antimicrobial resistance determinants. Consequently, the intestinal microbiota of livestock constitutes an important interface for the persistence, exchange and dissemination of bacterial populations of veterinary and public-health significance (Heredia &amp; García, 2018; McMillan </w:t>
      </w:r>
      <w:r w:rsidRPr="007A4BEB">
        <w:rPr>
          <w:rFonts w:ascii="Arial" w:hAnsi="Arial" w:cs="Arial"/>
          <w:i/>
        </w:rPr>
        <w:t>et al</w:t>
      </w:r>
      <w:r w:rsidRPr="00D208D1">
        <w:rPr>
          <w:rFonts w:ascii="Arial" w:hAnsi="Arial" w:cs="Arial"/>
        </w:rPr>
        <w:t xml:space="preserve">., 2020; Zinno </w:t>
      </w:r>
      <w:r w:rsidRPr="007A4BEB">
        <w:rPr>
          <w:rFonts w:ascii="Arial" w:hAnsi="Arial" w:cs="Arial"/>
          <w:i/>
        </w:rPr>
        <w:t>et al</w:t>
      </w:r>
      <w:r w:rsidRPr="00D208D1">
        <w:rPr>
          <w:rFonts w:ascii="Arial" w:hAnsi="Arial" w:cs="Arial"/>
        </w:rPr>
        <w:t xml:space="preserve">., 2023). Previous investigations involving food-producing animals have likewise demonstrated that these bacterial populations are naturally associated with the intestinal microbial community but may also function as important sources of zoonotic pathogens and reservoirs of antimicrobial resistance genes (Garcia </w:t>
      </w:r>
      <w:r w:rsidRPr="007A4BEB">
        <w:rPr>
          <w:rFonts w:ascii="Arial" w:hAnsi="Arial" w:cs="Arial"/>
          <w:i/>
        </w:rPr>
        <w:t>et al</w:t>
      </w:r>
      <w:r w:rsidRPr="00D208D1">
        <w:rPr>
          <w:rFonts w:ascii="Arial" w:hAnsi="Arial" w:cs="Arial"/>
        </w:rPr>
        <w:t xml:space="preserve">., 2024; </w:t>
      </w:r>
      <w:proofErr w:type="spellStart"/>
      <w:r w:rsidRPr="00D208D1">
        <w:rPr>
          <w:rFonts w:ascii="Arial" w:hAnsi="Arial" w:cs="Arial"/>
        </w:rPr>
        <w:t>Tuhamize</w:t>
      </w:r>
      <w:proofErr w:type="spellEnd"/>
      <w:r w:rsidRPr="00D208D1">
        <w:rPr>
          <w:rFonts w:ascii="Arial" w:hAnsi="Arial" w:cs="Arial"/>
        </w:rPr>
        <w:t xml:space="preserve"> &amp; </w:t>
      </w:r>
      <w:proofErr w:type="spellStart"/>
      <w:r w:rsidRPr="00D208D1">
        <w:rPr>
          <w:rFonts w:ascii="Arial" w:hAnsi="Arial" w:cs="Arial"/>
        </w:rPr>
        <w:t>Bazira</w:t>
      </w:r>
      <w:proofErr w:type="spellEnd"/>
      <w:r w:rsidRPr="00D208D1">
        <w:rPr>
          <w:rFonts w:ascii="Arial" w:hAnsi="Arial" w:cs="Arial"/>
        </w:rPr>
        <w:t xml:space="preserve">, 2024). </w:t>
      </w:r>
    </w:p>
    <w:p w14:paraId="330B6689" w14:textId="77777777" w:rsidR="00513825" w:rsidRPr="00D208D1" w:rsidRDefault="00513825" w:rsidP="00F56ED8">
      <w:pPr>
        <w:jc w:val="both"/>
        <w:rPr>
          <w:rFonts w:ascii="Arial" w:hAnsi="Arial" w:cs="Arial"/>
        </w:rPr>
      </w:pPr>
      <w:r w:rsidRPr="00D208D1">
        <w:rPr>
          <w:rFonts w:ascii="Arial" w:hAnsi="Arial" w:cs="Arial"/>
        </w:rPr>
        <w:t xml:space="preserve">The biochemical characterization of the isolates provided a phenotypic basis for distinguishing among bacterial taxa with closely related characteristics. Identification was supported by the combined reaction patterns obtained from tests for urease activity, citrate assimilation, indole production, motility, methyl red and Voges–Proskauer reactions, gelatin hydrolysis, and nitrate reduction. Rather than relying on a single biochemical response, the overall profile generated from these assays was used to support differentiation at the species level. Such combinations of biochemical characteristics have been widely applied in the identification and differentiation of members of the Enterobacteriaceae (Stiles &amp; Ng, 1981; Farmer </w:t>
      </w:r>
      <w:r w:rsidRPr="007A4BEB">
        <w:rPr>
          <w:rFonts w:ascii="Arial" w:hAnsi="Arial" w:cs="Arial"/>
          <w:i/>
        </w:rPr>
        <w:t>et al</w:t>
      </w:r>
      <w:r w:rsidRPr="00D208D1">
        <w:rPr>
          <w:rFonts w:ascii="Arial" w:hAnsi="Arial" w:cs="Arial"/>
        </w:rPr>
        <w:t xml:space="preserve">., 1985). Furthermore, variations in glucose, lactose, and sucrose fermentation patterns strengthened the accuracy of bacterial classification. For example, </w:t>
      </w:r>
      <w:r w:rsidRPr="00C7643B">
        <w:rPr>
          <w:rFonts w:ascii="Arial" w:hAnsi="Arial" w:cs="Arial"/>
          <w:i/>
        </w:rPr>
        <w:t>E. coli</w:t>
      </w:r>
      <w:r w:rsidRPr="00D208D1">
        <w:rPr>
          <w:rFonts w:ascii="Arial" w:hAnsi="Arial" w:cs="Arial"/>
        </w:rPr>
        <w:t xml:space="preserve"> exhibited positive indole and methyl red reactions, whereas </w:t>
      </w:r>
      <w:r w:rsidRPr="00C7643B">
        <w:rPr>
          <w:rFonts w:ascii="Arial" w:hAnsi="Arial" w:cs="Arial"/>
          <w:i/>
        </w:rPr>
        <w:t>K. pneumoniae</w:t>
      </w:r>
      <w:r w:rsidRPr="00D208D1">
        <w:rPr>
          <w:rFonts w:ascii="Arial" w:hAnsi="Arial" w:cs="Arial"/>
        </w:rPr>
        <w:t xml:space="preserve"> was characterized by positive urease and citrate utilization tests but lacked motility. The observed biochemical profiles correspond with the </w:t>
      </w:r>
      <w:proofErr w:type="spellStart"/>
      <w:r w:rsidRPr="00D208D1">
        <w:rPr>
          <w:rFonts w:ascii="Arial" w:hAnsi="Arial" w:cs="Arial"/>
        </w:rPr>
        <w:t>recognised</w:t>
      </w:r>
      <w:proofErr w:type="spellEnd"/>
      <w:r w:rsidRPr="00D208D1">
        <w:rPr>
          <w:rFonts w:ascii="Arial" w:hAnsi="Arial" w:cs="Arial"/>
        </w:rPr>
        <w:t xml:space="preserve"> taxonomic features of enteric bacteria and continue to serve as important phenotypic criteria for their routine identification in veterinary microbiology laboratories.</w:t>
      </w:r>
    </w:p>
    <w:p w14:paraId="576976CD" w14:textId="77777777" w:rsidR="00513825" w:rsidRPr="00D208D1" w:rsidRDefault="00513825" w:rsidP="00F56ED8">
      <w:pPr>
        <w:jc w:val="both"/>
        <w:rPr>
          <w:rFonts w:ascii="Arial" w:hAnsi="Arial" w:cs="Arial"/>
        </w:rPr>
      </w:pPr>
      <w:r w:rsidRPr="00D208D1">
        <w:rPr>
          <w:rFonts w:ascii="Arial" w:hAnsi="Arial" w:cs="Arial"/>
        </w:rPr>
        <w:t xml:space="preserve">The detection of multiple </w:t>
      </w:r>
      <w:r w:rsidRPr="00C7643B">
        <w:rPr>
          <w:rFonts w:ascii="Arial" w:hAnsi="Arial" w:cs="Arial"/>
          <w:i/>
        </w:rPr>
        <w:t>Yersinia</w:t>
      </w:r>
      <w:r w:rsidRPr="00D208D1">
        <w:rPr>
          <w:rFonts w:ascii="Arial" w:hAnsi="Arial" w:cs="Arial"/>
        </w:rPr>
        <w:t xml:space="preserve"> species, including </w:t>
      </w:r>
      <w:r w:rsidRPr="00C7643B">
        <w:rPr>
          <w:rFonts w:ascii="Arial" w:hAnsi="Arial" w:cs="Arial"/>
          <w:i/>
        </w:rPr>
        <w:t xml:space="preserve">Yersinia enterocolitica, Yersinia pseudotuberculosis, Yersinia </w:t>
      </w:r>
      <w:proofErr w:type="spellStart"/>
      <w:r w:rsidRPr="00C7643B">
        <w:rPr>
          <w:rFonts w:ascii="Arial" w:hAnsi="Arial" w:cs="Arial"/>
          <w:i/>
        </w:rPr>
        <w:t>kristensenii</w:t>
      </w:r>
      <w:proofErr w:type="spellEnd"/>
      <w:r w:rsidRPr="00C7643B">
        <w:rPr>
          <w:rFonts w:ascii="Arial" w:hAnsi="Arial" w:cs="Arial"/>
          <w:i/>
        </w:rPr>
        <w:t>,</w:t>
      </w:r>
      <w:r w:rsidRPr="00D208D1">
        <w:rPr>
          <w:rFonts w:ascii="Arial" w:hAnsi="Arial" w:cs="Arial"/>
        </w:rPr>
        <w:t xml:space="preserve"> and </w:t>
      </w:r>
      <w:r w:rsidRPr="00C7643B">
        <w:rPr>
          <w:rFonts w:ascii="Arial" w:hAnsi="Arial" w:cs="Arial"/>
          <w:i/>
        </w:rPr>
        <w:t>Yersinia intermedia</w:t>
      </w:r>
      <w:r w:rsidRPr="00D208D1">
        <w:rPr>
          <w:rFonts w:ascii="Arial" w:hAnsi="Arial" w:cs="Arial"/>
        </w:rPr>
        <w:t>, is noteworthy because the genus comprises bacteria of considerable public health relevance, with several species implicated in zoonotic transmission and foodborne gastrointestinal disease (</w:t>
      </w:r>
      <w:proofErr w:type="spellStart"/>
      <w:r w:rsidRPr="00D208D1">
        <w:rPr>
          <w:rFonts w:ascii="Arial" w:hAnsi="Arial" w:cs="Arial"/>
        </w:rPr>
        <w:t>Bancerz</w:t>
      </w:r>
      <w:proofErr w:type="spellEnd"/>
      <w:r w:rsidRPr="00D208D1">
        <w:rPr>
          <w:rFonts w:ascii="Arial" w:hAnsi="Arial" w:cs="Arial"/>
        </w:rPr>
        <w:t xml:space="preserve">-Kisiel &amp; Szweda, 2022; EFSA &amp; ECDC, 2024). Distinct biochemical profiles observed among the isolates enabled their differentiation from other Enterobacteriaceae. Recent studies have demonstrated that pigs represent one of the principal reservoirs of pathogenic </w:t>
      </w:r>
      <w:r w:rsidRPr="005F40C1">
        <w:rPr>
          <w:rFonts w:ascii="Arial" w:hAnsi="Arial" w:cs="Arial"/>
          <w:i/>
        </w:rPr>
        <w:t>Y. enterocolitica</w:t>
      </w:r>
      <w:r w:rsidRPr="00D208D1">
        <w:rPr>
          <w:rFonts w:ascii="Arial" w:hAnsi="Arial" w:cs="Arial"/>
        </w:rPr>
        <w:t xml:space="preserve">, with transmission occurring through contaminated pork products and environmental exposure, thereby posing significant public health concerns (Lou </w:t>
      </w:r>
      <w:r w:rsidRPr="007A4BEB">
        <w:rPr>
          <w:rFonts w:ascii="Arial" w:hAnsi="Arial" w:cs="Arial"/>
          <w:i/>
        </w:rPr>
        <w:t>et al</w:t>
      </w:r>
      <w:r w:rsidRPr="00D208D1">
        <w:rPr>
          <w:rFonts w:ascii="Arial" w:hAnsi="Arial" w:cs="Arial"/>
        </w:rPr>
        <w:t xml:space="preserve">., 2026). </w:t>
      </w:r>
    </w:p>
    <w:p w14:paraId="03FF78EF" w14:textId="77777777" w:rsidR="00513825" w:rsidRPr="00D208D1" w:rsidRDefault="00513825" w:rsidP="00F56ED8">
      <w:pPr>
        <w:jc w:val="both"/>
        <w:rPr>
          <w:rFonts w:ascii="Arial" w:hAnsi="Arial" w:cs="Arial"/>
        </w:rPr>
      </w:pPr>
      <w:r w:rsidRPr="00D208D1">
        <w:rPr>
          <w:rFonts w:ascii="Arial" w:hAnsi="Arial" w:cs="Arial"/>
        </w:rPr>
        <w:t xml:space="preserve">The recovery of opportunistic and pathogenic bacteria such as Salmonella, Shigella, Yersinia, Klebsiella, and Proteus further suggests that pigs and cattle can serve as important sources of microorganisms capable of causing disease in both animals and humans. The </w:t>
      </w:r>
      <w:r w:rsidRPr="00D208D1">
        <w:rPr>
          <w:rFonts w:ascii="Arial" w:hAnsi="Arial" w:cs="Arial"/>
        </w:rPr>
        <w:lastRenderedPageBreak/>
        <w:t xml:space="preserve">gastrointestinal carriage of organisms such as </w:t>
      </w:r>
      <w:r w:rsidRPr="007A4BEB">
        <w:rPr>
          <w:rFonts w:ascii="Arial" w:hAnsi="Arial" w:cs="Arial"/>
          <w:i/>
        </w:rPr>
        <w:t>K. pneumoniae</w:t>
      </w:r>
      <w:r w:rsidRPr="00D208D1">
        <w:rPr>
          <w:rFonts w:ascii="Arial" w:hAnsi="Arial" w:cs="Arial"/>
        </w:rPr>
        <w:t xml:space="preserve"> enhances the potential for environmental dissemination and transmission through the food chain, particularly under poor hygienic conditions (Bray &amp; Zafar, 2024; Kot &amp; </w:t>
      </w:r>
      <w:proofErr w:type="spellStart"/>
      <w:r w:rsidRPr="00D208D1">
        <w:rPr>
          <w:rFonts w:ascii="Arial" w:hAnsi="Arial" w:cs="Arial"/>
        </w:rPr>
        <w:t>Witeska</w:t>
      </w:r>
      <w:proofErr w:type="spellEnd"/>
      <w:r w:rsidRPr="00D208D1">
        <w:rPr>
          <w:rFonts w:ascii="Arial" w:hAnsi="Arial" w:cs="Arial"/>
        </w:rPr>
        <w:t xml:space="preserve">, 2024). The recovery of these microorganisms from </w:t>
      </w:r>
      <w:proofErr w:type="spellStart"/>
      <w:r w:rsidRPr="00D208D1">
        <w:rPr>
          <w:rFonts w:ascii="Arial" w:hAnsi="Arial" w:cs="Arial"/>
        </w:rPr>
        <w:t>faecal</w:t>
      </w:r>
      <w:proofErr w:type="spellEnd"/>
      <w:r w:rsidRPr="00D208D1">
        <w:rPr>
          <w:rFonts w:ascii="Arial" w:hAnsi="Arial" w:cs="Arial"/>
        </w:rPr>
        <w:t xml:space="preserve"> and intestinal specimens highlights the importance of implementing comprehensive biosecurity practices, maintaining high standards of hygiene throughout animal production and processing, conducting regular microbiological surveillance, and strengthening antimicrobial resistance monitoring </w:t>
      </w:r>
      <w:proofErr w:type="spellStart"/>
      <w:r w:rsidRPr="00D208D1">
        <w:rPr>
          <w:rFonts w:ascii="Arial" w:hAnsi="Arial" w:cs="Arial"/>
        </w:rPr>
        <w:t>programmes</w:t>
      </w:r>
      <w:proofErr w:type="spellEnd"/>
      <w:r w:rsidRPr="00D208D1">
        <w:rPr>
          <w:rFonts w:ascii="Arial" w:hAnsi="Arial" w:cs="Arial"/>
        </w:rPr>
        <w:t xml:space="preserve"> to </w:t>
      </w:r>
      <w:proofErr w:type="spellStart"/>
      <w:r w:rsidRPr="00D208D1">
        <w:rPr>
          <w:rFonts w:ascii="Arial" w:hAnsi="Arial" w:cs="Arial"/>
        </w:rPr>
        <w:t>minimise</w:t>
      </w:r>
      <w:proofErr w:type="spellEnd"/>
      <w:r w:rsidRPr="00D208D1">
        <w:rPr>
          <w:rFonts w:ascii="Arial" w:hAnsi="Arial" w:cs="Arial"/>
        </w:rPr>
        <w:t xml:space="preserve"> contamination of animal-derived foods and limit the transfer of zoonotic pathogens to humans (Tseng </w:t>
      </w:r>
      <w:r w:rsidRPr="007A4BEB">
        <w:rPr>
          <w:rFonts w:ascii="Arial" w:hAnsi="Arial" w:cs="Arial"/>
          <w:i/>
        </w:rPr>
        <w:t>et al</w:t>
      </w:r>
      <w:r w:rsidRPr="00D208D1">
        <w:rPr>
          <w:rFonts w:ascii="Arial" w:hAnsi="Arial" w:cs="Arial"/>
        </w:rPr>
        <w:t xml:space="preserve">., 2023; </w:t>
      </w:r>
      <w:proofErr w:type="spellStart"/>
      <w:r w:rsidRPr="00D208D1">
        <w:rPr>
          <w:rFonts w:ascii="Arial" w:hAnsi="Arial" w:cs="Arial"/>
        </w:rPr>
        <w:t>Tuhamize</w:t>
      </w:r>
      <w:proofErr w:type="spellEnd"/>
      <w:r w:rsidRPr="00D208D1">
        <w:rPr>
          <w:rFonts w:ascii="Arial" w:hAnsi="Arial" w:cs="Arial"/>
        </w:rPr>
        <w:t xml:space="preserve"> &amp; </w:t>
      </w:r>
      <w:proofErr w:type="spellStart"/>
      <w:r w:rsidRPr="00D208D1">
        <w:rPr>
          <w:rFonts w:ascii="Arial" w:hAnsi="Arial" w:cs="Arial"/>
        </w:rPr>
        <w:t>Bazira</w:t>
      </w:r>
      <w:proofErr w:type="spellEnd"/>
      <w:r w:rsidRPr="00D208D1">
        <w:rPr>
          <w:rFonts w:ascii="Arial" w:hAnsi="Arial" w:cs="Arial"/>
        </w:rPr>
        <w:t xml:space="preserve">, 2024). </w:t>
      </w:r>
    </w:p>
    <w:p w14:paraId="7ACF0FDC" w14:textId="77777777" w:rsidR="00513825" w:rsidRDefault="00513825" w:rsidP="00513825">
      <w:pPr>
        <w:rPr>
          <w:rFonts w:ascii="Times New Roman" w:hAnsi="Times New Roman"/>
          <w:sz w:val="24"/>
          <w:szCs w:val="24"/>
        </w:rPr>
      </w:pPr>
    </w:p>
    <w:p w14:paraId="74A05D1C" w14:textId="77777777" w:rsidR="00AD36A2" w:rsidRPr="008E3F2A" w:rsidRDefault="00202E46" w:rsidP="00513825">
      <w:pPr>
        <w:rPr>
          <w:rFonts w:ascii="Arial" w:hAnsi="Arial" w:cs="Arial"/>
          <w:b/>
        </w:rPr>
      </w:pPr>
      <w:r w:rsidRPr="008E3F2A">
        <w:rPr>
          <w:rFonts w:ascii="Arial" w:hAnsi="Arial" w:cs="Arial"/>
          <w:b/>
        </w:rPr>
        <w:t>Table 1.</w:t>
      </w:r>
      <w:r w:rsidR="00AD36A2" w:rsidRPr="008E3F2A">
        <w:rPr>
          <w:rFonts w:ascii="Arial" w:hAnsi="Arial" w:cs="Arial"/>
          <w:b/>
        </w:rPr>
        <w:t xml:space="preserve"> Morphological, Sugar fermentation pattern and Biochemical Characteristics of </w:t>
      </w:r>
      <w:proofErr w:type="spellStart"/>
      <w:r w:rsidR="00AD36A2" w:rsidRPr="008E3F2A">
        <w:rPr>
          <w:rFonts w:ascii="Arial" w:hAnsi="Arial" w:cs="Arial"/>
          <w:b/>
        </w:rPr>
        <w:t>Enterbacteriaceae</w:t>
      </w:r>
      <w:proofErr w:type="spellEnd"/>
      <w:r w:rsidR="00AD36A2" w:rsidRPr="008E3F2A">
        <w:rPr>
          <w:rFonts w:ascii="Arial" w:hAnsi="Arial" w:cs="Arial"/>
          <w:b/>
        </w:rPr>
        <w:t xml:space="preserve"> species isolated from Pigs’ </w:t>
      </w:r>
      <w:proofErr w:type="spellStart"/>
      <w:r w:rsidR="00AD36A2" w:rsidRPr="008E3F2A">
        <w:rPr>
          <w:rFonts w:ascii="Arial" w:hAnsi="Arial" w:cs="Arial"/>
          <w:b/>
        </w:rPr>
        <w:t>faeces</w:t>
      </w:r>
      <w:proofErr w:type="spellEnd"/>
      <w:r w:rsidR="00AD36A2" w:rsidRPr="008E3F2A">
        <w:rPr>
          <w:rFonts w:ascii="Arial" w:hAnsi="Arial" w:cs="Arial"/>
          <w:b/>
        </w:rPr>
        <w:t xml:space="preserve"> and Cow Intestines</w:t>
      </w:r>
    </w:p>
    <w:p w14:paraId="4720F47B" w14:textId="77777777" w:rsidR="00AD36A2" w:rsidRPr="00202E46" w:rsidRDefault="00AD36A2" w:rsidP="00AD36A2">
      <w:pPr>
        <w:rPr>
          <w:rFonts w:ascii="Arial" w:hAnsi="Arial" w:cs="Arial"/>
          <w:b/>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526"/>
        <w:gridCol w:w="477"/>
        <w:gridCol w:w="477"/>
        <w:gridCol w:w="526"/>
        <w:gridCol w:w="475"/>
        <w:gridCol w:w="475"/>
        <w:gridCol w:w="430"/>
        <w:gridCol w:w="600"/>
        <w:gridCol w:w="600"/>
        <w:gridCol w:w="411"/>
        <w:gridCol w:w="411"/>
        <w:gridCol w:w="411"/>
        <w:gridCol w:w="2119"/>
      </w:tblGrid>
      <w:tr w:rsidR="00AD36A2" w:rsidRPr="006B1E0F" w14:paraId="0915A5F7" w14:textId="77777777" w:rsidTr="001F532B">
        <w:trPr>
          <w:cantSplit/>
          <w:trHeight w:val="1134"/>
        </w:trPr>
        <w:tc>
          <w:tcPr>
            <w:tcW w:w="290" w:type="pct"/>
            <w:tcBorders>
              <w:top w:val="single" w:sz="4" w:space="0" w:color="auto"/>
              <w:bottom w:val="single" w:sz="4" w:space="0" w:color="auto"/>
            </w:tcBorders>
            <w:textDirection w:val="btLr"/>
          </w:tcPr>
          <w:p w14:paraId="564FEF85" w14:textId="77777777" w:rsidR="00AD36A2" w:rsidRPr="006B1E0F" w:rsidRDefault="00AD36A2" w:rsidP="00720D6B">
            <w:pPr>
              <w:spacing w:before="100" w:beforeAutospacing="1" w:after="100" w:afterAutospacing="1"/>
              <w:ind w:left="113" w:right="113"/>
              <w:rPr>
                <w:rFonts w:ascii="Arial" w:hAnsi="Arial" w:cs="Arial"/>
                <w:b/>
                <w:sz w:val="16"/>
                <w:szCs w:val="16"/>
              </w:rPr>
            </w:pPr>
            <w:r w:rsidRPr="006B1E0F">
              <w:rPr>
                <w:rFonts w:ascii="Arial" w:hAnsi="Arial" w:cs="Arial"/>
                <w:b/>
                <w:sz w:val="16"/>
                <w:szCs w:val="16"/>
              </w:rPr>
              <w:t>Gram Reaction</w:t>
            </w:r>
          </w:p>
        </w:tc>
        <w:tc>
          <w:tcPr>
            <w:tcW w:w="314" w:type="pct"/>
            <w:tcBorders>
              <w:top w:val="single" w:sz="4" w:space="0" w:color="auto"/>
              <w:bottom w:val="single" w:sz="4" w:space="0" w:color="auto"/>
            </w:tcBorders>
            <w:textDirection w:val="btLr"/>
          </w:tcPr>
          <w:p w14:paraId="53A49D2D" w14:textId="77777777" w:rsidR="00AD36A2" w:rsidRPr="006B1E0F" w:rsidRDefault="00AD36A2" w:rsidP="00720D6B">
            <w:pPr>
              <w:ind w:left="113" w:right="113"/>
              <w:rPr>
                <w:rFonts w:ascii="Arial" w:hAnsi="Arial" w:cs="Arial"/>
                <w:b/>
                <w:sz w:val="16"/>
                <w:szCs w:val="16"/>
              </w:rPr>
            </w:pPr>
            <w:r w:rsidRPr="006B1E0F">
              <w:rPr>
                <w:rFonts w:ascii="Arial" w:hAnsi="Arial" w:cs="Arial"/>
                <w:b/>
                <w:sz w:val="16"/>
                <w:szCs w:val="16"/>
              </w:rPr>
              <w:t>Oxidase test</w:t>
            </w:r>
          </w:p>
          <w:p w14:paraId="6D2EBBB5" w14:textId="77777777" w:rsidR="00AD36A2" w:rsidRPr="006B1E0F" w:rsidRDefault="00AD36A2" w:rsidP="00720D6B">
            <w:pPr>
              <w:spacing w:before="100" w:beforeAutospacing="1" w:after="100" w:afterAutospacing="1"/>
              <w:ind w:left="113" w:right="113"/>
              <w:rPr>
                <w:rFonts w:ascii="Arial" w:hAnsi="Arial" w:cs="Arial"/>
                <w:b/>
                <w:sz w:val="16"/>
                <w:szCs w:val="16"/>
              </w:rPr>
            </w:pPr>
          </w:p>
        </w:tc>
        <w:tc>
          <w:tcPr>
            <w:tcW w:w="285" w:type="pct"/>
            <w:tcBorders>
              <w:top w:val="single" w:sz="4" w:space="0" w:color="auto"/>
              <w:bottom w:val="single" w:sz="4" w:space="0" w:color="auto"/>
            </w:tcBorders>
            <w:textDirection w:val="btLr"/>
          </w:tcPr>
          <w:p w14:paraId="34E41254"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Urease test</w:t>
            </w:r>
          </w:p>
          <w:p w14:paraId="2C9FF8DC" w14:textId="77777777" w:rsidR="00AD36A2" w:rsidRPr="006B1E0F" w:rsidRDefault="00AD36A2" w:rsidP="00720D6B">
            <w:pPr>
              <w:spacing w:before="100" w:beforeAutospacing="1" w:after="100" w:afterAutospacing="1"/>
              <w:ind w:left="113" w:right="113"/>
              <w:rPr>
                <w:rFonts w:ascii="Arial" w:hAnsi="Arial" w:cs="Arial"/>
                <w:b/>
                <w:sz w:val="16"/>
                <w:szCs w:val="16"/>
              </w:rPr>
            </w:pPr>
          </w:p>
        </w:tc>
        <w:tc>
          <w:tcPr>
            <w:tcW w:w="285" w:type="pct"/>
            <w:tcBorders>
              <w:top w:val="single" w:sz="4" w:space="0" w:color="auto"/>
              <w:bottom w:val="single" w:sz="4" w:space="0" w:color="auto"/>
            </w:tcBorders>
            <w:textDirection w:val="btLr"/>
          </w:tcPr>
          <w:p w14:paraId="101AC952"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Methyl Red test</w:t>
            </w:r>
          </w:p>
          <w:p w14:paraId="6EAA0782" w14:textId="77777777" w:rsidR="00AD36A2" w:rsidRPr="006B1E0F" w:rsidRDefault="00AD36A2" w:rsidP="00720D6B">
            <w:pPr>
              <w:spacing w:before="100" w:beforeAutospacing="1" w:after="100" w:afterAutospacing="1"/>
              <w:ind w:left="113" w:right="113"/>
              <w:rPr>
                <w:rFonts w:ascii="Arial" w:hAnsi="Arial" w:cs="Arial"/>
                <w:b/>
                <w:sz w:val="16"/>
                <w:szCs w:val="16"/>
              </w:rPr>
            </w:pPr>
          </w:p>
        </w:tc>
        <w:tc>
          <w:tcPr>
            <w:tcW w:w="314" w:type="pct"/>
            <w:tcBorders>
              <w:top w:val="single" w:sz="4" w:space="0" w:color="auto"/>
              <w:bottom w:val="single" w:sz="4" w:space="0" w:color="auto"/>
            </w:tcBorders>
            <w:textDirection w:val="btLr"/>
          </w:tcPr>
          <w:p w14:paraId="0BEEF353"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 xml:space="preserve">Voges </w:t>
            </w:r>
            <w:proofErr w:type="spellStart"/>
            <w:r w:rsidRPr="006B1E0F">
              <w:rPr>
                <w:rFonts w:ascii="Arial" w:hAnsi="Arial" w:cs="Arial"/>
                <w:b/>
                <w:sz w:val="16"/>
                <w:szCs w:val="16"/>
              </w:rPr>
              <w:t>Proskaeur</w:t>
            </w:r>
            <w:proofErr w:type="spellEnd"/>
          </w:p>
          <w:p w14:paraId="68F97C9C" w14:textId="77777777" w:rsidR="00AD36A2" w:rsidRPr="006B1E0F" w:rsidRDefault="00AD36A2" w:rsidP="00720D6B">
            <w:pPr>
              <w:spacing w:before="100" w:beforeAutospacing="1" w:after="100" w:afterAutospacing="1"/>
              <w:ind w:left="113" w:right="113"/>
              <w:rPr>
                <w:rFonts w:ascii="Arial" w:hAnsi="Arial" w:cs="Arial"/>
                <w:b/>
                <w:sz w:val="16"/>
                <w:szCs w:val="16"/>
              </w:rPr>
            </w:pPr>
          </w:p>
        </w:tc>
        <w:tc>
          <w:tcPr>
            <w:tcW w:w="284" w:type="pct"/>
            <w:tcBorders>
              <w:top w:val="single" w:sz="4" w:space="0" w:color="auto"/>
              <w:bottom w:val="single" w:sz="4" w:space="0" w:color="auto"/>
            </w:tcBorders>
            <w:textDirection w:val="btLr"/>
          </w:tcPr>
          <w:p w14:paraId="462E551F"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Citrate  test</w:t>
            </w:r>
          </w:p>
          <w:p w14:paraId="7A84680A" w14:textId="77777777" w:rsidR="00AD36A2" w:rsidRPr="006B1E0F" w:rsidRDefault="00AD36A2" w:rsidP="00720D6B">
            <w:pPr>
              <w:spacing w:before="100" w:beforeAutospacing="1" w:after="100" w:afterAutospacing="1"/>
              <w:ind w:left="113" w:right="113"/>
              <w:rPr>
                <w:rFonts w:ascii="Arial" w:hAnsi="Arial" w:cs="Arial"/>
                <w:b/>
                <w:sz w:val="16"/>
                <w:szCs w:val="16"/>
              </w:rPr>
            </w:pPr>
          </w:p>
        </w:tc>
        <w:tc>
          <w:tcPr>
            <w:tcW w:w="284" w:type="pct"/>
            <w:tcBorders>
              <w:top w:val="single" w:sz="4" w:space="0" w:color="auto"/>
              <w:bottom w:val="single" w:sz="4" w:space="0" w:color="auto"/>
            </w:tcBorders>
            <w:textDirection w:val="btLr"/>
          </w:tcPr>
          <w:p w14:paraId="44984969"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Motility test</w:t>
            </w:r>
          </w:p>
          <w:p w14:paraId="21450BB3" w14:textId="77777777" w:rsidR="00AD36A2" w:rsidRPr="006B1E0F" w:rsidRDefault="00AD36A2" w:rsidP="00720D6B">
            <w:pPr>
              <w:spacing w:before="100" w:beforeAutospacing="1" w:after="100" w:afterAutospacing="1"/>
              <w:ind w:left="113" w:right="113"/>
              <w:rPr>
                <w:rFonts w:ascii="Arial" w:hAnsi="Arial" w:cs="Arial"/>
                <w:b/>
                <w:sz w:val="16"/>
                <w:szCs w:val="16"/>
              </w:rPr>
            </w:pPr>
          </w:p>
        </w:tc>
        <w:tc>
          <w:tcPr>
            <w:tcW w:w="257" w:type="pct"/>
            <w:tcBorders>
              <w:top w:val="single" w:sz="4" w:space="0" w:color="auto"/>
              <w:bottom w:val="single" w:sz="4" w:space="0" w:color="auto"/>
            </w:tcBorders>
            <w:textDirection w:val="btLr"/>
          </w:tcPr>
          <w:p w14:paraId="70DEA199"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Indole test</w:t>
            </w:r>
          </w:p>
          <w:p w14:paraId="27EA670A" w14:textId="77777777" w:rsidR="00AD36A2" w:rsidRPr="006B1E0F" w:rsidRDefault="00AD36A2" w:rsidP="00720D6B">
            <w:pPr>
              <w:ind w:left="113" w:right="113"/>
              <w:rPr>
                <w:rFonts w:ascii="Arial" w:hAnsi="Arial" w:cs="Arial"/>
                <w:b/>
                <w:sz w:val="16"/>
                <w:szCs w:val="16"/>
              </w:rPr>
            </w:pPr>
          </w:p>
        </w:tc>
        <w:tc>
          <w:tcPr>
            <w:tcW w:w="345" w:type="pct"/>
            <w:tcBorders>
              <w:top w:val="single" w:sz="4" w:space="0" w:color="auto"/>
              <w:bottom w:val="single" w:sz="4" w:space="0" w:color="auto"/>
            </w:tcBorders>
            <w:textDirection w:val="btLr"/>
          </w:tcPr>
          <w:p w14:paraId="667FB93B" w14:textId="77777777" w:rsidR="00AD36A2" w:rsidRPr="006B1E0F" w:rsidRDefault="00AD36A2" w:rsidP="00720D6B">
            <w:pPr>
              <w:ind w:left="113" w:right="113"/>
              <w:rPr>
                <w:rFonts w:ascii="Arial" w:hAnsi="Arial" w:cs="Arial"/>
                <w:b/>
                <w:sz w:val="16"/>
                <w:szCs w:val="16"/>
              </w:rPr>
            </w:pPr>
            <w:r w:rsidRPr="006B1E0F">
              <w:rPr>
                <w:rFonts w:ascii="Arial" w:hAnsi="Arial" w:cs="Arial"/>
                <w:b/>
                <w:sz w:val="16"/>
                <w:szCs w:val="16"/>
              </w:rPr>
              <w:t>Gelatin hydrolysis</w:t>
            </w:r>
          </w:p>
          <w:p w14:paraId="4CF1FB07" w14:textId="77777777" w:rsidR="00AD36A2" w:rsidRPr="006B1E0F" w:rsidRDefault="00AD36A2" w:rsidP="00720D6B">
            <w:pPr>
              <w:ind w:left="113" w:right="113"/>
              <w:rPr>
                <w:rFonts w:ascii="Arial" w:hAnsi="Arial" w:cs="Arial"/>
                <w:sz w:val="16"/>
                <w:szCs w:val="16"/>
              </w:rPr>
            </w:pPr>
          </w:p>
          <w:p w14:paraId="7A381946" w14:textId="77777777" w:rsidR="00AD36A2" w:rsidRPr="006B1E0F" w:rsidRDefault="00AD36A2" w:rsidP="00720D6B">
            <w:pPr>
              <w:ind w:left="113" w:right="113"/>
              <w:rPr>
                <w:rFonts w:ascii="Arial" w:hAnsi="Arial" w:cs="Arial"/>
                <w:b/>
                <w:sz w:val="16"/>
                <w:szCs w:val="16"/>
              </w:rPr>
            </w:pPr>
          </w:p>
        </w:tc>
        <w:tc>
          <w:tcPr>
            <w:tcW w:w="345" w:type="pct"/>
            <w:tcBorders>
              <w:top w:val="single" w:sz="4" w:space="0" w:color="auto"/>
              <w:bottom w:val="single" w:sz="4" w:space="0" w:color="auto"/>
            </w:tcBorders>
            <w:textDirection w:val="btLr"/>
          </w:tcPr>
          <w:p w14:paraId="552E9B8C"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Nitrate reduction</w:t>
            </w:r>
          </w:p>
          <w:p w14:paraId="78123348" w14:textId="77777777" w:rsidR="00AD36A2" w:rsidRPr="006B1E0F" w:rsidRDefault="00AD36A2" w:rsidP="00720D6B">
            <w:pPr>
              <w:ind w:left="113" w:right="113"/>
              <w:rPr>
                <w:rFonts w:ascii="Arial" w:hAnsi="Arial" w:cs="Arial"/>
                <w:b/>
                <w:sz w:val="16"/>
                <w:szCs w:val="16"/>
              </w:rPr>
            </w:pPr>
            <w:r w:rsidRPr="006B1E0F">
              <w:rPr>
                <w:rFonts w:ascii="Arial" w:hAnsi="Arial" w:cs="Arial"/>
                <w:sz w:val="16"/>
                <w:szCs w:val="16"/>
              </w:rPr>
              <w:t xml:space="preserve"> </w:t>
            </w:r>
          </w:p>
        </w:tc>
        <w:tc>
          <w:tcPr>
            <w:tcW w:w="246" w:type="pct"/>
            <w:tcBorders>
              <w:top w:val="single" w:sz="4" w:space="0" w:color="auto"/>
              <w:bottom w:val="single" w:sz="4" w:space="0" w:color="auto"/>
            </w:tcBorders>
            <w:textDirection w:val="btLr"/>
          </w:tcPr>
          <w:p w14:paraId="6D4640CC"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Glucose</w:t>
            </w:r>
          </w:p>
          <w:p w14:paraId="3B30C4D3" w14:textId="77777777" w:rsidR="00AD36A2" w:rsidRPr="006B1E0F" w:rsidRDefault="00AD36A2" w:rsidP="00720D6B">
            <w:pPr>
              <w:ind w:left="113" w:right="113"/>
              <w:rPr>
                <w:rFonts w:ascii="Arial" w:hAnsi="Arial" w:cs="Arial"/>
                <w:b/>
                <w:sz w:val="16"/>
                <w:szCs w:val="16"/>
              </w:rPr>
            </w:pPr>
          </w:p>
        </w:tc>
        <w:tc>
          <w:tcPr>
            <w:tcW w:w="246" w:type="pct"/>
            <w:tcBorders>
              <w:top w:val="single" w:sz="4" w:space="0" w:color="auto"/>
              <w:bottom w:val="single" w:sz="4" w:space="0" w:color="auto"/>
            </w:tcBorders>
            <w:textDirection w:val="btLr"/>
          </w:tcPr>
          <w:p w14:paraId="58FBB016"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Lactose</w:t>
            </w:r>
          </w:p>
          <w:p w14:paraId="4A9F293D" w14:textId="77777777" w:rsidR="00AD36A2" w:rsidRPr="006B1E0F" w:rsidRDefault="00AD36A2" w:rsidP="00720D6B">
            <w:pPr>
              <w:ind w:left="113" w:right="113"/>
              <w:rPr>
                <w:rFonts w:ascii="Arial" w:hAnsi="Arial" w:cs="Arial"/>
                <w:b/>
                <w:sz w:val="16"/>
                <w:szCs w:val="16"/>
              </w:rPr>
            </w:pPr>
          </w:p>
        </w:tc>
        <w:tc>
          <w:tcPr>
            <w:tcW w:w="246" w:type="pct"/>
            <w:tcBorders>
              <w:top w:val="single" w:sz="4" w:space="0" w:color="auto"/>
              <w:bottom w:val="single" w:sz="4" w:space="0" w:color="auto"/>
            </w:tcBorders>
            <w:textDirection w:val="btLr"/>
          </w:tcPr>
          <w:p w14:paraId="56FDDC8E"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Sucrose</w:t>
            </w:r>
          </w:p>
          <w:p w14:paraId="640313CB" w14:textId="77777777" w:rsidR="00AD36A2" w:rsidRPr="006B1E0F" w:rsidRDefault="00AD36A2" w:rsidP="00720D6B">
            <w:pPr>
              <w:ind w:left="113" w:right="113"/>
              <w:rPr>
                <w:rFonts w:ascii="Arial" w:hAnsi="Arial" w:cs="Arial"/>
                <w:b/>
                <w:sz w:val="16"/>
                <w:szCs w:val="16"/>
              </w:rPr>
            </w:pPr>
          </w:p>
        </w:tc>
        <w:tc>
          <w:tcPr>
            <w:tcW w:w="1259" w:type="pct"/>
            <w:tcBorders>
              <w:top w:val="single" w:sz="4" w:space="0" w:color="auto"/>
              <w:bottom w:val="single" w:sz="4" w:space="0" w:color="auto"/>
            </w:tcBorders>
          </w:tcPr>
          <w:p w14:paraId="651B3546" w14:textId="77777777" w:rsidR="00AD36A2" w:rsidRPr="006B1E0F" w:rsidRDefault="00AD36A2" w:rsidP="00720D6B">
            <w:pPr>
              <w:rPr>
                <w:rFonts w:ascii="Arial" w:hAnsi="Arial" w:cs="Arial"/>
                <w:b/>
                <w:sz w:val="16"/>
                <w:szCs w:val="16"/>
              </w:rPr>
            </w:pPr>
          </w:p>
          <w:p w14:paraId="5FD7B929" w14:textId="77777777" w:rsidR="00AD36A2" w:rsidRPr="006B1E0F" w:rsidRDefault="00AD36A2" w:rsidP="00720D6B">
            <w:pPr>
              <w:rPr>
                <w:rFonts w:ascii="Arial" w:hAnsi="Arial" w:cs="Arial"/>
                <w:b/>
                <w:sz w:val="16"/>
                <w:szCs w:val="16"/>
              </w:rPr>
            </w:pPr>
          </w:p>
          <w:p w14:paraId="71E747F6" w14:textId="77777777" w:rsidR="00AD36A2" w:rsidRPr="006B1E0F" w:rsidRDefault="00AD36A2" w:rsidP="00720D6B">
            <w:pPr>
              <w:rPr>
                <w:rFonts w:ascii="Arial" w:hAnsi="Arial" w:cs="Arial"/>
                <w:b/>
                <w:sz w:val="16"/>
                <w:szCs w:val="16"/>
              </w:rPr>
            </w:pPr>
          </w:p>
          <w:p w14:paraId="50C0A20D" w14:textId="77777777" w:rsidR="00AD36A2" w:rsidRPr="006B1E0F" w:rsidRDefault="00AD36A2" w:rsidP="00720D6B">
            <w:pPr>
              <w:rPr>
                <w:rFonts w:ascii="Arial" w:hAnsi="Arial" w:cs="Arial"/>
                <w:b/>
                <w:sz w:val="16"/>
                <w:szCs w:val="16"/>
              </w:rPr>
            </w:pPr>
            <w:r w:rsidRPr="006B1E0F">
              <w:rPr>
                <w:rFonts w:ascii="Arial" w:hAnsi="Arial" w:cs="Arial"/>
                <w:b/>
                <w:sz w:val="16"/>
                <w:szCs w:val="16"/>
              </w:rPr>
              <w:t>Probable Identity</w:t>
            </w:r>
          </w:p>
        </w:tc>
      </w:tr>
      <w:tr w:rsidR="00AD36A2" w:rsidRPr="006B1E0F" w14:paraId="325AF06B" w14:textId="77777777" w:rsidTr="001F532B">
        <w:tc>
          <w:tcPr>
            <w:tcW w:w="290" w:type="pct"/>
            <w:tcBorders>
              <w:top w:val="single" w:sz="4" w:space="0" w:color="auto"/>
            </w:tcBorders>
          </w:tcPr>
          <w:p w14:paraId="1E8CB505"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Borders>
              <w:top w:val="single" w:sz="4" w:space="0" w:color="auto"/>
            </w:tcBorders>
          </w:tcPr>
          <w:p w14:paraId="170954D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Borders>
              <w:top w:val="single" w:sz="4" w:space="0" w:color="auto"/>
            </w:tcBorders>
          </w:tcPr>
          <w:p w14:paraId="5C077AC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5" w:type="pct"/>
            <w:tcBorders>
              <w:top w:val="single" w:sz="4" w:space="0" w:color="auto"/>
            </w:tcBorders>
          </w:tcPr>
          <w:p w14:paraId="25FE7F4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Borders>
              <w:top w:val="single" w:sz="4" w:space="0" w:color="auto"/>
            </w:tcBorders>
          </w:tcPr>
          <w:p w14:paraId="2F66D11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Borders>
              <w:top w:val="single" w:sz="4" w:space="0" w:color="auto"/>
            </w:tcBorders>
          </w:tcPr>
          <w:p w14:paraId="166F4B1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Borders>
              <w:top w:val="single" w:sz="4" w:space="0" w:color="auto"/>
            </w:tcBorders>
          </w:tcPr>
          <w:p w14:paraId="469FDFD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Borders>
              <w:top w:val="single" w:sz="4" w:space="0" w:color="auto"/>
            </w:tcBorders>
          </w:tcPr>
          <w:p w14:paraId="7E5AD69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Borders>
              <w:top w:val="single" w:sz="4" w:space="0" w:color="auto"/>
            </w:tcBorders>
          </w:tcPr>
          <w:p w14:paraId="7DE7C52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Borders>
              <w:top w:val="single" w:sz="4" w:space="0" w:color="auto"/>
            </w:tcBorders>
          </w:tcPr>
          <w:p w14:paraId="3F84840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Borders>
              <w:top w:val="single" w:sz="4" w:space="0" w:color="auto"/>
            </w:tcBorders>
          </w:tcPr>
          <w:p w14:paraId="59C8CB7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Borders>
              <w:top w:val="single" w:sz="4" w:space="0" w:color="auto"/>
            </w:tcBorders>
          </w:tcPr>
          <w:p w14:paraId="073186E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Borders>
              <w:top w:val="single" w:sz="4" w:space="0" w:color="auto"/>
            </w:tcBorders>
          </w:tcPr>
          <w:p w14:paraId="1211A92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Borders>
              <w:top w:val="single" w:sz="4" w:space="0" w:color="auto"/>
            </w:tcBorders>
          </w:tcPr>
          <w:p w14:paraId="4A94324F" w14:textId="77777777" w:rsidR="00AD36A2" w:rsidRPr="006B1E0F" w:rsidRDefault="00AD36A2" w:rsidP="00720D6B">
            <w:pPr>
              <w:rPr>
                <w:rFonts w:ascii="Arial" w:hAnsi="Arial" w:cs="Arial"/>
                <w:b/>
                <w:i/>
                <w:sz w:val="16"/>
                <w:szCs w:val="16"/>
              </w:rPr>
            </w:pPr>
            <w:r w:rsidRPr="006B1E0F">
              <w:rPr>
                <w:rFonts w:ascii="Arial" w:hAnsi="Arial" w:cs="Arial"/>
                <w:b/>
                <w:i/>
                <w:color w:val="000000"/>
                <w:sz w:val="16"/>
                <w:szCs w:val="16"/>
              </w:rPr>
              <w:t xml:space="preserve">Pseudomonas </w:t>
            </w:r>
            <w:proofErr w:type="spellStart"/>
            <w:r w:rsidRPr="006B1E0F">
              <w:rPr>
                <w:rFonts w:ascii="Arial" w:hAnsi="Arial" w:cs="Arial"/>
                <w:b/>
                <w:i/>
                <w:color w:val="000000"/>
                <w:sz w:val="16"/>
                <w:szCs w:val="16"/>
              </w:rPr>
              <w:t>stutzeri</w:t>
            </w:r>
            <w:proofErr w:type="spellEnd"/>
          </w:p>
        </w:tc>
      </w:tr>
      <w:tr w:rsidR="00AD36A2" w:rsidRPr="006B1E0F" w14:paraId="3615A9BA" w14:textId="77777777" w:rsidTr="001F532B">
        <w:tc>
          <w:tcPr>
            <w:tcW w:w="290" w:type="pct"/>
          </w:tcPr>
          <w:p w14:paraId="65C60C0A"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79C8CD4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2778CB8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5" w:type="pct"/>
          </w:tcPr>
          <w:p w14:paraId="6023E71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5C65EF7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4D9FACD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01B5EE4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3B82C22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226034E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5FD9883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374C403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34920D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277E29F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2E1D5369" w14:textId="77777777" w:rsidR="00AD36A2" w:rsidRPr="006B1E0F" w:rsidRDefault="00AD36A2" w:rsidP="00720D6B">
            <w:pPr>
              <w:rPr>
                <w:rFonts w:ascii="Arial" w:hAnsi="Arial" w:cs="Arial"/>
                <w:sz w:val="16"/>
                <w:szCs w:val="16"/>
              </w:rPr>
            </w:pPr>
            <w:r w:rsidRPr="006B1E0F">
              <w:rPr>
                <w:rFonts w:ascii="Arial" w:hAnsi="Arial" w:cs="Arial"/>
                <w:b/>
                <w:i/>
                <w:color w:val="000000"/>
                <w:sz w:val="16"/>
                <w:szCs w:val="16"/>
              </w:rPr>
              <w:t>Pseudomonas aeruginosa</w:t>
            </w:r>
          </w:p>
        </w:tc>
      </w:tr>
      <w:tr w:rsidR="00AD36A2" w:rsidRPr="006B1E0F" w14:paraId="63A22B9A" w14:textId="77777777" w:rsidTr="001F532B">
        <w:tc>
          <w:tcPr>
            <w:tcW w:w="290" w:type="pct"/>
          </w:tcPr>
          <w:p w14:paraId="781D2274"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10BFACD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2456486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1D24C69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26E3CF5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0C96552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4" w:type="pct"/>
          </w:tcPr>
          <w:p w14:paraId="7E4DD8D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0B848CD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771CF5B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2D0A675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32C092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B687AC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23C15E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5621A41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color w:val="000000"/>
                <w:sz w:val="16"/>
                <w:szCs w:val="16"/>
              </w:rPr>
              <w:t>Alcaligenes faecalis</w:t>
            </w:r>
          </w:p>
        </w:tc>
      </w:tr>
      <w:tr w:rsidR="00AD36A2" w:rsidRPr="006B1E0F" w14:paraId="59256A64" w14:textId="77777777" w:rsidTr="001F532B">
        <w:tc>
          <w:tcPr>
            <w:tcW w:w="290" w:type="pct"/>
          </w:tcPr>
          <w:p w14:paraId="5F6FAAD4"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59F978D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529D59D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798CA4D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239C78C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44D1B49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3C0915D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43969F0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0460DBC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12DBB57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1CD3FB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A1327A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BE4098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164E692C" w14:textId="77777777" w:rsidR="00AD36A2" w:rsidRPr="006B1E0F" w:rsidRDefault="00AD36A2" w:rsidP="00720D6B">
            <w:pPr>
              <w:rPr>
                <w:rFonts w:ascii="Arial" w:hAnsi="Arial" w:cs="Arial"/>
                <w:b/>
                <w:sz w:val="16"/>
                <w:szCs w:val="16"/>
              </w:rPr>
            </w:pPr>
            <w:r w:rsidRPr="006B1E0F">
              <w:rPr>
                <w:rFonts w:ascii="Arial" w:hAnsi="Arial" w:cs="Arial"/>
                <w:b/>
                <w:i/>
                <w:color w:val="000000"/>
                <w:sz w:val="16"/>
                <w:szCs w:val="16"/>
              </w:rPr>
              <w:t>Klebsiella pneumoniae</w:t>
            </w:r>
          </w:p>
        </w:tc>
      </w:tr>
      <w:tr w:rsidR="00AD36A2" w:rsidRPr="006B1E0F" w14:paraId="474F47F8" w14:textId="77777777" w:rsidTr="001F532B">
        <w:tc>
          <w:tcPr>
            <w:tcW w:w="290" w:type="pct"/>
          </w:tcPr>
          <w:p w14:paraId="0B6F5B05"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4A03766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01E13D7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3900742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61748ED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4F982E4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4" w:type="pct"/>
          </w:tcPr>
          <w:p w14:paraId="1C33929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57" w:type="pct"/>
          </w:tcPr>
          <w:p w14:paraId="018C557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7FB6CA0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22718A0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78C8C39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46" w:type="pct"/>
          </w:tcPr>
          <w:p w14:paraId="49049FF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517AC43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1259" w:type="pct"/>
          </w:tcPr>
          <w:p w14:paraId="6DC55B5F" w14:textId="77777777" w:rsidR="00AD36A2" w:rsidRPr="006B1E0F" w:rsidRDefault="00AD36A2" w:rsidP="00720D6B">
            <w:pPr>
              <w:rPr>
                <w:rFonts w:ascii="Arial" w:hAnsi="Arial" w:cs="Arial"/>
                <w:b/>
                <w:sz w:val="16"/>
                <w:szCs w:val="16"/>
              </w:rPr>
            </w:pPr>
            <w:r w:rsidRPr="006B1E0F">
              <w:rPr>
                <w:rFonts w:ascii="Arial" w:hAnsi="Arial" w:cs="Arial"/>
                <w:b/>
                <w:i/>
                <w:color w:val="000000"/>
                <w:sz w:val="16"/>
                <w:szCs w:val="16"/>
              </w:rPr>
              <w:t xml:space="preserve">Providencia </w:t>
            </w:r>
            <w:proofErr w:type="spellStart"/>
            <w:r w:rsidRPr="006B1E0F">
              <w:rPr>
                <w:rFonts w:ascii="Arial" w:hAnsi="Arial" w:cs="Arial"/>
                <w:b/>
                <w:i/>
                <w:color w:val="000000"/>
                <w:sz w:val="16"/>
                <w:szCs w:val="16"/>
              </w:rPr>
              <w:t>alcalifaciens</w:t>
            </w:r>
            <w:proofErr w:type="spellEnd"/>
          </w:p>
        </w:tc>
      </w:tr>
      <w:tr w:rsidR="00AD36A2" w:rsidRPr="006B1E0F" w14:paraId="29BEE060" w14:textId="77777777" w:rsidTr="001F532B">
        <w:tc>
          <w:tcPr>
            <w:tcW w:w="290" w:type="pct"/>
          </w:tcPr>
          <w:p w14:paraId="4788C3B2"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64C84BE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73146DE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71C9FFD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6D69379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7887981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04E38A2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28377FC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742E33C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2B848F5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77BCBC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346777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16159E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1259" w:type="pct"/>
          </w:tcPr>
          <w:p w14:paraId="4EC2FF09" w14:textId="77777777" w:rsidR="00AD36A2" w:rsidRPr="006B1E0F" w:rsidRDefault="00AD36A2" w:rsidP="00720D6B">
            <w:pPr>
              <w:rPr>
                <w:rFonts w:ascii="Arial" w:hAnsi="Arial" w:cs="Arial"/>
                <w:b/>
                <w:sz w:val="16"/>
                <w:szCs w:val="16"/>
              </w:rPr>
            </w:pPr>
            <w:r w:rsidRPr="006B1E0F">
              <w:rPr>
                <w:rFonts w:ascii="Arial" w:hAnsi="Arial" w:cs="Arial"/>
                <w:b/>
                <w:i/>
                <w:color w:val="000000"/>
                <w:sz w:val="16"/>
                <w:szCs w:val="16"/>
              </w:rPr>
              <w:t>Escherichia coli</w:t>
            </w:r>
          </w:p>
        </w:tc>
      </w:tr>
      <w:tr w:rsidR="00AD36A2" w:rsidRPr="006B1E0F" w14:paraId="19A0DEB8" w14:textId="77777777" w:rsidTr="001F532B">
        <w:tc>
          <w:tcPr>
            <w:tcW w:w="290" w:type="pct"/>
          </w:tcPr>
          <w:p w14:paraId="1AB29021"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4F4FFFE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4B1835E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5" w:type="pct"/>
          </w:tcPr>
          <w:p w14:paraId="7AD9A11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0A068B1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3813863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6010CC0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7F70703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178E3DA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46E1298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70320C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5E0D01A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46" w:type="pct"/>
          </w:tcPr>
          <w:p w14:paraId="3405469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4971464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 xml:space="preserve">Citrobacter </w:t>
            </w:r>
            <w:proofErr w:type="spellStart"/>
            <w:r w:rsidRPr="006B1E0F">
              <w:rPr>
                <w:rFonts w:ascii="Arial" w:hAnsi="Arial" w:cs="Arial"/>
                <w:b/>
                <w:i/>
                <w:sz w:val="16"/>
                <w:szCs w:val="16"/>
              </w:rPr>
              <w:t>freundi</w:t>
            </w:r>
            <w:proofErr w:type="spellEnd"/>
          </w:p>
        </w:tc>
      </w:tr>
      <w:tr w:rsidR="00AD36A2" w:rsidRPr="006B1E0F" w14:paraId="5F42E7A0" w14:textId="77777777" w:rsidTr="001F532B">
        <w:tc>
          <w:tcPr>
            <w:tcW w:w="290" w:type="pct"/>
          </w:tcPr>
          <w:p w14:paraId="4B8CE7AC"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77A09F7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6812FE0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5" w:type="pct"/>
          </w:tcPr>
          <w:p w14:paraId="3BA87CB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49C4F2A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239D2A9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5F7882E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2D41D44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51792F6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345" w:type="pct"/>
          </w:tcPr>
          <w:p w14:paraId="311DA36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59122D0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2955A55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55B46E2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05F33B9F" w14:textId="77777777" w:rsidR="00AD36A2" w:rsidRPr="006B1E0F" w:rsidRDefault="00AD36A2" w:rsidP="00720D6B">
            <w:pPr>
              <w:rPr>
                <w:rFonts w:ascii="Arial" w:hAnsi="Arial" w:cs="Arial"/>
                <w:sz w:val="16"/>
                <w:szCs w:val="16"/>
              </w:rPr>
            </w:pPr>
            <w:r w:rsidRPr="006B1E0F">
              <w:rPr>
                <w:rFonts w:ascii="Arial" w:hAnsi="Arial" w:cs="Arial"/>
                <w:b/>
                <w:i/>
                <w:sz w:val="16"/>
                <w:szCs w:val="16"/>
              </w:rPr>
              <w:t>Enterobacter cloacae</w:t>
            </w:r>
          </w:p>
        </w:tc>
      </w:tr>
      <w:tr w:rsidR="00AD36A2" w:rsidRPr="006B1E0F" w14:paraId="64A49A9B" w14:textId="77777777" w:rsidTr="001F532B">
        <w:tc>
          <w:tcPr>
            <w:tcW w:w="290" w:type="pct"/>
          </w:tcPr>
          <w:p w14:paraId="24BCCD0D"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7A13431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50019B4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68ADD49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6FC2A09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4" w:type="pct"/>
          </w:tcPr>
          <w:p w14:paraId="1897AFF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0E46CBB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4D00C57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31A3B48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7052750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265FF49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A37327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298423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663043C4" w14:textId="77777777" w:rsidR="00AD36A2" w:rsidRPr="006B1E0F" w:rsidRDefault="00AD36A2" w:rsidP="00720D6B">
            <w:pPr>
              <w:rPr>
                <w:rFonts w:ascii="Arial" w:hAnsi="Arial" w:cs="Arial"/>
                <w:sz w:val="16"/>
                <w:szCs w:val="16"/>
              </w:rPr>
            </w:pPr>
            <w:r w:rsidRPr="006B1E0F">
              <w:rPr>
                <w:rFonts w:ascii="Arial" w:hAnsi="Arial" w:cs="Arial"/>
                <w:b/>
                <w:i/>
                <w:sz w:val="16"/>
                <w:szCs w:val="16"/>
              </w:rPr>
              <w:t>Enterobacter aerogenes</w:t>
            </w:r>
          </w:p>
        </w:tc>
      </w:tr>
      <w:tr w:rsidR="00AD36A2" w:rsidRPr="006B1E0F" w14:paraId="35C12C7B" w14:textId="77777777" w:rsidTr="001F532B">
        <w:tc>
          <w:tcPr>
            <w:tcW w:w="290" w:type="pct"/>
          </w:tcPr>
          <w:p w14:paraId="19CC1570"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455F171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6C05D06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3618F3B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314" w:type="pct"/>
          </w:tcPr>
          <w:p w14:paraId="764A3CF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1912DF1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4" w:type="pct"/>
          </w:tcPr>
          <w:p w14:paraId="0405A19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6715F49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5054A4D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5A45769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35E47E6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9D27B6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3AD40E0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742B21EB" w14:textId="77777777" w:rsidR="00AD36A2" w:rsidRPr="006B1E0F" w:rsidRDefault="00AD36A2" w:rsidP="00720D6B">
            <w:pPr>
              <w:rPr>
                <w:rFonts w:ascii="Arial" w:hAnsi="Arial" w:cs="Arial"/>
                <w:sz w:val="16"/>
                <w:szCs w:val="16"/>
              </w:rPr>
            </w:pPr>
            <w:r w:rsidRPr="006B1E0F">
              <w:rPr>
                <w:rFonts w:ascii="Arial" w:hAnsi="Arial" w:cs="Arial"/>
                <w:b/>
                <w:i/>
                <w:sz w:val="16"/>
                <w:szCs w:val="16"/>
              </w:rPr>
              <w:t>Proteus mirabilis</w:t>
            </w:r>
          </w:p>
        </w:tc>
      </w:tr>
      <w:tr w:rsidR="00AD36A2" w:rsidRPr="006B1E0F" w14:paraId="09FF49F0" w14:textId="77777777" w:rsidTr="001F532B">
        <w:tc>
          <w:tcPr>
            <w:tcW w:w="290" w:type="pct"/>
          </w:tcPr>
          <w:p w14:paraId="4ED44B1E"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41528EF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1743AE7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1A88D41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0E3C329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366CCCD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06FAA6E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58E297A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345" w:type="pct"/>
          </w:tcPr>
          <w:p w14:paraId="07DFEAE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3443A3F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21F5305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564C40A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6588E8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4E6168D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 xml:space="preserve">Shigella </w:t>
            </w:r>
            <w:proofErr w:type="spellStart"/>
            <w:r w:rsidRPr="006B1E0F">
              <w:rPr>
                <w:rFonts w:ascii="Arial" w:hAnsi="Arial" w:cs="Arial"/>
                <w:b/>
                <w:i/>
                <w:sz w:val="16"/>
                <w:szCs w:val="16"/>
              </w:rPr>
              <w:t>flexeneri</w:t>
            </w:r>
            <w:proofErr w:type="spellEnd"/>
          </w:p>
        </w:tc>
      </w:tr>
      <w:tr w:rsidR="00AD36A2" w:rsidRPr="006B1E0F" w14:paraId="3F25B7B5" w14:textId="77777777" w:rsidTr="001F532B">
        <w:tc>
          <w:tcPr>
            <w:tcW w:w="290" w:type="pct"/>
          </w:tcPr>
          <w:p w14:paraId="21C42327"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7C85540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21F5679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5E94A83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0805DF9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64601BC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5617167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4EC56CE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06F0CBE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5ECBA79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5E97F6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29C8B48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3C2AEC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2EB70AC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Shigella sonnei</w:t>
            </w:r>
          </w:p>
        </w:tc>
      </w:tr>
      <w:tr w:rsidR="00AD36A2" w:rsidRPr="006B1E0F" w14:paraId="159EDECA" w14:textId="77777777" w:rsidTr="001F532B">
        <w:tc>
          <w:tcPr>
            <w:tcW w:w="290" w:type="pct"/>
          </w:tcPr>
          <w:p w14:paraId="250569CE"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5BB8CF8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5BFDBFF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30BA255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703881A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42D2E33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2F62D50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7D9220B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69FCE8E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26801EE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C2EE2E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DC3A75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65F76BE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5FF358B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Salmonella typhi</w:t>
            </w:r>
          </w:p>
        </w:tc>
      </w:tr>
      <w:tr w:rsidR="00AD36A2" w:rsidRPr="006B1E0F" w14:paraId="6A5B9113" w14:textId="77777777" w:rsidTr="001F532B">
        <w:tc>
          <w:tcPr>
            <w:tcW w:w="290" w:type="pct"/>
          </w:tcPr>
          <w:p w14:paraId="0AD5A65B"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415BA2A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737C10A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79988A2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6BF9A53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6343B96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382C3B1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13E4EF8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345" w:type="pct"/>
          </w:tcPr>
          <w:p w14:paraId="50C5CAA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4EFC8D3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9C225F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383723F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366A724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2CAFABB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 xml:space="preserve">Yersinia </w:t>
            </w:r>
            <w:proofErr w:type="spellStart"/>
            <w:r w:rsidRPr="006B1E0F">
              <w:rPr>
                <w:rFonts w:ascii="Arial" w:hAnsi="Arial" w:cs="Arial"/>
                <w:b/>
                <w:i/>
                <w:sz w:val="16"/>
                <w:szCs w:val="16"/>
              </w:rPr>
              <w:t>kristensenii</w:t>
            </w:r>
            <w:proofErr w:type="spellEnd"/>
          </w:p>
        </w:tc>
      </w:tr>
      <w:tr w:rsidR="00AD36A2" w:rsidRPr="006B1E0F" w14:paraId="18D821B8" w14:textId="77777777" w:rsidTr="001F532B">
        <w:tc>
          <w:tcPr>
            <w:tcW w:w="290" w:type="pct"/>
          </w:tcPr>
          <w:p w14:paraId="55D980EF"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1434346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31CB3C9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5CE1542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4B659B4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1402E77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4E76463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2A70E6E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345" w:type="pct"/>
          </w:tcPr>
          <w:p w14:paraId="4857F35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711FBB0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6957EF7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6D8B5B5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sz w:val="16"/>
                <w:szCs w:val="16"/>
              </w:rPr>
              <w:t>-</w:t>
            </w:r>
          </w:p>
        </w:tc>
        <w:tc>
          <w:tcPr>
            <w:tcW w:w="246" w:type="pct"/>
          </w:tcPr>
          <w:p w14:paraId="163CC72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34B1821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Yersinia enterocolitica</w:t>
            </w:r>
          </w:p>
        </w:tc>
      </w:tr>
      <w:tr w:rsidR="00AD36A2" w:rsidRPr="006B1E0F" w14:paraId="4092BB71" w14:textId="77777777" w:rsidTr="001F532B">
        <w:tc>
          <w:tcPr>
            <w:tcW w:w="290" w:type="pct"/>
          </w:tcPr>
          <w:p w14:paraId="36924B43"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255E24C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27B4CAA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5DCFD1B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08AC6FC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5A48340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1EFFCBA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56339AF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14CD719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288A8E1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667A981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82AAFD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68A85EA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1E4462E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Yersinia pseudotuberculosis</w:t>
            </w:r>
          </w:p>
        </w:tc>
      </w:tr>
      <w:tr w:rsidR="00AD36A2" w:rsidRPr="006B1E0F" w14:paraId="445F8F44" w14:textId="77777777" w:rsidTr="001F532B">
        <w:tc>
          <w:tcPr>
            <w:tcW w:w="290" w:type="pct"/>
            <w:tcBorders>
              <w:bottom w:val="single" w:sz="4" w:space="0" w:color="auto"/>
            </w:tcBorders>
          </w:tcPr>
          <w:p w14:paraId="582DA621"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Borders>
              <w:bottom w:val="single" w:sz="4" w:space="0" w:color="auto"/>
            </w:tcBorders>
          </w:tcPr>
          <w:p w14:paraId="6A4B362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Borders>
              <w:bottom w:val="single" w:sz="4" w:space="0" w:color="auto"/>
            </w:tcBorders>
          </w:tcPr>
          <w:p w14:paraId="62693AC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Borders>
              <w:bottom w:val="single" w:sz="4" w:space="0" w:color="auto"/>
            </w:tcBorders>
          </w:tcPr>
          <w:p w14:paraId="7A01B2F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Borders>
              <w:bottom w:val="single" w:sz="4" w:space="0" w:color="auto"/>
            </w:tcBorders>
          </w:tcPr>
          <w:p w14:paraId="2E3CC96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Borders>
              <w:bottom w:val="single" w:sz="4" w:space="0" w:color="auto"/>
            </w:tcBorders>
          </w:tcPr>
          <w:p w14:paraId="6D06B26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Borders>
              <w:bottom w:val="single" w:sz="4" w:space="0" w:color="auto"/>
            </w:tcBorders>
          </w:tcPr>
          <w:p w14:paraId="34F718A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Borders>
              <w:bottom w:val="single" w:sz="4" w:space="0" w:color="auto"/>
            </w:tcBorders>
          </w:tcPr>
          <w:p w14:paraId="06795C4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Borders>
              <w:bottom w:val="single" w:sz="4" w:space="0" w:color="auto"/>
            </w:tcBorders>
          </w:tcPr>
          <w:p w14:paraId="78D56CE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Borders>
              <w:bottom w:val="single" w:sz="4" w:space="0" w:color="auto"/>
            </w:tcBorders>
          </w:tcPr>
          <w:p w14:paraId="2EBEB4D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Borders>
              <w:bottom w:val="single" w:sz="4" w:space="0" w:color="auto"/>
            </w:tcBorders>
          </w:tcPr>
          <w:p w14:paraId="652CE33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Borders>
              <w:bottom w:val="single" w:sz="4" w:space="0" w:color="auto"/>
            </w:tcBorders>
          </w:tcPr>
          <w:p w14:paraId="06149A0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46" w:type="pct"/>
            <w:tcBorders>
              <w:bottom w:val="single" w:sz="4" w:space="0" w:color="auto"/>
            </w:tcBorders>
          </w:tcPr>
          <w:p w14:paraId="5F65E67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Borders>
              <w:bottom w:val="single" w:sz="4" w:space="0" w:color="auto"/>
            </w:tcBorders>
          </w:tcPr>
          <w:p w14:paraId="634760F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Yersinia intermedia</w:t>
            </w:r>
          </w:p>
        </w:tc>
      </w:tr>
    </w:tbl>
    <w:p w14:paraId="2107EBA3" w14:textId="77777777" w:rsidR="00AD36A2" w:rsidRPr="006B1E0F" w:rsidRDefault="00AD36A2" w:rsidP="00AD36A2">
      <w:pPr>
        <w:spacing w:before="100" w:beforeAutospacing="1" w:after="100" w:afterAutospacing="1"/>
        <w:rPr>
          <w:rFonts w:ascii="Arial" w:hAnsi="Arial" w:cs="Arial"/>
          <w:b/>
          <w:sz w:val="16"/>
          <w:szCs w:val="16"/>
        </w:rPr>
      </w:pPr>
      <w:r w:rsidRPr="006B1E0F">
        <w:rPr>
          <w:rFonts w:ascii="Arial" w:hAnsi="Arial" w:cs="Arial"/>
          <w:b/>
          <w:sz w:val="16"/>
          <w:szCs w:val="16"/>
        </w:rPr>
        <w:t>D- Delay</w:t>
      </w:r>
    </w:p>
    <w:p w14:paraId="47E78E14" w14:textId="77777777" w:rsidR="00806A0A" w:rsidRDefault="00806A0A" w:rsidP="00AD36A2">
      <w:pPr>
        <w:spacing w:before="100" w:beforeAutospacing="1" w:after="100" w:afterAutospacing="1"/>
        <w:rPr>
          <w:rFonts w:ascii="Times New Roman" w:hAnsi="Times New Roman"/>
          <w:b/>
          <w:sz w:val="16"/>
          <w:szCs w:val="16"/>
        </w:rPr>
      </w:pPr>
    </w:p>
    <w:p w14:paraId="19426225" w14:textId="77777777" w:rsidR="00806A0A" w:rsidRPr="00806A0A" w:rsidRDefault="00806A0A" w:rsidP="00806A0A">
      <w:pPr>
        <w:spacing w:before="100" w:beforeAutospacing="1" w:after="100" w:afterAutospacing="1"/>
        <w:jc w:val="both"/>
        <w:rPr>
          <w:rFonts w:ascii="Arial" w:hAnsi="Arial" w:cs="Arial"/>
          <w:b/>
          <w:i/>
        </w:rPr>
      </w:pPr>
      <w:r w:rsidRPr="00806A0A">
        <w:rPr>
          <w:rFonts w:ascii="Arial" w:hAnsi="Arial" w:cs="Arial"/>
          <w:b/>
          <w:i/>
        </w:rPr>
        <w:t xml:space="preserve">3.2 The distribution of Enterobacteriaceae and </w:t>
      </w:r>
      <w:proofErr w:type="spellStart"/>
      <w:r w:rsidRPr="00806A0A">
        <w:rPr>
          <w:rFonts w:ascii="Arial" w:hAnsi="Arial" w:cs="Arial"/>
          <w:b/>
          <w:i/>
        </w:rPr>
        <w:t>Yersiniaceae</w:t>
      </w:r>
      <w:proofErr w:type="spellEnd"/>
      <w:r w:rsidRPr="00806A0A">
        <w:rPr>
          <w:rFonts w:ascii="Arial" w:hAnsi="Arial" w:cs="Arial"/>
          <w:b/>
          <w:i/>
        </w:rPr>
        <w:t xml:space="preserve"> Isolates from different pigs’ </w:t>
      </w:r>
      <w:proofErr w:type="spellStart"/>
      <w:r w:rsidRPr="00806A0A">
        <w:rPr>
          <w:rFonts w:ascii="Arial" w:hAnsi="Arial" w:cs="Arial"/>
          <w:b/>
          <w:i/>
        </w:rPr>
        <w:t>faeces</w:t>
      </w:r>
      <w:proofErr w:type="spellEnd"/>
      <w:r w:rsidRPr="00806A0A">
        <w:rPr>
          <w:rFonts w:ascii="Arial" w:hAnsi="Arial" w:cs="Arial"/>
          <w:b/>
          <w:i/>
        </w:rPr>
        <w:t xml:space="preserve"> and cow intestines</w:t>
      </w:r>
    </w:p>
    <w:p w14:paraId="22BBE6DB" w14:textId="77777777" w:rsidR="00A82799" w:rsidRPr="00F56ED8" w:rsidRDefault="00A82799" w:rsidP="00A82799">
      <w:pPr>
        <w:jc w:val="both"/>
        <w:rPr>
          <w:rFonts w:ascii="Arial" w:hAnsi="Arial" w:cs="Arial"/>
          <w:bCs/>
        </w:rPr>
      </w:pPr>
      <w:r w:rsidRPr="00F56ED8">
        <w:rPr>
          <w:rFonts w:ascii="Arial" w:hAnsi="Arial" w:cs="Arial"/>
          <w:bCs/>
        </w:rPr>
        <w:t xml:space="preserve">The distribution of Enterobacteriaceae and </w:t>
      </w:r>
      <w:proofErr w:type="spellStart"/>
      <w:r w:rsidRPr="00F56ED8">
        <w:rPr>
          <w:rFonts w:ascii="Arial" w:hAnsi="Arial" w:cs="Arial"/>
          <w:bCs/>
        </w:rPr>
        <w:t>Yersiniaceae</w:t>
      </w:r>
      <w:proofErr w:type="spellEnd"/>
      <w:r w:rsidRPr="00F56ED8">
        <w:rPr>
          <w:rFonts w:ascii="Arial" w:hAnsi="Arial" w:cs="Arial"/>
          <w:bCs/>
        </w:rPr>
        <w:t xml:space="preserve"> Isolates from different pigs’ </w:t>
      </w:r>
      <w:proofErr w:type="spellStart"/>
      <w:r w:rsidRPr="00F56ED8">
        <w:rPr>
          <w:rFonts w:ascii="Arial" w:hAnsi="Arial" w:cs="Arial"/>
          <w:bCs/>
        </w:rPr>
        <w:t>faeces</w:t>
      </w:r>
      <w:proofErr w:type="spellEnd"/>
      <w:r w:rsidRPr="00F56ED8">
        <w:rPr>
          <w:rFonts w:ascii="Arial" w:hAnsi="Arial" w:cs="Arial"/>
          <w:bCs/>
        </w:rPr>
        <w:t xml:space="preserve"> and cow intestines are presented in Table 2. In this study, the distribution of bacterial isolates recovered from adult pigs, grower pigs, piglets, and mature cow intestines revealed a diverse population of members of the families Enterobacteriaceae and </w:t>
      </w:r>
      <w:proofErr w:type="spellStart"/>
      <w:r w:rsidRPr="00F56ED8">
        <w:rPr>
          <w:rFonts w:ascii="Arial" w:hAnsi="Arial" w:cs="Arial"/>
          <w:bCs/>
        </w:rPr>
        <w:t>Yersiniaceae</w:t>
      </w:r>
      <w:proofErr w:type="spellEnd"/>
      <w:r w:rsidRPr="00F56ED8">
        <w:rPr>
          <w:rFonts w:ascii="Arial" w:hAnsi="Arial" w:cs="Arial"/>
          <w:bCs/>
        </w:rPr>
        <w:t xml:space="preserve">. A total of 213 isolates were obtained, with </w:t>
      </w:r>
      <w:r w:rsidRPr="007A4BEB">
        <w:rPr>
          <w:rFonts w:ascii="Arial" w:hAnsi="Arial" w:cs="Arial"/>
          <w:bCs/>
          <w:i/>
        </w:rPr>
        <w:t>Yersinia</w:t>
      </w:r>
      <w:r w:rsidRPr="00F56ED8">
        <w:rPr>
          <w:rFonts w:ascii="Arial" w:hAnsi="Arial" w:cs="Arial"/>
          <w:bCs/>
        </w:rPr>
        <w:t xml:space="preserve"> species constituting the largest proportion (40.38%) of all isolates. This finding suggests that </w:t>
      </w:r>
      <w:r w:rsidRPr="007A4BEB">
        <w:rPr>
          <w:rFonts w:ascii="Arial" w:hAnsi="Arial" w:cs="Arial"/>
          <w:bCs/>
          <w:i/>
        </w:rPr>
        <w:t>Yersinia</w:t>
      </w:r>
      <w:r w:rsidRPr="00F56ED8">
        <w:rPr>
          <w:rFonts w:ascii="Arial" w:hAnsi="Arial" w:cs="Arial"/>
          <w:bCs/>
        </w:rPr>
        <w:t xml:space="preserve"> was widely distributed among the sampled animals and could represent a significant component of the intestinal microbiota and potential pathogen reservoir within the study environment.</w:t>
      </w:r>
    </w:p>
    <w:p w14:paraId="1D9428FE" w14:textId="77777777" w:rsidR="00A82799" w:rsidRPr="00F56ED8" w:rsidRDefault="00A82799" w:rsidP="00A82799">
      <w:pPr>
        <w:jc w:val="both"/>
        <w:rPr>
          <w:rFonts w:ascii="Arial" w:hAnsi="Arial" w:cs="Arial"/>
          <w:bCs/>
        </w:rPr>
      </w:pPr>
      <w:r w:rsidRPr="00F56ED8">
        <w:rPr>
          <w:rFonts w:ascii="Arial" w:hAnsi="Arial" w:cs="Arial"/>
          <w:bCs/>
        </w:rPr>
        <w:t xml:space="preserve">The predominance of </w:t>
      </w:r>
      <w:r w:rsidRPr="007A4BEB">
        <w:rPr>
          <w:rFonts w:ascii="Arial" w:hAnsi="Arial" w:cs="Arial"/>
          <w:bCs/>
          <w:i/>
        </w:rPr>
        <w:t>Yersinia</w:t>
      </w:r>
      <w:r w:rsidRPr="00F56ED8">
        <w:rPr>
          <w:rFonts w:ascii="Arial" w:hAnsi="Arial" w:cs="Arial"/>
          <w:bCs/>
        </w:rPr>
        <w:t xml:space="preserve"> species, particularly in grower pigs (50 isolates), supports previous reports identifying pigs as the principal animal reservoir of pathogenic </w:t>
      </w:r>
      <w:r w:rsidRPr="007A4BEB">
        <w:rPr>
          <w:rFonts w:ascii="Arial" w:hAnsi="Arial" w:cs="Arial"/>
          <w:bCs/>
          <w:i/>
        </w:rPr>
        <w:t>Yersinia</w:t>
      </w:r>
      <w:r w:rsidRPr="00F56ED8">
        <w:rPr>
          <w:rFonts w:ascii="Arial" w:hAnsi="Arial" w:cs="Arial"/>
          <w:bCs/>
        </w:rPr>
        <w:t xml:space="preserve"> </w:t>
      </w:r>
      <w:r w:rsidRPr="007A4BEB">
        <w:rPr>
          <w:rFonts w:ascii="Arial" w:hAnsi="Arial" w:cs="Arial"/>
          <w:bCs/>
          <w:i/>
        </w:rPr>
        <w:t>enterocolitica.</w:t>
      </w:r>
      <w:r w:rsidRPr="00F56ED8">
        <w:rPr>
          <w:rFonts w:ascii="Arial" w:hAnsi="Arial" w:cs="Arial"/>
          <w:bCs/>
        </w:rPr>
        <w:t xml:space="preserve"> Growing and finishing pigs commonly serve as asymptomatic carriers of </w:t>
      </w:r>
      <w:r w:rsidRPr="007A4BEB">
        <w:rPr>
          <w:rFonts w:ascii="Arial" w:hAnsi="Arial" w:cs="Arial"/>
          <w:bCs/>
          <w:i/>
        </w:rPr>
        <w:lastRenderedPageBreak/>
        <w:t>Yersinia</w:t>
      </w:r>
      <w:r w:rsidRPr="00F56ED8">
        <w:rPr>
          <w:rFonts w:ascii="Arial" w:hAnsi="Arial" w:cs="Arial"/>
          <w:bCs/>
        </w:rPr>
        <w:t xml:space="preserve"> species, with the organisms persisting in the tonsillar tissues and gastrointestinal tract. Although infected animals often remain clinically healthy, they can continuously shed the bacteria into the farm environment, increasing opportunities for contamination during production and slaughter and promoting transmission to humans through contaminated pork and other food products (</w:t>
      </w:r>
      <w:proofErr w:type="spellStart"/>
      <w:r w:rsidRPr="00F56ED8">
        <w:rPr>
          <w:rFonts w:ascii="Arial" w:hAnsi="Arial" w:cs="Arial"/>
          <w:bCs/>
        </w:rPr>
        <w:t>Bancerz</w:t>
      </w:r>
      <w:proofErr w:type="spellEnd"/>
      <w:r w:rsidRPr="00F56ED8">
        <w:rPr>
          <w:rFonts w:ascii="Arial" w:hAnsi="Arial" w:cs="Arial"/>
          <w:bCs/>
        </w:rPr>
        <w:t xml:space="preserve">-Kisiel &amp; Szweda, 2022; EFSA &amp; ECDC, 2024). The substantially higher occurrence of </w:t>
      </w:r>
      <w:r w:rsidRPr="007A4BEB">
        <w:rPr>
          <w:rFonts w:ascii="Arial" w:hAnsi="Arial" w:cs="Arial"/>
          <w:bCs/>
          <w:i/>
        </w:rPr>
        <w:t>Yersinia</w:t>
      </w:r>
      <w:r w:rsidRPr="00F56ED8">
        <w:rPr>
          <w:rFonts w:ascii="Arial" w:hAnsi="Arial" w:cs="Arial"/>
          <w:bCs/>
        </w:rPr>
        <w:t xml:space="preserve"> in pigs than in cattle observed in this study agrees with epidemiological studies that have consistently identified pigs as the most important source of human yersiniosis worldwide (EFSA &amp; ECDC, 2024).</w:t>
      </w:r>
    </w:p>
    <w:p w14:paraId="57F54C0C" w14:textId="77777777" w:rsidR="00A82799" w:rsidRPr="00F56ED8" w:rsidRDefault="00A82799" w:rsidP="00A82799">
      <w:pPr>
        <w:jc w:val="both"/>
        <w:rPr>
          <w:rFonts w:ascii="Arial" w:hAnsi="Arial" w:cs="Arial"/>
          <w:bCs/>
        </w:rPr>
      </w:pPr>
      <w:r w:rsidRPr="00F56ED8">
        <w:rPr>
          <w:rFonts w:ascii="Arial" w:hAnsi="Arial" w:cs="Arial"/>
          <w:bCs/>
        </w:rPr>
        <w:t xml:space="preserve">The greater recovery of </w:t>
      </w:r>
      <w:r w:rsidRPr="00086897">
        <w:rPr>
          <w:rFonts w:ascii="Arial" w:hAnsi="Arial" w:cs="Arial"/>
          <w:bCs/>
          <w:i/>
        </w:rPr>
        <w:t>Yersinia</w:t>
      </w:r>
      <w:r w:rsidRPr="00F56ED8">
        <w:rPr>
          <w:rFonts w:ascii="Arial" w:hAnsi="Arial" w:cs="Arial"/>
          <w:bCs/>
        </w:rPr>
        <w:t xml:space="preserve"> isolates from grower pigs compared with adult pigs and piglets may be associated with age-related differences in gut microbiota composition, management practices, feeding regimes, and exposure to contaminated environments. Grower pigs are often subjected to increased animal movement, feed transitions, and housing density, factors that can enhance bacterial colonization and shedding. Similar observations have been reported in commercial pig production systems, where the prevalence of </w:t>
      </w:r>
      <w:r w:rsidRPr="007A4BEB">
        <w:rPr>
          <w:rFonts w:ascii="Arial" w:hAnsi="Arial" w:cs="Arial"/>
          <w:bCs/>
          <w:i/>
        </w:rPr>
        <w:t>Yersinia</w:t>
      </w:r>
      <w:r w:rsidRPr="00F56ED8">
        <w:rPr>
          <w:rFonts w:ascii="Arial" w:hAnsi="Arial" w:cs="Arial"/>
          <w:bCs/>
        </w:rPr>
        <w:t xml:space="preserve"> tends to increase during the growing phase before declining in older animals (Fois </w:t>
      </w:r>
      <w:r w:rsidRPr="007A4BEB">
        <w:rPr>
          <w:rFonts w:ascii="Arial" w:hAnsi="Arial" w:cs="Arial"/>
          <w:bCs/>
          <w:i/>
        </w:rPr>
        <w:t>et al</w:t>
      </w:r>
      <w:r w:rsidRPr="00F56ED8">
        <w:rPr>
          <w:rFonts w:ascii="Arial" w:hAnsi="Arial" w:cs="Arial"/>
          <w:bCs/>
        </w:rPr>
        <w:t>., 2023).</w:t>
      </w:r>
    </w:p>
    <w:p w14:paraId="787355E7" w14:textId="77777777" w:rsidR="00A82799" w:rsidRPr="00F56ED8" w:rsidRDefault="00A82799" w:rsidP="00A82799">
      <w:pPr>
        <w:jc w:val="both"/>
        <w:rPr>
          <w:rFonts w:ascii="Arial" w:hAnsi="Arial" w:cs="Arial"/>
          <w:bCs/>
        </w:rPr>
      </w:pPr>
      <w:r w:rsidRPr="00F56ED8">
        <w:rPr>
          <w:rFonts w:ascii="Arial" w:hAnsi="Arial" w:cs="Arial"/>
          <w:bCs/>
        </w:rPr>
        <w:t xml:space="preserve">Among the non-Yersinia isolates, </w:t>
      </w:r>
      <w:r w:rsidRPr="00086897">
        <w:rPr>
          <w:rFonts w:ascii="Arial" w:hAnsi="Arial" w:cs="Arial"/>
          <w:bCs/>
          <w:i/>
        </w:rPr>
        <w:t>Enterobacter aerogenes</w:t>
      </w:r>
      <w:r w:rsidRPr="00F56ED8">
        <w:rPr>
          <w:rFonts w:ascii="Arial" w:hAnsi="Arial" w:cs="Arial"/>
          <w:bCs/>
        </w:rPr>
        <w:t xml:space="preserve"> (currently classified as </w:t>
      </w:r>
      <w:r w:rsidRPr="00086897">
        <w:rPr>
          <w:rFonts w:ascii="Arial" w:hAnsi="Arial" w:cs="Arial"/>
          <w:bCs/>
          <w:i/>
        </w:rPr>
        <w:t>Klebsiella aerogenes</w:t>
      </w:r>
      <w:r w:rsidRPr="00F56ED8">
        <w:rPr>
          <w:rFonts w:ascii="Arial" w:hAnsi="Arial" w:cs="Arial"/>
          <w:bCs/>
        </w:rPr>
        <w:t xml:space="preserve">) was the second most frequently recovered bacterium, representing 12.68% of the total isolates recovered in this study. This organism is commonly found in soil, water, feed, and the gastrointestinal tracts of animals (Bagley, 1985). The occurrence of </w:t>
      </w:r>
      <w:r w:rsidRPr="00086897">
        <w:rPr>
          <w:rFonts w:ascii="Arial" w:hAnsi="Arial" w:cs="Arial"/>
          <w:bCs/>
          <w:i/>
        </w:rPr>
        <w:t>K. aerogenes</w:t>
      </w:r>
      <w:r w:rsidRPr="00F56ED8">
        <w:rPr>
          <w:rFonts w:ascii="Arial" w:hAnsi="Arial" w:cs="Arial"/>
          <w:bCs/>
        </w:rPr>
        <w:t xml:space="preserve"> in the present study therefore reflects the ability of this taxon to persist across environmental and gastrointestinal habitats. Its relatively high occurrence indicated extensive environmental exposure and fecal contamination within the production system. Although often regarded as an opportunistic organism, </w:t>
      </w:r>
      <w:r w:rsidRPr="00086897">
        <w:rPr>
          <w:rFonts w:ascii="Arial" w:hAnsi="Arial" w:cs="Arial"/>
          <w:bCs/>
          <w:i/>
        </w:rPr>
        <w:t>K. aerogenes</w:t>
      </w:r>
      <w:r w:rsidRPr="00F56ED8">
        <w:rPr>
          <w:rFonts w:ascii="Arial" w:hAnsi="Arial" w:cs="Arial"/>
          <w:bCs/>
        </w:rPr>
        <w:t xml:space="preserve"> has increasingly been associated with antimicrobial resistance and animal health concerns, making its presence noteworthy from a public health perspective (Liu </w:t>
      </w:r>
      <w:r w:rsidRPr="007A4BEB">
        <w:rPr>
          <w:rFonts w:ascii="Arial" w:hAnsi="Arial" w:cs="Arial"/>
          <w:bCs/>
          <w:i/>
        </w:rPr>
        <w:t>et al</w:t>
      </w:r>
      <w:r w:rsidRPr="00F56ED8">
        <w:rPr>
          <w:rFonts w:ascii="Arial" w:hAnsi="Arial" w:cs="Arial"/>
          <w:bCs/>
        </w:rPr>
        <w:t>., 2024).</w:t>
      </w:r>
    </w:p>
    <w:p w14:paraId="7BB36E2F" w14:textId="77777777" w:rsidR="00A82799" w:rsidRPr="00F56ED8" w:rsidRDefault="00A82799" w:rsidP="00A82799">
      <w:pPr>
        <w:jc w:val="both"/>
        <w:rPr>
          <w:rFonts w:ascii="Arial" w:hAnsi="Arial" w:cs="Arial"/>
          <w:bCs/>
        </w:rPr>
      </w:pPr>
      <w:r w:rsidRPr="00F56ED8">
        <w:rPr>
          <w:rFonts w:ascii="Arial" w:hAnsi="Arial" w:cs="Arial"/>
          <w:bCs/>
        </w:rPr>
        <w:t xml:space="preserve">The isolation of </w:t>
      </w:r>
      <w:r w:rsidRPr="00086897">
        <w:rPr>
          <w:rFonts w:ascii="Arial" w:hAnsi="Arial" w:cs="Arial"/>
          <w:bCs/>
          <w:i/>
        </w:rPr>
        <w:t>Enterobacter cloacae</w:t>
      </w:r>
      <w:r w:rsidRPr="00F56ED8">
        <w:rPr>
          <w:rFonts w:ascii="Arial" w:hAnsi="Arial" w:cs="Arial"/>
          <w:bCs/>
        </w:rPr>
        <w:t xml:space="preserve"> and </w:t>
      </w:r>
      <w:r w:rsidRPr="00086897">
        <w:rPr>
          <w:rFonts w:ascii="Arial" w:hAnsi="Arial" w:cs="Arial"/>
          <w:bCs/>
          <w:i/>
        </w:rPr>
        <w:t xml:space="preserve">Citrobacter </w:t>
      </w:r>
      <w:proofErr w:type="spellStart"/>
      <w:r w:rsidRPr="00086897">
        <w:rPr>
          <w:rFonts w:ascii="Arial" w:hAnsi="Arial" w:cs="Arial"/>
          <w:bCs/>
          <w:i/>
        </w:rPr>
        <w:t>freundii</w:t>
      </w:r>
      <w:proofErr w:type="spellEnd"/>
      <w:r w:rsidRPr="00F56ED8">
        <w:rPr>
          <w:rFonts w:ascii="Arial" w:hAnsi="Arial" w:cs="Arial"/>
          <w:bCs/>
        </w:rPr>
        <w:t xml:space="preserve">, which constituted 6.10% and 5.16% of the isolates, respectively, further indicates the taxonomic heterogeneity of the enteric bacterial population recovered from the sampled animals. Both taxa have been reported from animal-associated and environmental sources, demonstrating their capacity to persist across diverse ecological niches. Of particular concern is their ability to </w:t>
      </w:r>
      <w:proofErr w:type="spellStart"/>
      <w:r w:rsidRPr="00F56ED8">
        <w:rPr>
          <w:rFonts w:ascii="Arial" w:hAnsi="Arial" w:cs="Arial"/>
          <w:bCs/>
        </w:rPr>
        <w:t>harbour</w:t>
      </w:r>
      <w:proofErr w:type="spellEnd"/>
      <w:r w:rsidRPr="00F56ED8">
        <w:rPr>
          <w:rFonts w:ascii="Arial" w:hAnsi="Arial" w:cs="Arial"/>
          <w:bCs/>
        </w:rPr>
        <w:t xml:space="preserve"> antimicrobial-resistance determinants, with members of these groups increasingly recognized as potential reservoirs and vehicles for the persistence and dissemination of resistance genes (Diene &amp; Rolain, 2020; Li </w:t>
      </w:r>
      <w:r w:rsidRPr="007A4BEB">
        <w:rPr>
          <w:rFonts w:ascii="Arial" w:hAnsi="Arial" w:cs="Arial"/>
          <w:bCs/>
          <w:i/>
        </w:rPr>
        <w:t>et al</w:t>
      </w:r>
      <w:r w:rsidRPr="00F56ED8">
        <w:rPr>
          <w:rFonts w:ascii="Arial" w:hAnsi="Arial" w:cs="Arial"/>
          <w:bCs/>
        </w:rPr>
        <w:t xml:space="preserve">., 2021; Martak </w:t>
      </w:r>
      <w:r w:rsidRPr="007A4BEB">
        <w:rPr>
          <w:rFonts w:ascii="Arial" w:hAnsi="Arial" w:cs="Arial"/>
          <w:bCs/>
          <w:i/>
        </w:rPr>
        <w:t>et al</w:t>
      </w:r>
      <w:r w:rsidRPr="00F56ED8">
        <w:rPr>
          <w:rFonts w:ascii="Arial" w:hAnsi="Arial" w:cs="Arial"/>
          <w:bCs/>
        </w:rPr>
        <w:t>., 2024).</w:t>
      </w:r>
    </w:p>
    <w:p w14:paraId="2D96F73D" w14:textId="77777777" w:rsidR="00A82799" w:rsidRPr="00F56ED8" w:rsidRDefault="00A82799" w:rsidP="00A82799">
      <w:pPr>
        <w:jc w:val="both"/>
        <w:rPr>
          <w:rFonts w:ascii="Arial" w:hAnsi="Arial" w:cs="Arial"/>
          <w:bCs/>
        </w:rPr>
      </w:pPr>
      <w:r w:rsidRPr="00F56ED8">
        <w:rPr>
          <w:rFonts w:ascii="Arial" w:hAnsi="Arial" w:cs="Arial"/>
          <w:bCs/>
        </w:rPr>
        <w:t xml:space="preserve">The isolation of </w:t>
      </w:r>
      <w:r w:rsidRPr="00086897">
        <w:rPr>
          <w:rFonts w:ascii="Arial" w:hAnsi="Arial" w:cs="Arial"/>
          <w:bCs/>
          <w:i/>
        </w:rPr>
        <w:t>Escherichia coli</w:t>
      </w:r>
      <w:r w:rsidRPr="00F56ED8">
        <w:rPr>
          <w:rFonts w:ascii="Arial" w:hAnsi="Arial" w:cs="Arial"/>
          <w:bCs/>
        </w:rPr>
        <w:t xml:space="preserve"> from all animal groups examined, representing 4.69% of the total bacterial isolates, was consistent with the established occurrence of this species within the intestinal microbiota of mammals. Although many intestinal </w:t>
      </w:r>
      <w:r w:rsidRPr="00086897">
        <w:rPr>
          <w:rFonts w:ascii="Arial" w:hAnsi="Arial" w:cs="Arial"/>
          <w:bCs/>
          <w:i/>
        </w:rPr>
        <w:t>E. coli</w:t>
      </w:r>
      <w:r w:rsidRPr="00F56ED8">
        <w:rPr>
          <w:rFonts w:ascii="Arial" w:hAnsi="Arial" w:cs="Arial"/>
          <w:bCs/>
        </w:rPr>
        <w:t xml:space="preserve"> strains exist as commensals without causing apparent disease, genetically diverse lineages may acquire virulence-associated traits that enable intestinal or extra-intestinal infections in animals and humans (Kaper </w:t>
      </w:r>
      <w:r w:rsidRPr="007A4BEB">
        <w:rPr>
          <w:rFonts w:ascii="Arial" w:hAnsi="Arial" w:cs="Arial"/>
          <w:bCs/>
          <w:i/>
        </w:rPr>
        <w:t>et al</w:t>
      </w:r>
      <w:r w:rsidRPr="00F56ED8">
        <w:rPr>
          <w:rFonts w:ascii="Arial" w:hAnsi="Arial" w:cs="Arial"/>
          <w:bCs/>
        </w:rPr>
        <w:t xml:space="preserve">., 2004; Manges &amp; Johnson, 2015). The detection of </w:t>
      </w:r>
      <w:r w:rsidRPr="007A4BEB">
        <w:rPr>
          <w:rFonts w:ascii="Arial" w:hAnsi="Arial" w:cs="Arial"/>
          <w:bCs/>
          <w:i/>
        </w:rPr>
        <w:t>E. coli</w:t>
      </w:r>
      <w:r w:rsidRPr="00F56ED8">
        <w:rPr>
          <w:rFonts w:ascii="Arial" w:hAnsi="Arial" w:cs="Arial"/>
          <w:bCs/>
        </w:rPr>
        <w:t xml:space="preserve"> among the pig and cattle isolates is therefore of public-health relevance, particularly because livestock-associated populations can </w:t>
      </w:r>
      <w:proofErr w:type="spellStart"/>
      <w:r w:rsidRPr="00F56ED8">
        <w:rPr>
          <w:rFonts w:ascii="Arial" w:hAnsi="Arial" w:cs="Arial"/>
          <w:bCs/>
        </w:rPr>
        <w:t>harbour</w:t>
      </w:r>
      <w:proofErr w:type="spellEnd"/>
      <w:r w:rsidRPr="00F56ED8">
        <w:rPr>
          <w:rFonts w:ascii="Arial" w:hAnsi="Arial" w:cs="Arial"/>
          <w:bCs/>
        </w:rPr>
        <w:t xml:space="preserve"> antimicrobial-resistant strains and resistance determinants. Surveillance of </w:t>
      </w:r>
      <w:r w:rsidRPr="007A4BEB">
        <w:rPr>
          <w:rFonts w:ascii="Arial" w:hAnsi="Arial" w:cs="Arial"/>
          <w:bCs/>
          <w:i/>
        </w:rPr>
        <w:t>E. coli</w:t>
      </w:r>
      <w:r w:rsidRPr="00F56ED8">
        <w:rPr>
          <w:rFonts w:ascii="Arial" w:hAnsi="Arial" w:cs="Arial"/>
          <w:bCs/>
        </w:rPr>
        <w:t xml:space="preserve"> from food-producing animals can consequently contribute to monitoring the occurrence and dissemination of antimicrobial resistance within the animal–food–environment interface (Caruso, 2018; </w:t>
      </w:r>
      <w:proofErr w:type="spellStart"/>
      <w:r w:rsidRPr="00F56ED8">
        <w:rPr>
          <w:rFonts w:ascii="Arial" w:hAnsi="Arial" w:cs="Arial"/>
          <w:bCs/>
        </w:rPr>
        <w:t>Mihailovskaya</w:t>
      </w:r>
      <w:proofErr w:type="spellEnd"/>
      <w:r w:rsidRPr="00F56ED8">
        <w:rPr>
          <w:rFonts w:ascii="Arial" w:hAnsi="Arial" w:cs="Arial"/>
          <w:bCs/>
        </w:rPr>
        <w:t xml:space="preserve"> </w:t>
      </w:r>
      <w:r w:rsidRPr="007A4BEB">
        <w:rPr>
          <w:rFonts w:ascii="Arial" w:hAnsi="Arial" w:cs="Arial"/>
          <w:bCs/>
          <w:i/>
        </w:rPr>
        <w:t>et al</w:t>
      </w:r>
      <w:r w:rsidRPr="00F56ED8">
        <w:rPr>
          <w:rFonts w:ascii="Arial" w:hAnsi="Arial" w:cs="Arial"/>
          <w:bCs/>
        </w:rPr>
        <w:t>., 2024).</w:t>
      </w:r>
    </w:p>
    <w:p w14:paraId="1397A3DF" w14:textId="77777777" w:rsidR="00A82799" w:rsidRPr="00F56ED8" w:rsidRDefault="00A82799" w:rsidP="00A82799">
      <w:pPr>
        <w:jc w:val="both"/>
        <w:rPr>
          <w:rFonts w:ascii="Arial" w:hAnsi="Arial" w:cs="Arial"/>
          <w:bCs/>
        </w:rPr>
      </w:pPr>
      <w:r w:rsidRPr="00F56ED8">
        <w:rPr>
          <w:rFonts w:ascii="Arial" w:hAnsi="Arial" w:cs="Arial"/>
          <w:bCs/>
        </w:rPr>
        <w:t xml:space="preserve">Similarly, the isolation of </w:t>
      </w:r>
      <w:r w:rsidRPr="00086897">
        <w:rPr>
          <w:rFonts w:ascii="Arial" w:hAnsi="Arial" w:cs="Arial"/>
          <w:bCs/>
          <w:i/>
        </w:rPr>
        <w:t>Klebsiella pneumoniae</w:t>
      </w:r>
      <w:r w:rsidRPr="00F56ED8">
        <w:rPr>
          <w:rFonts w:ascii="Arial" w:hAnsi="Arial" w:cs="Arial"/>
          <w:bCs/>
        </w:rPr>
        <w:t xml:space="preserve"> (4.69%) is of considerable concern. This bacterium is increasingly recognized as a zoonotic pathogen capable of causing severe infections and carrying multiple antibiotic resistance determinants. Its occurrence in both pigs and cattle could reflect contamination from environmental sources, feed, water, or animal-to-animal transmission within production facilities (Wyres &amp; Holt, 2023).</w:t>
      </w:r>
    </w:p>
    <w:p w14:paraId="3B766B24" w14:textId="77777777" w:rsidR="00A82799" w:rsidRPr="00F56ED8" w:rsidRDefault="00A82799" w:rsidP="00A82799">
      <w:pPr>
        <w:jc w:val="both"/>
        <w:rPr>
          <w:rFonts w:ascii="Arial" w:hAnsi="Arial" w:cs="Arial"/>
          <w:bCs/>
        </w:rPr>
      </w:pPr>
      <w:r w:rsidRPr="00F56ED8">
        <w:rPr>
          <w:rFonts w:ascii="Arial" w:hAnsi="Arial" w:cs="Arial"/>
          <w:bCs/>
        </w:rPr>
        <w:t xml:space="preserve">The presence of </w:t>
      </w:r>
      <w:r w:rsidRPr="00086897">
        <w:rPr>
          <w:rFonts w:ascii="Arial" w:hAnsi="Arial" w:cs="Arial"/>
          <w:bCs/>
          <w:i/>
        </w:rPr>
        <w:t>Proteus mirabilis</w:t>
      </w:r>
      <w:r w:rsidRPr="00F56ED8">
        <w:rPr>
          <w:rFonts w:ascii="Arial" w:hAnsi="Arial" w:cs="Arial"/>
          <w:bCs/>
        </w:rPr>
        <w:t xml:space="preserve"> (7.51%) across all animal categories suggests its widespread distribution within the intestinal ecosystem. </w:t>
      </w:r>
      <w:r w:rsidRPr="00086897">
        <w:rPr>
          <w:rFonts w:ascii="Arial" w:hAnsi="Arial" w:cs="Arial"/>
          <w:bCs/>
          <w:i/>
        </w:rPr>
        <w:t>P. mirabilis</w:t>
      </w:r>
      <w:r w:rsidRPr="00F56ED8">
        <w:rPr>
          <w:rFonts w:ascii="Arial" w:hAnsi="Arial" w:cs="Arial"/>
          <w:bCs/>
        </w:rPr>
        <w:t xml:space="preserve"> is a common gastrointestinal inhabitant and an opportunistic pathogen associated with urinary tract and </w:t>
      </w:r>
      <w:r w:rsidRPr="00F56ED8">
        <w:rPr>
          <w:rFonts w:ascii="Arial" w:hAnsi="Arial" w:cs="Arial"/>
          <w:bCs/>
        </w:rPr>
        <w:lastRenderedPageBreak/>
        <w:t>wound infections. Its relatively high frequency could be linked to its ability to survive under diverse environmental conditions and compete successfully within the intestinal microbiome (Armbruster &amp; Mobley, 2024).</w:t>
      </w:r>
    </w:p>
    <w:p w14:paraId="48F928B5" w14:textId="77777777" w:rsidR="00A82799" w:rsidRPr="00F56ED8" w:rsidRDefault="00A82799" w:rsidP="00A82799">
      <w:pPr>
        <w:jc w:val="both"/>
        <w:rPr>
          <w:rFonts w:ascii="Arial" w:hAnsi="Arial" w:cs="Arial"/>
          <w:bCs/>
        </w:rPr>
      </w:pPr>
      <w:r w:rsidRPr="00F56ED8">
        <w:rPr>
          <w:rFonts w:ascii="Arial" w:hAnsi="Arial" w:cs="Arial"/>
          <w:bCs/>
        </w:rPr>
        <w:t xml:space="preserve">The isolation of </w:t>
      </w:r>
      <w:r w:rsidRPr="00086897">
        <w:rPr>
          <w:rFonts w:ascii="Arial" w:hAnsi="Arial" w:cs="Arial"/>
          <w:bCs/>
          <w:i/>
        </w:rPr>
        <w:t>Shigella flexneri</w:t>
      </w:r>
      <w:r w:rsidRPr="00F56ED8">
        <w:rPr>
          <w:rFonts w:ascii="Arial" w:hAnsi="Arial" w:cs="Arial"/>
          <w:bCs/>
        </w:rPr>
        <w:t xml:space="preserve"> (3.29%) and </w:t>
      </w:r>
      <w:r w:rsidRPr="00086897">
        <w:rPr>
          <w:rFonts w:ascii="Arial" w:hAnsi="Arial" w:cs="Arial"/>
          <w:bCs/>
          <w:i/>
        </w:rPr>
        <w:t>Shigella sonnei</w:t>
      </w:r>
      <w:r w:rsidRPr="00F56ED8">
        <w:rPr>
          <w:rFonts w:ascii="Arial" w:hAnsi="Arial" w:cs="Arial"/>
          <w:bCs/>
        </w:rPr>
        <w:t xml:space="preserve"> (2.82%) primarily from grower pigs, piglets, and cattle is noteworthy because Shigella species are traditionally regarded as human-adapted pathogens. Their detection could indicate fecal contamination originating from human handlers, contaminated water sources, or shared environmental reservoirs. Similar findings have occasionally been reported in livestock settings where hygiene and biosecurity measures are inadequate (</w:t>
      </w:r>
      <w:proofErr w:type="spellStart"/>
      <w:r w:rsidRPr="00F56ED8">
        <w:rPr>
          <w:rFonts w:ascii="Arial" w:hAnsi="Arial" w:cs="Arial"/>
          <w:bCs/>
        </w:rPr>
        <w:t>Kotloff</w:t>
      </w:r>
      <w:proofErr w:type="spellEnd"/>
      <w:r w:rsidRPr="00F56ED8">
        <w:rPr>
          <w:rFonts w:ascii="Arial" w:hAnsi="Arial" w:cs="Arial"/>
          <w:bCs/>
        </w:rPr>
        <w:t xml:space="preserve"> </w:t>
      </w:r>
      <w:r w:rsidRPr="00880703">
        <w:rPr>
          <w:rFonts w:ascii="Arial" w:hAnsi="Arial" w:cs="Arial"/>
          <w:bCs/>
          <w:i/>
        </w:rPr>
        <w:t>et al</w:t>
      </w:r>
      <w:r w:rsidRPr="00F56ED8">
        <w:rPr>
          <w:rFonts w:ascii="Arial" w:hAnsi="Arial" w:cs="Arial"/>
          <w:bCs/>
        </w:rPr>
        <w:t>., 2024).</w:t>
      </w:r>
    </w:p>
    <w:p w14:paraId="199B7F6C" w14:textId="77777777" w:rsidR="00A82799" w:rsidRPr="00F56ED8" w:rsidRDefault="00A82799" w:rsidP="00A82799">
      <w:pPr>
        <w:jc w:val="both"/>
        <w:rPr>
          <w:rFonts w:ascii="Arial" w:hAnsi="Arial" w:cs="Arial"/>
          <w:bCs/>
        </w:rPr>
      </w:pPr>
      <w:r w:rsidRPr="00F56ED8">
        <w:rPr>
          <w:rFonts w:ascii="Arial" w:hAnsi="Arial" w:cs="Arial"/>
          <w:bCs/>
        </w:rPr>
        <w:t xml:space="preserve">The occurrence of </w:t>
      </w:r>
      <w:r w:rsidRPr="00086897">
        <w:rPr>
          <w:rFonts w:ascii="Arial" w:hAnsi="Arial" w:cs="Arial"/>
          <w:bCs/>
          <w:i/>
        </w:rPr>
        <w:t>Salmonella Typhi</w:t>
      </w:r>
      <w:r w:rsidRPr="00F56ED8">
        <w:rPr>
          <w:rFonts w:ascii="Arial" w:hAnsi="Arial" w:cs="Arial"/>
          <w:bCs/>
        </w:rPr>
        <w:t xml:space="preserve"> (2.35%) is unusual because this pathogen is generally considered human-restricted. Its recovery from animal samples could reflect environmental contamination, misidentification of closely related </w:t>
      </w:r>
      <w:r w:rsidRPr="00086897">
        <w:rPr>
          <w:rFonts w:ascii="Arial" w:hAnsi="Arial" w:cs="Arial"/>
          <w:bCs/>
          <w:i/>
        </w:rPr>
        <w:t>Salmonella serovars</w:t>
      </w:r>
      <w:r w:rsidRPr="00F56ED8">
        <w:rPr>
          <w:rFonts w:ascii="Arial" w:hAnsi="Arial" w:cs="Arial"/>
          <w:bCs/>
        </w:rPr>
        <w:t xml:space="preserve">, or contamination during handling. Consequently, molecular confirmation would be necessary to verify the identity of these isolates and determine their epidemiological significance (Crump </w:t>
      </w:r>
      <w:r w:rsidRPr="00880703">
        <w:rPr>
          <w:rFonts w:ascii="Arial" w:hAnsi="Arial" w:cs="Arial"/>
          <w:bCs/>
          <w:i/>
        </w:rPr>
        <w:t>et al</w:t>
      </w:r>
      <w:r w:rsidRPr="00F56ED8">
        <w:rPr>
          <w:rFonts w:ascii="Arial" w:hAnsi="Arial" w:cs="Arial"/>
          <w:bCs/>
        </w:rPr>
        <w:t>., 2024).</w:t>
      </w:r>
    </w:p>
    <w:p w14:paraId="7D7419A3" w14:textId="77777777" w:rsidR="00A82799" w:rsidRPr="00F56ED8" w:rsidRDefault="00A82799" w:rsidP="00A82799">
      <w:pPr>
        <w:jc w:val="both"/>
        <w:rPr>
          <w:rFonts w:ascii="Arial" w:hAnsi="Arial" w:cs="Arial"/>
          <w:bCs/>
        </w:rPr>
      </w:pPr>
      <w:r w:rsidRPr="00F56ED8">
        <w:rPr>
          <w:rFonts w:ascii="Arial" w:hAnsi="Arial" w:cs="Arial"/>
          <w:bCs/>
        </w:rPr>
        <w:t xml:space="preserve">Although </w:t>
      </w:r>
      <w:r w:rsidRPr="00086897">
        <w:rPr>
          <w:rFonts w:ascii="Arial" w:hAnsi="Arial" w:cs="Arial"/>
          <w:bCs/>
          <w:i/>
        </w:rPr>
        <w:t xml:space="preserve">Pseudomonas aeruginosa, Pseudomonas </w:t>
      </w:r>
      <w:proofErr w:type="spellStart"/>
      <w:r w:rsidRPr="00086897">
        <w:rPr>
          <w:rFonts w:ascii="Arial" w:hAnsi="Arial" w:cs="Arial"/>
          <w:bCs/>
          <w:i/>
        </w:rPr>
        <w:t>stutzeri</w:t>
      </w:r>
      <w:proofErr w:type="spellEnd"/>
      <w:r w:rsidRPr="00086897">
        <w:rPr>
          <w:rFonts w:ascii="Arial" w:hAnsi="Arial" w:cs="Arial"/>
          <w:bCs/>
          <w:i/>
        </w:rPr>
        <w:t xml:space="preserve">, Alcaligenes faecalis, Providencia </w:t>
      </w:r>
      <w:proofErr w:type="spellStart"/>
      <w:r w:rsidRPr="00086897">
        <w:rPr>
          <w:rFonts w:ascii="Arial" w:hAnsi="Arial" w:cs="Arial"/>
          <w:bCs/>
          <w:i/>
        </w:rPr>
        <w:t>alcalifaciens</w:t>
      </w:r>
      <w:proofErr w:type="spellEnd"/>
      <w:r w:rsidRPr="00F56ED8">
        <w:rPr>
          <w:rFonts w:ascii="Arial" w:hAnsi="Arial" w:cs="Arial"/>
          <w:bCs/>
        </w:rPr>
        <w:t xml:space="preserve">, and </w:t>
      </w:r>
      <w:r w:rsidRPr="00086897">
        <w:rPr>
          <w:rFonts w:ascii="Arial" w:hAnsi="Arial" w:cs="Arial"/>
          <w:bCs/>
          <w:i/>
        </w:rPr>
        <w:t xml:space="preserve">Aeromonas </w:t>
      </w:r>
      <w:proofErr w:type="spellStart"/>
      <w:r w:rsidRPr="00086897">
        <w:rPr>
          <w:rFonts w:ascii="Arial" w:hAnsi="Arial" w:cs="Arial"/>
          <w:bCs/>
          <w:i/>
        </w:rPr>
        <w:t>jandaei</w:t>
      </w:r>
      <w:proofErr w:type="spellEnd"/>
      <w:r w:rsidRPr="00F56ED8">
        <w:rPr>
          <w:rFonts w:ascii="Arial" w:hAnsi="Arial" w:cs="Arial"/>
          <w:bCs/>
        </w:rPr>
        <w:t xml:space="preserve"> occurred only occasionally among the isolates, their detection adds to the range of bacterial taxa recovered from the gastrointestinal samples. Several of these organisms have been associated with opportunistic infections, particularly in hosts with underlying susceptibility, while </w:t>
      </w:r>
      <w:r w:rsidRPr="00880703">
        <w:rPr>
          <w:rFonts w:ascii="Arial" w:hAnsi="Arial" w:cs="Arial"/>
          <w:bCs/>
          <w:i/>
        </w:rPr>
        <w:t>P. aeruginosa</w:t>
      </w:r>
      <w:r w:rsidRPr="00F56ED8">
        <w:rPr>
          <w:rFonts w:ascii="Arial" w:hAnsi="Arial" w:cs="Arial"/>
          <w:bCs/>
        </w:rPr>
        <w:t xml:space="preserve"> is also well recognized for its capacity to develop and acquire antimicrobial resistance (Letizia et al., 2025; Janda &amp; Abbott, 2010). Members of the genus Aeromonas likewise possess established pathogenic potential and have been associated with antimicrobial-resistance determinants of One Health concern (Janda &amp; Abbott, 2010; Jones et al., 2023).</w:t>
      </w:r>
    </w:p>
    <w:p w14:paraId="6A088663" w14:textId="77777777" w:rsidR="00A82799" w:rsidRPr="00F56ED8" w:rsidRDefault="00A82799" w:rsidP="00A82799">
      <w:pPr>
        <w:jc w:val="both"/>
        <w:rPr>
          <w:rFonts w:ascii="Arial" w:hAnsi="Arial" w:cs="Arial"/>
          <w:bCs/>
        </w:rPr>
      </w:pPr>
      <w:r w:rsidRPr="00F56ED8">
        <w:rPr>
          <w:rFonts w:ascii="Arial" w:hAnsi="Arial" w:cs="Arial"/>
          <w:bCs/>
        </w:rPr>
        <w:t xml:space="preserve">The greater recovery of several bacterial taxa, particularly </w:t>
      </w:r>
      <w:r w:rsidRPr="00086897">
        <w:rPr>
          <w:rFonts w:ascii="Arial" w:hAnsi="Arial" w:cs="Arial"/>
          <w:bCs/>
          <w:i/>
        </w:rPr>
        <w:t>Proteus mirabilis, Alcaligenes faecalis, Shigella spp</w:t>
      </w:r>
      <w:r w:rsidRPr="00F56ED8">
        <w:rPr>
          <w:rFonts w:ascii="Arial" w:hAnsi="Arial" w:cs="Arial"/>
          <w:bCs/>
        </w:rPr>
        <w:t xml:space="preserve">., and </w:t>
      </w:r>
      <w:r w:rsidRPr="00086897">
        <w:rPr>
          <w:rFonts w:ascii="Arial" w:hAnsi="Arial" w:cs="Arial"/>
          <w:bCs/>
          <w:i/>
        </w:rPr>
        <w:t>Enterobacter spp</w:t>
      </w:r>
      <w:r w:rsidRPr="00F56ED8">
        <w:rPr>
          <w:rFonts w:ascii="Arial" w:hAnsi="Arial" w:cs="Arial"/>
          <w:bCs/>
        </w:rPr>
        <w:t xml:space="preserve">., from mature cattle intestines could be associated with differences in host-associated microbial ecology and the conditions to which the animals were exposed. Variation in diet, gastrointestinal physiology, environmental contact, and husbandry practices can influence the composition and abundance of intestinal bacterial communities in livestock (Looft &amp; Allen, 2012; Holman </w:t>
      </w:r>
      <w:r w:rsidRPr="00880703">
        <w:rPr>
          <w:rFonts w:ascii="Arial" w:hAnsi="Arial" w:cs="Arial"/>
          <w:bCs/>
          <w:i/>
        </w:rPr>
        <w:t>et al</w:t>
      </w:r>
      <w:r w:rsidRPr="00F56ED8">
        <w:rPr>
          <w:rFonts w:ascii="Arial" w:hAnsi="Arial" w:cs="Arial"/>
          <w:bCs/>
        </w:rPr>
        <w:t xml:space="preserve">., 2017). In contrast, the comparatively infrequent detection of </w:t>
      </w:r>
      <w:r w:rsidRPr="00086897">
        <w:rPr>
          <w:rFonts w:ascii="Arial" w:hAnsi="Arial" w:cs="Arial"/>
          <w:bCs/>
          <w:i/>
        </w:rPr>
        <w:t>Yersinia spp</w:t>
      </w:r>
      <w:r w:rsidRPr="00F56ED8">
        <w:rPr>
          <w:rFonts w:ascii="Arial" w:hAnsi="Arial" w:cs="Arial"/>
          <w:bCs/>
        </w:rPr>
        <w:t xml:space="preserve">. in cattle, relative to the pig population examined, is consistent with the </w:t>
      </w:r>
      <w:proofErr w:type="spellStart"/>
      <w:r w:rsidRPr="00F56ED8">
        <w:rPr>
          <w:rFonts w:ascii="Arial" w:hAnsi="Arial" w:cs="Arial"/>
          <w:bCs/>
        </w:rPr>
        <w:t>recognised</w:t>
      </w:r>
      <w:proofErr w:type="spellEnd"/>
      <w:r w:rsidRPr="00F56ED8">
        <w:rPr>
          <w:rFonts w:ascii="Arial" w:hAnsi="Arial" w:cs="Arial"/>
          <w:bCs/>
        </w:rPr>
        <w:t xml:space="preserve"> epidemiological importance of swine as a major reservoir of pathogenic </w:t>
      </w:r>
      <w:r w:rsidRPr="00880703">
        <w:rPr>
          <w:rFonts w:ascii="Arial" w:hAnsi="Arial" w:cs="Arial"/>
          <w:bCs/>
          <w:i/>
        </w:rPr>
        <w:t>Yersinia</w:t>
      </w:r>
      <w:r w:rsidRPr="00F56ED8">
        <w:rPr>
          <w:rFonts w:ascii="Arial" w:hAnsi="Arial" w:cs="Arial"/>
          <w:bCs/>
        </w:rPr>
        <w:t xml:space="preserve">, particularly </w:t>
      </w:r>
      <w:r w:rsidRPr="00086897">
        <w:rPr>
          <w:rFonts w:ascii="Arial" w:hAnsi="Arial" w:cs="Arial"/>
          <w:bCs/>
          <w:i/>
        </w:rPr>
        <w:t>Yersinia enterocolitica</w:t>
      </w:r>
      <w:r w:rsidRPr="00F56ED8">
        <w:rPr>
          <w:rFonts w:ascii="Arial" w:hAnsi="Arial" w:cs="Arial"/>
          <w:bCs/>
        </w:rPr>
        <w:t xml:space="preserve"> (Bonardi </w:t>
      </w:r>
      <w:r w:rsidRPr="00880703">
        <w:rPr>
          <w:rFonts w:ascii="Arial" w:hAnsi="Arial" w:cs="Arial"/>
          <w:bCs/>
          <w:i/>
        </w:rPr>
        <w:t>et al</w:t>
      </w:r>
      <w:r w:rsidRPr="00F56ED8">
        <w:rPr>
          <w:rFonts w:ascii="Arial" w:hAnsi="Arial" w:cs="Arial"/>
          <w:bCs/>
        </w:rPr>
        <w:t xml:space="preserve">., 2016; EFSA &amp; ECDC, 2024). This host-associated difference could therefore help explain the contrasting distribution of </w:t>
      </w:r>
      <w:r w:rsidRPr="00880703">
        <w:rPr>
          <w:rFonts w:ascii="Arial" w:hAnsi="Arial" w:cs="Arial"/>
          <w:bCs/>
          <w:i/>
        </w:rPr>
        <w:t>Yersinia</w:t>
      </w:r>
      <w:r w:rsidRPr="00F56ED8">
        <w:rPr>
          <w:rFonts w:ascii="Arial" w:hAnsi="Arial" w:cs="Arial"/>
          <w:bCs/>
        </w:rPr>
        <w:t xml:space="preserve"> observed between the two animal groups in the present study.</w:t>
      </w:r>
    </w:p>
    <w:p w14:paraId="64186DB0" w14:textId="77777777" w:rsidR="00A82799" w:rsidRPr="00F56ED8" w:rsidRDefault="00A82799" w:rsidP="00A82799">
      <w:pPr>
        <w:jc w:val="both"/>
        <w:rPr>
          <w:rFonts w:ascii="Arial" w:hAnsi="Arial" w:cs="Arial"/>
          <w:bCs/>
        </w:rPr>
      </w:pPr>
    </w:p>
    <w:p w14:paraId="1834DE18" w14:textId="77777777" w:rsidR="00D57446" w:rsidRPr="00D57446" w:rsidRDefault="00D57446" w:rsidP="00A82799">
      <w:pPr>
        <w:jc w:val="both"/>
        <w:rPr>
          <w:rFonts w:ascii="Arial" w:hAnsi="Arial" w:cs="Arial"/>
          <w:b/>
          <w:bCs/>
        </w:rPr>
      </w:pPr>
      <w:r w:rsidRPr="00D57446">
        <w:rPr>
          <w:rFonts w:ascii="Arial" w:hAnsi="Arial" w:cs="Arial"/>
          <w:b/>
        </w:rPr>
        <w:t xml:space="preserve">Table 2: </w:t>
      </w:r>
      <w:r w:rsidRPr="00D57446">
        <w:rPr>
          <w:rFonts w:ascii="Arial" w:hAnsi="Arial" w:cs="Arial"/>
          <w:b/>
          <w:bCs/>
        </w:rPr>
        <w:t xml:space="preserve">Distribution of Enterobacteriaceae and </w:t>
      </w:r>
      <w:proofErr w:type="spellStart"/>
      <w:r w:rsidRPr="00D57446">
        <w:rPr>
          <w:rFonts w:ascii="Arial" w:hAnsi="Arial" w:cs="Arial"/>
          <w:b/>
          <w:bCs/>
        </w:rPr>
        <w:t>Yersiniaceae</w:t>
      </w:r>
      <w:proofErr w:type="spellEnd"/>
      <w:r w:rsidRPr="00D57446">
        <w:rPr>
          <w:rFonts w:ascii="Arial" w:hAnsi="Arial" w:cs="Arial"/>
          <w:b/>
          <w:bCs/>
        </w:rPr>
        <w:t xml:space="preserve"> Isolates from different pigs’ </w:t>
      </w:r>
      <w:proofErr w:type="spellStart"/>
      <w:r w:rsidRPr="00D57446">
        <w:rPr>
          <w:rFonts w:ascii="Arial" w:hAnsi="Arial" w:cs="Arial"/>
          <w:b/>
          <w:bCs/>
        </w:rPr>
        <w:t>faeces</w:t>
      </w:r>
      <w:proofErr w:type="spellEnd"/>
      <w:r w:rsidRPr="00D57446">
        <w:rPr>
          <w:rFonts w:ascii="Arial" w:hAnsi="Arial" w:cs="Arial"/>
          <w:b/>
          <w:bCs/>
        </w:rPr>
        <w:t xml:space="preserve"> and cow intestines</w:t>
      </w:r>
    </w:p>
    <w:p w14:paraId="3F38FA70" w14:textId="77777777" w:rsidR="00D57446" w:rsidRDefault="00D57446" w:rsidP="00D57446">
      <w:pPr>
        <w:jc w:val="both"/>
        <w:rPr>
          <w:rFonts w:ascii="Times New Roman" w:hAnsi="Times New Roman"/>
          <w:b/>
          <w:bCs/>
          <w:sz w:val="24"/>
          <w:szCs w:val="24"/>
        </w:rPr>
      </w:pPr>
    </w:p>
    <w:tbl>
      <w:tblPr>
        <w:tblW w:w="9520" w:type="dxa"/>
        <w:tblBorders>
          <w:top w:val="single" w:sz="4" w:space="0" w:color="auto"/>
          <w:bottom w:val="single" w:sz="4" w:space="0" w:color="auto"/>
        </w:tblBorders>
        <w:tblCellMar>
          <w:left w:w="0" w:type="dxa"/>
          <w:right w:w="0" w:type="dxa"/>
        </w:tblCellMar>
        <w:tblLook w:val="0420" w:firstRow="1" w:lastRow="0" w:firstColumn="0" w:lastColumn="0" w:noHBand="0" w:noVBand="1"/>
      </w:tblPr>
      <w:tblGrid>
        <w:gridCol w:w="3240"/>
        <w:gridCol w:w="1340"/>
        <w:gridCol w:w="1260"/>
        <w:gridCol w:w="1060"/>
        <w:gridCol w:w="1280"/>
        <w:gridCol w:w="1340"/>
      </w:tblGrid>
      <w:tr w:rsidR="00D57446" w:rsidRPr="00D57446" w14:paraId="665C30F0" w14:textId="77777777" w:rsidTr="00720D6B">
        <w:trPr>
          <w:trHeight w:val="757"/>
        </w:trPr>
        <w:tc>
          <w:tcPr>
            <w:tcW w:w="3240" w:type="dxa"/>
            <w:tcBorders>
              <w:top w:val="single" w:sz="4" w:space="0" w:color="auto"/>
              <w:bottom w:val="single" w:sz="4" w:space="0" w:color="auto"/>
            </w:tcBorders>
            <w:tcMar>
              <w:top w:w="15" w:type="dxa"/>
              <w:left w:w="108" w:type="dxa"/>
              <w:bottom w:w="0" w:type="dxa"/>
              <w:right w:w="108" w:type="dxa"/>
            </w:tcMar>
            <w:hideMark/>
          </w:tcPr>
          <w:p w14:paraId="07EC6B9D"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Pathogens</w:t>
            </w:r>
          </w:p>
        </w:tc>
        <w:tc>
          <w:tcPr>
            <w:tcW w:w="1340" w:type="dxa"/>
            <w:tcBorders>
              <w:top w:val="single" w:sz="4" w:space="0" w:color="auto"/>
              <w:bottom w:val="single" w:sz="4" w:space="0" w:color="auto"/>
            </w:tcBorders>
            <w:tcMar>
              <w:top w:w="15" w:type="dxa"/>
              <w:left w:w="108" w:type="dxa"/>
              <w:bottom w:w="0" w:type="dxa"/>
              <w:right w:w="108" w:type="dxa"/>
            </w:tcMar>
            <w:hideMark/>
          </w:tcPr>
          <w:p w14:paraId="13E9201C"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Adult pigs</w:t>
            </w:r>
          </w:p>
        </w:tc>
        <w:tc>
          <w:tcPr>
            <w:tcW w:w="1260" w:type="dxa"/>
            <w:tcBorders>
              <w:top w:val="single" w:sz="4" w:space="0" w:color="auto"/>
              <w:bottom w:val="single" w:sz="4" w:space="0" w:color="auto"/>
            </w:tcBorders>
            <w:tcMar>
              <w:top w:w="15" w:type="dxa"/>
              <w:left w:w="108" w:type="dxa"/>
              <w:bottom w:w="0" w:type="dxa"/>
              <w:right w:w="108" w:type="dxa"/>
            </w:tcMar>
            <w:hideMark/>
          </w:tcPr>
          <w:p w14:paraId="71817CE1"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Grower pigs</w:t>
            </w:r>
          </w:p>
        </w:tc>
        <w:tc>
          <w:tcPr>
            <w:tcW w:w="1060" w:type="dxa"/>
            <w:tcBorders>
              <w:top w:val="single" w:sz="4" w:space="0" w:color="auto"/>
              <w:bottom w:val="single" w:sz="4" w:space="0" w:color="auto"/>
            </w:tcBorders>
            <w:tcMar>
              <w:top w:w="15" w:type="dxa"/>
              <w:left w:w="108" w:type="dxa"/>
              <w:bottom w:w="0" w:type="dxa"/>
              <w:right w:w="108" w:type="dxa"/>
            </w:tcMar>
            <w:hideMark/>
          </w:tcPr>
          <w:p w14:paraId="0FA0B21C"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Piglets</w:t>
            </w:r>
          </w:p>
        </w:tc>
        <w:tc>
          <w:tcPr>
            <w:tcW w:w="1280" w:type="dxa"/>
            <w:tcBorders>
              <w:top w:val="single" w:sz="4" w:space="0" w:color="auto"/>
              <w:bottom w:val="single" w:sz="4" w:space="0" w:color="auto"/>
            </w:tcBorders>
            <w:tcMar>
              <w:top w:w="15" w:type="dxa"/>
              <w:left w:w="108" w:type="dxa"/>
              <w:bottom w:w="0" w:type="dxa"/>
              <w:right w:w="108" w:type="dxa"/>
            </w:tcMar>
            <w:hideMark/>
          </w:tcPr>
          <w:p w14:paraId="22DDA514"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Mature cow intestines</w:t>
            </w:r>
          </w:p>
        </w:tc>
        <w:tc>
          <w:tcPr>
            <w:tcW w:w="1340" w:type="dxa"/>
            <w:tcBorders>
              <w:top w:val="single" w:sz="4" w:space="0" w:color="auto"/>
              <w:bottom w:val="single" w:sz="4" w:space="0" w:color="auto"/>
            </w:tcBorders>
            <w:tcMar>
              <w:top w:w="15" w:type="dxa"/>
              <w:left w:w="108" w:type="dxa"/>
              <w:bottom w:w="0" w:type="dxa"/>
              <w:right w:w="108" w:type="dxa"/>
            </w:tcMar>
            <w:hideMark/>
          </w:tcPr>
          <w:p w14:paraId="2C12BFFE"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Percentage (%) occurrence</w:t>
            </w:r>
          </w:p>
        </w:tc>
      </w:tr>
      <w:tr w:rsidR="00D57446" w:rsidRPr="00D57446" w14:paraId="7B72FAC0" w14:textId="77777777" w:rsidTr="00720D6B">
        <w:trPr>
          <w:trHeight w:val="504"/>
        </w:trPr>
        <w:tc>
          <w:tcPr>
            <w:tcW w:w="9520" w:type="dxa"/>
            <w:gridSpan w:val="6"/>
            <w:tcBorders>
              <w:top w:val="single" w:sz="4" w:space="0" w:color="auto"/>
            </w:tcBorders>
            <w:tcMar>
              <w:top w:w="72" w:type="dxa"/>
              <w:left w:w="144" w:type="dxa"/>
              <w:bottom w:w="72" w:type="dxa"/>
              <w:right w:w="144" w:type="dxa"/>
            </w:tcMar>
            <w:hideMark/>
          </w:tcPr>
          <w:p w14:paraId="79CE53D5"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ENTEROBACTERIACEAE AND YERSINIACEAE COUNT  (n=213)</w:t>
            </w:r>
          </w:p>
        </w:tc>
      </w:tr>
      <w:tr w:rsidR="00D57446" w:rsidRPr="00D57446" w14:paraId="690FEC0A" w14:textId="77777777" w:rsidTr="00720D6B">
        <w:trPr>
          <w:trHeight w:val="424"/>
        </w:trPr>
        <w:tc>
          <w:tcPr>
            <w:tcW w:w="3240" w:type="dxa"/>
            <w:tcMar>
              <w:top w:w="15" w:type="dxa"/>
              <w:left w:w="108" w:type="dxa"/>
              <w:bottom w:w="0" w:type="dxa"/>
              <w:right w:w="108" w:type="dxa"/>
            </w:tcMar>
            <w:hideMark/>
          </w:tcPr>
          <w:p w14:paraId="050A9901"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 xml:space="preserve">Pseudomonas </w:t>
            </w:r>
            <w:proofErr w:type="spellStart"/>
            <w:r w:rsidRPr="00D57446">
              <w:rPr>
                <w:rFonts w:ascii="Arial" w:hAnsi="Arial" w:cs="Arial"/>
                <w:b/>
                <w:i/>
                <w:iCs/>
                <w:color w:val="000000" w:themeColor="text1"/>
                <w:kern w:val="24"/>
                <w:sz w:val="16"/>
                <w:szCs w:val="16"/>
              </w:rPr>
              <w:t>stutzeri</w:t>
            </w:r>
            <w:proofErr w:type="spellEnd"/>
          </w:p>
        </w:tc>
        <w:tc>
          <w:tcPr>
            <w:tcW w:w="1340" w:type="dxa"/>
            <w:tcMar>
              <w:top w:w="15" w:type="dxa"/>
              <w:left w:w="108" w:type="dxa"/>
              <w:bottom w:w="0" w:type="dxa"/>
              <w:right w:w="108" w:type="dxa"/>
            </w:tcMar>
            <w:hideMark/>
          </w:tcPr>
          <w:p w14:paraId="029C7B95"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260" w:type="dxa"/>
            <w:tcMar>
              <w:top w:w="15" w:type="dxa"/>
              <w:left w:w="108" w:type="dxa"/>
              <w:bottom w:w="0" w:type="dxa"/>
              <w:right w:w="108" w:type="dxa"/>
            </w:tcMar>
            <w:hideMark/>
          </w:tcPr>
          <w:p w14:paraId="483DA9CB"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060" w:type="dxa"/>
            <w:tcMar>
              <w:top w:w="15" w:type="dxa"/>
              <w:left w:w="108" w:type="dxa"/>
              <w:bottom w:w="0" w:type="dxa"/>
              <w:right w:w="108" w:type="dxa"/>
            </w:tcMar>
            <w:hideMark/>
          </w:tcPr>
          <w:p w14:paraId="00A7A01A"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39B5B746"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340" w:type="dxa"/>
            <w:tcMar>
              <w:top w:w="15" w:type="dxa"/>
              <w:left w:w="108" w:type="dxa"/>
              <w:bottom w:w="0" w:type="dxa"/>
              <w:right w:w="108" w:type="dxa"/>
            </w:tcMar>
            <w:hideMark/>
          </w:tcPr>
          <w:p w14:paraId="0B44CA42"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1.41</w:t>
            </w:r>
          </w:p>
        </w:tc>
      </w:tr>
      <w:tr w:rsidR="00D57446" w:rsidRPr="00D57446" w14:paraId="3847668F" w14:textId="77777777" w:rsidTr="00720D6B">
        <w:trPr>
          <w:trHeight w:val="424"/>
        </w:trPr>
        <w:tc>
          <w:tcPr>
            <w:tcW w:w="3240" w:type="dxa"/>
            <w:tcMar>
              <w:top w:w="15" w:type="dxa"/>
              <w:left w:w="108" w:type="dxa"/>
              <w:bottom w:w="0" w:type="dxa"/>
              <w:right w:w="108" w:type="dxa"/>
            </w:tcMar>
            <w:hideMark/>
          </w:tcPr>
          <w:p w14:paraId="22DF1FF7"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Pseudomonas aeruginosa</w:t>
            </w:r>
          </w:p>
        </w:tc>
        <w:tc>
          <w:tcPr>
            <w:tcW w:w="1340" w:type="dxa"/>
            <w:tcMar>
              <w:top w:w="15" w:type="dxa"/>
              <w:left w:w="108" w:type="dxa"/>
              <w:bottom w:w="0" w:type="dxa"/>
              <w:right w:w="108" w:type="dxa"/>
            </w:tcMar>
            <w:hideMark/>
          </w:tcPr>
          <w:p w14:paraId="64DA0285"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260" w:type="dxa"/>
            <w:tcMar>
              <w:top w:w="15" w:type="dxa"/>
              <w:left w:w="108" w:type="dxa"/>
              <w:bottom w:w="0" w:type="dxa"/>
              <w:right w:w="108" w:type="dxa"/>
            </w:tcMar>
            <w:hideMark/>
          </w:tcPr>
          <w:p w14:paraId="1A9FA693"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060" w:type="dxa"/>
            <w:tcMar>
              <w:top w:w="15" w:type="dxa"/>
              <w:left w:w="108" w:type="dxa"/>
              <w:bottom w:w="0" w:type="dxa"/>
              <w:right w:w="108" w:type="dxa"/>
            </w:tcMar>
            <w:hideMark/>
          </w:tcPr>
          <w:p w14:paraId="79C60B59"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3DAE4D25"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340" w:type="dxa"/>
            <w:tcMar>
              <w:top w:w="15" w:type="dxa"/>
              <w:left w:w="108" w:type="dxa"/>
              <w:bottom w:w="0" w:type="dxa"/>
              <w:right w:w="108" w:type="dxa"/>
            </w:tcMar>
            <w:hideMark/>
          </w:tcPr>
          <w:p w14:paraId="62D24900"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2.35</w:t>
            </w:r>
          </w:p>
        </w:tc>
      </w:tr>
      <w:tr w:rsidR="00D57446" w:rsidRPr="00D57446" w14:paraId="0BDDE120" w14:textId="77777777" w:rsidTr="00720D6B">
        <w:trPr>
          <w:trHeight w:val="424"/>
        </w:trPr>
        <w:tc>
          <w:tcPr>
            <w:tcW w:w="3240" w:type="dxa"/>
            <w:tcMar>
              <w:top w:w="15" w:type="dxa"/>
              <w:left w:w="108" w:type="dxa"/>
              <w:bottom w:w="0" w:type="dxa"/>
              <w:right w:w="108" w:type="dxa"/>
            </w:tcMar>
            <w:hideMark/>
          </w:tcPr>
          <w:p w14:paraId="26364275"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Alcaligenes faecalis</w:t>
            </w:r>
          </w:p>
        </w:tc>
        <w:tc>
          <w:tcPr>
            <w:tcW w:w="1340" w:type="dxa"/>
            <w:tcMar>
              <w:top w:w="15" w:type="dxa"/>
              <w:left w:w="108" w:type="dxa"/>
              <w:bottom w:w="0" w:type="dxa"/>
              <w:right w:w="108" w:type="dxa"/>
            </w:tcMar>
            <w:hideMark/>
          </w:tcPr>
          <w:p w14:paraId="0AA0596D"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260" w:type="dxa"/>
            <w:tcMar>
              <w:top w:w="15" w:type="dxa"/>
              <w:left w:w="108" w:type="dxa"/>
              <w:bottom w:w="0" w:type="dxa"/>
              <w:right w:w="108" w:type="dxa"/>
            </w:tcMar>
            <w:hideMark/>
          </w:tcPr>
          <w:p w14:paraId="449352AF"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060" w:type="dxa"/>
            <w:tcMar>
              <w:top w:w="15" w:type="dxa"/>
              <w:left w:w="108" w:type="dxa"/>
              <w:bottom w:w="0" w:type="dxa"/>
              <w:right w:w="108" w:type="dxa"/>
            </w:tcMar>
            <w:hideMark/>
          </w:tcPr>
          <w:p w14:paraId="62D7E43B"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0F5B916A"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6</w:t>
            </w:r>
          </w:p>
        </w:tc>
        <w:tc>
          <w:tcPr>
            <w:tcW w:w="1340" w:type="dxa"/>
            <w:tcMar>
              <w:top w:w="15" w:type="dxa"/>
              <w:left w:w="108" w:type="dxa"/>
              <w:bottom w:w="0" w:type="dxa"/>
              <w:right w:w="108" w:type="dxa"/>
            </w:tcMar>
            <w:hideMark/>
          </w:tcPr>
          <w:p w14:paraId="46E64B27"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4.69</w:t>
            </w:r>
          </w:p>
        </w:tc>
      </w:tr>
      <w:tr w:rsidR="00D57446" w:rsidRPr="00D57446" w14:paraId="68D2A6A2" w14:textId="77777777" w:rsidTr="00720D6B">
        <w:trPr>
          <w:trHeight w:val="424"/>
        </w:trPr>
        <w:tc>
          <w:tcPr>
            <w:tcW w:w="3240" w:type="dxa"/>
            <w:tcMar>
              <w:top w:w="15" w:type="dxa"/>
              <w:left w:w="108" w:type="dxa"/>
              <w:bottom w:w="0" w:type="dxa"/>
              <w:right w:w="108" w:type="dxa"/>
            </w:tcMar>
            <w:hideMark/>
          </w:tcPr>
          <w:p w14:paraId="5A1246D0"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lastRenderedPageBreak/>
              <w:t>Klebsiella pneumonia</w:t>
            </w:r>
          </w:p>
        </w:tc>
        <w:tc>
          <w:tcPr>
            <w:tcW w:w="1340" w:type="dxa"/>
            <w:tcMar>
              <w:top w:w="15" w:type="dxa"/>
              <w:left w:w="108" w:type="dxa"/>
              <w:bottom w:w="0" w:type="dxa"/>
              <w:right w:w="108" w:type="dxa"/>
            </w:tcMar>
            <w:hideMark/>
          </w:tcPr>
          <w:p w14:paraId="0A3390A1"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260" w:type="dxa"/>
            <w:tcMar>
              <w:top w:w="15" w:type="dxa"/>
              <w:left w:w="108" w:type="dxa"/>
              <w:bottom w:w="0" w:type="dxa"/>
              <w:right w:w="108" w:type="dxa"/>
            </w:tcMar>
            <w:hideMark/>
          </w:tcPr>
          <w:p w14:paraId="774015A6"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060" w:type="dxa"/>
            <w:tcMar>
              <w:top w:w="15" w:type="dxa"/>
              <w:left w:w="108" w:type="dxa"/>
              <w:bottom w:w="0" w:type="dxa"/>
              <w:right w:w="108" w:type="dxa"/>
            </w:tcMar>
            <w:hideMark/>
          </w:tcPr>
          <w:p w14:paraId="708B851A"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280" w:type="dxa"/>
            <w:tcMar>
              <w:top w:w="15" w:type="dxa"/>
              <w:left w:w="108" w:type="dxa"/>
              <w:bottom w:w="0" w:type="dxa"/>
              <w:right w:w="108" w:type="dxa"/>
            </w:tcMar>
            <w:hideMark/>
          </w:tcPr>
          <w:p w14:paraId="337E23C4"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4</w:t>
            </w:r>
          </w:p>
        </w:tc>
        <w:tc>
          <w:tcPr>
            <w:tcW w:w="1340" w:type="dxa"/>
            <w:tcMar>
              <w:top w:w="15" w:type="dxa"/>
              <w:left w:w="108" w:type="dxa"/>
              <w:bottom w:w="0" w:type="dxa"/>
              <w:right w:w="108" w:type="dxa"/>
            </w:tcMar>
            <w:hideMark/>
          </w:tcPr>
          <w:p w14:paraId="092EF0A5"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4.69</w:t>
            </w:r>
          </w:p>
        </w:tc>
      </w:tr>
      <w:tr w:rsidR="00D57446" w:rsidRPr="00D57446" w14:paraId="5AD331B9" w14:textId="77777777" w:rsidTr="00720D6B">
        <w:trPr>
          <w:trHeight w:val="423"/>
        </w:trPr>
        <w:tc>
          <w:tcPr>
            <w:tcW w:w="3240" w:type="dxa"/>
            <w:tcMar>
              <w:top w:w="15" w:type="dxa"/>
              <w:left w:w="108" w:type="dxa"/>
              <w:bottom w:w="0" w:type="dxa"/>
              <w:right w:w="108" w:type="dxa"/>
            </w:tcMar>
            <w:hideMark/>
          </w:tcPr>
          <w:p w14:paraId="744F73A2"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 xml:space="preserve">Providencia </w:t>
            </w:r>
            <w:proofErr w:type="spellStart"/>
            <w:r w:rsidRPr="00D57446">
              <w:rPr>
                <w:rFonts w:ascii="Arial" w:hAnsi="Arial" w:cs="Arial"/>
                <w:b/>
                <w:i/>
                <w:iCs/>
                <w:color w:val="000000" w:themeColor="text1"/>
                <w:kern w:val="24"/>
                <w:sz w:val="16"/>
                <w:szCs w:val="16"/>
              </w:rPr>
              <w:t>alcalifaciens</w:t>
            </w:r>
            <w:proofErr w:type="spellEnd"/>
          </w:p>
        </w:tc>
        <w:tc>
          <w:tcPr>
            <w:tcW w:w="1340" w:type="dxa"/>
            <w:tcMar>
              <w:top w:w="15" w:type="dxa"/>
              <w:left w:w="108" w:type="dxa"/>
              <w:bottom w:w="0" w:type="dxa"/>
              <w:right w:w="108" w:type="dxa"/>
            </w:tcMar>
            <w:hideMark/>
          </w:tcPr>
          <w:p w14:paraId="27140570"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260" w:type="dxa"/>
            <w:tcMar>
              <w:top w:w="15" w:type="dxa"/>
              <w:left w:w="108" w:type="dxa"/>
              <w:bottom w:w="0" w:type="dxa"/>
              <w:right w:w="108" w:type="dxa"/>
            </w:tcMar>
            <w:hideMark/>
          </w:tcPr>
          <w:p w14:paraId="46216FA1"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060" w:type="dxa"/>
            <w:tcMar>
              <w:top w:w="15" w:type="dxa"/>
              <w:left w:w="108" w:type="dxa"/>
              <w:bottom w:w="0" w:type="dxa"/>
              <w:right w:w="108" w:type="dxa"/>
            </w:tcMar>
            <w:hideMark/>
          </w:tcPr>
          <w:p w14:paraId="0BC45A71"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06CE6A8F"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340" w:type="dxa"/>
            <w:tcMar>
              <w:top w:w="15" w:type="dxa"/>
              <w:left w:w="108" w:type="dxa"/>
              <w:bottom w:w="0" w:type="dxa"/>
              <w:right w:w="108" w:type="dxa"/>
            </w:tcMar>
            <w:hideMark/>
          </w:tcPr>
          <w:p w14:paraId="37DAAAB2"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0.94</w:t>
            </w:r>
          </w:p>
        </w:tc>
      </w:tr>
      <w:tr w:rsidR="00D57446" w:rsidRPr="00D57446" w14:paraId="4E286DBC" w14:textId="77777777" w:rsidTr="00720D6B">
        <w:trPr>
          <w:trHeight w:val="424"/>
        </w:trPr>
        <w:tc>
          <w:tcPr>
            <w:tcW w:w="3240" w:type="dxa"/>
            <w:tcMar>
              <w:top w:w="15" w:type="dxa"/>
              <w:left w:w="108" w:type="dxa"/>
              <w:bottom w:w="0" w:type="dxa"/>
              <w:right w:w="108" w:type="dxa"/>
            </w:tcMar>
            <w:hideMark/>
          </w:tcPr>
          <w:p w14:paraId="732775D9"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Escherichia coli</w:t>
            </w:r>
          </w:p>
        </w:tc>
        <w:tc>
          <w:tcPr>
            <w:tcW w:w="1340" w:type="dxa"/>
            <w:tcMar>
              <w:top w:w="15" w:type="dxa"/>
              <w:left w:w="108" w:type="dxa"/>
              <w:bottom w:w="0" w:type="dxa"/>
              <w:right w:w="108" w:type="dxa"/>
            </w:tcMar>
            <w:hideMark/>
          </w:tcPr>
          <w:p w14:paraId="4BE0F866"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260" w:type="dxa"/>
            <w:tcMar>
              <w:top w:w="15" w:type="dxa"/>
              <w:left w:w="108" w:type="dxa"/>
              <w:bottom w:w="0" w:type="dxa"/>
              <w:right w:w="108" w:type="dxa"/>
            </w:tcMar>
            <w:hideMark/>
          </w:tcPr>
          <w:p w14:paraId="10A6308F"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060" w:type="dxa"/>
            <w:tcMar>
              <w:top w:w="15" w:type="dxa"/>
              <w:left w:w="108" w:type="dxa"/>
              <w:bottom w:w="0" w:type="dxa"/>
              <w:right w:w="108" w:type="dxa"/>
            </w:tcMar>
            <w:hideMark/>
          </w:tcPr>
          <w:p w14:paraId="52A186B6"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280" w:type="dxa"/>
            <w:tcMar>
              <w:top w:w="15" w:type="dxa"/>
              <w:left w:w="108" w:type="dxa"/>
              <w:bottom w:w="0" w:type="dxa"/>
              <w:right w:w="108" w:type="dxa"/>
            </w:tcMar>
            <w:hideMark/>
          </w:tcPr>
          <w:p w14:paraId="19B9C6C4"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4</w:t>
            </w:r>
          </w:p>
        </w:tc>
        <w:tc>
          <w:tcPr>
            <w:tcW w:w="1340" w:type="dxa"/>
            <w:tcMar>
              <w:top w:w="15" w:type="dxa"/>
              <w:left w:w="108" w:type="dxa"/>
              <w:bottom w:w="0" w:type="dxa"/>
              <w:right w:w="108" w:type="dxa"/>
            </w:tcMar>
            <w:hideMark/>
          </w:tcPr>
          <w:p w14:paraId="070B0E18"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4.69</w:t>
            </w:r>
          </w:p>
        </w:tc>
      </w:tr>
      <w:tr w:rsidR="00D57446" w:rsidRPr="00D57446" w14:paraId="597E2E25" w14:textId="77777777" w:rsidTr="00720D6B">
        <w:trPr>
          <w:trHeight w:val="424"/>
        </w:trPr>
        <w:tc>
          <w:tcPr>
            <w:tcW w:w="3240" w:type="dxa"/>
            <w:tcMar>
              <w:top w:w="15" w:type="dxa"/>
              <w:left w:w="108" w:type="dxa"/>
              <w:bottom w:w="0" w:type="dxa"/>
              <w:right w:w="108" w:type="dxa"/>
            </w:tcMar>
            <w:hideMark/>
          </w:tcPr>
          <w:p w14:paraId="000695ED"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 xml:space="preserve">Citrobacter </w:t>
            </w:r>
            <w:proofErr w:type="spellStart"/>
            <w:r w:rsidRPr="00D57446">
              <w:rPr>
                <w:rFonts w:ascii="Arial" w:hAnsi="Arial" w:cs="Arial"/>
                <w:b/>
                <w:i/>
                <w:iCs/>
                <w:color w:val="000000" w:themeColor="text1"/>
                <w:kern w:val="24"/>
                <w:sz w:val="16"/>
                <w:szCs w:val="16"/>
              </w:rPr>
              <w:t>freundi</w:t>
            </w:r>
            <w:proofErr w:type="spellEnd"/>
          </w:p>
        </w:tc>
        <w:tc>
          <w:tcPr>
            <w:tcW w:w="1340" w:type="dxa"/>
            <w:tcMar>
              <w:top w:w="15" w:type="dxa"/>
              <w:left w:w="108" w:type="dxa"/>
              <w:bottom w:w="0" w:type="dxa"/>
              <w:right w:w="108" w:type="dxa"/>
            </w:tcMar>
            <w:hideMark/>
          </w:tcPr>
          <w:p w14:paraId="17B2434C"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4</w:t>
            </w:r>
          </w:p>
        </w:tc>
        <w:tc>
          <w:tcPr>
            <w:tcW w:w="1260" w:type="dxa"/>
            <w:tcMar>
              <w:top w:w="15" w:type="dxa"/>
              <w:left w:w="108" w:type="dxa"/>
              <w:bottom w:w="0" w:type="dxa"/>
              <w:right w:w="108" w:type="dxa"/>
            </w:tcMar>
            <w:hideMark/>
          </w:tcPr>
          <w:p w14:paraId="2CCC75CE"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060" w:type="dxa"/>
            <w:tcMar>
              <w:top w:w="15" w:type="dxa"/>
              <w:left w:w="108" w:type="dxa"/>
              <w:bottom w:w="0" w:type="dxa"/>
              <w:right w:w="108" w:type="dxa"/>
            </w:tcMar>
            <w:hideMark/>
          </w:tcPr>
          <w:p w14:paraId="3AD03400"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280" w:type="dxa"/>
            <w:tcMar>
              <w:top w:w="15" w:type="dxa"/>
              <w:left w:w="108" w:type="dxa"/>
              <w:bottom w:w="0" w:type="dxa"/>
              <w:right w:w="108" w:type="dxa"/>
            </w:tcMar>
            <w:hideMark/>
          </w:tcPr>
          <w:p w14:paraId="6067B54C"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340" w:type="dxa"/>
            <w:tcMar>
              <w:top w:w="15" w:type="dxa"/>
              <w:left w:w="108" w:type="dxa"/>
              <w:bottom w:w="0" w:type="dxa"/>
              <w:right w:w="108" w:type="dxa"/>
            </w:tcMar>
            <w:hideMark/>
          </w:tcPr>
          <w:p w14:paraId="05A30186"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5.16</w:t>
            </w:r>
          </w:p>
        </w:tc>
      </w:tr>
      <w:tr w:rsidR="00D57446" w:rsidRPr="00D57446" w14:paraId="4A19A076" w14:textId="77777777" w:rsidTr="00720D6B">
        <w:trPr>
          <w:trHeight w:val="424"/>
        </w:trPr>
        <w:tc>
          <w:tcPr>
            <w:tcW w:w="3240" w:type="dxa"/>
            <w:tcMar>
              <w:top w:w="15" w:type="dxa"/>
              <w:left w:w="108" w:type="dxa"/>
              <w:bottom w:w="0" w:type="dxa"/>
              <w:right w:w="108" w:type="dxa"/>
            </w:tcMar>
            <w:hideMark/>
          </w:tcPr>
          <w:p w14:paraId="58BD31AF"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Enterobacter cloacae</w:t>
            </w:r>
          </w:p>
        </w:tc>
        <w:tc>
          <w:tcPr>
            <w:tcW w:w="1340" w:type="dxa"/>
            <w:tcMar>
              <w:top w:w="15" w:type="dxa"/>
              <w:left w:w="108" w:type="dxa"/>
              <w:bottom w:w="0" w:type="dxa"/>
              <w:right w:w="108" w:type="dxa"/>
            </w:tcMar>
            <w:hideMark/>
          </w:tcPr>
          <w:p w14:paraId="6D27E428"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260" w:type="dxa"/>
            <w:tcMar>
              <w:top w:w="15" w:type="dxa"/>
              <w:left w:w="108" w:type="dxa"/>
              <w:bottom w:w="0" w:type="dxa"/>
              <w:right w:w="108" w:type="dxa"/>
            </w:tcMar>
            <w:hideMark/>
          </w:tcPr>
          <w:p w14:paraId="2E68CDB7"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060" w:type="dxa"/>
            <w:tcMar>
              <w:top w:w="15" w:type="dxa"/>
              <w:left w:w="108" w:type="dxa"/>
              <w:bottom w:w="0" w:type="dxa"/>
              <w:right w:w="108" w:type="dxa"/>
            </w:tcMar>
            <w:hideMark/>
          </w:tcPr>
          <w:p w14:paraId="05A8B0A3"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280" w:type="dxa"/>
            <w:tcMar>
              <w:top w:w="15" w:type="dxa"/>
              <w:left w:w="108" w:type="dxa"/>
              <w:bottom w:w="0" w:type="dxa"/>
              <w:right w:w="108" w:type="dxa"/>
            </w:tcMar>
            <w:hideMark/>
          </w:tcPr>
          <w:p w14:paraId="338D17CF"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5</w:t>
            </w:r>
          </w:p>
        </w:tc>
        <w:tc>
          <w:tcPr>
            <w:tcW w:w="1340" w:type="dxa"/>
            <w:tcMar>
              <w:top w:w="15" w:type="dxa"/>
              <w:left w:w="108" w:type="dxa"/>
              <w:bottom w:w="0" w:type="dxa"/>
              <w:right w:w="108" w:type="dxa"/>
            </w:tcMar>
            <w:hideMark/>
          </w:tcPr>
          <w:p w14:paraId="46D73BB0"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6.10</w:t>
            </w:r>
          </w:p>
        </w:tc>
      </w:tr>
      <w:tr w:rsidR="00D57446" w:rsidRPr="00D57446" w14:paraId="1320C479" w14:textId="77777777" w:rsidTr="00720D6B">
        <w:trPr>
          <w:trHeight w:val="424"/>
        </w:trPr>
        <w:tc>
          <w:tcPr>
            <w:tcW w:w="3240" w:type="dxa"/>
            <w:tcMar>
              <w:top w:w="15" w:type="dxa"/>
              <w:left w:w="108" w:type="dxa"/>
              <w:bottom w:w="0" w:type="dxa"/>
              <w:right w:w="108" w:type="dxa"/>
            </w:tcMar>
            <w:hideMark/>
          </w:tcPr>
          <w:p w14:paraId="542D9A52" w14:textId="77777777" w:rsidR="00D57446" w:rsidRPr="00D57446" w:rsidRDefault="00D57446" w:rsidP="00720D6B">
            <w:pPr>
              <w:rPr>
                <w:rFonts w:ascii="Arial" w:hAnsi="Arial" w:cs="Arial"/>
                <w:b/>
                <w:sz w:val="16"/>
                <w:szCs w:val="16"/>
              </w:rPr>
            </w:pPr>
            <w:r w:rsidRPr="00D57446">
              <w:rPr>
                <w:rFonts w:ascii="Arial" w:hAnsi="Arial" w:cs="Arial"/>
                <w:b/>
                <w:i/>
                <w:iCs/>
                <w:kern w:val="24"/>
                <w:sz w:val="16"/>
                <w:szCs w:val="16"/>
              </w:rPr>
              <w:t>Enterobacter aerogenes</w:t>
            </w:r>
          </w:p>
        </w:tc>
        <w:tc>
          <w:tcPr>
            <w:tcW w:w="1340" w:type="dxa"/>
            <w:tcMar>
              <w:top w:w="15" w:type="dxa"/>
              <w:left w:w="108" w:type="dxa"/>
              <w:bottom w:w="0" w:type="dxa"/>
              <w:right w:w="108" w:type="dxa"/>
            </w:tcMar>
            <w:hideMark/>
          </w:tcPr>
          <w:p w14:paraId="74861241"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7</w:t>
            </w:r>
          </w:p>
        </w:tc>
        <w:tc>
          <w:tcPr>
            <w:tcW w:w="1260" w:type="dxa"/>
            <w:tcMar>
              <w:top w:w="15" w:type="dxa"/>
              <w:left w:w="108" w:type="dxa"/>
              <w:bottom w:w="0" w:type="dxa"/>
              <w:right w:w="108" w:type="dxa"/>
            </w:tcMar>
            <w:hideMark/>
          </w:tcPr>
          <w:p w14:paraId="567738FB"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8</w:t>
            </w:r>
          </w:p>
        </w:tc>
        <w:tc>
          <w:tcPr>
            <w:tcW w:w="1060" w:type="dxa"/>
            <w:tcMar>
              <w:top w:w="15" w:type="dxa"/>
              <w:left w:w="108" w:type="dxa"/>
              <w:bottom w:w="0" w:type="dxa"/>
              <w:right w:w="108" w:type="dxa"/>
            </w:tcMar>
            <w:hideMark/>
          </w:tcPr>
          <w:p w14:paraId="36D1C848"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4</w:t>
            </w:r>
          </w:p>
        </w:tc>
        <w:tc>
          <w:tcPr>
            <w:tcW w:w="1280" w:type="dxa"/>
            <w:tcMar>
              <w:top w:w="15" w:type="dxa"/>
              <w:left w:w="108" w:type="dxa"/>
              <w:bottom w:w="0" w:type="dxa"/>
              <w:right w:w="108" w:type="dxa"/>
            </w:tcMar>
            <w:hideMark/>
          </w:tcPr>
          <w:p w14:paraId="28FD367E"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8</w:t>
            </w:r>
          </w:p>
        </w:tc>
        <w:tc>
          <w:tcPr>
            <w:tcW w:w="1340" w:type="dxa"/>
            <w:tcMar>
              <w:top w:w="15" w:type="dxa"/>
              <w:left w:w="108" w:type="dxa"/>
              <w:bottom w:w="0" w:type="dxa"/>
              <w:right w:w="108" w:type="dxa"/>
            </w:tcMar>
            <w:hideMark/>
          </w:tcPr>
          <w:p w14:paraId="15204C6E"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12.68</w:t>
            </w:r>
          </w:p>
        </w:tc>
      </w:tr>
      <w:tr w:rsidR="00D57446" w:rsidRPr="00D57446" w14:paraId="7102EBF2" w14:textId="77777777" w:rsidTr="00720D6B">
        <w:trPr>
          <w:trHeight w:val="424"/>
        </w:trPr>
        <w:tc>
          <w:tcPr>
            <w:tcW w:w="3240" w:type="dxa"/>
            <w:tcMar>
              <w:top w:w="15" w:type="dxa"/>
              <w:left w:w="108" w:type="dxa"/>
              <w:bottom w:w="0" w:type="dxa"/>
              <w:right w:w="108" w:type="dxa"/>
            </w:tcMar>
            <w:hideMark/>
          </w:tcPr>
          <w:p w14:paraId="6B1E0562"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 xml:space="preserve">Aeromonas </w:t>
            </w:r>
            <w:proofErr w:type="spellStart"/>
            <w:r w:rsidRPr="00D57446">
              <w:rPr>
                <w:rFonts w:ascii="Arial" w:hAnsi="Arial" w:cs="Arial"/>
                <w:b/>
                <w:i/>
                <w:iCs/>
                <w:color w:val="000000" w:themeColor="text1"/>
                <w:kern w:val="24"/>
                <w:sz w:val="16"/>
                <w:szCs w:val="16"/>
              </w:rPr>
              <w:t>jandaei</w:t>
            </w:r>
            <w:proofErr w:type="spellEnd"/>
          </w:p>
        </w:tc>
        <w:tc>
          <w:tcPr>
            <w:tcW w:w="1340" w:type="dxa"/>
            <w:tcMar>
              <w:top w:w="15" w:type="dxa"/>
              <w:left w:w="108" w:type="dxa"/>
              <w:bottom w:w="0" w:type="dxa"/>
              <w:right w:w="108" w:type="dxa"/>
            </w:tcMar>
            <w:hideMark/>
          </w:tcPr>
          <w:p w14:paraId="79C17FFA"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60" w:type="dxa"/>
            <w:tcMar>
              <w:top w:w="15" w:type="dxa"/>
              <w:left w:w="108" w:type="dxa"/>
              <w:bottom w:w="0" w:type="dxa"/>
              <w:right w:w="108" w:type="dxa"/>
            </w:tcMar>
            <w:hideMark/>
          </w:tcPr>
          <w:p w14:paraId="0F5791EF"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060" w:type="dxa"/>
            <w:tcMar>
              <w:top w:w="15" w:type="dxa"/>
              <w:left w:w="108" w:type="dxa"/>
              <w:bottom w:w="0" w:type="dxa"/>
              <w:right w:w="108" w:type="dxa"/>
            </w:tcMar>
            <w:hideMark/>
          </w:tcPr>
          <w:p w14:paraId="2D8637E5"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111B1D44"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340" w:type="dxa"/>
            <w:tcMar>
              <w:top w:w="15" w:type="dxa"/>
              <w:left w:w="108" w:type="dxa"/>
              <w:bottom w:w="0" w:type="dxa"/>
              <w:right w:w="108" w:type="dxa"/>
            </w:tcMar>
            <w:hideMark/>
          </w:tcPr>
          <w:p w14:paraId="583E81B5"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0.94</w:t>
            </w:r>
          </w:p>
        </w:tc>
      </w:tr>
      <w:tr w:rsidR="00D57446" w:rsidRPr="00D57446" w14:paraId="40E092EB" w14:textId="77777777" w:rsidTr="00720D6B">
        <w:trPr>
          <w:trHeight w:val="423"/>
        </w:trPr>
        <w:tc>
          <w:tcPr>
            <w:tcW w:w="3240" w:type="dxa"/>
            <w:tcMar>
              <w:top w:w="15" w:type="dxa"/>
              <w:left w:w="108" w:type="dxa"/>
              <w:bottom w:w="0" w:type="dxa"/>
              <w:right w:w="108" w:type="dxa"/>
            </w:tcMar>
            <w:hideMark/>
          </w:tcPr>
          <w:p w14:paraId="18229209"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 xml:space="preserve">Shigella </w:t>
            </w:r>
            <w:proofErr w:type="spellStart"/>
            <w:r w:rsidRPr="00D57446">
              <w:rPr>
                <w:rFonts w:ascii="Arial" w:hAnsi="Arial" w:cs="Arial"/>
                <w:b/>
                <w:i/>
                <w:iCs/>
                <w:color w:val="000000" w:themeColor="text1"/>
                <w:kern w:val="24"/>
                <w:sz w:val="16"/>
                <w:szCs w:val="16"/>
              </w:rPr>
              <w:t>flexeneri</w:t>
            </w:r>
            <w:proofErr w:type="spellEnd"/>
          </w:p>
        </w:tc>
        <w:tc>
          <w:tcPr>
            <w:tcW w:w="1340" w:type="dxa"/>
            <w:tcMar>
              <w:top w:w="15" w:type="dxa"/>
              <w:left w:w="108" w:type="dxa"/>
              <w:bottom w:w="0" w:type="dxa"/>
              <w:right w:w="108" w:type="dxa"/>
            </w:tcMar>
            <w:hideMark/>
          </w:tcPr>
          <w:p w14:paraId="01492523"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60" w:type="dxa"/>
            <w:tcMar>
              <w:top w:w="15" w:type="dxa"/>
              <w:left w:w="108" w:type="dxa"/>
              <w:bottom w:w="0" w:type="dxa"/>
              <w:right w:w="108" w:type="dxa"/>
            </w:tcMar>
            <w:hideMark/>
          </w:tcPr>
          <w:p w14:paraId="6E22563A"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060" w:type="dxa"/>
            <w:tcMar>
              <w:top w:w="15" w:type="dxa"/>
              <w:left w:w="108" w:type="dxa"/>
              <w:bottom w:w="0" w:type="dxa"/>
              <w:right w:w="108" w:type="dxa"/>
            </w:tcMar>
            <w:hideMark/>
          </w:tcPr>
          <w:p w14:paraId="3652D6D9"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280" w:type="dxa"/>
            <w:tcMar>
              <w:top w:w="15" w:type="dxa"/>
              <w:left w:w="108" w:type="dxa"/>
              <w:bottom w:w="0" w:type="dxa"/>
              <w:right w:w="108" w:type="dxa"/>
            </w:tcMar>
            <w:hideMark/>
          </w:tcPr>
          <w:p w14:paraId="230917E1"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4</w:t>
            </w:r>
          </w:p>
        </w:tc>
        <w:tc>
          <w:tcPr>
            <w:tcW w:w="1340" w:type="dxa"/>
            <w:tcMar>
              <w:top w:w="15" w:type="dxa"/>
              <w:left w:w="108" w:type="dxa"/>
              <w:bottom w:w="0" w:type="dxa"/>
              <w:right w:w="108" w:type="dxa"/>
            </w:tcMar>
            <w:hideMark/>
          </w:tcPr>
          <w:p w14:paraId="2EE5CC6F"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3.29</w:t>
            </w:r>
          </w:p>
        </w:tc>
      </w:tr>
      <w:tr w:rsidR="00D57446" w:rsidRPr="00D57446" w14:paraId="388C847C" w14:textId="77777777" w:rsidTr="00720D6B">
        <w:trPr>
          <w:trHeight w:val="424"/>
        </w:trPr>
        <w:tc>
          <w:tcPr>
            <w:tcW w:w="3240" w:type="dxa"/>
            <w:tcMar>
              <w:top w:w="15" w:type="dxa"/>
              <w:left w:w="108" w:type="dxa"/>
              <w:bottom w:w="0" w:type="dxa"/>
              <w:right w:w="108" w:type="dxa"/>
            </w:tcMar>
            <w:hideMark/>
          </w:tcPr>
          <w:p w14:paraId="02711DFD"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Shigella sonnei</w:t>
            </w:r>
          </w:p>
        </w:tc>
        <w:tc>
          <w:tcPr>
            <w:tcW w:w="1340" w:type="dxa"/>
            <w:tcMar>
              <w:top w:w="15" w:type="dxa"/>
              <w:left w:w="108" w:type="dxa"/>
              <w:bottom w:w="0" w:type="dxa"/>
              <w:right w:w="108" w:type="dxa"/>
            </w:tcMar>
            <w:hideMark/>
          </w:tcPr>
          <w:p w14:paraId="48981381"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60" w:type="dxa"/>
            <w:tcMar>
              <w:top w:w="15" w:type="dxa"/>
              <w:left w:w="108" w:type="dxa"/>
              <w:bottom w:w="0" w:type="dxa"/>
              <w:right w:w="108" w:type="dxa"/>
            </w:tcMar>
            <w:hideMark/>
          </w:tcPr>
          <w:p w14:paraId="0D31163C"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060" w:type="dxa"/>
            <w:tcMar>
              <w:top w:w="15" w:type="dxa"/>
              <w:left w:w="108" w:type="dxa"/>
              <w:bottom w:w="0" w:type="dxa"/>
              <w:right w:w="108" w:type="dxa"/>
            </w:tcMar>
            <w:hideMark/>
          </w:tcPr>
          <w:p w14:paraId="2F2EA229"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2B0FD8BC"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5</w:t>
            </w:r>
          </w:p>
        </w:tc>
        <w:tc>
          <w:tcPr>
            <w:tcW w:w="1340" w:type="dxa"/>
            <w:tcMar>
              <w:top w:w="15" w:type="dxa"/>
              <w:left w:w="108" w:type="dxa"/>
              <w:bottom w:w="0" w:type="dxa"/>
              <w:right w:w="108" w:type="dxa"/>
            </w:tcMar>
            <w:hideMark/>
          </w:tcPr>
          <w:p w14:paraId="19FA75F9"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2.82</w:t>
            </w:r>
          </w:p>
        </w:tc>
      </w:tr>
      <w:tr w:rsidR="00D57446" w:rsidRPr="00D57446" w14:paraId="4B22F6B9" w14:textId="77777777" w:rsidTr="00720D6B">
        <w:trPr>
          <w:trHeight w:val="424"/>
        </w:trPr>
        <w:tc>
          <w:tcPr>
            <w:tcW w:w="3240" w:type="dxa"/>
            <w:tcMar>
              <w:top w:w="15" w:type="dxa"/>
              <w:left w:w="108" w:type="dxa"/>
              <w:bottom w:w="0" w:type="dxa"/>
              <w:right w:w="108" w:type="dxa"/>
            </w:tcMar>
            <w:hideMark/>
          </w:tcPr>
          <w:p w14:paraId="01C35747"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 xml:space="preserve">Salmonella </w:t>
            </w:r>
            <w:r w:rsidRPr="00D57446">
              <w:rPr>
                <w:rFonts w:ascii="Arial" w:hAnsi="Arial" w:cs="Arial"/>
                <w:b/>
                <w:color w:val="000000" w:themeColor="text1"/>
                <w:kern w:val="24"/>
                <w:sz w:val="16"/>
                <w:szCs w:val="16"/>
              </w:rPr>
              <w:t>Typhi</w:t>
            </w:r>
          </w:p>
        </w:tc>
        <w:tc>
          <w:tcPr>
            <w:tcW w:w="1340" w:type="dxa"/>
            <w:tcMar>
              <w:top w:w="15" w:type="dxa"/>
              <w:left w:w="108" w:type="dxa"/>
              <w:bottom w:w="0" w:type="dxa"/>
              <w:right w:w="108" w:type="dxa"/>
            </w:tcMar>
            <w:hideMark/>
          </w:tcPr>
          <w:p w14:paraId="3DF7E42F"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60" w:type="dxa"/>
            <w:tcMar>
              <w:top w:w="15" w:type="dxa"/>
              <w:left w:w="108" w:type="dxa"/>
              <w:bottom w:w="0" w:type="dxa"/>
              <w:right w:w="108" w:type="dxa"/>
            </w:tcMar>
            <w:hideMark/>
          </w:tcPr>
          <w:p w14:paraId="69F9AB0D"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060" w:type="dxa"/>
            <w:tcMar>
              <w:top w:w="15" w:type="dxa"/>
              <w:left w:w="108" w:type="dxa"/>
              <w:bottom w:w="0" w:type="dxa"/>
              <w:right w:w="108" w:type="dxa"/>
            </w:tcMar>
            <w:hideMark/>
          </w:tcPr>
          <w:p w14:paraId="2A24099C"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43917120"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340" w:type="dxa"/>
            <w:tcMar>
              <w:top w:w="15" w:type="dxa"/>
              <w:left w:w="108" w:type="dxa"/>
              <w:bottom w:w="0" w:type="dxa"/>
              <w:right w:w="108" w:type="dxa"/>
            </w:tcMar>
            <w:hideMark/>
          </w:tcPr>
          <w:p w14:paraId="3DADAF18"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2.35</w:t>
            </w:r>
          </w:p>
        </w:tc>
      </w:tr>
      <w:tr w:rsidR="00D57446" w:rsidRPr="00D57446" w14:paraId="36F15317" w14:textId="77777777" w:rsidTr="00720D6B">
        <w:trPr>
          <w:trHeight w:val="460"/>
        </w:trPr>
        <w:tc>
          <w:tcPr>
            <w:tcW w:w="3240" w:type="dxa"/>
            <w:tcMar>
              <w:top w:w="15" w:type="dxa"/>
              <w:left w:w="108" w:type="dxa"/>
              <w:bottom w:w="0" w:type="dxa"/>
              <w:right w:w="108" w:type="dxa"/>
            </w:tcMar>
          </w:tcPr>
          <w:p w14:paraId="175FEA3B" w14:textId="77777777" w:rsidR="00D57446" w:rsidRPr="00D57446" w:rsidRDefault="00D57446" w:rsidP="00720D6B">
            <w:pPr>
              <w:rPr>
                <w:rFonts w:ascii="Arial" w:hAnsi="Arial" w:cs="Arial"/>
                <w:b/>
                <w:sz w:val="16"/>
                <w:szCs w:val="16"/>
              </w:rPr>
            </w:pPr>
            <w:r w:rsidRPr="00D57446">
              <w:rPr>
                <w:rFonts w:ascii="Arial" w:hAnsi="Arial" w:cs="Arial"/>
                <w:b/>
                <w:i/>
                <w:iCs/>
                <w:kern w:val="24"/>
                <w:sz w:val="16"/>
                <w:szCs w:val="16"/>
              </w:rPr>
              <w:t>Proteus mirabilis</w:t>
            </w:r>
          </w:p>
        </w:tc>
        <w:tc>
          <w:tcPr>
            <w:tcW w:w="1340" w:type="dxa"/>
            <w:tcMar>
              <w:top w:w="15" w:type="dxa"/>
              <w:left w:w="108" w:type="dxa"/>
              <w:bottom w:w="0" w:type="dxa"/>
              <w:right w:w="108" w:type="dxa"/>
            </w:tcMar>
          </w:tcPr>
          <w:p w14:paraId="55A996CD"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2</w:t>
            </w:r>
          </w:p>
          <w:p w14:paraId="660B073E" w14:textId="77777777" w:rsidR="00D57446" w:rsidRPr="00D57446" w:rsidRDefault="00D57446" w:rsidP="00720D6B">
            <w:pPr>
              <w:rPr>
                <w:rFonts w:ascii="Arial" w:hAnsi="Arial" w:cs="Arial"/>
                <w:b/>
                <w:color w:val="000000" w:themeColor="text1"/>
                <w:kern w:val="24"/>
                <w:sz w:val="16"/>
                <w:szCs w:val="16"/>
              </w:rPr>
            </w:pPr>
          </w:p>
        </w:tc>
        <w:tc>
          <w:tcPr>
            <w:tcW w:w="1260" w:type="dxa"/>
            <w:tcMar>
              <w:top w:w="15" w:type="dxa"/>
              <w:left w:w="108" w:type="dxa"/>
              <w:bottom w:w="0" w:type="dxa"/>
              <w:right w:w="108" w:type="dxa"/>
            </w:tcMar>
          </w:tcPr>
          <w:p w14:paraId="5021CE62"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3</w:t>
            </w:r>
          </w:p>
          <w:p w14:paraId="3BF75EEB" w14:textId="77777777" w:rsidR="00D57446" w:rsidRPr="00D57446" w:rsidRDefault="00D57446" w:rsidP="00720D6B">
            <w:pPr>
              <w:rPr>
                <w:rFonts w:ascii="Arial" w:hAnsi="Arial" w:cs="Arial"/>
                <w:b/>
                <w:color w:val="000000" w:themeColor="text1"/>
                <w:kern w:val="24"/>
                <w:sz w:val="16"/>
                <w:szCs w:val="16"/>
              </w:rPr>
            </w:pPr>
          </w:p>
        </w:tc>
        <w:tc>
          <w:tcPr>
            <w:tcW w:w="1060" w:type="dxa"/>
            <w:tcMar>
              <w:top w:w="15" w:type="dxa"/>
              <w:left w:w="108" w:type="dxa"/>
              <w:bottom w:w="0" w:type="dxa"/>
              <w:right w:w="108" w:type="dxa"/>
            </w:tcMar>
          </w:tcPr>
          <w:p w14:paraId="1C0124A1"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2</w:t>
            </w:r>
          </w:p>
          <w:p w14:paraId="72E7045C" w14:textId="77777777" w:rsidR="00D57446" w:rsidRPr="00D57446" w:rsidRDefault="00D57446" w:rsidP="00720D6B">
            <w:pPr>
              <w:rPr>
                <w:rFonts w:ascii="Arial" w:hAnsi="Arial" w:cs="Arial"/>
                <w:b/>
                <w:color w:val="000000" w:themeColor="text1"/>
                <w:kern w:val="24"/>
                <w:sz w:val="16"/>
                <w:szCs w:val="16"/>
              </w:rPr>
            </w:pPr>
          </w:p>
        </w:tc>
        <w:tc>
          <w:tcPr>
            <w:tcW w:w="1280" w:type="dxa"/>
            <w:tcMar>
              <w:top w:w="15" w:type="dxa"/>
              <w:left w:w="108" w:type="dxa"/>
              <w:bottom w:w="0" w:type="dxa"/>
              <w:right w:w="108" w:type="dxa"/>
            </w:tcMar>
          </w:tcPr>
          <w:p w14:paraId="239F2F64"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9</w:t>
            </w:r>
          </w:p>
          <w:p w14:paraId="2CE9CD72" w14:textId="77777777" w:rsidR="00D57446" w:rsidRPr="00D57446" w:rsidRDefault="00D57446" w:rsidP="00720D6B">
            <w:pPr>
              <w:rPr>
                <w:rFonts w:ascii="Arial" w:hAnsi="Arial" w:cs="Arial"/>
                <w:b/>
                <w:color w:val="000000" w:themeColor="text1"/>
                <w:kern w:val="24"/>
                <w:sz w:val="16"/>
                <w:szCs w:val="16"/>
              </w:rPr>
            </w:pPr>
          </w:p>
        </w:tc>
        <w:tc>
          <w:tcPr>
            <w:tcW w:w="1340" w:type="dxa"/>
            <w:tcMar>
              <w:top w:w="15" w:type="dxa"/>
              <w:left w:w="108" w:type="dxa"/>
              <w:bottom w:w="0" w:type="dxa"/>
              <w:right w:w="108" w:type="dxa"/>
            </w:tcMar>
          </w:tcPr>
          <w:p w14:paraId="207B5825"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7.51</w:t>
            </w:r>
          </w:p>
        </w:tc>
      </w:tr>
      <w:tr w:rsidR="00D57446" w:rsidRPr="00D57446" w14:paraId="117898AA" w14:textId="77777777" w:rsidTr="00720D6B">
        <w:trPr>
          <w:trHeight w:val="424"/>
        </w:trPr>
        <w:tc>
          <w:tcPr>
            <w:tcW w:w="3240" w:type="dxa"/>
            <w:tcMar>
              <w:top w:w="15" w:type="dxa"/>
              <w:left w:w="108" w:type="dxa"/>
              <w:bottom w:w="0" w:type="dxa"/>
              <w:right w:w="108" w:type="dxa"/>
            </w:tcMar>
            <w:hideMark/>
          </w:tcPr>
          <w:p w14:paraId="630D766A" w14:textId="77777777" w:rsidR="00D57446" w:rsidRPr="00D57446" w:rsidRDefault="00D57446" w:rsidP="00720D6B">
            <w:pPr>
              <w:rPr>
                <w:rFonts w:ascii="Arial" w:hAnsi="Arial" w:cs="Arial"/>
                <w:b/>
                <w:sz w:val="16"/>
                <w:szCs w:val="16"/>
              </w:rPr>
            </w:pPr>
            <w:r w:rsidRPr="00D57446">
              <w:rPr>
                <w:rFonts w:ascii="Arial" w:hAnsi="Arial" w:cs="Arial"/>
                <w:b/>
                <w:i/>
                <w:iCs/>
                <w:kern w:val="24"/>
                <w:sz w:val="16"/>
                <w:szCs w:val="16"/>
              </w:rPr>
              <w:t xml:space="preserve">Yersinia species </w:t>
            </w:r>
          </w:p>
        </w:tc>
        <w:tc>
          <w:tcPr>
            <w:tcW w:w="1340" w:type="dxa"/>
            <w:tcMar>
              <w:top w:w="15" w:type="dxa"/>
              <w:left w:w="108" w:type="dxa"/>
              <w:bottom w:w="0" w:type="dxa"/>
              <w:right w:w="108" w:type="dxa"/>
            </w:tcMar>
            <w:hideMark/>
          </w:tcPr>
          <w:p w14:paraId="1684B147"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11</w:t>
            </w:r>
          </w:p>
        </w:tc>
        <w:tc>
          <w:tcPr>
            <w:tcW w:w="1260" w:type="dxa"/>
            <w:tcMar>
              <w:top w:w="15" w:type="dxa"/>
              <w:left w:w="108" w:type="dxa"/>
              <w:bottom w:w="0" w:type="dxa"/>
              <w:right w:w="108" w:type="dxa"/>
            </w:tcMar>
            <w:hideMark/>
          </w:tcPr>
          <w:p w14:paraId="7B91B26D"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50</w:t>
            </w:r>
          </w:p>
        </w:tc>
        <w:tc>
          <w:tcPr>
            <w:tcW w:w="1060" w:type="dxa"/>
            <w:tcMar>
              <w:top w:w="15" w:type="dxa"/>
              <w:left w:w="108" w:type="dxa"/>
              <w:bottom w:w="0" w:type="dxa"/>
              <w:right w:w="108" w:type="dxa"/>
            </w:tcMar>
            <w:hideMark/>
          </w:tcPr>
          <w:p w14:paraId="1F77044C"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19</w:t>
            </w:r>
          </w:p>
        </w:tc>
        <w:tc>
          <w:tcPr>
            <w:tcW w:w="1280" w:type="dxa"/>
            <w:tcMar>
              <w:top w:w="15" w:type="dxa"/>
              <w:left w:w="108" w:type="dxa"/>
              <w:bottom w:w="0" w:type="dxa"/>
              <w:right w:w="108" w:type="dxa"/>
            </w:tcMar>
            <w:hideMark/>
          </w:tcPr>
          <w:p w14:paraId="33ECA576"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6</w:t>
            </w:r>
          </w:p>
        </w:tc>
        <w:tc>
          <w:tcPr>
            <w:tcW w:w="1340" w:type="dxa"/>
            <w:tcMar>
              <w:top w:w="15" w:type="dxa"/>
              <w:left w:w="108" w:type="dxa"/>
              <w:bottom w:w="0" w:type="dxa"/>
              <w:right w:w="108" w:type="dxa"/>
            </w:tcMar>
            <w:hideMark/>
          </w:tcPr>
          <w:p w14:paraId="18946F25"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40.38</w:t>
            </w:r>
          </w:p>
        </w:tc>
      </w:tr>
    </w:tbl>
    <w:p w14:paraId="5A856A67" w14:textId="77777777" w:rsidR="00D57446" w:rsidRPr="00D57446" w:rsidRDefault="00D57446" w:rsidP="00806A0A">
      <w:pPr>
        <w:spacing w:before="100" w:beforeAutospacing="1" w:after="100" w:afterAutospacing="1"/>
        <w:jc w:val="both"/>
        <w:rPr>
          <w:rFonts w:ascii="Arial" w:hAnsi="Arial" w:cs="Arial"/>
          <w:b/>
          <w:sz w:val="16"/>
          <w:szCs w:val="16"/>
        </w:rPr>
      </w:pPr>
    </w:p>
    <w:p w14:paraId="4B4FD78B" w14:textId="77777777" w:rsidR="00DC2001" w:rsidRPr="00D57446" w:rsidRDefault="00DC2001" w:rsidP="00DC2001">
      <w:pPr>
        <w:spacing w:before="100" w:beforeAutospacing="1" w:after="100" w:afterAutospacing="1"/>
        <w:jc w:val="both"/>
        <w:rPr>
          <w:rFonts w:ascii="Arial" w:hAnsi="Arial" w:cs="Arial"/>
          <w:b/>
          <w:i/>
        </w:rPr>
      </w:pPr>
      <w:r w:rsidRPr="00D57446">
        <w:rPr>
          <w:rFonts w:ascii="Arial" w:hAnsi="Arial" w:cs="Arial"/>
          <w:b/>
          <w:i/>
        </w:rPr>
        <w:t>3.3.</w:t>
      </w:r>
      <w:r w:rsidRPr="00D57446">
        <w:rPr>
          <w:rFonts w:ascii="Arial" w:hAnsi="Arial" w:cs="Arial"/>
          <w:b/>
          <w:i/>
        </w:rPr>
        <w:tab/>
        <w:t xml:space="preserve">Molecular Characterization </w:t>
      </w:r>
      <w:proofErr w:type="gramStart"/>
      <w:r w:rsidRPr="00D57446">
        <w:rPr>
          <w:rFonts w:ascii="Arial" w:hAnsi="Arial" w:cs="Arial"/>
          <w:b/>
          <w:i/>
        </w:rPr>
        <w:t>Of</w:t>
      </w:r>
      <w:proofErr w:type="gramEnd"/>
      <w:r w:rsidRPr="00D57446">
        <w:rPr>
          <w:rFonts w:ascii="Arial" w:hAnsi="Arial" w:cs="Arial"/>
          <w:b/>
          <w:i/>
        </w:rPr>
        <w:t xml:space="preserve"> </w:t>
      </w:r>
      <w:proofErr w:type="gramStart"/>
      <w:r w:rsidRPr="00D57446">
        <w:rPr>
          <w:rFonts w:ascii="Arial" w:hAnsi="Arial" w:cs="Arial"/>
          <w:b/>
          <w:i/>
        </w:rPr>
        <w:t>The</w:t>
      </w:r>
      <w:proofErr w:type="gramEnd"/>
      <w:r w:rsidRPr="00D57446">
        <w:rPr>
          <w:rFonts w:ascii="Arial" w:hAnsi="Arial" w:cs="Arial"/>
          <w:b/>
          <w:i/>
        </w:rPr>
        <w:t xml:space="preserve"> Yersinia Isolates</w:t>
      </w:r>
    </w:p>
    <w:p w14:paraId="510CDF70" w14:textId="77777777" w:rsidR="00A82799" w:rsidRPr="004E6D95" w:rsidRDefault="00A82799" w:rsidP="00A82799">
      <w:pPr>
        <w:pStyle w:val="Body"/>
        <w:rPr>
          <w:rFonts w:ascii="Arial" w:hAnsi="Arial" w:cs="Arial"/>
        </w:rPr>
      </w:pPr>
      <w:r w:rsidRPr="004E6D95">
        <w:rPr>
          <w:rFonts w:ascii="Arial" w:hAnsi="Arial" w:cs="Arial"/>
        </w:rPr>
        <w:t xml:space="preserve">The molecular characterization of the </w:t>
      </w:r>
      <w:r w:rsidRPr="006E7C06">
        <w:rPr>
          <w:rFonts w:ascii="Arial" w:hAnsi="Arial" w:cs="Arial"/>
          <w:i/>
        </w:rPr>
        <w:t>Yersinia</w:t>
      </w:r>
      <w:r w:rsidRPr="004E6D95">
        <w:rPr>
          <w:rFonts w:ascii="Arial" w:hAnsi="Arial" w:cs="Arial"/>
        </w:rPr>
        <w:t xml:space="preserve"> isolates revealed the presence of several species distributed across different animal age groups, demonstrating the diversity of </w:t>
      </w:r>
      <w:r w:rsidRPr="006E7C06">
        <w:rPr>
          <w:rFonts w:ascii="Arial" w:hAnsi="Arial" w:cs="Arial"/>
          <w:i/>
        </w:rPr>
        <w:t>Yersinia</w:t>
      </w:r>
      <w:r w:rsidRPr="004E6D95">
        <w:rPr>
          <w:rFonts w:ascii="Arial" w:hAnsi="Arial" w:cs="Arial"/>
        </w:rPr>
        <w:t xml:space="preserve"> populations within the livestock production environment (Table 3). Out of 157 samples examined, 86 isolates were confirmed as belonging to the genus Yersinia. Based on their morphological characteristics, eleven isolates were chosen for subsequent molecular identification and characterization. The highest proportion of isolates was recovered from grower and finisher pigs (54.5%), followed by adult pigs (18.2%), weaners and piglets (18.2%), while cow intestines accounted for the lowest occurrence (9.1%). These findings reinforce the widely accepted view that pigs serve as the principal reservoir of </w:t>
      </w:r>
      <w:r w:rsidRPr="00086897">
        <w:rPr>
          <w:rFonts w:ascii="Arial" w:hAnsi="Arial" w:cs="Arial"/>
          <w:i/>
        </w:rPr>
        <w:t>Yersinia</w:t>
      </w:r>
      <w:r w:rsidRPr="004E6D95">
        <w:rPr>
          <w:rFonts w:ascii="Arial" w:hAnsi="Arial" w:cs="Arial"/>
        </w:rPr>
        <w:t xml:space="preserve"> species, particularly pathogenic strains associated with human yersiniosis (EFSA &amp; ECDC, 2024).</w:t>
      </w:r>
    </w:p>
    <w:p w14:paraId="75E4B3C3" w14:textId="77777777" w:rsidR="00A82799" w:rsidRPr="004E6D95" w:rsidRDefault="00A82799" w:rsidP="00A82799">
      <w:pPr>
        <w:pStyle w:val="Body"/>
        <w:rPr>
          <w:rFonts w:ascii="Arial" w:hAnsi="Arial" w:cs="Arial"/>
        </w:rPr>
      </w:pPr>
      <w:r w:rsidRPr="004E6D95">
        <w:rPr>
          <w:rFonts w:ascii="Arial" w:hAnsi="Arial" w:cs="Arial"/>
        </w:rPr>
        <w:t xml:space="preserve">The distribution of </w:t>
      </w:r>
      <w:r w:rsidRPr="00086897">
        <w:rPr>
          <w:rFonts w:ascii="Arial" w:hAnsi="Arial" w:cs="Arial"/>
          <w:i/>
        </w:rPr>
        <w:t>Yersinia</w:t>
      </w:r>
      <w:r w:rsidRPr="004E6D95">
        <w:rPr>
          <w:rFonts w:ascii="Arial" w:hAnsi="Arial" w:cs="Arial"/>
        </w:rPr>
        <w:t xml:space="preserve"> isolates across the production stages showed greater recovery among grower and finisher pigs than among the other age groups examined. This age-related pattern could be associated with cumulative exposure to contaminated feed, water and housing environments, together with increased opportunities for animal-to-animal transmission under intensive production conditions. Husbandry practices and physiological changes occurring during growth, including dietary transitions, regrouping and environmental stress, can also modify the intestinal microbial community and potentially influence the persistence and shedding of enteric bacteria (</w:t>
      </w:r>
      <w:r w:rsidR="00C03CE0" w:rsidRPr="00C03CE0">
        <w:t xml:space="preserve">Nowak </w:t>
      </w:r>
      <w:r w:rsidR="00C03CE0" w:rsidRPr="00C03CE0">
        <w:rPr>
          <w:i/>
        </w:rPr>
        <w:t>et al</w:t>
      </w:r>
      <w:r w:rsidR="00C03CE0" w:rsidRPr="00C03CE0">
        <w:t>., 2006</w:t>
      </w:r>
      <w:r w:rsidRPr="004E6D95">
        <w:rPr>
          <w:rFonts w:ascii="Arial" w:hAnsi="Arial" w:cs="Arial"/>
        </w:rPr>
        <w:t xml:space="preserve">; </w:t>
      </w:r>
      <w:proofErr w:type="spellStart"/>
      <w:r w:rsidRPr="004E6D95">
        <w:rPr>
          <w:rFonts w:ascii="Arial" w:hAnsi="Arial" w:cs="Arial"/>
        </w:rPr>
        <w:t>Amachawadi</w:t>
      </w:r>
      <w:proofErr w:type="spellEnd"/>
      <w:r w:rsidRPr="004E6D95">
        <w:rPr>
          <w:rFonts w:ascii="Arial" w:hAnsi="Arial" w:cs="Arial"/>
        </w:rPr>
        <w:t xml:space="preserve"> &amp; Nagaraja, 2016; Holman </w:t>
      </w:r>
      <w:r w:rsidRPr="006E7C06">
        <w:rPr>
          <w:rFonts w:ascii="Arial" w:hAnsi="Arial" w:cs="Arial"/>
          <w:i/>
        </w:rPr>
        <w:t>et al</w:t>
      </w:r>
      <w:r w:rsidRPr="004E6D95">
        <w:rPr>
          <w:rFonts w:ascii="Arial" w:hAnsi="Arial" w:cs="Arial"/>
        </w:rPr>
        <w:t>., 2017).</w:t>
      </w:r>
    </w:p>
    <w:p w14:paraId="61D12524" w14:textId="77777777" w:rsidR="00A82799" w:rsidRPr="004E6D95" w:rsidRDefault="00A82799" w:rsidP="00A82799">
      <w:pPr>
        <w:pStyle w:val="Body"/>
        <w:rPr>
          <w:rFonts w:ascii="Arial" w:hAnsi="Arial" w:cs="Arial"/>
        </w:rPr>
      </w:pPr>
      <w:r w:rsidRPr="004E6D95">
        <w:rPr>
          <w:rFonts w:ascii="Arial" w:hAnsi="Arial" w:cs="Arial"/>
        </w:rPr>
        <w:t xml:space="preserve">The comparatively high occurrence of </w:t>
      </w:r>
      <w:r w:rsidRPr="00086897">
        <w:rPr>
          <w:rFonts w:ascii="Arial" w:hAnsi="Arial" w:cs="Arial"/>
          <w:i/>
        </w:rPr>
        <w:t>Yersinia</w:t>
      </w:r>
      <w:r w:rsidRPr="004E6D95">
        <w:rPr>
          <w:rFonts w:ascii="Arial" w:hAnsi="Arial" w:cs="Arial"/>
        </w:rPr>
        <w:t xml:space="preserve"> in grower and finisher pigs is epidemiologically relevant because pigs are recognized as an important reservoir of </w:t>
      </w:r>
      <w:r w:rsidRPr="006E7C06">
        <w:rPr>
          <w:rFonts w:ascii="Arial" w:hAnsi="Arial" w:cs="Arial"/>
          <w:i/>
        </w:rPr>
        <w:t>Yersinia enterocolitica</w:t>
      </w:r>
      <w:r w:rsidRPr="004E6D95">
        <w:rPr>
          <w:rFonts w:ascii="Arial" w:hAnsi="Arial" w:cs="Arial"/>
        </w:rPr>
        <w:t xml:space="preserve">, particularly strains associated with human yersiniosis. Previous investigations </w:t>
      </w:r>
      <w:r w:rsidRPr="004E6D95">
        <w:rPr>
          <w:rFonts w:ascii="Arial" w:hAnsi="Arial" w:cs="Arial"/>
        </w:rPr>
        <w:lastRenderedPageBreak/>
        <w:t xml:space="preserve">have reported substantial carriage of </w:t>
      </w:r>
      <w:r w:rsidRPr="00086897">
        <w:rPr>
          <w:rFonts w:ascii="Arial" w:hAnsi="Arial" w:cs="Arial"/>
          <w:i/>
        </w:rPr>
        <w:t>Y. enterocolitica</w:t>
      </w:r>
      <w:r w:rsidRPr="004E6D95">
        <w:rPr>
          <w:rFonts w:ascii="Arial" w:hAnsi="Arial" w:cs="Arial"/>
        </w:rPr>
        <w:t xml:space="preserve"> in growing and finishing pigs and have identified these production stages as important points for environmental contamination and subsequent dissemination within the farm and food-production chain (Bonardi </w:t>
      </w:r>
      <w:r w:rsidRPr="006E7C06">
        <w:rPr>
          <w:rFonts w:ascii="Arial" w:hAnsi="Arial" w:cs="Arial"/>
          <w:i/>
        </w:rPr>
        <w:t>et al</w:t>
      </w:r>
      <w:r w:rsidRPr="004E6D95">
        <w:rPr>
          <w:rFonts w:ascii="Arial" w:hAnsi="Arial" w:cs="Arial"/>
        </w:rPr>
        <w:t xml:space="preserve">., 2016; EFSA &amp; ECDC, 2024). Thus, the distribution observed in the present study could reflect the combined influence of animal age, cumulative environmental exposure and production-management practices on intestinal carriage of </w:t>
      </w:r>
      <w:r w:rsidRPr="006E7C06">
        <w:rPr>
          <w:rFonts w:ascii="Arial" w:hAnsi="Arial" w:cs="Arial"/>
          <w:i/>
        </w:rPr>
        <w:t>Yersinia</w:t>
      </w:r>
      <w:r w:rsidRPr="004E6D95">
        <w:rPr>
          <w:rFonts w:ascii="Arial" w:hAnsi="Arial" w:cs="Arial"/>
        </w:rPr>
        <w:t>.</w:t>
      </w:r>
    </w:p>
    <w:p w14:paraId="2F8AC619" w14:textId="77777777" w:rsidR="00A82799" w:rsidRPr="004E6D95" w:rsidRDefault="00A82799" w:rsidP="00A82799">
      <w:pPr>
        <w:pStyle w:val="Body"/>
        <w:rPr>
          <w:rFonts w:ascii="Arial" w:hAnsi="Arial" w:cs="Arial"/>
        </w:rPr>
      </w:pPr>
      <w:r w:rsidRPr="004E6D95">
        <w:rPr>
          <w:rFonts w:ascii="Arial" w:hAnsi="Arial" w:cs="Arial"/>
        </w:rPr>
        <w:t xml:space="preserve">The detection of several </w:t>
      </w:r>
      <w:r w:rsidRPr="00086897">
        <w:rPr>
          <w:rFonts w:ascii="Arial" w:hAnsi="Arial" w:cs="Arial"/>
          <w:i/>
        </w:rPr>
        <w:t>Yersinia enterocolitica</w:t>
      </w:r>
      <w:r w:rsidRPr="004E6D95">
        <w:rPr>
          <w:rFonts w:ascii="Arial" w:hAnsi="Arial" w:cs="Arial"/>
        </w:rPr>
        <w:t xml:space="preserve"> strains in grower and finisher pigs is epidemiologically significant because this organism remains one of the principal bacterial agents responsible for human yersiniosis. Swine may </w:t>
      </w:r>
      <w:proofErr w:type="spellStart"/>
      <w:r w:rsidRPr="004E6D95">
        <w:rPr>
          <w:rFonts w:ascii="Arial" w:hAnsi="Arial" w:cs="Arial"/>
        </w:rPr>
        <w:t>harbour</w:t>
      </w:r>
      <w:proofErr w:type="spellEnd"/>
      <w:r w:rsidRPr="004E6D95">
        <w:rPr>
          <w:rFonts w:ascii="Arial" w:hAnsi="Arial" w:cs="Arial"/>
        </w:rPr>
        <w:t xml:space="preserve"> pathogenic strains without exhibiting clinical signs, as the organism can persist in the tonsillar tissues and gastrointestinal tract of apparently healthy animals. During slaughter operations, contamination of carcasses and pork products may occur, creating a potential pathway for human exposure. The isolation of </w:t>
      </w:r>
      <w:r w:rsidRPr="00086897">
        <w:rPr>
          <w:rFonts w:ascii="Arial" w:hAnsi="Arial" w:cs="Arial"/>
          <w:i/>
        </w:rPr>
        <w:t>Y. enterocolitica</w:t>
      </w:r>
      <w:r w:rsidRPr="004E6D95">
        <w:rPr>
          <w:rFonts w:ascii="Arial" w:hAnsi="Arial" w:cs="Arial"/>
        </w:rPr>
        <w:t xml:space="preserve"> from four grower pigs, together with additional recoveries from weaners and piglets, further demonstrates the contribution of different production stages to the persistence and circulation of this pathogen within pig populations. Previous studies have identified domestic pigs as the major reservoir of pathogenic </w:t>
      </w:r>
      <w:r w:rsidRPr="00086897">
        <w:rPr>
          <w:rFonts w:ascii="Arial" w:hAnsi="Arial" w:cs="Arial"/>
          <w:i/>
        </w:rPr>
        <w:t>Y. enterocolitica</w:t>
      </w:r>
      <w:r w:rsidRPr="004E6D95">
        <w:rPr>
          <w:rFonts w:ascii="Arial" w:hAnsi="Arial" w:cs="Arial"/>
        </w:rPr>
        <w:t xml:space="preserve">, with infection risks largely associated with consumption of contaminated pork, occupational exposure, and contact with contaminated farm environments (Bonardi, 2023). </w:t>
      </w:r>
    </w:p>
    <w:p w14:paraId="79DE75C2" w14:textId="77777777" w:rsidR="00A82799" w:rsidRPr="004E6D95" w:rsidRDefault="00A82799" w:rsidP="00A82799">
      <w:pPr>
        <w:pStyle w:val="Body"/>
        <w:rPr>
          <w:rFonts w:ascii="Arial" w:hAnsi="Arial" w:cs="Arial"/>
        </w:rPr>
      </w:pPr>
      <w:r w:rsidRPr="004E6D95">
        <w:rPr>
          <w:rFonts w:ascii="Arial" w:hAnsi="Arial" w:cs="Arial"/>
        </w:rPr>
        <w:t xml:space="preserve">The detection of </w:t>
      </w:r>
      <w:r w:rsidRPr="00086897">
        <w:rPr>
          <w:rFonts w:ascii="Arial" w:hAnsi="Arial" w:cs="Arial"/>
          <w:i/>
        </w:rPr>
        <w:t>Yersinia pseudotuberculosis</w:t>
      </w:r>
      <w:r w:rsidRPr="004E6D95">
        <w:rPr>
          <w:rFonts w:ascii="Arial" w:hAnsi="Arial" w:cs="Arial"/>
        </w:rPr>
        <w:t xml:space="preserve"> among grower and finisher pigs is also noteworthy. Although less frequently isolated than </w:t>
      </w:r>
      <w:r w:rsidRPr="00086897">
        <w:rPr>
          <w:rFonts w:ascii="Arial" w:hAnsi="Arial" w:cs="Arial"/>
          <w:i/>
        </w:rPr>
        <w:t>Y. enterocolitica, Y. pseudotuberculosis</w:t>
      </w:r>
      <w:r w:rsidRPr="004E6D95">
        <w:rPr>
          <w:rFonts w:ascii="Arial" w:hAnsi="Arial" w:cs="Arial"/>
        </w:rPr>
        <w:t xml:space="preserve"> is an important zoonotic pathogen capable of causing enteric disease, mesenteric lymphadenitis, and systemic infections in both animals and humans. Its occurrence in apparently healthy pigs suggests the existence of asymptomatic carriage, which may contribute to environmental dissemination and occasional outbreaks. Similar findings have been reported in livestock systems where </w:t>
      </w:r>
      <w:r w:rsidRPr="00086897">
        <w:rPr>
          <w:rFonts w:ascii="Arial" w:hAnsi="Arial" w:cs="Arial"/>
          <w:i/>
        </w:rPr>
        <w:t>Y. pseudotuberculosis</w:t>
      </w:r>
      <w:r w:rsidRPr="004E6D95">
        <w:rPr>
          <w:rFonts w:ascii="Arial" w:hAnsi="Arial" w:cs="Arial"/>
        </w:rPr>
        <w:t xml:space="preserve"> persists within animal populations without producing obvious clinical signs (Fredriksson-</w:t>
      </w:r>
      <w:proofErr w:type="spellStart"/>
      <w:r w:rsidRPr="004E6D95">
        <w:rPr>
          <w:rFonts w:ascii="Arial" w:hAnsi="Arial" w:cs="Arial"/>
        </w:rPr>
        <w:t>Ahomaa</w:t>
      </w:r>
      <w:proofErr w:type="spellEnd"/>
      <w:r w:rsidRPr="004E6D95">
        <w:rPr>
          <w:rFonts w:ascii="Arial" w:hAnsi="Arial" w:cs="Arial"/>
        </w:rPr>
        <w:t xml:space="preserve"> </w:t>
      </w:r>
      <w:r w:rsidRPr="001E42A8">
        <w:rPr>
          <w:rFonts w:ascii="Arial" w:hAnsi="Arial" w:cs="Arial"/>
          <w:i/>
        </w:rPr>
        <w:t>et al</w:t>
      </w:r>
      <w:r w:rsidRPr="004E6D95">
        <w:rPr>
          <w:rFonts w:ascii="Arial" w:hAnsi="Arial" w:cs="Arial"/>
        </w:rPr>
        <w:t>., 2024).</w:t>
      </w:r>
    </w:p>
    <w:p w14:paraId="66589B05" w14:textId="77777777" w:rsidR="00A82799" w:rsidRPr="004E6D95" w:rsidRDefault="00A82799" w:rsidP="00A82799">
      <w:pPr>
        <w:pStyle w:val="Body"/>
        <w:rPr>
          <w:rFonts w:ascii="Arial" w:hAnsi="Arial" w:cs="Arial"/>
        </w:rPr>
      </w:pPr>
      <w:r w:rsidRPr="004E6D95">
        <w:rPr>
          <w:rFonts w:ascii="Arial" w:hAnsi="Arial" w:cs="Arial"/>
        </w:rPr>
        <w:t xml:space="preserve">The recovery of </w:t>
      </w:r>
      <w:r w:rsidRPr="00086897">
        <w:rPr>
          <w:rFonts w:ascii="Arial" w:hAnsi="Arial" w:cs="Arial"/>
          <w:i/>
        </w:rPr>
        <w:t>Yersinia intermedia</w:t>
      </w:r>
      <w:r w:rsidRPr="004E6D95">
        <w:rPr>
          <w:rFonts w:ascii="Arial" w:hAnsi="Arial" w:cs="Arial"/>
        </w:rPr>
        <w:t xml:space="preserve"> and </w:t>
      </w:r>
      <w:r w:rsidRPr="00086897">
        <w:rPr>
          <w:rFonts w:ascii="Arial" w:hAnsi="Arial" w:cs="Arial"/>
          <w:i/>
        </w:rPr>
        <w:t xml:space="preserve">Yersinia </w:t>
      </w:r>
      <w:proofErr w:type="spellStart"/>
      <w:r w:rsidRPr="00086897">
        <w:rPr>
          <w:rFonts w:ascii="Arial" w:hAnsi="Arial" w:cs="Arial"/>
          <w:i/>
        </w:rPr>
        <w:t>kristensenii</w:t>
      </w:r>
      <w:proofErr w:type="spellEnd"/>
      <w:r w:rsidRPr="004E6D95">
        <w:rPr>
          <w:rFonts w:ascii="Arial" w:hAnsi="Arial" w:cs="Arial"/>
        </w:rPr>
        <w:t xml:space="preserve"> from adult pigs expands the range of </w:t>
      </w:r>
      <w:r w:rsidRPr="00086897">
        <w:rPr>
          <w:rFonts w:ascii="Arial" w:hAnsi="Arial" w:cs="Arial"/>
          <w:i/>
        </w:rPr>
        <w:t>Yersinia</w:t>
      </w:r>
      <w:r w:rsidRPr="004E6D95">
        <w:rPr>
          <w:rFonts w:ascii="Arial" w:hAnsi="Arial" w:cs="Arial"/>
        </w:rPr>
        <w:t xml:space="preserve"> taxa detected within the livestock gastrointestinal environment in the present study. Both species have been reported from environmental and animal-associated sources, although their epidemiological significance differs from that of the more established enteric pathogens </w:t>
      </w:r>
      <w:r w:rsidRPr="00086897">
        <w:rPr>
          <w:rFonts w:ascii="Arial" w:hAnsi="Arial" w:cs="Arial"/>
          <w:i/>
        </w:rPr>
        <w:t xml:space="preserve">Y. enterocolitica </w:t>
      </w:r>
      <w:r w:rsidRPr="004E6D95">
        <w:rPr>
          <w:rFonts w:ascii="Arial" w:hAnsi="Arial" w:cs="Arial"/>
        </w:rPr>
        <w:t xml:space="preserve">and </w:t>
      </w:r>
      <w:r w:rsidRPr="00086897">
        <w:rPr>
          <w:rFonts w:ascii="Arial" w:hAnsi="Arial" w:cs="Arial"/>
          <w:i/>
        </w:rPr>
        <w:t>Y. pseudotuberculosis</w:t>
      </w:r>
      <w:r w:rsidRPr="004E6D95">
        <w:rPr>
          <w:rFonts w:ascii="Arial" w:hAnsi="Arial" w:cs="Arial"/>
        </w:rPr>
        <w:t xml:space="preserve"> (Schaik &amp; Wauters, 2019; Fredriksson-</w:t>
      </w:r>
      <w:proofErr w:type="spellStart"/>
      <w:r w:rsidRPr="004E6D95">
        <w:rPr>
          <w:rFonts w:ascii="Arial" w:hAnsi="Arial" w:cs="Arial"/>
        </w:rPr>
        <w:t>Ahomaa</w:t>
      </w:r>
      <w:proofErr w:type="spellEnd"/>
      <w:r w:rsidRPr="004E6D95">
        <w:rPr>
          <w:rFonts w:ascii="Arial" w:hAnsi="Arial" w:cs="Arial"/>
        </w:rPr>
        <w:t xml:space="preserve">, 2012). Their occurrence in mature pigs could reflect repeated exposure to </w:t>
      </w:r>
      <w:r w:rsidRPr="00086897">
        <w:rPr>
          <w:rFonts w:ascii="Arial" w:hAnsi="Arial" w:cs="Arial"/>
          <w:i/>
        </w:rPr>
        <w:t>Yersinia</w:t>
      </w:r>
      <w:r w:rsidRPr="004E6D95">
        <w:rPr>
          <w:rFonts w:ascii="Arial" w:hAnsi="Arial" w:cs="Arial"/>
        </w:rPr>
        <w:t xml:space="preserve">-contaminated environmental materials during the production period, including feed, water, soil and housing surroundings. However, because these exposure routes were not directly investigated in the present study, the observed recovery should be interpreted as evidence of carriage rather than definitive proof of environmental acquisition or long-term intestinal adaptation. The finding nevertheless demonstrates that the porcine gastrointestinal tract can </w:t>
      </w:r>
      <w:proofErr w:type="spellStart"/>
      <w:r w:rsidRPr="004E6D95">
        <w:rPr>
          <w:rFonts w:ascii="Arial" w:hAnsi="Arial" w:cs="Arial"/>
        </w:rPr>
        <w:t>harbour</w:t>
      </w:r>
      <w:proofErr w:type="spellEnd"/>
      <w:r w:rsidRPr="004E6D95">
        <w:rPr>
          <w:rFonts w:ascii="Arial" w:hAnsi="Arial" w:cs="Arial"/>
        </w:rPr>
        <w:t xml:space="preserve"> </w:t>
      </w:r>
      <w:r w:rsidRPr="00086897">
        <w:rPr>
          <w:rFonts w:ascii="Arial" w:hAnsi="Arial" w:cs="Arial"/>
          <w:i/>
        </w:rPr>
        <w:t>Yersinia</w:t>
      </w:r>
      <w:r w:rsidRPr="004E6D95">
        <w:rPr>
          <w:rFonts w:ascii="Arial" w:hAnsi="Arial" w:cs="Arial"/>
        </w:rPr>
        <w:t xml:space="preserve"> populations extending beyond the species most commonly associated with human yersiniosis.</w:t>
      </w:r>
    </w:p>
    <w:p w14:paraId="703FFF48" w14:textId="77777777" w:rsidR="00A82799" w:rsidRPr="004E6D95" w:rsidRDefault="00A82799" w:rsidP="00A82799">
      <w:pPr>
        <w:pStyle w:val="Body"/>
        <w:rPr>
          <w:rFonts w:ascii="Arial" w:hAnsi="Arial" w:cs="Arial"/>
        </w:rPr>
      </w:pPr>
      <w:r w:rsidRPr="004E6D95">
        <w:rPr>
          <w:rFonts w:ascii="Arial" w:hAnsi="Arial" w:cs="Arial"/>
        </w:rPr>
        <w:t xml:space="preserve">The isolation of </w:t>
      </w:r>
      <w:r w:rsidRPr="00086897">
        <w:rPr>
          <w:rFonts w:ascii="Arial" w:hAnsi="Arial" w:cs="Arial"/>
          <w:i/>
        </w:rPr>
        <w:t>Y. enterocolitica</w:t>
      </w:r>
      <w:r w:rsidRPr="004E6D95">
        <w:rPr>
          <w:rFonts w:ascii="Arial" w:hAnsi="Arial" w:cs="Arial"/>
        </w:rPr>
        <w:t xml:space="preserve"> exclusively from weaners and piglets, without the detection of other </w:t>
      </w:r>
      <w:r w:rsidRPr="00086897">
        <w:rPr>
          <w:rFonts w:ascii="Arial" w:hAnsi="Arial" w:cs="Arial"/>
          <w:i/>
        </w:rPr>
        <w:t>Yersinia</w:t>
      </w:r>
      <w:r w:rsidRPr="004E6D95">
        <w:rPr>
          <w:rFonts w:ascii="Arial" w:hAnsi="Arial" w:cs="Arial"/>
        </w:rPr>
        <w:t xml:space="preserve"> species, could indicate age-related differences in susceptibility and colonization patterns. Young pigs possess an immature intestinal microbiota and developing immune system, factors that may facilitate the establishment of specific pathogenic bacteria. Furthermore, stress associated with weaning, dietary changes, and separation from the sow has been shown to increase vulnerability to enteric pathogens, including </w:t>
      </w:r>
      <w:r w:rsidRPr="00086897">
        <w:rPr>
          <w:rFonts w:ascii="Arial" w:hAnsi="Arial" w:cs="Arial"/>
          <w:i/>
        </w:rPr>
        <w:t>Y. enterocolitica</w:t>
      </w:r>
      <w:r w:rsidRPr="004E6D95">
        <w:rPr>
          <w:rFonts w:ascii="Arial" w:hAnsi="Arial" w:cs="Arial"/>
        </w:rPr>
        <w:t xml:space="preserve"> (Le </w:t>
      </w:r>
      <w:proofErr w:type="spellStart"/>
      <w:r w:rsidRPr="004E6D95">
        <w:rPr>
          <w:rFonts w:ascii="Arial" w:hAnsi="Arial" w:cs="Arial"/>
        </w:rPr>
        <w:t>Devendec</w:t>
      </w:r>
      <w:proofErr w:type="spellEnd"/>
      <w:r w:rsidRPr="004E6D95">
        <w:rPr>
          <w:rFonts w:ascii="Arial" w:hAnsi="Arial" w:cs="Arial"/>
        </w:rPr>
        <w:t xml:space="preserve"> </w:t>
      </w:r>
      <w:r w:rsidRPr="001E42A8">
        <w:rPr>
          <w:rFonts w:ascii="Arial" w:hAnsi="Arial" w:cs="Arial"/>
          <w:i/>
        </w:rPr>
        <w:t>et al</w:t>
      </w:r>
      <w:r w:rsidRPr="004E6D95">
        <w:rPr>
          <w:rFonts w:ascii="Arial" w:hAnsi="Arial" w:cs="Arial"/>
        </w:rPr>
        <w:t xml:space="preserve">., 2023). The presence of pathogenic </w:t>
      </w:r>
      <w:r w:rsidRPr="00086897">
        <w:rPr>
          <w:rFonts w:ascii="Arial" w:hAnsi="Arial" w:cs="Arial"/>
          <w:i/>
        </w:rPr>
        <w:t>Yersinia</w:t>
      </w:r>
      <w:r w:rsidRPr="004E6D95">
        <w:rPr>
          <w:rFonts w:ascii="Arial" w:hAnsi="Arial" w:cs="Arial"/>
        </w:rPr>
        <w:t xml:space="preserve"> strains in this age group could therefore represent an important source of infection for other animals within the production unit.</w:t>
      </w:r>
    </w:p>
    <w:p w14:paraId="62315FA5" w14:textId="77777777" w:rsidR="00A82799" w:rsidRPr="004E6D95" w:rsidRDefault="00A82799" w:rsidP="00A82799">
      <w:pPr>
        <w:pStyle w:val="Body"/>
        <w:rPr>
          <w:rFonts w:ascii="Arial" w:hAnsi="Arial" w:cs="Arial"/>
        </w:rPr>
      </w:pPr>
      <w:r w:rsidRPr="004E6D95">
        <w:rPr>
          <w:rFonts w:ascii="Arial" w:hAnsi="Arial" w:cs="Arial"/>
        </w:rPr>
        <w:lastRenderedPageBreak/>
        <w:t xml:space="preserve">Only a single isolate, identified as </w:t>
      </w:r>
      <w:r w:rsidRPr="00086897">
        <w:rPr>
          <w:rFonts w:ascii="Arial" w:hAnsi="Arial" w:cs="Arial"/>
          <w:i/>
        </w:rPr>
        <w:t>Yersinia intermedia</w:t>
      </w:r>
      <w:r w:rsidRPr="004E6D95">
        <w:rPr>
          <w:rFonts w:ascii="Arial" w:hAnsi="Arial" w:cs="Arial"/>
        </w:rPr>
        <w:t xml:space="preserve">, was recovered from cow intestines, representing 9.1% of the total </w:t>
      </w:r>
      <w:r w:rsidRPr="00086897">
        <w:rPr>
          <w:rFonts w:ascii="Arial" w:hAnsi="Arial" w:cs="Arial"/>
          <w:i/>
        </w:rPr>
        <w:t>Yersinia</w:t>
      </w:r>
      <w:r w:rsidRPr="004E6D95">
        <w:rPr>
          <w:rFonts w:ascii="Arial" w:hAnsi="Arial" w:cs="Arial"/>
        </w:rPr>
        <w:t xml:space="preserve"> isolates. This relatively low occurrence is consistent with previous studies demonstrating that cattle are generally less important reservoirs of </w:t>
      </w:r>
      <w:r w:rsidRPr="00086897">
        <w:rPr>
          <w:rFonts w:ascii="Arial" w:hAnsi="Arial" w:cs="Arial"/>
          <w:i/>
        </w:rPr>
        <w:t>Yersinia</w:t>
      </w:r>
      <w:r w:rsidRPr="004E6D95">
        <w:rPr>
          <w:rFonts w:ascii="Arial" w:hAnsi="Arial" w:cs="Arial"/>
        </w:rPr>
        <w:t xml:space="preserve"> than pigs. Although cattle can harbor </w:t>
      </w:r>
      <w:r w:rsidRPr="00086897">
        <w:rPr>
          <w:rFonts w:ascii="Arial" w:hAnsi="Arial" w:cs="Arial"/>
          <w:i/>
        </w:rPr>
        <w:t>Yersinia</w:t>
      </w:r>
      <w:r w:rsidRPr="004E6D95">
        <w:rPr>
          <w:rFonts w:ascii="Arial" w:hAnsi="Arial" w:cs="Arial"/>
        </w:rPr>
        <w:t xml:space="preserve"> species, particularly environmental strains, their contribution to the epidemiology of human yersiniosis is considered limited compared with that of swine. The detection of </w:t>
      </w:r>
      <w:r w:rsidRPr="00086897">
        <w:rPr>
          <w:rFonts w:ascii="Arial" w:hAnsi="Arial" w:cs="Arial"/>
          <w:i/>
        </w:rPr>
        <w:t>Y. intermedia</w:t>
      </w:r>
      <w:r w:rsidRPr="004E6D95">
        <w:rPr>
          <w:rFonts w:ascii="Arial" w:hAnsi="Arial" w:cs="Arial"/>
        </w:rPr>
        <w:t xml:space="preserve"> rather than pathogenic </w:t>
      </w:r>
      <w:r w:rsidRPr="00086897">
        <w:rPr>
          <w:rFonts w:ascii="Arial" w:hAnsi="Arial" w:cs="Arial"/>
          <w:i/>
        </w:rPr>
        <w:t>Y. enterocolitica</w:t>
      </w:r>
      <w:r w:rsidRPr="004E6D95">
        <w:rPr>
          <w:rFonts w:ascii="Arial" w:hAnsi="Arial" w:cs="Arial"/>
        </w:rPr>
        <w:t xml:space="preserve"> further supports the notion that cattle could primarily carry non-pathogenic or opportunistic </w:t>
      </w:r>
      <w:r w:rsidRPr="00086897">
        <w:rPr>
          <w:rFonts w:ascii="Arial" w:hAnsi="Arial" w:cs="Arial"/>
          <w:i/>
        </w:rPr>
        <w:t>Yersinia</w:t>
      </w:r>
      <w:r w:rsidRPr="004E6D95">
        <w:rPr>
          <w:rFonts w:ascii="Arial" w:hAnsi="Arial" w:cs="Arial"/>
        </w:rPr>
        <w:t xml:space="preserve"> species (Bonardi, 2023).</w:t>
      </w:r>
    </w:p>
    <w:p w14:paraId="1B2F2BC3" w14:textId="77777777" w:rsidR="00A82799" w:rsidRPr="004E6D95" w:rsidRDefault="00A82799" w:rsidP="00A82799">
      <w:pPr>
        <w:pStyle w:val="Body"/>
        <w:rPr>
          <w:rFonts w:ascii="Arial" w:hAnsi="Arial" w:cs="Arial"/>
        </w:rPr>
      </w:pPr>
      <w:r w:rsidRPr="004E6D95">
        <w:rPr>
          <w:rFonts w:ascii="Arial" w:hAnsi="Arial" w:cs="Arial"/>
        </w:rPr>
        <w:t xml:space="preserve">The identification of </w:t>
      </w:r>
      <w:r w:rsidRPr="00086897">
        <w:rPr>
          <w:rFonts w:ascii="Arial" w:hAnsi="Arial" w:cs="Arial"/>
          <w:i/>
        </w:rPr>
        <w:t>Yersinia enterocolitica, Y. pseudotuberculosis, Y. intermedia,</w:t>
      </w:r>
      <w:r w:rsidRPr="004E6D95">
        <w:rPr>
          <w:rFonts w:ascii="Arial" w:hAnsi="Arial" w:cs="Arial"/>
        </w:rPr>
        <w:t xml:space="preserve"> and </w:t>
      </w:r>
      <w:r w:rsidRPr="00086897">
        <w:rPr>
          <w:rFonts w:ascii="Arial" w:hAnsi="Arial" w:cs="Arial"/>
          <w:i/>
        </w:rPr>
        <w:t xml:space="preserve">Y. </w:t>
      </w:r>
      <w:proofErr w:type="spellStart"/>
      <w:r w:rsidRPr="00086897">
        <w:rPr>
          <w:rFonts w:ascii="Arial" w:hAnsi="Arial" w:cs="Arial"/>
          <w:i/>
        </w:rPr>
        <w:t>kristensenii</w:t>
      </w:r>
      <w:proofErr w:type="spellEnd"/>
      <w:r w:rsidRPr="004E6D95">
        <w:rPr>
          <w:rFonts w:ascii="Arial" w:hAnsi="Arial" w:cs="Arial"/>
        </w:rPr>
        <w:t xml:space="preserve"> demonstrates that livestock harbors taxonomically diverse </w:t>
      </w:r>
      <w:r w:rsidRPr="00086897">
        <w:rPr>
          <w:rFonts w:ascii="Arial" w:hAnsi="Arial" w:cs="Arial"/>
          <w:i/>
        </w:rPr>
        <w:t>Yersinia</w:t>
      </w:r>
      <w:r w:rsidRPr="004E6D95">
        <w:rPr>
          <w:rFonts w:ascii="Arial" w:hAnsi="Arial" w:cs="Arial"/>
        </w:rPr>
        <w:t xml:space="preserve"> community as observed in this study. The concurrent occurrence of pathogenic and less pathogenic species indicates that farm ecosystems provide favorable conditions for the maintenance of multiple </w:t>
      </w:r>
      <w:r w:rsidRPr="00086897">
        <w:rPr>
          <w:rFonts w:ascii="Arial" w:hAnsi="Arial" w:cs="Arial"/>
          <w:i/>
        </w:rPr>
        <w:t>Yersinia</w:t>
      </w:r>
      <w:r w:rsidRPr="004E6D95">
        <w:rPr>
          <w:rFonts w:ascii="Arial" w:hAnsi="Arial" w:cs="Arial"/>
        </w:rPr>
        <w:t xml:space="preserve"> populations. Such ecological diversity could promote bacterial adaptation to different hosts and environmental niches while creating opportunities for the acquisition and dissemination of genetic traits, including determinants associated with survival and antimicrobial resistance (</w:t>
      </w:r>
      <w:proofErr w:type="spellStart"/>
      <w:r w:rsidRPr="004E6D95">
        <w:rPr>
          <w:rFonts w:ascii="Arial" w:hAnsi="Arial" w:cs="Arial"/>
        </w:rPr>
        <w:t>Bancerz</w:t>
      </w:r>
      <w:proofErr w:type="spellEnd"/>
      <w:r w:rsidRPr="004E6D95">
        <w:rPr>
          <w:rFonts w:ascii="Arial" w:hAnsi="Arial" w:cs="Arial"/>
        </w:rPr>
        <w:t xml:space="preserve">-Kisiel </w:t>
      </w:r>
      <w:r w:rsidRPr="001E42A8">
        <w:rPr>
          <w:rFonts w:ascii="Arial" w:hAnsi="Arial" w:cs="Arial"/>
          <w:i/>
        </w:rPr>
        <w:t>et al</w:t>
      </w:r>
      <w:r w:rsidRPr="004E6D95">
        <w:rPr>
          <w:rFonts w:ascii="Arial" w:hAnsi="Arial" w:cs="Arial"/>
        </w:rPr>
        <w:t xml:space="preserve">., 2022; Bonardi, 2023). Molecular approaches provide an important complement to conventional phenotypic characterization in the epidemiological investigation of </w:t>
      </w:r>
      <w:r w:rsidRPr="00086897">
        <w:rPr>
          <w:rFonts w:ascii="Arial" w:hAnsi="Arial" w:cs="Arial"/>
          <w:i/>
        </w:rPr>
        <w:t>Yersinia</w:t>
      </w:r>
      <w:r w:rsidRPr="004E6D95">
        <w:rPr>
          <w:rFonts w:ascii="Arial" w:hAnsi="Arial" w:cs="Arial"/>
        </w:rPr>
        <w:t xml:space="preserve">. Sequence- and genome-based analyses can resolve bacterial identity with greater taxonomic precision and, where sufficient discriminatory power is available, reveal relationships among isolates and circulating lineages. Such information strengthens surveillance by allowing strains recovered from different animals, farms, food products, or geographical locations to be compared and may help identify organisms with characteristics relevant to animal and public health (Hall </w:t>
      </w:r>
      <w:r w:rsidRPr="00CA443F">
        <w:rPr>
          <w:rFonts w:ascii="Arial" w:hAnsi="Arial" w:cs="Arial"/>
          <w:i/>
        </w:rPr>
        <w:t>et al</w:t>
      </w:r>
      <w:r w:rsidRPr="004E6D95">
        <w:rPr>
          <w:rFonts w:ascii="Arial" w:hAnsi="Arial" w:cs="Arial"/>
        </w:rPr>
        <w:t xml:space="preserve">., 2016; Besser </w:t>
      </w:r>
      <w:r w:rsidRPr="00CA443F">
        <w:rPr>
          <w:rFonts w:ascii="Arial" w:hAnsi="Arial" w:cs="Arial"/>
          <w:i/>
        </w:rPr>
        <w:t>et al</w:t>
      </w:r>
      <w:r w:rsidRPr="004E6D95">
        <w:rPr>
          <w:rFonts w:ascii="Arial" w:hAnsi="Arial" w:cs="Arial"/>
        </w:rPr>
        <w:t xml:space="preserve">., 2018; EFSA &amp; ECDC, 2024). Consequently, molecular characterization of </w:t>
      </w:r>
      <w:r w:rsidRPr="00086897">
        <w:rPr>
          <w:rFonts w:ascii="Arial" w:hAnsi="Arial" w:cs="Arial"/>
          <w:i/>
        </w:rPr>
        <w:t>Yersinia</w:t>
      </w:r>
      <w:r w:rsidRPr="004E6D95">
        <w:rPr>
          <w:rFonts w:ascii="Arial" w:hAnsi="Arial" w:cs="Arial"/>
        </w:rPr>
        <w:t xml:space="preserve"> isolates can provide evidence for assessing their distribution and epidemiological significance within livestock production systems.</w:t>
      </w:r>
    </w:p>
    <w:p w14:paraId="7BAEA41D" w14:textId="77777777" w:rsidR="00942C3B" w:rsidRPr="004E6D95" w:rsidRDefault="00A82799" w:rsidP="00A82799">
      <w:pPr>
        <w:pStyle w:val="Body"/>
        <w:spacing w:after="0"/>
        <w:rPr>
          <w:rFonts w:ascii="Arial" w:hAnsi="Arial" w:cs="Arial"/>
        </w:rPr>
      </w:pPr>
      <w:r w:rsidRPr="004E6D95">
        <w:rPr>
          <w:rFonts w:ascii="Arial" w:hAnsi="Arial" w:cs="Arial"/>
        </w:rPr>
        <w:t xml:space="preserve">The detection of several </w:t>
      </w:r>
      <w:r w:rsidRPr="00086897">
        <w:rPr>
          <w:rFonts w:ascii="Arial" w:hAnsi="Arial" w:cs="Arial"/>
          <w:i/>
        </w:rPr>
        <w:t>Yersinia enterocolitica</w:t>
      </w:r>
      <w:r w:rsidRPr="004E6D95">
        <w:rPr>
          <w:rFonts w:ascii="Arial" w:hAnsi="Arial" w:cs="Arial"/>
        </w:rPr>
        <w:t xml:space="preserve"> isolates and </w:t>
      </w:r>
      <w:r w:rsidRPr="00086897">
        <w:rPr>
          <w:rFonts w:ascii="Arial" w:hAnsi="Arial" w:cs="Arial"/>
          <w:i/>
        </w:rPr>
        <w:t>Yersinia pseudotuberculosis</w:t>
      </w:r>
      <w:r w:rsidRPr="004E6D95">
        <w:rPr>
          <w:rFonts w:ascii="Arial" w:hAnsi="Arial" w:cs="Arial"/>
        </w:rPr>
        <w:t xml:space="preserve"> among the pig samples is of particular epidemiological interest because both species have recognized zoonotic potential and have been associated with human yersiniosis and foodborne transmission (Fredriksson-</w:t>
      </w:r>
      <w:proofErr w:type="spellStart"/>
      <w:r w:rsidRPr="004E6D95">
        <w:rPr>
          <w:rFonts w:ascii="Arial" w:hAnsi="Arial" w:cs="Arial"/>
        </w:rPr>
        <w:t>Ahomaa</w:t>
      </w:r>
      <w:proofErr w:type="spellEnd"/>
      <w:r w:rsidRPr="004E6D95">
        <w:rPr>
          <w:rFonts w:ascii="Arial" w:hAnsi="Arial" w:cs="Arial"/>
        </w:rPr>
        <w:t xml:space="preserve">, 2014; EFSA &amp; ECDC, 2024). Importantly, the recovery of these organisms from apparently healthy animals illustrates that clinical signs are not necessarily indicative of their absence from the porcine population. Pigs carrying </w:t>
      </w:r>
      <w:r w:rsidRPr="00086897">
        <w:rPr>
          <w:rFonts w:ascii="Arial" w:hAnsi="Arial" w:cs="Arial"/>
          <w:i/>
        </w:rPr>
        <w:t>Y. enterocolitica</w:t>
      </w:r>
      <w:r w:rsidRPr="004E6D95">
        <w:rPr>
          <w:rFonts w:ascii="Arial" w:hAnsi="Arial" w:cs="Arial"/>
        </w:rPr>
        <w:t xml:space="preserve">, in particular, can constitute a source of contamination along the pork-production chain, with opportunities for transfer to carcasses and meat occurring during slaughter and subsequent processing when hygienic controls are inadequate (Bonardi </w:t>
      </w:r>
      <w:r w:rsidRPr="002D379B">
        <w:rPr>
          <w:rFonts w:ascii="Arial" w:hAnsi="Arial" w:cs="Arial"/>
          <w:i/>
        </w:rPr>
        <w:t>et al</w:t>
      </w:r>
      <w:r w:rsidRPr="004E6D95">
        <w:rPr>
          <w:rFonts w:ascii="Arial" w:hAnsi="Arial" w:cs="Arial"/>
        </w:rPr>
        <w:t>., 2016; Fredriksson-</w:t>
      </w:r>
      <w:proofErr w:type="spellStart"/>
      <w:r w:rsidRPr="004E6D95">
        <w:rPr>
          <w:rFonts w:ascii="Arial" w:hAnsi="Arial" w:cs="Arial"/>
        </w:rPr>
        <w:t>Ahomaa</w:t>
      </w:r>
      <w:proofErr w:type="spellEnd"/>
      <w:r w:rsidRPr="004E6D95">
        <w:rPr>
          <w:rFonts w:ascii="Arial" w:hAnsi="Arial" w:cs="Arial"/>
        </w:rPr>
        <w:t xml:space="preserve">, 2014). From a public-health perspective, these findings support the need for interventions that address </w:t>
      </w:r>
      <w:r w:rsidRPr="00086897">
        <w:rPr>
          <w:rFonts w:ascii="Arial" w:hAnsi="Arial" w:cs="Arial"/>
          <w:i/>
        </w:rPr>
        <w:t>Yersinia</w:t>
      </w:r>
      <w:r w:rsidRPr="004E6D95">
        <w:rPr>
          <w:rFonts w:ascii="Arial" w:hAnsi="Arial" w:cs="Arial"/>
        </w:rPr>
        <w:t xml:space="preserve"> at multiple points along the production pathway. Appropriate farm biosecurity, hygienic management during slaughter and processing, food-safety practices, and continued microbiological surveillance can help reduce opportunities for persistence and dissemination of these organisms. Molecular characterization can further complement conventional detection by providing information useful for species confirmation and epidemiological comparison of recovered isolates (Janda &amp; Abbott, 2007; EFSA &amp; ECDC, 2024). Collectively, such measures are important for limiting potential exposure of consumers to pathogenic </w:t>
      </w:r>
      <w:r w:rsidRPr="00086897">
        <w:rPr>
          <w:rFonts w:ascii="Arial" w:hAnsi="Arial" w:cs="Arial"/>
          <w:i/>
        </w:rPr>
        <w:t>Yersinia</w:t>
      </w:r>
      <w:r w:rsidRPr="004E6D95">
        <w:rPr>
          <w:rFonts w:ascii="Arial" w:hAnsi="Arial" w:cs="Arial"/>
        </w:rPr>
        <w:t xml:space="preserve"> originating from livestock and pork products.</w:t>
      </w:r>
    </w:p>
    <w:p w14:paraId="75DAE94A" w14:textId="77777777" w:rsidR="007D6AF8" w:rsidRPr="007D6AF8" w:rsidRDefault="007D6AF8" w:rsidP="007D6AF8">
      <w:pPr>
        <w:spacing w:before="100" w:beforeAutospacing="1" w:after="100" w:afterAutospacing="1"/>
        <w:rPr>
          <w:rFonts w:ascii="Arial" w:hAnsi="Arial" w:cs="Arial"/>
          <w:b/>
          <w:sz w:val="22"/>
          <w:szCs w:val="22"/>
        </w:rPr>
      </w:pPr>
      <w:r w:rsidRPr="007D6AF8">
        <w:rPr>
          <w:rFonts w:ascii="Arial" w:hAnsi="Arial" w:cs="Arial"/>
          <w:b/>
          <w:sz w:val="22"/>
          <w:szCs w:val="22"/>
        </w:rPr>
        <w:t xml:space="preserve">Table 3: Distribution of Molecularly Identified </w:t>
      </w:r>
      <w:r w:rsidRPr="007D6AF8">
        <w:rPr>
          <w:rStyle w:val="Emphasis"/>
          <w:rFonts w:ascii="Arial" w:hAnsi="Arial" w:cs="Arial"/>
          <w:b/>
          <w:sz w:val="22"/>
          <w:szCs w:val="22"/>
        </w:rPr>
        <w:t>Yersinia</w:t>
      </w:r>
      <w:r w:rsidRPr="007D6AF8">
        <w:rPr>
          <w:rFonts w:ascii="Arial" w:hAnsi="Arial" w:cs="Arial"/>
          <w:b/>
          <w:sz w:val="22"/>
          <w:szCs w:val="22"/>
        </w:rPr>
        <w:t xml:space="preserve"> Species from Pig </w:t>
      </w:r>
      <w:proofErr w:type="spellStart"/>
      <w:r w:rsidRPr="007D6AF8">
        <w:rPr>
          <w:rFonts w:ascii="Arial" w:hAnsi="Arial" w:cs="Arial"/>
          <w:b/>
          <w:sz w:val="22"/>
          <w:szCs w:val="22"/>
        </w:rPr>
        <w:t>Faeces</w:t>
      </w:r>
      <w:proofErr w:type="spellEnd"/>
      <w:r w:rsidRPr="007D6AF8">
        <w:rPr>
          <w:rFonts w:ascii="Arial" w:hAnsi="Arial" w:cs="Arial"/>
          <w:b/>
          <w:sz w:val="22"/>
          <w:szCs w:val="22"/>
        </w:rPr>
        <w:t xml:space="preserve"> and Cow Intestines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611"/>
        <w:gridCol w:w="1602"/>
        <w:gridCol w:w="1578"/>
        <w:gridCol w:w="1498"/>
        <w:gridCol w:w="2135"/>
      </w:tblGrid>
      <w:tr w:rsidR="007D6AF8" w14:paraId="5BC8D5D3" w14:textId="77777777" w:rsidTr="00720D6B">
        <w:tc>
          <w:tcPr>
            <w:tcW w:w="1915" w:type="dxa"/>
            <w:tcBorders>
              <w:top w:val="single" w:sz="4" w:space="0" w:color="auto"/>
              <w:bottom w:val="single" w:sz="4" w:space="0" w:color="auto"/>
            </w:tcBorders>
          </w:tcPr>
          <w:p w14:paraId="6A34A65B"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b/>
                <w:sz w:val="20"/>
                <w:szCs w:val="20"/>
              </w:rPr>
              <w:t>Sample</w:t>
            </w:r>
          </w:p>
        </w:tc>
        <w:tc>
          <w:tcPr>
            <w:tcW w:w="1915" w:type="dxa"/>
            <w:tcBorders>
              <w:top w:val="single" w:sz="4" w:space="0" w:color="auto"/>
              <w:bottom w:val="single" w:sz="4" w:space="0" w:color="auto"/>
            </w:tcBorders>
          </w:tcPr>
          <w:p w14:paraId="00DECF3F"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b/>
                <w:sz w:val="20"/>
                <w:szCs w:val="20"/>
              </w:rPr>
              <w:t>Number of Samples</w:t>
            </w:r>
          </w:p>
        </w:tc>
        <w:tc>
          <w:tcPr>
            <w:tcW w:w="1915" w:type="dxa"/>
            <w:tcBorders>
              <w:top w:val="single" w:sz="4" w:space="0" w:color="auto"/>
              <w:bottom w:val="single" w:sz="4" w:space="0" w:color="auto"/>
            </w:tcBorders>
          </w:tcPr>
          <w:p w14:paraId="7EC163B9"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b/>
                <w:sz w:val="20"/>
                <w:szCs w:val="20"/>
              </w:rPr>
              <w:t>Number of Isolates</w:t>
            </w:r>
          </w:p>
        </w:tc>
        <w:tc>
          <w:tcPr>
            <w:tcW w:w="1593" w:type="dxa"/>
            <w:tcBorders>
              <w:top w:val="single" w:sz="4" w:space="0" w:color="auto"/>
              <w:bottom w:val="single" w:sz="4" w:space="0" w:color="auto"/>
            </w:tcBorders>
          </w:tcPr>
          <w:p w14:paraId="5C1BA71E"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b/>
                <w:sz w:val="20"/>
                <w:szCs w:val="20"/>
              </w:rPr>
              <w:t>% Occurrence</w:t>
            </w:r>
          </w:p>
        </w:tc>
        <w:tc>
          <w:tcPr>
            <w:tcW w:w="2238" w:type="dxa"/>
            <w:tcBorders>
              <w:top w:val="single" w:sz="4" w:space="0" w:color="auto"/>
              <w:bottom w:val="single" w:sz="4" w:space="0" w:color="auto"/>
            </w:tcBorders>
          </w:tcPr>
          <w:p w14:paraId="2BE71978"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b/>
                <w:sz w:val="20"/>
                <w:szCs w:val="20"/>
              </w:rPr>
              <w:t>Name of Isolates</w:t>
            </w:r>
          </w:p>
        </w:tc>
      </w:tr>
      <w:tr w:rsidR="007D6AF8" w14:paraId="3E6CE7A9" w14:textId="77777777" w:rsidTr="00720D6B">
        <w:tc>
          <w:tcPr>
            <w:tcW w:w="1915" w:type="dxa"/>
            <w:tcBorders>
              <w:top w:val="single" w:sz="4" w:space="0" w:color="auto"/>
            </w:tcBorders>
          </w:tcPr>
          <w:p w14:paraId="42BFF990"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sz w:val="20"/>
                <w:szCs w:val="20"/>
              </w:rPr>
              <w:lastRenderedPageBreak/>
              <w:t>Adult male and female pigs (over 1year old)</w:t>
            </w:r>
          </w:p>
        </w:tc>
        <w:tc>
          <w:tcPr>
            <w:tcW w:w="1915" w:type="dxa"/>
            <w:tcBorders>
              <w:top w:val="single" w:sz="4" w:space="0" w:color="auto"/>
            </w:tcBorders>
          </w:tcPr>
          <w:p w14:paraId="59D5D118"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sz w:val="20"/>
                <w:szCs w:val="20"/>
              </w:rPr>
              <w:t>37</w:t>
            </w:r>
          </w:p>
        </w:tc>
        <w:tc>
          <w:tcPr>
            <w:tcW w:w="1915" w:type="dxa"/>
            <w:tcBorders>
              <w:top w:val="single" w:sz="4" w:space="0" w:color="auto"/>
            </w:tcBorders>
          </w:tcPr>
          <w:p w14:paraId="7AC36001"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sz w:val="20"/>
                <w:szCs w:val="20"/>
              </w:rPr>
              <w:t>2</w:t>
            </w:r>
          </w:p>
        </w:tc>
        <w:tc>
          <w:tcPr>
            <w:tcW w:w="1593" w:type="dxa"/>
            <w:tcBorders>
              <w:top w:val="single" w:sz="4" w:space="0" w:color="auto"/>
            </w:tcBorders>
          </w:tcPr>
          <w:p w14:paraId="344701D9"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sz w:val="20"/>
                <w:szCs w:val="20"/>
              </w:rPr>
              <w:t>18.2</w:t>
            </w:r>
          </w:p>
        </w:tc>
        <w:tc>
          <w:tcPr>
            <w:tcW w:w="2238" w:type="dxa"/>
            <w:tcBorders>
              <w:top w:val="single" w:sz="4" w:space="0" w:color="auto"/>
            </w:tcBorders>
          </w:tcPr>
          <w:p w14:paraId="231EA27F" w14:textId="77777777" w:rsidR="007D6AF8" w:rsidRPr="007D6AF8" w:rsidRDefault="007D6AF8" w:rsidP="00720D6B">
            <w:pPr>
              <w:spacing w:before="100" w:beforeAutospacing="1" w:after="100" w:afterAutospacing="1"/>
              <w:rPr>
                <w:rFonts w:ascii="Arial" w:hAnsi="Arial" w:cs="Arial"/>
                <w:sz w:val="20"/>
                <w:szCs w:val="20"/>
              </w:rPr>
            </w:pPr>
            <w:r w:rsidRPr="007D6AF8">
              <w:rPr>
                <w:rFonts w:ascii="Arial" w:hAnsi="Arial" w:cs="Arial"/>
                <w:i/>
                <w:sz w:val="20"/>
                <w:szCs w:val="20"/>
              </w:rPr>
              <w:t>Yersinia intermedia</w:t>
            </w:r>
            <w:r w:rsidRPr="007D6AF8">
              <w:rPr>
                <w:rFonts w:ascii="Arial" w:hAnsi="Arial" w:cs="Arial"/>
                <w:sz w:val="20"/>
                <w:szCs w:val="20"/>
              </w:rPr>
              <w:t xml:space="preserve"> PQ609951,</w:t>
            </w:r>
            <w:r w:rsidRPr="007D6AF8">
              <w:rPr>
                <w:rFonts w:ascii="Arial" w:hAnsi="Arial" w:cs="Arial"/>
                <w:i/>
                <w:sz w:val="20"/>
                <w:szCs w:val="20"/>
              </w:rPr>
              <w:t xml:space="preserve"> Yersinia </w:t>
            </w:r>
            <w:proofErr w:type="spellStart"/>
            <w:r w:rsidRPr="007D6AF8">
              <w:rPr>
                <w:rFonts w:ascii="Arial" w:hAnsi="Arial" w:cs="Arial"/>
                <w:i/>
                <w:sz w:val="20"/>
                <w:szCs w:val="20"/>
              </w:rPr>
              <w:t>kristensenii</w:t>
            </w:r>
            <w:proofErr w:type="spellEnd"/>
            <w:r w:rsidRPr="007D6AF8">
              <w:rPr>
                <w:rFonts w:ascii="Arial" w:hAnsi="Arial" w:cs="Arial"/>
                <w:i/>
                <w:sz w:val="20"/>
                <w:szCs w:val="20"/>
              </w:rPr>
              <w:t xml:space="preserve"> </w:t>
            </w:r>
            <w:r w:rsidRPr="007D6AF8">
              <w:rPr>
                <w:rFonts w:ascii="Arial" w:hAnsi="Arial" w:cs="Arial"/>
                <w:sz w:val="20"/>
                <w:szCs w:val="20"/>
              </w:rPr>
              <w:t>PQ892004</w:t>
            </w:r>
          </w:p>
          <w:p w14:paraId="694CB29C" w14:textId="77777777" w:rsidR="007D6AF8" w:rsidRPr="007D6AF8" w:rsidRDefault="007D6AF8" w:rsidP="00720D6B">
            <w:pPr>
              <w:spacing w:before="100" w:beforeAutospacing="1" w:after="100" w:afterAutospacing="1"/>
              <w:rPr>
                <w:rFonts w:ascii="Arial" w:hAnsi="Arial" w:cs="Arial"/>
                <w:b/>
                <w:i/>
                <w:sz w:val="20"/>
                <w:szCs w:val="20"/>
              </w:rPr>
            </w:pPr>
          </w:p>
        </w:tc>
      </w:tr>
      <w:tr w:rsidR="007D6AF8" w14:paraId="27168F4C" w14:textId="77777777" w:rsidTr="00720D6B">
        <w:tc>
          <w:tcPr>
            <w:tcW w:w="1915" w:type="dxa"/>
          </w:tcPr>
          <w:p w14:paraId="730001D4" w14:textId="77777777" w:rsidR="007D6AF8" w:rsidRPr="007D6AF8" w:rsidRDefault="007D6AF8" w:rsidP="00720D6B">
            <w:pPr>
              <w:rPr>
                <w:rFonts w:ascii="Arial" w:hAnsi="Arial" w:cs="Arial"/>
                <w:b/>
                <w:sz w:val="20"/>
                <w:szCs w:val="20"/>
              </w:rPr>
            </w:pPr>
            <w:r w:rsidRPr="007D6AF8">
              <w:rPr>
                <w:rFonts w:ascii="Arial" w:hAnsi="Arial" w:cs="Arial"/>
                <w:sz w:val="20"/>
                <w:szCs w:val="20"/>
              </w:rPr>
              <w:t>Growers and Finishers (5-6 months)</w:t>
            </w:r>
          </w:p>
        </w:tc>
        <w:tc>
          <w:tcPr>
            <w:tcW w:w="1915" w:type="dxa"/>
          </w:tcPr>
          <w:p w14:paraId="62530E23" w14:textId="77777777" w:rsidR="007D6AF8" w:rsidRPr="007D6AF8" w:rsidRDefault="007D6AF8" w:rsidP="00720D6B">
            <w:pPr>
              <w:rPr>
                <w:rFonts w:ascii="Arial" w:hAnsi="Arial" w:cs="Arial"/>
                <w:b/>
                <w:sz w:val="20"/>
                <w:szCs w:val="20"/>
              </w:rPr>
            </w:pPr>
            <w:r w:rsidRPr="007D6AF8">
              <w:rPr>
                <w:rFonts w:ascii="Arial" w:hAnsi="Arial" w:cs="Arial"/>
                <w:sz w:val="20"/>
                <w:szCs w:val="20"/>
              </w:rPr>
              <w:t>45</w:t>
            </w:r>
          </w:p>
        </w:tc>
        <w:tc>
          <w:tcPr>
            <w:tcW w:w="1915" w:type="dxa"/>
          </w:tcPr>
          <w:p w14:paraId="275232C0" w14:textId="77777777" w:rsidR="007D6AF8" w:rsidRPr="007D6AF8" w:rsidRDefault="007D6AF8" w:rsidP="00720D6B">
            <w:pPr>
              <w:rPr>
                <w:rFonts w:ascii="Arial" w:hAnsi="Arial" w:cs="Arial"/>
                <w:b/>
                <w:sz w:val="20"/>
                <w:szCs w:val="20"/>
              </w:rPr>
            </w:pPr>
            <w:r w:rsidRPr="007D6AF8">
              <w:rPr>
                <w:rFonts w:ascii="Arial" w:hAnsi="Arial" w:cs="Arial"/>
                <w:sz w:val="20"/>
                <w:szCs w:val="20"/>
              </w:rPr>
              <w:t>6</w:t>
            </w:r>
          </w:p>
        </w:tc>
        <w:tc>
          <w:tcPr>
            <w:tcW w:w="1593" w:type="dxa"/>
          </w:tcPr>
          <w:p w14:paraId="1771C805" w14:textId="77777777" w:rsidR="007D6AF8" w:rsidRPr="007D6AF8" w:rsidRDefault="007D6AF8" w:rsidP="00720D6B">
            <w:pPr>
              <w:rPr>
                <w:rFonts w:ascii="Arial" w:hAnsi="Arial" w:cs="Arial"/>
                <w:b/>
                <w:sz w:val="20"/>
                <w:szCs w:val="20"/>
              </w:rPr>
            </w:pPr>
            <w:r w:rsidRPr="007D6AF8">
              <w:rPr>
                <w:rFonts w:ascii="Arial" w:hAnsi="Arial" w:cs="Arial"/>
                <w:sz w:val="20"/>
                <w:szCs w:val="20"/>
              </w:rPr>
              <w:t>54.5</w:t>
            </w:r>
          </w:p>
        </w:tc>
        <w:tc>
          <w:tcPr>
            <w:tcW w:w="2238" w:type="dxa"/>
          </w:tcPr>
          <w:p w14:paraId="03131A3F" w14:textId="77777777" w:rsidR="007D6AF8" w:rsidRPr="007D6AF8" w:rsidRDefault="007D6AF8" w:rsidP="00720D6B">
            <w:pPr>
              <w:spacing w:before="100" w:beforeAutospacing="1" w:after="100" w:afterAutospacing="1"/>
              <w:rPr>
                <w:rFonts w:ascii="Arial" w:hAnsi="Arial" w:cs="Arial"/>
                <w:sz w:val="20"/>
                <w:szCs w:val="20"/>
              </w:rPr>
            </w:pPr>
            <w:r w:rsidRPr="007D6AF8">
              <w:rPr>
                <w:rFonts w:ascii="Arial" w:hAnsi="Arial" w:cs="Arial"/>
                <w:i/>
                <w:sz w:val="20"/>
                <w:szCs w:val="20"/>
              </w:rPr>
              <w:t>Yersinia enterocolitica subsp. enterocolitica,</w:t>
            </w:r>
            <w:r w:rsidRPr="007D6AF8">
              <w:rPr>
                <w:rFonts w:ascii="Arial" w:hAnsi="Arial" w:cs="Arial"/>
                <w:sz w:val="20"/>
                <w:szCs w:val="20"/>
              </w:rPr>
              <w:t xml:space="preserve"> PQ156574, </w:t>
            </w:r>
            <w:r w:rsidRPr="007D6AF8">
              <w:rPr>
                <w:rFonts w:ascii="Arial" w:hAnsi="Arial" w:cs="Arial"/>
                <w:i/>
                <w:sz w:val="20"/>
                <w:szCs w:val="20"/>
              </w:rPr>
              <w:t xml:space="preserve">Yersinia enterocolitica subsp. enterocolitica </w:t>
            </w:r>
            <w:r w:rsidRPr="007D6AF8">
              <w:rPr>
                <w:rFonts w:ascii="Arial" w:hAnsi="Arial" w:cs="Arial"/>
                <w:sz w:val="20"/>
                <w:szCs w:val="20"/>
              </w:rPr>
              <w:t>PQ156575,</w:t>
            </w:r>
            <w:r w:rsidRPr="007D6AF8">
              <w:rPr>
                <w:rFonts w:ascii="Arial" w:hAnsi="Arial" w:cs="Arial"/>
                <w:i/>
                <w:sz w:val="20"/>
                <w:szCs w:val="20"/>
              </w:rPr>
              <w:t>Yersinia enterocolitica</w:t>
            </w:r>
            <w:r w:rsidRPr="007D6AF8">
              <w:rPr>
                <w:rFonts w:ascii="Arial" w:hAnsi="Arial" w:cs="Arial"/>
                <w:sz w:val="20"/>
                <w:szCs w:val="20"/>
              </w:rPr>
              <w:t xml:space="preserve"> PQ609948, </w:t>
            </w:r>
            <w:r w:rsidRPr="007D6AF8">
              <w:rPr>
                <w:rFonts w:ascii="Arial" w:hAnsi="Arial" w:cs="Arial"/>
                <w:i/>
                <w:sz w:val="20"/>
                <w:szCs w:val="20"/>
              </w:rPr>
              <w:t>Yersinia pseudotuberculosis</w:t>
            </w:r>
            <w:r w:rsidRPr="007D6AF8">
              <w:rPr>
                <w:rFonts w:ascii="Arial" w:hAnsi="Arial" w:cs="Arial"/>
                <w:sz w:val="20"/>
                <w:szCs w:val="20"/>
              </w:rPr>
              <w:t xml:space="preserve"> PQ609950, </w:t>
            </w:r>
            <w:r w:rsidRPr="007D6AF8">
              <w:rPr>
                <w:rFonts w:ascii="Arial" w:hAnsi="Arial" w:cs="Arial"/>
                <w:i/>
                <w:sz w:val="20"/>
                <w:szCs w:val="20"/>
              </w:rPr>
              <w:t>Yersinia enterocolitica</w:t>
            </w:r>
            <w:r w:rsidRPr="007D6AF8">
              <w:rPr>
                <w:rFonts w:ascii="Arial" w:hAnsi="Arial" w:cs="Arial"/>
                <w:sz w:val="20"/>
                <w:szCs w:val="20"/>
              </w:rPr>
              <w:t xml:space="preserve"> PQ892001, </w:t>
            </w:r>
            <w:r w:rsidRPr="007D6AF8">
              <w:rPr>
                <w:rFonts w:ascii="Arial" w:hAnsi="Arial" w:cs="Arial"/>
                <w:i/>
                <w:sz w:val="20"/>
                <w:szCs w:val="20"/>
              </w:rPr>
              <w:t>Yersinia intermedia</w:t>
            </w:r>
            <w:r w:rsidRPr="007D6AF8">
              <w:rPr>
                <w:rFonts w:ascii="Arial" w:hAnsi="Arial" w:cs="Arial"/>
                <w:sz w:val="20"/>
                <w:szCs w:val="20"/>
              </w:rPr>
              <w:t xml:space="preserve"> PQ892003</w:t>
            </w:r>
          </w:p>
          <w:p w14:paraId="0EE29FBB" w14:textId="77777777" w:rsidR="007D6AF8" w:rsidRPr="007D6AF8" w:rsidRDefault="007D6AF8" w:rsidP="00720D6B">
            <w:pPr>
              <w:rPr>
                <w:rFonts w:ascii="Arial" w:hAnsi="Arial" w:cs="Arial"/>
                <w:sz w:val="20"/>
                <w:szCs w:val="20"/>
              </w:rPr>
            </w:pPr>
          </w:p>
        </w:tc>
      </w:tr>
      <w:tr w:rsidR="007D6AF8" w14:paraId="0BB6E1B4" w14:textId="77777777" w:rsidTr="00720D6B">
        <w:tc>
          <w:tcPr>
            <w:tcW w:w="1915" w:type="dxa"/>
          </w:tcPr>
          <w:p w14:paraId="2784103B" w14:textId="77777777" w:rsidR="007D6AF8" w:rsidRPr="007D6AF8" w:rsidRDefault="007D6AF8" w:rsidP="00720D6B">
            <w:pPr>
              <w:rPr>
                <w:rFonts w:ascii="Arial" w:hAnsi="Arial" w:cs="Arial"/>
                <w:b/>
                <w:sz w:val="20"/>
                <w:szCs w:val="20"/>
              </w:rPr>
            </w:pPr>
            <w:r w:rsidRPr="007D6AF8">
              <w:rPr>
                <w:rFonts w:ascii="Arial" w:hAnsi="Arial" w:cs="Arial"/>
                <w:sz w:val="20"/>
                <w:szCs w:val="20"/>
              </w:rPr>
              <w:t>Weaners and piglets (0-16 weeks)</w:t>
            </w:r>
          </w:p>
        </w:tc>
        <w:tc>
          <w:tcPr>
            <w:tcW w:w="1915" w:type="dxa"/>
          </w:tcPr>
          <w:p w14:paraId="106F7510" w14:textId="77777777" w:rsidR="007D6AF8" w:rsidRPr="007D6AF8" w:rsidRDefault="007D6AF8" w:rsidP="00720D6B">
            <w:pPr>
              <w:rPr>
                <w:rFonts w:ascii="Arial" w:hAnsi="Arial" w:cs="Arial"/>
                <w:b/>
                <w:sz w:val="20"/>
                <w:szCs w:val="20"/>
              </w:rPr>
            </w:pPr>
            <w:r w:rsidRPr="007D6AF8">
              <w:rPr>
                <w:rFonts w:ascii="Arial" w:hAnsi="Arial" w:cs="Arial"/>
                <w:sz w:val="20"/>
                <w:szCs w:val="20"/>
              </w:rPr>
              <w:t>35</w:t>
            </w:r>
          </w:p>
        </w:tc>
        <w:tc>
          <w:tcPr>
            <w:tcW w:w="1915" w:type="dxa"/>
          </w:tcPr>
          <w:p w14:paraId="1EEAA12F" w14:textId="77777777" w:rsidR="007D6AF8" w:rsidRPr="007D6AF8" w:rsidRDefault="007D6AF8" w:rsidP="00720D6B">
            <w:pPr>
              <w:rPr>
                <w:rFonts w:ascii="Arial" w:hAnsi="Arial" w:cs="Arial"/>
                <w:b/>
                <w:sz w:val="20"/>
                <w:szCs w:val="20"/>
              </w:rPr>
            </w:pPr>
            <w:r w:rsidRPr="007D6AF8">
              <w:rPr>
                <w:rFonts w:ascii="Arial" w:hAnsi="Arial" w:cs="Arial"/>
                <w:sz w:val="20"/>
                <w:szCs w:val="20"/>
              </w:rPr>
              <w:t>2</w:t>
            </w:r>
          </w:p>
        </w:tc>
        <w:tc>
          <w:tcPr>
            <w:tcW w:w="1593" w:type="dxa"/>
          </w:tcPr>
          <w:p w14:paraId="2A364EA9" w14:textId="77777777" w:rsidR="007D6AF8" w:rsidRPr="007D6AF8" w:rsidRDefault="007D6AF8" w:rsidP="00720D6B">
            <w:pPr>
              <w:rPr>
                <w:rFonts w:ascii="Arial" w:hAnsi="Arial" w:cs="Arial"/>
                <w:sz w:val="20"/>
                <w:szCs w:val="20"/>
              </w:rPr>
            </w:pPr>
            <w:r w:rsidRPr="007D6AF8">
              <w:rPr>
                <w:rFonts w:ascii="Arial" w:hAnsi="Arial" w:cs="Arial"/>
                <w:sz w:val="20"/>
                <w:szCs w:val="20"/>
              </w:rPr>
              <w:t>18.2</w:t>
            </w:r>
          </w:p>
        </w:tc>
        <w:tc>
          <w:tcPr>
            <w:tcW w:w="2238" w:type="dxa"/>
          </w:tcPr>
          <w:p w14:paraId="007460EC" w14:textId="77777777" w:rsidR="007D6AF8" w:rsidRPr="007D6AF8" w:rsidRDefault="007D6AF8" w:rsidP="00720D6B">
            <w:pPr>
              <w:rPr>
                <w:rFonts w:ascii="Arial" w:hAnsi="Arial" w:cs="Arial"/>
                <w:b/>
                <w:sz w:val="20"/>
                <w:szCs w:val="20"/>
              </w:rPr>
            </w:pPr>
            <w:r w:rsidRPr="007D6AF8">
              <w:rPr>
                <w:rFonts w:ascii="Arial" w:hAnsi="Arial" w:cs="Arial"/>
                <w:i/>
                <w:sz w:val="20"/>
                <w:szCs w:val="20"/>
              </w:rPr>
              <w:t>Yersinia enterocolitica</w:t>
            </w:r>
            <w:r w:rsidRPr="007D6AF8">
              <w:rPr>
                <w:rFonts w:ascii="Arial" w:hAnsi="Arial" w:cs="Arial"/>
                <w:sz w:val="20"/>
                <w:szCs w:val="20"/>
              </w:rPr>
              <w:t xml:space="preserve"> PQ609949,</w:t>
            </w:r>
            <w:r w:rsidRPr="007D6AF8">
              <w:rPr>
                <w:rFonts w:ascii="Arial" w:hAnsi="Arial" w:cs="Arial"/>
                <w:i/>
                <w:sz w:val="20"/>
                <w:szCs w:val="20"/>
              </w:rPr>
              <w:t xml:space="preserve"> Yersinia enterocolitica</w:t>
            </w:r>
            <w:r w:rsidRPr="007D6AF8">
              <w:rPr>
                <w:rFonts w:ascii="Arial" w:hAnsi="Arial" w:cs="Arial"/>
                <w:sz w:val="20"/>
                <w:szCs w:val="20"/>
              </w:rPr>
              <w:t xml:space="preserve"> PQ892002,</w:t>
            </w:r>
          </w:p>
        </w:tc>
      </w:tr>
      <w:tr w:rsidR="007D6AF8" w14:paraId="36F86B11" w14:textId="77777777" w:rsidTr="00720D6B">
        <w:tc>
          <w:tcPr>
            <w:tcW w:w="1915" w:type="dxa"/>
          </w:tcPr>
          <w:p w14:paraId="01FD7111" w14:textId="77777777" w:rsidR="007D6AF8" w:rsidRPr="007D6AF8" w:rsidRDefault="007D6AF8" w:rsidP="00720D6B">
            <w:pPr>
              <w:rPr>
                <w:rFonts w:ascii="Arial" w:hAnsi="Arial" w:cs="Arial"/>
                <w:sz w:val="20"/>
                <w:szCs w:val="20"/>
              </w:rPr>
            </w:pPr>
            <w:r w:rsidRPr="007D6AF8">
              <w:rPr>
                <w:rFonts w:ascii="Arial" w:hAnsi="Arial" w:cs="Arial"/>
                <w:sz w:val="20"/>
                <w:szCs w:val="20"/>
              </w:rPr>
              <w:t>Cow intestines</w:t>
            </w:r>
          </w:p>
        </w:tc>
        <w:tc>
          <w:tcPr>
            <w:tcW w:w="1915" w:type="dxa"/>
          </w:tcPr>
          <w:p w14:paraId="72E73A67" w14:textId="77777777" w:rsidR="007D6AF8" w:rsidRPr="007D6AF8" w:rsidRDefault="007D6AF8" w:rsidP="00720D6B">
            <w:pPr>
              <w:rPr>
                <w:rFonts w:ascii="Arial" w:hAnsi="Arial" w:cs="Arial"/>
                <w:sz w:val="20"/>
                <w:szCs w:val="20"/>
              </w:rPr>
            </w:pPr>
            <w:r w:rsidRPr="007D6AF8">
              <w:rPr>
                <w:rFonts w:ascii="Arial" w:hAnsi="Arial" w:cs="Arial"/>
                <w:sz w:val="20"/>
                <w:szCs w:val="20"/>
              </w:rPr>
              <w:t>40</w:t>
            </w:r>
          </w:p>
        </w:tc>
        <w:tc>
          <w:tcPr>
            <w:tcW w:w="1915" w:type="dxa"/>
          </w:tcPr>
          <w:p w14:paraId="2BB883D6" w14:textId="77777777" w:rsidR="007D6AF8" w:rsidRPr="007D6AF8" w:rsidRDefault="007D6AF8" w:rsidP="00720D6B">
            <w:pPr>
              <w:rPr>
                <w:rFonts w:ascii="Arial" w:hAnsi="Arial" w:cs="Arial"/>
                <w:sz w:val="20"/>
                <w:szCs w:val="20"/>
              </w:rPr>
            </w:pPr>
            <w:r w:rsidRPr="007D6AF8">
              <w:rPr>
                <w:rFonts w:ascii="Arial" w:hAnsi="Arial" w:cs="Arial"/>
                <w:sz w:val="20"/>
                <w:szCs w:val="20"/>
              </w:rPr>
              <w:t>1</w:t>
            </w:r>
          </w:p>
        </w:tc>
        <w:tc>
          <w:tcPr>
            <w:tcW w:w="1593" w:type="dxa"/>
          </w:tcPr>
          <w:p w14:paraId="60A665A8" w14:textId="77777777" w:rsidR="007D6AF8" w:rsidRPr="007D6AF8" w:rsidRDefault="007D6AF8" w:rsidP="00720D6B">
            <w:pPr>
              <w:rPr>
                <w:rFonts w:ascii="Arial" w:hAnsi="Arial" w:cs="Arial"/>
                <w:sz w:val="20"/>
                <w:szCs w:val="20"/>
              </w:rPr>
            </w:pPr>
            <w:r w:rsidRPr="007D6AF8">
              <w:rPr>
                <w:rFonts w:ascii="Arial" w:hAnsi="Arial" w:cs="Arial"/>
                <w:sz w:val="20"/>
                <w:szCs w:val="20"/>
              </w:rPr>
              <w:t>9.1</w:t>
            </w:r>
          </w:p>
        </w:tc>
        <w:tc>
          <w:tcPr>
            <w:tcW w:w="2238" w:type="dxa"/>
          </w:tcPr>
          <w:p w14:paraId="6A96D1B8" w14:textId="77777777" w:rsidR="007D6AF8" w:rsidRPr="007D6AF8" w:rsidRDefault="007D6AF8" w:rsidP="00720D6B">
            <w:pPr>
              <w:rPr>
                <w:rFonts w:ascii="Arial" w:hAnsi="Arial" w:cs="Arial"/>
                <w:i/>
                <w:sz w:val="20"/>
                <w:szCs w:val="20"/>
              </w:rPr>
            </w:pPr>
            <w:r w:rsidRPr="007D6AF8">
              <w:rPr>
                <w:rFonts w:ascii="Arial" w:hAnsi="Arial" w:cs="Arial"/>
                <w:i/>
                <w:sz w:val="20"/>
                <w:szCs w:val="20"/>
              </w:rPr>
              <w:t>Yersinia intermedia</w:t>
            </w:r>
            <w:r w:rsidRPr="007D6AF8">
              <w:rPr>
                <w:rFonts w:ascii="Arial" w:hAnsi="Arial" w:cs="Arial"/>
                <w:sz w:val="20"/>
                <w:szCs w:val="20"/>
              </w:rPr>
              <w:t xml:space="preserve"> PQ156576</w:t>
            </w:r>
          </w:p>
        </w:tc>
      </w:tr>
      <w:tr w:rsidR="007D6AF8" w14:paraId="6CF76E5F" w14:textId="77777777" w:rsidTr="00720D6B">
        <w:tc>
          <w:tcPr>
            <w:tcW w:w="1915" w:type="dxa"/>
          </w:tcPr>
          <w:p w14:paraId="7330423D" w14:textId="77777777" w:rsidR="007D6AF8" w:rsidRPr="007D6AF8" w:rsidRDefault="007D6AF8" w:rsidP="00720D6B">
            <w:pPr>
              <w:rPr>
                <w:rFonts w:ascii="Arial" w:hAnsi="Arial" w:cs="Arial"/>
                <w:b/>
                <w:sz w:val="20"/>
                <w:szCs w:val="20"/>
              </w:rPr>
            </w:pPr>
            <w:r w:rsidRPr="007D6AF8">
              <w:rPr>
                <w:rFonts w:ascii="Arial" w:hAnsi="Arial" w:cs="Arial"/>
                <w:b/>
                <w:sz w:val="20"/>
                <w:szCs w:val="20"/>
              </w:rPr>
              <w:t>Total</w:t>
            </w:r>
          </w:p>
        </w:tc>
        <w:tc>
          <w:tcPr>
            <w:tcW w:w="1915" w:type="dxa"/>
          </w:tcPr>
          <w:p w14:paraId="1D6A20EA" w14:textId="77777777" w:rsidR="007D6AF8" w:rsidRPr="007D6AF8" w:rsidRDefault="007D6AF8" w:rsidP="00720D6B">
            <w:pPr>
              <w:rPr>
                <w:rFonts w:ascii="Arial" w:hAnsi="Arial" w:cs="Arial"/>
                <w:b/>
                <w:sz w:val="20"/>
                <w:szCs w:val="20"/>
              </w:rPr>
            </w:pPr>
            <w:r w:rsidRPr="007D6AF8">
              <w:rPr>
                <w:rFonts w:ascii="Arial" w:hAnsi="Arial" w:cs="Arial"/>
                <w:b/>
                <w:sz w:val="20"/>
                <w:szCs w:val="20"/>
              </w:rPr>
              <w:t>157</w:t>
            </w:r>
          </w:p>
        </w:tc>
        <w:tc>
          <w:tcPr>
            <w:tcW w:w="1915" w:type="dxa"/>
          </w:tcPr>
          <w:p w14:paraId="0B7D6323" w14:textId="77777777" w:rsidR="007D6AF8" w:rsidRPr="007D6AF8" w:rsidRDefault="007D6AF8" w:rsidP="00720D6B">
            <w:pPr>
              <w:rPr>
                <w:rFonts w:ascii="Arial" w:hAnsi="Arial" w:cs="Arial"/>
                <w:b/>
                <w:sz w:val="20"/>
                <w:szCs w:val="20"/>
              </w:rPr>
            </w:pPr>
            <w:r w:rsidRPr="007D6AF8">
              <w:rPr>
                <w:rFonts w:ascii="Arial" w:hAnsi="Arial" w:cs="Arial"/>
                <w:b/>
                <w:sz w:val="20"/>
                <w:szCs w:val="20"/>
              </w:rPr>
              <w:t>11</w:t>
            </w:r>
          </w:p>
        </w:tc>
        <w:tc>
          <w:tcPr>
            <w:tcW w:w="1593" w:type="dxa"/>
          </w:tcPr>
          <w:p w14:paraId="6450FD0B" w14:textId="77777777" w:rsidR="007D6AF8" w:rsidRPr="007D6AF8" w:rsidRDefault="007D6AF8" w:rsidP="00720D6B">
            <w:pPr>
              <w:rPr>
                <w:rFonts w:ascii="Arial" w:hAnsi="Arial" w:cs="Arial"/>
                <w:b/>
                <w:sz w:val="20"/>
                <w:szCs w:val="20"/>
              </w:rPr>
            </w:pPr>
            <w:r w:rsidRPr="007D6AF8">
              <w:rPr>
                <w:rFonts w:ascii="Arial" w:hAnsi="Arial" w:cs="Arial"/>
                <w:b/>
                <w:sz w:val="20"/>
                <w:szCs w:val="20"/>
              </w:rPr>
              <w:t>100</w:t>
            </w:r>
          </w:p>
        </w:tc>
        <w:tc>
          <w:tcPr>
            <w:tcW w:w="2238" w:type="dxa"/>
          </w:tcPr>
          <w:p w14:paraId="12088C34" w14:textId="77777777" w:rsidR="007D6AF8" w:rsidRPr="007D6AF8" w:rsidRDefault="007D6AF8" w:rsidP="00720D6B">
            <w:pPr>
              <w:rPr>
                <w:rFonts w:ascii="Arial" w:hAnsi="Arial" w:cs="Arial"/>
                <w:b/>
                <w:sz w:val="20"/>
                <w:szCs w:val="20"/>
              </w:rPr>
            </w:pPr>
          </w:p>
        </w:tc>
      </w:tr>
    </w:tbl>
    <w:p w14:paraId="6B52174A" w14:textId="77777777" w:rsidR="007D6AF8" w:rsidRDefault="007D6AF8" w:rsidP="007D6AF8">
      <w:pPr>
        <w:rPr>
          <w:rFonts w:ascii="Times New Roman" w:hAnsi="Times New Roman"/>
          <w:b/>
          <w:sz w:val="24"/>
          <w:szCs w:val="24"/>
        </w:rPr>
      </w:pPr>
    </w:p>
    <w:p w14:paraId="4754578F" w14:textId="77777777" w:rsidR="00DF128D" w:rsidRPr="002D379B" w:rsidRDefault="00DF128D" w:rsidP="00DF128D">
      <w:pPr>
        <w:rPr>
          <w:rFonts w:ascii="Arial" w:hAnsi="Arial" w:cs="Arial"/>
          <w:b/>
          <w:i/>
        </w:rPr>
      </w:pPr>
      <w:r w:rsidRPr="002D379B">
        <w:rPr>
          <w:rFonts w:ascii="Arial" w:hAnsi="Arial" w:cs="Arial"/>
          <w:b/>
          <w:i/>
        </w:rPr>
        <w:t>3.4 NCBI BLAST Analysis</w:t>
      </w:r>
      <w:r w:rsidRPr="002D379B">
        <w:rPr>
          <w:rFonts w:ascii="Arial" w:hAnsi="Arial" w:cs="Arial"/>
          <w:b/>
          <w:bCs/>
          <w:i/>
        </w:rPr>
        <w:t>, Agarose Gel Showing the Positive Amplification of the 16s RNA Regions and the p</w:t>
      </w:r>
      <w:r w:rsidRPr="002D379B">
        <w:rPr>
          <w:rFonts w:ascii="Arial" w:hAnsi="Arial" w:cs="Arial"/>
          <w:b/>
          <w:i/>
        </w:rPr>
        <w:t>hylogenetic relationships among</w:t>
      </w:r>
      <w:r w:rsidRPr="002D379B">
        <w:rPr>
          <w:rFonts w:ascii="Arial" w:hAnsi="Arial" w:cs="Arial"/>
          <w:i/>
        </w:rPr>
        <w:t xml:space="preserve"> </w:t>
      </w:r>
      <w:r w:rsidRPr="002D379B">
        <w:rPr>
          <w:rFonts w:ascii="Arial" w:hAnsi="Arial" w:cs="Arial"/>
          <w:b/>
          <w:bCs/>
          <w:i/>
        </w:rPr>
        <w:t>Yersinia Isolates</w:t>
      </w:r>
    </w:p>
    <w:p w14:paraId="09AFF586" w14:textId="77777777" w:rsidR="00A82799" w:rsidRPr="00687DE6" w:rsidRDefault="00A82799" w:rsidP="00A82799">
      <w:pPr>
        <w:spacing w:before="100" w:beforeAutospacing="1" w:after="100" w:afterAutospacing="1"/>
        <w:jc w:val="both"/>
        <w:rPr>
          <w:rFonts w:ascii="Arial" w:hAnsi="Arial" w:cs="Arial"/>
        </w:rPr>
      </w:pPr>
      <w:r w:rsidRPr="00687DE6">
        <w:rPr>
          <w:rFonts w:ascii="Arial" w:hAnsi="Arial" w:cs="Arial"/>
        </w:rPr>
        <w:t xml:space="preserve">Molecular analysis provided additional evidence for the genetic relatedness of the </w:t>
      </w:r>
      <w:r w:rsidRPr="00086897">
        <w:rPr>
          <w:rFonts w:ascii="Arial" w:hAnsi="Arial" w:cs="Arial"/>
          <w:i/>
        </w:rPr>
        <w:t>Yersinia</w:t>
      </w:r>
      <w:r w:rsidRPr="00687DE6">
        <w:rPr>
          <w:rFonts w:ascii="Arial" w:hAnsi="Arial" w:cs="Arial"/>
        </w:rPr>
        <w:t xml:space="preserve"> isolates recovered in this study. Previous investigations have demonstrated that molecular typing can reveal both closely related groups and genetic heterogeneity among </w:t>
      </w:r>
      <w:r w:rsidRPr="009B6464">
        <w:rPr>
          <w:rFonts w:ascii="Arial" w:hAnsi="Arial" w:cs="Arial"/>
          <w:i/>
        </w:rPr>
        <w:t>Yersinia enterocolitica</w:t>
      </w:r>
      <w:r w:rsidRPr="00687DE6">
        <w:rPr>
          <w:rFonts w:ascii="Arial" w:hAnsi="Arial" w:cs="Arial"/>
        </w:rPr>
        <w:t xml:space="preserve"> isolates, depending on the population examined and the discriminatory capacity of the method employed (Sachdeva &amp; Virdi, 2004; Falcão </w:t>
      </w:r>
      <w:r w:rsidRPr="002D379B">
        <w:rPr>
          <w:rFonts w:ascii="Arial" w:hAnsi="Arial" w:cs="Arial"/>
          <w:i/>
        </w:rPr>
        <w:t>et al</w:t>
      </w:r>
      <w:r w:rsidRPr="00687DE6">
        <w:rPr>
          <w:rFonts w:ascii="Arial" w:hAnsi="Arial" w:cs="Arial"/>
        </w:rPr>
        <w:t xml:space="preserve">., 2006). In the present study, comparison of the 16S rRNA gene sequences showed high nucleotide similarity among the selected isolates, with values ranging from 99.59% to 100% (Table 4). This high level of similarity indicates a close relationship among the sequences </w:t>
      </w:r>
      <w:proofErr w:type="spellStart"/>
      <w:r w:rsidRPr="00687DE6">
        <w:rPr>
          <w:rFonts w:ascii="Arial" w:hAnsi="Arial" w:cs="Arial"/>
        </w:rPr>
        <w:t>analysed</w:t>
      </w:r>
      <w:proofErr w:type="spellEnd"/>
      <w:r w:rsidRPr="00687DE6">
        <w:rPr>
          <w:rFonts w:ascii="Arial" w:hAnsi="Arial" w:cs="Arial"/>
        </w:rPr>
        <w:t>; however, because 16S rRNA sequencing has limited discriminatory power among closely related bacterial strains, the result should not be interpreted as evidence of complete genomic uniformity among the isolates.</w:t>
      </w:r>
    </w:p>
    <w:p w14:paraId="3E6AD0B9" w14:textId="77777777" w:rsidR="00A82799" w:rsidRPr="00687DE6" w:rsidRDefault="00A82799" w:rsidP="00A82799">
      <w:pPr>
        <w:spacing w:before="100" w:beforeAutospacing="1" w:after="100" w:afterAutospacing="1"/>
        <w:jc w:val="both"/>
        <w:rPr>
          <w:rFonts w:ascii="Arial" w:hAnsi="Arial" w:cs="Arial"/>
        </w:rPr>
      </w:pPr>
      <w:r w:rsidRPr="00687DE6">
        <w:rPr>
          <w:rFonts w:ascii="Arial" w:hAnsi="Arial" w:cs="Arial"/>
        </w:rPr>
        <w:t xml:space="preserve">Successful amplification of the target 16S rRNA gene region was confirmed by the presence of distinct bands of approximately 1,500 bp on the agarose gels presented in Plates 1–3. The corresponding sequence data were subsequently used to examine the phylogenetic relationships of the </w:t>
      </w:r>
      <w:r w:rsidRPr="009B6464">
        <w:rPr>
          <w:rFonts w:ascii="Arial" w:hAnsi="Arial" w:cs="Arial"/>
          <w:i/>
        </w:rPr>
        <w:t>Yersinia</w:t>
      </w:r>
      <w:r w:rsidRPr="00687DE6">
        <w:rPr>
          <w:rFonts w:ascii="Arial" w:hAnsi="Arial" w:cs="Arial"/>
        </w:rPr>
        <w:t xml:space="preserve"> isolates and related reference taxa, as illustrated in Figures 1–3. </w:t>
      </w:r>
      <w:r w:rsidRPr="00687DE6">
        <w:rPr>
          <w:rFonts w:ascii="Arial" w:hAnsi="Arial" w:cs="Arial"/>
        </w:rPr>
        <w:lastRenderedPageBreak/>
        <w:t>The clustering patterns observed in these phylogenetic analyses provide additional information on the relatedness of the isolates based on the 16S rRNA sequences examined.</w:t>
      </w:r>
    </w:p>
    <w:p w14:paraId="22D62825" w14:textId="77777777" w:rsidR="00ED5D3F" w:rsidRPr="00687DE6" w:rsidRDefault="00A82799" w:rsidP="00A82799">
      <w:pPr>
        <w:spacing w:before="100" w:beforeAutospacing="1" w:after="100" w:afterAutospacing="1"/>
        <w:jc w:val="both"/>
        <w:rPr>
          <w:rFonts w:ascii="Arial" w:hAnsi="Arial" w:cs="Arial"/>
        </w:rPr>
      </w:pPr>
      <w:r w:rsidRPr="00687DE6">
        <w:rPr>
          <w:rFonts w:ascii="Arial" w:hAnsi="Arial" w:cs="Arial"/>
        </w:rPr>
        <w:t xml:space="preserve">The distribution of </w:t>
      </w:r>
      <w:r w:rsidRPr="009B6464">
        <w:rPr>
          <w:rFonts w:ascii="Arial" w:hAnsi="Arial" w:cs="Arial"/>
          <w:i/>
        </w:rPr>
        <w:t>Yersinia</w:t>
      </w:r>
      <w:r w:rsidRPr="00687DE6">
        <w:rPr>
          <w:rFonts w:ascii="Arial" w:hAnsi="Arial" w:cs="Arial"/>
        </w:rPr>
        <w:t xml:space="preserve"> within the pig </w:t>
      </w:r>
      <w:proofErr w:type="spellStart"/>
      <w:r w:rsidRPr="00687DE6">
        <w:rPr>
          <w:rFonts w:ascii="Arial" w:hAnsi="Arial" w:cs="Arial"/>
        </w:rPr>
        <w:t>faecal</w:t>
      </w:r>
      <w:proofErr w:type="spellEnd"/>
      <w:r w:rsidRPr="00687DE6">
        <w:rPr>
          <w:rFonts w:ascii="Arial" w:hAnsi="Arial" w:cs="Arial"/>
        </w:rPr>
        <w:t xml:space="preserve"> and cattle intestinal samples could reflect the combined effects of host, environmental and management factors. Previous investigations in pig production systems have associated </w:t>
      </w:r>
      <w:r w:rsidRPr="009B6464">
        <w:rPr>
          <w:rFonts w:ascii="Arial" w:hAnsi="Arial" w:cs="Arial"/>
          <w:i/>
        </w:rPr>
        <w:t>Y. enterocolitica</w:t>
      </w:r>
      <w:r w:rsidRPr="00687DE6">
        <w:rPr>
          <w:rFonts w:ascii="Arial" w:hAnsi="Arial" w:cs="Arial"/>
        </w:rPr>
        <w:t xml:space="preserve"> carriage or shedding with factors such as water source, feed practices, animal contact and farm-management conditions (Virtanen </w:t>
      </w:r>
      <w:r w:rsidRPr="002D379B">
        <w:rPr>
          <w:rFonts w:ascii="Arial" w:hAnsi="Arial" w:cs="Arial"/>
          <w:i/>
        </w:rPr>
        <w:t>et al</w:t>
      </w:r>
      <w:r w:rsidRPr="00687DE6">
        <w:rPr>
          <w:rFonts w:ascii="Arial" w:hAnsi="Arial" w:cs="Arial"/>
        </w:rPr>
        <w:t xml:space="preserve">., 2011). More broadly, environmental exposure, stocking conditions and management practices can influence opportunities for bacterial persistence and transmission within livestock populations. The occurrence of </w:t>
      </w:r>
      <w:r w:rsidRPr="009B6464">
        <w:rPr>
          <w:rFonts w:ascii="Arial" w:hAnsi="Arial" w:cs="Arial"/>
          <w:i/>
        </w:rPr>
        <w:t>Yersinia</w:t>
      </w:r>
      <w:r w:rsidRPr="00687DE6">
        <w:rPr>
          <w:rFonts w:ascii="Arial" w:hAnsi="Arial" w:cs="Arial"/>
        </w:rPr>
        <w:t xml:space="preserve"> in the present study could therefore reflect interactions between the intestinal environment of the host and the conditions prevailing within the production system, although these factors were not directly evaluated in the present investigation.</w:t>
      </w:r>
    </w:p>
    <w:p w14:paraId="0CCECC3E" w14:textId="77777777" w:rsidR="00ED5D3F" w:rsidRPr="00DA194E" w:rsidRDefault="00ED5D3F" w:rsidP="00ED5D3F">
      <w:pPr>
        <w:rPr>
          <w:rFonts w:ascii="Arial" w:hAnsi="Arial" w:cs="Arial"/>
          <w:b/>
        </w:rPr>
      </w:pPr>
      <w:r w:rsidRPr="00DA194E">
        <w:rPr>
          <w:rFonts w:ascii="Arial" w:hAnsi="Arial" w:cs="Arial"/>
          <w:b/>
        </w:rPr>
        <w:t>Table 4: NCBI BLAST Analysis Showing the Sequence Identity of Edited Isolate Sequences</w:t>
      </w:r>
    </w:p>
    <w:p w14:paraId="747E0DDC" w14:textId="77777777" w:rsidR="00ED5D3F" w:rsidRPr="00ED5D3F" w:rsidRDefault="00ED5D3F" w:rsidP="00ED5D3F">
      <w:pPr>
        <w:rPr>
          <w:rFonts w:ascii="Arial" w:hAnsi="Arial" w:cs="Arial"/>
          <w:b/>
          <w:sz w:val="22"/>
          <w:szCs w:val="22"/>
        </w:rPr>
      </w:pP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10"/>
        <w:gridCol w:w="1789"/>
        <w:gridCol w:w="840"/>
        <w:gridCol w:w="840"/>
        <w:gridCol w:w="860"/>
        <w:gridCol w:w="817"/>
        <w:gridCol w:w="1232"/>
        <w:gridCol w:w="1136"/>
      </w:tblGrid>
      <w:tr w:rsidR="00DA194E" w:rsidRPr="00025ADB" w14:paraId="40F1E4C0" w14:textId="77777777" w:rsidTr="00720D6B">
        <w:tc>
          <w:tcPr>
            <w:tcW w:w="1022" w:type="dxa"/>
            <w:tcBorders>
              <w:top w:val="single" w:sz="4" w:space="0" w:color="auto"/>
              <w:bottom w:val="single" w:sz="4" w:space="0" w:color="auto"/>
            </w:tcBorders>
          </w:tcPr>
          <w:p w14:paraId="22E698A0" w14:textId="77777777" w:rsidR="00ED5D3F" w:rsidRPr="00DA194E" w:rsidRDefault="00ED5D3F" w:rsidP="00720D6B">
            <w:pPr>
              <w:rPr>
                <w:rFonts w:ascii="Arial" w:hAnsi="Arial" w:cs="Arial"/>
                <w:b/>
                <w:sz w:val="16"/>
                <w:szCs w:val="16"/>
              </w:rPr>
            </w:pPr>
            <w:r w:rsidRPr="00DA194E">
              <w:rPr>
                <w:rFonts w:ascii="Arial" w:hAnsi="Arial" w:cs="Arial"/>
                <w:b/>
                <w:sz w:val="16"/>
                <w:szCs w:val="16"/>
              </w:rPr>
              <w:t>Sample ID</w:t>
            </w:r>
          </w:p>
        </w:tc>
        <w:tc>
          <w:tcPr>
            <w:tcW w:w="1964" w:type="dxa"/>
            <w:tcBorders>
              <w:top w:val="single" w:sz="4" w:space="0" w:color="auto"/>
              <w:bottom w:val="single" w:sz="4" w:space="0" w:color="auto"/>
            </w:tcBorders>
          </w:tcPr>
          <w:p w14:paraId="0379F497"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Scientific Name</w:t>
            </w:r>
          </w:p>
        </w:tc>
        <w:tc>
          <w:tcPr>
            <w:tcW w:w="1002" w:type="dxa"/>
            <w:tcBorders>
              <w:top w:val="single" w:sz="4" w:space="0" w:color="auto"/>
              <w:bottom w:val="single" w:sz="4" w:space="0" w:color="auto"/>
            </w:tcBorders>
          </w:tcPr>
          <w:p w14:paraId="78A8FCC0"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Max Score</w:t>
            </w:r>
          </w:p>
        </w:tc>
        <w:tc>
          <w:tcPr>
            <w:tcW w:w="1002" w:type="dxa"/>
            <w:tcBorders>
              <w:top w:val="single" w:sz="4" w:space="0" w:color="auto"/>
              <w:bottom w:val="single" w:sz="4" w:space="0" w:color="auto"/>
            </w:tcBorders>
          </w:tcPr>
          <w:p w14:paraId="05F53EED"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Total Score</w:t>
            </w:r>
          </w:p>
        </w:tc>
        <w:tc>
          <w:tcPr>
            <w:tcW w:w="1024" w:type="dxa"/>
            <w:tcBorders>
              <w:top w:val="single" w:sz="4" w:space="0" w:color="auto"/>
              <w:bottom w:val="single" w:sz="4" w:space="0" w:color="auto"/>
            </w:tcBorders>
          </w:tcPr>
          <w:p w14:paraId="2C7BB03D"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Query Cover</w:t>
            </w:r>
          </w:p>
        </w:tc>
        <w:tc>
          <w:tcPr>
            <w:tcW w:w="990" w:type="dxa"/>
            <w:tcBorders>
              <w:top w:val="single" w:sz="4" w:space="0" w:color="auto"/>
              <w:bottom w:val="single" w:sz="4" w:space="0" w:color="auto"/>
            </w:tcBorders>
          </w:tcPr>
          <w:p w14:paraId="2024D919"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E value</w:t>
            </w:r>
          </w:p>
        </w:tc>
        <w:tc>
          <w:tcPr>
            <w:tcW w:w="1329" w:type="dxa"/>
            <w:tcBorders>
              <w:top w:val="single" w:sz="4" w:space="0" w:color="auto"/>
              <w:bottom w:val="single" w:sz="4" w:space="0" w:color="auto"/>
            </w:tcBorders>
          </w:tcPr>
          <w:p w14:paraId="40A94BC1"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Percentage. Identity</w:t>
            </w:r>
          </w:p>
        </w:tc>
        <w:tc>
          <w:tcPr>
            <w:tcW w:w="1243" w:type="dxa"/>
            <w:tcBorders>
              <w:top w:val="single" w:sz="4" w:space="0" w:color="auto"/>
              <w:bottom w:val="single" w:sz="4" w:space="0" w:color="auto"/>
            </w:tcBorders>
          </w:tcPr>
          <w:p w14:paraId="39CC0361"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Accession</w:t>
            </w:r>
          </w:p>
          <w:p w14:paraId="62AA7907"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Number</w:t>
            </w:r>
          </w:p>
        </w:tc>
      </w:tr>
      <w:tr w:rsidR="00DA194E" w:rsidRPr="00DA194E" w14:paraId="3B14350C" w14:textId="77777777" w:rsidTr="00720D6B">
        <w:tc>
          <w:tcPr>
            <w:tcW w:w="1022" w:type="dxa"/>
            <w:tcBorders>
              <w:top w:val="single" w:sz="4" w:space="0" w:color="auto"/>
            </w:tcBorders>
          </w:tcPr>
          <w:p w14:paraId="1AE1601C" w14:textId="77777777" w:rsidR="00ED5D3F" w:rsidRPr="00DA194E" w:rsidRDefault="00ED5D3F" w:rsidP="00720D6B">
            <w:pPr>
              <w:rPr>
                <w:rFonts w:ascii="Arial" w:hAnsi="Arial" w:cs="Arial"/>
                <w:sz w:val="16"/>
                <w:szCs w:val="16"/>
              </w:rPr>
            </w:pPr>
            <w:r w:rsidRPr="00DA194E">
              <w:rPr>
                <w:rFonts w:ascii="Arial" w:hAnsi="Arial" w:cs="Arial"/>
                <w:sz w:val="16"/>
                <w:szCs w:val="16"/>
              </w:rPr>
              <w:t>P7</w:t>
            </w:r>
          </w:p>
        </w:tc>
        <w:tc>
          <w:tcPr>
            <w:tcW w:w="1964" w:type="dxa"/>
            <w:tcBorders>
              <w:top w:val="single" w:sz="4" w:space="0" w:color="auto"/>
            </w:tcBorders>
          </w:tcPr>
          <w:p w14:paraId="5330DB27"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enterocolitica</w:t>
            </w:r>
          </w:p>
        </w:tc>
        <w:tc>
          <w:tcPr>
            <w:tcW w:w="1002" w:type="dxa"/>
            <w:tcBorders>
              <w:top w:val="single" w:sz="4" w:space="0" w:color="auto"/>
            </w:tcBorders>
          </w:tcPr>
          <w:p w14:paraId="14543DDD" w14:textId="77777777" w:rsidR="00ED5D3F" w:rsidRPr="00DA194E" w:rsidRDefault="00ED5D3F" w:rsidP="00720D6B">
            <w:pPr>
              <w:rPr>
                <w:rFonts w:ascii="Arial" w:hAnsi="Arial" w:cs="Arial"/>
                <w:sz w:val="16"/>
                <w:szCs w:val="16"/>
              </w:rPr>
            </w:pPr>
            <w:r w:rsidRPr="00DA194E">
              <w:rPr>
                <w:rFonts w:ascii="Arial" w:hAnsi="Arial" w:cs="Arial"/>
                <w:sz w:val="16"/>
                <w:szCs w:val="16"/>
              </w:rPr>
              <w:t>2569</w:t>
            </w:r>
          </w:p>
        </w:tc>
        <w:tc>
          <w:tcPr>
            <w:tcW w:w="1002" w:type="dxa"/>
            <w:tcBorders>
              <w:top w:val="single" w:sz="4" w:space="0" w:color="auto"/>
            </w:tcBorders>
          </w:tcPr>
          <w:p w14:paraId="7ED600D4" w14:textId="77777777" w:rsidR="00ED5D3F" w:rsidRPr="00DA194E" w:rsidRDefault="00ED5D3F" w:rsidP="00720D6B">
            <w:pPr>
              <w:rPr>
                <w:rFonts w:ascii="Arial" w:hAnsi="Arial" w:cs="Arial"/>
                <w:sz w:val="16"/>
                <w:szCs w:val="16"/>
              </w:rPr>
            </w:pPr>
            <w:r w:rsidRPr="00DA194E">
              <w:rPr>
                <w:rFonts w:ascii="Arial" w:hAnsi="Arial" w:cs="Arial"/>
                <w:sz w:val="16"/>
                <w:szCs w:val="16"/>
              </w:rPr>
              <w:t>2569</w:t>
            </w:r>
          </w:p>
        </w:tc>
        <w:tc>
          <w:tcPr>
            <w:tcW w:w="1024" w:type="dxa"/>
            <w:tcBorders>
              <w:top w:val="single" w:sz="4" w:space="0" w:color="auto"/>
            </w:tcBorders>
          </w:tcPr>
          <w:p w14:paraId="72EAB209" w14:textId="77777777" w:rsidR="00ED5D3F" w:rsidRPr="00DA194E" w:rsidRDefault="00ED5D3F" w:rsidP="00720D6B">
            <w:pPr>
              <w:rPr>
                <w:rFonts w:ascii="Arial" w:hAnsi="Arial" w:cs="Arial"/>
                <w:sz w:val="16"/>
                <w:szCs w:val="16"/>
              </w:rPr>
            </w:pPr>
            <w:r w:rsidRPr="00DA194E">
              <w:rPr>
                <w:rFonts w:ascii="Arial" w:hAnsi="Arial" w:cs="Arial"/>
                <w:sz w:val="16"/>
                <w:szCs w:val="16"/>
              </w:rPr>
              <w:t>100%</w:t>
            </w:r>
          </w:p>
        </w:tc>
        <w:tc>
          <w:tcPr>
            <w:tcW w:w="990" w:type="dxa"/>
            <w:tcBorders>
              <w:top w:val="single" w:sz="4" w:space="0" w:color="auto"/>
            </w:tcBorders>
          </w:tcPr>
          <w:p w14:paraId="30BCE833"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Borders>
              <w:top w:val="single" w:sz="4" w:space="0" w:color="auto"/>
            </w:tcBorders>
          </w:tcPr>
          <w:p w14:paraId="5A24B9C7" w14:textId="77777777" w:rsidR="00ED5D3F" w:rsidRPr="00DA194E" w:rsidRDefault="00ED5D3F" w:rsidP="00720D6B">
            <w:pPr>
              <w:rPr>
                <w:rFonts w:ascii="Arial" w:hAnsi="Arial" w:cs="Arial"/>
                <w:sz w:val="16"/>
                <w:szCs w:val="16"/>
              </w:rPr>
            </w:pPr>
            <w:r w:rsidRPr="00DA194E">
              <w:rPr>
                <w:rFonts w:ascii="Arial" w:hAnsi="Arial" w:cs="Arial"/>
                <w:sz w:val="16"/>
                <w:szCs w:val="16"/>
              </w:rPr>
              <w:t>99.72%</w:t>
            </w:r>
          </w:p>
        </w:tc>
        <w:tc>
          <w:tcPr>
            <w:tcW w:w="1243" w:type="dxa"/>
            <w:tcBorders>
              <w:top w:val="single" w:sz="4" w:space="0" w:color="auto"/>
            </w:tcBorders>
          </w:tcPr>
          <w:p w14:paraId="4DF7EB8C" w14:textId="77777777" w:rsidR="00ED5D3F" w:rsidRPr="00DA194E" w:rsidRDefault="00ED5D3F" w:rsidP="00720D6B">
            <w:pPr>
              <w:rPr>
                <w:rFonts w:ascii="Arial" w:hAnsi="Arial" w:cs="Arial"/>
                <w:sz w:val="16"/>
                <w:szCs w:val="16"/>
              </w:rPr>
            </w:pPr>
            <w:r w:rsidRPr="00DA194E">
              <w:rPr>
                <w:rFonts w:ascii="Arial" w:hAnsi="Arial" w:cs="Arial"/>
                <w:sz w:val="16"/>
                <w:szCs w:val="16"/>
              </w:rPr>
              <w:t>PQ892001</w:t>
            </w:r>
          </w:p>
        </w:tc>
      </w:tr>
      <w:tr w:rsidR="00DA194E" w:rsidRPr="00DA194E" w14:paraId="27C1C2FA" w14:textId="77777777" w:rsidTr="00720D6B">
        <w:tc>
          <w:tcPr>
            <w:tcW w:w="1022" w:type="dxa"/>
          </w:tcPr>
          <w:p w14:paraId="1143E960" w14:textId="77777777" w:rsidR="00ED5D3F" w:rsidRPr="00DA194E" w:rsidRDefault="00ED5D3F" w:rsidP="00720D6B">
            <w:pPr>
              <w:rPr>
                <w:rFonts w:ascii="Arial" w:hAnsi="Arial" w:cs="Arial"/>
                <w:sz w:val="16"/>
                <w:szCs w:val="16"/>
              </w:rPr>
            </w:pPr>
            <w:r w:rsidRPr="00DA194E">
              <w:rPr>
                <w:rFonts w:ascii="Arial" w:hAnsi="Arial" w:cs="Arial"/>
                <w:sz w:val="16"/>
                <w:szCs w:val="16"/>
              </w:rPr>
              <w:t>P12a</w:t>
            </w:r>
          </w:p>
        </w:tc>
        <w:tc>
          <w:tcPr>
            <w:tcW w:w="1964" w:type="dxa"/>
          </w:tcPr>
          <w:p w14:paraId="755CBD72"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enterocolitica</w:t>
            </w:r>
          </w:p>
        </w:tc>
        <w:tc>
          <w:tcPr>
            <w:tcW w:w="1002" w:type="dxa"/>
          </w:tcPr>
          <w:p w14:paraId="01DCB9C0" w14:textId="77777777" w:rsidR="00ED5D3F" w:rsidRPr="00DA194E" w:rsidRDefault="00ED5D3F" w:rsidP="00720D6B">
            <w:pPr>
              <w:rPr>
                <w:rFonts w:ascii="Arial" w:hAnsi="Arial" w:cs="Arial"/>
                <w:sz w:val="16"/>
                <w:szCs w:val="16"/>
              </w:rPr>
            </w:pPr>
            <w:r w:rsidRPr="00DA194E">
              <w:rPr>
                <w:rFonts w:ascii="Arial" w:hAnsi="Arial" w:cs="Arial"/>
                <w:sz w:val="16"/>
                <w:szCs w:val="16"/>
              </w:rPr>
              <w:t>2567</w:t>
            </w:r>
          </w:p>
        </w:tc>
        <w:tc>
          <w:tcPr>
            <w:tcW w:w="1002" w:type="dxa"/>
          </w:tcPr>
          <w:p w14:paraId="0BCEADA1" w14:textId="77777777" w:rsidR="00ED5D3F" w:rsidRPr="00DA194E" w:rsidRDefault="00ED5D3F" w:rsidP="00720D6B">
            <w:pPr>
              <w:rPr>
                <w:rFonts w:ascii="Arial" w:hAnsi="Arial" w:cs="Arial"/>
                <w:sz w:val="16"/>
                <w:szCs w:val="16"/>
              </w:rPr>
            </w:pPr>
            <w:r w:rsidRPr="00DA194E">
              <w:rPr>
                <w:rFonts w:ascii="Arial" w:hAnsi="Arial" w:cs="Arial"/>
                <w:sz w:val="16"/>
                <w:szCs w:val="16"/>
              </w:rPr>
              <w:t>2567</w:t>
            </w:r>
          </w:p>
        </w:tc>
        <w:tc>
          <w:tcPr>
            <w:tcW w:w="1024" w:type="dxa"/>
          </w:tcPr>
          <w:p w14:paraId="12E7B9C8" w14:textId="77777777" w:rsidR="00ED5D3F" w:rsidRPr="00DA194E" w:rsidRDefault="00ED5D3F" w:rsidP="00720D6B">
            <w:pPr>
              <w:rPr>
                <w:rFonts w:ascii="Arial" w:hAnsi="Arial" w:cs="Arial"/>
                <w:sz w:val="16"/>
                <w:szCs w:val="16"/>
              </w:rPr>
            </w:pPr>
            <w:r w:rsidRPr="00DA194E">
              <w:rPr>
                <w:rFonts w:ascii="Arial" w:hAnsi="Arial" w:cs="Arial"/>
                <w:sz w:val="16"/>
                <w:szCs w:val="16"/>
              </w:rPr>
              <w:t>99%</w:t>
            </w:r>
          </w:p>
        </w:tc>
        <w:tc>
          <w:tcPr>
            <w:tcW w:w="990" w:type="dxa"/>
          </w:tcPr>
          <w:p w14:paraId="5ECEF248"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44318D6F" w14:textId="77777777" w:rsidR="00ED5D3F" w:rsidRPr="00DA194E" w:rsidRDefault="00ED5D3F" w:rsidP="00720D6B">
            <w:pPr>
              <w:rPr>
                <w:rFonts w:ascii="Arial" w:hAnsi="Arial" w:cs="Arial"/>
                <w:sz w:val="16"/>
                <w:szCs w:val="16"/>
              </w:rPr>
            </w:pPr>
            <w:r w:rsidRPr="00DA194E">
              <w:rPr>
                <w:rFonts w:ascii="Arial" w:hAnsi="Arial" w:cs="Arial"/>
                <w:sz w:val="16"/>
                <w:szCs w:val="16"/>
              </w:rPr>
              <w:t>99.79%</w:t>
            </w:r>
          </w:p>
        </w:tc>
        <w:tc>
          <w:tcPr>
            <w:tcW w:w="1243" w:type="dxa"/>
          </w:tcPr>
          <w:p w14:paraId="3C0BB23E" w14:textId="77777777" w:rsidR="00ED5D3F" w:rsidRPr="00DA194E" w:rsidRDefault="00ED5D3F" w:rsidP="00720D6B">
            <w:pPr>
              <w:rPr>
                <w:rFonts w:ascii="Arial" w:hAnsi="Arial" w:cs="Arial"/>
                <w:sz w:val="16"/>
                <w:szCs w:val="16"/>
              </w:rPr>
            </w:pPr>
            <w:r w:rsidRPr="00DA194E">
              <w:rPr>
                <w:rFonts w:ascii="Arial" w:hAnsi="Arial" w:cs="Arial"/>
                <w:sz w:val="16"/>
                <w:szCs w:val="16"/>
              </w:rPr>
              <w:t>PQ892002</w:t>
            </w:r>
          </w:p>
        </w:tc>
      </w:tr>
      <w:tr w:rsidR="00DA194E" w:rsidRPr="00DA194E" w14:paraId="3884E7E6" w14:textId="77777777" w:rsidTr="00720D6B">
        <w:tc>
          <w:tcPr>
            <w:tcW w:w="1022" w:type="dxa"/>
          </w:tcPr>
          <w:p w14:paraId="4F61AB1D" w14:textId="77777777" w:rsidR="00ED5D3F" w:rsidRPr="00DA194E" w:rsidRDefault="00ED5D3F" w:rsidP="00720D6B">
            <w:pPr>
              <w:rPr>
                <w:rFonts w:ascii="Arial" w:hAnsi="Arial" w:cs="Arial"/>
                <w:sz w:val="16"/>
                <w:szCs w:val="16"/>
              </w:rPr>
            </w:pPr>
            <w:r w:rsidRPr="00DA194E">
              <w:rPr>
                <w:rFonts w:ascii="Arial" w:hAnsi="Arial" w:cs="Arial"/>
                <w:sz w:val="16"/>
                <w:szCs w:val="16"/>
              </w:rPr>
              <w:t>P14b</w:t>
            </w:r>
          </w:p>
        </w:tc>
        <w:tc>
          <w:tcPr>
            <w:tcW w:w="1964" w:type="dxa"/>
          </w:tcPr>
          <w:p w14:paraId="70EE5D83"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intermedia</w:t>
            </w:r>
          </w:p>
        </w:tc>
        <w:tc>
          <w:tcPr>
            <w:tcW w:w="1002" w:type="dxa"/>
          </w:tcPr>
          <w:p w14:paraId="03864C9A" w14:textId="77777777" w:rsidR="00ED5D3F" w:rsidRPr="00DA194E" w:rsidRDefault="00ED5D3F" w:rsidP="00720D6B">
            <w:pPr>
              <w:rPr>
                <w:rFonts w:ascii="Arial" w:hAnsi="Arial" w:cs="Arial"/>
                <w:sz w:val="16"/>
                <w:szCs w:val="16"/>
              </w:rPr>
            </w:pPr>
            <w:r w:rsidRPr="00DA194E">
              <w:rPr>
                <w:rFonts w:ascii="Arial" w:hAnsi="Arial" w:cs="Arial"/>
                <w:sz w:val="16"/>
                <w:szCs w:val="16"/>
              </w:rPr>
              <w:t>2575</w:t>
            </w:r>
          </w:p>
        </w:tc>
        <w:tc>
          <w:tcPr>
            <w:tcW w:w="1002" w:type="dxa"/>
          </w:tcPr>
          <w:p w14:paraId="52355389" w14:textId="77777777" w:rsidR="00ED5D3F" w:rsidRPr="00DA194E" w:rsidRDefault="00ED5D3F" w:rsidP="00720D6B">
            <w:pPr>
              <w:rPr>
                <w:rFonts w:ascii="Arial" w:hAnsi="Arial" w:cs="Arial"/>
                <w:sz w:val="16"/>
                <w:szCs w:val="16"/>
              </w:rPr>
            </w:pPr>
            <w:r w:rsidRPr="00DA194E">
              <w:rPr>
                <w:rFonts w:ascii="Arial" w:hAnsi="Arial" w:cs="Arial"/>
                <w:sz w:val="16"/>
                <w:szCs w:val="16"/>
              </w:rPr>
              <w:t>2575</w:t>
            </w:r>
          </w:p>
        </w:tc>
        <w:tc>
          <w:tcPr>
            <w:tcW w:w="1024" w:type="dxa"/>
          </w:tcPr>
          <w:p w14:paraId="62D29352" w14:textId="77777777" w:rsidR="00ED5D3F" w:rsidRPr="00DA194E" w:rsidRDefault="00ED5D3F" w:rsidP="00720D6B">
            <w:pPr>
              <w:rPr>
                <w:rFonts w:ascii="Arial" w:hAnsi="Arial" w:cs="Arial"/>
                <w:sz w:val="16"/>
                <w:szCs w:val="16"/>
              </w:rPr>
            </w:pPr>
            <w:r w:rsidRPr="00DA194E">
              <w:rPr>
                <w:rFonts w:ascii="Arial" w:hAnsi="Arial" w:cs="Arial"/>
                <w:sz w:val="16"/>
                <w:szCs w:val="16"/>
              </w:rPr>
              <w:t>100%</w:t>
            </w:r>
          </w:p>
        </w:tc>
        <w:tc>
          <w:tcPr>
            <w:tcW w:w="990" w:type="dxa"/>
          </w:tcPr>
          <w:p w14:paraId="436AA7DA"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6DB621B8" w14:textId="77777777" w:rsidR="00ED5D3F" w:rsidRPr="00DA194E" w:rsidRDefault="00ED5D3F" w:rsidP="00720D6B">
            <w:pPr>
              <w:rPr>
                <w:rFonts w:ascii="Arial" w:hAnsi="Arial" w:cs="Arial"/>
                <w:sz w:val="16"/>
                <w:szCs w:val="16"/>
              </w:rPr>
            </w:pPr>
            <w:r w:rsidRPr="00DA194E">
              <w:rPr>
                <w:rFonts w:ascii="Arial" w:hAnsi="Arial" w:cs="Arial"/>
                <w:sz w:val="16"/>
                <w:szCs w:val="16"/>
              </w:rPr>
              <w:t>99.65%</w:t>
            </w:r>
          </w:p>
        </w:tc>
        <w:tc>
          <w:tcPr>
            <w:tcW w:w="1243" w:type="dxa"/>
          </w:tcPr>
          <w:p w14:paraId="7F3893A4" w14:textId="77777777" w:rsidR="00ED5D3F" w:rsidRPr="00DA194E" w:rsidRDefault="00ED5D3F" w:rsidP="00720D6B">
            <w:pPr>
              <w:rPr>
                <w:rFonts w:ascii="Arial" w:hAnsi="Arial" w:cs="Arial"/>
                <w:sz w:val="16"/>
                <w:szCs w:val="16"/>
              </w:rPr>
            </w:pPr>
            <w:r w:rsidRPr="00DA194E">
              <w:rPr>
                <w:rFonts w:ascii="Arial" w:hAnsi="Arial" w:cs="Arial"/>
                <w:sz w:val="16"/>
                <w:szCs w:val="16"/>
              </w:rPr>
              <w:t>PQ892003</w:t>
            </w:r>
          </w:p>
        </w:tc>
      </w:tr>
      <w:tr w:rsidR="00DA194E" w:rsidRPr="00DA194E" w14:paraId="6C8B2653" w14:textId="77777777" w:rsidTr="00720D6B">
        <w:tc>
          <w:tcPr>
            <w:tcW w:w="1022" w:type="dxa"/>
          </w:tcPr>
          <w:p w14:paraId="5DC13CFE" w14:textId="77777777" w:rsidR="00ED5D3F" w:rsidRPr="00DA194E" w:rsidRDefault="00ED5D3F" w:rsidP="00720D6B">
            <w:pPr>
              <w:rPr>
                <w:rFonts w:ascii="Arial" w:hAnsi="Arial" w:cs="Arial"/>
                <w:sz w:val="16"/>
                <w:szCs w:val="16"/>
              </w:rPr>
            </w:pPr>
            <w:r w:rsidRPr="00DA194E">
              <w:rPr>
                <w:rFonts w:ascii="Arial" w:hAnsi="Arial" w:cs="Arial"/>
                <w:sz w:val="16"/>
                <w:szCs w:val="16"/>
              </w:rPr>
              <w:t>P16</w:t>
            </w:r>
          </w:p>
        </w:tc>
        <w:tc>
          <w:tcPr>
            <w:tcW w:w="1964" w:type="dxa"/>
          </w:tcPr>
          <w:p w14:paraId="594DBF54" w14:textId="77777777" w:rsidR="00ED5D3F" w:rsidRPr="00DA194E" w:rsidRDefault="00ED5D3F" w:rsidP="00720D6B">
            <w:pPr>
              <w:rPr>
                <w:rFonts w:ascii="Arial" w:hAnsi="Arial" w:cs="Arial"/>
                <w:i/>
                <w:sz w:val="16"/>
                <w:szCs w:val="16"/>
              </w:rPr>
            </w:pPr>
            <w:r w:rsidRPr="00DA194E">
              <w:rPr>
                <w:rFonts w:ascii="Arial" w:hAnsi="Arial" w:cs="Arial"/>
                <w:i/>
                <w:sz w:val="16"/>
                <w:szCs w:val="16"/>
              </w:rPr>
              <w:t xml:space="preserve">Yersinia </w:t>
            </w:r>
            <w:proofErr w:type="spellStart"/>
            <w:r w:rsidRPr="00DA194E">
              <w:rPr>
                <w:rFonts w:ascii="Arial" w:hAnsi="Arial" w:cs="Arial"/>
                <w:i/>
                <w:sz w:val="16"/>
                <w:szCs w:val="16"/>
              </w:rPr>
              <w:t>kristensenii</w:t>
            </w:r>
            <w:proofErr w:type="spellEnd"/>
          </w:p>
        </w:tc>
        <w:tc>
          <w:tcPr>
            <w:tcW w:w="1002" w:type="dxa"/>
          </w:tcPr>
          <w:p w14:paraId="16B1D84E" w14:textId="77777777" w:rsidR="00ED5D3F" w:rsidRPr="00DA194E" w:rsidRDefault="00ED5D3F" w:rsidP="00720D6B">
            <w:pPr>
              <w:rPr>
                <w:rFonts w:ascii="Arial" w:hAnsi="Arial" w:cs="Arial"/>
                <w:sz w:val="16"/>
                <w:szCs w:val="16"/>
              </w:rPr>
            </w:pPr>
            <w:r w:rsidRPr="00DA194E">
              <w:rPr>
                <w:rFonts w:ascii="Arial" w:hAnsi="Arial" w:cs="Arial"/>
                <w:sz w:val="16"/>
                <w:szCs w:val="16"/>
              </w:rPr>
              <w:t>2593</w:t>
            </w:r>
          </w:p>
        </w:tc>
        <w:tc>
          <w:tcPr>
            <w:tcW w:w="1002" w:type="dxa"/>
          </w:tcPr>
          <w:p w14:paraId="3FC3D332" w14:textId="77777777" w:rsidR="00ED5D3F" w:rsidRPr="00DA194E" w:rsidRDefault="00ED5D3F" w:rsidP="00720D6B">
            <w:pPr>
              <w:rPr>
                <w:rFonts w:ascii="Arial" w:hAnsi="Arial" w:cs="Arial"/>
                <w:sz w:val="16"/>
                <w:szCs w:val="16"/>
              </w:rPr>
            </w:pPr>
            <w:r w:rsidRPr="00DA194E">
              <w:rPr>
                <w:rFonts w:ascii="Arial" w:hAnsi="Arial" w:cs="Arial"/>
                <w:sz w:val="16"/>
                <w:szCs w:val="16"/>
              </w:rPr>
              <w:t>2593</w:t>
            </w:r>
          </w:p>
        </w:tc>
        <w:tc>
          <w:tcPr>
            <w:tcW w:w="1024" w:type="dxa"/>
          </w:tcPr>
          <w:p w14:paraId="5689FB1B" w14:textId="77777777" w:rsidR="00ED5D3F" w:rsidRPr="00DA194E" w:rsidRDefault="00ED5D3F" w:rsidP="00720D6B">
            <w:pPr>
              <w:rPr>
                <w:rFonts w:ascii="Arial" w:hAnsi="Arial" w:cs="Arial"/>
                <w:sz w:val="16"/>
                <w:szCs w:val="16"/>
              </w:rPr>
            </w:pPr>
            <w:r w:rsidRPr="00DA194E">
              <w:rPr>
                <w:rFonts w:ascii="Arial" w:hAnsi="Arial" w:cs="Arial"/>
                <w:sz w:val="16"/>
                <w:szCs w:val="16"/>
              </w:rPr>
              <w:t>100%</w:t>
            </w:r>
          </w:p>
        </w:tc>
        <w:tc>
          <w:tcPr>
            <w:tcW w:w="990" w:type="dxa"/>
          </w:tcPr>
          <w:p w14:paraId="067321C4"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09E2FF59" w14:textId="77777777" w:rsidR="00ED5D3F" w:rsidRPr="00DA194E" w:rsidRDefault="00ED5D3F" w:rsidP="00720D6B">
            <w:pPr>
              <w:rPr>
                <w:rFonts w:ascii="Arial" w:hAnsi="Arial" w:cs="Arial"/>
                <w:sz w:val="16"/>
                <w:szCs w:val="16"/>
              </w:rPr>
            </w:pPr>
            <w:r w:rsidRPr="00DA194E">
              <w:rPr>
                <w:rFonts w:ascii="Arial" w:hAnsi="Arial" w:cs="Arial"/>
                <w:sz w:val="16"/>
                <w:szCs w:val="16"/>
              </w:rPr>
              <w:t>99.72%</w:t>
            </w:r>
          </w:p>
        </w:tc>
        <w:tc>
          <w:tcPr>
            <w:tcW w:w="1243" w:type="dxa"/>
          </w:tcPr>
          <w:p w14:paraId="646AB413" w14:textId="77777777" w:rsidR="00ED5D3F" w:rsidRPr="00DA194E" w:rsidRDefault="00ED5D3F" w:rsidP="00720D6B">
            <w:pPr>
              <w:rPr>
                <w:rFonts w:ascii="Arial" w:hAnsi="Arial" w:cs="Arial"/>
                <w:sz w:val="16"/>
                <w:szCs w:val="16"/>
              </w:rPr>
            </w:pPr>
            <w:r w:rsidRPr="00DA194E">
              <w:rPr>
                <w:rFonts w:ascii="Arial" w:hAnsi="Arial" w:cs="Arial"/>
                <w:sz w:val="16"/>
                <w:szCs w:val="16"/>
              </w:rPr>
              <w:t>PQ892004</w:t>
            </w:r>
          </w:p>
        </w:tc>
      </w:tr>
      <w:tr w:rsidR="00DA194E" w:rsidRPr="00DA194E" w14:paraId="5CD5E3D3" w14:textId="77777777" w:rsidTr="00720D6B">
        <w:tc>
          <w:tcPr>
            <w:tcW w:w="1022" w:type="dxa"/>
          </w:tcPr>
          <w:p w14:paraId="314A2DCC" w14:textId="77777777" w:rsidR="00ED5D3F" w:rsidRPr="00DA194E" w:rsidRDefault="00ED5D3F" w:rsidP="00720D6B">
            <w:pPr>
              <w:rPr>
                <w:rFonts w:ascii="Arial" w:hAnsi="Arial" w:cs="Arial"/>
                <w:sz w:val="16"/>
                <w:szCs w:val="16"/>
              </w:rPr>
            </w:pPr>
            <w:r w:rsidRPr="00DA194E">
              <w:rPr>
                <w:rFonts w:ascii="Arial" w:hAnsi="Arial" w:cs="Arial"/>
                <w:sz w:val="16"/>
                <w:szCs w:val="16"/>
              </w:rPr>
              <w:t>PL1</w:t>
            </w:r>
          </w:p>
        </w:tc>
        <w:tc>
          <w:tcPr>
            <w:tcW w:w="1964" w:type="dxa"/>
          </w:tcPr>
          <w:p w14:paraId="05CBB777"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enterocolitica</w:t>
            </w:r>
          </w:p>
        </w:tc>
        <w:tc>
          <w:tcPr>
            <w:tcW w:w="1002" w:type="dxa"/>
          </w:tcPr>
          <w:p w14:paraId="734A073A" w14:textId="77777777" w:rsidR="00ED5D3F" w:rsidRPr="00DA194E" w:rsidRDefault="00ED5D3F" w:rsidP="00720D6B">
            <w:pPr>
              <w:rPr>
                <w:rFonts w:ascii="Arial" w:hAnsi="Arial" w:cs="Arial"/>
                <w:sz w:val="16"/>
                <w:szCs w:val="16"/>
              </w:rPr>
            </w:pPr>
            <w:r w:rsidRPr="00DA194E">
              <w:rPr>
                <w:rFonts w:ascii="Arial" w:hAnsi="Arial" w:cs="Arial"/>
                <w:sz w:val="16"/>
                <w:szCs w:val="16"/>
              </w:rPr>
              <w:t>2606</w:t>
            </w:r>
          </w:p>
        </w:tc>
        <w:tc>
          <w:tcPr>
            <w:tcW w:w="1002" w:type="dxa"/>
          </w:tcPr>
          <w:p w14:paraId="7A042258" w14:textId="77777777" w:rsidR="00ED5D3F" w:rsidRPr="00DA194E" w:rsidRDefault="00ED5D3F" w:rsidP="00720D6B">
            <w:pPr>
              <w:rPr>
                <w:rFonts w:ascii="Arial" w:hAnsi="Arial" w:cs="Arial"/>
                <w:sz w:val="16"/>
                <w:szCs w:val="16"/>
              </w:rPr>
            </w:pPr>
            <w:r w:rsidRPr="00DA194E">
              <w:rPr>
                <w:rFonts w:ascii="Arial" w:hAnsi="Arial" w:cs="Arial"/>
                <w:sz w:val="16"/>
                <w:szCs w:val="16"/>
              </w:rPr>
              <w:t>2606</w:t>
            </w:r>
          </w:p>
        </w:tc>
        <w:tc>
          <w:tcPr>
            <w:tcW w:w="1024" w:type="dxa"/>
          </w:tcPr>
          <w:p w14:paraId="0BA687ED" w14:textId="77777777" w:rsidR="00ED5D3F" w:rsidRPr="00DA194E" w:rsidRDefault="00ED5D3F" w:rsidP="00720D6B">
            <w:pPr>
              <w:rPr>
                <w:rFonts w:ascii="Arial" w:hAnsi="Arial" w:cs="Arial"/>
                <w:sz w:val="16"/>
                <w:szCs w:val="16"/>
              </w:rPr>
            </w:pPr>
            <w:r w:rsidRPr="00DA194E">
              <w:rPr>
                <w:rFonts w:ascii="Arial" w:hAnsi="Arial" w:cs="Arial"/>
                <w:sz w:val="16"/>
                <w:szCs w:val="16"/>
              </w:rPr>
              <w:t>100%</w:t>
            </w:r>
          </w:p>
        </w:tc>
        <w:tc>
          <w:tcPr>
            <w:tcW w:w="990" w:type="dxa"/>
          </w:tcPr>
          <w:p w14:paraId="0EB94F9D"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762FFC92" w14:textId="77777777" w:rsidR="00ED5D3F" w:rsidRPr="00DA194E" w:rsidRDefault="00ED5D3F" w:rsidP="00720D6B">
            <w:pPr>
              <w:rPr>
                <w:rFonts w:ascii="Arial" w:hAnsi="Arial" w:cs="Arial"/>
                <w:sz w:val="16"/>
                <w:szCs w:val="16"/>
              </w:rPr>
            </w:pPr>
            <w:r w:rsidRPr="00DA194E">
              <w:rPr>
                <w:rFonts w:ascii="Arial" w:hAnsi="Arial" w:cs="Arial"/>
                <w:sz w:val="16"/>
                <w:szCs w:val="16"/>
              </w:rPr>
              <w:t>100.00%</w:t>
            </w:r>
          </w:p>
        </w:tc>
        <w:tc>
          <w:tcPr>
            <w:tcW w:w="1243" w:type="dxa"/>
          </w:tcPr>
          <w:p w14:paraId="29F95245" w14:textId="77777777" w:rsidR="00ED5D3F" w:rsidRPr="00DA194E" w:rsidRDefault="00ED5D3F" w:rsidP="00720D6B">
            <w:pPr>
              <w:rPr>
                <w:rFonts w:ascii="Arial" w:hAnsi="Arial" w:cs="Arial"/>
                <w:sz w:val="16"/>
                <w:szCs w:val="16"/>
              </w:rPr>
            </w:pPr>
            <w:r w:rsidRPr="00DA194E">
              <w:rPr>
                <w:rFonts w:ascii="Arial" w:hAnsi="Arial" w:cs="Arial"/>
                <w:sz w:val="16"/>
                <w:szCs w:val="16"/>
              </w:rPr>
              <w:t>PQ609948</w:t>
            </w:r>
          </w:p>
        </w:tc>
      </w:tr>
      <w:tr w:rsidR="00DA194E" w:rsidRPr="00DA194E" w14:paraId="09199589" w14:textId="77777777" w:rsidTr="00720D6B">
        <w:tc>
          <w:tcPr>
            <w:tcW w:w="1022" w:type="dxa"/>
          </w:tcPr>
          <w:p w14:paraId="14920FCA" w14:textId="77777777" w:rsidR="00ED5D3F" w:rsidRPr="00DA194E" w:rsidRDefault="00ED5D3F" w:rsidP="00720D6B">
            <w:pPr>
              <w:rPr>
                <w:rFonts w:ascii="Arial" w:hAnsi="Arial" w:cs="Arial"/>
                <w:sz w:val="16"/>
                <w:szCs w:val="16"/>
              </w:rPr>
            </w:pPr>
            <w:r w:rsidRPr="00DA194E">
              <w:rPr>
                <w:rFonts w:ascii="Arial" w:hAnsi="Arial" w:cs="Arial"/>
                <w:sz w:val="16"/>
                <w:szCs w:val="16"/>
              </w:rPr>
              <w:t>PE1(2)</w:t>
            </w:r>
          </w:p>
        </w:tc>
        <w:tc>
          <w:tcPr>
            <w:tcW w:w="1964" w:type="dxa"/>
          </w:tcPr>
          <w:p w14:paraId="42746EB5"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enterocolitica</w:t>
            </w:r>
          </w:p>
        </w:tc>
        <w:tc>
          <w:tcPr>
            <w:tcW w:w="1002" w:type="dxa"/>
          </w:tcPr>
          <w:p w14:paraId="07C7E3AF" w14:textId="77777777" w:rsidR="00ED5D3F" w:rsidRPr="00DA194E" w:rsidRDefault="00ED5D3F" w:rsidP="00720D6B">
            <w:pPr>
              <w:rPr>
                <w:rFonts w:ascii="Arial" w:hAnsi="Arial" w:cs="Arial"/>
                <w:sz w:val="16"/>
                <w:szCs w:val="16"/>
              </w:rPr>
            </w:pPr>
            <w:r w:rsidRPr="00DA194E">
              <w:rPr>
                <w:rFonts w:ascii="Arial" w:hAnsi="Arial" w:cs="Arial"/>
                <w:sz w:val="16"/>
                <w:szCs w:val="16"/>
              </w:rPr>
              <w:t>2593</w:t>
            </w:r>
          </w:p>
        </w:tc>
        <w:tc>
          <w:tcPr>
            <w:tcW w:w="1002" w:type="dxa"/>
          </w:tcPr>
          <w:p w14:paraId="1A766075" w14:textId="77777777" w:rsidR="00ED5D3F" w:rsidRPr="00DA194E" w:rsidRDefault="00ED5D3F" w:rsidP="00720D6B">
            <w:pPr>
              <w:rPr>
                <w:rFonts w:ascii="Arial" w:hAnsi="Arial" w:cs="Arial"/>
                <w:sz w:val="16"/>
                <w:szCs w:val="16"/>
              </w:rPr>
            </w:pPr>
            <w:r w:rsidRPr="00DA194E">
              <w:rPr>
                <w:rFonts w:ascii="Arial" w:hAnsi="Arial" w:cs="Arial"/>
                <w:sz w:val="16"/>
                <w:szCs w:val="16"/>
              </w:rPr>
              <w:t>2593</w:t>
            </w:r>
          </w:p>
        </w:tc>
        <w:tc>
          <w:tcPr>
            <w:tcW w:w="1024" w:type="dxa"/>
          </w:tcPr>
          <w:p w14:paraId="4A5F1E9A" w14:textId="77777777" w:rsidR="00ED5D3F" w:rsidRPr="00DA194E" w:rsidRDefault="00ED5D3F" w:rsidP="00720D6B">
            <w:pPr>
              <w:rPr>
                <w:rFonts w:ascii="Arial" w:hAnsi="Arial" w:cs="Arial"/>
                <w:sz w:val="16"/>
                <w:szCs w:val="16"/>
              </w:rPr>
            </w:pPr>
            <w:r w:rsidRPr="00DA194E">
              <w:rPr>
                <w:rFonts w:ascii="Arial" w:hAnsi="Arial" w:cs="Arial"/>
                <w:sz w:val="16"/>
                <w:szCs w:val="16"/>
              </w:rPr>
              <w:t>99%</w:t>
            </w:r>
          </w:p>
        </w:tc>
        <w:tc>
          <w:tcPr>
            <w:tcW w:w="990" w:type="dxa"/>
          </w:tcPr>
          <w:p w14:paraId="3E25D954"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4D0F4E1F" w14:textId="77777777" w:rsidR="00ED5D3F" w:rsidRPr="00DA194E" w:rsidRDefault="00ED5D3F" w:rsidP="00720D6B">
            <w:pPr>
              <w:rPr>
                <w:rFonts w:ascii="Arial" w:hAnsi="Arial" w:cs="Arial"/>
                <w:sz w:val="16"/>
                <w:szCs w:val="16"/>
              </w:rPr>
            </w:pPr>
            <w:r w:rsidRPr="00DA194E">
              <w:rPr>
                <w:rFonts w:ascii="Arial" w:hAnsi="Arial" w:cs="Arial"/>
                <w:sz w:val="16"/>
                <w:szCs w:val="16"/>
              </w:rPr>
              <w:t>99.86%</w:t>
            </w:r>
          </w:p>
        </w:tc>
        <w:tc>
          <w:tcPr>
            <w:tcW w:w="1243" w:type="dxa"/>
          </w:tcPr>
          <w:p w14:paraId="5F34D699" w14:textId="77777777" w:rsidR="00ED5D3F" w:rsidRPr="00DA194E" w:rsidRDefault="00ED5D3F" w:rsidP="00720D6B">
            <w:pPr>
              <w:rPr>
                <w:rFonts w:ascii="Arial" w:hAnsi="Arial" w:cs="Arial"/>
                <w:sz w:val="16"/>
                <w:szCs w:val="16"/>
              </w:rPr>
            </w:pPr>
            <w:r w:rsidRPr="00DA194E">
              <w:rPr>
                <w:rFonts w:ascii="Arial" w:hAnsi="Arial" w:cs="Arial"/>
                <w:sz w:val="16"/>
                <w:szCs w:val="16"/>
              </w:rPr>
              <w:t>PQ609949</w:t>
            </w:r>
          </w:p>
        </w:tc>
      </w:tr>
      <w:tr w:rsidR="00DA194E" w:rsidRPr="00DA194E" w14:paraId="3D0954A0" w14:textId="77777777" w:rsidTr="00720D6B">
        <w:tc>
          <w:tcPr>
            <w:tcW w:w="1022" w:type="dxa"/>
          </w:tcPr>
          <w:p w14:paraId="358A561A" w14:textId="77777777" w:rsidR="00ED5D3F" w:rsidRPr="00DA194E" w:rsidRDefault="00ED5D3F" w:rsidP="00720D6B">
            <w:pPr>
              <w:rPr>
                <w:rFonts w:ascii="Arial" w:hAnsi="Arial" w:cs="Arial"/>
                <w:sz w:val="16"/>
                <w:szCs w:val="16"/>
              </w:rPr>
            </w:pPr>
            <w:r w:rsidRPr="00DA194E">
              <w:rPr>
                <w:rFonts w:ascii="Arial" w:hAnsi="Arial" w:cs="Arial"/>
                <w:sz w:val="16"/>
                <w:szCs w:val="16"/>
              </w:rPr>
              <w:t>PD2</w:t>
            </w:r>
          </w:p>
        </w:tc>
        <w:tc>
          <w:tcPr>
            <w:tcW w:w="1964" w:type="dxa"/>
          </w:tcPr>
          <w:p w14:paraId="1715F92B"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pseudotuberculosis</w:t>
            </w:r>
          </w:p>
        </w:tc>
        <w:tc>
          <w:tcPr>
            <w:tcW w:w="1002" w:type="dxa"/>
          </w:tcPr>
          <w:p w14:paraId="4104924E" w14:textId="77777777" w:rsidR="00ED5D3F" w:rsidRPr="00DA194E" w:rsidRDefault="00ED5D3F" w:rsidP="00720D6B">
            <w:pPr>
              <w:rPr>
                <w:rFonts w:ascii="Arial" w:hAnsi="Arial" w:cs="Arial"/>
                <w:sz w:val="16"/>
                <w:szCs w:val="16"/>
              </w:rPr>
            </w:pPr>
            <w:r w:rsidRPr="00DA194E">
              <w:rPr>
                <w:rFonts w:ascii="Arial" w:hAnsi="Arial" w:cs="Arial"/>
                <w:sz w:val="16"/>
                <w:szCs w:val="16"/>
              </w:rPr>
              <w:t>2601</w:t>
            </w:r>
          </w:p>
        </w:tc>
        <w:tc>
          <w:tcPr>
            <w:tcW w:w="1002" w:type="dxa"/>
          </w:tcPr>
          <w:p w14:paraId="676D9034" w14:textId="77777777" w:rsidR="00ED5D3F" w:rsidRPr="00DA194E" w:rsidRDefault="00ED5D3F" w:rsidP="00720D6B">
            <w:pPr>
              <w:rPr>
                <w:rFonts w:ascii="Arial" w:hAnsi="Arial" w:cs="Arial"/>
                <w:sz w:val="16"/>
                <w:szCs w:val="16"/>
              </w:rPr>
            </w:pPr>
            <w:r w:rsidRPr="00DA194E">
              <w:rPr>
                <w:rFonts w:ascii="Arial" w:hAnsi="Arial" w:cs="Arial"/>
                <w:sz w:val="16"/>
                <w:szCs w:val="16"/>
              </w:rPr>
              <w:t>2601</w:t>
            </w:r>
          </w:p>
        </w:tc>
        <w:tc>
          <w:tcPr>
            <w:tcW w:w="1024" w:type="dxa"/>
          </w:tcPr>
          <w:p w14:paraId="7141FADF" w14:textId="77777777" w:rsidR="00ED5D3F" w:rsidRPr="00DA194E" w:rsidRDefault="00ED5D3F" w:rsidP="00720D6B">
            <w:pPr>
              <w:rPr>
                <w:rFonts w:ascii="Arial" w:hAnsi="Arial" w:cs="Arial"/>
                <w:sz w:val="16"/>
                <w:szCs w:val="16"/>
              </w:rPr>
            </w:pPr>
            <w:r w:rsidRPr="00DA194E">
              <w:rPr>
                <w:rFonts w:ascii="Arial" w:hAnsi="Arial" w:cs="Arial"/>
                <w:sz w:val="16"/>
                <w:szCs w:val="16"/>
              </w:rPr>
              <w:t>99%</w:t>
            </w:r>
          </w:p>
        </w:tc>
        <w:tc>
          <w:tcPr>
            <w:tcW w:w="990" w:type="dxa"/>
          </w:tcPr>
          <w:p w14:paraId="0B423101"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055EADBD" w14:textId="77777777" w:rsidR="00ED5D3F" w:rsidRPr="00DA194E" w:rsidRDefault="00ED5D3F" w:rsidP="00720D6B">
            <w:pPr>
              <w:rPr>
                <w:rFonts w:ascii="Arial" w:hAnsi="Arial" w:cs="Arial"/>
                <w:sz w:val="16"/>
                <w:szCs w:val="16"/>
              </w:rPr>
            </w:pPr>
            <w:r w:rsidRPr="00DA194E">
              <w:rPr>
                <w:rFonts w:ascii="Arial" w:hAnsi="Arial" w:cs="Arial"/>
                <w:sz w:val="16"/>
                <w:szCs w:val="16"/>
              </w:rPr>
              <w:t>99.86%</w:t>
            </w:r>
          </w:p>
        </w:tc>
        <w:tc>
          <w:tcPr>
            <w:tcW w:w="1243" w:type="dxa"/>
          </w:tcPr>
          <w:p w14:paraId="1C3BCBE2" w14:textId="77777777" w:rsidR="00ED5D3F" w:rsidRPr="00DA194E" w:rsidRDefault="00ED5D3F" w:rsidP="00720D6B">
            <w:pPr>
              <w:rPr>
                <w:rFonts w:ascii="Arial" w:hAnsi="Arial" w:cs="Arial"/>
                <w:sz w:val="16"/>
                <w:szCs w:val="16"/>
              </w:rPr>
            </w:pPr>
            <w:r w:rsidRPr="00DA194E">
              <w:rPr>
                <w:rFonts w:ascii="Arial" w:hAnsi="Arial" w:cs="Arial"/>
                <w:sz w:val="16"/>
                <w:szCs w:val="16"/>
              </w:rPr>
              <w:t>PQ609950</w:t>
            </w:r>
          </w:p>
        </w:tc>
      </w:tr>
      <w:tr w:rsidR="00DA194E" w:rsidRPr="00DA194E" w14:paraId="6D416E5A" w14:textId="77777777" w:rsidTr="00720D6B">
        <w:tc>
          <w:tcPr>
            <w:tcW w:w="1022" w:type="dxa"/>
          </w:tcPr>
          <w:p w14:paraId="2A004875" w14:textId="77777777" w:rsidR="00ED5D3F" w:rsidRPr="00DA194E" w:rsidRDefault="00ED5D3F" w:rsidP="00720D6B">
            <w:pPr>
              <w:rPr>
                <w:rFonts w:ascii="Arial" w:hAnsi="Arial" w:cs="Arial"/>
                <w:sz w:val="16"/>
                <w:szCs w:val="16"/>
              </w:rPr>
            </w:pPr>
            <w:r w:rsidRPr="00DA194E">
              <w:rPr>
                <w:rFonts w:ascii="Arial" w:hAnsi="Arial" w:cs="Arial"/>
                <w:sz w:val="16"/>
                <w:szCs w:val="16"/>
              </w:rPr>
              <w:t>PH1</w:t>
            </w:r>
          </w:p>
        </w:tc>
        <w:tc>
          <w:tcPr>
            <w:tcW w:w="1964" w:type="dxa"/>
          </w:tcPr>
          <w:p w14:paraId="67E86B2C"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intermedia</w:t>
            </w:r>
          </w:p>
        </w:tc>
        <w:tc>
          <w:tcPr>
            <w:tcW w:w="1002" w:type="dxa"/>
          </w:tcPr>
          <w:p w14:paraId="5A645970" w14:textId="77777777" w:rsidR="00ED5D3F" w:rsidRPr="00DA194E" w:rsidRDefault="00ED5D3F" w:rsidP="00720D6B">
            <w:pPr>
              <w:rPr>
                <w:rFonts w:ascii="Arial" w:hAnsi="Arial" w:cs="Arial"/>
                <w:sz w:val="16"/>
                <w:szCs w:val="16"/>
              </w:rPr>
            </w:pPr>
            <w:r w:rsidRPr="00DA194E">
              <w:rPr>
                <w:rFonts w:ascii="Arial" w:hAnsi="Arial" w:cs="Arial"/>
                <w:sz w:val="16"/>
                <w:szCs w:val="16"/>
              </w:rPr>
              <w:t>2590</w:t>
            </w:r>
          </w:p>
        </w:tc>
        <w:tc>
          <w:tcPr>
            <w:tcW w:w="1002" w:type="dxa"/>
          </w:tcPr>
          <w:p w14:paraId="56C81173" w14:textId="77777777" w:rsidR="00ED5D3F" w:rsidRPr="00DA194E" w:rsidRDefault="00ED5D3F" w:rsidP="00720D6B">
            <w:pPr>
              <w:rPr>
                <w:rFonts w:ascii="Arial" w:hAnsi="Arial" w:cs="Arial"/>
                <w:sz w:val="16"/>
                <w:szCs w:val="16"/>
              </w:rPr>
            </w:pPr>
            <w:r w:rsidRPr="00DA194E">
              <w:rPr>
                <w:rFonts w:ascii="Arial" w:hAnsi="Arial" w:cs="Arial"/>
                <w:sz w:val="16"/>
                <w:szCs w:val="16"/>
              </w:rPr>
              <w:t>18064</w:t>
            </w:r>
          </w:p>
        </w:tc>
        <w:tc>
          <w:tcPr>
            <w:tcW w:w="1024" w:type="dxa"/>
          </w:tcPr>
          <w:p w14:paraId="54525AF8" w14:textId="77777777" w:rsidR="00ED5D3F" w:rsidRPr="00DA194E" w:rsidRDefault="00ED5D3F" w:rsidP="00720D6B">
            <w:pPr>
              <w:rPr>
                <w:rFonts w:ascii="Arial" w:hAnsi="Arial" w:cs="Arial"/>
                <w:sz w:val="16"/>
                <w:szCs w:val="16"/>
              </w:rPr>
            </w:pPr>
            <w:r w:rsidRPr="00DA194E">
              <w:rPr>
                <w:rFonts w:ascii="Arial" w:hAnsi="Arial" w:cs="Arial"/>
                <w:sz w:val="16"/>
                <w:szCs w:val="16"/>
              </w:rPr>
              <w:t>100%</w:t>
            </w:r>
          </w:p>
        </w:tc>
        <w:tc>
          <w:tcPr>
            <w:tcW w:w="990" w:type="dxa"/>
          </w:tcPr>
          <w:p w14:paraId="7678AF09"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0EDFEF66" w14:textId="77777777" w:rsidR="00ED5D3F" w:rsidRPr="00DA194E" w:rsidRDefault="00ED5D3F" w:rsidP="00720D6B">
            <w:pPr>
              <w:rPr>
                <w:rFonts w:ascii="Arial" w:hAnsi="Arial" w:cs="Arial"/>
                <w:sz w:val="16"/>
                <w:szCs w:val="16"/>
              </w:rPr>
            </w:pPr>
            <w:r w:rsidRPr="00DA194E">
              <w:rPr>
                <w:rFonts w:ascii="Arial" w:hAnsi="Arial" w:cs="Arial"/>
                <w:sz w:val="16"/>
                <w:szCs w:val="16"/>
              </w:rPr>
              <w:t>99.72%</w:t>
            </w:r>
          </w:p>
        </w:tc>
        <w:tc>
          <w:tcPr>
            <w:tcW w:w="1243" w:type="dxa"/>
          </w:tcPr>
          <w:p w14:paraId="3FEFCABC" w14:textId="77777777" w:rsidR="00ED5D3F" w:rsidRPr="00DA194E" w:rsidRDefault="00ED5D3F" w:rsidP="00720D6B">
            <w:pPr>
              <w:rPr>
                <w:rFonts w:ascii="Arial" w:hAnsi="Arial" w:cs="Arial"/>
                <w:sz w:val="16"/>
                <w:szCs w:val="16"/>
              </w:rPr>
            </w:pPr>
            <w:r w:rsidRPr="00DA194E">
              <w:rPr>
                <w:rFonts w:ascii="Arial" w:hAnsi="Arial" w:cs="Arial"/>
                <w:sz w:val="16"/>
                <w:szCs w:val="16"/>
              </w:rPr>
              <w:t>PQ609951</w:t>
            </w:r>
          </w:p>
        </w:tc>
      </w:tr>
      <w:tr w:rsidR="00DA194E" w:rsidRPr="00DA194E" w14:paraId="6883B200" w14:textId="77777777" w:rsidTr="00720D6B">
        <w:tc>
          <w:tcPr>
            <w:tcW w:w="1022" w:type="dxa"/>
          </w:tcPr>
          <w:p w14:paraId="02336DA8" w14:textId="77777777" w:rsidR="00ED5D3F" w:rsidRPr="00DA194E" w:rsidRDefault="00ED5D3F" w:rsidP="00720D6B">
            <w:pPr>
              <w:rPr>
                <w:rFonts w:ascii="Arial" w:hAnsi="Arial" w:cs="Arial"/>
                <w:sz w:val="16"/>
                <w:szCs w:val="16"/>
              </w:rPr>
            </w:pPr>
            <w:r w:rsidRPr="00DA194E">
              <w:rPr>
                <w:rFonts w:ascii="Arial" w:hAnsi="Arial" w:cs="Arial"/>
                <w:sz w:val="16"/>
                <w:szCs w:val="16"/>
              </w:rPr>
              <w:t>P1i</w:t>
            </w:r>
          </w:p>
        </w:tc>
        <w:tc>
          <w:tcPr>
            <w:tcW w:w="1964" w:type="dxa"/>
          </w:tcPr>
          <w:p w14:paraId="0A027C5C"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enterocolitica subsp. Enterocolitica</w:t>
            </w:r>
          </w:p>
        </w:tc>
        <w:tc>
          <w:tcPr>
            <w:tcW w:w="1002" w:type="dxa"/>
          </w:tcPr>
          <w:p w14:paraId="1C697CFD" w14:textId="77777777" w:rsidR="00ED5D3F" w:rsidRPr="00DA194E" w:rsidRDefault="00ED5D3F" w:rsidP="00720D6B">
            <w:pPr>
              <w:rPr>
                <w:rFonts w:ascii="Arial" w:hAnsi="Arial" w:cs="Arial"/>
                <w:sz w:val="16"/>
                <w:szCs w:val="16"/>
              </w:rPr>
            </w:pPr>
            <w:r w:rsidRPr="00DA194E">
              <w:rPr>
                <w:rFonts w:ascii="Arial" w:hAnsi="Arial" w:cs="Arial"/>
                <w:sz w:val="16"/>
                <w:szCs w:val="16"/>
              </w:rPr>
              <w:t>2638</w:t>
            </w:r>
          </w:p>
        </w:tc>
        <w:tc>
          <w:tcPr>
            <w:tcW w:w="1002" w:type="dxa"/>
          </w:tcPr>
          <w:p w14:paraId="15ECBCC9" w14:textId="77777777" w:rsidR="00ED5D3F" w:rsidRPr="00DA194E" w:rsidRDefault="00ED5D3F" w:rsidP="00720D6B">
            <w:pPr>
              <w:rPr>
                <w:rFonts w:ascii="Arial" w:hAnsi="Arial" w:cs="Arial"/>
                <w:sz w:val="16"/>
                <w:szCs w:val="16"/>
              </w:rPr>
            </w:pPr>
            <w:r w:rsidRPr="00DA194E">
              <w:rPr>
                <w:rFonts w:ascii="Arial" w:hAnsi="Arial" w:cs="Arial"/>
                <w:sz w:val="16"/>
                <w:szCs w:val="16"/>
              </w:rPr>
              <w:t>18433</w:t>
            </w:r>
          </w:p>
        </w:tc>
        <w:tc>
          <w:tcPr>
            <w:tcW w:w="1024" w:type="dxa"/>
          </w:tcPr>
          <w:p w14:paraId="36132F2B" w14:textId="77777777" w:rsidR="00ED5D3F" w:rsidRPr="00DA194E" w:rsidRDefault="00ED5D3F" w:rsidP="00720D6B">
            <w:pPr>
              <w:rPr>
                <w:rFonts w:ascii="Arial" w:hAnsi="Arial" w:cs="Arial"/>
                <w:sz w:val="16"/>
                <w:szCs w:val="16"/>
              </w:rPr>
            </w:pPr>
            <w:r w:rsidRPr="00DA194E">
              <w:rPr>
                <w:rFonts w:ascii="Arial" w:hAnsi="Arial" w:cs="Arial"/>
                <w:sz w:val="16"/>
                <w:szCs w:val="16"/>
              </w:rPr>
              <w:t>99%</w:t>
            </w:r>
          </w:p>
        </w:tc>
        <w:tc>
          <w:tcPr>
            <w:tcW w:w="990" w:type="dxa"/>
          </w:tcPr>
          <w:p w14:paraId="19055309"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7C4F4A4C" w14:textId="77777777" w:rsidR="00ED5D3F" w:rsidRPr="00DA194E" w:rsidRDefault="00ED5D3F" w:rsidP="00720D6B">
            <w:pPr>
              <w:rPr>
                <w:rFonts w:ascii="Arial" w:hAnsi="Arial" w:cs="Arial"/>
                <w:sz w:val="16"/>
                <w:szCs w:val="16"/>
              </w:rPr>
            </w:pPr>
            <w:r w:rsidRPr="00DA194E">
              <w:rPr>
                <w:rFonts w:ascii="Arial" w:hAnsi="Arial" w:cs="Arial"/>
                <w:sz w:val="16"/>
                <w:szCs w:val="16"/>
              </w:rPr>
              <w:t>99.59%</w:t>
            </w:r>
          </w:p>
        </w:tc>
        <w:tc>
          <w:tcPr>
            <w:tcW w:w="1243" w:type="dxa"/>
          </w:tcPr>
          <w:p w14:paraId="08E23123" w14:textId="77777777" w:rsidR="00ED5D3F" w:rsidRPr="00DA194E" w:rsidRDefault="00ED5D3F" w:rsidP="00720D6B">
            <w:pPr>
              <w:rPr>
                <w:rFonts w:ascii="Arial" w:hAnsi="Arial" w:cs="Arial"/>
                <w:sz w:val="16"/>
                <w:szCs w:val="16"/>
              </w:rPr>
            </w:pPr>
            <w:r w:rsidRPr="00DA194E">
              <w:rPr>
                <w:rFonts w:ascii="Arial" w:hAnsi="Arial" w:cs="Arial"/>
                <w:sz w:val="16"/>
                <w:szCs w:val="16"/>
              </w:rPr>
              <w:t>PQ156574</w:t>
            </w:r>
          </w:p>
        </w:tc>
      </w:tr>
      <w:tr w:rsidR="00DA194E" w:rsidRPr="00DA194E" w14:paraId="45E9C564" w14:textId="77777777" w:rsidTr="00720D6B">
        <w:tc>
          <w:tcPr>
            <w:tcW w:w="1022" w:type="dxa"/>
          </w:tcPr>
          <w:p w14:paraId="1F50A33C" w14:textId="77777777" w:rsidR="00ED5D3F" w:rsidRPr="00DA194E" w:rsidRDefault="00ED5D3F" w:rsidP="00720D6B">
            <w:pPr>
              <w:rPr>
                <w:rFonts w:ascii="Arial" w:hAnsi="Arial" w:cs="Arial"/>
                <w:sz w:val="16"/>
                <w:szCs w:val="16"/>
              </w:rPr>
            </w:pPr>
            <w:r w:rsidRPr="00DA194E">
              <w:rPr>
                <w:rFonts w:ascii="Arial" w:hAnsi="Arial" w:cs="Arial"/>
                <w:sz w:val="16"/>
                <w:szCs w:val="16"/>
              </w:rPr>
              <w:t>P1s1</w:t>
            </w:r>
          </w:p>
        </w:tc>
        <w:tc>
          <w:tcPr>
            <w:tcW w:w="1964" w:type="dxa"/>
          </w:tcPr>
          <w:p w14:paraId="73930A96"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enterocolitica subsp. Enterocolitica</w:t>
            </w:r>
          </w:p>
        </w:tc>
        <w:tc>
          <w:tcPr>
            <w:tcW w:w="1002" w:type="dxa"/>
          </w:tcPr>
          <w:p w14:paraId="6B0A1BDE" w14:textId="77777777" w:rsidR="00ED5D3F" w:rsidRPr="00DA194E" w:rsidRDefault="00ED5D3F" w:rsidP="00720D6B">
            <w:pPr>
              <w:rPr>
                <w:rFonts w:ascii="Arial" w:hAnsi="Arial" w:cs="Arial"/>
                <w:sz w:val="16"/>
                <w:szCs w:val="16"/>
              </w:rPr>
            </w:pPr>
            <w:r w:rsidRPr="00DA194E">
              <w:rPr>
                <w:rFonts w:ascii="Arial" w:hAnsi="Arial" w:cs="Arial"/>
                <w:sz w:val="16"/>
                <w:szCs w:val="16"/>
              </w:rPr>
              <w:t>2625</w:t>
            </w:r>
          </w:p>
        </w:tc>
        <w:tc>
          <w:tcPr>
            <w:tcW w:w="1002" w:type="dxa"/>
          </w:tcPr>
          <w:p w14:paraId="7DDC0BC1" w14:textId="77777777" w:rsidR="00ED5D3F" w:rsidRPr="00DA194E" w:rsidRDefault="00ED5D3F" w:rsidP="00720D6B">
            <w:pPr>
              <w:rPr>
                <w:rFonts w:ascii="Arial" w:hAnsi="Arial" w:cs="Arial"/>
                <w:sz w:val="16"/>
                <w:szCs w:val="16"/>
              </w:rPr>
            </w:pPr>
            <w:r w:rsidRPr="00DA194E">
              <w:rPr>
                <w:rFonts w:ascii="Arial" w:hAnsi="Arial" w:cs="Arial"/>
                <w:sz w:val="16"/>
                <w:szCs w:val="16"/>
              </w:rPr>
              <w:t>18343</w:t>
            </w:r>
          </w:p>
        </w:tc>
        <w:tc>
          <w:tcPr>
            <w:tcW w:w="1024" w:type="dxa"/>
          </w:tcPr>
          <w:p w14:paraId="7DBBF1E8" w14:textId="77777777" w:rsidR="00ED5D3F" w:rsidRPr="00DA194E" w:rsidRDefault="00ED5D3F" w:rsidP="00720D6B">
            <w:pPr>
              <w:rPr>
                <w:rFonts w:ascii="Arial" w:hAnsi="Arial" w:cs="Arial"/>
                <w:sz w:val="16"/>
                <w:szCs w:val="16"/>
              </w:rPr>
            </w:pPr>
            <w:r w:rsidRPr="00DA194E">
              <w:rPr>
                <w:rFonts w:ascii="Arial" w:hAnsi="Arial" w:cs="Arial"/>
                <w:sz w:val="16"/>
                <w:szCs w:val="16"/>
              </w:rPr>
              <w:t>99%</w:t>
            </w:r>
          </w:p>
        </w:tc>
        <w:tc>
          <w:tcPr>
            <w:tcW w:w="990" w:type="dxa"/>
          </w:tcPr>
          <w:p w14:paraId="2E3C48CB"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59C162CB" w14:textId="77777777" w:rsidR="00ED5D3F" w:rsidRPr="00DA194E" w:rsidRDefault="00ED5D3F" w:rsidP="00720D6B">
            <w:pPr>
              <w:rPr>
                <w:rFonts w:ascii="Arial" w:hAnsi="Arial" w:cs="Arial"/>
                <w:sz w:val="16"/>
                <w:szCs w:val="16"/>
              </w:rPr>
            </w:pPr>
            <w:r w:rsidRPr="00DA194E">
              <w:rPr>
                <w:rFonts w:ascii="Arial" w:hAnsi="Arial" w:cs="Arial"/>
                <w:sz w:val="16"/>
                <w:szCs w:val="16"/>
              </w:rPr>
              <w:t>99.93%</w:t>
            </w:r>
          </w:p>
        </w:tc>
        <w:tc>
          <w:tcPr>
            <w:tcW w:w="1243" w:type="dxa"/>
          </w:tcPr>
          <w:p w14:paraId="6AF7F7C9" w14:textId="77777777" w:rsidR="00ED5D3F" w:rsidRPr="00DA194E" w:rsidRDefault="00ED5D3F" w:rsidP="00720D6B">
            <w:pPr>
              <w:rPr>
                <w:rFonts w:ascii="Arial" w:hAnsi="Arial" w:cs="Arial"/>
                <w:sz w:val="16"/>
                <w:szCs w:val="16"/>
              </w:rPr>
            </w:pPr>
            <w:r w:rsidRPr="00DA194E">
              <w:rPr>
                <w:rFonts w:ascii="Arial" w:hAnsi="Arial" w:cs="Arial"/>
                <w:sz w:val="16"/>
                <w:szCs w:val="16"/>
              </w:rPr>
              <w:t>PQ156575</w:t>
            </w:r>
          </w:p>
        </w:tc>
      </w:tr>
      <w:tr w:rsidR="00DA194E" w:rsidRPr="00DA194E" w14:paraId="0EC27417" w14:textId="77777777" w:rsidTr="00720D6B">
        <w:tc>
          <w:tcPr>
            <w:tcW w:w="1022" w:type="dxa"/>
          </w:tcPr>
          <w:p w14:paraId="34467268" w14:textId="77777777" w:rsidR="00ED5D3F" w:rsidRPr="00DA194E" w:rsidRDefault="00ED5D3F" w:rsidP="00720D6B">
            <w:pPr>
              <w:rPr>
                <w:rFonts w:ascii="Arial" w:hAnsi="Arial" w:cs="Arial"/>
                <w:sz w:val="16"/>
                <w:szCs w:val="16"/>
              </w:rPr>
            </w:pPr>
            <w:r w:rsidRPr="00DA194E">
              <w:rPr>
                <w:rFonts w:ascii="Arial" w:hAnsi="Arial" w:cs="Arial"/>
                <w:sz w:val="16"/>
                <w:szCs w:val="16"/>
              </w:rPr>
              <w:t>C1Sb</w:t>
            </w:r>
          </w:p>
        </w:tc>
        <w:tc>
          <w:tcPr>
            <w:tcW w:w="1964" w:type="dxa"/>
          </w:tcPr>
          <w:p w14:paraId="0D9FDAE6"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intermedia</w:t>
            </w:r>
          </w:p>
        </w:tc>
        <w:tc>
          <w:tcPr>
            <w:tcW w:w="1002" w:type="dxa"/>
          </w:tcPr>
          <w:p w14:paraId="489D583C" w14:textId="77777777" w:rsidR="00ED5D3F" w:rsidRPr="00DA194E" w:rsidRDefault="00ED5D3F" w:rsidP="00720D6B">
            <w:pPr>
              <w:rPr>
                <w:rFonts w:ascii="Arial" w:hAnsi="Arial" w:cs="Arial"/>
                <w:sz w:val="16"/>
                <w:szCs w:val="16"/>
              </w:rPr>
            </w:pPr>
            <w:r w:rsidRPr="00DA194E">
              <w:rPr>
                <w:rFonts w:ascii="Arial" w:hAnsi="Arial" w:cs="Arial"/>
                <w:sz w:val="16"/>
                <w:szCs w:val="16"/>
              </w:rPr>
              <w:t>2652</w:t>
            </w:r>
          </w:p>
        </w:tc>
        <w:tc>
          <w:tcPr>
            <w:tcW w:w="1002" w:type="dxa"/>
          </w:tcPr>
          <w:p w14:paraId="574ED5DB" w14:textId="77777777" w:rsidR="00ED5D3F" w:rsidRPr="00DA194E" w:rsidRDefault="00ED5D3F" w:rsidP="00720D6B">
            <w:pPr>
              <w:rPr>
                <w:rFonts w:ascii="Arial" w:hAnsi="Arial" w:cs="Arial"/>
                <w:sz w:val="16"/>
                <w:szCs w:val="16"/>
              </w:rPr>
            </w:pPr>
            <w:r w:rsidRPr="00DA194E">
              <w:rPr>
                <w:rFonts w:ascii="Arial" w:hAnsi="Arial" w:cs="Arial"/>
                <w:sz w:val="16"/>
                <w:szCs w:val="16"/>
              </w:rPr>
              <w:t>2652</w:t>
            </w:r>
          </w:p>
        </w:tc>
        <w:tc>
          <w:tcPr>
            <w:tcW w:w="1024" w:type="dxa"/>
          </w:tcPr>
          <w:p w14:paraId="066F0728" w14:textId="77777777" w:rsidR="00ED5D3F" w:rsidRPr="00DA194E" w:rsidRDefault="00ED5D3F" w:rsidP="00720D6B">
            <w:pPr>
              <w:rPr>
                <w:rFonts w:ascii="Arial" w:hAnsi="Arial" w:cs="Arial"/>
                <w:sz w:val="16"/>
                <w:szCs w:val="16"/>
              </w:rPr>
            </w:pPr>
            <w:r w:rsidRPr="00DA194E">
              <w:rPr>
                <w:rFonts w:ascii="Arial" w:hAnsi="Arial" w:cs="Arial"/>
                <w:sz w:val="16"/>
                <w:szCs w:val="16"/>
              </w:rPr>
              <w:t>99%</w:t>
            </w:r>
          </w:p>
        </w:tc>
        <w:tc>
          <w:tcPr>
            <w:tcW w:w="990" w:type="dxa"/>
          </w:tcPr>
          <w:p w14:paraId="6C723FC7"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7605A29C" w14:textId="77777777" w:rsidR="00ED5D3F" w:rsidRPr="00DA194E" w:rsidRDefault="00ED5D3F" w:rsidP="00720D6B">
            <w:pPr>
              <w:rPr>
                <w:rFonts w:ascii="Arial" w:hAnsi="Arial" w:cs="Arial"/>
                <w:sz w:val="16"/>
                <w:szCs w:val="16"/>
              </w:rPr>
            </w:pPr>
            <w:r w:rsidRPr="00DA194E">
              <w:rPr>
                <w:rFonts w:ascii="Arial" w:hAnsi="Arial" w:cs="Arial"/>
                <w:sz w:val="16"/>
                <w:szCs w:val="16"/>
              </w:rPr>
              <w:t>99.72%</w:t>
            </w:r>
          </w:p>
        </w:tc>
        <w:tc>
          <w:tcPr>
            <w:tcW w:w="1243" w:type="dxa"/>
          </w:tcPr>
          <w:p w14:paraId="513C3B79" w14:textId="77777777" w:rsidR="00ED5D3F" w:rsidRPr="00DA194E" w:rsidRDefault="00ED5D3F" w:rsidP="00720D6B">
            <w:pPr>
              <w:rPr>
                <w:rFonts w:ascii="Arial" w:hAnsi="Arial" w:cs="Arial"/>
                <w:sz w:val="16"/>
                <w:szCs w:val="16"/>
              </w:rPr>
            </w:pPr>
            <w:r w:rsidRPr="00DA194E">
              <w:rPr>
                <w:rFonts w:ascii="Arial" w:hAnsi="Arial" w:cs="Arial"/>
                <w:sz w:val="16"/>
                <w:szCs w:val="16"/>
              </w:rPr>
              <w:t>PQ156576</w:t>
            </w:r>
          </w:p>
        </w:tc>
      </w:tr>
    </w:tbl>
    <w:p w14:paraId="54EC55BE" w14:textId="77777777" w:rsidR="00ED5D3F" w:rsidRPr="00DA194E" w:rsidRDefault="00ED5D3F" w:rsidP="00ED5D3F">
      <w:pPr>
        <w:jc w:val="both"/>
        <w:rPr>
          <w:rFonts w:ascii="Arial" w:hAnsi="Arial" w:cs="Arial"/>
        </w:rPr>
      </w:pPr>
    </w:p>
    <w:p w14:paraId="09A24D7E" w14:textId="77777777" w:rsidR="00ED5D3F" w:rsidRDefault="00B00064" w:rsidP="007275E2">
      <w:pPr>
        <w:spacing w:before="100" w:beforeAutospacing="1" w:after="100" w:afterAutospacing="1"/>
        <w:jc w:val="both"/>
        <w:rPr>
          <w:rFonts w:ascii="Arial" w:hAnsi="Arial" w:cs="Arial"/>
        </w:rPr>
      </w:pPr>
      <w:r w:rsidRPr="000101FB">
        <w:rPr>
          <w:rFonts w:ascii="Arial" w:hAnsi="Arial" w:cs="Arial"/>
          <w:b/>
        </w:rPr>
        <w:lastRenderedPageBreak/>
        <w:t>Plate 1</w:t>
      </w:r>
      <w:r>
        <w:rPr>
          <w:noProof/>
        </w:rPr>
        <w:drawing>
          <wp:inline distT="0" distB="0" distL="0" distR="0" wp14:anchorId="2372ECB9" wp14:editId="3FBC350A">
            <wp:extent cx="3787140" cy="4511675"/>
            <wp:effectExtent l="0" t="0" r="3810" b="3175"/>
            <wp:docPr id="13" name="Picture 13" descr="C:\Users\HP\OneDrive\Desktop\JO PHD\WhatsApp Image 2025-01-31 at 08.37.47_58dab548.jpg"/>
            <wp:cNvGraphicFramePr/>
            <a:graphic xmlns:a="http://schemas.openxmlformats.org/drawingml/2006/main">
              <a:graphicData uri="http://schemas.openxmlformats.org/drawingml/2006/picture">
                <pic:pic xmlns:pic="http://schemas.openxmlformats.org/drawingml/2006/picture">
                  <pic:nvPicPr>
                    <pic:cNvPr id="13" name="Picture 13" descr="C:\Users\HP\OneDrive\Desktop\JO PHD\WhatsApp Image 2025-01-31 at 08.37.47_58dab548.jpg"/>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87140" cy="4511675"/>
                    </a:xfrm>
                    <a:prstGeom prst="rect">
                      <a:avLst/>
                    </a:prstGeom>
                    <a:noFill/>
                    <a:ln>
                      <a:noFill/>
                    </a:ln>
                  </pic:spPr>
                </pic:pic>
              </a:graphicData>
            </a:graphic>
          </wp:inline>
        </w:drawing>
      </w:r>
    </w:p>
    <w:p w14:paraId="32838ABB" w14:textId="77777777" w:rsidR="006913C1" w:rsidRDefault="00B00064" w:rsidP="007275E2">
      <w:pPr>
        <w:spacing w:before="100" w:beforeAutospacing="1" w:after="100" w:afterAutospacing="1"/>
        <w:jc w:val="both"/>
        <w:rPr>
          <w:rFonts w:ascii="Arial" w:hAnsi="Arial" w:cs="Arial"/>
        </w:rPr>
      </w:pPr>
      <w:r>
        <w:rPr>
          <w:noProof/>
        </w:rPr>
        <w:drawing>
          <wp:inline distT="0" distB="0" distL="0" distR="0" wp14:anchorId="4D65809C" wp14:editId="0C6D4163">
            <wp:extent cx="3114675" cy="1819275"/>
            <wp:effectExtent l="0" t="0" r="9525" b="9525"/>
            <wp:docPr id="3" name="Picture 3" descr="C:\Users\HP\OneDrive\Desktop\JO PHD\WhatsApp Image 2025-01-31 at 09.23.20_fea7cbfc.jpg"/>
            <wp:cNvGraphicFramePr/>
            <a:graphic xmlns:a="http://schemas.openxmlformats.org/drawingml/2006/main">
              <a:graphicData uri="http://schemas.openxmlformats.org/drawingml/2006/picture">
                <pic:pic xmlns:pic="http://schemas.openxmlformats.org/drawingml/2006/picture">
                  <pic:nvPicPr>
                    <pic:cNvPr id="3" name="Picture 3" descr="C:\Users\HP\OneDrive\Desktop\JO PHD\WhatsApp Image 2025-01-31 at 09.23.20_fea7cbfc.jpg"/>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14675" cy="1819275"/>
                    </a:xfrm>
                    <a:prstGeom prst="rect">
                      <a:avLst/>
                    </a:prstGeom>
                    <a:noFill/>
                    <a:ln>
                      <a:noFill/>
                    </a:ln>
                  </pic:spPr>
                </pic:pic>
              </a:graphicData>
            </a:graphic>
          </wp:inline>
        </w:drawing>
      </w:r>
    </w:p>
    <w:p w14:paraId="7B6DE4FF" w14:textId="77777777" w:rsidR="00B00064" w:rsidRPr="000101FB" w:rsidRDefault="00B00064" w:rsidP="007275E2">
      <w:pPr>
        <w:spacing w:before="100" w:beforeAutospacing="1" w:after="100" w:afterAutospacing="1"/>
        <w:jc w:val="both"/>
        <w:rPr>
          <w:rFonts w:ascii="Arial" w:hAnsi="Arial" w:cs="Arial"/>
          <w:b/>
        </w:rPr>
      </w:pPr>
      <w:r w:rsidRPr="000101FB">
        <w:rPr>
          <w:rFonts w:ascii="Arial" w:hAnsi="Arial" w:cs="Arial"/>
          <w:b/>
        </w:rPr>
        <w:t>Plate 2</w:t>
      </w:r>
    </w:p>
    <w:p w14:paraId="41F70C43" w14:textId="77777777" w:rsidR="00B00064" w:rsidRDefault="00B00064" w:rsidP="00441B6F">
      <w:pPr>
        <w:pStyle w:val="ConcHead"/>
        <w:spacing w:after="0"/>
        <w:jc w:val="both"/>
        <w:rPr>
          <w:rFonts w:ascii="Arial" w:hAnsi="Arial" w:cs="Arial"/>
        </w:rPr>
      </w:pPr>
      <w:r>
        <w:rPr>
          <w:noProof/>
        </w:rPr>
        <w:lastRenderedPageBreak/>
        <w:drawing>
          <wp:inline distT="0" distB="0" distL="0" distR="0" wp14:anchorId="09635497" wp14:editId="16341D5F">
            <wp:extent cx="5105400" cy="3476625"/>
            <wp:effectExtent l="0" t="0" r="0" b="9525"/>
            <wp:docPr id="4" name="Picture 4" descr="C:\Users\HP\OneDrive\Desktop\JO PHD\WhatsApp Image 2025-01-31 at 09.26.00_5992cb7d.jpg"/>
            <wp:cNvGraphicFramePr/>
            <a:graphic xmlns:a="http://schemas.openxmlformats.org/drawingml/2006/main">
              <a:graphicData uri="http://schemas.openxmlformats.org/drawingml/2006/picture">
                <pic:pic xmlns:pic="http://schemas.openxmlformats.org/drawingml/2006/picture">
                  <pic:nvPicPr>
                    <pic:cNvPr id="4" name="Picture 4" descr="C:\Users\HP\OneDrive\Desktop\JO PHD\WhatsApp Image 2025-01-31 at 09.26.00_5992cb7d.jpg"/>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476625"/>
                    </a:xfrm>
                    <a:prstGeom prst="rect">
                      <a:avLst/>
                    </a:prstGeom>
                    <a:noFill/>
                    <a:ln>
                      <a:noFill/>
                    </a:ln>
                  </pic:spPr>
                </pic:pic>
              </a:graphicData>
            </a:graphic>
          </wp:inline>
        </w:drawing>
      </w:r>
    </w:p>
    <w:p w14:paraId="3D9E4978" w14:textId="77777777" w:rsidR="00B00064" w:rsidRPr="000101FB" w:rsidRDefault="00B00064" w:rsidP="00441B6F">
      <w:pPr>
        <w:pStyle w:val="ConcHead"/>
        <w:spacing w:after="0"/>
        <w:jc w:val="both"/>
        <w:rPr>
          <w:rFonts w:ascii="Arial" w:hAnsi="Arial" w:cs="Arial"/>
          <w:sz w:val="20"/>
        </w:rPr>
      </w:pPr>
      <w:r w:rsidRPr="000101FB">
        <w:rPr>
          <w:rFonts w:ascii="Arial" w:hAnsi="Arial" w:cs="Arial"/>
          <w:sz w:val="20"/>
        </w:rPr>
        <w:t>Plate 3</w:t>
      </w:r>
    </w:p>
    <w:p w14:paraId="7C756658" w14:textId="77777777" w:rsidR="00B00064" w:rsidRPr="000101FB" w:rsidRDefault="00B00064" w:rsidP="00441B6F">
      <w:pPr>
        <w:pStyle w:val="ConcHead"/>
        <w:spacing w:after="0"/>
        <w:jc w:val="both"/>
        <w:rPr>
          <w:rFonts w:ascii="Arial" w:hAnsi="Arial" w:cs="Arial"/>
          <w:sz w:val="20"/>
        </w:rPr>
      </w:pPr>
      <w:r w:rsidRPr="000101FB">
        <w:rPr>
          <w:rFonts w:ascii="Arial" w:hAnsi="Arial" w:cs="Arial"/>
          <w:sz w:val="20"/>
        </w:rPr>
        <w:t>Plate 1-3: Agarose gel showing the positive amplification of the 16s RNA regions amplified from the selected Yersinia isolates at approximately 1500bp</w:t>
      </w:r>
    </w:p>
    <w:p w14:paraId="3EE4316F" w14:textId="77777777" w:rsidR="004A4673" w:rsidRDefault="004A4673" w:rsidP="00441B6F">
      <w:pPr>
        <w:pStyle w:val="ConcHead"/>
        <w:spacing w:after="0"/>
        <w:jc w:val="both"/>
        <w:rPr>
          <w:rFonts w:ascii="Arial" w:hAnsi="Arial" w:cs="Arial"/>
        </w:rPr>
      </w:pPr>
    </w:p>
    <w:p w14:paraId="534945B7" w14:textId="77777777" w:rsidR="00B00064" w:rsidRDefault="002E22C4" w:rsidP="00441B6F">
      <w:pPr>
        <w:pStyle w:val="ConcHead"/>
        <w:spacing w:after="0"/>
        <w:jc w:val="both"/>
        <w:rPr>
          <w:rFonts w:ascii="Arial" w:hAnsi="Arial" w:cs="Arial"/>
        </w:rPr>
      </w:pPr>
      <w:r w:rsidRPr="00F44E19">
        <w:rPr>
          <w:rFonts w:ascii="Arial" w:hAnsi="Arial" w:cs="Arial"/>
          <w:sz w:val="20"/>
        </w:rPr>
        <w:t>Figure 1</w:t>
      </w:r>
      <w:r>
        <w:rPr>
          <w:noProof/>
        </w:rPr>
        <w:drawing>
          <wp:inline distT="0" distB="0" distL="0" distR="0" wp14:anchorId="48131C3F" wp14:editId="202F8005">
            <wp:extent cx="3378835" cy="352425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7">
                      <a:extLst>
                        <a:ext uri="{28A0092B-C50C-407E-A947-70E740481C1C}">
                          <a14:useLocalDpi xmlns:a14="http://schemas.microsoft.com/office/drawing/2010/main" val="0"/>
                        </a:ext>
                      </a:extLst>
                    </a:blip>
                    <a:srcRect/>
                    <a:stretch>
                      <a:fillRect/>
                    </a:stretch>
                  </pic:blipFill>
                  <pic:spPr>
                    <a:xfrm>
                      <a:off x="0" y="0"/>
                      <a:ext cx="3378835" cy="3524250"/>
                    </a:xfrm>
                    <a:prstGeom prst="rect">
                      <a:avLst/>
                    </a:prstGeom>
                    <a:noFill/>
                    <a:ln>
                      <a:noFill/>
                    </a:ln>
                  </pic:spPr>
                </pic:pic>
              </a:graphicData>
            </a:graphic>
          </wp:inline>
        </w:drawing>
      </w:r>
    </w:p>
    <w:p w14:paraId="3D0467E1" w14:textId="77777777" w:rsidR="002E22C4" w:rsidRDefault="002E22C4" w:rsidP="00441B6F">
      <w:pPr>
        <w:pStyle w:val="ConcHead"/>
        <w:spacing w:after="0"/>
        <w:jc w:val="both"/>
        <w:rPr>
          <w:rFonts w:ascii="Arial" w:hAnsi="Arial" w:cs="Arial"/>
        </w:rPr>
      </w:pPr>
      <w:r>
        <w:rPr>
          <w:noProof/>
        </w:rPr>
        <w:lastRenderedPageBreak/>
        <w:drawing>
          <wp:inline distT="0" distB="0" distL="0" distR="0" wp14:anchorId="6F683094" wp14:editId="0B1C94D5">
            <wp:extent cx="4343148" cy="6912864"/>
            <wp:effectExtent l="0" t="0" r="635" b="0"/>
            <wp:docPr id="6" name="Picture 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43400" cy="6913266"/>
                    </a:xfrm>
                    <a:prstGeom prst="rect">
                      <a:avLst/>
                    </a:prstGeom>
                    <a:noFill/>
                    <a:ln>
                      <a:noFill/>
                    </a:ln>
                  </pic:spPr>
                </pic:pic>
              </a:graphicData>
            </a:graphic>
          </wp:inline>
        </w:drawing>
      </w:r>
    </w:p>
    <w:p w14:paraId="6D11F9E1" w14:textId="77777777" w:rsidR="002E22C4" w:rsidRDefault="002E22C4" w:rsidP="00441B6F">
      <w:pPr>
        <w:pStyle w:val="ConcHead"/>
        <w:spacing w:after="0"/>
        <w:jc w:val="both"/>
        <w:rPr>
          <w:rFonts w:ascii="Arial" w:hAnsi="Arial" w:cs="Arial"/>
        </w:rPr>
      </w:pPr>
    </w:p>
    <w:p w14:paraId="65AC1017" w14:textId="77777777" w:rsidR="002E22C4" w:rsidRPr="00F44E19" w:rsidRDefault="002E22C4" w:rsidP="00441B6F">
      <w:pPr>
        <w:pStyle w:val="ConcHead"/>
        <w:spacing w:after="0"/>
        <w:jc w:val="both"/>
        <w:rPr>
          <w:rFonts w:ascii="Arial" w:hAnsi="Arial" w:cs="Arial"/>
          <w:sz w:val="20"/>
        </w:rPr>
      </w:pPr>
      <w:r w:rsidRPr="00F44E19">
        <w:rPr>
          <w:rFonts w:ascii="Arial" w:hAnsi="Arial" w:cs="Arial"/>
          <w:sz w:val="20"/>
        </w:rPr>
        <w:t>Figure 2</w:t>
      </w:r>
    </w:p>
    <w:p w14:paraId="14F23D2A" w14:textId="77777777" w:rsidR="002E22C4" w:rsidRDefault="002E22C4" w:rsidP="00441B6F">
      <w:pPr>
        <w:pStyle w:val="ConcHead"/>
        <w:spacing w:after="0"/>
        <w:jc w:val="both"/>
        <w:rPr>
          <w:rFonts w:ascii="Arial" w:hAnsi="Arial" w:cs="Arial"/>
        </w:rPr>
      </w:pPr>
    </w:p>
    <w:p w14:paraId="2C2142EF" w14:textId="77777777" w:rsidR="002E22C4" w:rsidRDefault="002E22C4" w:rsidP="00441B6F">
      <w:pPr>
        <w:pStyle w:val="ConcHead"/>
        <w:spacing w:after="0"/>
        <w:jc w:val="both"/>
        <w:rPr>
          <w:rFonts w:ascii="Arial" w:hAnsi="Arial" w:cs="Arial"/>
        </w:rPr>
      </w:pPr>
    </w:p>
    <w:p w14:paraId="13119A07" w14:textId="77777777" w:rsidR="002E22C4" w:rsidRDefault="002E22C4" w:rsidP="00441B6F">
      <w:pPr>
        <w:pStyle w:val="ConcHead"/>
        <w:spacing w:after="0"/>
        <w:jc w:val="both"/>
        <w:rPr>
          <w:rFonts w:ascii="Arial" w:hAnsi="Arial" w:cs="Arial"/>
        </w:rPr>
      </w:pPr>
    </w:p>
    <w:p w14:paraId="254EB1CC" w14:textId="77777777" w:rsidR="002E22C4" w:rsidRDefault="002E22C4" w:rsidP="00441B6F">
      <w:pPr>
        <w:pStyle w:val="ConcHead"/>
        <w:spacing w:after="0"/>
        <w:jc w:val="both"/>
        <w:rPr>
          <w:rFonts w:ascii="Arial" w:hAnsi="Arial" w:cs="Arial"/>
        </w:rPr>
      </w:pPr>
      <w:r>
        <w:rPr>
          <w:noProof/>
        </w:rPr>
        <w:lastRenderedPageBreak/>
        <w:drawing>
          <wp:inline distT="0" distB="0" distL="0" distR="0" wp14:anchorId="469E628B" wp14:editId="7274D8B7">
            <wp:extent cx="5212080" cy="4371260"/>
            <wp:effectExtent l="0" t="0" r="762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12080" cy="4371260"/>
                    </a:xfrm>
                    <a:prstGeom prst="rect">
                      <a:avLst/>
                    </a:prstGeom>
                    <a:noFill/>
                    <a:ln>
                      <a:noFill/>
                    </a:ln>
                  </pic:spPr>
                </pic:pic>
              </a:graphicData>
            </a:graphic>
          </wp:inline>
        </w:drawing>
      </w:r>
    </w:p>
    <w:p w14:paraId="57079BE0" w14:textId="77777777" w:rsidR="002E22C4" w:rsidRPr="00F44E19" w:rsidRDefault="002E22C4" w:rsidP="00441B6F">
      <w:pPr>
        <w:pStyle w:val="ConcHead"/>
        <w:spacing w:after="0"/>
        <w:jc w:val="both"/>
        <w:rPr>
          <w:rFonts w:ascii="Arial" w:hAnsi="Arial" w:cs="Arial"/>
          <w:sz w:val="20"/>
        </w:rPr>
      </w:pPr>
      <w:r w:rsidRPr="00F44E19">
        <w:rPr>
          <w:rFonts w:ascii="Arial" w:hAnsi="Arial" w:cs="Arial"/>
          <w:sz w:val="20"/>
        </w:rPr>
        <w:t>Figure 3</w:t>
      </w:r>
    </w:p>
    <w:p w14:paraId="59F3C620" w14:textId="77777777" w:rsidR="002E22C4" w:rsidRPr="00F44E19" w:rsidRDefault="002E22C4" w:rsidP="00441B6F">
      <w:pPr>
        <w:pStyle w:val="ConcHead"/>
        <w:spacing w:after="0"/>
        <w:jc w:val="both"/>
        <w:rPr>
          <w:rFonts w:ascii="Arial" w:hAnsi="Arial" w:cs="Arial"/>
          <w:sz w:val="20"/>
        </w:rPr>
      </w:pPr>
      <w:r w:rsidRPr="00F44E19">
        <w:rPr>
          <w:rFonts w:ascii="Arial" w:hAnsi="Arial" w:cs="Arial"/>
          <w:sz w:val="20"/>
        </w:rPr>
        <w:t>Figure 1-3: Phylogenetic relationships among Yersinia species based on a compar</w:t>
      </w:r>
      <w:r w:rsidR="00F44E19" w:rsidRPr="00F44E19">
        <w:rPr>
          <w:rFonts w:ascii="Arial" w:hAnsi="Arial" w:cs="Arial"/>
          <w:sz w:val="20"/>
        </w:rPr>
        <w:t>ison of 1500bp 16S r</w:t>
      </w:r>
      <w:r w:rsidRPr="00F44E19">
        <w:rPr>
          <w:rFonts w:ascii="Arial" w:hAnsi="Arial" w:cs="Arial"/>
          <w:sz w:val="20"/>
        </w:rPr>
        <w:t>NA sequence</w:t>
      </w:r>
    </w:p>
    <w:p w14:paraId="7804AD16" w14:textId="77777777" w:rsidR="002E22C4" w:rsidRPr="00F44E19" w:rsidRDefault="002E22C4" w:rsidP="00441B6F">
      <w:pPr>
        <w:pStyle w:val="ConcHead"/>
        <w:spacing w:after="0"/>
        <w:jc w:val="both"/>
        <w:rPr>
          <w:rFonts w:ascii="Arial" w:hAnsi="Arial" w:cs="Arial"/>
          <w:sz w:val="20"/>
        </w:rPr>
      </w:pPr>
    </w:p>
    <w:p w14:paraId="667121AC" w14:textId="77777777" w:rsidR="002E22C4" w:rsidRDefault="002E22C4" w:rsidP="00441B6F">
      <w:pPr>
        <w:pStyle w:val="ConcHead"/>
        <w:spacing w:after="0"/>
        <w:jc w:val="both"/>
        <w:rPr>
          <w:rFonts w:ascii="Arial" w:hAnsi="Arial" w:cs="Arial"/>
        </w:rPr>
      </w:pPr>
    </w:p>
    <w:p w14:paraId="1D25A6EB"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48813A45" w14:textId="77777777" w:rsidR="00AF0401" w:rsidRDefault="00AF0401" w:rsidP="00441B6F">
      <w:pPr>
        <w:pStyle w:val="ConcHead"/>
        <w:spacing w:after="0"/>
        <w:jc w:val="both"/>
        <w:rPr>
          <w:rFonts w:ascii="Arial" w:hAnsi="Arial" w:cs="Arial"/>
        </w:rPr>
      </w:pPr>
    </w:p>
    <w:p w14:paraId="20A54C0D" w14:textId="77777777" w:rsidR="00AF0401" w:rsidRPr="00AF0401" w:rsidRDefault="00AF0401" w:rsidP="00AF0401">
      <w:pPr>
        <w:pStyle w:val="ConcHead"/>
        <w:jc w:val="both"/>
        <w:rPr>
          <w:rFonts w:ascii="Arial" w:hAnsi="Arial" w:cs="Arial"/>
          <w:b w:val="0"/>
          <w:sz w:val="20"/>
        </w:rPr>
      </w:pPr>
      <w:r w:rsidRPr="00AF0401">
        <w:rPr>
          <w:rFonts w:ascii="Arial" w:hAnsi="Arial" w:cs="Arial"/>
          <w:b w:val="0"/>
          <w:caps w:val="0"/>
          <w:sz w:val="20"/>
        </w:rPr>
        <w:t>The findings of this study demonstrate that pigs, particularly grower and finisher pigs, serve</w:t>
      </w:r>
      <w:r w:rsidR="009B6464">
        <w:rPr>
          <w:rFonts w:ascii="Arial" w:hAnsi="Arial" w:cs="Arial"/>
          <w:b w:val="0"/>
          <w:caps w:val="0"/>
          <w:sz w:val="20"/>
        </w:rPr>
        <w:t xml:space="preserve"> as the principal reservoir of </w:t>
      </w:r>
      <w:r w:rsidR="009B6464" w:rsidRPr="009B6464">
        <w:rPr>
          <w:rFonts w:ascii="Arial" w:hAnsi="Arial" w:cs="Arial"/>
          <w:b w:val="0"/>
          <w:i/>
          <w:caps w:val="0"/>
          <w:sz w:val="20"/>
        </w:rPr>
        <w:t>Y</w:t>
      </w:r>
      <w:r w:rsidRPr="009B6464">
        <w:rPr>
          <w:rFonts w:ascii="Arial" w:hAnsi="Arial" w:cs="Arial"/>
          <w:b w:val="0"/>
          <w:i/>
          <w:caps w:val="0"/>
          <w:sz w:val="20"/>
        </w:rPr>
        <w:t>ersinia</w:t>
      </w:r>
      <w:r w:rsidRPr="00AF0401">
        <w:rPr>
          <w:rFonts w:ascii="Arial" w:hAnsi="Arial" w:cs="Arial"/>
          <w:b w:val="0"/>
          <w:caps w:val="0"/>
          <w:sz w:val="20"/>
        </w:rPr>
        <w:t xml:space="preserve"> species and other enteric bacteria of veterinary and public health i</w:t>
      </w:r>
      <w:r w:rsidR="009B6464">
        <w:rPr>
          <w:rFonts w:ascii="Arial" w:hAnsi="Arial" w:cs="Arial"/>
          <w:b w:val="0"/>
          <w:caps w:val="0"/>
          <w:sz w:val="20"/>
        </w:rPr>
        <w:t xml:space="preserve">mportance. The predominance of </w:t>
      </w:r>
      <w:r w:rsidR="009B6464" w:rsidRPr="009B6464">
        <w:rPr>
          <w:rFonts w:ascii="Arial" w:hAnsi="Arial" w:cs="Arial"/>
          <w:b w:val="0"/>
          <w:i/>
          <w:caps w:val="0"/>
          <w:sz w:val="20"/>
        </w:rPr>
        <w:t>Y</w:t>
      </w:r>
      <w:r w:rsidRPr="009B6464">
        <w:rPr>
          <w:rFonts w:ascii="Arial" w:hAnsi="Arial" w:cs="Arial"/>
          <w:b w:val="0"/>
          <w:i/>
          <w:caps w:val="0"/>
          <w:sz w:val="20"/>
        </w:rPr>
        <w:t>ersinia enterocolitica</w:t>
      </w:r>
      <w:r w:rsidR="009B6464">
        <w:rPr>
          <w:rFonts w:ascii="Arial" w:hAnsi="Arial" w:cs="Arial"/>
          <w:b w:val="0"/>
          <w:caps w:val="0"/>
          <w:sz w:val="20"/>
        </w:rPr>
        <w:t xml:space="preserve"> and the detection of </w:t>
      </w:r>
      <w:r w:rsidR="009B6464" w:rsidRPr="009B6464">
        <w:rPr>
          <w:rFonts w:ascii="Arial" w:hAnsi="Arial" w:cs="Arial"/>
          <w:b w:val="0"/>
          <w:i/>
          <w:caps w:val="0"/>
          <w:sz w:val="20"/>
        </w:rPr>
        <w:t>Y</w:t>
      </w:r>
      <w:r w:rsidRPr="009B6464">
        <w:rPr>
          <w:rFonts w:ascii="Arial" w:hAnsi="Arial" w:cs="Arial"/>
          <w:b w:val="0"/>
          <w:i/>
          <w:caps w:val="0"/>
          <w:sz w:val="20"/>
        </w:rPr>
        <w:t>ersinia pseudotuberculosis</w:t>
      </w:r>
      <w:r w:rsidRPr="00AF0401">
        <w:rPr>
          <w:rFonts w:ascii="Arial" w:hAnsi="Arial" w:cs="Arial"/>
          <w:b w:val="0"/>
          <w:caps w:val="0"/>
          <w:sz w:val="20"/>
        </w:rPr>
        <w:t xml:space="preserve"> underscore the significant role of swine in the epidemiology and transmission of yersiniosis, while the</w:t>
      </w:r>
      <w:r w:rsidR="009B6464">
        <w:rPr>
          <w:rFonts w:ascii="Arial" w:hAnsi="Arial" w:cs="Arial"/>
          <w:b w:val="0"/>
          <w:caps w:val="0"/>
          <w:sz w:val="20"/>
        </w:rPr>
        <w:t xml:space="preserve"> comparatively low recovery of </w:t>
      </w:r>
      <w:r w:rsidR="009B6464" w:rsidRPr="009B6464">
        <w:rPr>
          <w:rFonts w:ascii="Arial" w:hAnsi="Arial" w:cs="Arial"/>
          <w:b w:val="0"/>
          <w:i/>
          <w:caps w:val="0"/>
          <w:sz w:val="20"/>
        </w:rPr>
        <w:t>Y</w:t>
      </w:r>
      <w:r w:rsidRPr="009B6464">
        <w:rPr>
          <w:rFonts w:ascii="Arial" w:hAnsi="Arial" w:cs="Arial"/>
          <w:b w:val="0"/>
          <w:i/>
          <w:caps w:val="0"/>
          <w:sz w:val="20"/>
        </w:rPr>
        <w:t>ersinia</w:t>
      </w:r>
      <w:r w:rsidRPr="00AF0401">
        <w:rPr>
          <w:rFonts w:ascii="Arial" w:hAnsi="Arial" w:cs="Arial"/>
          <w:b w:val="0"/>
          <w:caps w:val="0"/>
          <w:sz w:val="20"/>
        </w:rPr>
        <w:t xml:space="preserve"> species from cattle further supports the established view that pigs are th</w:t>
      </w:r>
      <w:r w:rsidR="009B6464">
        <w:rPr>
          <w:rFonts w:ascii="Arial" w:hAnsi="Arial" w:cs="Arial"/>
          <w:b w:val="0"/>
          <w:caps w:val="0"/>
          <w:sz w:val="20"/>
        </w:rPr>
        <w:t xml:space="preserve">e primary source of pathogenic </w:t>
      </w:r>
      <w:r w:rsidR="009B6464" w:rsidRPr="009B6464">
        <w:rPr>
          <w:rFonts w:ascii="Arial" w:hAnsi="Arial" w:cs="Arial"/>
          <w:b w:val="0"/>
          <w:i/>
          <w:caps w:val="0"/>
          <w:sz w:val="20"/>
        </w:rPr>
        <w:t>Y</w:t>
      </w:r>
      <w:r w:rsidRPr="009B6464">
        <w:rPr>
          <w:rFonts w:ascii="Arial" w:hAnsi="Arial" w:cs="Arial"/>
          <w:b w:val="0"/>
          <w:i/>
          <w:caps w:val="0"/>
          <w:sz w:val="20"/>
        </w:rPr>
        <w:t>ersinia</w:t>
      </w:r>
      <w:r w:rsidRPr="00AF0401">
        <w:rPr>
          <w:rFonts w:ascii="Arial" w:hAnsi="Arial" w:cs="Arial"/>
          <w:b w:val="0"/>
          <w:caps w:val="0"/>
          <w:sz w:val="20"/>
        </w:rPr>
        <w:t xml:space="preserve"> in livestock production systems. Molecular characterization confirmed the presence of genetically rela</w:t>
      </w:r>
      <w:r w:rsidR="009B6464">
        <w:rPr>
          <w:rFonts w:ascii="Arial" w:hAnsi="Arial" w:cs="Arial"/>
          <w:b w:val="0"/>
          <w:caps w:val="0"/>
          <w:sz w:val="20"/>
        </w:rPr>
        <w:t xml:space="preserve">ted yet potentially pathogenic </w:t>
      </w:r>
      <w:r w:rsidR="009B6464" w:rsidRPr="009B6464">
        <w:rPr>
          <w:rFonts w:ascii="Arial" w:hAnsi="Arial" w:cs="Arial"/>
          <w:b w:val="0"/>
          <w:i/>
          <w:caps w:val="0"/>
          <w:sz w:val="20"/>
        </w:rPr>
        <w:t>Y</w:t>
      </w:r>
      <w:r w:rsidRPr="009B6464">
        <w:rPr>
          <w:rFonts w:ascii="Arial" w:hAnsi="Arial" w:cs="Arial"/>
          <w:b w:val="0"/>
          <w:i/>
          <w:caps w:val="0"/>
          <w:sz w:val="20"/>
        </w:rPr>
        <w:t>ersinia</w:t>
      </w:r>
      <w:r w:rsidRPr="00AF0401">
        <w:rPr>
          <w:rFonts w:ascii="Arial" w:hAnsi="Arial" w:cs="Arial"/>
          <w:b w:val="0"/>
          <w:caps w:val="0"/>
          <w:sz w:val="20"/>
        </w:rPr>
        <w:t xml:space="preserve"> strains within the examined animal populations, highlighting their relevance to food safety and zoonotic disease transmission.</w:t>
      </w:r>
    </w:p>
    <w:p w14:paraId="0063402E" w14:textId="77777777" w:rsidR="00AF0401" w:rsidRPr="00AF0401" w:rsidRDefault="00AF0401" w:rsidP="00AF0401">
      <w:pPr>
        <w:pStyle w:val="ConcHead"/>
        <w:jc w:val="both"/>
        <w:rPr>
          <w:rFonts w:ascii="Arial" w:hAnsi="Arial" w:cs="Arial"/>
          <w:b w:val="0"/>
          <w:sz w:val="20"/>
        </w:rPr>
      </w:pPr>
      <w:r w:rsidRPr="00AF0401">
        <w:rPr>
          <w:rFonts w:ascii="Arial" w:hAnsi="Arial" w:cs="Arial"/>
          <w:b w:val="0"/>
          <w:caps w:val="0"/>
          <w:sz w:val="20"/>
        </w:rPr>
        <w:t>F</w:t>
      </w:r>
      <w:r w:rsidR="009B6464">
        <w:rPr>
          <w:rFonts w:ascii="Arial" w:hAnsi="Arial" w:cs="Arial"/>
          <w:b w:val="0"/>
          <w:caps w:val="0"/>
          <w:sz w:val="20"/>
        </w:rPr>
        <w:t xml:space="preserve">urthermore, the coexistence of </w:t>
      </w:r>
      <w:r w:rsidR="009B6464" w:rsidRPr="009B6464">
        <w:rPr>
          <w:rFonts w:ascii="Arial" w:hAnsi="Arial" w:cs="Arial"/>
          <w:b w:val="0"/>
          <w:i/>
          <w:caps w:val="0"/>
          <w:sz w:val="20"/>
        </w:rPr>
        <w:t>Y</w:t>
      </w:r>
      <w:r w:rsidRPr="009B6464">
        <w:rPr>
          <w:rFonts w:ascii="Arial" w:hAnsi="Arial" w:cs="Arial"/>
          <w:b w:val="0"/>
          <w:i/>
          <w:caps w:val="0"/>
          <w:sz w:val="20"/>
        </w:rPr>
        <w:t>ersinia</w:t>
      </w:r>
      <w:r w:rsidRPr="00AF0401">
        <w:rPr>
          <w:rFonts w:ascii="Arial" w:hAnsi="Arial" w:cs="Arial"/>
          <w:b w:val="0"/>
          <w:caps w:val="0"/>
          <w:sz w:val="20"/>
        </w:rPr>
        <w:t xml:space="preserve"> species with numerous opportunistic and potenti</w:t>
      </w:r>
      <w:r w:rsidR="009B6464">
        <w:rPr>
          <w:rFonts w:ascii="Arial" w:hAnsi="Arial" w:cs="Arial"/>
          <w:b w:val="0"/>
          <w:caps w:val="0"/>
          <w:sz w:val="20"/>
        </w:rPr>
        <w:t>ally pathogenic members of the E</w:t>
      </w:r>
      <w:r w:rsidRPr="00AF0401">
        <w:rPr>
          <w:rFonts w:ascii="Arial" w:hAnsi="Arial" w:cs="Arial"/>
          <w:b w:val="0"/>
          <w:caps w:val="0"/>
          <w:sz w:val="20"/>
        </w:rPr>
        <w:t xml:space="preserve">nterobacteriaceae within the gastrointestinal tract raises concerns regarding environmental contamination, contamination of animal-derived food products, and the dissemination of antimicrobial resistance determinants. These findings emphasize the importance of integrating molecular diagnostic approaches into </w:t>
      </w:r>
      <w:r w:rsidRPr="00AF0401">
        <w:rPr>
          <w:rFonts w:ascii="Arial" w:hAnsi="Arial" w:cs="Arial"/>
          <w:b w:val="0"/>
          <w:caps w:val="0"/>
          <w:sz w:val="20"/>
        </w:rPr>
        <w:lastRenderedPageBreak/>
        <w:t>routine veterinary and food safety surveillance programs to improve pathogen detection, characterization, and epidemiological tracking.</w:t>
      </w:r>
    </w:p>
    <w:p w14:paraId="7AA1D3B0" w14:textId="77777777" w:rsidR="00AF0401" w:rsidRPr="00AF0401" w:rsidRDefault="00AF0401" w:rsidP="00AF0401">
      <w:pPr>
        <w:pStyle w:val="ConcHead"/>
        <w:spacing w:after="0"/>
        <w:jc w:val="both"/>
        <w:rPr>
          <w:rFonts w:ascii="Arial" w:hAnsi="Arial" w:cs="Arial"/>
          <w:b w:val="0"/>
          <w:sz w:val="20"/>
        </w:rPr>
      </w:pPr>
      <w:r w:rsidRPr="00AF0401">
        <w:rPr>
          <w:rFonts w:ascii="Arial" w:hAnsi="Arial" w:cs="Arial"/>
          <w:b w:val="0"/>
          <w:caps w:val="0"/>
          <w:sz w:val="20"/>
        </w:rPr>
        <w:t>Collectively, the results highlight the need for strengthened farm hygiene practices, enhanced biosecurity measures, continuous monitoring of antimicrobial resistance, and regular surveillance of livestock-associated bacterial pathogens. Such interventions are essential for reducing the burden of yersiniosis, limiting zoonotic transmission, and safeguarding both animal and public health.</w:t>
      </w:r>
    </w:p>
    <w:p w14:paraId="2D4302DF" w14:textId="77777777" w:rsidR="00AF0401" w:rsidRPr="00AF0401" w:rsidRDefault="00AF0401" w:rsidP="00441B6F">
      <w:pPr>
        <w:pStyle w:val="ConcHead"/>
        <w:spacing w:after="0"/>
        <w:jc w:val="both"/>
        <w:rPr>
          <w:rFonts w:ascii="Arial" w:hAnsi="Arial" w:cs="Arial"/>
          <w:b w:val="0"/>
          <w:sz w:val="20"/>
        </w:rPr>
      </w:pPr>
    </w:p>
    <w:p w14:paraId="218E0EC1" w14:textId="77777777" w:rsidR="00860000" w:rsidRDefault="00860000" w:rsidP="00441B6F">
      <w:pPr>
        <w:pStyle w:val="ReferHead"/>
        <w:spacing w:after="0"/>
        <w:jc w:val="both"/>
        <w:rPr>
          <w:rFonts w:ascii="Arial" w:hAnsi="Arial" w:cs="Arial"/>
          <w:bCs/>
        </w:rPr>
      </w:pPr>
      <w:r w:rsidRPr="00786D36">
        <w:rPr>
          <w:rFonts w:ascii="Arial" w:hAnsi="Arial" w:cs="Arial"/>
          <w:bCs/>
        </w:rPr>
        <w:t>Competing interests</w:t>
      </w:r>
    </w:p>
    <w:p w14:paraId="61D8D1FC" w14:textId="77777777" w:rsidR="00522BB8" w:rsidRDefault="00522BB8" w:rsidP="009B6464">
      <w:pPr>
        <w:pStyle w:val="ReferHead"/>
        <w:spacing w:after="0"/>
        <w:jc w:val="both"/>
        <w:rPr>
          <w:rFonts w:ascii="Arial" w:hAnsi="Arial" w:cs="Arial"/>
          <w:bCs/>
        </w:rPr>
      </w:pPr>
    </w:p>
    <w:p w14:paraId="55FCA283" w14:textId="77777777" w:rsidR="009B6464" w:rsidRDefault="009B6464" w:rsidP="009B6464">
      <w:pPr>
        <w:pStyle w:val="ReferHead"/>
        <w:spacing w:after="0"/>
        <w:jc w:val="both"/>
        <w:rPr>
          <w:rFonts w:ascii="Arial" w:hAnsi="Arial" w:cs="Arial"/>
          <w:b w:val="0"/>
          <w:caps w:val="0"/>
          <w:sz w:val="20"/>
        </w:rPr>
      </w:pPr>
      <w:r w:rsidRPr="009B6464">
        <w:rPr>
          <w:rFonts w:ascii="Arial" w:hAnsi="Arial" w:cs="Arial"/>
          <w:b w:val="0"/>
          <w:caps w:val="0"/>
          <w:sz w:val="20"/>
        </w:rPr>
        <w:t>Authors have declared that no competing interests exist</w:t>
      </w:r>
      <w:r w:rsidR="007B2CA3">
        <w:rPr>
          <w:rFonts w:ascii="Arial" w:hAnsi="Arial" w:cs="Arial"/>
          <w:b w:val="0"/>
          <w:caps w:val="0"/>
          <w:sz w:val="20"/>
        </w:rPr>
        <w:t>.</w:t>
      </w:r>
    </w:p>
    <w:p w14:paraId="57F35FFE" w14:textId="77777777" w:rsidR="00860000" w:rsidRDefault="00860000" w:rsidP="009B6464">
      <w:pPr>
        <w:pStyle w:val="ReferHead"/>
        <w:spacing w:after="0"/>
        <w:jc w:val="both"/>
        <w:rPr>
          <w:rFonts w:ascii="Arial" w:hAnsi="Arial" w:cs="Arial"/>
          <w:b w:val="0"/>
          <w:caps w:val="0"/>
          <w:sz w:val="20"/>
        </w:rPr>
      </w:pPr>
    </w:p>
    <w:p w14:paraId="079F2190" w14:textId="77777777" w:rsidR="00B221A6" w:rsidRDefault="00B221A6" w:rsidP="00EC1D16">
      <w:pPr>
        <w:jc w:val="both"/>
        <w:outlineLvl w:val="0"/>
        <w:rPr>
          <w:rFonts w:ascii="Arial" w:hAnsi="Arial" w:cs="Arial"/>
          <w:b/>
          <w:bCs/>
        </w:rPr>
      </w:pPr>
    </w:p>
    <w:p w14:paraId="7C998319" w14:textId="5AEE6B81" w:rsidR="00EC1D16" w:rsidRPr="003A29C6" w:rsidRDefault="00EC1D16" w:rsidP="00EC1D16">
      <w:pPr>
        <w:jc w:val="both"/>
        <w:outlineLvl w:val="0"/>
        <w:rPr>
          <w:rFonts w:ascii="Arial" w:hAnsi="Arial" w:cs="Arial"/>
        </w:rPr>
      </w:pPr>
      <w:r w:rsidRPr="003A29C6">
        <w:rPr>
          <w:rFonts w:ascii="Arial" w:hAnsi="Arial" w:cs="Arial"/>
          <w:b/>
          <w:bCs/>
        </w:rPr>
        <w:t>COMPETING INTERESTS DISCLAIMER:</w:t>
      </w:r>
    </w:p>
    <w:p w14:paraId="28474F18" w14:textId="77777777" w:rsidR="00EC1D16" w:rsidRDefault="00EC1D16" w:rsidP="00EC1D16">
      <w:r w:rsidRPr="00A10EDE">
        <w:t>Authors have declared that they have no known competing financial interests OR non-financial interests OR personal relationships that could have appeared to influence the work reported in this paper.</w:t>
      </w:r>
    </w:p>
    <w:p w14:paraId="52B20CAE" w14:textId="77777777" w:rsidR="00EC1D16" w:rsidRDefault="00EC1D16" w:rsidP="00EC1D16"/>
    <w:p w14:paraId="139D5B8F" w14:textId="77777777" w:rsidR="00EC1D16" w:rsidRDefault="00EC1D16" w:rsidP="00EC1D16"/>
    <w:p w14:paraId="7DDA7783" w14:textId="77777777" w:rsidR="001F532B" w:rsidRDefault="001F532B" w:rsidP="001F532B">
      <w:pPr>
        <w:rPr>
          <w:rFonts w:ascii="Times New Roman" w:hAnsi="Times New Roman"/>
          <w:b/>
        </w:rPr>
      </w:pPr>
      <w:r w:rsidRPr="000839CE">
        <w:rPr>
          <w:rFonts w:ascii="Times New Roman" w:hAnsi="Times New Roman"/>
          <w:b/>
        </w:rPr>
        <w:t>Declaration of AI Use</w:t>
      </w:r>
    </w:p>
    <w:p w14:paraId="4127DD18" w14:textId="77777777" w:rsidR="001F532B" w:rsidRDefault="001F532B" w:rsidP="001F532B">
      <w:pPr>
        <w:rPr>
          <w:rFonts w:ascii="Times New Roman" w:hAnsi="Times New Roman"/>
          <w:b/>
        </w:rPr>
      </w:pPr>
    </w:p>
    <w:p w14:paraId="3159A8FA" w14:textId="77777777" w:rsidR="001F532B" w:rsidRDefault="001F532B" w:rsidP="001F532B">
      <w:pPr>
        <w:rPr>
          <w:rFonts w:ascii="Times New Roman" w:hAnsi="Times New Roman"/>
          <w:b/>
        </w:rPr>
      </w:pPr>
    </w:p>
    <w:p w14:paraId="57B44EB1" w14:textId="77777777" w:rsidR="001F532B" w:rsidRDefault="001F532B" w:rsidP="001F532B">
      <w:pPr>
        <w:rPr>
          <w:rFonts w:ascii="Times New Roman" w:hAnsi="Times New Roman"/>
          <w:b/>
        </w:rPr>
      </w:pPr>
    </w:p>
    <w:p w14:paraId="3B3BCE44" w14:textId="77777777" w:rsidR="001F532B" w:rsidRPr="002D08AC" w:rsidRDefault="001F532B" w:rsidP="001F532B">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1B5F2B1" w14:textId="77777777" w:rsidR="00EC1D16" w:rsidRPr="00367263" w:rsidRDefault="00EC1D16" w:rsidP="00F676D5">
      <w:pPr>
        <w:pStyle w:val="Author"/>
        <w:spacing w:line="240" w:lineRule="auto"/>
        <w:jc w:val="both"/>
        <w:rPr>
          <w:rFonts w:ascii="Arial" w:hAnsi="Arial" w:cs="Arial"/>
          <w:sz w:val="20"/>
        </w:rPr>
      </w:pPr>
    </w:p>
    <w:p w14:paraId="30B2EE88" w14:textId="77777777" w:rsidR="002B685A" w:rsidRDefault="002B685A" w:rsidP="00441B6F">
      <w:pPr>
        <w:pStyle w:val="ReferHead"/>
        <w:spacing w:after="0"/>
        <w:jc w:val="both"/>
        <w:rPr>
          <w:rFonts w:ascii="Arial" w:hAnsi="Arial" w:cs="Arial"/>
          <w:b w:val="0"/>
          <w:caps w:val="0"/>
          <w:sz w:val="20"/>
        </w:rPr>
      </w:pPr>
    </w:p>
    <w:p w14:paraId="5B75ADA6"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4C9395C4" w14:textId="77777777" w:rsidR="000D59AD" w:rsidRPr="00FB3A86" w:rsidRDefault="000D59AD" w:rsidP="00441B6F">
      <w:pPr>
        <w:pStyle w:val="ReferHead"/>
        <w:spacing w:after="0"/>
        <w:jc w:val="both"/>
        <w:rPr>
          <w:rFonts w:ascii="Arial" w:hAnsi="Arial" w:cs="Arial"/>
        </w:rPr>
      </w:pPr>
    </w:p>
    <w:p w14:paraId="54E55F96"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Adeolu, M., Alnajar, S., Naushad, S., &amp; Gupta, R. S. (2016). Genome-based phylogeny and taxonomy of the order </w:t>
      </w:r>
      <w:proofErr w:type="spellStart"/>
      <w:r w:rsidRPr="007771B1">
        <w:rPr>
          <w:rFonts w:ascii="Arial" w:hAnsi="Arial" w:cs="Arial"/>
          <w:i/>
          <w:iCs/>
        </w:rPr>
        <w:t>Enterobacterales</w:t>
      </w:r>
      <w:proofErr w:type="spellEnd"/>
      <w:r w:rsidRPr="007771B1">
        <w:rPr>
          <w:rFonts w:ascii="Arial" w:hAnsi="Arial" w:cs="Arial"/>
        </w:rPr>
        <w:t xml:space="preserve">: Proposal for </w:t>
      </w:r>
      <w:proofErr w:type="spellStart"/>
      <w:r w:rsidRPr="007771B1">
        <w:rPr>
          <w:rFonts w:ascii="Arial" w:hAnsi="Arial" w:cs="Arial"/>
          <w:i/>
          <w:iCs/>
        </w:rPr>
        <w:t>Enterobacterales</w:t>
      </w:r>
      <w:proofErr w:type="spellEnd"/>
      <w:r w:rsidRPr="007771B1">
        <w:rPr>
          <w:rFonts w:ascii="Arial" w:hAnsi="Arial" w:cs="Arial"/>
        </w:rPr>
        <w:t xml:space="preserve"> ord. </w:t>
      </w:r>
      <w:proofErr w:type="spellStart"/>
      <w:r w:rsidRPr="007771B1">
        <w:rPr>
          <w:rFonts w:ascii="Arial" w:hAnsi="Arial" w:cs="Arial"/>
        </w:rPr>
        <w:t>nov.</w:t>
      </w:r>
      <w:proofErr w:type="spellEnd"/>
      <w:r w:rsidRPr="007771B1">
        <w:rPr>
          <w:rFonts w:ascii="Arial" w:hAnsi="Arial" w:cs="Arial"/>
        </w:rPr>
        <w:t xml:space="preserve"> divided into the families </w:t>
      </w:r>
      <w:r w:rsidRPr="007771B1">
        <w:rPr>
          <w:rFonts w:ascii="Arial" w:hAnsi="Arial" w:cs="Arial"/>
          <w:i/>
          <w:iCs/>
        </w:rPr>
        <w:t>Enterobacteriaceae</w:t>
      </w:r>
      <w:r w:rsidRPr="007771B1">
        <w:rPr>
          <w:rFonts w:ascii="Arial" w:hAnsi="Arial" w:cs="Arial"/>
        </w:rPr>
        <w:t xml:space="preserve">, </w:t>
      </w:r>
      <w:proofErr w:type="spellStart"/>
      <w:r w:rsidRPr="007771B1">
        <w:rPr>
          <w:rFonts w:ascii="Arial" w:hAnsi="Arial" w:cs="Arial"/>
          <w:i/>
          <w:iCs/>
        </w:rPr>
        <w:t>Erwiniaceae</w:t>
      </w:r>
      <w:proofErr w:type="spellEnd"/>
      <w:r w:rsidRPr="007771B1">
        <w:rPr>
          <w:rFonts w:ascii="Arial" w:hAnsi="Arial" w:cs="Arial"/>
        </w:rPr>
        <w:t xml:space="preserve">, </w:t>
      </w:r>
      <w:proofErr w:type="spellStart"/>
      <w:r w:rsidRPr="007771B1">
        <w:rPr>
          <w:rFonts w:ascii="Arial" w:hAnsi="Arial" w:cs="Arial"/>
          <w:i/>
          <w:iCs/>
        </w:rPr>
        <w:t>Pectobacteriaceae</w:t>
      </w:r>
      <w:proofErr w:type="spellEnd"/>
      <w:r w:rsidRPr="007771B1">
        <w:rPr>
          <w:rFonts w:ascii="Arial" w:hAnsi="Arial" w:cs="Arial"/>
        </w:rPr>
        <w:t xml:space="preserve">, </w:t>
      </w:r>
      <w:proofErr w:type="spellStart"/>
      <w:r w:rsidRPr="007771B1">
        <w:rPr>
          <w:rFonts w:ascii="Arial" w:hAnsi="Arial" w:cs="Arial"/>
          <w:i/>
          <w:iCs/>
        </w:rPr>
        <w:t>Yersiniaceae</w:t>
      </w:r>
      <w:proofErr w:type="spellEnd"/>
      <w:r w:rsidRPr="007771B1">
        <w:rPr>
          <w:rFonts w:ascii="Arial" w:hAnsi="Arial" w:cs="Arial"/>
        </w:rPr>
        <w:t xml:space="preserve">, </w:t>
      </w:r>
      <w:proofErr w:type="spellStart"/>
      <w:r w:rsidRPr="007771B1">
        <w:rPr>
          <w:rFonts w:ascii="Arial" w:hAnsi="Arial" w:cs="Arial"/>
          <w:i/>
          <w:iCs/>
        </w:rPr>
        <w:t>Hafniaceae</w:t>
      </w:r>
      <w:proofErr w:type="spellEnd"/>
      <w:r w:rsidRPr="007771B1">
        <w:rPr>
          <w:rFonts w:ascii="Arial" w:hAnsi="Arial" w:cs="Arial"/>
        </w:rPr>
        <w:t xml:space="preserve">, </w:t>
      </w:r>
      <w:proofErr w:type="spellStart"/>
      <w:r w:rsidRPr="007771B1">
        <w:rPr>
          <w:rFonts w:ascii="Arial" w:hAnsi="Arial" w:cs="Arial"/>
          <w:i/>
          <w:iCs/>
        </w:rPr>
        <w:t>Morganellaceae</w:t>
      </w:r>
      <w:proofErr w:type="spellEnd"/>
      <w:r w:rsidRPr="007771B1">
        <w:rPr>
          <w:rFonts w:ascii="Arial" w:hAnsi="Arial" w:cs="Arial"/>
        </w:rPr>
        <w:t xml:space="preserve">, and </w:t>
      </w:r>
      <w:proofErr w:type="spellStart"/>
      <w:r w:rsidRPr="007771B1">
        <w:rPr>
          <w:rFonts w:ascii="Arial" w:hAnsi="Arial" w:cs="Arial"/>
          <w:i/>
          <w:iCs/>
        </w:rPr>
        <w:t>Budviciaceae</w:t>
      </w:r>
      <w:proofErr w:type="spellEnd"/>
      <w:r w:rsidRPr="007771B1">
        <w:rPr>
          <w:rFonts w:ascii="Arial" w:hAnsi="Arial" w:cs="Arial"/>
        </w:rPr>
        <w:t xml:space="preserve">. </w:t>
      </w:r>
      <w:r w:rsidRPr="007771B1">
        <w:rPr>
          <w:rFonts w:ascii="Arial" w:hAnsi="Arial" w:cs="Arial"/>
          <w:iCs/>
        </w:rPr>
        <w:t>International Journal of Systematic and Evolutionary Microbiology, 66</w:t>
      </w:r>
      <w:r w:rsidRPr="007771B1">
        <w:rPr>
          <w:rFonts w:ascii="Arial" w:hAnsi="Arial" w:cs="Arial"/>
        </w:rPr>
        <w:t xml:space="preserve">(12), 5575–5599. </w:t>
      </w:r>
      <w:hyperlink r:id="rId20" w:history="1">
        <w:r w:rsidRPr="007771B1">
          <w:rPr>
            <w:rStyle w:val="Hyperlink"/>
            <w:rFonts w:ascii="Arial" w:hAnsi="Arial" w:cs="Arial"/>
          </w:rPr>
          <w:t>https://doi.org/10.1099/ijsem.0.001485</w:t>
        </w:r>
      </w:hyperlink>
    </w:p>
    <w:p w14:paraId="7E90E018" w14:textId="77777777" w:rsidR="007771B1" w:rsidRPr="00D81FFB"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Alimi Janet Omolola, </w:t>
      </w:r>
      <w:proofErr w:type="spellStart"/>
      <w:r w:rsidRPr="007771B1">
        <w:rPr>
          <w:rFonts w:ascii="Arial" w:hAnsi="Arial" w:cs="Arial"/>
        </w:rPr>
        <w:t>Ogunbanwo</w:t>
      </w:r>
      <w:proofErr w:type="spellEnd"/>
      <w:r w:rsidRPr="007771B1">
        <w:rPr>
          <w:rFonts w:ascii="Arial" w:hAnsi="Arial" w:cs="Arial"/>
        </w:rPr>
        <w:t xml:space="preserve"> Samuel Temitope, Alimi John Praise, Gbadamosi Tosin Adebola, </w:t>
      </w:r>
      <w:proofErr w:type="spellStart"/>
      <w:r w:rsidRPr="007771B1">
        <w:rPr>
          <w:rFonts w:ascii="Arial" w:hAnsi="Arial" w:cs="Arial"/>
        </w:rPr>
        <w:t>Adarabierin</w:t>
      </w:r>
      <w:proofErr w:type="spellEnd"/>
      <w:r w:rsidRPr="007771B1">
        <w:rPr>
          <w:rFonts w:ascii="Arial" w:hAnsi="Arial" w:cs="Arial"/>
        </w:rPr>
        <w:t xml:space="preserve"> Imole-Ayo Gabriel. (2025). Influence of cell-free supernatant of lactic acid bacteria as additive in preservation of pineapple juice, Food and Environment Safety</w:t>
      </w:r>
      <w:r w:rsidR="00B3131B">
        <w:rPr>
          <w:rFonts w:ascii="Arial" w:hAnsi="Arial" w:cs="Arial"/>
        </w:rPr>
        <w:t xml:space="preserve"> </w:t>
      </w:r>
      <w:r w:rsidR="00B3131B">
        <w:rPr>
          <w:u w:val="single"/>
        </w:rPr>
        <w:t>Journal</w:t>
      </w:r>
      <w:r w:rsidR="00B3131B">
        <w:rPr>
          <w:i/>
        </w:rPr>
        <w:t>. Faculty of Food Engineering</w:t>
      </w:r>
      <w:r w:rsidR="00B3131B">
        <w:t>, Ştefan cel Mare University - Suceava</w:t>
      </w:r>
      <w:r w:rsidRPr="007771B1">
        <w:rPr>
          <w:rFonts w:ascii="Arial" w:hAnsi="Arial" w:cs="Arial"/>
        </w:rPr>
        <w:t xml:space="preserve">, Volume XXIV, Issue 1 – 2025, </w:t>
      </w:r>
      <w:proofErr w:type="spellStart"/>
      <w:r w:rsidRPr="007771B1">
        <w:rPr>
          <w:rFonts w:ascii="Arial" w:hAnsi="Arial" w:cs="Arial"/>
        </w:rPr>
        <w:t>pag</w:t>
      </w:r>
      <w:proofErr w:type="spellEnd"/>
      <w:r w:rsidRPr="007771B1">
        <w:rPr>
          <w:rFonts w:ascii="Arial" w:hAnsi="Arial" w:cs="Arial"/>
        </w:rPr>
        <w:t>. 11 – 20.</w:t>
      </w:r>
      <w:r w:rsidR="00B3131B" w:rsidRPr="00B3131B">
        <w:t xml:space="preserve"> </w:t>
      </w:r>
      <w:r w:rsidR="00B3131B" w:rsidRPr="00D81FFB">
        <w:t>DOI: https://doi.org/10.4316/fens.2025.002</w:t>
      </w:r>
    </w:p>
    <w:p w14:paraId="16F1FA6C" w14:textId="77777777" w:rsidR="007771B1" w:rsidRPr="007771B1" w:rsidRDefault="007771B1" w:rsidP="000E0A82">
      <w:pPr>
        <w:ind w:left="810" w:hanging="810"/>
        <w:jc w:val="both"/>
        <w:rPr>
          <w:rStyle w:val="Hyperlink"/>
          <w:rFonts w:ascii="Arial" w:hAnsi="Arial" w:cs="Arial"/>
        </w:rPr>
      </w:pPr>
      <w:r w:rsidRPr="007771B1">
        <w:rPr>
          <w:rFonts w:ascii="Arial" w:hAnsi="Arial" w:cs="Arial"/>
        </w:rPr>
        <w:t xml:space="preserve">Altschul, S. F., Gish, W., Miller, W., Myers, E. W., &amp; Lipman, D. J. (1990). Basic Local Alignment Search Tool. </w:t>
      </w:r>
      <w:r w:rsidRPr="007771B1">
        <w:rPr>
          <w:rFonts w:ascii="Arial" w:hAnsi="Arial" w:cs="Arial"/>
          <w:iCs/>
        </w:rPr>
        <w:t>Journal of Molecular Biology, 215</w:t>
      </w:r>
      <w:r w:rsidRPr="007771B1">
        <w:rPr>
          <w:rFonts w:ascii="Arial" w:hAnsi="Arial" w:cs="Arial"/>
        </w:rPr>
        <w:t xml:space="preserve">(3), 403–410. </w:t>
      </w:r>
      <w:hyperlink r:id="rId21" w:history="1">
        <w:r w:rsidRPr="007771B1">
          <w:rPr>
            <w:rStyle w:val="Hyperlink"/>
            <w:rFonts w:ascii="Arial" w:hAnsi="Arial" w:cs="Arial"/>
          </w:rPr>
          <w:t>https://doi.org/10.1016/S0022-2836(05)80360-2</w:t>
        </w:r>
      </w:hyperlink>
    </w:p>
    <w:p w14:paraId="5C20C4E5" w14:textId="77777777" w:rsidR="007771B1" w:rsidRPr="007771B1" w:rsidRDefault="007771B1" w:rsidP="000E0A82">
      <w:pPr>
        <w:spacing w:before="100" w:beforeAutospacing="1" w:after="100" w:afterAutospacing="1"/>
        <w:ind w:left="810" w:hanging="810"/>
        <w:rPr>
          <w:rFonts w:ascii="Arial" w:hAnsi="Arial" w:cs="Arial"/>
          <w:color w:val="FF0000"/>
        </w:rPr>
      </w:pPr>
      <w:proofErr w:type="spellStart"/>
      <w:r w:rsidRPr="007771B1">
        <w:rPr>
          <w:rFonts w:ascii="Arial" w:hAnsi="Arial" w:cs="Arial"/>
        </w:rPr>
        <w:lastRenderedPageBreak/>
        <w:t>Amachawadi</w:t>
      </w:r>
      <w:proofErr w:type="spellEnd"/>
      <w:r w:rsidRPr="007771B1">
        <w:rPr>
          <w:rFonts w:ascii="Arial" w:hAnsi="Arial" w:cs="Arial"/>
        </w:rPr>
        <w:t xml:space="preserve">, R. G., &amp; Nagaraja, T. G. (2016). Liver abscesses in cattle: A review of incidence in Holsteins and of bacteriology and vaccine approaches to control in feedlot cattle. </w:t>
      </w:r>
      <w:r w:rsidRPr="007771B1">
        <w:rPr>
          <w:rStyle w:val="Emphasis"/>
          <w:rFonts w:ascii="Arial" w:hAnsi="Arial" w:cs="Arial"/>
          <w:i w:val="0"/>
        </w:rPr>
        <w:t>Journal of Animal Science, 94</w:t>
      </w:r>
      <w:r w:rsidRPr="007771B1">
        <w:rPr>
          <w:rFonts w:ascii="Arial" w:hAnsi="Arial" w:cs="Arial"/>
        </w:rPr>
        <w:t>(4), 1620–1632. https://doi.org/10.2527/jas.2015-0261</w:t>
      </w:r>
    </w:p>
    <w:p w14:paraId="702E5FDA"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rPr>
        <w:t xml:space="preserve">American Public Health Association. (2015). </w:t>
      </w:r>
      <w:r w:rsidRPr="007771B1">
        <w:rPr>
          <w:rStyle w:val="Emphasis"/>
          <w:rFonts w:ascii="Arial" w:hAnsi="Arial" w:cs="Arial"/>
        </w:rPr>
        <w:t>Compendium of methods for the microbiological examination of foods</w:t>
      </w:r>
      <w:r w:rsidRPr="007771B1">
        <w:rPr>
          <w:rFonts w:ascii="Arial" w:hAnsi="Arial" w:cs="Arial"/>
        </w:rPr>
        <w:t xml:space="preserve"> (5th ed.). APHA Press.</w:t>
      </w:r>
    </w:p>
    <w:p w14:paraId="3E202628"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rPr>
        <w:t xml:space="preserve">Applied Biosystems. (2010). </w:t>
      </w:r>
      <w:proofErr w:type="spellStart"/>
      <w:r w:rsidRPr="007771B1">
        <w:rPr>
          <w:rFonts w:ascii="Arial" w:hAnsi="Arial" w:cs="Arial"/>
          <w:i/>
          <w:iCs/>
        </w:rPr>
        <w:t>BigDye</w:t>
      </w:r>
      <w:proofErr w:type="spellEnd"/>
      <w:r w:rsidRPr="007771B1">
        <w:rPr>
          <w:rFonts w:ascii="Arial" w:hAnsi="Arial" w:cs="Arial"/>
          <w:i/>
          <w:iCs/>
        </w:rPr>
        <w:t>® Terminator v3.1 Cycle Sequencing Kit protocol</w:t>
      </w:r>
      <w:r w:rsidRPr="007771B1">
        <w:rPr>
          <w:rFonts w:ascii="Arial" w:hAnsi="Arial" w:cs="Arial"/>
        </w:rPr>
        <w:t xml:space="preserve">. Applied Biosystems, </w:t>
      </w:r>
      <w:proofErr w:type="spellStart"/>
      <w:r w:rsidRPr="007771B1">
        <w:rPr>
          <w:rFonts w:ascii="Arial" w:hAnsi="Arial" w:cs="Arial"/>
        </w:rPr>
        <w:t>Thermo</w:t>
      </w:r>
      <w:proofErr w:type="spellEnd"/>
      <w:r w:rsidRPr="007771B1">
        <w:rPr>
          <w:rFonts w:ascii="Arial" w:hAnsi="Arial" w:cs="Arial"/>
        </w:rPr>
        <w:t xml:space="preserve"> Fisher Scientific.</w:t>
      </w:r>
    </w:p>
    <w:p w14:paraId="72649F06"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Armbruster, C. E., &amp; Mobley, H. L. T. (2024). </w:t>
      </w:r>
      <w:r w:rsidRPr="007771B1">
        <w:rPr>
          <w:rFonts w:ascii="Arial" w:hAnsi="Arial" w:cs="Arial"/>
          <w:i/>
          <w:iCs/>
        </w:rPr>
        <w:t>Proteus mirabilis</w:t>
      </w:r>
      <w:r w:rsidRPr="007771B1">
        <w:rPr>
          <w:rFonts w:ascii="Arial" w:hAnsi="Arial" w:cs="Arial"/>
        </w:rPr>
        <w:t xml:space="preserve"> and human disease: Pathogenesis, diagnosis and management. </w:t>
      </w:r>
      <w:r w:rsidRPr="007771B1">
        <w:rPr>
          <w:rFonts w:ascii="Arial" w:hAnsi="Arial" w:cs="Arial"/>
          <w:iCs/>
        </w:rPr>
        <w:t>Nature Reviews Urology, 21</w:t>
      </w:r>
      <w:r w:rsidRPr="007771B1">
        <w:rPr>
          <w:rFonts w:ascii="Arial" w:hAnsi="Arial" w:cs="Arial"/>
        </w:rPr>
        <w:t>(2), 87–102.</w:t>
      </w:r>
    </w:p>
    <w:p w14:paraId="1935A8DC" w14:textId="77777777" w:rsidR="007771B1" w:rsidRPr="007771B1" w:rsidRDefault="007771B1" w:rsidP="000E0A82">
      <w:pPr>
        <w:ind w:left="810" w:hanging="810"/>
        <w:rPr>
          <w:rStyle w:val="Hyperlink"/>
          <w:rFonts w:ascii="Arial" w:hAnsi="Arial" w:cs="Arial"/>
        </w:rPr>
      </w:pPr>
      <w:r w:rsidRPr="007771B1">
        <w:rPr>
          <w:rStyle w:val="Strong"/>
          <w:rFonts w:ascii="Arial" w:hAnsi="Arial" w:cs="Arial"/>
          <w:b w:val="0"/>
        </w:rPr>
        <w:t>Bagley, S. T. (1985).</w:t>
      </w:r>
      <w:r w:rsidRPr="007771B1">
        <w:rPr>
          <w:rFonts w:ascii="Arial" w:hAnsi="Arial" w:cs="Arial"/>
        </w:rPr>
        <w:t xml:space="preserve"> Habitat association of </w:t>
      </w:r>
      <w:r w:rsidRPr="007771B1">
        <w:rPr>
          <w:rStyle w:val="Emphasis"/>
          <w:rFonts w:ascii="Arial" w:hAnsi="Arial" w:cs="Arial"/>
        </w:rPr>
        <w:t>Klebsiella</w:t>
      </w:r>
      <w:r w:rsidRPr="007771B1">
        <w:rPr>
          <w:rFonts w:ascii="Arial" w:hAnsi="Arial" w:cs="Arial"/>
        </w:rPr>
        <w:t xml:space="preserve"> species. </w:t>
      </w:r>
      <w:r w:rsidRPr="005475A6">
        <w:rPr>
          <w:rStyle w:val="Emphasis"/>
          <w:rFonts w:ascii="Arial" w:hAnsi="Arial" w:cs="Arial"/>
          <w:i w:val="0"/>
        </w:rPr>
        <w:t>Infection Control, 6</w:t>
      </w:r>
      <w:r w:rsidRPr="007771B1">
        <w:rPr>
          <w:rFonts w:ascii="Arial" w:hAnsi="Arial" w:cs="Arial"/>
        </w:rPr>
        <w:t xml:space="preserve">(2), 52–58. </w:t>
      </w:r>
      <w:hyperlink r:id="rId22" w:history="1">
        <w:r w:rsidRPr="007771B1">
          <w:rPr>
            <w:rStyle w:val="Hyperlink"/>
            <w:rFonts w:ascii="Arial" w:hAnsi="Arial" w:cs="Arial"/>
          </w:rPr>
          <w:t>https://doi.org/10.1017/S0195941700062603</w:t>
        </w:r>
      </w:hyperlink>
    </w:p>
    <w:p w14:paraId="3A9BC72E" w14:textId="77777777" w:rsidR="007771B1" w:rsidRPr="007771B1" w:rsidRDefault="007771B1" w:rsidP="000E0A82">
      <w:pPr>
        <w:spacing w:before="100" w:beforeAutospacing="1" w:after="100" w:afterAutospacing="1"/>
        <w:ind w:left="810" w:hanging="810"/>
        <w:rPr>
          <w:rFonts w:ascii="Arial" w:hAnsi="Arial" w:cs="Arial"/>
        </w:rPr>
      </w:pPr>
      <w:proofErr w:type="spellStart"/>
      <w:r w:rsidRPr="007771B1">
        <w:rPr>
          <w:rFonts w:ascii="Arial" w:hAnsi="Arial" w:cs="Arial"/>
        </w:rPr>
        <w:t>Bancerz</w:t>
      </w:r>
      <w:proofErr w:type="spellEnd"/>
      <w:r w:rsidRPr="007771B1">
        <w:rPr>
          <w:rFonts w:ascii="Arial" w:hAnsi="Arial" w:cs="Arial"/>
        </w:rPr>
        <w:t xml:space="preserve">-Kisiel, A., &amp; Szweda, W. (2022). Yersiniosis—A zoonotic foodborne disease of relevance to public health. </w:t>
      </w:r>
      <w:r w:rsidRPr="007771B1">
        <w:rPr>
          <w:rFonts w:ascii="Arial" w:hAnsi="Arial" w:cs="Arial"/>
          <w:iCs/>
        </w:rPr>
        <w:t>International Journal of Molecular Sciences, 23</w:t>
      </w:r>
      <w:r w:rsidRPr="007771B1">
        <w:rPr>
          <w:rFonts w:ascii="Arial" w:hAnsi="Arial" w:cs="Arial"/>
        </w:rPr>
        <w:t>(10), 5478.</w:t>
      </w:r>
    </w:p>
    <w:p w14:paraId="0534FF97" w14:textId="77777777" w:rsidR="007771B1" w:rsidRPr="007771B1" w:rsidRDefault="007771B1" w:rsidP="000E0A82">
      <w:pPr>
        <w:spacing w:before="100" w:beforeAutospacing="1" w:after="100" w:afterAutospacing="1"/>
        <w:ind w:left="810" w:hanging="810"/>
        <w:rPr>
          <w:rFonts w:ascii="Arial" w:hAnsi="Arial" w:cs="Arial"/>
        </w:rPr>
      </w:pPr>
      <w:proofErr w:type="spellStart"/>
      <w:r w:rsidRPr="007771B1">
        <w:rPr>
          <w:rFonts w:ascii="Arial" w:hAnsi="Arial" w:cs="Arial"/>
        </w:rPr>
        <w:t>Bancerz</w:t>
      </w:r>
      <w:proofErr w:type="spellEnd"/>
      <w:r w:rsidRPr="007771B1">
        <w:rPr>
          <w:rFonts w:ascii="Arial" w:hAnsi="Arial" w:cs="Arial"/>
        </w:rPr>
        <w:t xml:space="preserve">-Kisiel, A., &amp; Szweda, W. (2022). Yersiniosis—A zoonotic foodborne disease of relevance to public health. </w:t>
      </w:r>
      <w:r w:rsidRPr="007771B1">
        <w:rPr>
          <w:rFonts w:ascii="Arial" w:hAnsi="Arial" w:cs="Arial"/>
          <w:iCs/>
        </w:rPr>
        <w:t>International Journal of Molecular Sciences, 23</w:t>
      </w:r>
      <w:r w:rsidRPr="007771B1">
        <w:rPr>
          <w:rFonts w:ascii="Arial" w:hAnsi="Arial" w:cs="Arial"/>
        </w:rPr>
        <w:t>(10), 5478.</w:t>
      </w:r>
    </w:p>
    <w:p w14:paraId="5D3DE918"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rPr>
        <w:t xml:space="preserve">Bergey's Manual of Systematics of Archaea and Bacteria. (2015–2024). (Relevant chapters on the taxonomy and characteristics of the family </w:t>
      </w:r>
      <w:r w:rsidRPr="007771B1">
        <w:rPr>
          <w:rStyle w:val="Emphasis"/>
          <w:rFonts w:ascii="Arial" w:hAnsi="Arial" w:cs="Arial"/>
        </w:rPr>
        <w:t>Enterobacteriaceae</w:t>
      </w:r>
      <w:r w:rsidRPr="007771B1">
        <w:rPr>
          <w:rFonts w:ascii="Arial" w:hAnsi="Arial" w:cs="Arial"/>
        </w:rPr>
        <w:t xml:space="preserve"> and related taxa.)</w:t>
      </w:r>
    </w:p>
    <w:p w14:paraId="2B242220" w14:textId="77777777" w:rsidR="007771B1" w:rsidRPr="007771B1" w:rsidRDefault="007771B1" w:rsidP="000E0A82">
      <w:pPr>
        <w:pStyle w:val="pdq2pgselectionanchorcontainer"/>
        <w:ind w:left="810" w:hanging="810"/>
        <w:rPr>
          <w:rFonts w:ascii="Arial" w:hAnsi="Arial" w:cs="Arial"/>
          <w:sz w:val="20"/>
          <w:szCs w:val="20"/>
        </w:rPr>
      </w:pPr>
      <w:r w:rsidRPr="007771B1">
        <w:rPr>
          <w:rStyle w:val="Strong"/>
          <w:rFonts w:ascii="Arial" w:eastAsiaTheme="majorEastAsia" w:hAnsi="Arial" w:cs="Arial"/>
          <w:b w:val="0"/>
          <w:sz w:val="20"/>
          <w:szCs w:val="20"/>
        </w:rPr>
        <w:t xml:space="preserve">Besser, J. M., Carleton, H. A., Trees, E., </w:t>
      </w:r>
      <w:proofErr w:type="spellStart"/>
      <w:r w:rsidRPr="007771B1">
        <w:rPr>
          <w:rStyle w:val="Strong"/>
          <w:rFonts w:ascii="Arial" w:eastAsiaTheme="majorEastAsia" w:hAnsi="Arial" w:cs="Arial"/>
          <w:b w:val="0"/>
          <w:sz w:val="20"/>
          <w:szCs w:val="20"/>
        </w:rPr>
        <w:t>Stroika</w:t>
      </w:r>
      <w:proofErr w:type="spellEnd"/>
      <w:r w:rsidRPr="007771B1">
        <w:rPr>
          <w:rStyle w:val="Strong"/>
          <w:rFonts w:ascii="Arial" w:eastAsiaTheme="majorEastAsia" w:hAnsi="Arial" w:cs="Arial"/>
          <w:b w:val="0"/>
          <w:sz w:val="20"/>
          <w:szCs w:val="20"/>
        </w:rPr>
        <w:t>, S. G., &amp; Bennett, A. R. (2018).</w:t>
      </w:r>
      <w:r w:rsidRPr="007771B1">
        <w:rPr>
          <w:rFonts w:ascii="Arial" w:hAnsi="Arial" w:cs="Arial"/>
          <w:sz w:val="20"/>
          <w:szCs w:val="20"/>
        </w:rPr>
        <w:t xml:space="preserve"> Interpretation of whole-genome sequencing for enteric disease surveillance and outbreak investigation. </w:t>
      </w:r>
      <w:r w:rsidRPr="005475A6">
        <w:rPr>
          <w:rStyle w:val="Emphasis"/>
          <w:rFonts w:ascii="Arial" w:eastAsiaTheme="majorEastAsia" w:hAnsi="Arial" w:cs="Arial"/>
          <w:i w:val="0"/>
          <w:sz w:val="20"/>
          <w:szCs w:val="20"/>
        </w:rPr>
        <w:t>Food Microbiology, 76</w:t>
      </w:r>
      <w:r w:rsidRPr="007771B1">
        <w:rPr>
          <w:rFonts w:ascii="Arial" w:hAnsi="Arial" w:cs="Arial"/>
          <w:sz w:val="20"/>
          <w:szCs w:val="20"/>
        </w:rPr>
        <w:t xml:space="preserve">, 296–302. </w:t>
      </w:r>
      <w:hyperlink r:id="rId23" w:history="1">
        <w:r w:rsidRPr="007771B1">
          <w:rPr>
            <w:rStyle w:val="Hyperlink"/>
            <w:rFonts w:ascii="Arial" w:hAnsi="Arial" w:cs="Arial"/>
            <w:sz w:val="20"/>
            <w:szCs w:val="20"/>
          </w:rPr>
          <w:t>https://doi.org/10.1016/j.fm.2018.02.016</w:t>
        </w:r>
      </w:hyperlink>
    </w:p>
    <w:p w14:paraId="243DE863"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Bonardi, S. (2023). </w:t>
      </w:r>
      <w:r w:rsidRPr="007771B1">
        <w:rPr>
          <w:rFonts w:ascii="Arial" w:hAnsi="Arial" w:cs="Arial"/>
          <w:i/>
          <w:iCs/>
        </w:rPr>
        <w:t>Yersinia enterocolitica</w:t>
      </w:r>
      <w:r w:rsidRPr="007771B1">
        <w:rPr>
          <w:rFonts w:ascii="Arial" w:hAnsi="Arial" w:cs="Arial"/>
        </w:rPr>
        <w:t xml:space="preserve"> in pigs and pork products: An updated review of epidemiology, detection and control strategies. </w:t>
      </w:r>
      <w:r w:rsidRPr="007771B1">
        <w:rPr>
          <w:rFonts w:ascii="Arial" w:hAnsi="Arial" w:cs="Arial"/>
          <w:iCs/>
        </w:rPr>
        <w:t>Foods, 12</w:t>
      </w:r>
      <w:r w:rsidRPr="007771B1">
        <w:rPr>
          <w:rFonts w:ascii="Arial" w:hAnsi="Arial" w:cs="Arial"/>
        </w:rPr>
        <w:t xml:space="preserve">(18), 3371. </w:t>
      </w:r>
      <w:hyperlink r:id="rId24" w:history="1">
        <w:r w:rsidRPr="007771B1">
          <w:rPr>
            <w:rStyle w:val="Hyperlink"/>
            <w:rFonts w:ascii="Arial" w:hAnsi="Arial" w:cs="Arial"/>
          </w:rPr>
          <w:t>https://doi.org/10.3390/foods12183371</w:t>
        </w:r>
      </w:hyperlink>
    </w:p>
    <w:p w14:paraId="7608F1BB" w14:textId="77777777" w:rsidR="007771B1" w:rsidRPr="007771B1" w:rsidRDefault="007771B1" w:rsidP="000E0A82">
      <w:pPr>
        <w:pStyle w:val="pdq2pgselectionanchorcontainer"/>
        <w:ind w:left="810" w:hanging="810"/>
        <w:rPr>
          <w:rFonts w:ascii="Arial" w:hAnsi="Arial" w:cs="Arial"/>
          <w:sz w:val="20"/>
          <w:szCs w:val="20"/>
        </w:rPr>
      </w:pPr>
      <w:r w:rsidRPr="007771B1">
        <w:rPr>
          <w:rStyle w:val="Strong"/>
          <w:rFonts w:ascii="Arial" w:eastAsiaTheme="majorEastAsia" w:hAnsi="Arial" w:cs="Arial"/>
          <w:b w:val="0"/>
          <w:sz w:val="20"/>
          <w:szCs w:val="20"/>
        </w:rPr>
        <w:t xml:space="preserve">Bonardi, S., </w:t>
      </w:r>
      <w:proofErr w:type="spellStart"/>
      <w:r w:rsidRPr="007771B1">
        <w:rPr>
          <w:rStyle w:val="Strong"/>
          <w:rFonts w:ascii="Arial" w:eastAsiaTheme="majorEastAsia" w:hAnsi="Arial" w:cs="Arial"/>
          <w:b w:val="0"/>
          <w:sz w:val="20"/>
          <w:szCs w:val="20"/>
        </w:rPr>
        <w:t>Alpigiani</w:t>
      </w:r>
      <w:proofErr w:type="spellEnd"/>
      <w:r w:rsidRPr="007771B1">
        <w:rPr>
          <w:rStyle w:val="Strong"/>
          <w:rFonts w:ascii="Arial" w:eastAsiaTheme="majorEastAsia" w:hAnsi="Arial" w:cs="Arial"/>
          <w:b w:val="0"/>
          <w:sz w:val="20"/>
          <w:szCs w:val="20"/>
        </w:rPr>
        <w:t xml:space="preserve">, I., Bassi, L., </w:t>
      </w:r>
      <w:proofErr w:type="spellStart"/>
      <w:r w:rsidRPr="007771B1">
        <w:rPr>
          <w:rStyle w:val="Strong"/>
          <w:rFonts w:ascii="Arial" w:eastAsiaTheme="majorEastAsia" w:hAnsi="Arial" w:cs="Arial"/>
          <w:b w:val="0"/>
          <w:sz w:val="20"/>
          <w:szCs w:val="20"/>
        </w:rPr>
        <w:t>Brindani</w:t>
      </w:r>
      <w:proofErr w:type="spellEnd"/>
      <w:r w:rsidRPr="007771B1">
        <w:rPr>
          <w:rStyle w:val="Strong"/>
          <w:rFonts w:ascii="Arial" w:eastAsiaTheme="majorEastAsia" w:hAnsi="Arial" w:cs="Arial"/>
          <w:b w:val="0"/>
          <w:sz w:val="20"/>
          <w:szCs w:val="20"/>
        </w:rPr>
        <w:t xml:space="preserve">, F., </w:t>
      </w:r>
      <w:proofErr w:type="spellStart"/>
      <w:r w:rsidRPr="007771B1">
        <w:rPr>
          <w:rStyle w:val="Strong"/>
          <w:rFonts w:ascii="Arial" w:eastAsiaTheme="majorEastAsia" w:hAnsi="Arial" w:cs="Arial"/>
          <w:b w:val="0"/>
          <w:sz w:val="20"/>
          <w:szCs w:val="20"/>
        </w:rPr>
        <w:t>D’Incau</w:t>
      </w:r>
      <w:proofErr w:type="spellEnd"/>
      <w:r w:rsidRPr="007771B1">
        <w:rPr>
          <w:rStyle w:val="Strong"/>
          <w:rFonts w:ascii="Arial" w:eastAsiaTheme="majorEastAsia" w:hAnsi="Arial" w:cs="Arial"/>
          <w:b w:val="0"/>
          <w:sz w:val="20"/>
          <w:szCs w:val="20"/>
        </w:rPr>
        <w:t xml:space="preserve">, M., Barco, L., &amp; </w:t>
      </w:r>
      <w:proofErr w:type="spellStart"/>
      <w:r w:rsidRPr="007771B1">
        <w:rPr>
          <w:rStyle w:val="Strong"/>
          <w:rFonts w:ascii="Arial" w:eastAsiaTheme="majorEastAsia" w:hAnsi="Arial" w:cs="Arial"/>
          <w:b w:val="0"/>
          <w:sz w:val="20"/>
          <w:szCs w:val="20"/>
        </w:rPr>
        <w:t>Pongolini</w:t>
      </w:r>
      <w:proofErr w:type="spellEnd"/>
      <w:r w:rsidRPr="007771B1">
        <w:rPr>
          <w:rStyle w:val="Strong"/>
          <w:rFonts w:ascii="Arial" w:eastAsiaTheme="majorEastAsia" w:hAnsi="Arial" w:cs="Arial"/>
          <w:b w:val="0"/>
          <w:sz w:val="20"/>
          <w:szCs w:val="20"/>
        </w:rPr>
        <w:t>, S. (2016).</w:t>
      </w:r>
      <w:r w:rsidRPr="007771B1">
        <w:rPr>
          <w:rFonts w:ascii="Arial" w:hAnsi="Arial" w:cs="Arial"/>
          <w:sz w:val="20"/>
          <w:szCs w:val="20"/>
        </w:rPr>
        <w:t xml:space="preserve"> Detection of </w:t>
      </w:r>
      <w:r w:rsidRPr="007771B1">
        <w:rPr>
          <w:rStyle w:val="Emphasis"/>
          <w:rFonts w:ascii="Arial" w:eastAsiaTheme="majorEastAsia" w:hAnsi="Arial" w:cs="Arial"/>
          <w:sz w:val="20"/>
          <w:szCs w:val="20"/>
        </w:rPr>
        <w:t>Yersinia enterocolitica</w:t>
      </w:r>
      <w:r w:rsidRPr="007771B1">
        <w:rPr>
          <w:rFonts w:ascii="Arial" w:hAnsi="Arial" w:cs="Arial"/>
          <w:sz w:val="20"/>
          <w:szCs w:val="20"/>
        </w:rPr>
        <w:t xml:space="preserve">, </w:t>
      </w:r>
      <w:r w:rsidRPr="007771B1">
        <w:rPr>
          <w:rStyle w:val="Emphasis"/>
          <w:rFonts w:ascii="Arial" w:eastAsiaTheme="majorEastAsia" w:hAnsi="Arial" w:cs="Arial"/>
          <w:sz w:val="20"/>
          <w:szCs w:val="20"/>
        </w:rPr>
        <w:t>Yersinia pseudotuberculosis</w:t>
      </w:r>
      <w:r w:rsidRPr="007771B1">
        <w:rPr>
          <w:rFonts w:ascii="Arial" w:hAnsi="Arial" w:cs="Arial"/>
          <w:sz w:val="20"/>
          <w:szCs w:val="20"/>
        </w:rPr>
        <w:t xml:space="preserve"> and pathogenic </w:t>
      </w:r>
      <w:r w:rsidRPr="007771B1">
        <w:rPr>
          <w:rStyle w:val="Emphasis"/>
          <w:rFonts w:ascii="Arial" w:eastAsiaTheme="majorEastAsia" w:hAnsi="Arial" w:cs="Arial"/>
          <w:sz w:val="20"/>
          <w:szCs w:val="20"/>
        </w:rPr>
        <w:t>Yersinia enterocolitica</w:t>
      </w:r>
      <w:r w:rsidRPr="007771B1">
        <w:rPr>
          <w:rFonts w:ascii="Arial" w:hAnsi="Arial" w:cs="Arial"/>
          <w:sz w:val="20"/>
          <w:szCs w:val="20"/>
        </w:rPr>
        <w:t xml:space="preserve"> in pork products at retail level in Italy. </w:t>
      </w:r>
      <w:r w:rsidRPr="005475A6">
        <w:rPr>
          <w:rStyle w:val="Emphasis"/>
          <w:rFonts w:ascii="Arial" w:eastAsiaTheme="majorEastAsia" w:hAnsi="Arial" w:cs="Arial"/>
          <w:i w:val="0"/>
          <w:sz w:val="20"/>
          <w:szCs w:val="20"/>
        </w:rPr>
        <w:t>International Journal of Food Microbiology, 219</w:t>
      </w:r>
      <w:r w:rsidRPr="007771B1">
        <w:rPr>
          <w:rFonts w:ascii="Arial" w:hAnsi="Arial" w:cs="Arial"/>
          <w:sz w:val="20"/>
          <w:szCs w:val="20"/>
        </w:rPr>
        <w:t xml:space="preserve">, 73–78. </w:t>
      </w:r>
      <w:hyperlink r:id="rId25" w:history="1">
        <w:r w:rsidRPr="007771B1">
          <w:rPr>
            <w:rStyle w:val="Hyperlink"/>
            <w:rFonts w:ascii="Arial" w:hAnsi="Arial" w:cs="Arial"/>
            <w:sz w:val="20"/>
            <w:szCs w:val="20"/>
          </w:rPr>
          <w:t>https://doi.org/10.1016/j.ijfoodmicro.2015.12.001</w:t>
        </w:r>
      </w:hyperlink>
    </w:p>
    <w:p w14:paraId="502E95FC"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Bottone, E. J. (2024). </w:t>
      </w:r>
      <w:r w:rsidRPr="007771B1">
        <w:rPr>
          <w:rFonts w:ascii="Arial" w:hAnsi="Arial" w:cs="Arial"/>
          <w:i/>
          <w:iCs/>
        </w:rPr>
        <w:t>Yersinia enterocolitica</w:t>
      </w:r>
      <w:r w:rsidRPr="007771B1">
        <w:rPr>
          <w:rFonts w:ascii="Arial" w:hAnsi="Arial" w:cs="Arial"/>
        </w:rPr>
        <w:t xml:space="preserve">: A continuing foodborne and zoonotic pathogen. </w:t>
      </w:r>
      <w:r w:rsidRPr="007771B1">
        <w:rPr>
          <w:rFonts w:ascii="Arial" w:hAnsi="Arial" w:cs="Arial"/>
          <w:iCs/>
        </w:rPr>
        <w:t>Microorganisms, 12</w:t>
      </w:r>
      <w:r w:rsidRPr="007771B1">
        <w:rPr>
          <w:rFonts w:ascii="Arial" w:hAnsi="Arial" w:cs="Arial"/>
        </w:rPr>
        <w:t xml:space="preserve">(3), 501. </w:t>
      </w:r>
      <w:hyperlink r:id="rId26" w:history="1">
        <w:r w:rsidRPr="007771B1">
          <w:rPr>
            <w:rStyle w:val="Hyperlink"/>
            <w:rFonts w:ascii="Arial" w:hAnsi="Arial" w:cs="Arial"/>
          </w:rPr>
          <w:t>https://doi.org/10.3390/microorganisms12030501</w:t>
        </w:r>
      </w:hyperlink>
    </w:p>
    <w:p w14:paraId="263CB28D"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Bray, A. S., </w:t>
      </w:r>
      <w:proofErr w:type="gramStart"/>
      <w:r w:rsidRPr="007771B1">
        <w:rPr>
          <w:rFonts w:ascii="Arial" w:hAnsi="Arial" w:cs="Arial"/>
        </w:rPr>
        <w:t>&amp;  Zafar</w:t>
      </w:r>
      <w:proofErr w:type="gramEnd"/>
      <w:r w:rsidRPr="007771B1">
        <w:rPr>
          <w:rFonts w:ascii="Arial" w:hAnsi="Arial" w:cs="Arial"/>
        </w:rPr>
        <w:t xml:space="preserve">, M. A. (2024). Deciphering the gastrointestinal carriage of </w:t>
      </w:r>
      <w:r w:rsidRPr="007771B1">
        <w:rPr>
          <w:rStyle w:val="Emphasis"/>
          <w:rFonts w:ascii="Arial" w:hAnsi="Arial" w:cs="Arial"/>
        </w:rPr>
        <w:t>Klebsiella pneumoniae</w:t>
      </w:r>
      <w:r w:rsidRPr="007771B1">
        <w:rPr>
          <w:rFonts w:ascii="Arial" w:hAnsi="Arial" w:cs="Arial"/>
        </w:rPr>
        <w:t xml:space="preserve">. </w:t>
      </w:r>
      <w:r w:rsidRPr="007771B1">
        <w:rPr>
          <w:rStyle w:val="Emphasis"/>
          <w:rFonts w:ascii="Arial" w:hAnsi="Arial" w:cs="Arial"/>
          <w:i w:val="0"/>
        </w:rPr>
        <w:t>Infection and Immunity, 92</w:t>
      </w:r>
      <w:r w:rsidRPr="007771B1">
        <w:rPr>
          <w:rFonts w:ascii="Arial" w:hAnsi="Arial" w:cs="Arial"/>
        </w:rPr>
        <w:t xml:space="preserve">(9). </w:t>
      </w:r>
      <w:hyperlink r:id="rId27" w:history="1">
        <w:r w:rsidRPr="007771B1">
          <w:rPr>
            <w:rStyle w:val="Hyperlink"/>
            <w:rFonts w:ascii="Arial" w:hAnsi="Arial" w:cs="Arial"/>
          </w:rPr>
          <w:t>https://doi.org/10.1128/iai.00482-23</w:t>
        </w:r>
      </w:hyperlink>
    </w:p>
    <w:p w14:paraId="019A8213" w14:textId="77777777" w:rsidR="007771B1" w:rsidRPr="007771B1" w:rsidRDefault="007771B1" w:rsidP="000E0A82">
      <w:pPr>
        <w:ind w:left="810" w:hanging="810"/>
        <w:jc w:val="both"/>
        <w:rPr>
          <w:rFonts w:ascii="Arial" w:hAnsi="Arial" w:cs="Arial"/>
        </w:rPr>
      </w:pPr>
      <w:r w:rsidRPr="007771B1">
        <w:rPr>
          <w:rStyle w:val="Strong"/>
          <w:rFonts w:ascii="Arial" w:hAnsi="Arial" w:cs="Arial"/>
          <w:b w:val="0"/>
        </w:rPr>
        <w:lastRenderedPageBreak/>
        <w:t>Caruso, G. (2018).</w:t>
      </w:r>
      <w:r w:rsidRPr="007771B1">
        <w:rPr>
          <w:rFonts w:ascii="Arial" w:hAnsi="Arial" w:cs="Arial"/>
        </w:rPr>
        <w:t xml:space="preserve"> Antibiotic resistance in </w:t>
      </w:r>
      <w:r w:rsidRPr="007771B1">
        <w:rPr>
          <w:rStyle w:val="Emphasis"/>
          <w:rFonts w:ascii="Arial" w:hAnsi="Arial" w:cs="Arial"/>
        </w:rPr>
        <w:t>Escherichia coli</w:t>
      </w:r>
      <w:r w:rsidRPr="007771B1">
        <w:rPr>
          <w:rFonts w:ascii="Arial" w:hAnsi="Arial" w:cs="Arial"/>
        </w:rPr>
        <w:t xml:space="preserve"> from farm livestock and related analytical methods: A review. </w:t>
      </w:r>
      <w:r w:rsidRPr="007771B1">
        <w:rPr>
          <w:rStyle w:val="Emphasis"/>
          <w:rFonts w:ascii="Arial" w:hAnsi="Arial" w:cs="Arial"/>
          <w:i w:val="0"/>
        </w:rPr>
        <w:t>Journal of AOAC International, 101</w:t>
      </w:r>
      <w:r w:rsidRPr="007771B1">
        <w:rPr>
          <w:rFonts w:ascii="Arial" w:hAnsi="Arial" w:cs="Arial"/>
        </w:rPr>
        <w:t xml:space="preserve">(4), 916–922. </w:t>
      </w:r>
      <w:hyperlink r:id="rId28" w:tgtFrame="_new" w:history="1">
        <w:r w:rsidRPr="007771B1">
          <w:rPr>
            <w:rStyle w:val="Hyperlink"/>
            <w:rFonts w:ascii="Arial" w:hAnsi="Arial" w:cs="Arial"/>
          </w:rPr>
          <w:t>https://doi.org/10.5740/jaoacint.17-0445</w:t>
        </w:r>
      </w:hyperlink>
      <w:r w:rsidRPr="007771B1">
        <w:rPr>
          <w:rFonts w:ascii="Arial" w:hAnsi="Arial" w:cs="Arial"/>
        </w:rPr>
        <w:t xml:space="preserve"> </w:t>
      </w:r>
    </w:p>
    <w:p w14:paraId="1F7CC4E2"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Church, D. L., Cerutti, L., Gürtler, A., Griener, A., Zelazny, A., &amp; Emler, S. (2020). Performance and application of 16S rRNA gene cycle sequencing for routine identification of bacteria in the clinical microbiology laboratory. </w:t>
      </w:r>
      <w:r w:rsidRPr="007771B1">
        <w:rPr>
          <w:rStyle w:val="Emphasis"/>
          <w:rFonts w:ascii="Arial" w:hAnsi="Arial" w:cs="Arial"/>
          <w:i w:val="0"/>
        </w:rPr>
        <w:t>Clinical Microbiology Reviews, 33</w:t>
      </w:r>
      <w:r w:rsidRPr="007771B1">
        <w:rPr>
          <w:rFonts w:ascii="Arial" w:hAnsi="Arial" w:cs="Arial"/>
        </w:rPr>
        <w:t xml:space="preserve">(4), e00053-19. </w:t>
      </w:r>
      <w:hyperlink r:id="rId29" w:tgtFrame="_new" w:history="1">
        <w:r w:rsidRPr="007771B1">
          <w:rPr>
            <w:rStyle w:val="Hyperlink"/>
            <w:rFonts w:ascii="Arial" w:hAnsi="Arial" w:cs="Arial"/>
          </w:rPr>
          <w:t>https://doi.org/10.1128/CMR.00053-19</w:t>
        </w:r>
      </w:hyperlink>
    </w:p>
    <w:p w14:paraId="1099CB80"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Clarridge, J. E., III. (2004). Impact of 16S rRNA gene sequence analysis for identification of bacteria on clinical microbiology and infectious diseases. </w:t>
      </w:r>
      <w:r w:rsidRPr="007771B1">
        <w:rPr>
          <w:rStyle w:val="Emphasis"/>
          <w:rFonts w:ascii="Arial" w:hAnsi="Arial" w:cs="Arial"/>
          <w:i w:val="0"/>
        </w:rPr>
        <w:t>Clinical Microbiology Reviews, 17</w:t>
      </w:r>
      <w:r w:rsidRPr="007771B1">
        <w:rPr>
          <w:rFonts w:ascii="Arial" w:hAnsi="Arial" w:cs="Arial"/>
        </w:rPr>
        <w:t xml:space="preserve">(4), 840–862. </w:t>
      </w:r>
      <w:hyperlink r:id="rId30" w:history="1">
        <w:r w:rsidRPr="007771B1">
          <w:rPr>
            <w:rStyle w:val="Hyperlink"/>
            <w:rFonts w:ascii="Arial" w:hAnsi="Arial" w:cs="Arial"/>
          </w:rPr>
          <w:t>https://doi.org/10.1128/CMR.17.4.840-862.2004</w:t>
        </w:r>
      </w:hyperlink>
    </w:p>
    <w:p w14:paraId="7720B1B8"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Crump, J. A., </w:t>
      </w:r>
      <w:proofErr w:type="spellStart"/>
      <w:r w:rsidRPr="007771B1">
        <w:rPr>
          <w:rFonts w:ascii="Arial" w:hAnsi="Arial" w:cs="Arial"/>
        </w:rPr>
        <w:t>Sjölund</w:t>
      </w:r>
      <w:proofErr w:type="spellEnd"/>
      <w:r w:rsidRPr="007771B1">
        <w:rPr>
          <w:rFonts w:ascii="Arial" w:hAnsi="Arial" w:cs="Arial"/>
        </w:rPr>
        <w:t xml:space="preserve">-Karlsson, M., Gordon, M. A., &amp; Parry, C. M. (2024). Epidemiology, clinical presentation and laboratory diagnosis of typhoid fever. </w:t>
      </w:r>
      <w:r w:rsidRPr="00360C31">
        <w:rPr>
          <w:rFonts w:ascii="Arial" w:hAnsi="Arial" w:cs="Arial"/>
          <w:iCs/>
        </w:rPr>
        <w:t>The Lancet, 403</w:t>
      </w:r>
      <w:r w:rsidRPr="007771B1">
        <w:rPr>
          <w:rFonts w:ascii="Arial" w:hAnsi="Arial" w:cs="Arial"/>
        </w:rPr>
        <w:t>(10441), 1821–1834.</w:t>
      </w:r>
    </w:p>
    <w:p w14:paraId="3C4EDB97"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t>Diene, S. M., &amp; Rolain, J.-M. (2020).</w:t>
      </w:r>
      <w:r w:rsidRPr="007771B1">
        <w:rPr>
          <w:rFonts w:ascii="Arial" w:hAnsi="Arial" w:cs="Arial"/>
        </w:rPr>
        <w:t xml:space="preserve"> </w:t>
      </w:r>
      <w:proofErr w:type="spellStart"/>
      <w:r w:rsidRPr="007771B1">
        <w:rPr>
          <w:rFonts w:ascii="Arial" w:hAnsi="Arial" w:cs="Arial"/>
        </w:rPr>
        <w:t>Carbapenemase</w:t>
      </w:r>
      <w:proofErr w:type="spellEnd"/>
      <w:r w:rsidRPr="007771B1">
        <w:rPr>
          <w:rFonts w:ascii="Arial" w:hAnsi="Arial" w:cs="Arial"/>
        </w:rPr>
        <w:t xml:space="preserve"> genes and genetic platforms in </w:t>
      </w:r>
      <w:r w:rsidRPr="007771B1">
        <w:rPr>
          <w:rFonts w:ascii="Arial" w:hAnsi="Arial" w:cs="Arial"/>
          <w:i/>
          <w:iCs/>
        </w:rPr>
        <w:t>Gram-negative</w:t>
      </w:r>
      <w:r w:rsidRPr="007771B1">
        <w:rPr>
          <w:rFonts w:ascii="Arial" w:hAnsi="Arial" w:cs="Arial"/>
        </w:rPr>
        <w:t xml:space="preserve"> bacteria: The mechanisms and dynamics of resistance dissemination. </w:t>
      </w:r>
      <w:r w:rsidRPr="00360C31">
        <w:rPr>
          <w:rFonts w:ascii="Arial" w:hAnsi="Arial" w:cs="Arial"/>
          <w:iCs/>
        </w:rPr>
        <w:t>Microbial Drug Resistance, 26</w:t>
      </w:r>
      <w:r w:rsidRPr="007771B1">
        <w:rPr>
          <w:rFonts w:ascii="Arial" w:hAnsi="Arial" w:cs="Arial"/>
        </w:rPr>
        <w:t>(12), 1385–1398.</w:t>
      </w:r>
    </w:p>
    <w:p w14:paraId="384AF5C4"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European Food Safety Authority (EFSA), &amp; European Centre for Disease Prevention and Control (ECDC). (2024). The European Union One Health zoonoses report 2023. </w:t>
      </w:r>
      <w:r w:rsidRPr="007771B1">
        <w:rPr>
          <w:rStyle w:val="Emphasis"/>
          <w:rFonts w:ascii="Arial" w:eastAsiaTheme="majorEastAsia" w:hAnsi="Arial" w:cs="Arial"/>
          <w:i w:val="0"/>
        </w:rPr>
        <w:t>EFSA Journal, 22</w:t>
      </w:r>
      <w:r w:rsidRPr="007771B1">
        <w:rPr>
          <w:rFonts w:ascii="Arial" w:hAnsi="Arial" w:cs="Arial"/>
        </w:rPr>
        <w:t>(12), e09123.</w:t>
      </w:r>
    </w:p>
    <w:p w14:paraId="2EC325BD"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European Food Safety Authority (EFSA), &amp; European Centre for Disease Prevention and Control (ECDC). (2024). The European Union One Health zoonoses report 2023. </w:t>
      </w:r>
      <w:r w:rsidRPr="00360C31">
        <w:rPr>
          <w:rStyle w:val="Emphasis"/>
          <w:rFonts w:ascii="Arial" w:hAnsi="Arial" w:cs="Arial"/>
          <w:i w:val="0"/>
        </w:rPr>
        <w:t>EFSA Journal, 22</w:t>
      </w:r>
      <w:r w:rsidRPr="007771B1">
        <w:rPr>
          <w:rFonts w:ascii="Arial" w:hAnsi="Arial" w:cs="Arial"/>
        </w:rPr>
        <w:t>(12), e09123.</w:t>
      </w:r>
    </w:p>
    <w:p w14:paraId="0F8B8CB8"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Falcão, J. P., Brocchi, M., Proença-</w:t>
      </w:r>
      <w:proofErr w:type="spellStart"/>
      <w:r w:rsidRPr="007771B1">
        <w:rPr>
          <w:rFonts w:ascii="Arial" w:hAnsi="Arial" w:cs="Arial"/>
        </w:rPr>
        <w:t>Módena</w:t>
      </w:r>
      <w:proofErr w:type="spellEnd"/>
      <w:r w:rsidRPr="007771B1">
        <w:rPr>
          <w:rFonts w:ascii="Arial" w:hAnsi="Arial" w:cs="Arial"/>
        </w:rPr>
        <w:t xml:space="preserve">, J. L., </w:t>
      </w:r>
      <w:proofErr w:type="spellStart"/>
      <w:r w:rsidRPr="007771B1">
        <w:rPr>
          <w:rFonts w:ascii="Arial" w:hAnsi="Arial" w:cs="Arial"/>
        </w:rPr>
        <w:t>Acrani</w:t>
      </w:r>
      <w:proofErr w:type="spellEnd"/>
      <w:r w:rsidRPr="007771B1">
        <w:rPr>
          <w:rFonts w:ascii="Arial" w:hAnsi="Arial" w:cs="Arial"/>
        </w:rPr>
        <w:t xml:space="preserve">, G. O., Corrêa, E. F., &amp; Falcão, D. P. (2006). Virulence characteristics and molecular diversity of </w:t>
      </w:r>
      <w:r w:rsidRPr="007771B1">
        <w:rPr>
          <w:rStyle w:val="Emphasis"/>
          <w:rFonts w:ascii="Arial" w:eastAsiaTheme="majorEastAsia" w:hAnsi="Arial" w:cs="Arial"/>
        </w:rPr>
        <w:t>Yersinia enterocolitica</w:t>
      </w:r>
      <w:r w:rsidRPr="007771B1">
        <w:rPr>
          <w:rFonts w:ascii="Arial" w:hAnsi="Arial" w:cs="Arial"/>
        </w:rPr>
        <w:t xml:space="preserve"> strains isolated from humans and animals. </w:t>
      </w:r>
      <w:r w:rsidRPr="007771B1">
        <w:rPr>
          <w:rStyle w:val="Emphasis"/>
          <w:rFonts w:ascii="Arial" w:eastAsiaTheme="majorEastAsia" w:hAnsi="Arial" w:cs="Arial"/>
          <w:i w:val="0"/>
        </w:rPr>
        <w:t>Research in Microbiology, 157</w:t>
      </w:r>
      <w:r w:rsidRPr="007771B1">
        <w:rPr>
          <w:rFonts w:ascii="Arial" w:hAnsi="Arial" w:cs="Arial"/>
        </w:rPr>
        <w:t>(5), 474–482.</w:t>
      </w:r>
    </w:p>
    <w:p w14:paraId="77A22623"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t>Farmer, J. J., III, Davis, B. R., Hickman-Brenner, F. W., McWhorter, A., Huntley-Carter, G. P., Asbury, M. A., Riddle, C., Wathen-Grady, H. G., Elias, C., &amp; Fanning, G. R. (1985).</w:t>
      </w:r>
      <w:r w:rsidRPr="007771B1">
        <w:rPr>
          <w:rFonts w:ascii="Arial" w:hAnsi="Arial" w:cs="Arial"/>
        </w:rPr>
        <w:t xml:space="preserve"> Biochemical identification of new species and </w:t>
      </w:r>
      <w:proofErr w:type="spellStart"/>
      <w:r w:rsidRPr="007771B1">
        <w:rPr>
          <w:rFonts w:ascii="Arial" w:hAnsi="Arial" w:cs="Arial"/>
        </w:rPr>
        <w:t>biogroups</w:t>
      </w:r>
      <w:proofErr w:type="spellEnd"/>
      <w:r w:rsidRPr="007771B1">
        <w:rPr>
          <w:rFonts w:ascii="Arial" w:hAnsi="Arial" w:cs="Arial"/>
        </w:rPr>
        <w:t xml:space="preserve"> of Enterobacteriaceae isolated from clinical specimens. </w:t>
      </w:r>
      <w:r w:rsidRPr="00360C31">
        <w:rPr>
          <w:rFonts w:ascii="Arial" w:hAnsi="Arial" w:cs="Arial"/>
          <w:iCs/>
        </w:rPr>
        <w:t>Journal of Clinical Microbiology, 21</w:t>
      </w:r>
      <w:r w:rsidRPr="007771B1">
        <w:rPr>
          <w:rFonts w:ascii="Arial" w:hAnsi="Arial" w:cs="Arial"/>
        </w:rPr>
        <w:t xml:space="preserve">(1), 46–76. https://doi.org/10.1128/jcm.21.1.46-76.1985 </w:t>
      </w:r>
    </w:p>
    <w:p w14:paraId="229E0EDE"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Fois, F., </w:t>
      </w:r>
      <w:proofErr w:type="spellStart"/>
      <w:r w:rsidRPr="007771B1">
        <w:rPr>
          <w:rFonts w:ascii="Arial" w:hAnsi="Arial" w:cs="Arial"/>
        </w:rPr>
        <w:t>Piras</w:t>
      </w:r>
      <w:proofErr w:type="spellEnd"/>
      <w:r w:rsidRPr="007771B1">
        <w:rPr>
          <w:rFonts w:ascii="Arial" w:hAnsi="Arial" w:cs="Arial"/>
        </w:rPr>
        <w:t xml:space="preserve">, F., </w:t>
      </w:r>
      <w:proofErr w:type="spellStart"/>
      <w:r w:rsidRPr="007771B1">
        <w:rPr>
          <w:rFonts w:ascii="Arial" w:hAnsi="Arial" w:cs="Arial"/>
        </w:rPr>
        <w:t>Spanu</w:t>
      </w:r>
      <w:proofErr w:type="spellEnd"/>
      <w:r w:rsidRPr="007771B1">
        <w:rPr>
          <w:rFonts w:ascii="Arial" w:hAnsi="Arial" w:cs="Arial"/>
        </w:rPr>
        <w:t xml:space="preserve">, C., &amp; Scarano, C. (2023). Occurrence and distribution of pathogenic </w:t>
      </w:r>
      <w:r w:rsidRPr="007771B1">
        <w:rPr>
          <w:rFonts w:ascii="Arial" w:hAnsi="Arial" w:cs="Arial"/>
          <w:i/>
          <w:iCs/>
        </w:rPr>
        <w:t>Yersinia enterocolitica</w:t>
      </w:r>
      <w:r w:rsidRPr="007771B1">
        <w:rPr>
          <w:rFonts w:ascii="Arial" w:hAnsi="Arial" w:cs="Arial"/>
        </w:rPr>
        <w:t xml:space="preserve"> in pigs at different production stages. </w:t>
      </w:r>
      <w:r w:rsidRPr="007771B1">
        <w:rPr>
          <w:rFonts w:ascii="Arial" w:hAnsi="Arial" w:cs="Arial"/>
          <w:iCs/>
        </w:rPr>
        <w:t>Animals, 13</w:t>
      </w:r>
      <w:r w:rsidRPr="007771B1">
        <w:rPr>
          <w:rFonts w:ascii="Arial" w:hAnsi="Arial" w:cs="Arial"/>
        </w:rPr>
        <w:t xml:space="preserve">(7), 1196. </w:t>
      </w:r>
      <w:hyperlink r:id="rId31" w:history="1">
        <w:r w:rsidRPr="007771B1">
          <w:rPr>
            <w:rStyle w:val="Hyperlink"/>
            <w:rFonts w:ascii="Arial" w:hAnsi="Arial" w:cs="Arial"/>
          </w:rPr>
          <w:t>https://doi.org/10.3390/ani13071196</w:t>
        </w:r>
      </w:hyperlink>
    </w:p>
    <w:p w14:paraId="24AD21C2"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Food and Agriculture Organization of the United Nations, United Nations Environment </w:t>
      </w:r>
      <w:proofErr w:type="spellStart"/>
      <w:r w:rsidRPr="007771B1">
        <w:rPr>
          <w:rFonts w:ascii="Arial" w:hAnsi="Arial" w:cs="Arial"/>
        </w:rPr>
        <w:t>Programme</w:t>
      </w:r>
      <w:proofErr w:type="spellEnd"/>
      <w:r w:rsidRPr="007771B1">
        <w:rPr>
          <w:rFonts w:ascii="Arial" w:hAnsi="Arial" w:cs="Arial"/>
        </w:rPr>
        <w:t xml:space="preserve">, World Health Organization, &amp; World </w:t>
      </w:r>
      <w:proofErr w:type="spellStart"/>
      <w:r w:rsidRPr="007771B1">
        <w:rPr>
          <w:rFonts w:ascii="Arial" w:hAnsi="Arial" w:cs="Arial"/>
        </w:rPr>
        <w:t>Organisation</w:t>
      </w:r>
      <w:proofErr w:type="spellEnd"/>
      <w:r w:rsidRPr="007771B1">
        <w:rPr>
          <w:rFonts w:ascii="Arial" w:hAnsi="Arial" w:cs="Arial"/>
        </w:rPr>
        <w:t xml:space="preserve"> for Animal Health. (2022). </w:t>
      </w:r>
      <w:r w:rsidRPr="007771B1">
        <w:rPr>
          <w:rStyle w:val="Emphasis"/>
          <w:rFonts w:ascii="Arial" w:hAnsi="Arial" w:cs="Arial"/>
        </w:rPr>
        <w:t>One Health joint plan of action (2022–2026): Working together for the health of humans, animals, plants and the environment</w:t>
      </w:r>
      <w:r w:rsidRPr="007771B1">
        <w:rPr>
          <w:rFonts w:ascii="Arial" w:hAnsi="Arial" w:cs="Arial"/>
        </w:rPr>
        <w:t xml:space="preserve">. World Health Organization. </w:t>
      </w:r>
      <w:hyperlink r:id="rId32" w:tgtFrame="_blank" w:history="1">
        <w:r w:rsidRPr="007771B1">
          <w:rPr>
            <w:rStyle w:val="Hyperlink"/>
            <w:rFonts w:ascii="Arial" w:hAnsi="Arial" w:cs="Arial"/>
          </w:rPr>
          <w:t>WHO — One Health Joint Plan of Action</w:t>
        </w:r>
      </w:hyperlink>
    </w:p>
    <w:p w14:paraId="20F4D16A" w14:textId="77777777" w:rsidR="007771B1" w:rsidRPr="007771B1" w:rsidRDefault="007771B1" w:rsidP="007771B1">
      <w:pPr>
        <w:spacing w:before="100" w:beforeAutospacing="1" w:after="100" w:afterAutospacing="1"/>
        <w:jc w:val="both"/>
        <w:rPr>
          <w:rStyle w:val="Hyperlink"/>
          <w:rFonts w:ascii="Arial" w:hAnsi="Arial" w:cs="Arial"/>
        </w:rPr>
      </w:pPr>
      <w:r w:rsidRPr="007771B1">
        <w:rPr>
          <w:rFonts w:ascii="Arial" w:hAnsi="Arial" w:cs="Arial"/>
        </w:rPr>
        <w:t xml:space="preserve">Food and Agriculture Organization of the United Nations. (2026). </w:t>
      </w:r>
      <w:r w:rsidRPr="007771B1">
        <w:rPr>
          <w:rStyle w:val="Emphasis"/>
          <w:rFonts w:ascii="Arial" w:hAnsi="Arial" w:cs="Arial"/>
        </w:rPr>
        <w:t>Zoonoses</w:t>
      </w:r>
      <w:r w:rsidRPr="007771B1">
        <w:rPr>
          <w:rFonts w:ascii="Arial" w:hAnsi="Arial" w:cs="Arial"/>
        </w:rPr>
        <w:t xml:space="preserve">. </w:t>
      </w:r>
      <w:hyperlink r:id="rId33" w:tgtFrame="_blank" w:history="1">
        <w:r w:rsidRPr="007771B1">
          <w:rPr>
            <w:rStyle w:val="Hyperlink"/>
            <w:rFonts w:ascii="Arial" w:hAnsi="Arial" w:cs="Arial"/>
          </w:rPr>
          <w:t>FAO: Zoonoses</w:t>
        </w:r>
      </w:hyperlink>
    </w:p>
    <w:p w14:paraId="6B12A35A"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lastRenderedPageBreak/>
        <w:t xml:space="preserve">Frank, J. A., Reich, C. I., Sharma, S., Weisbaum, J. S., Wilson, B. A., &amp; Olsen, G. J. (2008). Critical evaluation of two primers commonly used for amplification of bacterial 16S rRNA genes. </w:t>
      </w:r>
      <w:r w:rsidRPr="007771B1">
        <w:rPr>
          <w:rStyle w:val="Emphasis"/>
          <w:rFonts w:ascii="Arial" w:hAnsi="Arial" w:cs="Arial"/>
          <w:i w:val="0"/>
        </w:rPr>
        <w:t>Applied and Environmental Microbiology, 74</w:t>
      </w:r>
      <w:r w:rsidRPr="007771B1">
        <w:rPr>
          <w:rFonts w:ascii="Arial" w:hAnsi="Arial" w:cs="Arial"/>
        </w:rPr>
        <w:t xml:space="preserve">(8), 2461–2470. </w:t>
      </w:r>
      <w:hyperlink r:id="rId34" w:tgtFrame="_new" w:history="1">
        <w:r w:rsidRPr="007771B1">
          <w:rPr>
            <w:rStyle w:val="Hyperlink"/>
            <w:rFonts w:ascii="Arial" w:hAnsi="Arial" w:cs="Arial"/>
          </w:rPr>
          <w:t>https://doi.org/10.1128/AEM.02272-07</w:t>
        </w:r>
      </w:hyperlink>
    </w:p>
    <w:p w14:paraId="4511975A"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t>Fredriksson-</w:t>
      </w:r>
      <w:proofErr w:type="spellStart"/>
      <w:r w:rsidRPr="007771B1">
        <w:rPr>
          <w:rFonts w:ascii="Arial" w:hAnsi="Arial" w:cs="Arial"/>
          <w:bCs/>
        </w:rPr>
        <w:t>Ahomaa</w:t>
      </w:r>
      <w:proofErr w:type="spellEnd"/>
      <w:r w:rsidRPr="007771B1">
        <w:rPr>
          <w:rFonts w:ascii="Arial" w:hAnsi="Arial" w:cs="Arial"/>
          <w:bCs/>
        </w:rPr>
        <w:t>, M. (2012).</w:t>
      </w:r>
      <w:r w:rsidRPr="007771B1">
        <w:rPr>
          <w:rFonts w:ascii="Arial" w:hAnsi="Arial" w:cs="Arial"/>
        </w:rPr>
        <w:t xml:space="preserve"> </w:t>
      </w:r>
      <w:r w:rsidRPr="007771B1">
        <w:rPr>
          <w:rFonts w:ascii="Arial" w:hAnsi="Arial" w:cs="Arial"/>
          <w:i/>
          <w:iCs/>
        </w:rPr>
        <w:t>Yersinia enterocolitica</w:t>
      </w:r>
      <w:r w:rsidRPr="007771B1">
        <w:rPr>
          <w:rFonts w:ascii="Arial" w:hAnsi="Arial" w:cs="Arial"/>
        </w:rPr>
        <w:t xml:space="preserve">: The need for improved epidemiological and diagnostic methods. </w:t>
      </w:r>
      <w:r w:rsidRPr="00360C31">
        <w:rPr>
          <w:rFonts w:ascii="Arial" w:hAnsi="Arial" w:cs="Arial"/>
          <w:iCs/>
        </w:rPr>
        <w:t>Journal of Clinical Microbiology, 50</w:t>
      </w:r>
      <w:r w:rsidRPr="007771B1">
        <w:rPr>
          <w:rFonts w:ascii="Arial" w:hAnsi="Arial" w:cs="Arial"/>
        </w:rPr>
        <w:t xml:space="preserve">(5), 1589–1590. </w:t>
      </w:r>
      <w:hyperlink r:id="rId35" w:history="1">
        <w:r w:rsidRPr="007771B1">
          <w:rPr>
            <w:rStyle w:val="Hyperlink"/>
            <w:rFonts w:ascii="Arial" w:hAnsi="Arial" w:cs="Arial"/>
          </w:rPr>
          <w:t>https://doi.org/10.1128/JCM.00140-12</w:t>
        </w:r>
      </w:hyperlink>
    </w:p>
    <w:p w14:paraId="4EE821A6" w14:textId="77777777" w:rsidR="007771B1" w:rsidRPr="007771B1" w:rsidRDefault="007771B1" w:rsidP="000E0A82">
      <w:pPr>
        <w:pStyle w:val="NormalWeb"/>
        <w:ind w:left="810" w:hanging="810"/>
        <w:rPr>
          <w:rFonts w:ascii="Arial" w:hAnsi="Arial" w:cs="Arial"/>
          <w:sz w:val="20"/>
          <w:szCs w:val="20"/>
        </w:rPr>
      </w:pPr>
      <w:r w:rsidRPr="007771B1">
        <w:rPr>
          <w:rStyle w:val="Strong"/>
          <w:rFonts w:ascii="Arial" w:eastAsiaTheme="majorEastAsia" w:hAnsi="Arial" w:cs="Arial"/>
          <w:b w:val="0"/>
          <w:sz w:val="20"/>
          <w:szCs w:val="20"/>
        </w:rPr>
        <w:t>Fredriksson-</w:t>
      </w:r>
      <w:proofErr w:type="spellStart"/>
      <w:r w:rsidRPr="007771B1">
        <w:rPr>
          <w:rStyle w:val="Strong"/>
          <w:rFonts w:ascii="Arial" w:eastAsiaTheme="majorEastAsia" w:hAnsi="Arial" w:cs="Arial"/>
          <w:b w:val="0"/>
          <w:sz w:val="20"/>
          <w:szCs w:val="20"/>
        </w:rPr>
        <w:t>Ahomaa</w:t>
      </w:r>
      <w:proofErr w:type="spellEnd"/>
      <w:r w:rsidRPr="007771B1">
        <w:rPr>
          <w:rStyle w:val="Strong"/>
          <w:rFonts w:ascii="Arial" w:eastAsiaTheme="majorEastAsia" w:hAnsi="Arial" w:cs="Arial"/>
          <w:b w:val="0"/>
          <w:sz w:val="20"/>
          <w:szCs w:val="20"/>
        </w:rPr>
        <w:t>, M. (2014).</w:t>
      </w:r>
      <w:r w:rsidRPr="007771B1">
        <w:rPr>
          <w:rFonts w:ascii="Arial" w:hAnsi="Arial" w:cs="Arial"/>
          <w:sz w:val="20"/>
          <w:szCs w:val="20"/>
        </w:rPr>
        <w:t xml:space="preserve"> </w:t>
      </w:r>
      <w:r w:rsidRPr="007771B1">
        <w:rPr>
          <w:rStyle w:val="Emphasis"/>
          <w:rFonts w:ascii="Arial" w:eastAsiaTheme="majorEastAsia" w:hAnsi="Arial" w:cs="Arial"/>
          <w:sz w:val="20"/>
          <w:szCs w:val="20"/>
        </w:rPr>
        <w:t>Yersinia enterocolitica</w:t>
      </w:r>
      <w:r w:rsidRPr="007771B1">
        <w:rPr>
          <w:rFonts w:ascii="Arial" w:hAnsi="Arial" w:cs="Arial"/>
          <w:sz w:val="20"/>
          <w:szCs w:val="20"/>
        </w:rPr>
        <w:t xml:space="preserve">: A neglected foodborne pathogen. </w:t>
      </w:r>
      <w:r w:rsidRPr="007771B1">
        <w:rPr>
          <w:rStyle w:val="Emphasis"/>
          <w:rFonts w:ascii="Arial" w:eastAsiaTheme="majorEastAsia" w:hAnsi="Arial" w:cs="Arial"/>
          <w:i w:val="0"/>
          <w:sz w:val="20"/>
          <w:szCs w:val="20"/>
        </w:rPr>
        <w:t>Food Microbiology, 38</w:t>
      </w:r>
      <w:r w:rsidRPr="007771B1">
        <w:rPr>
          <w:rFonts w:ascii="Arial" w:hAnsi="Arial" w:cs="Arial"/>
          <w:i/>
          <w:sz w:val="20"/>
          <w:szCs w:val="20"/>
        </w:rPr>
        <w:t>,</w:t>
      </w:r>
      <w:r w:rsidRPr="007771B1">
        <w:rPr>
          <w:rFonts w:ascii="Arial" w:hAnsi="Arial" w:cs="Arial"/>
          <w:sz w:val="20"/>
          <w:szCs w:val="20"/>
        </w:rPr>
        <w:t xml:space="preserve"> 93–100. </w:t>
      </w:r>
      <w:hyperlink r:id="rId36" w:history="1">
        <w:r w:rsidRPr="007771B1">
          <w:rPr>
            <w:rStyle w:val="Hyperlink"/>
            <w:rFonts w:ascii="Arial" w:hAnsi="Arial" w:cs="Arial"/>
            <w:sz w:val="20"/>
            <w:szCs w:val="20"/>
          </w:rPr>
          <w:t>https://doi.org/10.1016/j.fm.2013.08.007</w:t>
        </w:r>
      </w:hyperlink>
    </w:p>
    <w:p w14:paraId="3A5FC1DC"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Fredriksson-</w:t>
      </w:r>
      <w:proofErr w:type="spellStart"/>
      <w:r w:rsidRPr="007771B1">
        <w:rPr>
          <w:rFonts w:ascii="Arial" w:hAnsi="Arial" w:cs="Arial"/>
        </w:rPr>
        <w:t>Ahomaa</w:t>
      </w:r>
      <w:proofErr w:type="spellEnd"/>
      <w:r w:rsidRPr="007771B1">
        <w:rPr>
          <w:rFonts w:ascii="Arial" w:hAnsi="Arial" w:cs="Arial"/>
        </w:rPr>
        <w:t xml:space="preserve">, M., </w:t>
      </w:r>
      <w:proofErr w:type="spellStart"/>
      <w:r w:rsidRPr="007771B1">
        <w:rPr>
          <w:rFonts w:ascii="Arial" w:hAnsi="Arial" w:cs="Arial"/>
        </w:rPr>
        <w:t>Wacheck</w:t>
      </w:r>
      <w:proofErr w:type="spellEnd"/>
      <w:r w:rsidRPr="007771B1">
        <w:rPr>
          <w:rFonts w:ascii="Arial" w:hAnsi="Arial" w:cs="Arial"/>
        </w:rPr>
        <w:t xml:space="preserve">, S., Koenig, M., Stolle, A., &amp; Stephan, R. (2024). Epidemiology and zoonotic significance of </w:t>
      </w:r>
      <w:r w:rsidRPr="007771B1">
        <w:rPr>
          <w:rFonts w:ascii="Arial" w:hAnsi="Arial" w:cs="Arial"/>
          <w:i/>
          <w:iCs/>
        </w:rPr>
        <w:t>Yersinia pseudotuberculosis</w:t>
      </w:r>
      <w:r w:rsidRPr="007771B1">
        <w:rPr>
          <w:rFonts w:ascii="Arial" w:hAnsi="Arial" w:cs="Arial"/>
        </w:rPr>
        <w:t xml:space="preserve"> in food-producing animals. </w:t>
      </w:r>
      <w:r w:rsidRPr="007771B1">
        <w:rPr>
          <w:rFonts w:ascii="Arial" w:hAnsi="Arial" w:cs="Arial"/>
          <w:iCs/>
        </w:rPr>
        <w:t>Pathogens, 13</w:t>
      </w:r>
      <w:r w:rsidRPr="007771B1">
        <w:rPr>
          <w:rFonts w:ascii="Arial" w:hAnsi="Arial" w:cs="Arial"/>
        </w:rPr>
        <w:t>(2), 164.</w:t>
      </w:r>
    </w:p>
    <w:p w14:paraId="069CE5A0"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Garcia, B. L. N., Dantas, S. T. A., Barbosa, K. S., Mitsunaga, T. M., Butters, A., Camargo, C. H., &amp; Nobrega, D. B. (2024). Extended-spectrum beta-lactamase-producing </w:t>
      </w:r>
      <w:r w:rsidRPr="007771B1">
        <w:rPr>
          <w:rStyle w:val="Emphasis"/>
          <w:rFonts w:ascii="Arial" w:hAnsi="Arial" w:cs="Arial"/>
        </w:rPr>
        <w:t>Escherichia coli</w:t>
      </w:r>
      <w:r w:rsidRPr="007771B1">
        <w:rPr>
          <w:rFonts w:ascii="Arial" w:hAnsi="Arial" w:cs="Arial"/>
        </w:rPr>
        <w:t xml:space="preserve"> and other antimicrobial-resistant Gram-negative pathogens isolated from bovine mastitis: A One Health perspective. </w:t>
      </w:r>
      <w:r w:rsidRPr="00360C31">
        <w:rPr>
          <w:rStyle w:val="Emphasis"/>
          <w:rFonts w:ascii="Arial" w:hAnsi="Arial" w:cs="Arial"/>
          <w:i w:val="0"/>
        </w:rPr>
        <w:t>Antibiotics, 13</w:t>
      </w:r>
      <w:r w:rsidRPr="007771B1">
        <w:rPr>
          <w:rFonts w:ascii="Arial" w:hAnsi="Arial" w:cs="Arial"/>
        </w:rPr>
        <w:t xml:space="preserve">(5), 391. </w:t>
      </w:r>
      <w:hyperlink r:id="rId37" w:history="1">
        <w:r w:rsidRPr="007771B1">
          <w:rPr>
            <w:rStyle w:val="Hyperlink"/>
            <w:rFonts w:ascii="Arial" w:hAnsi="Arial" w:cs="Arial"/>
          </w:rPr>
          <w:t>https://doi.org/10.3390/antibiotics13050391</w:t>
        </w:r>
      </w:hyperlink>
    </w:p>
    <w:p w14:paraId="4C21D04A"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rPr>
        <w:t xml:space="preserve">Green, M. R., &amp; Sambrook, J. (2012). </w:t>
      </w:r>
      <w:r w:rsidRPr="007771B1">
        <w:rPr>
          <w:rFonts w:ascii="Arial" w:hAnsi="Arial" w:cs="Arial"/>
          <w:i/>
          <w:iCs/>
        </w:rPr>
        <w:t>Molecular cloning: A laboratory manual</w:t>
      </w:r>
      <w:r w:rsidRPr="007771B1">
        <w:rPr>
          <w:rFonts w:ascii="Arial" w:hAnsi="Arial" w:cs="Arial"/>
        </w:rPr>
        <w:t xml:space="preserve"> (4th ed.). Cold Spring Harbor Laboratory Press.</w:t>
      </w:r>
    </w:p>
    <w:p w14:paraId="48408451" w14:textId="77777777" w:rsidR="00231918" w:rsidRPr="00231918" w:rsidRDefault="00231918" w:rsidP="000E0A82">
      <w:pPr>
        <w:spacing w:before="100" w:beforeAutospacing="1" w:after="100" w:afterAutospacing="1"/>
        <w:ind w:left="810" w:hanging="810"/>
        <w:jc w:val="both"/>
        <w:rPr>
          <w:rFonts w:ascii="Arial" w:hAnsi="Arial" w:cs="Arial"/>
        </w:rPr>
      </w:pPr>
      <w:r w:rsidRPr="00231918">
        <w:rPr>
          <w:rFonts w:ascii="Arial" w:hAnsi="Arial" w:cs="Arial"/>
        </w:rPr>
        <w:t xml:space="preserve">Hall, M., Chattaway, M. A., Reuter, S., Savin, C., Strauch, E., </w:t>
      </w:r>
      <w:proofErr w:type="spellStart"/>
      <w:r w:rsidRPr="00231918">
        <w:rPr>
          <w:rFonts w:ascii="Arial" w:hAnsi="Arial" w:cs="Arial"/>
        </w:rPr>
        <w:t>Carniel</w:t>
      </w:r>
      <w:proofErr w:type="spellEnd"/>
      <w:r w:rsidRPr="00231918">
        <w:rPr>
          <w:rFonts w:ascii="Arial" w:hAnsi="Arial" w:cs="Arial"/>
        </w:rPr>
        <w:t xml:space="preserve">, E., Connor, T., Van Damme, I., Rajakaruna, L., </w:t>
      </w:r>
      <w:proofErr w:type="spellStart"/>
      <w:r w:rsidRPr="00231918">
        <w:rPr>
          <w:rFonts w:ascii="Arial" w:hAnsi="Arial" w:cs="Arial"/>
        </w:rPr>
        <w:t>Rajendram</w:t>
      </w:r>
      <w:proofErr w:type="spellEnd"/>
      <w:r w:rsidRPr="00231918">
        <w:rPr>
          <w:rFonts w:ascii="Arial" w:hAnsi="Arial" w:cs="Arial"/>
        </w:rPr>
        <w:t xml:space="preserve">, D., Jenkins, C., Thomson, N. R., &amp; McNally, A. (2015). Use of whole-genus genome sequence data to develop a </w:t>
      </w:r>
      <w:proofErr w:type="spellStart"/>
      <w:r w:rsidRPr="00231918">
        <w:rPr>
          <w:rFonts w:ascii="Arial" w:hAnsi="Arial" w:cs="Arial"/>
        </w:rPr>
        <w:t>multilocus</w:t>
      </w:r>
      <w:proofErr w:type="spellEnd"/>
      <w:r w:rsidRPr="00231918">
        <w:rPr>
          <w:rFonts w:ascii="Arial" w:hAnsi="Arial" w:cs="Arial"/>
        </w:rPr>
        <w:t xml:space="preserve"> sequence typing tool that accurately identifies </w:t>
      </w:r>
      <w:r w:rsidRPr="00231918">
        <w:rPr>
          <w:rStyle w:val="Emphasis"/>
          <w:rFonts w:ascii="Arial" w:hAnsi="Arial" w:cs="Arial"/>
        </w:rPr>
        <w:t>Yersinia</w:t>
      </w:r>
      <w:r w:rsidRPr="00231918">
        <w:rPr>
          <w:rFonts w:ascii="Arial" w:hAnsi="Arial" w:cs="Arial"/>
        </w:rPr>
        <w:t xml:space="preserve"> isolates to the species and subspecies levels. </w:t>
      </w:r>
      <w:r w:rsidRPr="00231918">
        <w:rPr>
          <w:rStyle w:val="Emphasis"/>
          <w:rFonts w:ascii="Arial" w:hAnsi="Arial" w:cs="Arial"/>
          <w:i w:val="0"/>
        </w:rPr>
        <w:t>Journal of Clinical Microbiology, 53</w:t>
      </w:r>
      <w:r w:rsidRPr="00231918">
        <w:rPr>
          <w:rFonts w:ascii="Arial" w:hAnsi="Arial" w:cs="Arial"/>
        </w:rPr>
        <w:t xml:space="preserve">(1), 35–42. </w:t>
      </w:r>
      <w:hyperlink r:id="rId38" w:history="1">
        <w:r w:rsidRPr="00231918">
          <w:rPr>
            <w:rStyle w:val="Hyperlink"/>
            <w:rFonts w:ascii="Arial" w:hAnsi="Arial" w:cs="Arial"/>
          </w:rPr>
          <w:t>https://doi.org/10.1128/JCM.02395-14</w:t>
        </w:r>
      </w:hyperlink>
    </w:p>
    <w:p w14:paraId="6E2104AB"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Heredia, N., &amp; García, S. (2018). Animals as sources of food-borne pathogens: A review. </w:t>
      </w:r>
      <w:r w:rsidRPr="007771B1">
        <w:rPr>
          <w:rStyle w:val="Emphasis"/>
          <w:rFonts w:ascii="Arial" w:hAnsi="Arial" w:cs="Arial"/>
          <w:i w:val="0"/>
        </w:rPr>
        <w:t>Animal Nutrition, 4</w:t>
      </w:r>
      <w:r w:rsidRPr="007771B1">
        <w:rPr>
          <w:rFonts w:ascii="Arial" w:hAnsi="Arial" w:cs="Arial"/>
        </w:rPr>
        <w:t xml:space="preserve">(3), 250–255. </w:t>
      </w:r>
      <w:hyperlink r:id="rId39" w:tgtFrame="_new" w:history="1">
        <w:r w:rsidRPr="007771B1">
          <w:rPr>
            <w:rStyle w:val="Hyperlink"/>
            <w:rFonts w:ascii="Arial" w:hAnsi="Arial" w:cs="Arial"/>
          </w:rPr>
          <w:t>https://doi.org/10.1016/j.aninu.2018.04.006</w:t>
        </w:r>
      </w:hyperlink>
    </w:p>
    <w:p w14:paraId="03BD0DE2" w14:textId="77777777" w:rsidR="007771B1" w:rsidRPr="007771B1" w:rsidRDefault="007771B1" w:rsidP="000E0A82">
      <w:pPr>
        <w:pStyle w:val="NormalWeb"/>
        <w:ind w:left="810" w:hanging="810"/>
        <w:rPr>
          <w:rFonts w:ascii="Arial" w:hAnsi="Arial" w:cs="Arial"/>
          <w:sz w:val="20"/>
          <w:szCs w:val="20"/>
        </w:rPr>
      </w:pPr>
      <w:r w:rsidRPr="007771B1">
        <w:rPr>
          <w:rStyle w:val="Strong"/>
          <w:rFonts w:ascii="Arial" w:eastAsiaTheme="majorEastAsia" w:hAnsi="Arial" w:cs="Arial"/>
          <w:b w:val="0"/>
          <w:sz w:val="20"/>
          <w:szCs w:val="20"/>
        </w:rPr>
        <w:t>Holman, D. B., Brunelle, B. W., Trachsel, J., &amp; Allen, H. K. (2017).</w:t>
      </w:r>
      <w:r w:rsidRPr="007771B1">
        <w:rPr>
          <w:rFonts w:ascii="Arial" w:hAnsi="Arial" w:cs="Arial"/>
          <w:sz w:val="20"/>
          <w:szCs w:val="20"/>
        </w:rPr>
        <w:t xml:space="preserve"> Meta-analysis to define a core microbiota in the swine gut. </w:t>
      </w:r>
      <w:proofErr w:type="spellStart"/>
      <w:r w:rsidRPr="0078384A">
        <w:rPr>
          <w:rStyle w:val="Emphasis"/>
          <w:rFonts w:ascii="Arial" w:eastAsiaTheme="majorEastAsia" w:hAnsi="Arial" w:cs="Arial"/>
          <w:i w:val="0"/>
          <w:sz w:val="20"/>
          <w:szCs w:val="20"/>
        </w:rPr>
        <w:t>mSystems</w:t>
      </w:r>
      <w:proofErr w:type="spellEnd"/>
      <w:r w:rsidRPr="0078384A">
        <w:rPr>
          <w:rStyle w:val="Emphasis"/>
          <w:rFonts w:ascii="Arial" w:eastAsiaTheme="majorEastAsia" w:hAnsi="Arial" w:cs="Arial"/>
          <w:i w:val="0"/>
          <w:sz w:val="20"/>
          <w:szCs w:val="20"/>
        </w:rPr>
        <w:t>, 2</w:t>
      </w:r>
      <w:r w:rsidRPr="007771B1">
        <w:rPr>
          <w:rFonts w:ascii="Arial" w:hAnsi="Arial" w:cs="Arial"/>
          <w:sz w:val="20"/>
          <w:szCs w:val="20"/>
        </w:rPr>
        <w:t>(3), e00004-17. https://doi.org/10.1128/mSystems.00004-17</w:t>
      </w:r>
    </w:p>
    <w:p w14:paraId="06CA5106"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rPr>
        <w:t xml:space="preserve">International Organization for Standardization. (2017). </w:t>
      </w:r>
      <w:r w:rsidRPr="007771B1">
        <w:rPr>
          <w:rStyle w:val="Emphasis"/>
          <w:rFonts w:ascii="Arial" w:hAnsi="Arial" w:cs="Arial"/>
        </w:rPr>
        <w:t>ISO 21528-1:2017: Microbiology of the food chain—Horizontal method for the detection and enumeration of Enterobacteriaceae—Part 1: Detection of Enterobacteriaceae</w:t>
      </w:r>
      <w:r w:rsidRPr="007771B1">
        <w:rPr>
          <w:rFonts w:ascii="Arial" w:hAnsi="Arial" w:cs="Arial"/>
        </w:rPr>
        <w:t>. ISO.</w:t>
      </w:r>
    </w:p>
    <w:p w14:paraId="1A931651"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rPr>
        <w:t xml:space="preserve">Janda, J. M., &amp; Abbott, S. L. (2007). 16S rRNA gene sequencing for bacterial identification in the diagnostic laboratory: Pluses, perils, and pitfalls. </w:t>
      </w:r>
      <w:r w:rsidRPr="00276448">
        <w:rPr>
          <w:rFonts w:ascii="Arial" w:hAnsi="Arial" w:cs="Arial"/>
          <w:iCs/>
        </w:rPr>
        <w:t>Journal of Clinical Microbiology, 45</w:t>
      </w:r>
      <w:r w:rsidRPr="007771B1">
        <w:rPr>
          <w:rFonts w:ascii="Arial" w:hAnsi="Arial" w:cs="Arial"/>
        </w:rPr>
        <w:t xml:space="preserve">(9), 2761–2764. </w:t>
      </w:r>
      <w:hyperlink r:id="rId40" w:history="1">
        <w:r w:rsidRPr="007771B1">
          <w:rPr>
            <w:rStyle w:val="Hyperlink"/>
            <w:rFonts w:ascii="Arial" w:hAnsi="Arial" w:cs="Arial"/>
          </w:rPr>
          <w:t>https://doi.org/10.1128/JCM.01228-07</w:t>
        </w:r>
      </w:hyperlink>
    </w:p>
    <w:p w14:paraId="17CBF1AD"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Johnson, M., Zaretskaya, I., </w:t>
      </w:r>
      <w:proofErr w:type="spellStart"/>
      <w:r w:rsidRPr="007771B1">
        <w:rPr>
          <w:rFonts w:ascii="Arial" w:hAnsi="Arial" w:cs="Arial"/>
        </w:rPr>
        <w:t>Raytselis</w:t>
      </w:r>
      <w:proofErr w:type="spellEnd"/>
      <w:r w:rsidRPr="007771B1">
        <w:rPr>
          <w:rFonts w:ascii="Arial" w:hAnsi="Arial" w:cs="Arial"/>
        </w:rPr>
        <w:t xml:space="preserve">, Y., </w:t>
      </w:r>
      <w:proofErr w:type="spellStart"/>
      <w:r w:rsidRPr="007771B1">
        <w:rPr>
          <w:rFonts w:ascii="Arial" w:hAnsi="Arial" w:cs="Arial"/>
        </w:rPr>
        <w:t>Merezhuk</w:t>
      </w:r>
      <w:proofErr w:type="spellEnd"/>
      <w:r w:rsidRPr="007771B1">
        <w:rPr>
          <w:rFonts w:ascii="Arial" w:hAnsi="Arial" w:cs="Arial"/>
        </w:rPr>
        <w:t xml:space="preserve">, Y., McGinnis, S., &amp; Madden, T. L. (2008). NCBI BLAST: A better web interface. </w:t>
      </w:r>
      <w:r w:rsidRPr="00276448">
        <w:rPr>
          <w:rFonts w:ascii="Arial" w:hAnsi="Arial" w:cs="Arial"/>
          <w:iCs/>
        </w:rPr>
        <w:t>Nucleic Acids Research, 36</w:t>
      </w:r>
      <w:r w:rsidRPr="007771B1">
        <w:rPr>
          <w:rFonts w:ascii="Arial" w:hAnsi="Arial" w:cs="Arial"/>
        </w:rPr>
        <w:t xml:space="preserve">(Web Server issue), W5–W9. </w:t>
      </w:r>
      <w:hyperlink r:id="rId41" w:history="1">
        <w:r w:rsidRPr="007771B1">
          <w:rPr>
            <w:rStyle w:val="Hyperlink"/>
            <w:rFonts w:ascii="Arial" w:hAnsi="Arial" w:cs="Arial"/>
          </w:rPr>
          <w:t>https://doi.org/10.1093/nar/gkn201</w:t>
        </w:r>
      </w:hyperlink>
    </w:p>
    <w:p w14:paraId="060341EF"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lastRenderedPageBreak/>
        <w:t xml:space="preserve">Jones, D. C., LaMartina, E. L., Lewis, J. R., Dahl, A. J., Nadig, N., Szabo, A., Newton, R. J., &amp; </w:t>
      </w:r>
      <w:proofErr w:type="spellStart"/>
      <w:r w:rsidRPr="007771B1">
        <w:rPr>
          <w:rFonts w:ascii="Arial" w:hAnsi="Arial" w:cs="Arial"/>
          <w:bCs/>
        </w:rPr>
        <w:t>Skwor</w:t>
      </w:r>
      <w:proofErr w:type="spellEnd"/>
      <w:r w:rsidRPr="007771B1">
        <w:rPr>
          <w:rFonts w:ascii="Arial" w:hAnsi="Arial" w:cs="Arial"/>
          <w:bCs/>
        </w:rPr>
        <w:t>, T. A. (2023).</w:t>
      </w:r>
      <w:r w:rsidRPr="007771B1">
        <w:rPr>
          <w:rFonts w:ascii="Arial" w:hAnsi="Arial" w:cs="Arial"/>
        </w:rPr>
        <w:t xml:space="preserve"> One Health and global health view of antimicrobial susceptibility through the “eye” of </w:t>
      </w:r>
      <w:r w:rsidRPr="007771B1">
        <w:rPr>
          <w:rFonts w:ascii="Arial" w:hAnsi="Arial" w:cs="Arial"/>
          <w:i/>
          <w:iCs/>
        </w:rPr>
        <w:t>Aeromonas</w:t>
      </w:r>
      <w:r w:rsidRPr="007771B1">
        <w:rPr>
          <w:rFonts w:ascii="Arial" w:hAnsi="Arial" w:cs="Arial"/>
        </w:rPr>
        <w:t xml:space="preserve">: Systematic review and meta-analysis. </w:t>
      </w:r>
      <w:r w:rsidRPr="00276448">
        <w:rPr>
          <w:rFonts w:ascii="Arial" w:hAnsi="Arial" w:cs="Arial"/>
          <w:iCs/>
        </w:rPr>
        <w:t>International Journal of Antimicrobial Agents, 62</w:t>
      </w:r>
      <w:r w:rsidRPr="007771B1">
        <w:rPr>
          <w:rFonts w:ascii="Arial" w:hAnsi="Arial" w:cs="Arial"/>
        </w:rPr>
        <w:t xml:space="preserve">(2), 106848. </w:t>
      </w:r>
      <w:hyperlink r:id="rId42" w:history="1">
        <w:r w:rsidRPr="007771B1">
          <w:rPr>
            <w:rStyle w:val="Hyperlink"/>
            <w:rFonts w:ascii="Arial" w:hAnsi="Arial" w:cs="Arial"/>
          </w:rPr>
          <w:t>https://doi.org/10.1016/j.ijantimicag.2023.106848</w:t>
        </w:r>
      </w:hyperlink>
      <w:r w:rsidRPr="007771B1">
        <w:rPr>
          <w:rFonts w:ascii="Arial" w:hAnsi="Arial" w:cs="Arial"/>
        </w:rPr>
        <w:t>.</w:t>
      </w:r>
    </w:p>
    <w:p w14:paraId="46051742" w14:textId="77777777" w:rsidR="007771B1" w:rsidRPr="007771B1" w:rsidRDefault="007771B1" w:rsidP="000E0A82">
      <w:pPr>
        <w:ind w:left="810" w:hanging="810"/>
        <w:jc w:val="both"/>
        <w:rPr>
          <w:rFonts w:ascii="Arial" w:hAnsi="Arial" w:cs="Arial"/>
        </w:rPr>
      </w:pPr>
      <w:r w:rsidRPr="007771B1">
        <w:rPr>
          <w:rFonts w:ascii="Arial" w:hAnsi="Arial" w:cs="Arial"/>
        </w:rPr>
        <w:t xml:space="preserve">Kaper, J. B., </w:t>
      </w:r>
      <w:proofErr w:type="spellStart"/>
      <w:r w:rsidRPr="007771B1">
        <w:rPr>
          <w:rFonts w:ascii="Arial" w:hAnsi="Arial" w:cs="Arial"/>
        </w:rPr>
        <w:t>Nataro</w:t>
      </w:r>
      <w:proofErr w:type="spellEnd"/>
      <w:r w:rsidRPr="007771B1">
        <w:rPr>
          <w:rFonts w:ascii="Arial" w:hAnsi="Arial" w:cs="Arial"/>
        </w:rPr>
        <w:t xml:space="preserve">, J. P., &amp; Mobley, H. L. T. (2023). </w:t>
      </w:r>
      <w:r w:rsidRPr="007771B1">
        <w:rPr>
          <w:rFonts w:ascii="Arial" w:hAnsi="Arial" w:cs="Arial"/>
          <w:i/>
          <w:iCs/>
        </w:rPr>
        <w:t>Pathogenic Escherichia coli</w:t>
      </w:r>
      <w:r w:rsidRPr="007771B1">
        <w:rPr>
          <w:rFonts w:ascii="Arial" w:hAnsi="Arial" w:cs="Arial"/>
        </w:rPr>
        <w:t xml:space="preserve">. In J. E. Bennett, R. Dolin, &amp; M. J. Blaser (Eds.), </w:t>
      </w:r>
      <w:r w:rsidRPr="007771B1">
        <w:rPr>
          <w:rFonts w:ascii="Arial" w:hAnsi="Arial" w:cs="Arial"/>
          <w:i/>
          <w:iCs/>
        </w:rPr>
        <w:t>Mandell, Douglas, and Bennett's Principles and Practice of Infectious Diseases</w:t>
      </w:r>
      <w:r w:rsidRPr="007771B1">
        <w:rPr>
          <w:rFonts w:ascii="Arial" w:hAnsi="Arial" w:cs="Arial"/>
        </w:rPr>
        <w:t xml:space="preserve"> (10th ed.). Elsevier. </w:t>
      </w:r>
    </w:p>
    <w:p w14:paraId="4C5A29F9" w14:textId="77777777" w:rsidR="007771B1" w:rsidRPr="007771B1" w:rsidRDefault="007771B1" w:rsidP="000E0A82">
      <w:pPr>
        <w:spacing w:before="100" w:beforeAutospacing="1" w:after="100" w:afterAutospacing="1"/>
        <w:ind w:left="810" w:hanging="810"/>
        <w:jc w:val="both"/>
        <w:rPr>
          <w:rStyle w:val="Hyperlink"/>
          <w:rFonts w:ascii="Arial" w:eastAsiaTheme="majorEastAsia" w:hAnsi="Arial" w:cs="Arial"/>
        </w:rPr>
      </w:pPr>
      <w:r w:rsidRPr="007771B1">
        <w:rPr>
          <w:rFonts w:ascii="Arial" w:hAnsi="Arial" w:cs="Arial"/>
        </w:rPr>
        <w:t xml:space="preserve">Kot, B., &amp; </w:t>
      </w:r>
      <w:proofErr w:type="spellStart"/>
      <w:r w:rsidRPr="007771B1">
        <w:rPr>
          <w:rFonts w:ascii="Arial" w:hAnsi="Arial" w:cs="Arial"/>
        </w:rPr>
        <w:t>Witeska</w:t>
      </w:r>
      <w:proofErr w:type="spellEnd"/>
      <w:r w:rsidRPr="007771B1">
        <w:rPr>
          <w:rFonts w:ascii="Arial" w:hAnsi="Arial" w:cs="Arial"/>
        </w:rPr>
        <w:t xml:space="preserve">, M. (2024). Review: Antimicrobial resistance of </w:t>
      </w:r>
      <w:r w:rsidRPr="007771B1">
        <w:rPr>
          <w:rStyle w:val="Emphasis"/>
          <w:rFonts w:ascii="Arial" w:hAnsi="Arial" w:cs="Arial"/>
        </w:rPr>
        <w:t>Klebsiella pneumoniae</w:t>
      </w:r>
      <w:r w:rsidRPr="007771B1">
        <w:rPr>
          <w:rFonts w:ascii="Arial" w:hAnsi="Arial" w:cs="Arial"/>
        </w:rPr>
        <w:t xml:space="preserve"> isolated from poultry, cattle and pigs. </w:t>
      </w:r>
      <w:r w:rsidRPr="007771B1">
        <w:rPr>
          <w:rStyle w:val="Emphasis"/>
          <w:rFonts w:ascii="Arial" w:hAnsi="Arial" w:cs="Arial"/>
          <w:i w:val="0"/>
        </w:rPr>
        <w:t>Animal, 18</w:t>
      </w:r>
      <w:r w:rsidRPr="007771B1">
        <w:rPr>
          <w:rFonts w:ascii="Arial" w:hAnsi="Arial" w:cs="Arial"/>
        </w:rPr>
        <w:t xml:space="preserve">(11), 101345. </w:t>
      </w:r>
      <w:hyperlink r:id="rId43" w:tgtFrame="_new" w:history="1">
        <w:r w:rsidRPr="007771B1">
          <w:rPr>
            <w:rStyle w:val="Hyperlink"/>
            <w:rFonts w:ascii="Arial" w:hAnsi="Arial" w:cs="Arial"/>
          </w:rPr>
          <w:t>https://doi.org/10.1016/j.animal.2024.101345</w:t>
        </w:r>
      </w:hyperlink>
    </w:p>
    <w:p w14:paraId="3A091DFC"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Kotloff, K. L., Riddle, M. S., Platts-Mills, J. A., </w:t>
      </w:r>
      <w:proofErr w:type="spellStart"/>
      <w:r w:rsidRPr="007771B1">
        <w:rPr>
          <w:rFonts w:ascii="Arial" w:hAnsi="Arial" w:cs="Arial"/>
        </w:rPr>
        <w:t>Pavlinac</w:t>
      </w:r>
      <w:proofErr w:type="spellEnd"/>
      <w:r w:rsidRPr="007771B1">
        <w:rPr>
          <w:rFonts w:ascii="Arial" w:hAnsi="Arial" w:cs="Arial"/>
        </w:rPr>
        <w:t xml:space="preserve">, P., &amp; Zaidi, A. K. M. (2024). Shigellosis. </w:t>
      </w:r>
      <w:r w:rsidRPr="007771B1">
        <w:rPr>
          <w:rFonts w:ascii="Arial" w:hAnsi="Arial" w:cs="Arial"/>
          <w:iCs/>
        </w:rPr>
        <w:t>The Lancet, 403</w:t>
      </w:r>
      <w:r w:rsidRPr="007771B1">
        <w:rPr>
          <w:rFonts w:ascii="Arial" w:hAnsi="Arial" w:cs="Arial"/>
        </w:rPr>
        <w:t>(10424), 543–556.</w:t>
      </w:r>
    </w:p>
    <w:p w14:paraId="0AD00EF0"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Lane, D. J. (1991). 16S/23S rRNA sequencing. In E. </w:t>
      </w:r>
      <w:proofErr w:type="spellStart"/>
      <w:r w:rsidRPr="007771B1">
        <w:rPr>
          <w:rFonts w:ascii="Arial" w:hAnsi="Arial" w:cs="Arial"/>
        </w:rPr>
        <w:t>Stackebrandt</w:t>
      </w:r>
      <w:proofErr w:type="spellEnd"/>
      <w:r w:rsidRPr="007771B1">
        <w:rPr>
          <w:rFonts w:ascii="Arial" w:hAnsi="Arial" w:cs="Arial"/>
        </w:rPr>
        <w:t xml:space="preserve"> &amp; M. Goodfellow (Eds.), </w:t>
      </w:r>
      <w:r w:rsidRPr="007771B1">
        <w:rPr>
          <w:rStyle w:val="Emphasis"/>
          <w:rFonts w:ascii="Arial" w:hAnsi="Arial" w:cs="Arial"/>
        </w:rPr>
        <w:t>Nucleic acid techniques in bacterial systematics</w:t>
      </w:r>
      <w:r w:rsidRPr="007771B1">
        <w:rPr>
          <w:rFonts w:ascii="Arial" w:hAnsi="Arial" w:cs="Arial"/>
        </w:rPr>
        <w:t xml:space="preserve"> (pp. 115–175). John Wiley &amp; Sons.</w:t>
      </w:r>
    </w:p>
    <w:p w14:paraId="6AD9BE1D"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Le </w:t>
      </w:r>
      <w:proofErr w:type="spellStart"/>
      <w:r w:rsidRPr="007771B1">
        <w:rPr>
          <w:rFonts w:ascii="Arial" w:hAnsi="Arial" w:cs="Arial"/>
        </w:rPr>
        <w:t>Devendec</w:t>
      </w:r>
      <w:proofErr w:type="spellEnd"/>
      <w:r w:rsidRPr="007771B1">
        <w:rPr>
          <w:rFonts w:ascii="Arial" w:hAnsi="Arial" w:cs="Arial"/>
        </w:rPr>
        <w:t xml:space="preserve">, L., Denis, M., Jouy, E., &amp; Kempf, I. (2023). Influence of age and management practices on enteric bacterial colonization in pigs. </w:t>
      </w:r>
      <w:r w:rsidRPr="00276448">
        <w:rPr>
          <w:rFonts w:ascii="Arial" w:hAnsi="Arial" w:cs="Arial"/>
          <w:iCs/>
        </w:rPr>
        <w:t>Veterinary Research Communications, 47</w:t>
      </w:r>
      <w:r w:rsidRPr="007771B1">
        <w:rPr>
          <w:rFonts w:ascii="Arial" w:hAnsi="Arial" w:cs="Arial"/>
        </w:rPr>
        <w:t>(4), 901–913.</w:t>
      </w:r>
    </w:p>
    <w:p w14:paraId="3E5F4FD4"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t>Letizia, M. L., Diggle, S. P., &amp; Whiteley, M. (2025).</w:t>
      </w:r>
      <w:r w:rsidRPr="007771B1">
        <w:rPr>
          <w:rFonts w:ascii="Arial" w:hAnsi="Arial" w:cs="Arial"/>
        </w:rPr>
        <w:t xml:space="preserve"> </w:t>
      </w:r>
      <w:r w:rsidRPr="007771B1">
        <w:rPr>
          <w:rFonts w:ascii="Arial" w:hAnsi="Arial" w:cs="Arial"/>
          <w:i/>
          <w:iCs/>
        </w:rPr>
        <w:t>Pseudomonas aeruginosa</w:t>
      </w:r>
      <w:r w:rsidRPr="007771B1">
        <w:rPr>
          <w:rFonts w:ascii="Arial" w:hAnsi="Arial" w:cs="Arial"/>
        </w:rPr>
        <w:t xml:space="preserve">: Ecology, evolution, pathogenesis and antimicrobial susceptibility. </w:t>
      </w:r>
      <w:r w:rsidRPr="008C59C6">
        <w:rPr>
          <w:rFonts w:ascii="Arial" w:hAnsi="Arial" w:cs="Arial"/>
          <w:iCs/>
        </w:rPr>
        <w:t>Nature Reviews Microbiology, 23</w:t>
      </w:r>
      <w:r w:rsidRPr="007771B1">
        <w:rPr>
          <w:rFonts w:ascii="Arial" w:hAnsi="Arial" w:cs="Arial"/>
        </w:rPr>
        <w:t>, 701–717. https://doi.org/10.1038/s41579-025-01193-8</w:t>
      </w:r>
    </w:p>
    <w:p w14:paraId="69864411"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t>Li, L., et al. (2021).</w:t>
      </w:r>
      <w:r w:rsidRPr="007771B1">
        <w:rPr>
          <w:rFonts w:ascii="Arial" w:hAnsi="Arial" w:cs="Arial"/>
        </w:rPr>
        <w:t xml:space="preserve"> Global evolutionary epidemiology and </w:t>
      </w:r>
      <w:proofErr w:type="spellStart"/>
      <w:r w:rsidRPr="007771B1">
        <w:rPr>
          <w:rFonts w:ascii="Arial" w:hAnsi="Arial" w:cs="Arial"/>
        </w:rPr>
        <w:t>resistome</w:t>
      </w:r>
      <w:proofErr w:type="spellEnd"/>
      <w:r w:rsidRPr="007771B1">
        <w:rPr>
          <w:rFonts w:ascii="Arial" w:hAnsi="Arial" w:cs="Arial"/>
        </w:rPr>
        <w:t xml:space="preserve"> dynamics of </w:t>
      </w:r>
      <w:r w:rsidRPr="007771B1">
        <w:rPr>
          <w:rFonts w:ascii="Arial" w:hAnsi="Arial" w:cs="Arial"/>
          <w:i/>
          <w:iCs/>
        </w:rPr>
        <w:t>Citrobacter</w:t>
      </w:r>
      <w:r w:rsidRPr="007771B1">
        <w:rPr>
          <w:rFonts w:ascii="Arial" w:hAnsi="Arial" w:cs="Arial"/>
        </w:rPr>
        <w:t xml:space="preserve"> species, </w:t>
      </w:r>
      <w:r w:rsidRPr="007771B1">
        <w:rPr>
          <w:rFonts w:ascii="Arial" w:hAnsi="Arial" w:cs="Arial"/>
          <w:i/>
          <w:iCs/>
        </w:rPr>
        <w:t xml:space="preserve">Enterobacter </w:t>
      </w:r>
      <w:proofErr w:type="spellStart"/>
      <w:r w:rsidRPr="007771B1">
        <w:rPr>
          <w:rFonts w:ascii="Arial" w:hAnsi="Arial" w:cs="Arial"/>
          <w:i/>
          <w:iCs/>
        </w:rPr>
        <w:t>hormaechei</w:t>
      </w:r>
      <w:proofErr w:type="spellEnd"/>
      <w:r w:rsidRPr="007771B1">
        <w:rPr>
          <w:rFonts w:ascii="Arial" w:hAnsi="Arial" w:cs="Arial"/>
        </w:rPr>
        <w:t xml:space="preserve">, </w:t>
      </w:r>
      <w:r w:rsidRPr="007771B1">
        <w:rPr>
          <w:rFonts w:ascii="Arial" w:hAnsi="Arial" w:cs="Arial"/>
          <w:i/>
          <w:iCs/>
        </w:rPr>
        <w:t xml:space="preserve">Klebsiella </w:t>
      </w:r>
      <w:proofErr w:type="spellStart"/>
      <w:r w:rsidRPr="007771B1">
        <w:rPr>
          <w:rFonts w:ascii="Arial" w:hAnsi="Arial" w:cs="Arial"/>
          <w:i/>
          <w:iCs/>
        </w:rPr>
        <w:t>variicola</w:t>
      </w:r>
      <w:proofErr w:type="spellEnd"/>
      <w:r w:rsidRPr="007771B1">
        <w:rPr>
          <w:rFonts w:ascii="Arial" w:hAnsi="Arial" w:cs="Arial"/>
        </w:rPr>
        <w:t xml:space="preserve">, and </w:t>
      </w:r>
      <w:proofErr w:type="spellStart"/>
      <w:r w:rsidRPr="007771B1">
        <w:rPr>
          <w:rFonts w:ascii="Arial" w:hAnsi="Arial" w:cs="Arial"/>
        </w:rPr>
        <w:t>Proteeae</w:t>
      </w:r>
      <w:proofErr w:type="spellEnd"/>
      <w:r w:rsidRPr="007771B1">
        <w:rPr>
          <w:rFonts w:ascii="Arial" w:hAnsi="Arial" w:cs="Arial"/>
        </w:rPr>
        <w:t xml:space="preserve"> clones. </w:t>
      </w:r>
      <w:r w:rsidRPr="00DC10F4">
        <w:rPr>
          <w:rFonts w:ascii="Arial" w:hAnsi="Arial" w:cs="Arial"/>
          <w:iCs/>
        </w:rPr>
        <w:t>Environmental Microbiology, 23</w:t>
      </w:r>
      <w:r w:rsidRPr="007771B1">
        <w:rPr>
          <w:rFonts w:ascii="Arial" w:hAnsi="Arial" w:cs="Arial"/>
        </w:rPr>
        <w:t xml:space="preserve">(6), 2950–2965. https://doi.org/10.1111/1462-2920.15387 </w:t>
      </w:r>
    </w:p>
    <w:p w14:paraId="5EEE2806"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Liu, G., Thomsen, L. E., &amp; Olsen, J. E. (2022). Antimicrobial-induced horizontal transfer of antimicrobial resistance genes in bacteria: A mini-review. </w:t>
      </w:r>
      <w:r w:rsidRPr="00DC10F4">
        <w:rPr>
          <w:rStyle w:val="Emphasis"/>
          <w:rFonts w:ascii="Arial" w:hAnsi="Arial" w:cs="Arial"/>
          <w:i w:val="0"/>
        </w:rPr>
        <w:t>Journal of Antimicrobial</w:t>
      </w:r>
      <w:r w:rsidRPr="007771B1">
        <w:rPr>
          <w:rStyle w:val="Emphasis"/>
          <w:rFonts w:ascii="Arial" w:hAnsi="Arial" w:cs="Arial"/>
        </w:rPr>
        <w:t xml:space="preserve"> </w:t>
      </w:r>
      <w:r w:rsidRPr="007771B1">
        <w:rPr>
          <w:rStyle w:val="Emphasis"/>
          <w:rFonts w:ascii="Arial" w:hAnsi="Arial" w:cs="Arial"/>
          <w:i w:val="0"/>
        </w:rPr>
        <w:t>Chemotherapy, 77</w:t>
      </w:r>
      <w:r w:rsidRPr="007771B1">
        <w:rPr>
          <w:rFonts w:ascii="Arial" w:hAnsi="Arial" w:cs="Arial"/>
        </w:rPr>
        <w:t>(3), 556–567. https://doi.org/10.1093/jac/dkab450</w:t>
      </w:r>
    </w:p>
    <w:p w14:paraId="718264F0"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Liu, Y., Wang, J., Li, Y., Zhang, S., &amp; Chen, X. (2024). Antimicrobial resistance and genomic characteristics of </w:t>
      </w:r>
      <w:r w:rsidRPr="007771B1">
        <w:rPr>
          <w:rFonts w:ascii="Arial" w:hAnsi="Arial" w:cs="Arial"/>
          <w:i/>
          <w:iCs/>
        </w:rPr>
        <w:t>Klebsiella aerogenes</w:t>
      </w:r>
      <w:r w:rsidRPr="007771B1">
        <w:rPr>
          <w:rFonts w:ascii="Arial" w:hAnsi="Arial" w:cs="Arial"/>
        </w:rPr>
        <w:t xml:space="preserve"> from animal and environmental sources. </w:t>
      </w:r>
      <w:r w:rsidRPr="00DC10F4">
        <w:rPr>
          <w:rFonts w:ascii="Arial" w:hAnsi="Arial" w:cs="Arial"/>
          <w:iCs/>
        </w:rPr>
        <w:t>Frontiers in Microbiology, 15</w:t>
      </w:r>
      <w:r w:rsidRPr="00DC10F4">
        <w:rPr>
          <w:rFonts w:ascii="Arial" w:hAnsi="Arial" w:cs="Arial"/>
        </w:rPr>
        <w:t>,</w:t>
      </w:r>
      <w:r w:rsidRPr="007771B1">
        <w:rPr>
          <w:rFonts w:ascii="Arial" w:hAnsi="Arial" w:cs="Arial"/>
        </w:rPr>
        <w:t xml:space="preserve"> 1368215.</w:t>
      </w:r>
    </w:p>
    <w:p w14:paraId="32674792" w14:textId="77777777" w:rsidR="007771B1" w:rsidRPr="007771B1" w:rsidRDefault="007771B1" w:rsidP="000E0A82">
      <w:pPr>
        <w:ind w:left="810" w:hanging="810"/>
        <w:jc w:val="both"/>
        <w:rPr>
          <w:rFonts w:ascii="Arial" w:hAnsi="Arial" w:cs="Arial"/>
        </w:rPr>
      </w:pPr>
      <w:r w:rsidRPr="007771B1">
        <w:rPr>
          <w:rStyle w:val="Strong"/>
          <w:rFonts w:ascii="Arial" w:hAnsi="Arial" w:cs="Arial"/>
          <w:b w:val="0"/>
        </w:rPr>
        <w:t xml:space="preserve">Locher, K., Belanger, C. R., </w:t>
      </w:r>
      <w:proofErr w:type="spellStart"/>
      <w:r w:rsidRPr="007771B1">
        <w:rPr>
          <w:rStyle w:val="Strong"/>
          <w:rFonts w:ascii="Arial" w:hAnsi="Arial" w:cs="Arial"/>
          <w:b w:val="0"/>
        </w:rPr>
        <w:t>Eckbo</w:t>
      </w:r>
      <w:proofErr w:type="spellEnd"/>
      <w:r w:rsidRPr="007771B1">
        <w:rPr>
          <w:rStyle w:val="Strong"/>
          <w:rFonts w:ascii="Arial" w:hAnsi="Arial" w:cs="Arial"/>
          <w:b w:val="0"/>
        </w:rPr>
        <w:t xml:space="preserve">, E., Caza, M., </w:t>
      </w:r>
      <w:proofErr w:type="spellStart"/>
      <w:r w:rsidRPr="007771B1">
        <w:rPr>
          <w:rStyle w:val="Strong"/>
          <w:rFonts w:ascii="Arial" w:hAnsi="Arial" w:cs="Arial"/>
          <w:b w:val="0"/>
        </w:rPr>
        <w:t>Velapatino</w:t>
      </w:r>
      <w:proofErr w:type="spellEnd"/>
      <w:r w:rsidRPr="007771B1">
        <w:rPr>
          <w:rStyle w:val="Strong"/>
          <w:rFonts w:ascii="Arial" w:hAnsi="Arial" w:cs="Arial"/>
          <w:b w:val="0"/>
        </w:rPr>
        <w:t>, B., &amp; Charles, M. K. (2022).</w:t>
      </w:r>
      <w:r w:rsidRPr="007771B1">
        <w:rPr>
          <w:rFonts w:ascii="Arial" w:hAnsi="Arial" w:cs="Arial"/>
        </w:rPr>
        <w:t xml:space="preserve"> Automated 16S sequencing using an R-based analysis module for bacterial identification. </w:t>
      </w:r>
      <w:r w:rsidRPr="00DC10F4">
        <w:rPr>
          <w:rStyle w:val="Emphasis"/>
          <w:rFonts w:ascii="Arial" w:hAnsi="Arial" w:cs="Arial"/>
          <w:i w:val="0"/>
        </w:rPr>
        <w:t>Microbiology Spectrum, 10</w:t>
      </w:r>
      <w:r w:rsidRPr="007771B1">
        <w:rPr>
          <w:rFonts w:ascii="Arial" w:hAnsi="Arial" w:cs="Arial"/>
        </w:rPr>
        <w:t xml:space="preserve">(2), e00408-22. </w:t>
      </w:r>
      <w:hyperlink r:id="rId44" w:history="1">
        <w:r w:rsidRPr="007771B1">
          <w:rPr>
            <w:rStyle w:val="Hyperlink"/>
            <w:rFonts w:ascii="Arial" w:hAnsi="Arial" w:cs="Arial"/>
          </w:rPr>
          <w:t>https://doi.org/10.1128/spectrum.00408-22</w:t>
        </w:r>
      </w:hyperlink>
    </w:p>
    <w:p w14:paraId="3F317399" w14:textId="77777777" w:rsidR="007771B1" w:rsidRPr="007771B1" w:rsidRDefault="007771B1" w:rsidP="000E0A82">
      <w:pPr>
        <w:pStyle w:val="NormalWeb"/>
        <w:ind w:left="810" w:hanging="810"/>
        <w:rPr>
          <w:rFonts w:ascii="Arial" w:hAnsi="Arial" w:cs="Arial"/>
          <w:sz w:val="20"/>
          <w:szCs w:val="20"/>
        </w:rPr>
      </w:pPr>
      <w:r w:rsidRPr="007771B1">
        <w:rPr>
          <w:rStyle w:val="Strong"/>
          <w:rFonts w:ascii="Arial" w:eastAsiaTheme="majorEastAsia" w:hAnsi="Arial" w:cs="Arial"/>
          <w:b w:val="0"/>
          <w:sz w:val="20"/>
          <w:szCs w:val="20"/>
        </w:rPr>
        <w:t>Looft, T., &amp; Allen, H. K. (2012).</w:t>
      </w:r>
      <w:r w:rsidRPr="007771B1">
        <w:rPr>
          <w:rFonts w:ascii="Arial" w:hAnsi="Arial" w:cs="Arial"/>
          <w:sz w:val="20"/>
          <w:szCs w:val="20"/>
        </w:rPr>
        <w:t xml:space="preserve"> Collateral effects of antibiotics: Carbadox and the microbial ecology of swine and poultry. </w:t>
      </w:r>
      <w:r w:rsidRPr="00DC10F4">
        <w:rPr>
          <w:rStyle w:val="Emphasis"/>
          <w:rFonts w:ascii="Arial" w:eastAsiaTheme="majorEastAsia" w:hAnsi="Arial" w:cs="Arial"/>
          <w:i w:val="0"/>
          <w:sz w:val="20"/>
          <w:szCs w:val="20"/>
        </w:rPr>
        <w:t>Animal Health Research Reviews, 13</w:t>
      </w:r>
      <w:r w:rsidRPr="007771B1">
        <w:rPr>
          <w:rFonts w:ascii="Arial" w:hAnsi="Arial" w:cs="Arial"/>
          <w:sz w:val="20"/>
          <w:szCs w:val="20"/>
        </w:rPr>
        <w:t xml:space="preserve">(2), 171–176.  </w:t>
      </w:r>
    </w:p>
    <w:p w14:paraId="672C79F7"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Lou, W.-B., Zhao, R., Sehrish, S., Song, Y.-H., Gong, Q.-L., &amp; Du, R. (2026). Prevalence and geographical distribution of foodborne </w:t>
      </w:r>
      <w:r w:rsidRPr="007771B1">
        <w:rPr>
          <w:rStyle w:val="Emphasis"/>
          <w:rFonts w:ascii="Arial" w:hAnsi="Arial" w:cs="Arial"/>
        </w:rPr>
        <w:t>Yersinia enterocolitica</w:t>
      </w:r>
      <w:r w:rsidRPr="007771B1">
        <w:rPr>
          <w:rFonts w:ascii="Arial" w:hAnsi="Arial" w:cs="Arial"/>
        </w:rPr>
        <w:t xml:space="preserve"> in Chinese </w:t>
      </w:r>
      <w:r w:rsidRPr="007771B1">
        <w:rPr>
          <w:rFonts w:ascii="Arial" w:hAnsi="Arial" w:cs="Arial"/>
        </w:rPr>
        <w:lastRenderedPageBreak/>
        <w:t xml:space="preserve">livestock and their products: A systematic review and meta-analysis (2000–2024). </w:t>
      </w:r>
      <w:r w:rsidRPr="004924C2">
        <w:rPr>
          <w:rStyle w:val="Emphasis"/>
          <w:rFonts w:ascii="Arial" w:hAnsi="Arial" w:cs="Arial"/>
          <w:i w:val="0"/>
        </w:rPr>
        <w:t>Animals, 16</w:t>
      </w:r>
      <w:r w:rsidRPr="007771B1">
        <w:rPr>
          <w:rFonts w:ascii="Arial" w:hAnsi="Arial" w:cs="Arial"/>
        </w:rPr>
        <w:t xml:space="preserve">(3), 418. </w:t>
      </w:r>
      <w:hyperlink r:id="rId45" w:history="1">
        <w:r w:rsidRPr="007771B1">
          <w:rPr>
            <w:rStyle w:val="Hyperlink"/>
            <w:rFonts w:ascii="Arial" w:hAnsi="Arial" w:cs="Arial"/>
          </w:rPr>
          <w:t>https://doi.org/10.3390/ani16030418</w:t>
        </w:r>
      </w:hyperlink>
    </w:p>
    <w:p w14:paraId="304FDA37" w14:textId="77777777" w:rsidR="007771B1" w:rsidRPr="007771B1" w:rsidRDefault="007771B1" w:rsidP="000E0A82">
      <w:pPr>
        <w:ind w:left="810" w:hanging="810"/>
        <w:rPr>
          <w:rFonts w:ascii="Arial" w:hAnsi="Arial" w:cs="Arial"/>
        </w:rPr>
      </w:pPr>
      <w:proofErr w:type="spellStart"/>
      <w:r w:rsidRPr="007771B1">
        <w:rPr>
          <w:rFonts w:ascii="Arial" w:hAnsi="Arial" w:cs="Arial"/>
        </w:rPr>
        <w:t>MacFaddin</w:t>
      </w:r>
      <w:proofErr w:type="spellEnd"/>
      <w:r w:rsidRPr="007771B1">
        <w:rPr>
          <w:rFonts w:ascii="Arial" w:hAnsi="Arial" w:cs="Arial"/>
        </w:rPr>
        <w:t xml:space="preserve">, J. F. 2000. </w:t>
      </w:r>
      <w:r w:rsidRPr="007771B1">
        <w:rPr>
          <w:rStyle w:val="Emphasis"/>
          <w:rFonts w:ascii="Arial" w:eastAsiaTheme="majorEastAsia" w:hAnsi="Arial" w:cs="Arial"/>
        </w:rPr>
        <w:t>Biochemical tests for identification of medical bacteria</w:t>
      </w:r>
      <w:r w:rsidRPr="007771B1">
        <w:rPr>
          <w:rFonts w:ascii="Arial" w:hAnsi="Arial" w:cs="Arial"/>
        </w:rPr>
        <w:t xml:space="preserve"> (3rd ed.). Lippincott Williams &amp; Wilkins.</w:t>
      </w:r>
    </w:p>
    <w:p w14:paraId="02732F86"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Manges, A. R., Johnson, J. R., &amp; Riley, L. W. (2023). Zoonotic and foodborne </w:t>
      </w:r>
      <w:r w:rsidRPr="007771B1">
        <w:rPr>
          <w:rFonts w:ascii="Arial" w:hAnsi="Arial" w:cs="Arial"/>
          <w:i/>
          <w:iCs/>
        </w:rPr>
        <w:t>Escherichia coli</w:t>
      </w:r>
      <w:r w:rsidRPr="007771B1">
        <w:rPr>
          <w:rFonts w:ascii="Arial" w:hAnsi="Arial" w:cs="Arial"/>
        </w:rPr>
        <w:t xml:space="preserve">: Emerging public health challenges. </w:t>
      </w:r>
      <w:r w:rsidRPr="007771B1">
        <w:rPr>
          <w:rFonts w:ascii="Arial" w:hAnsi="Arial" w:cs="Arial"/>
          <w:iCs/>
        </w:rPr>
        <w:t>Clinical Microbiology Reviews, 36</w:t>
      </w:r>
      <w:r w:rsidRPr="007771B1">
        <w:rPr>
          <w:rFonts w:ascii="Arial" w:hAnsi="Arial" w:cs="Arial"/>
        </w:rPr>
        <w:t>(4), e0006322.</w:t>
      </w:r>
    </w:p>
    <w:p w14:paraId="17F2DC5B"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t xml:space="preserve">Martak, D., Henriot, C. P., &amp; </w:t>
      </w:r>
      <w:proofErr w:type="spellStart"/>
      <w:r w:rsidRPr="007771B1">
        <w:rPr>
          <w:rFonts w:ascii="Arial" w:hAnsi="Arial" w:cs="Arial"/>
          <w:bCs/>
        </w:rPr>
        <w:t>Hocquet</w:t>
      </w:r>
      <w:proofErr w:type="spellEnd"/>
      <w:r w:rsidRPr="007771B1">
        <w:rPr>
          <w:rFonts w:ascii="Arial" w:hAnsi="Arial" w:cs="Arial"/>
          <w:bCs/>
        </w:rPr>
        <w:t>, D. (2024).</w:t>
      </w:r>
      <w:r w:rsidRPr="007771B1">
        <w:rPr>
          <w:rFonts w:ascii="Arial" w:hAnsi="Arial" w:cs="Arial"/>
        </w:rPr>
        <w:t xml:space="preserve"> Environment, animals, and food as reservoirs of antibiotic-resistant bacteria for humans: One health or more? </w:t>
      </w:r>
      <w:r w:rsidRPr="004924C2">
        <w:rPr>
          <w:rFonts w:ascii="Arial" w:hAnsi="Arial" w:cs="Arial"/>
          <w:iCs/>
        </w:rPr>
        <w:t>Infectious Diseases Now, 54</w:t>
      </w:r>
      <w:r w:rsidRPr="007771B1">
        <w:rPr>
          <w:rFonts w:ascii="Arial" w:hAnsi="Arial" w:cs="Arial"/>
        </w:rPr>
        <w:t>(4), 104895. https://doi.org/10.1016/j.idnow.2024.104895</w:t>
      </w:r>
    </w:p>
    <w:p w14:paraId="5AFC5D23" w14:textId="77777777" w:rsidR="007771B1" w:rsidRPr="007771B1" w:rsidRDefault="007771B1" w:rsidP="000E0A82">
      <w:pPr>
        <w:spacing w:before="100" w:beforeAutospacing="1" w:after="100" w:afterAutospacing="1"/>
        <w:ind w:left="810" w:hanging="810"/>
        <w:jc w:val="both"/>
        <w:rPr>
          <w:rFonts w:ascii="Arial" w:hAnsi="Arial" w:cs="Arial"/>
          <w:color w:val="FF0000"/>
        </w:rPr>
      </w:pPr>
      <w:proofErr w:type="spellStart"/>
      <w:r w:rsidRPr="007771B1">
        <w:rPr>
          <w:rStyle w:val="Strong"/>
          <w:rFonts w:ascii="Arial" w:hAnsi="Arial" w:cs="Arial"/>
          <w:b w:val="0"/>
        </w:rPr>
        <w:t>Mihailovskaya</w:t>
      </w:r>
      <w:proofErr w:type="spellEnd"/>
      <w:r w:rsidRPr="007771B1">
        <w:rPr>
          <w:rStyle w:val="Strong"/>
          <w:rFonts w:ascii="Arial" w:hAnsi="Arial" w:cs="Arial"/>
          <w:b w:val="0"/>
        </w:rPr>
        <w:t xml:space="preserve">, V. S., </w:t>
      </w:r>
      <w:proofErr w:type="spellStart"/>
      <w:r w:rsidRPr="007771B1">
        <w:rPr>
          <w:rStyle w:val="Strong"/>
          <w:rFonts w:ascii="Arial" w:hAnsi="Arial" w:cs="Arial"/>
          <w:b w:val="0"/>
        </w:rPr>
        <w:t>Starčič</w:t>
      </w:r>
      <w:proofErr w:type="spellEnd"/>
      <w:r w:rsidRPr="007771B1">
        <w:rPr>
          <w:rStyle w:val="Strong"/>
          <w:rFonts w:ascii="Arial" w:hAnsi="Arial" w:cs="Arial"/>
          <w:b w:val="0"/>
        </w:rPr>
        <w:t xml:space="preserve"> Erjavec, M., &amp; Kuznetsova, M. V. (2024).</w:t>
      </w:r>
      <w:r w:rsidRPr="007771B1">
        <w:rPr>
          <w:rFonts w:ascii="Arial" w:hAnsi="Arial" w:cs="Arial"/>
        </w:rPr>
        <w:t xml:space="preserve"> </w:t>
      </w:r>
      <w:r w:rsidRPr="007771B1">
        <w:rPr>
          <w:rStyle w:val="Emphasis"/>
          <w:rFonts w:ascii="Arial" w:hAnsi="Arial" w:cs="Arial"/>
        </w:rPr>
        <w:t>Escherichia coli</w:t>
      </w:r>
      <w:r w:rsidRPr="007771B1">
        <w:rPr>
          <w:rFonts w:ascii="Arial" w:hAnsi="Arial" w:cs="Arial"/>
        </w:rPr>
        <w:t xml:space="preserve"> from healthy farm animals: Antimicrobial resistance, resistance genes and mobile genetic elements. </w:t>
      </w:r>
      <w:r w:rsidRPr="007771B1">
        <w:rPr>
          <w:rStyle w:val="Emphasis"/>
          <w:rFonts w:ascii="Arial" w:hAnsi="Arial" w:cs="Arial"/>
          <w:i w:val="0"/>
        </w:rPr>
        <w:t xml:space="preserve">Acta </w:t>
      </w:r>
      <w:proofErr w:type="spellStart"/>
      <w:r w:rsidRPr="007771B1">
        <w:rPr>
          <w:rStyle w:val="Emphasis"/>
          <w:rFonts w:ascii="Arial" w:hAnsi="Arial" w:cs="Arial"/>
          <w:i w:val="0"/>
        </w:rPr>
        <w:t>Veterinaria</w:t>
      </w:r>
      <w:proofErr w:type="spellEnd"/>
      <w:r w:rsidRPr="007771B1">
        <w:rPr>
          <w:rStyle w:val="Emphasis"/>
          <w:rFonts w:ascii="Arial" w:hAnsi="Arial" w:cs="Arial"/>
          <w:i w:val="0"/>
        </w:rPr>
        <w:t xml:space="preserve"> </w:t>
      </w:r>
      <w:proofErr w:type="spellStart"/>
      <w:r w:rsidRPr="007771B1">
        <w:rPr>
          <w:rStyle w:val="Emphasis"/>
          <w:rFonts w:ascii="Arial" w:hAnsi="Arial" w:cs="Arial"/>
          <w:i w:val="0"/>
        </w:rPr>
        <w:t>Hungarica</w:t>
      </w:r>
      <w:proofErr w:type="spellEnd"/>
      <w:r w:rsidRPr="007771B1">
        <w:rPr>
          <w:rStyle w:val="Emphasis"/>
          <w:rFonts w:ascii="Arial" w:hAnsi="Arial" w:cs="Arial"/>
          <w:i w:val="0"/>
        </w:rPr>
        <w:t>, 72</w:t>
      </w:r>
      <w:r w:rsidRPr="007771B1">
        <w:rPr>
          <w:rFonts w:ascii="Arial" w:hAnsi="Arial" w:cs="Arial"/>
        </w:rPr>
        <w:t>(4), 225–234. https://doi.org/10.1556/004.2024.</w:t>
      </w:r>
    </w:p>
    <w:p w14:paraId="1E8DDC89"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Style w:val="Strong"/>
          <w:rFonts w:ascii="Arial" w:hAnsi="Arial" w:cs="Arial"/>
          <w:b w:val="0"/>
        </w:rPr>
        <w:t>National Center for Biotechnology Information. (2026).</w:t>
      </w:r>
      <w:r w:rsidRPr="007771B1">
        <w:rPr>
          <w:rFonts w:ascii="Arial" w:hAnsi="Arial" w:cs="Arial"/>
        </w:rPr>
        <w:t xml:space="preserve"> </w:t>
      </w:r>
      <w:r w:rsidRPr="007771B1">
        <w:rPr>
          <w:rStyle w:val="Emphasis"/>
          <w:rFonts w:ascii="Arial" w:hAnsi="Arial" w:cs="Arial"/>
        </w:rPr>
        <w:t>BLAST: Basic Local Alignment Search Tool</w:t>
      </w:r>
      <w:r w:rsidRPr="007771B1">
        <w:rPr>
          <w:rFonts w:ascii="Arial" w:hAnsi="Arial" w:cs="Arial"/>
        </w:rPr>
        <w:t xml:space="preserve">. National Library of Medicine, National Institutes of Health. </w:t>
      </w:r>
      <w:hyperlink r:id="rId46" w:tgtFrame="_blank" w:history="1">
        <w:r w:rsidRPr="007771B1">
          <w:rPr>
            <w:rStyle w:val="Hyperlink"/>
            <w:rFonts w:ascii="Arial" w:hAnsi="Arial" w:cs="Arial"/>
          </w:rPr>
          <w:t>NCBI BLAST</w:t>
        </w:r>
      </w:hyperlink>
    </w:p>
    <w:p w14:paraId="43523EEC"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rPr>
        <w:t xml:space="preserve">Nowak, B., </w:t>
      </w:r>
      <w:proofErr w:type="spellStart"/>
      <w:r w:rsidRPr="007771B1">
        <w:rPr>
          <w:rFonts w:ascii="Arial" w:hAnsi="Arial" w:cs="Arial"/>
        </w:rPr>
        <w:t>Mueffling</w:t>
      </w:r>
      <w:proofErr w:type="spellEnd"/>
      <w:r w:rsidRPr="007771B1">
        <w:rPr>
          <w:rFonts w:ascii="Arial" w:hAnsi="Arial" w:cs="Arial"/>
        </w:rPr>
        <w:t xml:space="preserve">, T. v., Caspari, K., &amp; Hartung, J. (2006). Validation of a method for the detection of virulent </w:t>
      </w:r>
      <w:r w:rsidRPr="007771B1">
        <w:rPr>
          <w:rStyle w:val="Emphasis"/>
          <w:rFonts w:ascii="Arial" w:hAnsi="Arial" w:cs="Arial"/>
        </w:rPr>
        <w:t>Yersinia enterocolitica</w:t>
      </w:r>
      <w:r w:rsidRPr="007771B1">
        <w:rPr>
          <w:rFonts w:ascii="Arial" w:hAnsi="Arial" w:cs="Arial"/>
        </w:rPr>
        <w:t xml:space="preserve"> and their distribution in slaughter pigs from conventional and alternative housing systems. </w:t>
      </w:r>
      <w:r w:rsidRPr="007771B1">
        <w:rPr>
          <w:rStyle w:val="Emphasis"/>
          <w:rFonts w:ascii="Arial" w:hAnsi="Arial" w:cs="Arial"/>
          <w:i w:val="0"/>
        </w:rPr>
        <w:t>Veterinary Microbiology, 117</w:t>
      </w:r>
      <w:r w:rsidRPr="007771B1">
        <w:rPr>
          <w:rFonts w:ascii="Arial" w:hAnsi="Arial" w:cs="Arial"/>
        </w:rPr>
        <w:t xml:space="preserve">(2–4), 219–228. </w:t>
      </w:r>
      <w:hyperlink r:id="rId47" w:history="1">
        <w:r w:rsidRPr="007771B1">
          <w:rPr>
            <w:rStyle w:val="Hyperlink"/>
            <w:rFonts w:ascii="Arial" w:hAnsi="Arial" w:cs="Arial"/>
          </w:rPr>
          <w:t>https://doi.org/10.1016/j.vetmic.2006.06.002</w:t>
        </w:r>
      </w:hyperlink>
    </w:p>
    <w:p w14:paraId="4544C4B1"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Regueira-Iglesias, A., Vázquez-González, M., Balsa-Castro, C., Blanco-Pintos, T., et al. (2023). Critical review of 16S rRNA gene sequencing workflow in microbiome studies: From primer selection to advanced data analysis. </w:t>
      </w:r>
      <w:r w:rsidR="004924C2">
        <w:rPr>
          <w:rStyle w:val="Emphasis"/>
          <w:rFonts w:ascii="Arial" w:hAnsi="Arial" w:cs="Arial"/>
          <w:i w:val="0"/>
        </w:rPr>
        <w:t xml:space="preserve">Molecular </w:t>
      </w:r>
      <w:r w:rsidRPr="007771B1">
        <w:rPr>
          <w:rStyle w:val="Emphasis"/>
          <w:rFonts w:ascii="Arial" w:hAnsi="Arial" w:cs="Arial"/>
          <w:i w:val="0"/>
        </w:rPr>
        <w:t>Oral Microbiology</w:t>
      </w:r>
      <w:r w:rsidRPr="007771B1">
        <w:rPr>
          <w:rFonts w:ascii="Arial" w:hAnsi="Arial" w:cs="Arial"/>
        </w:rPr>
        <w:t>. https://doi.org/10.1111/omi.12434</w:t>
      </w:r>
    </w:p>
    <w:p w14:paraId="7A3A95C9"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Sachdeva, P., &amp; Virdi, J. S. (2004). Repetitive extragenic palindromic PCR and PCR-ribotyping for molecular typing of </w:t>
      </w:r>
      <w:r w:rsidRPr="007771B1">
        <w:rPr>
          <w:rStyle w:val="Emphasis"/>
          <w:rFonts w:ascii="Arial" w:eastAsiaTheme="majorEastAsia" w:hAnsi="Arial" w:cs="Arial"/>
        </w:rPr>
        <w:t>Yersinia enterocolitica</w:t>
      </w:r>
      <w:r w:rsidRPr="007771B1">
        <w:rPr>
          <w:rFonts w:ascii="Arial" w:hAnsi="Arial" w:cs="Arial"/>
        </w:rPr>
        <w:t xml:space="preserve">. </w:t>
      </w:r>
      <w:r w:rsidRPr="004924C2">
        <w:rPr>
          <w:rStyle w:val="Emphasis"/>
          <w:rFonts w:ascii="Arial" w:eastAsiaTheme="majorEastAsia" w:hAnsi="Arial" w:cs="Arial"/>
          <w:i w:val="0"/>
        </w:rPr>
        <w:t>Journal of Applied Microbiology, 97</w:t>
      </w:r>
      <w:r w:rsidRPr="004924C2">
        <w:rPr>
          <w:rFonts w:ascii="Arial" w:hAnsi="Arial" w:cs="Arial"/>
        </w:rPr>
        <w:t>(</w:t>
      </w:r>
      <w:r w:rsidRPr="007771B1">
        <w:rPr>
          <w:rFonts w:ascii="Arial" w:hAnsi="Arial" w:cs="Arial"/>
        </w:rPr>
        <w:t>4), 759–767.</w:t>
      </w:r>
    </w:p>
    <w:p w14:paraId="349137E8"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rPr>
        <w:t xml:space="preserve">Sambrook, J., &amp; Russell, D. W. (2001). </w:t>
      </w:r>
      <w:r w:rsidRPr="007771B1">
        <w:rPr>
          <w:rFonts w:ascii="Arial" w:hAnsi="Arial" w:cs="Arial"/>
          <w:i/>
          <w:iCs/>
        </w:rPr>
        <w:t>Molecular cloning: A laboratory manual</w:t>
      </w:r>
      <w:r w:rsidRPr="007771B1">
        <w:rPr>
          <w:rFonts w:ascii="Arial" w:hAnsi="Arial" w:cs="Arial"/>
        </w:rPr>
        <w:t xml:space="preserve"> (3rd ed.). Cold Spring Harbor Laboratory Press.</w:t>
      </w:r>
    </w:p>
    <w:p w14:paraId="421A8ABC"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t>Schaik, W., &amp; Wauters, G. (2019).</w:t>
      </w:r>
      <w:r w:rsidRPr="007771B1">
        <w:rPr>
          <w:rFonts w:ascii="Arial" w:hAnsi="Arial" w:cs="Arial"/>
        </w:rPr>
        <w:t xml:space="preserve"> </w:t>
      </w:r>
      <w:r w:rsidRPr="007771B1">
        <w:rPr>
          <w:rFonts w:ascii="Arial" w:hAnsi="Arial" w:cs="Arial"/>
          <w:i/>
          <w:iCs/>
        </w:rPr>
        <w:t>Yersinia</w:t>
      </w:r>
      <w:r w:rsidRPr="007771B1">
        <w:rPr>
          <w:rFonts w:ascii="Arial" w:hAnsi="Arial" w:cs="Arial"/>
        </w:rPr>
        <w:t xml:space="preserve">. In J. M. Janda &amp; S. L. Abbott (Eds.), </w:t>
      </w:r>
      <w:r w:rsidRPr="007771B1">
        <w:rPr>
          <w:rFonts w:ascii="Arial" w:hAnsi="Arial" w:cs="Arial"/>
          <w:i/>
          <w:iCs/>
        </w:rPr>
        <w:t>The Enterobacteria</w:t>
      </w:r>
      <w:r w:rsidRPr="007771B1">
        <w:rPr>
          <w:rFonts w:ascii="Arial" w:hAnsi="Arial" w:cs="Arial"/>
        </w:rPr>
        <w:t xml:space="preserve"> / contemporary bacterial taxonomy literature.</w:t>
      </w:r>
    </w:p>
    <w:p w14:paraId="0F4924C4" w14:textId="77777777" w:rsidR="007771B1" w:rsidRPr="007771B1" w:rsidRDefault="007771B1" w:rsidP="000E0A82">
      <w:pPr>
        <w:spacing w:before="100" w:beforeAutospacing="1" w:after="100" w:afterAutospacing="1"/>
        <w:ind w:left="810" w:hanging="810"/>
        <w:rPr>
          <w:rStyle w:val="Hyperlink"/>
          <w:rFonts w:ascii="Arial" w:hAnsi="Arial" w:cs="Arial"/>
        </w:rPr>
      </w:pPr>
      <w:r w:rsidRPr="007771B1">
        <w:rPr>
          <w:rFonts w:ascii="Arial" w:hAnsi="Arial" w:cs="Arial"/>
        </w:rPr>
        <w:t xml:space="preserve">Smith, W. P. J., Wucher, B. R., Nadell, C. D., &amp; Foster, K. R. (2023). Bacterial </w:t>
      </w:r>
      <w:proofErr w:type="spellStart"/>
      <w:r w:rsidRPr="007771B1">
        <w:rPr>
          <w:rFonts w:ascii="Arial" w:hAnsi="Arial" w:cs="Arial"/>
        </w:rPr>
        <w:t>defences</w:t>
      </w:r>
      <w:proofErr w:type="spellEnd"/>
      <w:r w:rsidRPr="007771B1">
        <w:rPr>
          <w:rFonts w:ascii="Arial" w:hAnsi="Arial" w:cs="Arial"/>
        </w:rPr>
        <w:t xml:space="preserve">: Mechanisms, evolution and antimicrobial resistance. </w:t>
      </w:r>
      <w:r w:rsidRPr="007771B1">
        <w:rPr>
          <w:rStyle w:val="Emphasis"/>
          <w:rFonts w:ascii="Arial" w:hAnsi="Arial" w:cs="Arial"/>
          <w:i w:val="0"/>
        </w:rPr>
        <w:t>Nature Reviews Microbiology, 21</w:t>
      </w:r>
      <w:r w:rsidRPr="007771B1">
        <w:rPr>
          <w:rFonts w:ascii="Arial" w:hAnsi="Arial" w:cs="Arial"/>
        </w:rPr>
        <w:t xml:space="preserve">, 519–534. </w:t>
      </w:r>
      <w:hyperlink r:id="rId48" w:tgtFrame="_new" w:history="1">
        <w:r w:rsidRPr="007771B1">
          <w:rPr>
            <w:rStyle w:val="Hyperlink"/>
            <w:rFonts w:ascii="Arial" w:hAnsi="Arial" w:cs="Arial"/>
          </w:rPr>
          <w:t>https://doi.org/10.1038/s41579-023-00877-3</w:t>
        </w:r>
      </w:hyperlink>
    </w:p>
    <w:p w14:paraId="04143E36"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Sprague, L. D., Neubauer, H., &amp; </w:t>
      </w:r>
      <w:proofErr w:type="spellStart"/>
      <w:r w:rsidRPr="007771B1">
        <w:rPr>
          <w:rFonts w:ascii="Arial" w:hAnsi="Arial" w:cs="Arial"/>
        </w:rPr>
        <w:t>Schauerte</w:t>
      </w:r>
      <w:proofErr w:type="spellEnd"/>
      <w:r w:rsidRPr="007771B1">
        <w:rPr>
          <w:rFonts w:ascii="Arial" w:hAnsi="Arial" w:cs="Arial"/>
        </w:rPr>
        <w:t xml:space="preserve">, N. (2023). Ecology and diversity of non-pathogenic </w:t>
      </w:r>
      <w:r w:rsidRPr="007771B1">
        <w:rPr>
          <w:rFonts w:ascii="Arial" w:hAnsi="Arial" w:cs="Arial"/>
          <w:i/>
          <w:iCs/>
        </w:rPr>
        <w:t>Yersinia</w:t>
      </w:r>
      <w:r w:rsidRPr="007771B1">
        <w:rPr>
          <w:rFonts w:ascii="Arial" w:hAnsi="Arial" w:cs="Arial"/>
        </w:rPr>
        <w:t xml:space="preserve"> species in livestock and environmental sources. </w:t>
      </w:r>
      <w:r w:rsidRPr="007771B1">
        <w:rPr>
          <w:rFonts w:ascii="Arial" w:hAnsi="Arial" w:cs="Arial"/>
          <w:iCs/>
        </w:rPr>
        <w:t>Microorganisms, 11</w:t>
      </w:r>
      <w:r w:rsidRPr="007771B1">
        <w:rPr>
          <w:rFonts w:ascii="Arial" w:hAnsi="Arial" w:cs="Arial"/>
        </w:rPr>
        <w:t xml:space="preserve">(9), 2284. </w:t>
      </w:r>
      <w:hyperlink r:id="rId49" w:history="1">
        <w:r w:rsidRPr="007771B1">
          <w:rPr>
            <w:rStyle w:val="Hyperlink"/>
            <w:rFonts w:ascii="Arial" w:hAnsi="Arial" w:cs="Arial"/>
          </w:rPr>
          <w:t>https://doi.org/10.3390/microorganisms11092284</w:t>
        </w:r>
      </w:hyperlink>
    </w:p>
    <w:p w14:paraId="17A34A47"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lastRenderedPageBreak/>
        <w:t>Stiles, M. E., &amp; Ng, L. K. (1981).</w:t>
      </w:r>
      <w:r w:rsidRPr="007771B1">
        <w:rPr>
          <w:rFonts w:ascii="Arial" w:hAnsi="Arial" w:cs="Arial"/>
        </w:rPr>
        <w:t xml:space="preserve"> Biochemical characteristics and identification of Enterobacteriaceae isolated from meats. </w:t>
      </w:r>
      <w:r w:rsidRPr="004924C2">
        <w:rPr>
          <w:rFonts w:ascii="Arial" w:hAnsi="Arial" w:cs="Arial"/>
          <w:iCs/>
        </w:rPr>
        <w:t>Applied and Environmental Microbiology, 41</w:t>
      </w:r>
      <w:r w:rsidRPr="007771B1">
        <w:rPr>
          <w:rFonts w:ascii="Arial" w:hAnsi="Arial" w:cs="Arial"/>
        </w:rPr>
        <w:t>(3), 639–645. https://doi.org/10.1128/aem.41.3.639-645.1981</w:t>
      </w:r>
    </w:p>
    <w:p w14:paraId="6E654328" w14:textId="77777777" w:rsidR="007771B1" w:rsidRPr="007771B1" w:rsidRDefault="007771B1" w:rsidP="007771B1">
      <w:pPr>
        <w:rPr>
          <w:rFonts w:ascii="Arial" w:hAnsi="Arial" w:cs="Arial"/>
        </w:rPr>
      </w:pPr>
      <w:r w:rsidRPr="007771B1">
        <w:rPr>
          <w:rFonts w:ascii="Arial" w:hAnsi="Arial" w:cs="Arial"/>
        </w:rPr>
        <w:t xml:space="preserve">Tille, P. M. (2017). </w:t>
      </w:r>
      <w:r w:rsidRPr="007771B1">
        <w:rPr>
          <w:rStyle w:val="Emphasis"/>
          <w:rFonts w:ascii="Arial" w:hAnsi="Arial" w:cs="Arial"/>
        </w:rPr>
        <w:t>Bailey &amp; Scott's diagnostic microbiology</w:t>
      </w:r>
      <w:r w:rsidRPr="007771B1">
        <w:rPr>
          <w:rFonts w:ascii="Arial" w:hAnsi="Arial" w:cs="Arial"/>
        </w:rPr>
        <w:t xml:space="preserve"> (14th ed.). Elsevier.</w:t>
      </w:r>
    </w:p>
    <w:p w14:paraId="3DCE4CAB" w14:textId="77777777" w:rsidR="007771B1" w:rsidRPr="007771B1" w:rsidRDefault="007771B1" w:rsidP="000E0A82">
      <w:pPr>
        <w:spacing w:before="100" w:beforeAutospacing="1" w:after="100" w:afterAutospacing="1"/>
        <w:ind w:left="810" w:hanging="810"/>
        <w:jc w:val="both"/>
        <w:rPr>
          <w:rStyle w:val="Hyperlink"/>
          <w:rFonts w:ascii="Arial" w:eastAsiaTheme="majorEastAsia" w:hAnsi="Arial" w:cs="Arial"/>
        </w:rPr>
      </w:pPr>
      <w:r w:rsidRPr="007771B1">
        <w:rPr>
          <w:rFonts w:ascii="Arial" w:hAnsi="Arial" w:cs="Arial"/>
        </w:rPr>
        <w:t xml:space="preserve">Tseng, C.-H., Liu, C.-W., &amp; Liu, P.-Y. (2023). Extended-spectrum β-lactamases (ESBL) producing bacteria in animals. </w:t>
      </w:r>
      <w:r w:rsidRPr="007771B1">
        <w:rPr>
          <w:rStyle w:val="Emphasis"/>
          <w:rFonts w:ascii="Arial" w:hAnsi="Arial" w:cs="Arial"/>
          <w:i w:val="0"/>
        </w:rPr>
        <w:t>Antibiotics, 12</w:t>
      </w:r>
      <w:r w:rsidRPr="007771B1">
        <w:rPr>
          <w:rFonts w:ascii="Arial" w:hAnsi="Arial" w:cs="Arial"/>
        </w:rPr>
        <w:t xml:space="preserve">(4), 661. </w:t>
      </w:r>
      <w:hyperlink r:id="rId50" w:tgtFrame="_new" w:history="1">
        <w:r w:rsidRPr="007771B1">
          <w:rPr>
            <w:rStyle w:val="Hyperlink"/>
            <w:rFonts w:ascii="Arial" w:hAnsi="Arial" w:cs="Arial"/>
          </w:rPr>
          <w:t>https://doi.org/10.3390/antibiotics12040661</w:t>
        </w:r>
      </w:hyperlink>
    </w:p>
    <w:p w14:paraId="2E600EC5" w14:textId="77777777" w:rsidR="007771B1" w:rsidRPr="007771B1" w:rsidRDefault="007771B1" w:rsidP="000E0A82">
      <w:pPr>
        <w:spacing w:before="100" w:beforeAutospacing="1" w:after="100" w:afterAutospacing="1"/>
        <w:ind w:left="810" w:hanging="810"/>
        <w:jc w:val="both"/>
        <w:rPr>
          <w:rStyle w:val="Hyperlink"/>
          <w:rFonts w:ascii="Arial" w:eastAsiaTheme="majorEastAsia" w:hAnsi="Arial" w:cs="Arial"/>
        </w:rPr>
      </w:pPr>
      <w:proofErr w:type="spellStart"/>
      <w:r w:rsidRPr="007771B1">
        <w:rPr>
          <w:rFonts w:ascii="Arial" w:hAnsi="Arial" w:cs="Arial"/>
        </w:rPr>
        <w:t>Tuhamize</w:t>
      </w:r>
      <w:proofErr w:type="spellEnd"/>
      <w:r w:rsidRPr="007771B1">
        <w:rPr>
          <w:rFonts w:ascii="Arial" w:hAnsi="Arial" w:cs="Arial"/>
        </w:rPr>
        <w:t xml:space="preserve">, B., &amp; </w:t>
      </w:r>
      <w:proofErr w:type="spellStart"/>
      <w:r w:rsidRPr="007771B1">
        <w:rPr>
          <w:rFonts w:ascii="Arial" w:hAnsi="Arial" w:cs="Arial"/>
        </w:rPr>
        <w:t>Bazira</w:t>
      </w:r>
      <w:proofErr w:type="spellEnd"/>
      <w:r w:rsidRPr="007771B1">
        <w:rPr>
          <w:rFonts w:ascii="Arial" w:hAnsi="Arial" w:cs="Arial"/>
        </w:rPr>
        <w:t xml:space="preserve">, J. (2024). Carbapenem-resistant Enterobacteriaceae in the livestock, humans and environmental samples around the globe: A systematic review and meta-analysis. </w:t>
      </w:r>
      <w:r w:rsidRPr="004924C2">
        <w:rPr>
          <w:rStyle w:val="Emphasis"/>
          <w:rFonts w:ascii="Arial" w:hAnsi="Arial" w:cs="Arial"/>
          <w:i w:val="0"/>
        </w:rPr>
        <w:t>Scientific Reports, 14</w:t>
      </w:r>
      <w:r w:rsidRPr="007771B1">
        <w:rPr>
          <w:rFonts w:ascii="Arial" w:hAnsi="Arial" w:cs="Arial"/>
        </w:rPr>
        <w:t xml:space="preserve">, 16333. </w:t>
      </w:r>
      <w:hyperlink r:id="rId51" w:tgtFrame="_new" w:history="1">
        <w:r w:rsidRPr="007771B1">
          <w:rPr>
            <w:rStyle w:val="Hyperlink"/>
            <w:rFonts w:ascii="Arial" w:hAnsi="Arial" w:cs="Arial"/>
          </w:rPr>
          <w:t>https://doi.org/10.1038/s41598-024-64992-8</w:t>
        </w:r>
      </w:hyperlink>
    </w:p>
    <w:p w14:paraId="36235C75"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Valdes, A. M., Walter, J., Segal, E., &amp; Spector, T. D. (2018). Role of the gut microbiota in nutrition and health. </w:t>
      </w:r>
      <w:r w:rsidRPr="007771B1">
        <w:rPr>
          <w:rStyle w:val="Emphasis"/>
          <w:rFonts w:ascii="Arial" w:hAnsi="Arial" w:cs="Arial"/>
          <w:i w:val="0"/>
        </w:rPr>
        <w:t>BMJ, 361</w:t>
      </w:r>
      <w:r w:rsidRPr="007771B1">
        <w:rPr>
          <w:rFonts w:ascii="Arial" w:hAnsi="Arial" w:cs="Arial"/>
        </w:rPr>
        <w:t xml:space="preserve">, k2179. </w:t>
      </w:r>
      <w:hyperlink r:id="rId52" w:tgtFrame="_new" w:history="1">
        <w:r w:rsidRPr="007771B1">
          <w:rPr>
            <w:rStyle w:val="Hyperlink"/>
            <w:rFonts w:ascii="Arial" w:hAnsi="Arial" w:cs="Arial"/>
          </w:rPr>
          <w:t>https://doi.org/10.1136/bmj.k2179</w:t>
        </w:r>
      </w:hyperlink>
    </w:p>
    <w:p w14:paraId="059EB386" w14:textId="77777777" w:rsidR="007771B1" w:rsidRPr="007771B1" w:rsidRDefault="007771B1" w:rsidP="000E0A82">
      <w:pPr>
        <w:spacing w:before="100" w:beforeAutospacing="1" w:after="100" w:afterAutospacing="1"/>
        <w:ind w:left="810" w:hanging="810"/>
        <w:jc w:val="both"/>
        <w:rPr>
          <w:rFonts w:ascii="Arial" w:hAnsi="Arial" w:cs="Arial"/>
        </w:rPr>
      </w:pPr>
      <w:proofErr w:type="spellStart"/>
      <w:r w:rsidRPr="007771B1">
        <w:rPr>
          <w:rFonts w:ascii="Arial" w:hAnsi="Arial" w:cs="Arial"/>
        </w:rPr>
        <w:t>Vikesland</w:t>
      </w:r>
      <w:proofErr w:type="spellEnd"/>
      <w:r w:rsidRPr="007771B1">
        <w:rPr>
          <w:rFonts w:ascii="Arial" w:hAnsi="Arial" w:cs="Arial"/>
        </w:rPr>
        <w:t xml:space="preserve">, P., Garner, E., Gupta, S., Kang, S., Maile-Moskowitz, A., &amp; Zhu, N. (2022). Role of horizontal gene transfer in the dissemination of antimicrobial resistance in food animal production. </w:t>
      </w:r>
      <w:r w:rsidRPr="007771B1">
        <w:rPr>
          <w:rStyle w:val="Emphasis"/>
          <w:rFonts w:ascii="Arial" w:hAnsi="Arial" w:cs="Arial"/>
          <w:i w:val="0"/>
        </w:rPr>
        <w:t>Current Opinion in Food Science, 47</w:t>
      </w:r>
      <w:r w:rsidRPr="007771B1">
        <w:rPr>
          <w:rFonts w:ascii="Arial" w:hAnsi="Arial" w:cs="Arial"/>
        </w:rPr>
        <w:t xml:space="preserve">, 100882. </w:t>
      </w:r>
      <w:hyperlink r:id="rId53" w:history="1">
        <w:r w:rsidRPr="007771B1">
          <w:rPr>
            <w:rStyle w:val="Hyperlink"/>
            <w:rFonts w:ascii="Arial" w:hAnsi="Arial" w:cs="Arial"/>
          </w:rPr>
          <w:t>https://doi.org/10.1016/j.cofs.2022.100882</w:t>
        </w:r>
      </w:hyperlink>
    </w:p>
    <w:p w14:paraId="3459C5F1"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t>Virtanen, S. E., Salonen, L. K., Laukkanen, R., Hakkinen, M., &amp; Korkeala, H. (2011).</w:t>
      </w:r>
      <w:r w:rsidRPr="007771B1">
        <w:rPr>
          <w:rFonts w:ascii="Arial" w:hAnsi="Arial" w:cs="Arial"/>
        </w:rPr>
        <w:t xml:space="preserve"> Factors related to the prevalence of pathogenic </w:t>
      </w:r>
      <w:r w:rsidRPr="007771B1">
        <w:rPr>
          <w:rFonts w:ascii="Arial" w:hAnsi="Arial" w:cs="Arial"/>
          <w:i/>
          <w:iCs/>
        </w:rPr>
        <w:t>Yersinia enterocolitica</w:t>
      </w:r>
      <w:r w:rsidRPr="007771B1">
        <w:rPr>
          <w:rFonts w:ascii="Arial" w:hAnsi="Arial" w:cs="Arial"/>
        </w:rPr>
        <w:t xml:space="preserve"> on pig farms. </w:t>
      </w:r>
      <w:r w:rsidRPr="00DD6813">
        <w:rPr>
          <w:rFonts w:ascii="Arial" w:hAnsi="Arial" w:cs="Arial"/>
          <w:iCs/>
        </w:rPr>
        <w:t>Epidemiology and Infection, 139</w:t>
      </w:r>
      <w:r w:rsidRPr="007771B1">
        <w:rPr>
          <w:rFonts w:ascii="Arial" w:hAnsi="Arial" w:cs="Arial"/>
        </w:rPr>
        <w:t xml:space="preserve">(12), 1919–1927. https://doi.org/10.1017/S0950268810003050 </w:t>
      </w:r>
    </w:p>
    <w:p w14:paraId="730B731B"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rPr>
        <w:t xml:space="preserve">Wilson, K. (2001). Preparation of genomic DNA from bacteria. In F. M. Ausubel et al. (Eds.), </w:t>
      </w:r>
      <w:r w:rsidRPr="007771B1">
        <w:rPr>
          <w:rFonts w:ascii="Arial" w:hAnsi="Arial" w:cs="Arial"/>
          <w:i/>
          <w:iCs/>
        </w:rPr>
        <w:t>Current Protocols in Molecular Biology</w:t>
      </w:r>
      <w:r w:rsidRPr="007771B1">
        <w:rPr>
          <w:rFonts w:ascii="Arial" w:hAnsi="Arial" w:cs="Arial"/>
        </w:rPr>
        <w:t xml:space="preserve"> (Chapter 2, Unit 2.4). John Wiley &amp; Sons.</w:t>
      </w:r>
    </w:p>
    <w:p w14:paraId="194BDABB" w14:textId="77777777" w:rsidR="007771B1" w:rsidRPr="007771B1" w:rsidRDefault="007771B1" w:rsidP="007771B1">
      <w:pPr>
        <w:spacing w:before="100" w:beforeAutospacing="1" w:after="100" w:afterAutospacing="1"/>
        <w:rPr>
          <w:rStyle w:val="Hyperlink"/>
          <w:rFonts w:ascii="Arial" w:hAnsi="Arial" w:cs="Arial"/>
        </w:rPr>
      </w:pPr>
      <w:r w:rsidRPr="007771B1">
        <w:rPr>
          <w:rFonts w:ascii="Arial" w:hAnsi="Arial" w:cs="Arial"/>
        </w:rPr>
        <w:t xml:space="preserve">World Health Organization. (2020). </w:t>
      </w:r>
      <w:r w:rsidRPr="007771B1">
        <w:rPr>
          <w:rStyle w:val="Emphasis"/>
          <w:rFonts w:ascii="Arial" w:hAnsi="Arial" w:cs="Arial"/>
        </w:rPr>
        <w:t>Zoonoses</w:t>
      </w:r>
      <w:r w:rsidRPr="007771B1">
        <w:rPr>
          <w:rFonts w:ascii="Arial" w:hAnsi="Arial" w:cs="Arial"/>
        </w:rPr>
        <w:t xml:space="preserve">. </w:t>
      </w:r>
      <w:hyperlink r:id="rId54" w:tgtFrame="_blank" w:history="1">
        <w:r w:rsidRPr="007771B1">
          <w:rPr>
            <w:rStyle w:val="Hyperlink"/>
            <w:rFonts w:ascii="Arial" w:hAnsi="Arial" w:cs="Arial"/>
          </w:rPr>
          <w:t>WHO: Zoonoses</w:t>
        </w:r>
      </w:hyperlink>
    </w:p>
    <w:p w14:paraId="0E12FE98"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World Health Organization. (2024). </w:t>
      </w:r>
      <w:r w:rsidRPr="007771B1">
        <w:rPr>
          <w:rStyle w:val="Emphasis"/>
          <w:rFonts w:ascii="Arial" w:eastAsiaTheme="majorEastAsia" w:hAnsi="Arial" w:cs="Arial"/>
        </w:rPr>
        <w:t>Foodborne diseases: Key facts and global burden</w:t>
      </w:r>
      <w:r w:rsidRPr="007771B1">
        <w:rPr>
          <w:rFonts w:ascii="Arial" w:hAnsi="Arial" w:cs="Arial"/>
        </w:rPr>
        <w:t>. Geneva, Switzerland: WHO.</w:t>
      </w:r>
    </w:p>
    <w:p w14:paraId="09BDCBB6"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Wyres, K. L., &amp; Holt, K. E. (2023). </w:t>
      </w:r>
      <w:r w:rsidRPr="007771B1">
        <w:rPr>
          <w:rFonts w:ascii="Arial" w:hAnsi="Arial" w:cs="Arial"/>
          <w:i/>
          <w:iCs/>
        </w:rPr>
        <w:t>Klebsiella pneumoniae</w:t>
      </w:r>
      <w:r w:rsidRPr="007771B1">
        <w:rPr>
          <w:rFonts w:ascii="Arial" w:hAnsi="Arial" w:cs="Arial"/>
        </w:rPr>
        <w:t xml:space="preserve"> as a major zoonotic and antimicrobial-resistant pathogen. </w:t>
      </w:r>
      <w:r w:rsidRPr="007771B1">
        <w:rPr>
          <w:rFonts w:ascii="Arial" w:hAnsi="Arial" w:cs="Arial"/>
          <w:iCs/>
        </w:rPr>
        <w:t>Nature Reviews Microbiology, 21</w:t>
      </w:r>
      <w:r w:rsidRPr="007771B1">
        <w:rPr>
          <w:rFonts w:ascii="Arial" w:hAnsi="Arial" w:cs="Arial"/>
        </w:rPr>
        <w:t>(2), 104–121.</w:t>
      </w:r>
    </w:p>
    <w:p w14:paraId="513CCB53" w14:textId="77777777" w:rsidR="007771B1" w:rsidRPr="007771B1" w:rsidRDefault="007771B1" w:rsidP="000E0A82">
      <w:pPr>
        <w:ind w:left="810" w:hanging="810"/>
        <w:jc w:val="both"/>
        <w:rPr>
          <w:rStyle w:val="Hyperlink"/>
          <w:rFonts w:ascii="Arial" w:hAnsi="Arial" w:cs="Arial"/>
          <w:color w:val="FF0000"/>
        </w:rPr>
      </w:pPr>
      <w:r w:rsidRPr="007771B1">
        <w:rPr>
          <w:rFonts w:ascii="Arial" w:hAnsi="Arial" w:cs="Arial"/>
        </w:rPr>
        <w:t xml:space="preserve">Zinno, P., Perozzi, G., &amp; </w:t>
      </w:r>
      <w:proofErr w:type="spellStart"/>
      <w:r w:rsidRPr="007771B1">
        <w:rPr>
          <w:rFonts w:ascii="Arial" w:hAnsi="Arial" w:cs="Arial"/>
        </w:rPr>
        <w:t>Devirgiliis</w:t>
      </w:r>
      <w:proofErr w:type="spellEnd"/>
      <w:r w:rsidRPr="007771B1">
        <w:rPr>
          <w:rFonts w:ascii="Arial" w:hAnsi="Arial" w:cs="Arial"/>
        </w:rPr>
        <w:t xml:space="preserve">, C. (2023). Foodborne microbial communities as potential reservoirs of antimicrobial resistance genes for pathogens: A critical review of the recent literature. </w:t>
      </w:r>
      <w:r w:rsidRPr="007771B1">
        <w:rPr>
          <w:rStyle w:val="Emphasis"/>
          <w:rFonts w:ascii="Arial" w:hAnsi="Arial" w:cs="Arial"/>
          <w:i w:val="0"/>
        </w:rPr>
        <w:t>Microorganisms, 11</w:t>
      </w:r>
      <w:r w:rsidRPr="007771B1">
        <w:rPr>
          <w:rFonts w:ascii="Arial" w:hAnsi="Arial" w:cs="Arial"/>
        </w:rPr>
        <w:t>(7), 1696. https://doi.org/10.3390/microorganisms11071696</w:t>
      </w:r>
    </w:p>
    <w:p w14:paraId="24511090" w14:textId="77777777" w:rsidR="000D59AD" w:rsidRPr="007771B1" w:rsidRDefault="000D59AD" w:rsidP="007771B1">
      <w:pPr>
        <w:pStyle w:val="ReferHead"/>
        <w:jc w:val="both"/>
        <w:rPr>
          <w:rFonts w:ascii="Arial" w:hAnsi="Arial" w:cs="Arial"/>
          <w:b w:val="0"/>
          <w:sz w:val="20"/>
        </w:rPr>
      </w:pPr>
    </w:p>
    <w:sectPr w:rsidR="000D59AD" w:rsidRPr="007771B1" w:rsidSect="00B221A6">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F75A3" w14:textId="77777777" w:rsidR="003B3BA5" w:rsidRDefault="003B3BA5" w:rsidP="00C37E61">
      <w:r>
        <w:separator/>
      </w:r>
    </w:p>
  </w:endnote>
  <w:endnote w:type="continuationSeparator" w:id="0">
    <w:p w14:paraId="6ACBCCCE" w14:textId="77777777" w:rsidR="003B3BA5" w:rsidRDefault="003B3BA5"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5282A" w14:textId="77777777" w:rsidR="00B221A6" w:rsidRDefault="00B22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CA8DD" w14:textId="77777777" w:rsidR="00B221A6" w:rsidRDefault="00B221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EB3AC" w14:textId="4A7BC88B" w:rsidR="006913C1" w:rsidRPr="00B221A6" w:rsidRDefault="006913C1" w:rsidP="00B22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5D59B" w14:textId="77777777" w:rsidR="003B3BA5" w:rsidRDefault="003B3BA5" w:rsidP="00C37E61">
      <w:r>
        <w:separator/>
      </w:r>
    </w:p>
  </w:footnote>
  <w:footnote w:type="continuationSeparator" w:id="0">
    <w:p w14:paraId="3B03DA00" w14:textId="77777777" w:rsidR="003B3BA5" w:rsidRDefault="003B3BA5"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3D03B" w14:textId="6B3E1439" w:rsidR="00B221A6" w:rsidRDefault="00B221A6">
    <w:pPr>
      <w:pStyle w:val="Header"/>
    </w:pPr>
    <w:r>
      <w:rPr>
        <w:noProof/>
      </w:rPr>
      <w:pict w14:anchorId="13602A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5720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9B2E" w14:textId="0DD1F39F" w:rsidR="00B221A6" w:rsidRDefault="00B221A6">
    <w:pPr>
      <w:pStyle w:val="Header"/>
    </w:pPr>
    <w:r>
      <w:rPr>
        <w:noProof/>
      </w:rPr>
      <w:pict w14:anchorId="6CDDA3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5720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92A2" w14:textId="624C4912" w:rsidR="006913C1" w:rsidRPr="00296529" w:rsidRDefault="00B221A6" w:rsidP="00296529">
    <w:pPr>
      <w:ind w:left="2160"/>
      <w:jc w:val="center"/>
      <w:rPr>
        <w:rFonts w:ascii="Times New Roman" w:eastAsia="Calibri" w:hAnsi="Times New Roman"/>
        <w:i/>
        <w:sz w:val="18"/>
        <w:szCs w:val="22"/>
      </w:rPr>
    </w:pPr>
    <w:r>
      <w:rPr>
        <w:noProof/>
      </w:rPr>
      <w:pict w14:anchorId="0EA16F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5720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4B432166" w14:textId="77777777" w:rsidR="006913C1" w:rsidRPr="00296529" w:rsidRDefault="006913C1"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69652A02" w14:textId="77777777" w:rsidR="006913C1" w:rsidRPr="00296529" w:rsidRDefault="006913C1"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9097467" w14:textId="77777777" w:rsidR="006913C1" w:rsidRPr="00296529" w:rsidRDefault="006913C1"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AC37FEA" w14:textId="77777777" w:rsidR="006913C1" w:rsidRDefault="006913C1"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90F0E73" w14:textId="77777777" w:rsidR="006913C1" w:rsidRDefault="006913C1"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1AA0E78" w14:textId="77777777" w:rsidR="006913C1" w:rsidRDefault="006913C1">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E103BC2"/>
    <w:multiLevelType w:val="multilevel"/>
    <w:tmpl w:val="87E04286"/>
    <w:lvl w:ilvl="0">
      <w:start w:val="3"/>
      <w:numFmt w:val="decimal"/>
      <w:lvlText w:val="%1"/>
      <w:lvlJc w:val="left"/>
      <w:pPr>
        <w:ind w:left="360" w:hanging="360"/>
      </w:pPr>
      <w:rPr>
        <w:rFonts w:hint="default"/>
        <w:sz w:val="20"/>
      </w:rPr>
    </w:lvl>
    <w:lvl w:ilvl="1">
      <w:start w:val="3"/>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8B05604"/>
    <w:multiLevelType w:val="multilevel"/>
    <w:tmpl w:val="6D5E2C0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asciiTheme="minorHAnsi" w:hAnsiTheme="minorHAnsi" w:cstheme="minorBidi" w:hint="default"/>
        <w:sz w:val="22"/>
      </w:rPr>
    </w:lvl>
    <w:lvl w:ilvl="2">
      <w:start w:val="1"/>
      <w:numFmt w:val="decimal"/>
      <w:isLgl/>
      <w:lvlText w:val="%1.%2.%3."/>
      <w:lvlJc w:val="left"/>
      <w:pPr>
        <w:ind w:left="1080" w:hanging="720"/>
      </w:pPr>
      <w:rPr>
        <w:rFonts w:asciiTheme="minorHAnsi" w:hAnsiTheme="minorHAnsi" w:cstheme="minorBidi" w:hint="default"/>
        <w:sz w:val="22"/>
      </w:rPr>
    </w:lvl>
    <w:lvl w:ilvl="3">
      <w:start w:val="1"/>
      <w:numFmt w:val="decimal"/>
      <w:isLgl/>
      <w:lvlText w:val="%1.%2.%3.%4."/>
      <w:lvlJc w:val="left"/>
      <w:pPr>
        <w:ind w:left="1080" w:hanging="720"/>
      </w:pPr>
      <w:rPr>
        <w:rFonts w:asciiTheme="minorHAnsi" w:hAnsiTheme="minorHAnsi" w:cstheme="minorBidi" w:hint="default"/>
        <w:sz w:val="22"/>
      </w:rPr>
    </w:lvl>
    <w:lvl w:ilvl="4">
      <w:start w:val="1"/>
      <w:numFmt w:val="decimal"/>
      <w:isLgl/>
      <w:lvlText w:val="%1.%2.%3.%4.%5."/>
      <w:lvlJc w:val="left"/>
      <w:pPr>
        <w:ind w:left="1440" w:hanging="1080"/>
      </w:pPr>
      <w:rPr>
        <w:rFonts w:asciiTheme="minorHAnsi" w:hAnsiTheme="minorHAnsi" w:cstheme="minorBidi" w:hint="default"/>
        <w:sz w:val="22"/>
      </w:rPr>
    </w:lvl>
    <w:lvl w:ilvl="5">
      <w:start w:val="1"/>
      <w:numFmt w:val="decimal"/>
      <w:isLgl/>
      <w:lvlText w:val="%1.%2.%3.%4.%5.%6."/>
      <w:lvlJc w:val="left"/>
      <w:pPr>
        <w:ind w:left="1440" w:hanging="1080"/>
      </w:pPr>
      <w:rPr>
        <w:rFonts w:asciiTheme="minorHAnsi" w:hAnsiTheme="minorHAnsi" w:cstheme="minorBidi" w:hint="default"/>
        <w:sz w:val="22"/>
      </w:rPr>
    </w:lvl>
    <w:lvl w:ilvl="6">
      <w:start w:val="1"/>
      <w:numFmt w:val="decimal"/>
      <w:isLgl/>
      <w:lvlText w:val="%1.%2.%3.%4.%5.%6.%7."/>
      <w:lvlJc w:val="left"/>
      <w:pPr>
        <w:ind w:left="1800" w:hanging="1440"/>
      </w:pPr>
      <w:rPr>
        <w:rFonts w:asciiTheme="minorHAnsi" w:hAnsiTheme="minorHAnsi" w:cstheme="minorBidi" w:hint="default"/>
        <w:sz w:val="22"/>
      </w:rPr>
    </w:lvl>
    <w:lvl w:ilvl="7">
      <w:start w:val="1"/>
      <w:numFmt w:val="decimal"/>
      <w:isLgl/>
      <w:lvlText w:val="%1.%2.%3.%4.%5.%6.%7.%8."/>
      <w:lvlJc w:val="left"/>
      <w:pPr>
        <w:ind w:left="1800" w:hanging="1440"/>
      </w:pPr>
      <w:rPr>
        <w:rFonts w:asciiTheme="minorHAnsi" w:hAnsiTheme="minorHAnsi" w:cstheme="minorBidi" w:hint="default"/>
        <w:sz w:val="22"/>
      </w:rPr>
    </w:lvl>
    <w:lvl w:ilvl="8">
      <w:start w:val="1"/>
      <w:numFmt w:val="decimal"/>
      <w:isLgl/>
      <w:lvlText w:val="%1.%2.%3.%4.%5.%6.%7.%8.%9."/>
      <w:lvlJc w:val="left"/>
      <w:pPr>
        <w:ind w:left="2160" w:hanging="1800"/>
      </w:pPr>
      <w:rPr>
        <w:rFonts w:asciiTheme="minorHAnsi" w:hAnsiTheme="minorHAnsi" w:cstheme="minorBidi" w:hint="default"/>
        <w:sz w:val="22"/>
      </w:rPr>
    </w:lvl>
  </w:abstractNum>
  <w:abstractNum w:abstractNumId="28" w15:restartNumberingAfterBreak="0">
    <w:nsid w:val="79E2145D"/>
    <w:multiLevelType w:val="multilevel"/>
    <w:tmpl w:val="6D5E2C0C"/>
    <w:lvl w:ilvl="0">
      <w:start w:val="1"/>
      <w:numFmt w:val="decimal"/>
      <w:lvlText w:val="%1."/>
      <w:lvlJc w:val="left"/>
      <w:pPr>
        <w:ind w:left="720" w:hanging="360"/>
      </w:pPr>
      <w:rPr>
        <w:rFonts w:hint="default"/>
      </w:rPr>
    </w:lvl>
    <w:lvl w:ilvl="1">
      <w:start w:val="3"/>
      <w:numFmt w:val="decimal"/>
      <w:isLgl/>
      <w:lvlText w:val="%1.%2."/>
      <w:lvlJc w:val="left"/>
      <w:pPr>
        <w:ind w:left="360" w:hanging="360"/>
      </w:pPr>
      <w:rPr>
        <w:rFonts w:asciiTheme="minorHAnsi" w:hAnsiTheme="minorHAnsi" w:cstheme="minorBidi" w:hint="default"/>
        <w:sz w:val="22"/>
      </w:rPr>
    </w:lvl>
    <w:lvl w:ilvl="2">
      <w:start w:val="1"/>
      <w:numFmt w:val="decimal"/>
      <w:isLgl/>
      <w:lvlText w:val="%1.%2.%3."/>
      <w:lvlJc w:val="left"/>
      <w:pPr>
        <w:ind w:left="1080" w:hanging="720"/>
      </w:pPr>
      <w:rPr>
        <w:rFonts w:asciiTheme="minorHAnsi" w:hAnsiTheme="minorHAnsi" w:cstheme="minorBidi" w:hint="default"/>
        <w:sz w:val="22"/>
      </w:rPr>
    </w:lvl>
    <w:lvl w:ilvl="3">
      <w:start w:val="1"/>
      <w:numFmt w:val="decimal"/>
      <w:isLgl/>
      <w:lvlText w:val="%1.%2.%3.%4."/>
      <w:lvlJc w:val="left"/>
      <w:pPr>
        <w:ind w:left="1080" w:hanging="720"/>
      </w:pPr>
      <w:rPr>
        <w:rFonts w:asciiTheme="minorHAnsi" w:hAnsiTheme="minorHAnsi" w:cstheme="minorBidi" w:hint="default"/>
        <w:sz w:val="22"/>
      </w:rPr>
    </w:lvl>
    <w:lvl w:ilvl="4">
      <w:start w:val="1"/>
      <w:numFmt w:val="decimal"/>
      <w:isLgl/>
      <w:lvlText w:val="%1.%2.%3.%4.%5."/>
      <w:lvlJc w:val="left"/>
      <w:pPr>
        <w:ind w:left="1440" w:hanging="1080"/>
      </w:pPr>
      <w:rPr>
        <w:rFonts w:asciiTheme="minorHAnsi" w:hAnsiTheme="minorHAnsi" w:cstheme="minorBidi" w:hint="default"/>
        <w:sz w:val="22"/>
      </w:rPr>
    </w:lvl>
    <w:lvl w:ilvl="5">
      <w:start w:val="1"/>
      <w:numFmt w:val="decimal"/>
      <w:isLgl/>
      <w:lvlText w:val="%1.%2.%3.%4.%5.%6."/>
      <w:lvlJc w:val="left"/>
      <w:pPr>
        <w:ind w:left="1440" w:hanging="1080"/>
      </w:pPr>
      <w:rPr>
        <w:rFonts w:asciiTheme="minorHAnsi" w:hAnsiTheme="minorHAnsi" w:cstheme="minorBidi" w:hint="default"/>
        <w:sz w:val="22"/>
      </w:rPr>
    </w:lvl>
    <w:lvl w:ilvl="6">
      <w:start w:val="1"/>
      <w:numFmt w:val="decimal"/>
      <w:isLgl/>
      <w:lvlText w:val="%1.%2.%3.%4.%5.%6.%7."/>
      <w:lvlJc w:val="left"/>
      <w:pPr>
        <w:ind w:left="1800" w:hanging="1440"/>
      </w:pPr>
      <w:rPr>
        <w:rFonts w:asciiTheme="minorHAnsi" w:hAnsiTheme="minorHAnsi" w:cstheme="minorBidi" w:hint="default"/>
        <w:sz w:val="22"/>
      </w:rPr>
    </w:lvl>
    <w:lvl w:ilvl="7">
      <w:start w:val="1"/>
      <w:numFmt w:val="decimal"/>
      <w:isLgl/>
      <w:lvlText w:val="%1.%2.%3.%4.%5.%6.%7.%8."/>
      <w:lvlJc w:val="left"/>
      <w:pPr>
        <w:ind w:left="1800" w:hanging="1440"/>
      </w:pPr>
      <w:rPr>
        <w:rFonts w:asciiTheme="minorHAnsi" w:hAnsiTheme="minorHAnsi" w:cstheme="minorBidi" w:hint="default"/>
        <w:sz w:val="22"/>
      </w:rPr>
    </w:lvl>
    <w:lvl w:ilvl="8">
      <w:start w:val="1"/>
      <w:numFmt w:val="decimal"/>
      <w:isLgl/>
      <w:lvlText w:val="%1.%2.%3.%4.%5.%6.%7.%8.%9."/>
      <w:lvlJc w:val="left"/>
      <w:pPr>
        <w:ind w:left="2160" w:hanging="1800"/>
      </w:pPr>
      <w:rPr>
        <w:rFonts w:asciiTheme="minorHAnsi" w:hAnsiTheme="minorHAnsi" w:cstheme="minorBidi" w:hint="default"/>
        <w:sz w:val="22"/>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6538202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25303995">
    <w:abstractNumId w:val="15"/>
  </w:num>
  <w:num w:numId="3" w16cid:durableId="192233986">
    <w:abstractNumId w:val="24"/>
  </w:num>
  <w:num w:numId="4" w16cid:durableId="54395303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64903767">
    <w:abstractNumId w:val="7"/>
  </w:num>
  <w:num w:numId="6" w16cid:durableId="1341660980">
    <w:abstractNumId w:val="6"/>
  </w:num>
  <w:num w:numId="7" w16cid:durableId="1574924505">
    <w:abstractNumId w:val="1"/>
  </w:num>
  <w:num w:numId="8" w16cid:durableId="774909057">
    <w:abstractNumId w:val="12"/>
  </w:num>
  <w:num w:numId="9" w16cid:durableId="621808495">
    <w:abstractNumId w:val="26"/>
  </w:num>
  <w:num w:numId="10" w16cid:durableId="1566141781">
    <w:abstractNumId w:val="2"/>
  </w:num>
  <w:num w:numId="11" w16cid:durableId="2010135689">
    <w:abstractNumId w:val="18"/>
  </w:num>
  <w:num w:numId="12" w16cid:durableId="2057772122">
    <w:abstractNumId w:val="3"/>
  </w:num>
  <w:num w:numId="13" w16cid:durableId="407389985">
    <w:abstractNumId w:val="17"/>
  </w:num>
  <w:num w:numId="14" w16cid:durableId="652636840">
    <w:abstractNumId w:val="8"/>
  </w:num>
  <w:num w:numId="15" w16cid:durableId="1625188065">
    <w:abstractNumId w:val="22"/>
  </w:num>
  <w:num w:numId="16" w16cid:durableId="580408942">
    <w:abstractNumId w:val="5"/>
  </w:num>
  <w:num w:numId="17" w16cid:durableId="523446236">
    <w:abstractNumId w:val="23"/>
  </w:num>
  <w:num w:numId="18" w16cid:durableId="492453328">
    <w:abstractNumId w:val="14"/>
  </w:num>
  <w:num w:numId="19" w16cid:durableId="527911619">
    <w:abstractNumId w:val="31"/>
  </w:num>
  <w:num w:numId="20" w16cid:durableId="813373207">
    <w:abstractNumId w:val="11"/>
  </w:num>
  <w:num w:numId="21" w16cid:durableId="273440877">
    <w:abstractNumId w:val="9"/>
  </w:num>
  <w:num w:numId="22" w16cid:durableId="2075003675">
    <w:abstractNumId w:val="13"/>
  </w:num>
  <w:num w:numId="23" w16cid:durableId="375199703">
    <w:abstractNumId w:val="20"/>
  </w:num>
  <w:num w:numId="24" w16cid:durableId="1988853244">
    <w:abstractNumId w:val="29"/>
  </w:num>
  <w:num w:numId="25" w16cid:durableId="203445257">
    <w:abstractNumId w:val="4"/>
  </w:num>
  <w:num w:numId="26" w16cid:durableId="2080010836">
    <w:abstractNumId w:val="16"/>
  </w:num>
  <w:num w:numId="27" w16cid:durableId="2063676721">
    <w:abstractNumId w:val="21"/>
  </w:num>
  <w:num w:numId="28" w16cid:durableId="192965523">
    <w:abstractNumId w:val="30"/>
  </w:num>
  <w:num w:numId="29" w16cid:durableId="1265697963">
    <w:abstractNumId w:val="25"/>
  </w:num>
  <w:num w:numId="30" w16cid:durableId="1810325118">
    <w:abstractNumId w:val="10"/>
  </w:num>
  <w:num w:numId="31" w16cid:durableId="1456564706">
    <w:abstractNumId w:val="28"/>
  </w:num>
  <w:num w:numId="32" w16cid:durableId="972904827">
    <w:abstractNumId w:val="27"/>
  </w:num>
  <w:num w:numId="33" w16cid:durableId="1945866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6219"/>
    <w:rsid w:val="00000F8F"/>
    <w:rsid w:val="000101FB"/>
    <w:rsid w:val="00015B63"/>
    <w:rsid w:val="00030174"/>
    <w:rsid w:val="0004579C"/>
    <w:rsid w:val="00057A62"/>
    <w:rsid w:val="000713F0"/>
    <w:rsid w:val="00086897"/>
    <w:rsid w:val="000A47FA"/>
    <w:rsid w:val="000A65D3"/>
    <w:rsid w:val="000B1E33"/>
    <w:rsid w:val="000D0254"/>
    <w:rsid w:val="000D59AD"/>
    <w:rsid w:val="000D689F"/>
    <w:rsid w:val="000E0A82"/>
    <w:rsid w:val="000E7B7B"/>
    <w:rsid w:val="000E7D62"/>
    <w:rsid w:val="001030B8"/>
    <w:rsid w:val="00103357"/>
    <w:rsid w:val="00123C9F"/>
    <w:rsid w:val="00126190"/>
    <w:rsid w:val="00130F17"/>
    <w:rsid w:val="001320BF"/>
    <w:rsid w:val="00134AF0"/>
    <w:rsid w:val="00142F14"/>
    <w:rsid w:val="00155BC8"/>
    <w:rsid w:val="00163BC4"/>
    <w:rsid w:val="00172990"/>
    <w:rsid w:val="00191062"/>
    <w:rsid w:val="00192B72"/>
    <w:rsid w:val="001A29D8"/>
    <w:rsid w:val="001A5CAA"/>
    <w:rsid w:val="001B0427"/>
    <w:rsid w:val="001B1246"/>
    <w:rsid w:val="001B173B"/>
    <w:rsid w:val="001D3A51"/>
    <w:rsid w:val="001D571C"/>
    <w:rsid w:val="001E10D2"/>
    <w:rsid w:val="001E25B4"/>
    <w:rsid w:val="001E42A8"/>
    <w:rsid w:val="001E44FE"/>
    <w:rsid w:val="001E5916"/>
    <w:rsid w:val="001E6F01"/>
    <w:rsid w:val="001F3271"/>
    <w:rsid w:val="001F532B"/>
    <w:rsid w:val="00200595"/>
    <w:rsid w:val="00202AD2"/>
    <w:rsid w:val="00202E46"/>
    <w:rsid w:val="00204835"/>
    <w:rsid w:val="00224EB6"/>
    <w:rsid w:val="00231918"/>
    <w:rsid w:val="00231920"/>
    <w:rsid w:val="0023195C"/>
    <w:rsid w:val="0024282C"/>
    <w:rsid w:val="002460DC"/>
    <w:rsid w:val="00250985"/>
    <w:rsid w:val="002556F6"/>
    <w:rsid w:val="0026306B"/>
    <w:rsid w:val="00276448"/>
    <w:rsid w:val="00283105"/>
    <w:rsid w:val="00284C4C"/>
    <w:rsid w:val="00287E68"/>
    <w:rsid w:val="00296529"/>
    <w:rsid w:val="002B023D"/>
    <w:rsid w:val="002B2322"/>
    <w:rsid w:val="002B27FB"/>
    <w:rsid w:val="002B685A"/>
    <w:rsid w:val="002C57D2"/>
    <w:rsid w:val="002D0FD7"/>
    <w:rsid w:val="002D379B"/>
    <w:rsid w:val="002E0D56"/>
    <w:rsid w:val="002E22C4"/>
    <w:rsid w:val="00315186"/>
    <w:rsid w:val="0033343E"/>
    <w:rsid w:val="003512C2"/>
    <w:rsid w:val="00360C31"/>
    <w:rsid w:val="00367263"/>
    <w:rsid w:val="00371FB6"/>
    <w:rsid w:val="003763C1"/>
    <w:rsid w:val="00376BBE"/>
    <w:rsid w:val="0039224F"/>
    <w:rsid w:val="003961E6"/>
    <w:rsid w:val="003A43A4"/>
    <w:rsid w:val="003A7E18"/>
    <w:rsid w:val="003B2EC8"/>
    <w:rsid w:val="003B3BA5"/>
    <w:rsid w:val="003C4C86"/>
    <w:rsid w:val="003C6258"/>
    <w:rsid w:val="003E2904"/>
    <w:rsid w:val="003F3AD2"/>
    <w:rsid w:val="00400193"/>
    <w:rsid w:val="00401927"/>
    <w:rsid w:val="0041027F"/>
    <w:rsid w:val="00412475"/>
    <w:rsid w:val="00413931"/>
    <w:rsid w:val="00423789"/>
    <w:rsid w:val="00440F43"/>
    <w:rsid w:val="00441B6F"/>
    <w:rsid w:val="00446221"/>
    <w:rsid w:val="00446EC6"/>
    <w:rsid w:val="00450E62"/>
    <w:rsid w:val="004539DB"/>
    <w:rsid w:val="00471A80"/>
    <w:rsid w:val="00474080"/>
    <w:rsid w:val="00480539"/>
    <w:rsid w:val="004924C2"/>
    <w:rsid w:val="004A4673"/>
    <w:rsid w:val="004B4745"/>
    <w:rsid w:val="004D305E"/>
    <w:rsid w:val="004D4277"/>
    <w:rsid w:val="004E6D95"/>
    <w:rsid w:val="00502516"/>
    <w:rsid w:val="00505F06"/>
    <w:rsid w:val="00506828"/>
    <w:rsid w:val="00510262"/>
    <w:rsid w:val="0051149A"/>
    <w:rsid w:val="00513825"/>
    <w:rsid w:val="00522BB8"/>
    <w:rsid w:val="0053056E"/>
    <w:rsid w:val="005346D8"/>
    <w:rsid w:val="005475A6"/>
    <w:rsid w:val="005545D7"/>
    <w:rsid w:val="00554FDA"/>
    <w:rsid w:val="005570AD"/>
    <w:rsid w:val="005621B4"/>
    <w:rsid w:val="00566A9C"/>
    <w:rsid w:val="00567297"/>
    <w:rsid w:val="005808A7"/>
    <w:rsid w:val="00587690"/>
    <w:rsid w:val="005C2F07"/>
    <w:rsid w:val="005C784C"/>
    <w:rsid w:val="005D17F6"/>
    <w:rsid w:val="005D2AEE"/>
    <w:rsid w:val="005E5539"/>
    <w:rsid w:val="005F40C1"/>
    <w:rsid w:val="00602BF5"/>
    <w:rsid w:val="00617217"/>
    <w:rsid w:val="00617628"/>
    <w:rsid w:val="00617FDD"/>
    <w:rsid w:val="00633614"/>
    <w:rsid w:val="00633F68"/>
    <w:rsid w:val="00636EB2"/>
    <w:rsid w:val="006375B8"/>
    <w:rsid w:val="00637D31"/>
    <w:rsid w:val="00646DF1"/>
    <w:rsid w:val="00652349"/>
    <w:rsid w:val="0066510A"/>
    <w:rsid w:val="00673F9F"/>
    <w:rsid w:val="00686953"/>
    <w:rsid w:val="00687DE6"/>
    <w:rsid w:val="00687DEA"/>
    <w:rsid w:val="00687E67"/>
    <w:rsid w:val="006913C1"/>
    <w:rsid w:val="00692F66"/>
    <w:rsid w:val="0069597A"/>
    <w:rsid w:val="006967F7"/>
    <w:rsid w:val="006A250C"/>
    <w:rsid w:val="006B1E0F"/>
    <w:rsid w:val="006B21D3"/>
    <w:rsid w:val="006B57D0"/>
    <w:rsid w:val="006C00DB"/>
    <w:rsid w:val="006C5833"/>
    <w:rsid w:val="006C669D"/>
    <w:rsid w:val="006D30FF"/>
    <w:rsid w:val="006D6940"/>
    <w:rsid w:val="006E6E58"/>
    <w:rsid w:val="006E7C06"/>
    <w:rsid w:val="006F0094"/>
    <w:rsid w:val="006F11EC"/>
    <w:rsid w:val="006F60CB"/>
    <w:rsid w:val="006F7F1B"/>
    <w:rsid w:val="0070082C"/>
    <w:rsid w:val="0070271C"/>
    <w:rsid w:val="00705EA8"/>
    <w:rsid w:val="00720D6B"/>
    <w:rsid w:val="007275E2"/>
    <w:rsid w:val="007369E6"/>
    <w:rsid w:val="0073787D"/>
    <w:rsid w:val="00746E59"/>
    <w:rsid w:val="00754C9A"/>
    <w:rsid w:val="0075599A"/>
    <w:rsid w:val="00761D52"/>
    <w:rsid w:val="007771B1"/>
    <w:rsid w:val="0077749E"/>
    <w:rsid w:val="0078384A"/>
    <w:rsid w:val="00790ADA"/>
    <w:rsid w:val="0079772F"/>
    <w:rsid w:val="007A4BEB"/>
    <w:rsid w:val="007B2CA3"/>
    <w:rsid w:val="007D2288"/>
    <w:rsid w:val="007D6AF8"/>
    <w:rsid w:val="007E0115"/>
    <w:rsid w:val="007E088F"/>
    <w:rsid w:val="007F63AF"/>
    <w:rsid w:val="007F7B32"/>
    <w:rsid w:val="00804BC2"/>
    <w:rsid w:val="00806A0A"/>
    <w:rsid w:val="0081431A"/>
    <w:rsid w:val="0083216F"/>
    <w:rsid w:val="00860000"/>
    <w:rsid w:val="00863BD3"/>
    <w:rsid w:val="008641ED"/>
    <w:rsid w:val="00865887"/>
    <w:rsid w:val="00866D66"/>
    <w:rsid w:val="008671C6"/>
    <w:rsid w:val="00875803"/>
    <w:rsid w:val="00880703"/>
    <w:rsid w:val="008B459E"/>
    <w:rsid w:val="008C59C6"/>
    <w:rsid w:val="008D3B79"/>
    <w:rsid w:val="008E13AE"/>
    <w:rsid w:val="008E1506"/>
    <w:rsid w:val="008E31BF"/>
    <w:rsid w:val="008E3F2A"/>
    <w:rsid w:val="008E710C"/>
    <w:rsid w:val="008F69D6"/>
    <w:rsid w:val="00902823"/>
    <w:rsid w:val="009103AB"/>
    <w:rsid w:val="00915CA6"/>
    <w:rsid w:val="00926447"/>
    <w:rsid w:val="00927834"/>
    <w:rsid w:val="009375D1"/>
    <w:rsid w:val="00942C3B"/>
    <w:rsid w:val="009500A6"/>
    <w:rsid w:val="00957C18"/>
    <w:rsid w:val="009659BA"/>
    <w:rsid w:val="009821FD"/>
    <w:rsid w:val="00983040"/>
    <w:rsid w:val="009B3FB9"/>
    <w:rsid w:val="009B46C5"/>
    <w:rsid w:val="009B6464"/>
    <w:rsid w:val="009C1C70"/>
    <w:rsid w:val="009C2465"/>
    <w:rsid w:val="009C4B34"/>
    <w:rsid w:val="009C692D"/>
    <w:rsid w:val="009D35A0"/>
    <w:rsid w:val="009D7EB7"/>
    <w:rsid w:val="009E048A"/>
    <w:rsid w:val="009E08E9"/>
    <w:rsid w:val="009E18B0"/>
    <w:rsid w:val="009E3DB9"/>
    <w:rsid w:val="009E6E35"/>
    <w:rsid w:val="009F0EDA"/>
    <w:rsid w:val="00A01FBC"/>
    <w:rsid w:val="00A03B96"/>
    <w:rsid w:val="00A05B19"/>
    <w:rsid w:val="00A1134E"/>
    <w:rsid w:val="00A24E7E"/>
    <w:rsid w:val="00A258C3"/>
    <w:rsid w:val="00A347C0"/>
    <w:rsid w:val="00A51431"/>
    <w:rsid w:val="00A539AD"/>
    <w:rsid w:val="00A67331"/>
    <w:rsid w:val="00A82799"/>
    <w:rsid w:val="00A94063"/>
    <w:rsid w:val="00A97A9A"/>
    <w:rsid w:val="00AA6219"/>
    <w:rsid w:val="00AA74E0"/>
    <w:rsid w:val="00AB703F"/>
    <w:rsid w:val="00AC6BB8"/>
    <w:rsid w:val="00AD36A2"/>
    <w:rsid w:val="00AE008F"/>
    <w:rsid w:val="00AE59F7"/>
    <w:rsid w:val="00AF0401"/>
    <w:rsid w:val="00B00064"/>
    <w:rsid w:val="00B01FCD"/>
    <w:rsid w:val="00B04204"/>
    <w:rsid w:val="00B1776C"/>
    <w:rsid w:val="00B221A6"/>
    <w:rsid w:val="00B3131B"/>
    <w:rsid w:val="00B401F3"/>
    <w:rsid w:val="00B52583"/>
    <w:rsid w:val="00B52896"/>
    <w:rsid w:val="00B7218B"/>
    <w:rsid w:val="00B95236"/>
    <w:rsid w:val="00B96BD9"/>
    <w:rsid w:val="00B9714C"/>
    <w:rsid w:val="00BA1B01"/>
    <w:rsid w:val="00BA2641"/>
    <w:rsid w:val="00BB08B7"/>
    <w:rsid w:val="00BB37AA"/>
    <w:rsid w:val="00BB7CFC"/>
    <w:rsid w:val="00BC53A0"/>
    <w:rsid w:val="00BC63DA"/>
    <w:rsid w:val="00BE4E20"/>
    <w:rsid w:val="00BE62AD"/>
    <w:rsid w:val="00BF11B7"/>
    <w:rsid w:val="00BF121F"/>
    <w:rsid w:val="00BF1F80"/>
    <w:rsid w:val="00C03CE0"/>
    <w:rsid w:val="00C05FE5"/>
    <w:rsid w:val="00C166EF"/>
    <w:rsid w:val="00C17EB0"/>
    <w:rsid w:val="00C27F5F"/>
    <w:rsid w:val="00C30A0F"/>
    <w:rsid w:val="00C37E61"/>
    <w:rsid w:val="00C70F1B"/>
    <w:rsid w:val="00C71A47"/>
    <w:rsid w:val="00C7464C"/>
    <w:rsid w:val="00C7643B"/>
    <w:rsid w:val="00C77868"/>
    <w:rsid w:val="00C85588"/>
    <w:rsid w:val="00CA443F"/>
    <w:rsid w:val="00CC6FDF"/>
    <w:rsid w:val="00CD6755"/>
    <w:rsid w:val="00CD6856"/>
    <w:rsid w:val="00CE0089"/>
    <w:rsid w:val="00CE793C"/>
    <w:rsid w:val="00CF193C"/>
    <w:rsid w:val="00D173F1"/>
    <w:rsid w:val="00D208D1"/>
    <w:rsid w:val="00D57446"/>
    <w:rsid w:val="00D623DD"/>
    <w:rsid w:val="00D74CB0"/>
    <w:rsid w:val="00D81FFB"/>
    <w:rsid w:val="00D8295D"/>
    <w:rsid w:val="00DA194E"/>
    <w:rsid w:val="00DB5639"/>
    <w:rsid w:val="00DC10F4"/>
    <w:rsid w:val="00DC2001"/>
    <w:rsid w:val="00DC2A65"/>
    <w:rsid w:val="00DD0071"/>
    <w:rsid w:val="00DD4F83"/>
    <w:rsid w:val="00DD6813"/>
    <w:rsid w:val="00DE15F0"/>
    <w:rsid w:val="00DE5663"/>
    <w:rsid w:val="00DE78AA"/>
    <w:rsid w:val="00DF01AD"/>
    <w:rsid w:val="00DF128D"/>
    <w:rsid w:val="00E053D0"/>
    <w:rsid w:val="00E15994"/>
    <w:rsid w:val="00E3114E"/>
    <w:rsid w:val="00E31A70"/>
    <w:rsid w:val="00E35B02"/>
    <w:rsid w:val="00E63B95"/>
    <w:rsid w:val="00E66496"/>
    <w:rsid w:val="00E66B35"/>
    <w:rsid w:val="00E66E10"/>
    <w:rsid w:val="00E7528C"/>
    <w:rsid w:val="00E769F6"/>
    <w:rsid w:val="00E8407C"/>
    <w:rsid w:val="00E84F3C"/>
    <w:rsid w:val="00E909AA"/>
    <w:rsid w:val="00E92DBA"/>
    <w:rsid w:val="00EA012C"/>
    <w:rsid w:val="00EC1D16"/>
    <w:rsid w:val="00EC6A55"/>
    <w:rsid w:val="00ED0288"/>
    <w:rsid w:val="00ED5D3F"/>
    <w:rsid w:val="00EE52CB"/>
    <w:rsid w:val="00EF581D"/>
    <w:rsid w:val="00EF7FD8"/>
    <w:rsid w:val="00F06F59"/>
    <w:rsid w:val="00F1280E"/>
    <w:rsid w:val="00F151E6"/>
    <w:rsid w:val="00F17988"/>
    <w:rsid w:val="00F44E19"/>
    <w:rsid w:val="00F469F0"/>
    <w:rsid w:val="00F53273"/>
    <w:rsid w:val="00F56ED8"/>
    <w:rsid w:val="00F676D5"/>
    <w:rsid w:val="00F755E4"/>
    <w:rsid w:val="00F77D02"/>
    <w:rsid w:val="00F955A2"/>
    <w:rsid w:val="00FB3A86"/>
    <w:rsid w:val="00FC4E7F"/>
    <w:rsid w:val="00FD36C8"/>
    <w:rsid w:val="00FD7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C42AC5"/>
  <w15:docId w15:val="{A218B9FB-5C73-410C-8C1C-7E47841A3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BB08B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9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customStyle="1" w:styleId="isselectedend">
    <w:name w:val="isselectedend"/>
    <w:basedOn w:val="Normal"/>
    <w:rsid w:val="00DD4F83"/>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DD4F83"/>
    <w:rPr>
      <w:b/>
      <w:bCs/>
    </w:rPr>
  </w:style>
  <w:style w:type="character" w:customStyle="1" w:styleId="Heading3Char">
    <w:name w:val="Heading 3 Char"/>
    <w:basedOn w:val="DefaultParagraphFont"/>
    <w:link w:val="Heading3"/>
    <w:uiPriority w:val="9"/>
    <w:semiHidden/>
    <w:rsid w:val="00BB08B7"/>
    <w:rPr>
      <w:rFonts w:asciiTheme="majorHAnsi" w:eastAsiaTheme="majorEastAsia" w:hAnsiTheme="majorHAnsi" w:cstheme="majorBidi"/>
      <w:b/>
      <w:bCs/>
      <w:color w:val="4F81BD" w:themeColor="accent1"/>
    </w:rPr>
  </w:style>
  <w:style w:type="paragraph" w:styleId="NormalWeb">
    <w:name w:val="Normal (Web)"/>
    <w:basedOn w:val="Normal"/>
    <w:uiPriority w:val="99"/>
    <w:unhideWhenUsed/>
    <w:qFormat/>
    <w:rsid w:val="00FD7C1D"/>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DC2001"/>
    <w:pPr>
      <w:spacing w:after="200" w:line="276" w:lineRule="auto"/>
      <w:ind w:left="720"/>
      <w:contextualSpacing/>
    </w:pPr>
    <w:rPr>
      <w:rFonts w:asciiTheme="minorHAnsi" w:eastAsiaTheme="minorHAnsi" w:hAnsiTheme="minorHAnsi" w:cstheme="minorBidi"/>
      <w:sz w:val="22"/>
      <w:szCs w:val="22"/>
    </w:rPr>
  </w:style>
  <w:style w:type="character" w:customStyle="1" w:styleId="text-token-text-primary">
    <w:name w:val="text-token-text-primary"/>
    <w:basedOn w:val="DefaultParagraphFont"/>
    <w:rsid w:val="00B7218B"/>
  </w:style>
  <w:style w:type="paragraph" w:customStyle="1" w:styleId="pdq2pgselectionanchorcontainer">
    <w:name w:val="pdq2pg_selectionanchorcontainer"/>
    <w:basedOn w:val="Normal"/>
    <w:rsid w:val="007771B1"/>
    <w:pPr>
      <w:spacing w:before="100" w:beforeAutospacing="1" w:after="100" w:afterAutospacing="1"/>
    </w:pPr>
    <w:rPr>
      <w:rFonts w:ascii="Times New Roman" w:hAnsi="Times New Roman"/>
      <w:sz w:val="24"/>
      <w:szCs w:val="24"/>
    </w:rPr>
  </w:style>
  <w:style w:type="character" w:styleId="UnresolvedMention">
    <w:name w:val="Unresolved Mention"/>
    <w:basedOn w:val="DefaultParagraphFont"/>
    <w:uiPriority w:val="99"/>
    <w:semiHidden/>
    <w:unhideWhenUsed/>
    <w:rsid w:val="00692F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emf"/><Relationship Id="rId26" Type="http://schemas.openxmlformats.org/officeDocument/2006/relationships/hyperlink" Target="https://doi.org/10.3390/microorganisms12030501" TargetMode="External"/><Relationship Id="rId39" Type="http://schemas.openxmlformats.org/officeDocument/2006/relationships/hyperlink" Target="https://doi.org/10.1016/j.aninu.2018.04.006" TargetMode="External"/><Relationship Id="rId21" Type="http://schemas.openxmlformats.org/officeDocument/2006/relationships/hyperlink" Target="https://doi.org/10.1016/S0022-2836(05)80360-2" TargetMode="External"/><Relationship Id="rId34" Type="http://schemas.openxmlformats.org/officeDocument/2006/relationships/hyperlink" Target="https://doi.org/10.1128/AEM.02272-07" TargetMode="External"/><Relationship Id="rId42" Type="http://schemas.openxmlformats.org/officeDocument/2006/relationships/hyperlink" Target="https://doi.org/10.1016/j.ijantimicag.2023.106848" TargetMode="External"/><Relationship Id="rId47" Type="http://schemas.openxmlformats.org/officeDocument/2006/relationships/hyperlink" Target="https://doi.org/10.1016/j.vetmic.2006.06.002" TargetMode="External"/><Relationship Id="rId50" Type="http://schemas.openxmlformats.org/officeDocument/2006/relationships/hyperlink" Target="https://doi.org/10.3390/antibiotics12040661"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hyperlink" Target="https://doi.org/10.1128/CMR.00053-19" TargetMode="External"/><Relationship Id="rId11" Type="http://schemas.openxmlformats.org/officeDocument/2006/relationships/footer" Target="footer2.xml"/><Relationship Id="rId24" Type="http://schemas.openxmlformats.org/officeDocument/2006/relationships/hyperlink" Target="https://doi.org/10.3390/foods12183371" TargetMode="External"/><Relationship Id="rId32" Type="http://schemas.openxmlformats.org/officeDocument/2006/relationships/hyperlink" Target="https://www.who.int/publications/i/item/9789240059139?utm_source=chatgpt.com" TargetMode="External"/><Relationship Id="rId37" Type="http://schemas.openxmlformats.org/officeDocument/2006/relationships/hyperlink" Target="https://doi.org/10.3390/antibiotics13050391" TargetMode="External"/><Relationship Id="rId40" Type="http://schemas.openxmlformats.org/officeDocument/2006/relationships/hyperlink" Target="https://doi.org/10.1128/JCM.01228-07" TargetMode="External"/><Relationship Id="rId45" Type="http://schemas.openxmlformats.org/officeDocument/2006/relationships/hyperlink" Target="https://doi.org/10.3390/ani16030418" TargetMode="External"/><Relationship Id="rId53" Type="http://schemas.openxmlformats.org/officeDocument/2006/relationships/hyperlink" Target="https://doi.org/10.1016/j.cofs.2022.100882" TargetMode="Externa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6.emf"/><Relationship Id="rId31" Type="http://schemas.openxmlformats.org/officeDocument/2006/relationships/hyperlink" Target="https://doi.org/10.3390/ani13071196" TargetMode="External"/><Relationship Id="rId44" Type="http://schemas.openxmlformats.org/officeDocument/2006/relationships/hyperlink" Target="https://doi.org/10.1128/spectrum.00408-22" TargetMode="External"/><Relationship Id="rId52" Type="http://schemas.openxmlformats.org/officeDocument/2006/relationships/hyperlink" Target="https://doi.org/10.1136/bmj.k217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doi.org/10.1017/S0195941700062603" TargetMode="External"/><Relationship Id="rId27" Type="http://schemas.openxmlformats.org/officeDocument/2006/relationships/hyperlink" Target="https://doi.org/10.1128/iai.00482-23" TargetMode="External"/><Relationship Id="rId30" Type="http://schemas.openxmlformats.org/officeDocument/2006/relationships/hyperlink" Target="https://doi.org/10.1128/CMR.17.4.840-862.2004" TargetMode="External"/><Relationship Id="rId35" Type="http://schemas.openxmlformats.org/officeDocument/2006/relationships/hyperlink" Target="https://doi.org/10.1128/JCM.00140-12" TargetMode="External"/><Relationship Id="rId43" Type="http://schemas.openxmlformats.org/officeDocument/2006/relationships/hyperlink" Target="https://doi.org/10.1016/j.animal.2024.101345" TargetMode="External"/><Relationship Id="rId48" Type="http://schemas.openxmlformats.org/officeDocument/2006/relationships/hyperlink" Target="https://doi.org/10.1038/s41579-023-00877-3" TargetMode="Externa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doi.org/10.1038/s41598-024-64992-8"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emf"/><Relationship Id="rId25" Type="http://schemas.openxmlformats.org/officeDocument/2006/relationships/hyperlink" Target="https://doi.org/10.1016/j.ijfoodmicro.2015.12.001" TargetMode="External"/><Relationship Id="rId33" Type="http://schemas.openxmlformats.org/officeDocument/2006/relationships/hyperlink" Target="https://www.fao.org/one-health/areas-of-work/zoonoses/?utm_source=chatgpt.com" TargetMode="External"/><Relationship Id="rId38" Type="http://schemas.openxmlformats.org/officeDocument/2006/relationships/hyperlink" Target="https://doi.org/10.1128/JCM.02395-14" TargetMode="External"/><Relationship Id="rId46" Type="http://schemas.openxmlformats.org/officeDocument/2006/relationships/hyperlink" Target="https://blast.ncbi.nlm.nih.gov/Blast.cgi?utm_source=chatgpt.com" TargetMode="External"/><Relationship Id="rId20" Type="http://schemas.openxmlformats.org/officeDocument/2006/relationships/hyperlink" Target="https://doi.org/10.1099/ijsem.0.001485" TargetMode="External"/><Relationship Id="rId41" Type="http://schemas.openxmlformats.org/officeDocument/2006/relationships/hyperlink" Target="https://doi.org/10.1093/nar/gkn201" TargetMode="External"/><Relationship Id="rId54" Type="http://schemas.openxmlformats.org/officeDocument/2006/relationships/hyperlink" Target="https://www.who.int/news-room/fact-sheets/detail/zoonoses?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hyperlink" Target="https://doi.org/10.1016/j.fm.2018.02.016" TargetMode="External"/><Relationship Id="rId28" Type="http://schemas.openxmlformats.org/officeDocument/2006/relationships/hyperlink" Target="https://doi.org/10.5740/jaoacint.17-0445" TargetMode="External"/><Relationship Id="rId36" Type="http://schemas.openxmlformats.org/officeDocument/2006/relationships/hyperlink" Target="https://doi.org/10.1016/j.fm.2013.08.007" TargetMode="External"/><Relationship Id="rId49" Type="http://schemas.openxmlformats.org/officeDocument/2006/relationships/hyperlink" Target="https://doi.org/10.3390/microorganisms110922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CED5C-D291-4D11-8B93-7EBDF04B5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249</TotalTime>
  <Pages>1</Pages>
  <Words>11563</Words>
  <Characters>65915</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77324</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94</cp:revision>
  <cp:lastPrinted>1999-07-06T11:00:00Z</cp:lastPrinted>
  <dcterms:created xsi:type="dcterms:W3CDTF">2026-08-18T14:09:00Z</dcterms:created>
  <dcterms:modified xsi:type="dcterms:W3CDTF">2026-08-25T07:57:00Z</dcterms:modified>
</cp:coreProperties>
</file>