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1DA47" w14:textId="77777777" w:rsidR="00403277" w:rsidRPr="006D641C" w:rsidRDefault="00403277" w:rsidP="00403277">
      <w:pPr>
        <w:pStyle w:val="Author"/>
        <w:spacing w:line="240" w:lineRule="auto"/>
        <w:outlineLvl w:val="0"/>
        <w:rPr>
          <w:rFonts w:ascii="Arial" w:hAnsi="Arial" w:cs="Arial"/>
          <w:bCs/>
          <w:i/>
          <w:iCs/>
          <w:kern w:val="28"/>
          <w:sz w:val="36"/>
          <w:u w:val="single"/>
        </w:rPr>
      </w:pPr>
      <w:r w:rsidRPr="006D641C">
        <w:rPr>
          <w:rFonts w:ascii="Arial" w:hAnsi="Arial" w:cs="Arial"/>
          <w:bCs/>
          <w:i/>
          <w:iCs/>
          <w:kern w:val="28"/>
          <w:sz w:val="36"/>
          <w:u w:val="single"/>
        </w:rPr>
        <w:t xml:space="preserve">Original Research </w:t>
      </w:r>
      <w:r>
        <w:rPr>
          <w:rFonts w:ascii="Arial" w:hAnsi="Arial" w:cs="Arial"/>
          <w:bCs/>
          <w:i/>
          <w:iCs/>
          <w:kern w:val="28"/>
          <w:sz w:val="36"/>
          <w:u w:val="single"/>
        </w:rPr>
        <w:t>Article</w:t>
      </w:r>
    </w:p>
    <w:p w14:paraId="5CC7D87C" w14:textId="77777777" w:rsidR="00FF59B1" w:rsidRDefault="002C62CA" w:rsidP="00FF59B1">
      <w:pPr>
        <w:pStyle w:val="Author"/>
        <w:spacing w:line="240" w:lineRule="auto"/>
        <w:rPr>
          <w:rFonts w:ascii="Arial" w:hAnsi="Arial" w:cs="Arial"/>
          <w:bCs/>
          <w:iCs/>
          <w:kern w:val="28"/>
          <w:sz w:val="36"/>
        </w:rPr>
      </w:pPr>
      <w:r w:rsidRPr="002C62CA">
        <w:rPr>
          <w:rFonts w:ascii="Arial" w:hAnsi="Arial" w:cs="Arial"/>
          <w:bCs/>
          <w:iCs/>
          <w:kern w:val="28"/>
          <w:sz w:val="36"/>
        </w:rPr>
        <w:t xml:space="preserve">Digital Connectivity </w:t>
      </w:r>
      <w:proofErr w:type="gramStart"/>
      <w:r w:rsidRPr="002C62CA">
        <w:rPr>
          <w:rFonts w:ascii="Arial" w:hAnsi="Arial" w:cs="Arial"/>
          <w:bCs/>
          <w:iCs/>
          <w:kern w:val="28"/>
          <w:sz w:val="36"/>
        </w:rPr>
        <w:t>In</w:t>
      </w:r>
      <w:proofErr w:type="gramEnd"/>
      <w:r w:rsidRPr="002C62CA">
        <w:rPr>
          <w:rFonts w:ascii="Arial" w:hAnsi="Arial" w:cs="Arial"/>
          <w:bCs/>
          <w:iCs/>
          <w:kern w:val="28"/>
          <w:sz w:val="36"/>
        </w:rPr>
        <w:t xml:space="preserve"> </w:t>
      </w:r>
      <w:proofErr w:type="gramStart"/>
      <w:r w:rsidRPr="002C62CA">
        <w:rPr>
          <w:rFonts w:ascii="Arial" w:hAnsi="Arial" w:cs="Arial"/>
          <w:bCs/>
          <w:iCs/>
          <w:kern w:val="28"/>
          <w:sz w:val="36"/>
        </w:rPr>
        <w:t>The</w:t>
      </w:r>
      <w:proofErr w:type="gramEnd"/>
      <w:r w:rsidRPr="002C62CA">
        <w:rPr>
          <w:rFonts w:ascii="Arial" w:hAnsi="Arial" w:cs="Arial"/>
          <w:bCs/>
          <w:iCs/>
          <w:kern w:val="28"/>
          <w:sz w:val="36"/>
        </w:rPr>
        <w:t xml:space="preserve"> Halal Ecosystem: Opportunities </w:t>
      </w:r>
      <w:proofErr w:type="gramStart"/>
      <w:r w:rsidRPr="002C62CA">
        <w:rPr>
          <w:rFonts w:ascii="Arial" w:hAnsi="Arial" w:cs="Arial"/>
          <w:bCs/>
          <w:iCs/>
          <w:kern w:val="28"/>
          <w:sz w:val="36"/>
        </w:rPr>
        <w:t>To</w:t>
      </w:r>
      <w:proofErr w:type="gramEnd"/>
      <w:r w:rsidRPr="002C62CA">
        <w:rPr>
          <w:rFonts w:ascii="Arial" w:hAnsi="Arial" w:cs="Arial"/>
          <w:bCs/>
          <w:iCs/>
          <w:kern w:val="28"/>
          <w:sz w:val="36"/>
        </w:rPr>
        <w:t xml:space="preserve"> Advance Vietnam's Participation </w:t>
      </w:r>
      <w:proofErr w:type="gramStart"/>
      <w:r w:rsidRPr="002C62CA">
        <w:rPr>
          <w:rFonts w:ascii="Arial" w:hAnsi="Arial" w:cs="Arial"/>
          <w:bCs/>
          <w:iCs/>
          <w:kern w:val="28"/>
          <w:sz w:val="36"/>
        </w:rPr>
        <w:t>In</w:t>
      </w:r>
      <w:proofErr w:type="gramEnd"/>
      <w:r w:rsidRPr="002C62CA">
        <w:rPr>
          <w:rFonts w:ascii="Arial" w:hAnsi="Arial" w:cs="Arial"/>
          <w:bCs/>
          <w:iCs/>
          <w:kern w:val="28"/>
          <w:sz w:val="36"/>
        </w:rPr>
        <w:t xml:space="preserve"> Halal Food Value Chains </w:t>
      </w:r>
      <w:proofErr w:type="gramStart"/>
      <w:r w:rsidRPr="002C62CA">
        <w:rPr>
          <w:rFonts w:ascii="Arial" w:hAnsi="Arial" w:cs="Arial"/>
          <w:bCs/>
          <w:iCs/>
          <w:kern w:val="28"/>
          <w:sz w:val="36"/>
        </w:rPr>
        <w:t>In</w:t>
      </w:r>
      <w:proofErr w:type="gramEnd"/>
      <w:r w:rsidRPr="002C62CA">
        <w:rPr>
          <w:rFonts w:ascii="Arial" w:hAnsi="Arial" w:cs="Arial"/>
          <w:bCs/>
          <w:iCs/>
          <w:kern w:val="28"/>
          <w:sz w:val="36"/>
        </w:rPr>
        <w:t xml:space="preserve"> Selected Countries </w:t>
      </w:r>
      <w:proofErr w:type="gramStart"/>
      <w:r w:rsidRPr="002C62CA">
        <w:rPr>
          <w:rFonts w:ascii="Arial" w:hAnsi="Arial" w:cs="Arial"/>
          <w:bCs/>
          <w:iCs/>
          <w:kern w:val="28"/>
          <w:sz w:val="36"/>
        </w:rPr>
        <w:t>Of</w:t>
      </w:r>
      <w:proofErr w:type="gramEnd"/>
      <w:r w:rsidRPr="002C62CA">
        <w:rPr>
          <w:rFonts w:ascii="Arial" w:hAnsi="Arial" w:cs="Arial"/>
          <w:bCs/>
          <w:iCs/>
          <w:kern w:val="28"/>
          <w:sz w:val="36"/>
        </w:rPr>
        <w:t xml:space="preserve"> </w:t>
      </w:r>
      <w:proofErr w:type="gramStart"/>
      <w:r w:rsidRPr="002C62CA">
        <w:rPr>
          <w:rFonts w:ascii="Arial" w:hAnsi="Arial" w:cs="Arial"/>
          <w:bCs/>
          <w:iCs/>
          <w:kern w:val="28"/>
          <w:sz w:val="36"/>
        </w:rPr>
        <w:t>The</w:t>
      </w:r>
      <w:proofErr w:type="gramEnd"/>
      <w:r w:rsidRPr="002C62CA">
        <w:rPr>
          <w:rFonts w:ascii="Arial" w:hAnsi="Arial" w:cs="Arial"/>
          <w:bCs/>
          <w:iCs/>
          <w:kern w:val="28"/>
          <w:sz w:val="36"/>
        </w:rPr>
        <w:t xml:space="preserve"> Global South</w:t>
      </w:r>
    </w:p>
    <w:p w14:paraId="79C903A8" w14:textId="77777777" w:rsidR="002C62CA" w:rsidRDefault="002C62CA" w:rsidP="00FF59B1">
      <w:pPr>
        <w:pStyle w:val="Author"/>
        <w:spacing w:line="240" w:lineRule="auto"/>
        <w:rPr>
          <w:rFonts w:ascii="Arial" w:hAnsi="Arial" w:cs="Arial"/>
        </w:rPr>
      </w:pPr>
    </w:p>
    <w:p w14:paraId="2A34C79D" w14:textId="77777777" w:rsidR="00877EAE" w:rsidRPr="00877EAE" w:rsidRDefault="00877EAE" w:rsidP="00791DE6">
      <w:pPr>
        <w:pStyle w:val="Author"/>
        <w:rPr>
          <w:rFonts w:ascii="Arial" w:hAnsi="Arial" w:cs="Arial"/>
          <w:i/>
          <w:iCs/>
          <w:sz w:val="20"/>
          <w:szCs w:val="15"/>
          <w:lang w:val="en-IN"/>
        </w:rPr>
      </w:pPr>
    </w:p>
    <w:p w14:paraId="505AEE76" w14:textId="77777777" w:rsidR="00CB0D2E" w:rsidRPr="00CB0D2E" w:rsidRDefault="00CB0D2E" w:rsidP="003E51D4">
      <w:pPr>
        <w:pStyle w:val="Author"/>
        <w:pBdr>
          <w:bottom w:val="single" w:sz="6" w:space="1" w:color="auto"/>
        </w:pBdr>
        <w:spacing w:line="240" w:lineRule="auto"/>
        <w:rPr>
          <w:rFonts w:ascii="Arial" w:hAnsi="Arial" w:cs="Arial"/>
          <w:b w:val="0"/>
          <w:bCs/>
          <w:i/>
          <w:iCs/>
          <w:sz w:val="20"/>
          <w:szCs w:val="15"/>
          <w:lang w:val="vi-VN"/>
        </w:rPr>
      </w:pPr>
    </w:p>
    <w:p w14:paraId="4B7B1350" w14:textId="77777777" w:rsidR="00CB0D2E" w:rsidRPr="004359B6" w:rsidRDefault="00CB0D2E" w:rsidP="003E51D4">
      <w:pPr>
        <w:pStyle w:val="Author"/>
        <w:spacing w:line="240" w:lineRule="auto"/>
        <w:rPr>
          <w:rFonts w:ascii="Arial" w:hAnsi="Arial" w:cs="Arial"/>
          <w:i/>
          <w:iCs/>
          <w:sz w:val="20"/>
          <w:szCs w:val="15"/>
          <w:lang w:val="vi-VN"/>
        </w:rPr>
      </w:pPr>
    </w:p>
    <w:p w14:paraId="4BA0B3DC" w14:textId="77777777" w:rsidR="00FF59B1" w:rsidRPr="00BE5626" w:rsidRDefault="00CB0D2E" w:rsidP="00FF59B1">
      <w:pPr>
        <w:pStyle w:val="Author"/>
        <w:spacing w:line="240" w:lineRule="auto"/>
        <w:jc w:val="left"/>
        <w:rPr>
          <w:rFonts w:ascii="Arial" w:hAnsi="Arial" w:cs="Arial"/>
          <w:sz w:val="22"/>
          <w:szCs w:val="18"/>
          <w:lang w:val="vi-VN"/>
        </w:rPr>
      </w:pPr>
      <w:r w:rsidRPr="00BE5626">
        <w:rPr>
          <w:rFonts w:ascii="Arial" w:hAnsi="Arial" w:cs="Arial"/>
          <w:sz w:val="22"/>
          <w:szCs w:val="18"/>
        </w:rPr>
        <w:t>ABSTRACT</w:t>
      </w:r>
    </w:p>
    <w:p w14:paraId="6F20E9EB" w14:textId="77777777" w:rsidR="00FF59B1" w:rsidRPr="00FF59B1" w:rsidRDefault="00FF59B1" w:rsidP="00FF59B1">
      <w:pPr>
        <w:pStyle w:val="Author"/>
        <w:spacing w:line="240" w:lineRule="auto"/>
        <w:rPr>
          <w:rFonts w:ascii="Arial" w:hAnsi="Arial" w:cs="Arial"/>
          <w:lang w:val="vi-VN"/>
        </w:rPr>
      </w:pPr>
    </w:p>
    <w:tbl>
      <w:tblPr>
        <w:tblStyle w:val="TableGrid"/>
        <w:tblW w:w="0" w:type="auto"/>
        <w:tblLook w:val="04A0" w:firstRow="1" w:lastRow="0" w:firstColumn="1" w:lastColumn="0" w:noHBand="0" w:noVBand="1"/>
      </w:tblPr>
      <w:tblGrid>
        <w:gridCol w:w="9350"/>
      </w:tblGrid>
      <w:tr w:rsidR="00CB0D2E" w14:paraId="12B87E98" w14:textId="77777777" w:rsidTr="00CB0D2E">
        <w:tc>
          <w:tcPr>
            <w:tcW w:w="9350" w:type="dxa"/>
          </w:tcPr>
          <w:p w14:paraId="5CBAC4E5" w14:textId="77777777" w:rsidR="002C62CA" w:rsidRDefault="002C62CA" w:rsidP="002C62CA">
            <w:pPr>
              <w:pStyle w:val="Body"/>
              <w:spacing w:after="60"/>
              <w:rPr>
                <w:rFonts w:ascii="Arial" w:eastAsia="Calibri" w:hAnsi="Arial" w:cs="Arial"/>
                <w:szCs w:val="22"/>
              </w:rPr>
            </w:pPr>
            <w:r w:rsidRPr="002C62CA">
              <w:rPr>
                <w:rFonts w:ascii="Arial" w:eastAsia="Calibri" w:hAnsi="Arial" w:cs="Arial"/>
                <w:b/>
                <w:bCs/>
                <w:szCs w:val="22"/>
              </w:rPr>
              <w:t xml:space="preserve">Aims: </w:t>
            </w:r>
            <w:r w:rsidRPr="002C62CA">
              <w:rPr>
                <w:rFonts w:ascii="Arial" w:eastAsia="Calibri" w:hAnsi="Arial" w:cs="Arial"/>
                <w:szCs w:val="22"/>
              </w:rPr>
              <w:t>To examine the role of digital connectivity in the Halal ecosystem and assess opportunities to advance Vietnam's participation in Halal food value chains in Malaysia, Indonesia, and Thailand.</w:t>
            </w:r>
          </w:p>
          <w:p w14:paraId="04206E05" w14:textId="77777777" w:rsidR="002C62CA" w:rsidRPr="002C62CA" w:rsidRDefault="002C62CA" w:rsidP="002C62CA">
            <w:pPr>
              <w:pStyle w:val="Body"/>
              <w:spacing w:after="60"/>
              <w:rPr>
                <w:rFonts w:ascii="Arial" w:eastAsia="Calibri" w:hAnsi="Arial" w:cs="Arial"/>
                <w:szCs w:val="22"/>
              </w:rPr>
            </w:pPr>
            <w:r w:rsidRPr="002C62CA">
              <w:rPr>
                <w:rFonts w:ascii="Arial" w:eastAsia="Calibri" w:hAnsi="Arial" w:cs="Arial"/>
                <w:b/>
                <w:bCs/>
                <w:szCs w:val="22"/>
              </w:rPr>
              <w:t xml:space="preserve">Study design: </w:t>
            </w:r>
            <w:r w:rsidRPr="002C62CA">
              <w:rPr>
                <w:rFonts w:ascii="Arial" w:eastAsia="Calibri" w:hAnsi="Arial" w:cs="Arial"/>
                <w:szCs w:val="22"/>
              </w:rPr>
              <w:t>A qualitative comparative case study based on a systems approach and documentary analysis.</w:t>
            </w:r>
          </w:p>
          <w:p w14:paraId="6B296DB6" w14:textId="77777777" w:rsidR="002C62CA" w:rsidRPr="002C62CA" w:rsidRDefault="002C62CA" w:rsidP="002C62CA">
            <w:pPr>
              <w:pStyle w:val="Body"/>
              <w:spacing w:after="60"/>
              <w:rPr>
                <w:rFonts w:ascii="Arial" w:eastAsia="Calibri" w:hAnsi="Arial" w:cs="Arial"/>
                <w:szCs w:val="22"/>
              </w:rPr>
            </w:pPr>
            <w:r w:rsidRPr="002C62CA">
              <w:rPr>
                <w:rFonts w:ascii="Arial" w:eastAsia="Calibri" w:hAnsi="Arial" w:cs="Arial"/>
                <w:b/>
                <w:bCs/>
                <w:szCs w:val="22"/>
              </w:rPr>
              <w:t xml:space="preserve">Place and Duration of Study: </w:t>
            </w:r>
            <w:r w:rsidRPr="002C62CA">
              <w:rPr>
                <w:rFonts w:ascii="Arial" w:eastAsia="Calibri" w:hAnsi="Arial" w:cs="Arial"/>
                <w:szCs w:val="22"/>
              </w:rPr>
              <w:t>The study was undertaken at the Vietnam Academy of Social Sciences in 2026 as part of a Ministerial-level science and technology project implemented during 2026-2028.</w:t>
            </w:r>
          </w:p>
          <w:p w14:paraId="2F62CC4A" w14:textId="77777777" w:rsidR="002C62CA" w:rsidRPr="002C62CA" w:rsidRDefault="002C62CA" w:rsidP="002C62CA">
            <w:pPr>
              <w:pStyle w:val="Body"/>
              <w:spacing w:after="60"/>
              <w:rPr>
                <w:rFonts w:ascii="Arial" w:eastAsia="Calibri" w:hAnsi="Arial" w:cs="Arial"/>
                <w:szCs w:val="22"/>
              </w:rPr>
            </w:pPr>
            <w:r w:rsidRPr="002C62CA">
              <w:rPr>
                <w:rFonts w:ascii="Arial" w:eastAsia="Calibri" w:hAnsi="Arial" w:cs="Arial"/>
                <w:b/>
                <w:bCs/>
                <w:szCs w:val="22"/>
              </w:rPr>
              <w:t xml:space="preserve">Methodology: </w:t>
            </w:r>
            <w:r w:rsidRPr="002C62CA">
              <w:rPr>
                <w:rFonts w:ascii="Arial" w:eastAsia="Calibri" w:hAnsi="Arial" w:cs="Arial"/>
                <w:szCs w:val="22"/>
              </w:rPr>
              <w:t xml:space="preserve">The analysis draws on laws, regulations, standards, official information from Halal authorities, reports by international and regional </w:t>
            </w:r>
            <w:proofErr w:type="spellStart"/>
            <w:r w:rsidRPr="002C62CA">
              <w:rPr>
                <w:rFonts w:ascii="Arial" w:eastAsia="Calibri" w:hAnsi="Arial" w:cs="Arial"/>
                <w:szCs w:val="22"/>
              </w:rPr>
              <w:t>organisations</w:t>
            </w:r>
            <w:proofErr w:type="spellEnd"/>
            <w:r w:rsidRPr="002C62CA">
              <w:rPr>
                <w:rFonts w:ascii="Arial" w:eastAsia="Calibri" w:hAnsi="Arial" w:cs="Arial"/>
                <w:szCs w:val="22"/>
              </w:rPr>
              <w:t>, scholarly studies, and Vietnamese policy documents. The three country cases are compared in terms of governance structure, certification and verification tools, supply-chain and market connectivity, enterprise support, and cross-border trade facilitation.</w:t>
            </w:r>
          </w:p>
          <w:p w14:paraId="7C43FF62" w14:textId="77777777" w:rsidR="002C62CA" w:rsidRPr="002C62CA" w:rsidRDefault="002C62CA" w:rsidP="002C62CA">
            <w:pPr>
              <w:pStyle w:val="Body"/>
              <w:spacing w:after="60"/>
              <w:rPr>
                <w:rFonts w:ascii="Arial" w:eastAsia="Calibri" w:hAnsi="Arial" w:cs="Arial"/>
                <w:szCs w:val="22"/>
              </w:rPr>
            </w:pPr>
            <w:r w:rsidRPr="002C62CA">
              <w:rPr>
                <w:rFonts w:ascii="Arial" w:eastAsia="Calibri" w:hAnsi="Arial" w:cs="Arial"/>
                <w:b/>
                <w:bCs/>
                <w:szCs w:val="22"/>
              </w:rPr>
              <w:t xml:space="preserve">Results: </w:t>
            </w:r>
            <w:r w:rsidRPr="002C62CA">
              <w:rPr>
                <w:rFonts w:ascii="Arial" w:eastAsia="Calibri" w:hAnsi="Arial" w:cs="Arial"/>
                <w:szCs w:val="22"/>
              </w:rPr>
              <w:t>Malaysia links digital certification with an ecosystem-development platform; Indonesia uses digital infrastructure to administer a mandatory Halal assurance regime; and Thailand combines religious authority, Halal science, and electronic services. For Vietnam, digital connectivity can lower compliance costs, strengthen Halal integrity, improve traceability, and expand market access, but institutional fragmentation, limited international recognition, uneven enterprise data capabilities, and cross-border data-governance risks remain significant.</w:t>
            </w:r>
          </w:p>
          <w:p w14:paraId="57A93DE6" w14:textId="77777777" w:rsidR="00CB0D2E" w:rsidRPr="002C62CA" w:rsidRDefault="002C62CA" w:rsidP="002C62CA">
            <w:pPr>
              <w:pStyle w:val="Body"/>
              <w:spacing w:after="60"/>
              <w:rPr>
                <w:rFonts w:ascii="Arial" w:eastAsia="Calibri" w:hAnsi="Arial" w:cs="Arial"/>
                <w:szCs w:val="22"/>
              </w:rPr>
            </w:pPr>
            <w:r w:rsidRPr="002C62CA">
              <w:rPr>
                <w:rFonts w:ascii="Arial" w:eastAsia="Calibri" w:hAnsi="Arial" w:cs="Arial"/>
                <w:b/>
                <w:bCs/>
                <w:szCs w:val="22"/>
              </w:rPr>
              <w:t xml:space="preserve">Conclusion: </w:t>
            </w:r>
            <w:r w:rsidRPr="002C62CA">
              <w:rPr>
                <w:rFonts w:ascii="Arial" w:eastAsia="Calibri" w:hAnsi="Arial" w:cs="Arial"/>
                <w:szCs w:val="22"/>
              </w:rPr>
              <w:t>Vietnam should develop an interoperable national Halal data architecture, pilot digital Halal passports in selected food value chains, promote certification interoperability with priority markets, and provide shared support services for small and medium-sized enterprises</w:t>
            </w:r>
          </w:p>
        </w:tc>
      </w:tr>
    </w:tbl>
    <w:p w14:paraId="4ADD3F1F" w14:textId="77777777" w:rsidR="00BE5626" w:rsidRPr="00BE5626" w:rsidRDefault="00BE5626" w:rsidP="00BE5626">
      <w:pPr>
        <w:pStyle w:val="Author"/>
        <w:spacing w:line="240" w:lineRule="auto"/>
        <w:jc w:val="left"/>
        <w:rPr>
          <w:rFonts w:ascii="Arial" w:eastAsia="Calibri" w:hAnsi="Arial" w:cs="Arial"/>
          <w:b w:val="0"/>
          <w:sz w:val="20"/>
          <w:szCs w:val="22"/>
        </w:rPr>
      </w:pPr>
    </w:p>
    <w:p w14:paraId="24CB610E" w14:textId="77777777" w:rsidR="00BE5626" w:rsidRPr="00BE5626" w:rsidRDefault="00BE5626" w:rsidP="00BE5626">
      <w:pPr>
        <w:rPr>
          <w:rFonts w:ascii="Arial" w:eastAsia="Calibri" w:hAnsi="Arial" w:cs="Arial"/>
          <w:i/>
          <w:iCs/>
          <w:kern w:val="0"/>
          <w:sz w:val="20"/>
          <w:szCs w:val="22"/>
          <w:lang w:val="vi-VN"/>
          <w14:ligatures w14:val="none"/>
        </w:rPr>
      </w:pPr>
      <w:r w:rsidRPr="00BE5626">
        <w:rPr>
          <w:rFonts w:ascii="Arial" w:eastAsia="Calibri" w:hAnsi="Arial" w:cs="Arial"/>
          <w:i/>
          <w:iCs/>
          <w:kern w:val="0"/>
          <w:sz w:val="20"/>
          <w:szCs w:val="22"/>
          <w:lang w:val="en-US"/>
          <w14:ligatures w14:val="none"/>
        </w:rPr>
        <w:t>Keywords:</w:t>
      </w:r>
      <w:r w:rsidRPr="00BE5626">
        <w:rPr>
          <w:rFonts w:ascii="Arial" w:eastAsia="Calibri" w:hAnsi="Arial" w:cs="Arial"/>
          <w:i/>
          <w:iCs/>
          <w:kern w:val="0"/>
          <w:sz w:val="20"/>
          <w:szCs w:val="22"/>
          <w:lang w:val="vi-VN"/>
          <w14:ligatures w14:val="none"/>
        </w:rPr>
        <w:t xml:space="preserve"> </w:t>
      </w:r>
      <w:r w:rsidR="002C62CA">
        <w:rPr>
          <w:rFonts w:ascii="Arial" w:hAnsi="Arial" w:cs="Arial"/>
          <w:i/>
          <w:iCs/>
          <w:color w:val="000000"/>
          <w:sz w:val="20"/>
          <w:szCs w:val="20"/>
          <w:shd w:val="clear" w:color="auto" w:fill="FFFFFF"/>
        </w:rPr>
        <w:t>digital connectivity; Halal ecosystem; food value chains; traceability; Vietnam.</w:t>
      </w:r>
    </w:p>
    <w:p w14:paraId="295712EE" w14:textId="77777777" w:rsidR="001A4AA4" w:rsidRDefault="001A4AA4">
      <w:pPr>
        <w:rPr>
          <w:rFonts w:ascii="Arial" w:eastAsia="Calibri" w:hAnsi="Arial" w:cs="Arial"/>
          <w:kern w:val="0"/>
          <w:sz w:val="20"/>
          <w:szCs w:val="22"/>
          <w:lang w:val="vi-VN"/>
          <w14:ligatures w14:val="none"/>
        </w:rPr>
      </w:pPr>
    </w:p>
    <w:p w14:paraId="0C7DFAD2" w14:textId="77777777" w:rsidR="00BE5626" w:rsidRDefault="00BE5626" w:rsidP="008103CE">
      <w:pPr>
        <w:spacing w:after="60" w:line="276" w:lineRule="auto"/>
        <w:rPr>
          <w:rFonts w:ascii="Arial" w:hAnsi="Arial" w:cs="Arial"/>
          <w:b/>
          <w:bCs/>
          <w:sz w:val="22"/>
          <w:szCs w:val="22"/>
        </w:rPr>
      </w:pPr>
      <w:r w:rsidRPr="00BE5626">
        <w:rPr>
          <w:rFonts w:ascii="Arial" w:hAnsi="Arial" w:cs="Arial"/>
          <w:b/>
          <w:bCs/>
          <w:sz w:val="22"/>
          <w:szCs w:val="22"/>
        </w:rPr>
        <w:t>1. INTRODUCTION</w:t>
      </w:r>
    </w:p>
    <w:p w14:paraId="580C1345" w14:textId="77777777" w:rsidR="002C62CA" w:rsidRPr="002C62CA" w:rsidRDefault="002C62CA" w:rsidP="002C62CA">
      <w:pPr>
        <w:spacing w:after="120" w:line="276" w:lineRule="auto"/>
        <w:jc w:val="both"/>
        <w:rPr>
          <w:rFonts w:ascii="Arial" w:eastAsia="Calibri" w:hAnsi="Arial" w:cs="Arial"/>
          <w:kern w:val="0"/>
          <w:sz w:val="20"/>
          <w:szCs w:val="22"/>
          <w14:ligatures w14:val="none"/>
        </w:rPr>
      </w:pPr>
      <w:r w:rsidRPr="002C62CA">
        <w:rPr>
          <w:rFonts w:ascii="Arial" w:eastAsia="Calibri" w:hAnsi="Arial" w:cs="Arial"/>
          <w:kern w:val="0"/>
          <w:sz w:val="20"/>
          <w:szCs w:val="22"/>
          <w14:ligatures w14:val="none"/>
        </w:rPr>
        <w:t>The Halal economy is evolving from a market primarily associated with religious demand into a broader economic space encompassing standards, certification, production, logistics, trade, finance, and technology. According to Dinar Standard (2026), spending across the six consumer sectors of the Islamic economy reached approximately USD 2.60 trillion in 2024 and could rise to USD 3.56 trillion by 2029; spending on Halal food alone is projected to increase from about USD 1.53 trillion to USD 2.06 trillion. The report also identifies artificial-intelligence-assisted certification, blockchain-enabled traceability, and “digital trust infrastructure” as emerging drivers. Competitiveness, therefore, depends not only on possessing certification but also on the ability to demonstrate and reliably share Halal status throughout the value chain.</w:t>
      </w:r>
    </w:p>
    <w:p w14:paraId="624C14C2" w14:textId="77777777" w:rsidR="002C62CA" w:rsidRPr="002C62CA" w:rsidRDefault="002C62CA" w:rsidP="002C62CA">
      <w:pPr>
        <w:spacing w:after="120" w:line="276" w:lineRule="auto"/>
        <w:jc w:val="both"/>
        <w:rPr>
          <w:rFonts w:ascii="Arial" w:eastAsia="Calibri" w:hAnsi="Arial" w:cs="Arial"/>
          <w:kern w:val="0"/>
          <w:sz w:val="20"/>
          <w:szCs w:val="22"/>
          <w14:ligatures w14:val="none"/>
        </w:rPr>
      </w:pPr>
      <w:r w:rsidRPr="002C62CA">
        <w:rPr>
          <w:rFonts w:ascii="Arial" w:eastAsia="Calibri" w:hAnsi="Arial" w:cs="Arial"/>
          <w:kern w:val="0"/>
          <w:sz w:val="20"/>
          <w:szCs w:val="22"/>
          <w14:ligatures w14:val="none"/>
        </w:rPr>
        <w:t xml:space="preserve">In food value chains, Halal integrity can be affected at every stage, from ingredients, slaughtering, and processing to packaging, storage, transport, and distribution. Tieman et al. (2012) argue that supply chain management must preserve Halal integrity from the source of supply to the point of purchase. Soon, </w:t>
      </w:r>
      <w:r w:rsidRPr="002C62CA">
        <w:rPr>
          <w:rFonts w:ascii="Arial" w:eastAsia="Calibri" w:hAnsi="Arial" w:cs="Arial"/>
          <w:kern w:val="0"/>
          <w:sz w:val="20"/>
          <w:szCs w:val="22"/>
          <w14:ligatures w14:val="none"/>
        </w:rPr>
        <w:lastRenderedPageBreak/>
        <w:t>Chandia, and Regenstein (2017) further emphasize that certification at a single point in time is insufficient without continuous controls over cross-contamination, fraud, and traceability. Digital connectivity should therefore be understood as a mechanism for organizing data and coordinating activities across the ecosystem, rather than merely digitizing administrative procedures or deploying an isolated technology.</w:t>
      </w:r>
    </w:p>
    <w:p w14:paraId="1BC53663" w14:textId="77777777" w:rsidR="002C62CA" w:rsidRPr="002C62CA" w:rsidRDefault="002C62CA" w:rsidP="002C62CA">
      <w:pPr>
        <w:spacing w:after="120" w:line="276" w:lineRule="auto"/>
        <w:jc w:val="both"/>
        <w:rPr>
          <w:rFonts w:ascii="Arial" w:eastAsia="Calibri" w:hAnsi="Arial" w:cs="Arial"/>
          <w:kern w:val="0"/>
          <w:sz w:val="20"/>
          <w:szCs w:val="22"/>
          <w14:ligatures w14:val="none"/>
        </w:rPr>
      </w:pPr>
      <w:r w:rsidRPr="002C62CA">
        <w:rPr>
          <w:rFonts w:ascii="Arial" w:eastAsia="Calibri" w:hAnsi="Arial" w:cs="Arial"/>
          <w:kern w:val="0"/>
          <w:sz w:val="20"/>
          <w:szCs w:val="22"/>
          <w14:ligatures w14:val="none"/>
        </w:rPr>
        <w:t xml:space="preserve">Vietnam possesses advantages in agriculture, fisheries, processed food, and proximity to Southeast Asia’s major Halal </w:t>
      </w:r>
      <w:proofErr w:type="spellStart"/>
      <w:r w:rsidRPr="002C62CA">
        <w:rPr>
          <w:rFonts w:ascii="Arial" w:eastAsia="Calibri" w:hAnsi="Arial" w:cs="Arial"/>
          <w:kern w:val="0"/>
          <w:sz w:val="20"/>
          <w:szCs w:val="22"/>
          <w14:ligatures w14:val="none"/>
        </w:rPr>
        <w:t>centers</w:t>
      </w:r>
      <w:proofErr w:type="spellEnd"/>
      <w:r w:rsidRPr="002C62CA">
        <w:rPr>
          <w:rFonts w:ascii="Arial" w:eastAsia="Calibri" w:hAnsi="Arial" w:cs="Arial"/>
          <w:kern w:val="0"/>
          <w:sz w:val="20"/>
          <w:szCs w:val="22"/>
          <w14:ligatures w14:val="none"/>
        </w:rPr>
        <w:t xml:space="preserve">. The project “Strengthening international cooperation to build and develop Vietnam’s Halal industry through 2030” established a national policy direction; Vietnam has also issued five Halal-related national standards and established the National Halal Certification </w:t>
      </w:r>
      <w:proofErr w:type="spellStart"/>
      <w:r w:rsidRPr="002C62CA">
        <w:rPr>
          <w:rFonts w:ascii="Arial" w:eastAsia="Calibri" w:hAnsi="Arial" w:cs="Arial"/>
          <w:kern w:val="0"/>
          <w:sz w:val="20"/>
          <w:szCs w:val="22"/>
          <w14:ligatures w14:val="none"/>
        </w:rPr>
        <w:t>Center</w:t>
      </w:r>
      <w:proofErr w:type="spellEnd"/>
      <w:r w:rsidRPr="002C62CA">
        <w:rPr>
          <w:rFonts w:ascii="Arial" w:eastAsia="Calibri" w:hAnsi="Arial" w:cs="Arial"/>
          <w:kern w:val="0"/>
          <w:sz w:val="20"/>
          <w:szCs w:val="22"/>
          <w14:ligatures w14:val="none"/>
        </w:rPr>
        <w:t xml:space="preserve"> (HALCERT) in 2024 (HALCERT, 2024a, 2024b; Prime Minister of Vietnam, 2023). Nevertheless, the institutional framework, data infrastructure, and market linkages remain at an early stage of development. The Ministry of Industry and Trade of Vietnam (2026) continues to identify Halal certification as a significant technical barrier for Vietnamese food and beverage products in Malaysia. The central gap therefore lies between production capacity and the ability to demonstrate market-specific conformity.</w:t>
      </w:r>
    </w:p>
    <w:p w14:paraId="77C43A9F" w14:textId="77777777" w:rsidR="002C62CA" w:rsidRPr="002C62CA" w:rsidRDefault="002C62CA" w:rsidP="002C62CA">
      <w:pPr>
        <w:spacing w:after="120" w:line="276" w:lineRule="auto"/>
        <w:jc w:val="both"/>
        <w:rPr>
          <w:rFonts w:ascii="Arial" w:eastAsia="Calibri" w:hAnsi="Arial" w:cs="Arial"/>
          <w:kern w:val="0"/>
          <w:sz w:val="20"/>
          <w:szCs w:val="22"/>
          <w14:ligatures w14:val="none"/>
        </w:rPr>
      </w:pPr>
      <w:r w:rsidRPr="002C62CA">
        <w:rPr>
          <w:rFonts w:ascii="Arial" w:eastAsia="Calibri" w:hAnsi="Arial" w:cs="Arial"/>
          <w:kern w:val="0"/>
          <w:sz w:val="20"/>
          <w:szCs w:val="22"/>
          <w14:ligatures w14:val="none"/>
        </w:rPr>
        <w:t>In this article, the term “Global South” is used in a developmental rather than a strictly geographical sense. Malaysia, Indonesia, and Thailand were selected because they represent three complementary models: a relatively mature and highly digitized Halal ecosystem; a mandatory Halal assurance regime in a major Muslim market; and the model of a non-Muslim-majority country with strong Halal food export capacity built on the integration of religious authority, science, and industry. The study examines the digital connectivity architecture of the three cases and derives implications for Vietnam.</w:t>
      </w:r>
    </w:p>
    <w:p w14:paraId="3E09CA9E" w14:textId="77777777" w:rsidR="002C62CA" w:rsidRPr="002C62CA" w:rsidRDefault="002C62CA" w:rsidP="002C62CA">
      <w:pPr>
        <w:spacing w:after="60" w:line="276" w:lineRule="auto"/>
        <w:jc w:val="both"/>
        <w:rPr>
          <w:rFonts w:ascii="Arial" w:eastAsia="Calibri" w:hAnsi="Arial" w:cs="Arial"/>
          <w:kern w:val="0"/>
          <w:sz w:val="20"/>
          <w:szCs w:val="22"/>
          <w14:ligatures w14:val="none"/>
        </w:rPr>
      </w:pPr>
    </w:p>
    <w:p w14:paraId="18AED5C2" w14:textId="77777777" w:rsidR="008103CE" w:rsidRPr="002C62CA" w:rsidRDefault="008103CE" w:rsidP="008103CE">
      <w:pPr>
        <w:spacing w:after="60" w:line="276" w:lineRule="auto"/>
        <w:jc w:val="both"/>
        <w:rPr>
          <w:rFonts w:ascii="Arial" w:eastAsia="Calibri" w:hAnsi="Arial" w:cs="Arial"/>
          <w:b/>
          <w:bCs/>
          <w:kern w:val="0"/>
          <w:sz w:val="22"/>
          <w:szCs w:val="28"/>
          <w:lang w:val="vi-VN"/>
          <w14:ligatures w14:val="none"/>
        </w:rPr>
      </w:pPr>
      <w:r w:rsidRPr="008103CE">
        <w:rPr>
          <w:rFonts w:ascii="Arial" w:eastAsia="Calibri" w:hAnsi="Arial" w:cs="Arial"/>
          <w:b/>
          <w:bCs/>
          <w:kern w:val="0"/>
          <w:sz w:val="22"/>
          <w:szCs w:val="28"/>
          <w14:ligatures w14:val="none"/>
        </w:rPr>
        <w:t xml:space="preserve">2. </w:t>
      </w:r>
      <w:r w:rsidR="002C62CA">
        <w:rPr>
          <w:rFonts w:ascii="Arial" w:eastAsia="Calibri" w:hAnsi="Arial" w:cs="Arial"/>
          <w:b/>
          <w:bCs/>
          <w:kern w:val="0"/>
          <w:sz w:val="22"/>
          <w:szCs w:val="28"/>
          <w14:ligatures w14:val="none"/>
        </w:rPr>
        <w:t>METH</w:t>
      </w:r>
      <w:r w:rsidR="002C62CA">
        <w:rPr>
          <w:rFonts w:ascii="Arial" w:eastAsia="Calibri" w:hAnsi="Arial" w:cs="Arial"/>
          <w:b/>
          <w:bCs/>
          <w:kern w:val="0"/>
          <w:sz w:val="22"/>
          <w:szCs w:val="28"/>
          <w:lang w:val="vi-VN"/>
          <w14:ligatures w14:val="none"/>
        </w:rPr>
        <w:t>O</w:t>
      </w:r>
      <w:r w:rsidR="002C62CA">
        <w:rPr>
          <w:rFonts w:ascii="Arial" w:eastAsia="Calibri" w:hAnsi="Arial" w:cs="Arial"/>
          <w:b/>
          <w:bCs/>
          <w:kern w:val="0"/>
          <w:sz w:val="22"/>
          <w:szCs w:val="28"/>
          <w14:ligatures w14:val="none"/>
        </w:rPr>
        <w:t>DOLOGY</w:t>
      </w:r>
      <w:r w:rsidRPr="008103CE">
        <w:rPr>
          <w:rFonts w:ascii="Arial" w:eastAsia="Calibri" w:hAnsi="Arial" w:cs="Arial"/>
          <w:b/>
          <w:bCs/>
          <w:kern w:val="0"/>
          <w:sz w:val="22"/>
          <w:szCs w:val="28"/>
          <w14:ligatures w14:val="none"/>
        </w:rPr>
        <w:t xml:space="preserve"> </w:t>
      </w:r>
    </w:p>
    <w:p w14:paraId="064B3C76" w14:textId="77777777" w:rsidR="008103CE" w:rsidRPr="00DF578C" w:rsidRDefault="008103CE" w:rsidP="008103CE">
      <w:pPr>
        <w:spacing w:after="60" w:line="276" w:lineRule="auto"/>
        <w:jc w:val="both"/>
        <w:rPr>
          <w:rFonts w:ascii="Arial" w:eastAsia="Calibri" w:hAnsi="Arial" w:cs="Arial"/>
          <w:b/>
          <w:bCs/>
          <w:i/>
          <w:iCs/>
          <w:kern w:val="0"/>
          <w:sz w:val="20"/>
          <w:szCs w:val="20"/>
          <w14:ligatures w14:val="none"/>
        </w:rPr>
      </w:pPr>
      <w:r w:rsidRPr="00DF578C">
        <w:rPr>
          <w:rFonts w:ascii="Arial" w:eastAsia="Calibri" w:hAnsi="Arial" w:cs="Arial"/>
          <w:b/>
          <w:bCs/>
          <w:i/>
          <w:iCs/>
          <w:kern w:val="0"/>
          <w:sz w:val="20"/>
          <w:szCs w:val="20"/>
          <w14:ligatures w14:val="none"/>
        </w:rPr>
        <w:t xml:space="preserve">2.1 </w:t>
      </w:r>
      <w:r w:rsidR="002C62CA" w:rsidRPr="00DF578C">
        <w:rPr>
          <w:rFonts w:ascii="Arial" w:hAnsi="Arial" w:cs="Arial"/>
          <w:b/>
          <w:bCs/>
          <w:i/>
          <w:iCs/>
          <w:color w:val="000000"/>
          <w:sz w:val="20"/>
          <w:szCs w:val="20"/>
          <w:shd w:val="clear" w:color="auto" w:fill="FFFFFF"/>
        </w:rPr>
        <w:t>Theoretical foundations and analytical framework</w:t>
      </w:r>
    </w:p>
    <w:p w14:paraId="0F5B2B33" w14:textId="77777777" w:rsidR="00DF578C" w:rsidRPr="00DF578C" w:rsidRDefault="00DF578C" w:rsidP="00DF578C">
      <w:pPr>
        <w:spacing w:after="60" w:line="276" w:lineRule="auto"/>
        <w:jc w:val="both"/>
        <w:rPr>
          <w:rFonts w:ascii="Arial" w:eastAsia="Calibri" w:hAnsi="Arial" w:cs="Arial"/>
          <w:kern w:val="0"/>
          <w:sz w:val="20"/>
          <w:szCs w:val="22"/>
          <w14:ligatures w14:val="none"/>
        </w:rPr>
      </w:pPr>
      <w:r w:rsidRPr="00DF578C">
        <w:rPr>
          <w:rFonts w:ascii="Arial" w:eastAsia="Calibri" w:hAnsi="Arial" w:cs="Arial"/>
          <w:kern w:val="0"/>
          <w:sz w:val="20"/>
          <w:szCs w:val="22"/>
          <w14:ligatures w14:val="none"/>
        </w:rPr>
        <w:t>A Halal ecosystem is a multi-actor structure comprising regulatory bodies, religious authorities, certification bodies, enterprises, suppliers, logistics providers, laboratories, research institutions, financial organizations, and consumers. These actors are interdependent: a product may lose its integrity even when the processing facility is compliant if ingredients are of uncertain origin, logistics are not segregated, or the certificate is not recognized in the importing market. Digital connectivity is defined here as the capacity to exchange data, verify status, coordinate processes, and access services through interoperable platforms.</w:t>
      </w:r>
    </w:p>
    <w:p w14:paraId="3794FD13" w14:textId="77777777" w:rsidR="00DF578C" w:rsidRPr="00DF578C" w:rsidRDefault="00DF578C" w:rsidP="00DF578C">
      <w:pPr>
        <w:spacing w:after="60" w:line="276" w:lineRule="auto"/>
        <w:jc w:val="both"/>
        <w:rPr>
          <w:rFonts w:ascii="Arial" w:eastAsia="Calibri" w:hAnsi="Arial" w:cs="Arial"/>
          <w:kern w:val="0"/>
          <w:sz w:val="20"/>
          <w:szCs w:val="22"/>
          <w14:ligatures w14:val="none"/>
        </w:rPr>
      </w:pPr>
      <w:r w:rsidRPr="00DF578C">
        <w:rPr>
          <w:rFonts w:ascii="Arial" w:eastAsia="Calibri" w:hAnsi="Arial" w:cs="Arial"/>
          <w:kern w:val="0"/>
          <w:sz w:val="20"/>
          <w:szCs w:val="22"/>
          <w14:ligatures w14:val="none"/>
        </w:rPr>
        <w:t xml:space="preserve">Digital connectivity is not synonymous with blockchain, the Internet of Things, or artificial intelligence. Technology is useful only when data follow common standards, updating responsibilities are clearly assigned, authentication mechanisms are trustworthy, and outcomes are accepted by competent authorities. Studies of blockchain in food supply chains identify potential benefits for transparency and traceability while also warning of limitations relating to standardization, scalability, data quality, and inter-organizational coordination (Astuti &amp; </w:t>
      </w:r>
      <w:proofErr w:type="spellStart"/>
      <w:r w:rsidRPr="00DF578C">
        <w:rPr>
          <w:rFonts w:ascii="Arial" w:eastAsia="Calibri" w:hAnsi="Arial" w:cs="Arial"/>
          <w:kern w:val="0"/>
          <w:sz w:val="20"/>
          <w:szCs w:val="22"/>
          <w14:ligatures w14:val="none"/>
        </w:rPr>
        <w:t>Hidayati</w:t>
      </w:r>
      <w:proofErr w:type="spellEnd"/>
      <w:r w:rsidRPr="00DF578C">
        <w:rPr>
          <w:rFonts w:ascii="Arial" w:eastAsia="Calibri" w:hAnsi="Arial" w:cs="Arial"/>
          <w:kern w:val="0"/>
          <w:sz w:val="20"/>
          <w:szCs w:val="22"/>
          <w14:ligatures w14:val="none"/>
        </w:rPr>
        <w:t xml:space="preserve">, 2023; </w:t>
      </w:r>
      <w:proofErr w:type="spellStart"/>
      <w:r w:rsidRPr="00DF578C">
        <w:rPr>
          <w:rFonts w:ascii="Arial" w:eastAsia="Calibri" w:hAnsi="Arial" w:cs="Arial"/>
          <w:kern w:val="0"/>
          <w:sz w:val="20"/>
          <w:szCs w:val="22"/>
          <w14:ligatures w14:val="none"/>
        </w:rPr>
        <w:t>Rejeb</w:t>
      </w:r>
      <w:proofErr w:type="spellEnd"/>
      <w:r w:rsidRPr="00DF578C">
        <w:rPr>
          <w:rFonts w:ascii="Arial" w:eastAsia="Calibri" w:hAnsi="Arial" w:cs="Arial"/>
          <w:kern w:val="0"/>
          <w:sz w:val="20"/>
          <w:szCs w:val="22"/>
          <w14:ligatures w14:val="none"/>
        </w:rPr>
        <w:t xml:space="preserve"> et al., 2021). Halal digital transformation is therefore, first and foremost, a matter of data governance and institutional design.</w:t>
      </w:r>
    </w:p>
    <w:p w14:paraId="69BD888F" w14:textId="77777777" w:rsidR="00DF578C" w:rsidRPr="00DF578C" w:rsidRDefault="00DF578C" w:rsidP="00DF578C">
      <w:pPr>
        <w:spacing w:after="60" w:line="276" w:lineRule="auto"/>
        <w:jc w:val="both"/>
        <w:rPr>
          <w:rFonts w:ascii="Arial" w:eastAsia="Calibri" w:hAnsi="Arial" w:cs="Arial"/>
          <w:kern w:val="0"/>
          <w:sz w:val="20"/>
          <w:szCs w:val="22"/>
          <w14:ligatures w14:val="none"/>
        </w:rPr>
      </w:pPr>
      <w:r w:rsidRPr="00DF578C">
        <w:rPr>
          <w:rFonts w:ascii="Arial" w:eastAsia="Calibri" w:hAnsi="Arial" w:cs="Arial"/>
          <w:kern w:val="0"/>
          <w:sz w:val="20"/>
          <w:szCs w:val="22"/>
          <w14:ligatures w14:val="none"/>
        </w:rPr>
        <w:t>The article proposes a four-layer framework for digital connectivity: (</w:t>
      </w:r>
      <w:proofErr w:type="spellStart"/>
      <w:r w:rsidRPr="00DF578C">
        <w:rPr>
          <w:rFonts w:ascii="Arial" w:eastAsia="Calibri" w:hAnsi="Arial" w:cs="Arial"/>
          <w:kern w:val="0"/>
          <w:sz w:val="20"/>
          <w:szCs w:val="22"/>
          <w14:ligatures w14:val="none"/>
        </w:rPr>
        <w:t>i</w:t>
      </w:r>
      <w:proofErr w:type="spellEnd"/>
      <w:r w:rsidRPr="00DF578C">
        <w:rPr>
          <w:rFonts w:ascii="Arial" w:eastAsia="Calibri" w:hAnsi="Arial" w:cs="Arial"/>
          <w:kern w:val="0"/>
          <w:sz w:val="20"/>
          <w:szCs w:val="22"/>
          <w14:ligatures w14:val="none"/>
        </w:rPr>
        <w:t>) institutional and certification connectivity, comprising electronic registration, databases of certification bodies, certificate-status information, and recognition mechanisms; (ii) traceability data on ingredients, production, Halal control points, logistics, and product history; (iii) market and business-platform connectivity, supporting searches for suppliers, buyers, services, and trade opportunities; and (iv) knowledge, technology, and support-service connectivity, including training, testing, research, and consultancy. These four layers respectively establish authority, generate evidence, convert trust into transactions, and sustain ecosystem capabilities.</w:t>
      </w:r>
    </w:p>
    <w:p w14:paraId="272CBACE" w14:textId="77777777" w:rsidR="00DF578C" w:rsidRPr="00DF578C" w:rsidRDefault="008103CE" w:rsidP="00DF578C">
      <w:pPr>
        <w:spacing w:after="60" w:line="276" w:lineRule="auto"/>
        <w:jc w:val="both"/>
        <w:rPr>
          <w:rFonts w:ascii="Arial" w:eastAsia="Calibri" w:hAnsi="Arial" w:cs="Arial"/>
          <w:b/>
          <w:bCs/>
          <w:i/>
          <w:iCs/>
          <w:kern w:val="0"/>
          <w:sz w:val="20"/>
          <w:szCs w:val="22"/>
          <w14:ligatures w14:val="none"/>
        </w:rPr>
      </w:pPr>
      <w:r w:rsidRPr="008103CE">
        <w:rPr>
          <w:rFonts w:ascii="Arial" w:eastAsia="Calibri" w:hAnsi="Arial" w:cs="Arial"/>
          <w:b/>
          <w:bCs/>
          <w:i/>
          <w:iCs/>
          <w:kern w:val="0"/>
          <w:sz w:val="20"/>
          <w:szCs w:val="22"/>
          <w14:ligatures w14:val="none"/>
        </w:rPr>
        <w:t xml:space="preserve">2.2 </w:t>
      </w:r>
      <w:r w:rsidR="00DF578C" w:rsidRPr="00DF578C">
        <w:rPr>
          <w:rFonts w:ascii="Arial" w:eastAsia="Calibri" w:hAnsi="Arial" w:cs="Arial"/>
          <w:b/>
          <w:bCs/>
          <w:i/>
          <w:iCs/>
          <w:kern w:val="0"/>
          <w:sz w:val="20"/>
          <w:szCs w:val="22"/>
          <w14:ligatures w14:val="none"/>
        </w:rPr>
        <w:t>Research methodology</w:t>
      </w:r>
    </w:p>
    <w:p w14:paraId="7A07370A" w14:textId="77777777" w:rsidR="00DF578C" w:rsidRPr="00DF578C" w:rsidRDefault="00DF578C" w:rsidP="00DF578C">
      <w:pPr>
        <w:spacing w:after="60" w:line="276" w:lineRule="auto"/>
        <w:jc w:val="both"/>
        <w:rPr>
          <w:rFonts w:ascii="Arial" w:eastAsia="Calibri" w:hAnsi="Arial" w:cs="Arial"/>
          <w:kern w:val="0"/>
          <w:sz w:val="20"/>
          <w:szCs w:val="22"/>
          <w14:ligatures w14:val="none"/>
        </w:rPr>
      </w:pPr>
      <w:r w:rsidRPr="00DF578C">
        <w:rPr>
          <w:rFonts w:ascii="Arial" w:eastAsia="Calibri" w:hAnsi="Arial" w:cs="Arial"/>
          <w:kern w:val="0"/>
          <w:sz w:val="20"/>
          <w:szCs w:val="22"/>
          <w14:ligatures w14:val="none"/>
        </w:rPr>
        <w:t xml:space="preserve">The study employs a qualitative methodology, combining document analysis and synthesis with comparative case studies. The sources include laws, regulations, standards, and official information issued </w:t>
      </w:r>
      <w:r w:rsidRPr="00DF578C">
        <w:rPr>
          <w:rFonts w:ascii="Arial" w:eastAsia="Calibri" w:hAnsi="Arial" w:cs="Arial"/>
          <w:kern w:val="0"/>
          <w:sz w:val="20"/>
          <w:szCs w:val="22"/>
          <w14:ligatures w14:val="none"/>
        </w:rPr>
        <w:lastRenderedPageBreak/>
        <w:t>by Halal authorities; reports by international and regional organizations; scholarly studies on Halal supply chains, integrity, and traceability; and Vietnamese policy documents.</w:t>
      </w:r>
    </w:p>
    <w:p w14:paraId="01D78268" w14:textId="77777777" w:rsidR="00DF578C" w:rsidRPr="00DF578C" w:rsidRDefault="00DF578C" w:rsidP="00DF578C">
      <w:pPr>
        <w:spacing w:after="60" w:line="276" w:lineRule="auto"/>
        <w:jc w:val="both"/>
        <w:rPr>
          <w:rFonts w:ascii="Arial" w:eastAsia="Calibri" w:hAnsi="Arial" w:cs="Arial"/>
          <w:kern w:val="0"/>
          <w:sz w:val="20"/>
          <w:szCs w:val="22"/>
          <w14:ligatures w14:val="none"/>
        </w:rPr>
      </w:pPr>
      <w:r w:rsidRPr="00DF578C">
        <w:rPr>
          <w:rFonts w:ascii="Arial" w:eastAsia="Calibri" w:hAnsi="Arial" w:cs="Arial"/>
          <w:kern w:val="0"/>
          <w:sz w:val="20"/>
          <w:szCs w:val="22"/>
          <w14:ligatures w14:val="none"/>
        </w:rPr>
        <w:t>The three cases are analysed using a common set of criteria: governance structure; digital tools for certification and verification; supply-chain and market connectivity; enterprise support; and the capacity to facilitate cross-border trade. The comparison seeks to identify transferable components rather than provide a comprehensive ranking. Because data on compliance costs, processing times, and platform usage are not yet comparable, the study does not estimate quantitative effects. Its implications should be regarded as preliminary proposals to be refined through the research team's subsequent studies.</w:t>
      </w:r>
    </w:p>
    <w:p w14:paraId="43B2885A" w14:textId="77777777" w:rsidR="00DF578C" w:rsidRDefault="00DF578C" w:rsidP="008103CE">
      <w:pPr>
        <w:pStyle w:val="Body"/>
        <w:spacing w:after="60" w:line="276" w:lineRule="auto"/>
        <w:rPr>
          <w:rFonts w:ascii="Arial" w:eastAsia="Calibri" w:hAnsi="Arial" w:cs="Arial"/>
          <w:b/>
          <w:szCs w:val="22"/>
          <w:lang w:val="vi-VN"/>
        </w:rPr>
      </w:pPr>
    </w:p>
    <w:p w14:paraId="3325C3DC" w14:textId="77777777" w:rsidR="008103CE" w:rsidRDefault="00DF578C" w:rsidP="008103CE">
      <w:pPr>
        <w:pStyle w:val="Body"/>
        <w:spacing w:after="60" w:line="276" w:lineRule="auto"/>
        <w:rPr>
          <w:rFonts w:ascii="Arial" w:eastAsia="Calibri" w:hAnsi="Arial" w:cs="Arial"/>
          <w:b/>
          <w:sz w:val="22"/>
          <w:szCs w:val="28"/>
        </w:rPr>
      </w:pPr>
      <w:r>
        <w:rPr>
          <w:rFonts w:ascii="Arial" w:eastAsia="Calibri" w:hAnsi="Arial" w:cs="Arial"/>
          <w:b/>
          <w:szCs w:val="22"/>
          <w:lang w:val="vi-VN"/>
        </w:rPr>
        <w:t>3</w:t>
      </w:r>
      <w:r w:rsidR="008103CE" w:rsidRPr="008103CE">
        <w:rPr>
          <w:rFonts w:ascii="Arial" w:eastAsia="Calibri" w:hAnsi="Arial" w:cs="Arial"/>
          <w:b/>
          <w:szCs w:val="22"/>
        </w:rPr>
        <w:t>.</w:t>
      </w:r>
      <w:r w:rsidR="008103CE" w:rsidRPr="008103CE">
        <w:rPr>
          <w:rFonts w:ascii="Arial" w:eastAsia="Calibri" w:hAnsi="Arial" w:cs="Arial"/>
          <w:b/>
          <w:szCs w:val="22"/>
          <w:lang w:val="vi-VN"/>
        </w:rPr>
        <w:t xml:space="preserve"> </w:t>
      </w:r>
      <w:r w:rsidR="008103CE" w:rsidRPr="008103CE">
        <w:rPr>
          <w:rFonts w:ascii="Arial" w:eastAsia="Calibri" w:hAnsi="Arial" w:cs="Arial"/>
          <w:b/>
          <w:sz w:val="22"/>
          <w:szCs w:val="28"/>
        </w:rPr>
        <w:t>RESULTS AND DISCUSSION</w:t>
      </w:r>
    </w:p>
    <w:p w14:paraId="4AD78D43" w14:textId="77777777" w:rsidR="00DF578C" w:rsidRPr="00DF578C" w:rsidRDefault="00DF578C" w:rsidP="00DF578C">
      <w:pPr>
        <w:pStyle w:val="Body"/>
        <w:spacing w:after="60" w:line="276" w:lineRule="auto"/>
        <w:rPr>
          <w:rFonts w:ascii="Arial" w:eastAsia="Calibri" w:hAnsi="Arial" w:cs="Arial"/>
          <w:b/>
          <w:bCs/>
          <w:i/>
          <w:iCs/>
          <w:sz w:val="22"/>
          <w:szCs w:val="28"/>
        </w:rPr>
      </w:pPr>
      <w:r w:rsidRPr="00DF578C">
        <w:rPr>
          <w:rFonts w:ascii="Arial" w:eastAsia="Calibri" w:hAnsi="Arial" w:cs="Arial"/>
          <w:b/>
          <w:bCs/>
          <w:i/>
          <w:iCs/>
          <w:sz w:val="22"/>
          <w:szCs w:val="28"/>
        </w:rPr>
        <w:t>3.1. Digital connectivity in Halal ecosystems in selected countries of the Global South</w:t>
      </w:r>
    </w:p>
    <w:p w14:paraId="4A5321F9" w14:textId="77777777" w:rsidR="00DF578C" w:rsidRPr="00DF578C" w:rsidRDefault="00DF578C" w:rsidP="00DF578C">
      <w:pPr>
        <w:pStyle w:val="Body"/>
        <w:spacing w:after="120" w:line="276" w:lineRule="auto"/>
        <w:rPr>
          <w:rFonts w:ascii="Arial" w:eastAsia="Calibri" w:hAnsi="Arial" w:cs="Arial"/>
          <w:sz w:val="22"/>
          <w:szCs w:val="28"/>
        </w:rPr>
      </w:pPr>
      <w:r w:rsidRPr="00DF578C">
        <w:rPr>
          <w:rFonts w:ascii="Arial" w:eastAsia="Calibri" w:hAnsi="Arial" w:cs="Arial"/>
          <w:sz w:val="22"/>
          <w:szCs w:val="28"/>
        </w:rPr>
        <w:t>The three cases are compared along three dimensions: the position of competent authorities within the Halal governance structure; the legal enforceability of certification; and the functions of digital infrastructure, ranging from application intake and the creation of supply-chain evidence to cross-border verification and market connectivity. Electronic certificates create value only when the underlying data are authenticated, maintained, and accepted by importing markets.</w:t>
      </w:r>
    </w:p>
    <w:p w14:paraId="724B371A" w14:textId="77777777" w:rsidR="00DF578C" w:rsidRPr="00DF578C" w:rsidRDefault="00DF578C" w:rsidP="00DF578C">
      <w:pPr>
        <w:pStyle w:val="Body"/>
        <w:spacing w:after="120" w:line="276" w:lineRule="auto"/>
        <w:rPr>
          <w:rFonts w:ascii="Arial" w:eastAsia="Calibri" w:hAnsi="Arial" w:cs="Arial"/>
          <w:i/>
          <w:iCs/>
          <w:sz w:val="22"/>
          <w:szCs w:val="28"/>
        </w:rPr>
      </w:pPr>
      <w:r w:rsidRPr="00DF578C">
        <w:rPr>
          <w:rFonts w:ascii="Arial" w:eastAsia="Calibri" w:hAnsi="Arial" w:cs="Arial"/>
          <w:i/>
          <w:iCs/>
          <w:sz w:val="22"/>
          <w:szCs w:val="28"/>
        </w:rPr>
        <w:t>3.1.1. Malaysia: A two-tier architecture linking certification and ecosystem development</w:t>
      </w:r>
    </w:p>
    <w:p w14:paraId="4A8DE4FE" w14:textId="77777777" w:rsidR="00DF578C" w:rsidRPr="00DF578C" w:rsidRDefault="00DF578C" w:rsidP="00DF578C">
      <w:pPr>
        <w:pStyle w:val="Body"/>
        <w:spacing w:after="120" w:line="276" w:lineRule="auto"/>
        <w:rPr>
          <w:rFonts w:ascii="Arial" w:eastAsia="Calibri" w:hAnsi="Arial" w:cs="Arial"/>
          <w:sz w:val="22"/>
          <w:szCs w:val="28"/>
        </w:rPr>
      </w:pPr>
      <w:r w:rsidRPr="00DF578C">
        <w:rPr>
          <w:rFonts w:ascii="Arial" w:eastAsia="Calibri" w:hAnsi="Arial" w:cs="Arial"/>
          <w:sz w:val="22"/>
          <w:szCs w:val="28"/>
        </w:rPr>
        <w:t>Malaysia structures its Halal ecosystem through two complementary tiers. The Department of Islamic Development Malaysia (</w:t>
      </w:r>
      <w:proofErr w:type="spellStart"/>
      <w:r w:rsidRPr="00DF578C">
        <w:rPr>
          <w:rFonts w:ascii="Arial" w:eastAsia="Calibri" w:hAnsi="Arial" w:cs="Arial"/>
          <w:sz w:val="22"/>
          <w:szCs w:val="28"/>
        </w:rPr>
        <w:t>Jabatan</w:t>
      </w:r>
      <w:proofErr w:type="spellEnd"/>
      <w:r w:rsidRPr="00DF578C">
        <w:rPr>
          <w:rFonts w:ascii="Arial" w:eastAsia="Calibri" w:hAnsi="Arial" w:cs="Arial"/>
          <w:sz w:val="22"/>
          <w:szCs w:val="28"/>
        </w:rPr>
        <w:t xml:space="preserve"> </w:t>
      </w:r>
      <w:proofErr w:type="spellStart"/>
      <w:r w:rsidRPr="00DF578C">
        <w:rPr>
          <w:rFonts w:ascii="Arial" w:eastAsia="Calibri" w:hAnsi="Arial" w:cs="Arial"/>
          <w:sz w:val="22"/>
          <w:szCs w:val="28"/>
        </w:rPr>
        <w:t>Kemajuan</w:t>
      </w:r>
      <w:proofErr w:type="spellEnd"/>
      <w:r w:rsidRPr="00DF578C">
        <w:rPr>
          <w:rFonts w:ascii="Arial" w:eastAsia="Calibri" w:hAnsi="Arial" w:cs="Arial"/>
          <w:sz w:val="22"/>
          <w:szCs w:val="28"/>
        </w:rPr>
        <w:t xml:space="preserve"> Islam Malaysia, JAKIM), together with state religious authorities, administers certification; the Halal Development Corporation (HDC), an agency under the Ministry of Investment, Trade and Industry, promotes enterprise capabilities, investment, trade, and ecosystem linkages. Certification data are anchored in religious and administrative authority, while enterprise and market data support industrial development.</w:t>
      </w:r>
    </w:p>
    <w:p w14:paraId="4096CA8D" w14:textId="77777777" w:rsidR="00DF578C" w:rsidRPr="00DF578C" w:rsidRDefault="00DF578C" w:rsidP="00DF578C">
      <w:pPr>
        <w:pStyle w:val="Body"/>
        <w:spacing w:after="120" w:line="276" w:lineRule="auto"/>
        <w:rPr>
          <w:rFonts w:ascii="Arial" w:eastAsia="Calibri" w:hAnsi="Arial" w:cs="Arial"/>
          <w:sz w:val="22"/>
          <w:szCs w:val="28"/>
        </w:rPr>
      </w:pPr>
      <w:r w:rsidRPr="00DF578C">
        <w:rPr>
          <w:rFonts w:ascii="Arial" w:eastAsia="Calibri" w:hAnsi="Arial" w:cs="Arial"/>
          <w:sz w:val="22"/>
          <w:szCs w:val="28"/>
        </w:rPr>
        <w:t xml:space="preserve">The Malaysia Halal Portal and </w:t>
      </w:r>
      <w:proofErr w:type="spellStart"/>
      <w:r w:rsidRPr="00DF578C">
        <w:rPr>
          <w:rFonts w:ascii="Arial" w:eastAsia="Calibri" w:hAnsi="Arial" w:cs="Arial"/>
          <w:sz w:val="22"/>
          <w:szCs w:val="28"/>
        </w:rPr>
        <w:t>MYeHALAL</w:t>
      </w:r>
      <w:proofErr w:type="spellEnd"/>
      <w:r w:rsidRPr="00DF578C">
        <w:rPr>
          <w:rFonts w:ascii="Arial" w:eastAsia="Calibri" w:hAnsi="Arial" w:cs="Arial"/>
          <w:sz w:val="22"/>
          <w:szCs w:val="28"/>
        </w:rPr>
        <w:t xml:space="preserve"> receive domestic and international applications, enable users to verify certification status, and publish the list of foreign Halal certification bodies recognized by JAKIM. For international manufacturing, application dossiers include the Halal assurance system; certificates or specifications for all ingredients and processing aids; process-flow diagrams; plant layouts; and evidence of quality management. The ingredient list must correspond to the data declared in </w:t>
      </w:r>
      <w:proofErr w:type="spellStart"/>
      <w:r w:rsidRPr="00DF578C">
        <w:rPr>
          <w:rFonts w:ascii="Arial" w:eastAsia="Calibri" w:hAnsi="Arial" w:cs="Arial"/>
          <w:sz w:val="22"/>
          <w:szCs w:val="28"/>
        </w:rPr>
        <w:t>MYeHALAL</w:t>
      </w:r>
      <w:proofErr w:type="spellEnd"/>
      <w:r w:rsidRPr="00DF578C">
        <w:rPr>
          <w:rFonts w:ascii="Arial" w:eastAsia="Calibri" w:hAnsi="Arial" w:cs="Arial"/>
          <w:sz w:val="22"/>
          <w:szCs w:val="28"/>
        </w:rPr>
        <w:t xml:space="preserve"> (JAKIM, 2023). The system thereby </w:t>
      </w:r>
      <w:proofErr w:type="spellStart"/>
      <w:r w:rsidRPr="00DF578C">
        <w:rPr>
          <w:rFonts w:ascii="Arial" w:eastAsia="Calibri" w:hAnsi="Arial" w:cs="Arial"/>
          <w:sz w:val="22"/>
          <w:szCs w:val="28"/>
        </w:rPr>
        <w:t>standardises</w:t>
      </w:r>
      <w:proofErr w:type="spellEnd"/>
      <w:r w:rsidRPr="00DF578C">
        <w:rPr>
          <w:rFonts w:ascii="Arial" w:eastAsia="Calibri" w:hAnsi="Arial" w:cs="Arial"/>
          <w:sz w:val="22"/>
          <w:szCs w:val="28"/>
        </w:rPr>
        <w:t xml:space="preserve"> an “evidence dossier” covering ingredients, processes, and internal responsibilities. However, a certification dossier does not in itself amount to real-time traceability at the individual batch level.</w:t>
      </w:r>
    </w:p>
    <w:p w14:paraId="73E55ABC" w14:textId="77777777" w:rsidR="00DF578C" w:rsidRPr="00DF578C" w:rsidRDefault="00DF578C" w:rsidP="00DF578C">
      <w:pPr>
        <w:pStyle w:val="Body"/>
        <w:spacing w:after="120" w:line="276" w:lineRule="auto"/>
        <w:rPr>
          <w:rFonts w:ascii="Arial" w:eastAsia="Calibri" w:hAnsi="Arial" w:cs="Arial"/>
          <w:sz w:val="22"/>
          <w:szCs w:val="28"/>
        </w:rPr>
      </w:pPr>
      <w:r w:rsidRPr="00DF578C">
        <w:rPr>
          <w:rFonts w:ascii="Arial" w:eastAsia="Calibri" w:hAnsi="Arial" w:cs="Arial"/>
          <w:sz w:val="22"/>
          <w:szCs w:val="28"/>
        </w:rPr>
        <w:t xml:space="preserve">At the cross-border level, the list of </w:t>
      </w:r>
      <w:proofErr w:type="spellStart"/>
      <w:r w:rsidRPr="00DF578C">
        <w:rPr>
          <w:rFonts w:ascii="Arial" w:eastAsia="Calibri" w:hAnsi="Arial" w:cs="Arial"/>
          <w:sz w:val="22"/>
          <w:szCs w:val="28"/>
        </w:rPr>
        <w:t>recognised</w:t>
      </w:r>
      <w:proofErr w:type="spellEnd"/>
      <w:r w:rsidRPr="00DF578C">
        <w:rPr>
          <w:rFonts w:ascii="Arial" w:eastAsia="Calibri" w:hAnsi="Arial" w:cs="Arial"/>
          <w:sz w:val="22"/>
          <w:szCs w:val="28"/>
        </w:rPr>
        <w:t xml:space="preserve"> foreign Halal certification bodies constitutes an important component of trust infrastructure. JAKIM requires these bodies to maintain monitoring capacity, verify Halal status within their approved scope, and be listed in updated form on the official portal (JAKIM, 2026). Exporters must therefore ensure that the certifying body, scope of recognition, and certificate verifiability are all valid. In parallel, HDC's Halal Integrated Platform (HIP) connects actors ranging from ingredient suppliers to Islamic finance providers, facilitating sourcing and business opportunities (HDC, n.d.). This arrangement is consistent with the Halal Industry Master Plan 2030, which </w:t>
      </w:r>
      <w:proofErr w:type="spellStart"/>
      <w:r w:rsidRPr="00DF578C">
        <w:rPr>
          <w:rFonts w:ascii="Arial" w:eastAsia="Calibri" w:hAnsi="Arial" w:cs="Arial"/>
          <w:sz w:val="22"/>
          <w:szCs w:val="28"/>
        </w:rPr>
        <w:t>emphasises</w:t>
      </w:r>
      <w:proofErr w:type="spellEnd"/>
      <w:r w:rsidRPr="00DF578C">
        <w:rPr>
          <w:rFonts w:ascii="Arial" w:eastAsia="Calibri" w:hAnsi="Arial" w:cs="Arial"/>
          <w:sz w:val="22"/>
          <w:szCs w:val="28"/>
        </w:rPr>
        <w:t xml:space="preserve"> ease of doing business, a competitive ecosystem, and supply-chain-wide Shariah compliance (MITI, 2023). Its core strength lies in linking “authoritative data” with “market data”; its limitation is the need for interoperability among federal and state authorities, foreign certification bodies, and enterprise systems.</w:t>
      </w:r>
    </w:p>
    <w:p w14:paraId="40D6E47E" w14:textId="77777777" w:rsidR="00DF578C" w:rsidRPr="00DF578C" w:rsidRDefault="00DF578C" w:rsidP="00DF578C">
      <w:pPr>
        <w:pStyle w:val="Body"/>
        <w:spacing w:after="120" w:line="276" w:lineRule="auto"/>
        <w:rPr>
          <w:rFonts w:ascii="Arial" w:eastAsia="Calibri" w:hAnsi="Arial" w:cs="Arial"/>
          <w:i/>
          <w:iCs/>
          <w:sz w:val="22"/>
          <w:szCs w:val="28"/>
        </w:rPr>
      </w:pPr>
      <w:r w:rsidRPr="00DF578C">
        <w:rPr>
          <w:rFonts w:ascii="Arial" w:eastAsia="Calibri" w:hAnsi="Arial" w:cs="Arial"/>
          <w:i/>
          <w:iCs/>
          <w:sz w:val="22"/>
          <w:szCs w:val="28"/>
        </w:rPr>
        <w:lastRenderedPageBreak/>
        <w:t>3.1.2. Indonesia: Digital infrastructure for a mandatory Halal assurance regime</w:t>
      </w:r>
    </w:p>
    <w:p w14:paraId="0F089BE7" w14:textId="77777777" w:rsidR="00DF578C" w:rsidRPr="00DF578C" w:rsidRDefault="00DF578C" w:rsidP="00DF578C">
      <w:pPr>
        <w:pStyle w:val="Body"/>
        <w:spacing w:after="120" w:line="276" w:lineRule="auto"/>
        <w:rPr>
          <w:rFonts w:ascii="Arial" w:eastAsia="Calibri" w:hAnsi="Arial" w:cs="Arial"/>
          <w:sz w:val="22"/>
          <w:szCs w:val="28"/>
        </w:rPr>
      </w:pPr>
      <w:r w:rsidRPr="00DF578C">
        <w:rPr>
          <w:rFonts w:ascii="Arial" w:eastAsia="Calibri" w:hAnsi="Arial" w:cs="Arial"/>
          <w:sz w:val="22"/>
          <w:szCs w:val="28"/>
        </w:rPr>
        <w:t xml:space="preserve">Indonesia has the most legally binding regime among the three cases. Law No. 33 of 2014 and Government Regulation No. 42 of 2024 establish that products entering, circulating, and being traded in Indonesia must be Halal-certified; products made from prohibited materials are exempt from Halal certification but must clearly indicate their non-Halal status (Government of Indonesia, 2014; 2024). For food, beverages, slaughtered products, and slaughtering services, the obligation has applied to medium-sized and large enterprises since 18 October 2024. Micro and small enterprises and foreign products are subject to a phased timetable; for foreign products, the deadline is set no later than 17 October 2026, subject to progress in mutual-recognition cooperation (BPJPH, 2024b). </w:t>
      </w:r>
      <w:proofErr w:type="spellStart"/>
      <w:r w:rsidRPr="00DF578C">
        <w:rPr>
          <w:rFonts w:ascii="Arial" w:eastAsia="Calibri" w:hAnsi="Arial" w:cs="Arial"/>
          <w:sz w:val="22"/>
          <w:szCs w:val="28"/>
        </w:rPr>
        <w:t>Digitalisation</w:t>
      </w:r>
      <w:proofErr w:type="spellEnd"/>
      <w:r w:rsidRPr="00DF578C">
        <w:rPr>
          <w:rFonts w:ascii="Arial" w:eastAsia="Calibri" w:hAnsi="Arial" w:cs="Arial"/>
          <w:sz w:val="22"/>
          <w:szCs w:val="28"/>
        </w:rPr>
        <w:t xml:space="preserve"> therefore functions as infrastructure for enforcing a legal obligation.</w:t>
      </w:r>
    </w:p>
    <w:p w14:paraId="5851B67F" w14:textId="77777777" w:rsidR="00DF578C" w:rsidRPr="00DF578C" w:rsidRDefault="00DF578C" w:rsidP="00DF578C">
      <w:pPr>
        <w:pStyle w:val="Body"/>
        <w:spacing w:after="120" w:line="276" w:lineRule="auto"/>
        <w:rPr>
          <w:rFonts w:ascii="Arial" w:eastAsia="Calibri" w:hAnsi="Arial" w:cs="Arial"/>
          <w:sz w:val="22"/>
          <w:szCs w:val="28"/>
        </w:rPr>
      </w:pPr>
      <w:r w:rsidRPr="00DF578C">
        <w:rPr>
          <w:rFonts w:ascii="Arial" w:eastAsia="Calibri" w:hAnsi="Arial" w:cs="Arial"/>
          <w:sz w:val="22"/>
          <w:szCs w:val="28"/>
        </w:rPr>
        <w:t xml:space="preserve">SIHALAL is the official portal for receiving and processing applications. The digital workflow links enterprise and product information with inspection, testing, Halal determination, and certificate issuance; enterprises can download digital certificates from their accounts. BPJPH's continued upgrading of SIHALAL and issuance of guidance for both regular and self-declaration pathways indicate that the platform is becoming the digital administrative infrastructure of Indonesia's Halal product assurance system (BPJPH, 2025). The platform </w:t>
      </w:r>
      <w:proofErr w:type="spellStart"/>
      <w:r w:rsidRPr="00DF578C">
        <w:rPr>
          <w:rFonts w:ascii="Arial" w:eastAsia="Calibri" w:hAnsi="Arial" w:cs="Arial"/>
          <w:sz w:val="22"/>
          <w:szCs w:val="28"/>
        </w:rPr>
        <w:t>standardises</w:t>
      </w:r>
      <w:proofErr w:type="spellEnd"/>
      <w:r w:rsidRPr="00DF578C">
        <w:rPr>
          <w:rFonts w:ascii="Arial" w:eastAsia="Calibri" w:hAnsi="Arial" w:cs="Arial"/>
          <w:sz w:val="22"/>
          <w:szCs w:val="28"/>
        </w:rPr>
        <w:t xml:space="preserve"> processes across multiple actors, although output quality still depends on ingredient data, inspection capacity, and on-site practices.</w:t>
      </w:r>
    </w:p>
    <w:p w14:paraId="51D30E36" w14:textId="77777777" w:rsidR="00DF578C" w:rsidRPr="00DF578C" w:rsidRDefault="00DF578C" w:rsidP="00DF578C">
      <w:pPr>
        <w:pStyle w:val="Body"/>
        <w:spacing w:after="120" w:line="276" w:lineRule="auto"/>
        <w:rPr>
          <w:rFonts w:ascii="Arial" w:eastAsia="Calibri" w:hAnsi="Arial" w:cs="Arial"/>
          <w:sz w:val="22"/>
          <w:szCs w:val="28"/>
        </w:rPr>
      </w:pPr>
      <w:r w:rsidRPr="00DF578C">
        <w:rPr>
          <w:rFonts w:ascii="Arial" w:eastAsia="Calibri" w:hAnsi="Arial" w:cs="Arial"/>
          <w:sz w:val="22"/>
          <w:szCs w:val="28"/>
        </w:rPr>
        <w:t>For international trade, SIHALAL introduced a function in July 2024 for registering foreign Halal certificates (</w:t>
      </w:r>
      <w:proofErr w:type="spellStart"/>
      <w:r w:rsidRPr="00DF578C">
        <w:rPr>
          <w:rFonts w:ascii="Arial" w:eastAsia="Calibri" w:hAnsi="Arial" w:cs="Arial"/>
          <w:sz w:val="22"/>
          <w:szCs w:val="28"/>
        </w:rPr>
        <w:t>Sertifikat</w:t>
      </w:r>
      <w:proofErr w:type="spellEnd"/>
      <w:r w:rsidRPr="00DF578C">
        <w:rPr>
          <w:rFonts w:ascii="Arial" w:eastAsia="Calibri" w:hAnsi="Arial" w:cs="Arial"/>
          <w:sz w:val="22"/>
          <w:szCs w:val="28"/>
        </w:rPr>
        <w:t xml:space="preserve"> Halal Luar Negeri - SHLN) by importers or officially appointed representatives in Indonesia (BPJPH, 2024a). This mechanism links each certificate to the relevant foreign Halal body and corresponding recognition framework. Market access to Indonesia therefore involves three layers: the product must meet Halal requirements; the certificate must be issued by a body whose status is accepted by BPJPH; and the certificate data must be registered and cross-checked in the system. The model creates a national single point of entry and enables legal accountability to be traced. Bottlenecks may arise from the very large number of enterprises, uneven digital capacity, complex imported ingredients, and delays in recognizing foreign bodies. For Vietnamese enterprises, preparing a structured, reusable dataset covering ingredients, processes, and certificates is more important than handling each application as a stand-alone case.</w:t>
      </w:r>
    </w:p>
    <w:p w14:paraId="28D512EC" w14:textId="77777777" w:rsidR="00DF578C" w:rsidRPr="00DF578C" w:rsidRDefault="00DF578C" w:rsidP="00DF578C">
      <w:pPr>
        <w:pStyle w:val="Body"/>
        <w:spacing w:after="120" w:line="276" w:lineRule="auto"/>
        <w:rPr>
          <w:rFonts w:ascii="Arial" w:eastAsia="Calibri" w:hAnsi="Arial" w:cs="Arial"/>
          <w:i/>
          <w:iCs/>
          <w:sz w:val="22"/>
          <w:szCs w:val="28"/>
        </w:rPr>
      </w:pPr>
      <w:r w:rsidRPr="00DF578C">
        <w:rPr>
          <w:rFonts w:ascii="Arial" w:eastAsia="Calibri" w:hAnsi="Arial" w:cs="Arial"/>
          <w:i/>
          <w:iCs/>
          <w:sz w:val="22"/>
          <w:szCs w:val="28"/>
        </w:rPr>
        <w:t>3.1.3. Thailand: Integrating religious authority, science, and export orientation</w:t>
      </w:r>
    </w:p>
    <w:p w14:paraId="1143B164" w14:textId="77777777" w:rsidR="00DF578C" w:rsidRPr="00DF578C" w:rsidRDefault="00DF578C" w:rsidP="00DF578C">
      <w:pPr>
        <w:pStyle w:val="Body"/>
        <w:spacing w:after="120" w:line="276" w:lineRule="auto"/>
        <w:rPr>
          <w:rFonts w:ascii="Arial" w:eastAsia="Calibri" w:hAnsi="Arial" w:cs="Arial"/>
          <w:sz w:val="22"/>
          <w:szCs w:val="28"/>
        </w:rPr>
      </w:pPr>
      <w:r w:rsidRPr="00DF578C">
        <w:rPr>
          <w:rFonts w:ascii="Arial" w:eastAsia="Calibri" w:hAnsi="Arial" w:cs="Arial"/>
          <w:sz w:val="22"/>
          <w:szCs w:val="28"/>
        </w:rPr>
        <w:t>Thailand has developed its Halal food industry despite not being a Muslim-majority country. Its model rests on coordination among religious authority, scientific testing, and export-oriented industrial capabilities. The Central Islamic Council of Thailand (CICOT) operates e-services for new applications, additions, renewals, certificate cancellation, and status checks; its product portal enables searches for products, certificates, and manufacturers. CICOT also publishes a database of foreign certification bodies by recognition status, creating a transparency layer for cross-border transactions (CICOT, n.d.-a, n.d.-b).</w:t>
      </w:r>
    </w:p>
    <w:p w14:paraId="6CF91202" w14:textId="77777777" w:rsidR="00DF578C" w:rsidRPr="00DF578C" w:rsidRDefault="00DF578C" w:rsidP="00DF578C">
      <w:pPr>
        <w:pStyle w:val="Body"/>
        <w:spacing w:after="120" w:line="276" w:lineRule="auto"/>
        <w:rPr>
          <w:rFonts w:ascii="Arial" w:eastAsia="Calibri" w:hAnsi="Arial" w:cs="Arial"/>
          <w:sz w:val="22"/>
          <w:szCs w:val="28"/>
        </w:rPr>
      </w:pPr>
      <w:r w:rsidRPr="00DF578C">
        <w:rPr>
          <w:rFonts w:ascii="Arial" w:eastAsia="Calibri" w:hAnsi="Arial" w:cs="Arial"/>
          <w:sz w:val="22"/>
          <w:szCs w:val="28"/>
        </w:rPr>
        <w:t xml:space="preserve">The certification process requires enterprises to provide data on ingredients and suppliers, production-flow diagrams, Halal control points, logistics, product codes, and traceability plans </w:t>
      </w:r>
      <w:r w:rsidRPr="00DF578C">
        <w:rPr>
          <w:rFonts w:ascii="Arial" w:eastAsia="Calibri" w:hAnsi="Arial" w:cs="Arial"/>
          <w:sz w:val="22"/>
          <w:szCs w:val="28"/>
        </w:rPr>
        <w:lastRenderedPageBreak/>
        <w:t>(CICOT, 2016). This shifts the focus towards assessing the control system. Once digitized, the data can support initial assessment, change monitoring, and verification by business partners; however, batch-level traceability continues to depend on internal systems and connectivity among factories, logistics providers, and the certification portal.</w:t>
      </w:r>
    </w:p>
    <w:p w14:paraId="2A34B7E9" w14:textId="77777777" w:rsidR="00DF578C" w:rsidRPr="00DF578C" w:rsidRDefault="00DF578C" w:rsidP="00DF578C">
      <w:pPr>
        <w:pStyle w:val="Body"/>
        <w:spacing w:after="120" w:line="276" w:lineRule="auto"/>
        <w:rPr>
          <w:rFonts w:ascii="Arial" w:eastAsia="Calibri" w:hAnsi="Arial" w:cs="Arial"/>
          <w:sz w:val="22"/>
          <w:szCs w:val="28"/>
        </w:rPr>
      </w:pPr>
      <w:r w:rsidRPr="00DF578C">
        <w:rPr>
          <w:rFonts w:ascii="Arial" w:eastAsia="Calibri" w:hAnsi="Arial" w:cs="Arial"/>
          <w:sz w:val="22"/>
          <w:szCs w:val="28"/>
        </w:rPr>
        <w:t>A distinctive feature of Thailand's model is the Halal Science Center at Chulalongkorn University. HAL-Q integrates Halal requirements with GMP/HACCP and scientific testing methods to help identify risks of cross-contamination, non-compliant ingredients, and critical control points (Halal Science Center, n.d.). This scientific foundation translates religious requirements into measurable parameters, particularly for highly processed foods that may face risks associated with additives, processing aids, flavorings, or sanitation practices. Thailand therefore uses digital connectivity primarily to strengthen the credibility of its production capabilities and support exports. Its strength lies in the complementarity between religious authority and scientific evidence; its limitation is that certification, testing, traceability, and trade data are not automatically integrated within a single architecture.</w:t>
      </w:r>
    </w:p>
    <w:p w14:paraId="43802FC0" w14:textId="77777777" w:rsidR="00DF578C" w:rsidRPr="00DF578C" w:rsidRDefault="00DF578C" w:rsidP="00DF578C">
      <w:pPr>
        <w:pStyle w:val="Body"/>
        <w:spacing w:after="60" w:line="276" w:lineRule="auto"/>
        <w:jc w:val="center"/>
        <w:rPr>
          <w:rFonts w:ascii="Arial" w:eastAsia="Calibri" w:hAnsi="Arial" w:cs="Arial"/>
          <w:b/>
          <w:bCs/>
          <w:sz w:val="22"/>
          <w:szCs w:val="28"/>
        </w:rPr>
      </w:pPr>
      <w:r w:rsidRPr="00DF578C">
        <w:rPr>
          <w:rFonts w:ascii="Arial" w:eastAsia="Calibri" w:hAnsi="Arial" w:cs="Arial"/>
          <w:b/>
          <w:bCs/>
          <w:sz w:val="22"/>
          <w:szCs w:val="28"/>
        </w:rPr>
        <w:t>Table 1. Comparison of digital connectivity structures in the Halal ecosystems of the three countries</w:t>
      </w:r>
    </w:p>
    <w:tbl>
      <w:tblPr>
        <w:tblW w:w="9493"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1249"/>
        <w:gridCol w:w="1823"/>
        <w:gridCol w:w="2098"/>
        <w:gridCol w:w="1918"/>
        <w:gridCol w:w="2405"/>
      </w:tblGrid>
      <w:tr w:rsidR="00DF578C" w:rsidRPr="00DF578C" w14:paraId="4B545AEB" w14:textId="77777777" w:rsidTr="00DF578C">
        <w:tc>
          <w:tcPr>
            <w:tcW w:w="1129" w:type="dxa"/>
            <w:tcBorders>
              <w:top w:val="single" w:sz="4" w:space="0" w:color="808080"/>
              <w:left w:val="single" w:sz="4" w:space="0" w:color="808080"/>
              <w:bottom w:val="single" w:sz="4" w:space="0" w:color="808080"/>
              <w:right w:val="single" w:sz="4" w:space="0" w:color="808080"/>
            </w:tcBorders>
            <w:shd w:val="clear" w:color="auto" w:fill="D9EAF7"/>
            <w:tcMar>
              <w:top w:w="45" w:type="dxa"/>
              <w:left w:w="0" w:type="dxa"/>
              <w:bottom w:w="45" w:type="dxa"/>
              <w:right w:w="0" w:type="dxa"/>
            </w:tcMar>
            <w:vAlign w:val="center"/>
            <w:hideMark/>
          </w:tcPr>
          <w:p w14:paraId="27B4A4E1" w14:textId="77777777" w:rsidR="00DF578C" w:rsidRPr="00DF578C" w:rsidRDefault="00DF578C" w:rsidP="00DF578C">
            <w:pPr>
              <w:pStyle w:val="Body"/>
              <w:spacing w:after="60" w:line="276" w:lineRule="auto"/>
              <w:ind w:left="142" w:right="142"/>
              <w:jc w:val="center"/>
              <w:rPr>
                <w:rFonts w:ascii="Arial" w:eastAsia="Calibri" w:hAnsi="Arial" w:cs="Arial"/>
                <w:b/>
                <w:bCs/>
                <w:sz w:val="22"/>
                <w:szCs w:val="28"/>
              </w:rPr>
            </w:pPr>
            <w:r w:rsidRPr="00DF578C">
              <w:rPr>
                <w:rFonts w:ascii="Arial" w:eastAsia="Calibri" w:hAnsi="Arial" w:cs="Arial"/>
                <w:b/>
                <w:bCs/>
                <w:sz w:val="22"/>
                <w:szCs w:val="28"/>
              </w:rPr>
              <w:t>Country</w:t>
            </w:r>
          </w:p>
        </w:tc>
        <w:tc>
          <w:tcPr>
            <w:tcW w:w="1843" w:type="dxa"/>
            <w:tcBorders>
              <w:top w:val="single" w:sz="4" w:space="0" w:color="808080"/>
              <w:left w:val="single" w:sz="4" w:space="0" w:color="808080"/>
              <w:bottom w:val="single" w:sz="4" w:space="0" w:color="808080"/>
              <w:right w:val="single" w:sz="4" w:space="0" w:color="808080"/>
            </w:tcBorders>
            <w:shd w:val="clear" w:color="auto" w:fill="D9EAF7"/>
            <w:tcMar>
              <w:top w:w="45" w:type="dxa"/>
              <w:left w:w="0" w:type="dxa"/>
              <w:bottom w:w="45" w:type="dxa"/>
              <w:right w:w="0" w:type="dxa"/>
            </w:tcMar>
            <w:vAlign w:val="center"/>
            <w:hideMark/>
          </w:tcPr>
          <w:p w14:paraId="58261431" w14:textId="77777777" w:rsidR="00DF578C" w:rsidRPr="00DF578C" w:rsidRDefault="00DF578C" w:rsidP="00DF578C">
            <w:pPr>
              <w:pStyle w:val="Body"/>
              <w:spacing w:after="60" w:line="276" w:lineRule="auto"/>
              <w:ind w:left="141" w:right="140"/>
              <w:jc w:val="center"/>
              <w:rPr>
                <w:rFonts w:ascii="Arial" w:eastAsia="Calibri" w:hAnsi="Arial" w:cs="Arial"/>
                <w:b/>
                <w:bCs/>
                <w:sz w:val="22"/>
                <w:szCs w:val="28"/>
              </w:rPr>
            </w:pPr>
            <w:r w:rsidRPr="00DF578C">
              <w:rPr>
                <w:rFonts w:ascii="Arial" w:eastAsia="Calibri" w:hAnsi="Arial" w:cs="Arial"/>
                <w:b/>
                <w:bCs/>
                <w:sz w:val="22"/>
                <w:szCs w:val="28"/>
              </w:rPr>
              <w:t>Governance logic</w:t>
            </w:r>
          </w:p>
        </w:tc>
        <w:tc>
          <w:tcPr>
            <w:tcW w:w="2126" w:type="dxa"/>
            <w:tcBorders>
              <w:top w:val="single" w:sz="4" w:space="0" w:color="808080"/>
              <w:left w:val="single" w:sz="4" w:space="0" w:color="808080"/>
              <w:bottom w:val="single" w:sz="4" w:space="0" w:color="808080"/>
              <w:right w:val="single" w:sz="4" w:space="0" w:color="808080"/>
            </w:tcBorders>
            <w:shd w:val="clear" w:color="auto" w:fill="D9EAF7"/>
            <w:tcMar>
              <w:top w:w="45" w:type="dxa"/>
              <w:left w:w="0" w:type="dxa"/>
              <w:bottom w:w="45" w:type="dxa"/>
              <w:right w:w="0" w:type="dxa"/>
            </w:tcMar>
            <w:vAlign w:val="center"/>
            <w:hideMark/>
          </w:tcPr>
          <w:p w14:paraId="47E18E71" w14:textId="77777777" w:rsidR="00DF578C" w:rsidRPr="00DF578C" w:rsidRDefault="00DF578C" w:rsidP="00DF578C">
            <w:pPr>
              <w:pStyle w:val="Body"/>
              <w:spacing w:after="60" w:line="276" w:lineRule="auto"/>
              <w:ind w:left="144" w:right="132"/>
              <w:jc w:val="center"/>
              <w:rPr>
                <w:rFonts w:ascii="Arial" w:eastAsia="Calibri" w:hAnsi="Arial" w:cs="Arial"/>
                <w:b/>
                <w:bCs/>
                <w:sz w:val="22"/>
                <w:szCs w:val="28"/>
              </w:rPr>
            </w:pPr>
            <w:r w:rsidRPr="00DF578C">
              <w:rPr>
                <w:rFonts w:ascii="Arial" w:eastAsia="Calibri" w:hAnsi="Arial" w:cs="Arial"/>
                <w:b/>
                <w:bCs/>
                <w:sz w:val="22"/>
                <w:szCs w:val="28"/>
              </w:rPr>
              <w:t>Core digital infrastructure</w:t>
            </w:r>
          </w:p>
        </w:tc>
        <w:tc>
          <w:tcPr>
            <w:tcW w:w="1942" w:type="dxa"/>
            <w:tcBorders>
              <w:top w:val="single" w:sz="4" w:space="0" w:color="808080"/>
              <w:left w:val="single" w:sz="4" w:space="0" w:color="808080"/>
              <w:bottom w:val="single" w:sz="4" w:space="0" w:color="808080"/>
              <w:right w:val="single" w:sz="4" w:space="0" w:color="808080"/>
            </w:tcBorders>
            <w:shd w:val="clear" w:color="auto" w:fill="D9EAF7"/>
            <w:tcMar>
              <w:top w:w="45" w:type="dxa"/>
              <w:left w:w="0" w:type="dxa"/>
              <w:bottom w:w="45" w:type="dxa"/>
              <w:right w:w="0" w:type="dxa"/>
            </w:tcMar>
            <w:vAlign w:val="center"/>
            <w:hideMark/>
          </w:tcPr>
          <w:p w14:paraId="33225B72" w14:textId="77777777" w:rsidR="00DF578C" w:rsidRPr="00DF578C" w:rsidRDefault="00DF578C" w:rsidP="00DF578C">
            <w:pPr>
              <w:pStyle w:val="Body"/>
              <w:spacing w:after="60" w:line="276" w:lineRule="auto"/>
              <w:ind w:left="136" w:right="102"/>
              <w:jc w:val="center"/>
              <w:rPr>
                <w:rFonts w:ascii="Arial" w:eastAsia="Calibri" w:hAnsi="Arial" w:cs="Arial"/>
                <w:b/>
                <w:bCs/>
                <w:sz w:val="22"/>
                <w:szCs w:val="28"/>
              </w:rPr>
            </w:pPr>
            <w:r w:rsidRPr="00DF578C">
              <w:rPr>
                <w:rFonts w:ascii="Arial" w:eastAsia="Calibri" w:hAnsi="Arial" w:cs="Arial"/>
                <w:b/>
                <w:bCs/>
                <w:sz w:val="22"/>
                <w:szCs w:val="28"/>
              </w:rPr>
              <w:t>Cross-border mechanism</w:t>
            </w:r>
          </w:p>
        </w:tc>
        <w:tc>
          <w:tcPr>
            <w:tcW w:w="2453" w:type="dxa"/>
            <w:tcBorders>
              <w:top w:val="single" w:sz="4" w:space="0" w:color="808080"/>
              <w:left w:val="single" w:sz="4" w:space="0" w:color="808080"/>
              <w:bottom w:val="single" w:sz="4" w:space="0" w:color="808080"/>
              <w:right w:val="single" w:sz="4" w:space="0" w:color="808080"/>
            </w:tcBorders>
            <w:shd w:val="clear" w:color="auto" w:fill="D9EAF7"/>
            <w:tcMar>
              <w:top w:w="45" w:type="dxa"/>
              <w:left w:w="0" w:type="dxa"/>
              <w:bottom w:w="45" w:type="dxa"/>
              <w:right w:w="0" w:type="dxa"/>
            </w:tcMar>
            <w:vAlign w:val="center"/>
            <w:hideMark/>
          </w:tcPr>
          <w:p w14:paraId="481AE873" w14:textId="77777777" w:rsidR="00DF578C" w:rsidRPr="00DF578C" w:rsidRDefault="00DF578C" w:rsidP="00DF578C">
            <w:pPr>
              <w:pStyle w:val="Body"/>
              <w:spacing w:after="60" w:line="276" w:lineRule="auto"/>
              <w:ind w:left="182" w:right="132"/>
              <w:jc w:val="center"/>
              <w:rPr>
                <w:rFonts w:ascii="Arial" w:eastAsia="Calibri" w:hAnsi="Arial" w:cs="Arial"/>
                <w:b/>
                <w:bCs/>
                <w:sz w:val="22"/>
                <w:szCs w:val="28"/>
              </w:rPr>
            </w:pPr>
            <w:r w:rsidRPr="00DF578C">
              <w:rPr>
                <w:rFonts w:ascii="Arial" w:eastAsia="Calibri" w:hAnsi="Arial" w:cs="Arial"/>
                <w:b/>
                <w:bCs/>
                <w:sz w:val="22"/>
                <w:szCs w:val="28"/>
              </w:rPr>
              <w:t>Strengths and limitations</w:t>
            </w:r>
          </w:p>
        </w:tc>
      </w:tr>
      <w:tr w:rsidR="00DF578C" w:rsidRPr="00DF578C" w14:paraId="5297D764" w14:textId="77777777" w:rsidTr="00DF578C">
        <w:tc>
          <w:tcPr>
            <w:tcW w:w="1129" w:type="dxa"/>
            <w:tcBorders>
              <w:top w:val="single" w:sz="4" w:space="0" w:color="808080"/>
              <w:left w:val="single" w:sz="4" w:space="0" w:color="808080"/>
              <w:bottom w:val="single" w:sz="4" w:space="0" w:color="808080"/>
              <w:right w:val="single" w:sz="4" w:space="0" w:color="808080"/>
            </w:tcBorders>
            <w:shd w:val="clear" w:color="auto" w:fill="FFFFFF"/>
            <w:tcMar>
              <w:top w:w="45" w:type="dxa"/>
              <w:left w:w="0" w:type="dxa"/>
              <w:bottom w:w="45" w:type="dxa"/>
              <w:right w:w="0" w:type="dxa"/>
            </w:tcMar>
            <w:vAlign w:val="center"/>
            <w:hideMark/>
          </w:tcPr>
          <w:p w14:paraId="7E30CCB9" w14:textId="77777777" w:rsidR="00DF578C" w:rsidRPr="00DF578C" w:rsidRDefault="00DF578C" w:rsidP="00DF578C">
            <w:pPr>
              <w:pStyle w:val="Body"/>
              <w:spacing w:after="60" w:line="276" w:lineRule="auto"/>
              <w:ind w:left="142" w:right="142"/>
              <w:rPr>
                <w:rFonts w:ascii="Arial" w:eastAsia="Calibri" w:hAnsi="Arial" w:cs="Arial"/>
                <w:sz w:val="22"/>
                <w:szCs w:val="28"/>
              </w:rPr>
            </w:pPr>
            <w:r w:rsidRPr="00DF578C">
              <w:rPr>
                <w:rFonts w:ascii="Arial" w:eastAsia="Calibri" w:hAnsi="Arial" w:cs="Arial"/>
                <w:sz w:val="22"/>
                <w:szCs w:val="28"/>
              </w:rPr>
              <w:t>Malaysia</w:t>
            </w:r>
          </w:p>
        </w:tc>
        <w:tc>
          <w:tcPr>
            <w:tcW w:w="1843" w:type="dxa"/>
            <w:tcBorders>
              <w:top w:val="single" w:sz="4" w:space="0" w:color="808080"/>
              <w:left w:val="single" w:sz="4" w:space="0" w:color="808080"/>
              <w:bottom w:val="single" w:sz="4" w:space="0" w:color="808080"/>
              <w:right w:val="single" w:sz="4" w:space="0" w:color="808080"/>
            </w:tcBorders>
            <w:shd w:val="clear" w:color="auto" w:fill="FFFFFF"/>
            <w:tcMar>
              <w:top w:w="45" w:type="dxa"/>
              <w:left w:w="0" w:type="dxa"/>
              <w:bottom w:w="45" w:type="dxa"/>
              <w:right w:w="0" w:type="dxa"/>
            </w:tcMar>
            <w:vAlign w:val="center"/>
            <w:hideMark/>
          </w:tcPr>
          <w:p w14:paraId="312ACFDE" w14:textId="77777777" w:rsidR="00DF578C" w:rsidRPr="00DF578C" w:rsidRDefault="00DF578C" w:rsidP="00DF578C">
            <w:pPr>
              <w:pStyle w:val="Body"/>
              <w:spacing w:after="60" w:line="276" w:lineRule="auto"/>
              <w:ind w:left="141" w:right="140"/>
              <w:jc w:val="left"/>
              <w:rPr>
                <w:rFonts w:ascii="Arial" w:eastAsia="Calibri" w:hAnsi="Arial" w:cs="Arial"/>
                <w:sz w:val="22"/>
                <w:szCs w:val="28"/>
              </w:rPr>
            </w:pPr>
            <w:r w:rsidRPr="00DF578C">
              <w:rPr>
                <w:rFonts w:ascii="Arial" w:eastAsia="Calibri" w:hAnsi="Arial" w:cs="Arial"/>
                <w:sz w:val="22"/>
                <w:szCs w:val="28"/>
              </w:rPr>
              <w:t>Authoritative certification combined with Halal industry development policy.</w:t>
            </w:r>
          </w:p>
        </w:tc>
        <w:tc>
          <w:tcPr>
            <w:tcW w:w="2126" w:type="dxa"/>
            <w:tcBorders>
              <w:top w:val="single" w:sz="4" w:space="0" w:color="808080"/>
              <w:left w:val="single" w:sz="4" w:space="0" w:color="808080"/>
              <w:bottom w:val="single" w:sz="4" w:space="0" w:color="808080"/>
              <w:right w:val="single" w:sz="4" w:space="0" w:color="808080"/>
            </w:tcBorders>
            <w:shd w:val="clear" w:color="auto" w:fill="FFFFFF"/>
            <w:tcMar>
              <w:top w:w="45" w:type="dxa"/>
              <w:left w:w="0" w:type="dxa"/>
              <w:bottom w:w="45" w:type="dxa"/>
              <w:right w:w="0" w:type="dxa"/>
            </w:tcMar>
            <w:vAlign w:val="center"/>
            <w:hideMark/>
          </w:tcPr>
          <w:p w14:paraId="52753876" w14:textId="77777777" w:rsidR="00DF578C" w:rsidRPr="00DF578C" w:rsidRDefault="00DF578C" w:rsidP="00DF578C">
            <w:pPr>
              <w:pStyle w:val="Body"/>
              <w:spacing w:after="60" w:line="276" w:lineRule="auto"/>
              <w:ind w:left="144" w:right="132"/>
              <w:jc w:val="left"/>
              <w:rPr>
                <w:rFonts w:ascii="Arial" w:eastAsia="Calibri" w:hAnsi="Arial" w:cs="Arial"/>
                <w:sz w:val="22"/>
                <w:szCs w:val="28"/>
              </w:rPr>
            </w:pPr>
            <w:proofErr w:type="spellStart"/>
            <w:r w:rsidRPr="00DF578C">
              <w:rPr>
                <w:rFonts w:ascii="Arial" w:eastAsia="Calibri" w:hAnsi="Arial" w:cs="Arial"/>
                <w:sz w:val="22"/>
                <w:szCs w:val="28"/>
              </w:rPr>
              <w:t>MYeHALAL</w:t>
            </w:r>
            <w:proofErr w:type="spellEnd"/>
            <w:r w:rsidRPr="00DF578C">
              <w:rPr>
                <w:rFonts w:ascii="Arial" w:eastAsia="Calibri" w:hAnsi="Arial" w:cs="Arial"/>
                <w:sz w:val="22"/>
                <w:szCs w:val="28"/>
              </w:rPr>
              <w:t xml:space="preserve"> and directories of certification status and foreign bodies; HIP connects supply, services, finance, and markets.</w:t>
            </w:r>
          </w:p>
        </w:tc>
        <w:tc>
          <w:tcPr>
            <w:tcW w:w="1942" w:type="dxa"/>
            <w:tcBorders>
              <w:top w:val="single" w:sz="4" w:space="0" w:color="808080"/>
              <w:left w:val="single" w:sz="4" w:space="0" w:color="808080"/>
              <w:bottom w:val="single" w:sz="4" w:space="0" w:color="808080"/>
              <w:right w:val="single" w:sz="4" w:space="0" w:color="808080"/>
            </w:tcBorders>
            <w:shd w:val="clear" w:color="auto" w:fill="FFFFFF"/>
            <w:tcMar>
              <w:top w:w="45" w:type="dxa"/>
              <w:left w:w="0" w:type="dxa"/>
              <w:bottom w:w="45" w:type="dxa"/>
              <w:right w:w="0" w:type="dxa"/>
            </w:tcMar>
            <w:vAlign w:val="center"/>
            <w:hideMark/>
          </w:tcPr>
          <w:p w14:paraId="7603E546" w14:textId="77777777" w:rsidR="00DF578C" w:rsidRPr="00DF578C" w:rsidRDefault="00DF578C" w:rsidP="00DF578C">
            <w:pPr>
              <w:pStyle w:val="Body"/>
              <w:spacing w:after="60" w:line="276" w:lineRule="auto"/>
              <w:ind w:left="136" w:right="102"/>
              <w:jc w:val="left"/>
              <w:rPr>
                <w:rFonts w:ascii="Arial" w:eastAsia="Calibri" w:hAnsi="Arial" w:cs="Arial"/>
                <w:sz w:val="22"/>
                <w:szCs w:val="28"/>
              </w:rPr>
            </w:pPr>
            <w:r w:rsidRPr="00DF578C">
              <w:rPr>
                <w:rFonts w:ascii="Arial" w:eastAsia="Calibri" w:hAnsi="Arial" w:cs="Arial"/>
                <w:sz w:val="22"/>
                <w:szCs w:val="28"/>
              </w:rPr>
              <w:t>Recognition of foreign Halal certification bodies and verification of certificate scope, validity, and status.</w:t>
            </w:r>
          </w:p>
        </w:tc>
        <w:tc>
          <w:tcPr>
            <w:tcW w:w="2453" w:type="dxa"/>
            <w:tcBorders>
              <w:top w:val="single" w:sz="4" w:space="0" w:color="808080"/>
              <w:left w:val="single" w:sz="4" w:space="0" w:color="808080"/>
              <w:bottom w:val="single" w:sz="4" w:space="0" w:color="808080"/>
              <w:right w:val="single" w:sz="4" w:space="0" w:color="808080"/>
            </w:tcBorders>
            <w:shd w:val="clear" w:color="auto" w:fill="FFFFFF"/>
            <w:tcMar>
              <w:top w:w="45" w:type="dxa"/>
              <w:left w:w="0" w:type="dxa"/>
              <w:bottom w:w="45" w:type="dxa"/>
              <w:right w:w="0" w:type="dxa"/>
            </w:tcMar>
            <w:vAlign w:val="center"/>
            <w:hideMark/>
          </w:tcPr>
          <w:p w14:paraId="0E7FA98A" w14:textId="77777777" w:rsidR="00DF578C" w:rsidRPr="00DF578C" w:rsidRDefault="00DF578C" w:rsidP="00DF578C">
            <w:pPr>
              <w:pStyle w:val="Body"/>
              <w:spacing w:after="60" w:line="276" w:lineRule="auto"/>
              <w:ind w:left="182" w:right="132"/>
              <w:jc w:val="left"/>
              <w:rPr>
                <w:rFonts w:ascii="Arial" w:eastAsia="Calibri" w:hAnsi="Arial" w:cs="Arial"/>
                <w:sz w:val="22"/>
                <w:szCs w:val="28"/>
              </w:rPr>
            </w:pPr>
            <w:r w:rsidRPr="00DF578C">
              <w:rPr>
                <w:rFonts w:ascii="Arial" w:eastAsia="Calibri" w:hAnsi="Arial" w:cs="Arial"/>
                <w:sz w:val="22"/>
                <w:szCs w:val="28"/>
              </w:rPr>
              <w:t>Strong linkage between trust and markets; the challenge is interoperability across federal, state, foreign, and enterprise systems.</w:t>
            </w:r>
          </w:p>
        </w:tc>
      </w:tr>
      <w:tr w:rsidR="00DF578C" w:rsidRPr="00DF578C" w14:paraId="3F3B2FF3" w14:textId="77777777" w:rsidTr="00DF578C">
        <w:tc>
          <w:tcPr>
            <w:tcW w:w="1129" w:type="dxa"/>
            <w:tcBorders>
              <w:top w:val="single" w:sz="4" w:space="0" w:color="808080"/>
              <w:left w:val="single" w:sz="4" w:space="0" w:color="808080"/>
              <w:bottom w:val="single" w:sz="4" w:space="0" w:color="808080"/>
              <w:right w:val="single" w:sz="4" w:space="0" w:color="808080"/>
            </w:tcBorders>
            <w:shd w:val="clear" w:color="auto" w:fill="FFFFFF"/>
            <w:tcMar>
              <w:top w:w="45" w:type="dxa"/>
              <w:left w:w="0" w:type="dxa"/>
              <w:bottom w:w="45" w:type="dxa"/>
              <w:right w:w="0" w:type="dxa"/>
            </w:tcMar>
            <w:vAlign w:val="center"/>
            <w:hideMark/>
          </w:tcPr>
          <w:p w14:paraId="262F0360" w14:textId="77777777" w:rsidR="00DF578C" w:rsidRPr="00DF578C" w:rsidRDefault="00DF578C" w:rsidP="00DF578C">
            <w:pPr>
              <w:pStyle w:val="Body"/>
              <w:spacing w:after="60" w:line="276" w:lineRule="auto"/>
              <w:ind w:left="142" w:right="142"/>
              <w:rPr>
                <w:rFonts w:ascii="Arial" w:eastAsia="Calibri" w:hAnsi="Arial" w:cs="Arial"/>
                <w:sz w:val="22"/>
                <w:szCs w:val="28"/>
              </w:rPr>
            </w:pPr>
            <w:r w:rsidRPr="00DF578C">
              <w:rPr>
                <w:rFonts w:ascii="Arial" w:eastAsia="Calibri" w:hAnsi="Arial" w:cs="Arial"/>
                <w:sz w:val="22"/>
                <w:szCs w:val="28"/>
              </w:rPr>
              <w:t>Indonesia</w:t>
            </w:r>
          </w:p>
        </w:tc>
        <w:tc>
          <w:tcPr>
            <w:tcW w:w="1843" w:type="dxa"/>
            <w:tcBorders>
              <w:top w:val="single" w:sz="4" w:space="0" w:color="808080"/>
              <w:left w:val="single" w:sz="4" w:space="0" w:color="808080"/>
              <w:bottom w:val="single" w:sz="4" w:space="0" w:color="808080"/>
              <w:right w:val="single" w:sz="4" w:space="0" w:color="808080"/>
            </w:tcBorders>
            <w:shd w:val="clear" w:color="auto" w:fill="FFFFFF"/>
            <w:tcMar>
              <w:top w:w="45" w:type="dxa"/>
              <w:left w:w="0" w:type="dxa"/>
              <w:bottom w:w="45" w:type="dxa"/>
              <w:right w:w="0" w:type="dxa"/>
            </w:tcMar>
            <w:vAlign w:val="center"/>
            <w:hideMark/>
          </w:tcPr>
          <w:p w14:paraId="74A150DD" w14:textId="77777777" w:rsidR="00DF578C" w:rsidRPr="00DF578C" w:rsidRDefault="00DF578C" w:rsidP="00DF578C">
            <w:pPr>
              <w:pStyle w:val="Body"/>
              <w:spacing w:after="60" w:line="276" w:lineRule="auto"/>
              <w:ind w:left="141" w:right="140"/>
              <w:jc w:val="left"/>
              <w:rPr>
                <w:rFonts w:ascii="Arial" w:eastAsia="Calibri" w:hAnsi="Arial" w:cs="Arial"/>
                <w:sz w:val="22"/>
                <w:szCs w:val="28"/>
              </w:rPr>
            </w:pPr>
            <w:r w:rsidRPr="00DF578C">
              <w:rPr>
                <w:rFonts w:ascii="Arial" w:eastAsia="Calibri" w:hAnsi="Arial" w:cs="Arial"/>
                <w:sz w:val="22"/>
                <w:szCs w:val="28"/>
              </w:rPr>
              <w:t>A mandatory Halal product assurance regime coordinated nationally by BPJPH.</w:t>
            </w:r>
          </w:p>
        </w:tc>
        <w:tc>
          <w:tcPr>
            <w:tcW w:w="2126" w:type="dxa"/>
            <w:tcBorders>
              <w:top w:val="single" w:sz="4" w:space="0" w:color="808080"/>
              <w:left w:val="single" w:sz="4" w:space="0" w:color="808080"/>
              <w:bottom w:val="single" w:sz="4" w:space="0" w:color="808080"/>
              <w:right w:val="single" w:sz="4" w:space="0" w:color="808080"/>
            </w:tcBorders>
            <w:shd w:val="clear" w:color="auto" w:fill="FFFFFF"/>
            <w:tcMar>
              <w:top w:w="45" w:type="dxa"/>
              <w:left w:w="0" w:type="dxa"/>
              <w:bottom w:w="45" w:type="dxa"/>
              <w:right w:w="0" w:type="dxa"/>
            </w:tcMar>
            <w:vAlign w:val="center"/>
            <w:hideMark/>
          </w:tcPr>
          <w:p w14:paraId="6BA82A10" w14:textId="77777777" w:rsidR="00DF578C" w:rsidRPr="00DF578C" w:rsidRDefault="00DF578C" w:rsidP="00DF578C">
            <w:pPr>
              <w:pStyle w:val="Body"/>
              <w:spacing w:after="60" w:line="276" w:lineRule="auto"/>
              <w:ind w:left="144" w:right="132"/>
              <w:jc w:val="left"/>
              <w:rPr>
                <w:rFonts w:ascii="Arial" w:eastAsia="Calibri" w:hAnsi="Arial" w:cs="Arial"/>
                <w:sz w:val="22"/>
                <w:szCs w:val="28"/>
              </w:rPr>
            </w:pPr>
            <w:r w:rsidRPr="00DF578C">
              <w:rPr>
                <w:rFonts w:ascii="Arial" w:eastAsia="Calibri" w:hAnsi="Arial" w:cs="Arial"/>
                <w:sz w:val="22"/>
                <w:szCs w:val="28"/>
              </w:rPr>
              <w:t>SIHALAL manages applications, processes, and digital certificates, including foreign Halal certificate registration (SHLN).</w:t>
            </w:r>
          </w:p>
        </w:tc>
        <w:tc>
          <w:tcPr>
            <w:tcW w:w="1942" w:type="dxa"/>
            <w:tcBorders>
              <w:top w:val="single" w:sz="4" w:space="0" w:color="808080"/>
              <w:left w:val="single" w:sz="4" w:space="0" w:color="808080"/>
              <w:bottom w:val="single" w:sz="4" w:space="0" w:color="808080"/>
              <w:right w:val="single" w:sz="4" w:space="0" w:color="808080"/>
            </w:tcBorders>
            <w:shd w:val="clear" w:color="auto" w:fill="FFFFFF"/>
            <w:tcMar>
              <w:top w:w="45" w:type="dxa"/>
              <w:left w:w="0" w:type="dxa"/>
              <w:bottom w:w="45" w:type="dxa"/>
              <w:right w:w="0" w:type="dxa"/>
            </w:tcMar>
            <w:vAlign w:val="center"/>
            <w:hideMark/>
          </w:tcPr>
          <w:p w14:paraId="2D62AAB7" w14:textId="77777777" w:rsidR="00DF578C" w:rsidRPr="00DF578C" w:rsidRDefault="00DF578C" w:rsidP="00DF578C">
            <w:pPr>
              <w:pStyle w:val="Body"/>
              <w:spacing w:after="60" w:line="276" w:lineRule="auto"/>
              <w:ind w:left="136" w:right="102"/>
              <w:jc w:val="left"/>
              <w:rPr>
                <w:rFonts w:ascii="Arial" w:eastAsia="Calibri" w:hAnsi="Arial" w:cs="Arial"/>
                <w:sz w:val="22"/>
                <w:szCs w:val="28"/>
              </w:rPr>
            </w:pPr>
            <w:r w:rsidRPr="00DF578C">
              <w:rPr>
                <w:rFonts w:ascii="Arial" w:eastAsia="Calibri" w:hAnsi="Arial" w:cs="Arial"/>
                <w:sz w:val="22"/>
                <w:szCs w:val="28"/>
              </w:rPr>
              <w:t>Mutual recognition, registration of foreign certificates, and a mandatory-certification timetable for imported products.</w:t>
            </w:r>
          </w:p>
        </w:tc>
        <w:tc>
          <w:tcPr>
            <w:tcW w:w="2453" w:type="dxa"/>
            <w:tcBorders>
              <w:top w:val="single" w:sz="4" w:space="0" w:color="808080"/>
              <w:left w:val="single" w:sz="4" w:space="0" w:color="808080"/>
              <w:bottom w:val="single" w:sz="4" w:space="0" w:color="808080"/>
              <w:right w:val="single" w:sz="4" w:space="0" w:color="808080"/>
            </w:tcBorders>
            <w:shd w:val="clear" w:color="auto" w:fill="FFFFFF"/>
            <w:tcMar>
              <w:top w:w="45" w:type="dxa"/>
              <w:left w:w="0" w:type="dxa"/>
              <w:bottom w:w="45" w:type="dxa"/>
              <w:right w:w="0" w:type="dxa"/>
            </w:tcMar>
            <w:vAlign w:val="center"/>
            <w:hideMark/>
          </w:tcPr>
          <w:p w14:paraId="3D3BEE8B" w14:textId="77777777" w:rsidR="00DF578C" w:rsidRPr="00DF578C" w:rsidRDefault="00DF578C" w:rsidP="00DF578C">
            <w:pPr>
              <w:pStyle w:val="Body"/>
              <w:spacing w:after="60" w:line="276" w:lineRule="auto"/>
              <w:ind w:left="182" w:right="132"/>
              <w:jc w:val="left"/>
              <w:rPr>
                <w:rFonts w:ascii="Arial" w:eastAsia="Calibri" w:hAnsi="Arial" w:cs="Arial"/>
                <w:sz w:val="22"/>
                <w:szCs w:val="28"/>
              </w:rPr>
            </w:pPr>
            <w:r w:rsidRPr="00DF578C">
              <w:rPr>
                <w:rFonts w:ascii="Arial" w:eastAsia="Calibri" w:hAnsi="Arial" w:cs="Arial"/>
                <w:sz w:val="22"/>
                <w:szCs w:val="28"/>
              </w:rPr>
              <w:t>Strong national focal point and traceable accountability; challenges include scale, data quality, and recognition delays.</w:t>
            </w:r>
          </w:p>
        </w:tc>
      </w:tr>
      <w:tr w:rsidR="00DF578C" w:rsidRPr="00DF578C" w14:paraId="545DCC95" w14:textId="77777777" w:rsidTr="00DF578C">
        <w:tc>
          <w:tcPr>
            <w:tcW w:w="1129" w:type="dxa"/>
            <w:tcBorders>
              <w:top w:val="single" w:sz="4" w:space="0" w:color="808080"/>
              <w:left w:val="single" w:sz="4" w:space="0" w:color="808080"/>
              <w:bottom w:val="single" w:sz="4" w:space="0" w:color="808080"/>
              <w:right w:val="single" w:sz="4" w:space="0" w:color="808080"/>
            </w:tcBorders>
            <w:shd w:val="clear" w:color="auto" w:fill="FFFFFF"/>
            <w:tcMar>
              <w:top w:w="45" w:type="dxa"/>
              <w:left w:w="0" w:type="dxa"/>
              <w:bottom w:w="45" w:type="dxa"/>
              <w:right w:w="0" w:type="dxa"/>
            </w:tcMar>
            <w:vAlign w:val="center"/>
            <w:hideMark/>
          </w:tcPr>
          <w:p w14:paraId="5CAB54DE" w14:textId="77777777" w:rsidR="00DF578C" w:rsidRPr="00DF578C" w:rsidRDefault="00DF578C" w:rsidP="00DF578C">
            <w:pPr>
              <w:pStyle w:val="Body"/>
              <w:spacing w:after="60" w:line="276" w:lineRule="auto"/>
              <w:ind w:left="142" w:right="142"/>
              <w:rPr>
                <w:rFonts w:ascii="Arial" w:eastAsia="Calibri" w:hAnsi="Arial" w:cs="Arial"/>
                <w:sz w:val="22"/>
                <w:szCs w:val="28"/>
              </w:rPr>
            </w:pPr>
            <w:r w:rsidRPr="00DF578C">
              <w:rPr>
                <w:rFonts w:ascii="Arial" w:eastAsia="Calibri" w:hAnsi="Arial" w:cs="Arial"/>
                <w:sz w:val="22"/>
                <w:szCs w:val="28"/>
              </w:rPr>
              <w:t>Thailand</w:t>
            </w:r>
          </w:p>
        </w:tc>
        <w:tc>
          <w:tcPr>
            <w:tcW w:w="1843" w:type="dxa"/>
            <w:tcBorders>
              <w:top w:val="single" w:sz="4" w:space="0" w:color="808080"/>
              <w:left w:val="single" w:sz="4" w:space="0" w:color="808080"/>
              <w:bottom w:val="single" w:sz="4" w:space="0" w:color="808080"/>
              <w:right w:val="single" w:sz="4" w:space="0" w:color="808080"/>
            </w:tcBorders>
            <w:shd w:val="clear" w:color="auto" w:fill="FFFFFF"/>
            <w:tcMar>
              <w:top w:w="45" w:type="dxa"/>
              <w:left w:w="0" w:type="dxa"/>
              <w:bottom w:w="45" w:type="dxa"/>
              <w:right w:w="0" w:type="dxa"/>
            </w:tcMar>
            <w:vAlign w:val="center"/>
            <w:hideMark/>
          </w:tcPr>
          <w:p w14:paraId="33E3AF73" w14:textId="77777777" w:rsidR="00DF578C" w:rsidRPr="00DF578C" w:rsidRDefault="00DF578C" w:rsidP="00DF578C">
            <w:pPr>
              <w:pStyle w:val="Body"/>
              <w:spacing w:after="60" w:line="276" w:lineRule="auto"/>
              <w:ind w:left="141" w:right="140"/>
              <w:jc w:val="left"/>
              <w:rPr>
                <w:rFonts w:ascii="Arial" w:eastAsia="Calibri" w:hAnsi="Arial" w:cs="Arial"/>
                <w:sz w:val="22"/>
                <w:szCs w:val="28"/>
              </w:rPr>
            </w:pPr>
            <w:r w:rsidRPr="00DF578C">
              <w:rPr>
                <w:rFonts w:ascii="Arial" w:eastAsia="Calibri" w:hAnsi="Arial" w:cs="Arial"/>
                <w:sz w:val="22"/>
                <w:szCs w:val="28"/>
              </w:rPr>
              <w:t xml:space="preserve">Religious authority combined with Halal science and an </w:t>
            </w:r>
            <w:r w:rsidRPr="00DF578C">
              <w:rPr>
                <w:rFonts w:ascii="Arial" w:eastAsia="Calibri" w:hAnsi="Arial" w:cs="Arial"/>
                <w:sz w:val="22"/>
                <w:szCs w:val="28"/>
              </w:rPr>
              <w:lastRenderedPageBreak/>
              <w:t>industry-export orientation.</w:t>
            </w:r>
          </w:p>
        </w:tc>
        <w:tc>
          <w:tcPr>
            <w:tcW w:w="2126" w:type="dxa"/>
            <w:tcBorders>
              <w:top w:val="single" w:sz="4" w:space="0" w:color="808080"/>
              <w:left w:val="single" w:sz="4" w:space="0" w:color="808080"/>
              <w:bottom w:val="single" w:sz="4" w:space="0" w:color="808080"/>
              <w:right w:val="single" w:sz="4" w:space="0" w:color="808080"/>
            </w:tcBorders>
            <w:shd w:val="clear" w:color="auto" w:fill="FFFFFF"/>
            <w:tcMar>
              <w:top w:w="45" w:type="dxa"/>
              <w:left w:w="0" w:type="dxa"/>
              <w:bottom w:w="45" w:type="dxa"/>
              <w:right w:w="0" w:type="dxa"/>
            </w:tcMar>
            <w:vAlign w:val="center"/>
            <w:hideMark/>
          </w:tcPr>
          <w:p w14:paraId="40CEB0B5" w14:textId="77777777" w:rsidR="00DF578C" w:rsidRPr="00DF578C" w:rsidRDefault="00DF578C" w:rsidP="00DF578C">
            <w:pPr>
              <w:pStyle w:val="Body"/>
              <w:spacing w:after="60" w:line="276" w:lineRule="auto"/>
              <w:ind w:left="144" w:right="132"/>
              <w:jc w:val="left"/>
              <w:rPr>
                <w:rFonts w:ascii="Arial" w:eastAsia="Calibri" w:hAnsi="Arial" w:cs="Arial"/>
                <w:sz w:val="22"/>
                <w:szCs w:val="28"/>
              </w:rPr>
            </w:pPr>
            <w:r w:rsidRPr="00DF578C">
              <w:rPr>
                <w:rFonts w:ascii="Arial" w:eastAsia="Calibri" w:hAnsi="Arial" w:cs="Arial"/>
                <w:sz w:val="22"/>
                <w:szCs w:val="28"/>
              </w:rPr>
              <w:lastRenderedPageBreak/>
              <w:t>CICOT e-services and product search; HAL-Q, testing, and critical-control-</w:t>
            </w:r>
            <w:r w:rsidRPr="00DF578C">
              <w:rPr>
                <w:rFonts w:ascii="Arial" w:eastAsia="Calibri" w:hAnsi="Arial" w:cs="Arial"/>
                <w:sz w:val="22"/>
                <w:szCs w:val="28"/>
              </w:rPr>
              <w:lastRenderedPageBreak/>
              <w:t>point management.</w:t>
            </w:r>
          </w:p>
        </w:tc>
        <w:tc>
          <w:tcPr>
            <w:tcW w:w="1942" w:type="dxa"/>
            <w:tcBorders>
              <w:top w:val="single" w:sz="4" w:space="0" w:color="808080"/>
              <w:left w:val="single" w:sz="4" w:space="0" w:color="808080"/>
              <w:bottom w:val="single" w:sz="4" w:space="0" w:color="808080"/>
              <w:right w:val="single" w:sz="4" w:space="0" w:color="808080"/>
            </w:tcBorders>
            <w:shd w:val="clear" w:color="auto" w:fill="FFFFFF"/>
            <w:tcMar>
              <w:top w:w="45" w:type="dxa"/>
              <w:left w:w="0" w:type="dxa"/>
              <w:bottom w:w="45" w:type="dxa"/>
              <w:right w:w="0" w:type="dxa"/>
            </w:tcMar>
            <w:vAlign w:val="center"/>
            <w:hideMark/>
          </w:tcPr>
          <w:p w14:paraId="545DF91A" w14:textId="77777777" w:rsidR="00DF578C" w:rsidRPr="00DF578C" w:rsidRDefault="00DF578C" w:rsidP="00DF578C">
            <w:pPr>
              <w:pStyle w:val="Body"/>
              <w:spacing w:after="60" w:line="276" w:lineRule="auto"/>
              <w:ind w:left="136" w:right="102"/>
              <w:jc w:val="left"/>
              <w:rPr>
                <w:rFonts w:ascii="Arial" w:eastAsia="Calibri" w:hAnsi="Arial" w:cs="Arial"/>
                <w:sz w:val="22"/>
                <w:szCs w:val="28"/>
              </w:rPr>
            </w:pPr>
            <w:r w:rsidRPr="00DF578C">
              <w:rPr>
                <w:rFonts w:ascii="Arial" w:eastAsia="Calibri" w:hAnsi="Arial" w:cs="Arial"/>
                <w:sz w:val="22"/>
                <w:szCs w:val="28"/>
              </w:rPr>
              <w:lastRenderedPageBreak/>
              <w:t xml:space="preserve">Publication of foreign certification-body status and dossiers tailored </w:t>
            </w:r>
            <w:r w:rsidRPr="00DF578C">
              <w:rPr>
                <w:rFonts w:ascii="Arial" w:eastAsia="Calibri" w:hAnsi="Arial" w:cs="Arial"/>
                <w:sz w:val="22"/>
                <w:szCs w:val="28"/>
              </w:rPr>
              <w:lastRenderedPageBreak/>
              <w:t>to export-market requirements.</w:t>
            </w:r>
          </w:p>
        </w:tc>
        <w:tc>
          <w:tcPr>
            <w:tcW w:w="2453" w:type="dxa"/>
            <w:tcBorders>
              <w:top w:val="single" w:sz="4" w:space="0" w:color="808080"/>
              <w:left w:val="single" w:sz="4" w:space="0" w:color="808080"/>
              <w:bottom w:val="single" w:sz="4" w:space="0" w:color="808080"/>
              <w:right w:val="single" w:sz="4" w:space="0" w:color="808080"/>
            </w:tcBorders>
            <w:shd w:val="clear" w:color="auto" w:fill="FFFFFF"/>
            <w:tcMar>
              <w:top w:w="45" w:type="dxa"/>
              <w:left w:w="0" w:type="dxa"/>
              <w:bottom w:w="45" w:type="dxa"/>
              <w:right w:w="0" w:type="dxa"/>
            </w:tcMar>
            <w:vAlign w:val="center"/>
            <w:hideMark/>
          </w:tcPr>
          <w:p w14:paraId="342A431F" w14:textId="77777777" w:rsidR="00DF578C" w:rsidRPr="00DF578C" w:rsidRDefault="00DF578C" w:rsidP="00DF578C">
            <w:pPr>
              <w:pStyle w:val="Body"/>
              <w:spacing w:after="60" w:line="276" w:lineRule="auto"/>
              <w:ind w:left="182" w:right="132"/>
              <w:jc w:val="left"/>
              <w:rPr>
                <w:rFonts w:ascii="Arial" w:eastAsia="Calibri" w:hAnsi="Arial" w:cs="Arial"/>
                <w:sz w:val="22"/>
                <w:szCs w:val="28"/>
              </w:rPr>
            </w:pPr>
            <w:r w:rsidRPr="00DF578C">
              <w:rPr>
                <w:rFonts w:ascii="Arial" w:eastAsia="Calibri" w:hAnsi="Arial" w:cs="Arial"/>
                <w:sz w:val="22"/>
                <w:szCs w:val="28"/>
              </w:rPr>
              <w:lastRenderedPageBreak/>
              <w:t xml:space="preserve">Strong scientific evidence and process control; certification, testing, traceability, and </w:t>
            </w:r>
            <w:r w:rsidRPr="00DF578C">
              <w:rPr>
                <w:rFonts w:ascii="Arial" w:eastAsia="Calibri" w:hAnsi="Arial" w:cs="Arial"/>
                <w:sz w:val="22"/>
                <w:szCs w:val="28"/>
              </w:rPr>
              <w:lastRenderedPageBreak/>
              <w:t>trade data remain fragmented.</w:t>
            </w:r>
          </w:p>
        </w:tc>
      </w:tr>
    </w:tbl>
    <w:p w14:paraId="2D7E658B" w14:textId="77777777" w:rsidR="00DF578C" w:rsidRPr="00DF578C" w:rsidRDefault="00DF578C" w:rsidP="00DF578C">
      <w:pPr>
        <w:pStyle w:val="Body"/>
        <w:spacing w:after="60" w:line="276" w:lineRule="auto"/>
        <w:rPr>
          <w:rFonts w:ascii="Arial" w:eastAsia="Calibri" w:hAnsi="Arial" w:cs="Arial"/>
          <w:sz w:val="22"/>
          <w:szCs w:val="28"/>
        </w:rPr>
      </w:pPr>
      <w:r w:rsidRPr="00DF578C">
        <w:rPr>
          <w:rFonts w:ascii="Arial" w:eastAsia="Calibri" w:hAnsi="Arial" w:cs="Arial"/>
          <w:i/>
          <w:iCs/>
          <w:sz w:val="22"/>
          <w:szCs w:val="28"/>
        </w:rPr>
        <w:lastRenderedPageBreak/>
        <w:t>Source: Compiled by the author.</w:t>
      </w:r>
    </w:p>
    <w:p w14:paraId="650A512C" w14:textId="77777777" w:rsidR="00DF578C" w:rsidRPr="00DF578C" w:rsidRDefault="00DF578C" w:rsidP="00DF578C">
      <w:pPr>
        <w:pStyle w:val="Body"/>
        <w:spacing w:after="60" w:line="276" w:lineRule="auto"/>
        <w:rPr>
          <w:rFonts w:ascii="Arial" w:eastAsia="Calibri" w:hAnsi="Arial" w:cs="Arial"/>
          <w:i/>
          <w:iCs/>
          <w:sz w:val="22"/>
          <w:szCs w:val="28"/>
        </w:rPr>
      </w:pPr>
      <w:r w:rsidRPr="00DF578C">
        <w:rPr>
          <w:rFonts w:ascii="Arial" w:eastAsia="Calibri" w:hAnsi="Arial" w:cs="Arial"/>
          <w:i/>
          <w:iCs/>
          <w:sz w:val="22"/>
          <w:szCs w:val="28"/>
        </w:rPr>
        <w:t>3.1.4. Comparative assessment and research findings</w:t>
      </w:r>
    </w:p>
    <w:p w14:paraId="57D8F05B" w14:textId="77777777" w:rsidR="00DF578C" w:rsidRPr="00DF578C" w:rsidRDefault="00DF578C" w:rsidP="00DF578C">
      <w:pPr>
        <w:pStyle w:val="Body"/>
        <w:spacing w:after="60" w:line="276" w:lineRule="auto"/>
        <w:rPr>
          <w:rFonts w:ascii="Arial" w:eastAsia="Calibri" w:hAnsi="Arial" w:cs="Arial"/>
          <w:sz w:val="22"/>
          <w:szCs w:val="28"/>
        </w:rPr>
      </w:pPr>
      <w:r w:rsidRPr="00DF578C">
        <w:rPr>
          <w:rFonts w:ascii="Arial" w:eastAsia="Calibri" w:hAnsi="Arial" w:cs="Arial"/>
          <w:sz w:val="22"/>
          <w:szCs w:val="28"/>
        </w:rPr>
        <w:t>The three cases reflect distinct governance logics. Malaysia follows a “trust-market” model in which authoritative certification is connected to enterprise-development platforms. Indonesia follows a “compliance-monitoring” model in which digital platforms support the enforcement of mandatory obligations and the management of foreign certificates. Thailand follows a “science-export” model in which e-services are reinforced by testing and quality management. The governance value of an electronic certificate therefore differs across contexts: in Indonesia, it is directly tied to market-circulation requirements; in Malaysia, it also functions as a reputational asset for participation in the business ecosystem; and in Thailand, it is strengthened by scientific evidence.</w:t>
      </w:r>
    </w:p>
    <w:p w14:paraId="3889B810" w14:textId="77777777" w:rsidR="00DF578C" w:rsidRPr="00DF578C" w:rsidRDefault="00DF578C" w:rsidP="00DF578C">
      <w:pPr>
        <w:pStyle w:val="Body"/>
        <w:spacing w:after="60" w:line="276" w:lineRule="auto"/>
        <w:rPr>
          <w:rFonts w:ascii="Arial" w:eastAsia="Calibri" w:hAnsi="Arial" w:cs="Arial"/>
          <w:sz w:val="22"/>
          <w:szCs w:val="28"/>
        </w:rPr>
      </w:pPr>
      <w:r w:rsidRPr="00DF578C">
        <w:rPr>
          <w:rFonts w:ascii="Arial" w:eastAsia="Calibri" w:hAnsi="Arial" w:cs="Arial"/>
          <w:sz w:val="22"/>
          <w:szCs w:val="28"/>
        </w:rPr>
        <w:t xml:space="preserve">Three findings emerge from the study. First, institutional authority must precede technology: a database generates trust only when it clearly identifies the actors </w:t>
      </w:r>
      <w:proofErr w:type="spellStart"/>
      <w:r w:rsidRPr="00DF578C">
        <w:rPr>
          <w:rFonts w:ascii="Arial" w:eastAsia="Calibri" w:hAnsi="Arial" w:cs="Arial"/>
          <w:sz w:val="22"/>
          <w:szCs w:val="28"/>
        </w:rPr>
        <w:t>authorised</w:t>
      </w:r>
      <w:proofErr w:type="spellEnd"/>
      <w:r w:rsidRPr="00DF578C">
        <w:rPr>
          <w:rFonts w:ascii="Arial" w:eastAsia="Calibri" w:hAnsi="Arial" w:cs="Arial"/>
          <w:sz w:val="22"/>
          <w:szCs w:val="28"/>
        </w:rPr>
        <w:t xml:space="preserve"> to issue, amend, suspend, and revoke Halal status. Second, the unit of connectivity is not merely the enterprise but the linked configuration of enterprise-facility-product-certificate-ingredient-batch. Without end-to-end identifiers, data are difficult to reuse across certification, customs, logistics, and buyer systems. Third, cross-border recognition is both a legal and a technical issue. Differences in standards cannot be eliminated by a platform alone, but transaction costs can be reduced when </w:t>
      </w:r>
      <w:proofErr w:type="spellStart"/>
      <w:r w:rsidRPr="00DF578C">
        <w:rPr>
          <w:rFonts w:ascii="Arial" w:eastAsia="Calibri" w:hAnsi="Arial" w:cs="Arial"/>
          <w:sz w:val="22"/>
          <w:szCs w:val="28"/>
        </w:rPr>
        <w:t>recognised</w:t>
      </w:r>
      <w:proofErr w:type="spellEnd"/>
      <w:r w:rsidRPr="00DF578C">
        <w:rPr>
          <w:rFonts w:ascii="Arial" w:eastAsia="Calibri" w:hAnsi="Arial" w:cs="Arial"/>
          <w:sz w:val="22"/>
          <w:szCs w:val="28"/>
        </w:rPr>
        <w:t xml:space="preserve"> bodies, scope, validity period, status, and minimum data are disclosed in a structured and comparable format (Johan &amp; </w:t>
      </w:r>
      <w:proofErr w:type="spellStart"/>
      <w:r w:rsidRPr="00DF578C">
        <w:rPr>
          <w:rFonts w:ascii="Arial" w:eastAsia="Calibri" w:hAnsi="Arial" w:cs="Arial"/>
          <w:sz w:val="22"/>
          <w:szCs w:val="28"/>
        </w:rPr>
        <w:t>Schebesta</w:t>
      </w:r>
      <w:proofErr w:type="spellEnd"/>
      <w:r w:rsidRPr="00DF578C">
        <w:rPr>
          <w:rFonts w:ascii="Arial" w:eastAsia="Calibri" w:hAnsi="Arial" w:cs="Arial"/>
          <w:sz w:val="22"/>
          <w:szCs w:val="28"/>
        </w:rPr>
        <w:t>, 2022).</w:t>
      </w:r>
    </w:p>
    <w:p w14:paraId="166711F6" w14:textId="77777777" w:rsidR="00DF578C" w:rsidRPr="00DF578C" w:rsidRDefault="00DF578C" w:rsidP="00DF578C">
      <w:pPr>
        <w:pStyle w:val="Body"/>
        <w:spacing w:after="60" w:line="276" w:lineRule="auto"/>
        <w:rPr>
          <w:rFonts w:ascii="Arial" w:eastAsia="Calibri" w:hAnsi="Arial" w:cs="Arial"/>
          <w:sz w:val="22"/>
          <w:szCs w:val="28"/>
        </w:rPr>
      </w:pPr>
      <w:r w:rsidRPr="00DF578C">
        <w:rPr>
          <w:rFonts w:ascii="Arial" w:eastAsia="Calibri" w:hAnsi="Arial" w:cs="Arial"/>
          <w:sz w:val="22"/>
          <w:szCs w:val="28"/>
        </w:rPr>
        <w:t>A mature digital Halal ecosystem must ensure that data have clear provenance and accountability; certificates are verifiable; supply-chain evidence can be linked at the batch level; and data are translated into market access. Malaysia is strong in connecting certification to markets; Indonesia stands out for its national focal point and enforcement mechanism; and Thailand has advantages in scientific evidence and process control. These differences provide a basis for Vietnam to build an integrated model rather than replicate any single national case wholesale.</w:t>
      </w:r>
    </w:p>
    <w:p w14:paraId="0B28BD2C" w14:textId="77777777" w:rsidR="00DF578C" w:rsidRPr="00DF578C" w:rsidRDefault="00DF578C" w:rsidP="00DF578C">
      <w:pPr>
        <w:pStyle w:val="Body"/>
        <w:spacing w:after="60" w:line="276" w:lineRule="auto"/>
        <w:rPr>
          <w:rFonts w:ascii="Arial" w:eastAsia="Calibri" w:hAnsi="Arial" w:cs="Arial"/>
          <w:b/>
          <w:bCs/>
          <w:i/>
          <w:iCs/>
          <w:sz w:val="22"/>
          <w:szCs w:val="28"/>
        </w:rPr>
      </w:pPr>
      <w:r w:rsidRPr="00DF578C">
        <w:rPr>
          <w:rFonts w:ascii="Arial" w:eastAsia="Calibri" w:hAnsi="Arial" w:cs="Arial"/>
          <w:b/>
          <w:bCs/>
          <w:i/>
          <w:iCs/>
          <w:sz w:val="22"/>
          <w:szCs w:val="28"/>
        </w:rPr>
        <w:t>3.2. Opportunities to advance Vietnam's participation in Halal food value chains</w:t>
      </w:r>
    </w:p>
    <w:p w14:paraId="34EDFA4E" w14:textId="77777777" w:rsidR="00DF578C" w:rsidRPr="00DF578C" w:rsidRDefault="00DF578C" w:rsidP="00DF578C">
      <w:pPr>
        <w:pStyle w:val="Body"/>
        <w:spacing w:after="60" w:line="276" w:lineRule="auto"/>
        <w:rPr>
          <w:rFonts w:ascii="Arial" w:eastAsia="Calibri" w:hAnsi="Arial" w:cs="Arial"/>
          <w:sz w:val="22"/>
          <w:szCs w:val="28"/>
        </w:rPr>
      </w:pPr>
      <w:r w:rsidRPr="00DF578C">
        <w:rPr>
          <w:rFonts w:ascii="Arial" w:eastAsia="Calibri" w:hAnsi="Arial" w:cs="Arial"/>
          <w:sz w:val="22"/>
          <w:szCs w:val="28"/>
        </w:rPr>
        <w:t xml:space="preserve">The comparative analysis above shows that digital connectivity can perform several mutually reinforcing functions in a Halal ecosystem: it can reduce information asymmetries, strengthen the verifiability of certification, improve supply-chain traceability, and connect producers with certification bodies, logistics providers, buyers, and supporting services. For Vietnam, these functions are particularly important because the main constraint is not a lack of productive capacity, but the limited ability to demonstrate continuous Halal compliance in forms that are credible, reusable, and recognized across different markets. Accordingly, the opportunities arising from digital connectivity should not be understood merely as opportunities to automate administrative procedures. More fundamentally, they concern Vietnam’s capacity to convert its existing strengths in agriculture, fisheries, food processing, and regional trade into trusted participation in Halal food value chains. The following analysis therefore focuses on four interrelated opportunities: lowering compliance and market-entry costs, transforming traceability </w:t>
      </w:r>
      <w:r w:rsidRPr="00DF578C">
        <w:rPr>
          <w:rFonts w:ascii="Arial" w:eastAsia="Calibri" w:hAnsi="Arial" w:cs="Arial"/>
          <w:sz w:val="22"/>
          <w:szCs w:val="28"/>
        </w:rPr>
        <w:lastRenderedPageBreak/>
        <w:t>into a source of competitive trust, facilitating participation in higher-value activities, and diversifying market and supply-chain linkages.</w:t>
      </w:r>
    </w:p>
    <w:p w14:paraId="28A85A74" w14:textId="77777777" w:rsidR="00DF578C" w:rsidRPr="00DF578C" w:rsidRDefault="00DF578C" w:rsidP="00DF578C">
      <w:pPr>
        <w:pStyle w:val="Body"/>
        <w:spacing w:after="60" w:line="276" w:lineRule="auto"/>
        <w:rPr>
          <w:rFonts w:ascii="Arial" w:eastAsia="Calibri" w:hAnsi="Arial" w:cs="Arial"/>
          <w:sz w:val="22"/>
          <w:szCs w:val="28"/>
        </w:rPr>
      </w:pPr>
      <w:r w:rsidRPr="00DF578C">
        <w:rPr>
          <w:rFonts w:ascii="Arial" w:eastAsia="Calibri" w:hAnsi="Arial" w:cs="Arial"/>
          <w:sz w:val="22"/>
          <w:szCs w:val="28"/>
        </w:rPr>
        <w:t>First, digital connectivity can reduce information and compliance costs. A data portal that classifies requirements by market could provide enterprises with early information on applicable standards, recognized certification bodies, timelines, and required documentation. This is particularly important for small and medium-sized enterprises, which often lack dedicated Halal departments.</w:t>
      </w:r>
    </w:p>
    <w:p w14:paraId="5DA2DEFE" w14:textId="77777777" w:rsidR="00DF578C" w:rsidRPr="00DF578C" w:rsidRDefault="00DF578C" w:rsidP="00DF578C">
      <w:pPr>
        <w:pStyle w:val="Body"/>
        <w:spacing w:after="60" w:line="276" w:lineRule="auto"/>
        <w:rPr>
          <w:rFonts w:ascii="Arial" w:eastAsia="Calibri" w:hAnsi="Arial" w:cs="Arial"/>
          <w:sz w:val="22"/>
          <w:szCs w:val="28"/>
        </w:rPr>
      </w:pPr>
      <w:r w:rsidRPr="00DF578C">
        <w:rPr>
          <w:rFonts w:ascii="Arial" w:eastAsia="Calibri" w:hAnsi="Arial" w:cs="Arial"/>
          <w:sz w:val="22"/>
          <w:szCs w:val="28"/>
        </w:rPr>
        <w:t>Second, traceability can transform Vietnam's agricultural and food advantages into trust-based advantages. In seafood, coffee, rice, cashew nuts, fruit, spices, and processed foods, enterprises must demonstrate ingredient origins, additives, sanitation controls, logistics segregation, and continuity of control. A “digital Halal passport” linked to a batch code could integrate certificates, supplier information, test results, control points, and transport history. Such a tool would not replace certification but could enable certifiers and buyers to verify information more efficiently.</w:t>
      </w:r>
    </w:p>
    <w:p w14:paraId="4C51A1B8" w14:textId="77777777" w:rsidR="00DF578C" w:rsidRPr="00DF578C" w:rsidRDefault="00DF578C" w:rsidP="00DF578C">
      <w:pPr>
        <w:pStyle w:val="Body"/>
        <w:spacing w:after="60" w:line="276" w:lineRule="auto"/>
        <w:rPr>
          <w:rFonts w:ascii="Arial" w:eastAsia="Calibri" w:hAnsi="Arial" w:cs="Arial"/>
          <w:sz w:val="22"/>
          <w:szCs w:val="28"/>
        </w:rPr>
      </w:pPr>
      <w:r w:rsidRPr="00DF578C">
        <w:rPr>
          <w:rFonts w:ascii="Arial" w:eastAsia="Calibri" w:hAnsi="Arial" w:cs="Arial"/>
          <w:sz w:val="22"/>
          <w:szCs w:val="28"/>
        </w:rPr>
        <w:t>Third, digital platforms create opportunities to participate in higher-value-added stages. Enterprises can identify partners for joint product development, Halal contract manufacturing, private-label packaging, omnichannel distribution, or supply to hotels, restaurants, and airlines. Connectivity with HIP, BPJPH databases, and CICOT’s product portal can increase visibility, verify counterparties, and foster long-term relationships instead of one-off raw-material transactions.</w:t>
      </w:r>
    </w:p>
    <w:p w14:paraId="72B5FBD0" w14:textId="77777777" w:rsidR="00DF578C" w:rsidRPr="00DF578C" w:rsidRDefault="00DF578C" w:rsidP="00DF578C">
      <w:pPr>
        <w:pStyle w:val="Body"/>
        <w:spacing w:after="60" w:line="276" w:lineRule="auto"/>
        <w:rPr>
          <w:rFonts w:ascii="Arial" w:eastAsia="Calibri" w:hAnsi="Arial" w:cs="Arial"/>
          <w:sz w:val="22"/>
          <w:szCs w:val="28"/>
        </w:rPr>
      </w:pPr>
      <w:r w:rsidRPr="00DF578C">
        <w:rPr>
          <w:rFonts w:ascii="Arial" w:eastAsia="Calibri" w:hAnsi="Arial" w:cs="Arial"/>
          <w:sz w:val="22"/>
          <w:szCs w:val="28"/>
        </w:rPr>
        <w:t>Fourth, digital connectivity supports market and supply-chain diversification. Malaysia, Indonesia, and Thailand are simultaneously markets and regional hubs for production, distribution, and re-export within ASEAN. Vietnamese enterprises can sell directly, supply ingredients to processors, enter contract-manufacturing arrangements, or use partners’ logistics networks. This direction is consistent with the ASEAN Digital Masterplan 2030, which emphasizes connectivity, interoperability, and a trusted digital environment (ASEAN, 2026).</w:t>
      </w:r>
    </w:p>
    <w:p w14:paraId="4A8A50F3" w14:textId="77777777" w:rsidR="00DF578C" w:rsidRPr="00DF578C" w:rsidRDefault="00DF578C" w:rsidP="00DF578C">
      <w:pPr>
        <w:pStyle w:val="Body"/>
        <w:spacing w:after="60" w:line="276" w:lineRule="auto"/>
        <w:rPr>
          <w:rFonts w:ascii="Arial" w:eastAsia="Calibri" w:hAnsi="Arial" w:cs="Arial"/>
          <w:b/>
          <w:bCs/>
          <w:i/>
          <w:iCs/>
          <w:sz w:val="22"/>
          <w:szCs w:val="28"/>
        </w:rPr>
      </w:pPr>
      <w:r w:rsidRPr="00DF578C">
        <w:rPr>
          <w:rFonts w:ascii="Arial" w:eastAsia="Calibri" w:hAnsi="Arial" w:cs="Arial"/>
          <w:b/>
          <w:bCs/>
          <w:i/>
          <w:iCs/>
          <w:sz w:val="22"/>
          <w:szCs w:val="28"/>
        </w:rPr>
        <w:t>3.3. Bottlenecks and policy solutions for Vietnam</w:t>
      </w:r>
    </w:p>
    <w:p w14:paraId="375053D1" w14:textId="77777777" w:rsidR="00DF578C" w:rsidRPr="00DF578C" w:rsidRDefault="00DF578C" w:rsidP="00DF578C">
      <w:pPr>
        <w:pStyle w:val="Body"/>
        <w:spacing w:after="60" w:line="276" w:lineRule="auto"/>
        <w:rPr>
          <w:rFonts w:ascii="Arial" w:eastAsia="Calibri" w:hAnsi="Arial" w:cs="Arial"/>
          <w:sz w:val="22"/>
          <w:szCs w:val="28"/>
        </w:rPr>
      </w:pPr>
      <w:r w:rsidRPr="00DF578C">
        <w:rPr>
          <w:rFonts w:ascii="Arial" w:eastAsia="Calibri" w:hAnsi="Arial" w:cs="Arial"/>
          <w:sz w:val="22"/>
          <w:szCs w:val="28"/>
        </w:rPr>
        <w:t>Despite the opportunities outlined above, digital connectivity alone cannot ensure Vietnam’s effective participation in Halal food value chains. Its impact depends on the coherence of the institutional framework, the international recognition of certification authorities, the quality and interoperability of data, and firms’ capacity to maintain Halal compliance throughout production and distribution. At present, Vietnam’s emerging Halal ecosystem remains fragmented across regulatory bodies, certification organizations, testing laboratories, industry associations, logistics providers, and enterprises. This fragmentation may increase duplication, weaken data consistency, and limit the reuse of compliance information across certification, customs, logistics, and market-access processes. Policy intervention is therefore required not simply to introduce additional digital platforms, but to establish a coordinated governance architecture in which authority, data responsibilities, technical standards, and mechanisms for cross-border recognition are clearly defined. Against this background, the following section identifies the principal bottlenecks and proposes corresponding policy solutions.</w:t>
      </w:r>
    </w:p>
    <w:p w14:paraId="1FAC5517" w14:textId="77777777" w:rsidR="00DF578C" w:rsidRPr="00DF578C" w:rsidRDefault="00DF578C" w:rsidP="00DF578C">
      <w:pPr>
        <w:pStyle w:val="Body"/>
        <w:spacing w:after="60" w:line="276" w:lineRule="auto"/>
        <w:rPr>
          <w:rFonts w:ascii="Arial" w:eastAsia="Calibri" w:hAnsi="Arial" w:cs="Arial"/>
          <w:i/>
          <w:iCs/>
          <w:sz w:val="22"/>
          <w:szCs w:val="28"/>
        </w:rPr>
      </w:pPr>
      <w:r w:rsidRPr="00DF578C">
        <w:rPr>
          <w:rFonts w:ascii="Arial" w:eastAsia="Calibri" w:hAnsi="Arial" w:cs="Arial"/>
          <w:i/>
          <w:iCs/>
          <w:sz w:val="22"/>
          <w:szCs w:val="28"/>
        </w:rPr>
        <w:t>3.3.1. Key bottlenecks</w:t>
      </w:r>
    </w:p>
    <w:p w14:paraId="314916DE" w14:textId="77777777" w:rsidR="00DF578C" w:rsidRPr="00DF578C" w:rsidRDefault="00DF578C" w:rsidP="00DF578C">
      <w:pPr>
        <w:pStyle w:val="Body"/>
        <w:spacing w:after="60" w:line="276" w:lineRule="auto"/>
        <w:rPr>
          <w:rFonts w:ascii="Arial" w:eastAsia="Calibri" w:hAnsi="Arial" w:cs="Arial"/>
          <w:sz w:val="22"/>
          <w:szCs w:val="28"/>
        </w:rPr>
      </w:pPr>
      <w:r w:rsidRPr="00DF578C">
        <w:rPr>
          <w:rFonts w:ascii="Arial" w:eastAsia="Calibri" w:hAnsi="Arial" w:cs="Arial"/>
          <w:sz w:val="22"/>
          <w:szCs w:val="28"/>
        </w:rPr>
        <w:t xml:space="preserve">The principal constraints facing Vietnam are interconnected rather than isolated. Institutional fragmentation reduces the effectiveness of data integration; limited international recognition </w:t>
      </w:r>
      <w:r w:rsidRPr="00DF578C">
        <w:rPr>
          <w:rFonts w:ascii="Arial" w:eastAsia="Calibri" w:hAnsi="Arial" w:cs="Arial"/>
          <w:sz w:val="22"/>
          <w:szCs w:val="28"/>
        </w:rPr>
        <w:lastRenderedPageBreak/>
        <w:t>weakens the commercial value of digital certificates; uneven digital capabilities among enterprises undermine the reliability of traceability information; and concerns over data security constrain cross-border information sharing. These bottlenecks should therefore be examined as components of a broader governance problem involving institutions, technology, enterprise capacity, and international cooperation.</w:t>
      </w:r>
    </w:p>
    <w:p w14:paraId="5BFF0F60" w14:textId="77777777" w:rsidR="00DF578C" w:rsidRPr="00DF578C" w:rsidRDefault="00DF578C" w:rsidP="00DF578C">
      <w:pPr>
        <w:pStyle w:val="Body"/>
        <w:spacing w:after="60" w:line="276" w:lineRule="auto"/>
        <w:rPr>
          <w:rFonts w:ascii="Arial" w:eastAsia="Calibri" w:hAnsi="Arial" w:cs="Arial"/>
          <w:sz w:val="22"/>
          <w:szCs w:val="28"/>
        </w:rPr>
      </w:pPr>
      <w:r w:rsidRPr="00DF578C">
        <w:rPr>
          <w:rFonts w:ascii="Arial" w:eastAsia="Calibri" w:hAnsi="Arial" w:cs="Arial"/>
          <w:sz w:val="22"/>
          <w:szCs w:val="28"/>
        </w:rPr>
        <w:t>The first bottleneck is institutional and data fragmentation. Vietnam has national standards and HALCERT, but the ecosystem also includes multiple certification bodies, sectoral agencies, associations, laboratories, and databases. In the absence of a shared architecture, additional "information islands" may emerge and enterprises may continue to submit the same information repeatedly.</w:t>
      </w:r>
    </w:p>
    <w:p w14:paraId="62FDAFB6" w14:textId="77777777" w:rsidR="00DF578C" w:rsidRPr="00DF578C" w:rsidRDefault="00DF578C" w:rsidP="00DF578C">
      <w:pPr>
        <w:pStyle w:val="Body"/>
        <w:spacing w:after="60" w:line="276" w:lineRule="auto"/>
        <w:rPr>
          <w:rFonts w:ascii="Arial" w:eastAsia="Calibri" w:hAnsi="Arial" w:cs="Arial"/>
          <w:sz w:val="22"/>
          <w:szCs w:val="28"/>
        </w:rPr>
      </w:pPr>
      <w:r w:rsidRPr="00DF578C">
        <w:rPr>
          <w:rFonts w:ascii="Arial" w:eastAsia="Calibri" w:hAnsi="Arial" w:cs="Arial"/>
          <w:sz w:val="22"/>
          <w:szCs w:val="28"/>
        </w:rPr>
        <w:t>The second bottleneck is international recognition. An electronic certificate facilitates trade only when the importing country recognizes the authority of the issuing body and can verify its validity. Technical connectivity must therefore be accompanied by standards diplomacy, recognition arrangements, and mechanisms for updating lists of certification bodies, particularly in relation to Indonesia.</w:t>
      </w:r>
    </w:p>
    <w:p w14:paraId="394AD127" w14:textId="77777777" w:rsidR="00DF578C" w:rsidRPr="00DF578C" w:rsidRDefault="00DF578C" w:rsidP="00DF578C">
      <w:pPr>
        <w:pStyle w:val="Body"/>
        <w:spacing w:after="60" w:line="276" w:lineRule="auto"/>
        <w:rPr>
          <w:rFonts w:ascii="Arial" w:eastAsia="Calibri" w:hAnsi="Arial" w:cs="Arial"/>
          <w:sz w:val="22"/>
          <w:szCs w:val="28"/>
        </w:rPr>
      </w:pPr>
      <w:r w:rsidRPr="00DF578C">
        <w:rPr>
          <w:rFonts w:ascii="Arial" w:eastAsia="Calibri" w:hAnsi="Arial" w:cs="Arial"/>
          <w:sz w:val="22"/>
          <w:szCs w:val="28"/>
        </w:rPr>
        <w:t>The third bottleneck concerns enterprises’ data capabilities and costs. Many small and medium-sized enterprises have not fully digitized information on ingredients, suppliers, processes, sanitation, logistics, and batch codes; meanwhile, investment in software, identification systems, consultancy, and security is sustainable only when linked to purchase orders and shared services. Incorrect input data can compromise the value of an entire Halal batch.</w:t>
      </w:r>
    </w:p>
    <w:p w14:paraId="06469E90" w14:textId="77777777" w:rsidR="00DF578C" w:rsidRPr="00DF578C" w:rsidRDefault="00DF578C" w:rsidP="00DF578C">
      <w:pPr>
        <w:pStyle w:val="Body"/>
        <w:spacing w:after="60" w:line="276" w:lineRule="auto"/>
        <w:rPr>
          <w:rFonts w:ascii="Arial" w:eastAsia="Calibri" w:hAnsi="Arial" w:cs="Arial"/>
          <w:sz w:val="22"/>
          <w:szCs w:val="28"/>
        </w:rPr>
      </w:pPr>
      <w:r w:rsidRPr="00DF578C">
        <w:rPr>
          <w:rFonts w:ascii="Arial" w:eastAsia="Calibri" w:hAnsi="Arial" w:cs="Arial"/>
          <w:sz w:val="22"/>
          <w:szCs w:val="28"/>
        </w:rPr>
        <w:t>The fourth bottleneck is cross-border data governance. Halal dossiers may contain trade secrets, formulas, supplier information, test results, and commercial data. Data-sharing arrangements must provide access controls, protection of business secrets, cybersecurity, retention rules, and accountability for inaccuracies. Digital connectivity should be based on "controlled trust", not the unrestricted disclosure of all data.</w:t>
      </w:r>
    </w:p>
    <w:p w14:paraId="5E3DA22C" w14:textId="77777777" w:rsidR="00DF578C" w:rsidRPr="00DF578C" w:rsidRDefault="00DF578C" w:rsidP="00DF578C">
      <w:pPr>
        <w:pStyle w:val="Body"/>
        <w:spacing w:after="60" w:line="276" w:lineRule="auto"/>
        <w:rPr>
          <w:rFonts w:ascii="Arial" w:eastAsia="Calibri" w:hAnsi="Arial" w:cs="Arial"/>
          <w:i/>
          <w:iCs/>
          <w:sz w:val="22"/>
          <w:szCs w:val="28"/>
        </w:rPr>
      </w:pPr>
      <w:r w:rsidRPr="00DF578C">
        <w:rPr>
          <w:rFonts w:ascii="Arial" w:eastAsia="Calibri" w:hAnsi="Arial" w:cs="Arial"/>
          <w:i/>
          <w:iCs/>
          <w:sz w:val="22"/>
          <w:szCs w:val="28"/>
        </w:rPr>
        <w:t>3.3.2. Policy solutions</w:t>
      </w:r>
    </w:p>
    <w:p w14:paraId="7D836419" w14:textId="77777777" w:rsidR="00DF578C" w:rsidRPr="00DF578C" w:rsidRDefault="00DF578C" w:rsidP="00DF578C">
      <w:pPr>
        <w:pStyle w:val="Body"/>
        <w:spacing w:after="60" w:line="276" w:lineRule="auto"/>
        <w:rPr>
          <w:rFonts w:ascii="Arial" w:eastAsia="Calibri" w:hAnsi="Arial" w:cs="Arial"/>
          <w:sz w:val="22"/>
          <w:szCs w:val="28"/>
        </w:rPr>
      </w:pPr>
      <w:r w:rsidRPr="00DF578C">
        <w:rPr>
          <w:rFonts w:ascii="Arial" w:eastAsia="Calibri" w:hAnsi="Arial" w:cs="Arial"/>
          <w:sz w:val="22"/>
          <w:szCs w:val="28"/>
        </w:rPr>
        <w:t xml:space="preserve">Addressing these bottlenecks requires a coordinated approach combining institutional reform, digital infrastructure, international cooperation, and enterprise support. Vietnam should </w:t>
      </w:r>
      <w:proofErr w:type="spellStart"/>
      <w:r w:rsidRPr="00DF578C">
        <w:rPr>
          <w:rFonts w:ascii="Arial" w:eastAsia="Calibri" w:hAnsi="Arial" w:cs="Arial"/>
          <w:sz w:val="22"/>
          <w:szCs w:val="28"/>
        </w:rPr>
        <w:t>prioritise</w:t>
      </w:r>
      <w:proofErr w:type="spellEnd"/>
      <w:r w:rsidRPr="00DF578C">
        <w:rPr>
          <w:rFonts w:ascii="Arial" w:eastAsia="Calibri" w:hAnsi="Arial" w:cs="Arial"/>
          <w:sz w:val="22"/>
          <w:szCs w:val="28"/>
        </w:rPr>
        <w:t xml:space="preserve"> an interoperable Halal data architecture, pilot digital Halal passports in selected food chains, promote certification recognition with key markets, support SMEs through shared services, and implement these measures in phases with clear performance indicators and data-governance safeguards.</w:t>
      </w:r>
    </w:p>
    <w:p w14:paraId="34A4056C" w14:textId="77777777" w:rsidR="00DF578C" w:rsidRPr="00DF578C" w:rsidRDefault="00DF578C" w:rsidP="00DF578C">
      <w:pPr>
        <w:pStyle w:val="Body"/>
        <w:spacing w:after="60" w:line="276" w:lineRule="auto"/>
        <w:rPr>
          <w:rFonts w:ascii="Arial" w:eastAsia="Calibri" w:hAnsi="Arial" w:cs="Arial"/>
          <w:sz w:val="22"/>
          <w:szCs w:val="28"/>
        </w:rPr>
      </w:pPr>
      <w:r w:rsidRPr="00DF578C">
        <w:rPr>
          <w:rFonts w:ascii="Arial" w:eastAsia="Calibri" w:hAnsi="Arial" w:cs="Arial"/>
          <w:sz w:val="22"/>
          <w:szCs w:val="28"/>
        </w:rPr>
        <w:t>First, Vietnam should develop a national Halal data architecture based on interoperability rather than necessarily full centralization. HALCERT could serve as the focal point for certification and standards data; ministries and sectoral agencies could manage specialized data; enterprises would retain ownership of operational data; and an integration layer would use application programming interfaces and unified identifiers. The minimum dataset should cover certification bodies and their recognized scope; enterprises, facilities, and products; certificate status and history; applicable standards; batch traceability; alerts; and recalls.</w:t>
      </w:r>
    </w:p>
    <w:p w14:paraId="1370E145" w14:textId="77777777" w:rsidR="00DF578C" w:rsidRPr="00DF578C" w:rsidRDefault="00DF578C" w:rsidP="00DF578C">
      <w:pPr>
        <w:pStyle w:val="Body"/>
        <w:spacing w:after="60" w:line="276" w:lineRule="auto"/>
        <w:rPr>
          <w:rFonts w:ascii="Arial" w:eastAsia="Calibri" w:hAnsi="Arial" w:cs="Arial"/>
          <w:sz w:val="22"/>
          <w:szCs w:val="28"/>
        </w:rPr>
      </w:pPr>
      <w:r w:rsidRPr="00DF578C">
        <w:rPr>
          <w:rFonts w:ascii="Arial" w:eastAsia="Calibri" w:hAnsi="Arial" w:cs="Arial"/>
          <w:sz w:val="22"/>
          <w:szCs w:val="28"/>
        </w:rPr>
        <w:t xml:space="preserve">Second, Vietnam should pilot a "digital Halal passport" for value chains with lead firms, established quality-management systems, and clearly identified target markets, such as processed seafood, coffee, cashew nuts, rice, and fruit products. The passport should </w:t>
      </w:r>
      <w:proofErr w:type="spellStart"/>
      <w:r w:rsidRPr="00DF578C">
        <w:rPr>
          <w:rFonts w:ascii="Arial" w:eastAsia="Calibri" w:hAnsi="Arial" w:cs="Arial"/>
          <w:sz w:val="22"/>
          <w:szCs w:val="28"/>
        </w:rPr>
        <w:t>prioritise</w:t>
      </w:r>
      <w:proofErr w:type="spellEnd"/>
      <w:r w:rsidRPr="00DF578C">
        <w:rPr>
          <w:rFonts w:ascii="Arial" w:eastAsia="Calibri" w:hAnsi="Arial" w:cs="Arial"/>
          <w:sz w:val="22"/>
          <w:szCs w:val="28"/>
        </w:rPr>
        <w:t xml:space="preserve"> </w:t>
      </w:r>
      <w:r w:rsidRPr="00DF578C">
        <w:rPr>
          <w:rFonts w:ascii="Arial" w:eastAsia="Calibri" w:hAnsi="Arial" w:cs="Arial"/>
          <w:sz w:val="22"/>
          <w:szCs w:val="28"/>
        </w:rPr>
        <w:lastRenderedPageBreak/>
        <w:t>open data structures and verifiability, without assuming blockchain as the default. Blockchain is appropriate only where multiple independent actors record data and the benefits of tamper resistance justify the cost.</w:t>
      </w:r>
    </w:p>
    <w:p w14:paraId="6C7ED028" w14:textId="77777777" w:rsidR="00DF578C" w:rsidRPr="00DF578C" w:rsidRDefault="00DF578C" w:rsidP="00DF578C">
      <w:pPr>
        <w:pStyle w:val="Body"/>
        <w:spacing w:after="60" w:line="276" w:lineRule="auto"/>
        <w:rPr>
          <w:rFonts w:ascii="Arial" w:eastAsia="Calibri" w:hAnsi="Arial" w:cs="Arial"/>
          <w:sz w:val="22"/>
          <w:szCs w:val="28"/>
        </w:rPr>
      </w:pPr>
      <w:r w:rsidRPr="00DF578C">
        <w:rPr>
          <w:rFonts w:ascii="Arial" w:eastAsia="Calibri" w:hAnsi="Arial" w:cs="Arial"/>
          <w:sz w:val="22"/>
          <w:szCs w:val="28"/>
        </w:rPr>
        <w:t>Third, Vietnam should promote certification interoperability and "Halal data diplomacy". Cooperation should progress from memoranda of understanding to standard-equivalence mapping, online verification, minimum datasets, status updates, and incident-management procedures. With Malaysia, priority should be given to market connectivity through HDC/HIP; with Indonesia, to recognition of certification bodies and compatibility with BPJPH documentation; and with Thailand, to testing, HAL-Q, training, and product data.</w:t>
      </w:r>
    </w:p>
    <w:p w14:paraId="5804824B" w14:textId="77777777" w:rsidR="00DF578C" w:rsidRPr="00DF578C" w:rsidRDefault="00DF578C" w:rsidP="00DF578C">
      <w:pPr>
        <w:pStyle w:val="Body"/>
        <w:spacing w:after="60" w:line="276" w:lineRule="auto"/>
        <w:rPr>
          <w:rFonts w:ascii="Arial" w:eastAsia="Calibri" w:hAnsi="Arial" w:cs="Arial"/>
          <w:sz w:val="22"/>
          <w:szCs w:val="28"/>
        </w:rPr>
      </w:pPr>
      <w:r w:rsidRPr="00DF578C">
        <w:rPr>
          <w:rFonts w:ascii="Arial" w:eastAsia="Calibri" w:hAnsi="Arial" w:cs="Arial"/>
          <w:sz w:val="22"/>
          <w:szCs w:val="28"/>
        </w:rPr>
        <w:t>Fourth, shared services should be established for small and medium-sized enterprises, including dossier digitization, standards-gap assessments, ingredient management, batch traceability, training, and certification-to-market connectivity. Public support should be linked to outputs such as compliant dossiers, certification, verified buyers, or purchase orders, rather than dispersed subsidies for equipment. Associations and lead firms should participate to ensure that services remain grounded in actual value-chain requirements.</w:t>
      </w:r>
    </w:p>
    <w:p w14:paraId="40076983" w14:textId="77777777" w:rsidR="00DF578C" w:rsidRPr="00DF578C" w:rsidRDefault="00DF578C" w:rsidP="00DF578C">
      <w:pPr>
        <w:pStyle w:val="Body"/>
        <w:spacing w:after="60" w:line="276" w:lineRule="auto"/>
        <w:rPr>
          <w:rFonts w:ascii="Arial" w:eastAsia="Calibri" w:hAnsi="Arial" w:cs="Arial"/>
          <w:sz w:val="22"/>
          <w:szCs w:val="28"/>
        </w:rPr>
      </w:pPr>
      <w:r w:rsidRPr="00DF578C">
        <w:rPr>
          <w:rFonts w:ascii="Arial" w:eastAsia="Calibri" w:hAnsi="Arial" w:cs="Arial"/>
          <w:sz w:val="22"/>
          <w:szCs w:val="28"/>
        </w:rPr>
        <w:t>Fifth, the system should be implemented through a phased roadmap with risk governance. During 2026-2027, priorities should include data standardization, actor registries, pilots for digital dossiers, and cooperation with key Halal authorities; during 2028-2030, the digital passport should be scaled up, customs, logistics, and trade-promotion functions integrated, and cross-border data exchange piloted. Performance indicators should cover time, cost, data reuse, the number of verified certificates, new contracts, and detected discrepancies; procedures should also be established for correction, data withdrawal, and incident response.</w:t>
      </w:r>
    </w:p>
    <w:p w14:paraId="7767A080" w14:textId="77777777" w:rsidR="00DF578C" w:rsidRPr="00DF578C" w:rsidRDefault="00DF578C" w:rsidP="00DF578C">
      <w:pPr>
        <w:pStyle w:val="Body"/>
        <w:spacing w:after="60" w:line="276" w:lineRule="auto"/>
        <w:rPr>
          <w:rFonts w:ascii="Arial" w:eastAsia="Calibri" w:hAnsi="Arial" w:cs="Arial"/>
          <w:b/>
          <w:bCs/>
          <w:sz w:val="22"/>
          <w:szCs w:val="28"/>
        </w:rPr>
      </w:pPr>
      <w:r w:rsidRPr="00DF578C">
        <w:rPr>
          <w:rFonts w:ascii="Arial" w:eastAsia="Calibri" w:hAnsi="Arial" w:cs="Arial"/>
          <w:b/>
          <w:bCs/>
          <w:sz w:val="22"/>
          <w:szCs w:val="28"/>
        </w:rPr>
        <w:t>4. CONCLUSION</w:t>
      </w:r>
    </w:p>
    <w:p w14:paraId="5D854D81" w14:textId="77777777" w:rsidR="00DF578C" w:rsidRPr="00DF578C" w:rsidRDefault="00DF578C" w:rsidP="00DF578C">
      <w:pPr>
        <w:pStyle w:val="Body"/>
        <w:spacing w:after="60" w:line="276" w:lineRule="auto"/>
        <w:rPr>
          <w:rFonts w:ascii="Arial" w:eastAsia="Calibri" w:hAnsi="Arial" w:cs="Arial"/>
          <w:sz w:val="22"/>
          <w:szCs w:val="28"/>
        </w:rPr>
      </w:pPr>
      <w:r w:rsidRPr="00DF578C">
        <w:rPr>
          <w:rFonts w:ascii="Arial" w:eastAsia="Calibri" w:hAnsi="Arial" w:cs="Arial"/>
          <w:sz w:val="22"/>
          <w:szCs w:val="28"/>
        </w:rPr>
        <w:t xml:space="preserve">Digital connectivity is an essential component of the Halal ecosystem because it organizes the flow of evidence relating to integrity across the value chain. Malaysia links </w:t>
      </w:r>
      <w:proofErr w:type="spellStart"/>
      <w:r w:rsidRPr="00DF578C">
        <w:rPr>
          <w:rFonts w:ascii="Arial" w:eastAsia="Calibri" w:hAnsi="Arial" w:cs="Arial"/>
          <w:sz w:val="22"/>
          <w:szCs w:val="28"/>
        </w:rPr>
        <w:t>MYeHALAL</w:t>
      </w:r>
      <w:proofErr w:type="spellEnd"/>
      <w:r w:rsidRPr="00DF578C">
        <w:rPr>
          <w:rFonts w:ascii="Arial" w:eastAsia="Calibri" w:hAnsi="Arial" w:cs="Arial"/>
          <w:sz w:val="22"/>
          <w:szCs w:val="28"/>
        </w:rPr>
        <w:t xml:space="preserve"> with an ecosystem-development platform; Indonesia uses data to enforce a mandatory Halal regime; and Thailand integrates religious authority, science, and the food industry. Although the models differ, all are moving towards electronic certification, public verification, supply-chain dossiers, and market connectivity.</w:t>
      </w:r>
    </w:p>
    <w:p w14:paraId="5DFB2335" w14:textId="77777777" w:rsidR="00DF578C" w:rsidRDefault="00DF578C" w:rsidP="00DF578C">
      <w:pPr>
        <w:pStyle w:val="Body"/>
        <w:spacing w:after="60" w:line="276" w:lineRule="auto"/>
        <w:rPr>
          <w:rFonts w:ascii="Arial" w:eastAsia="Calibri" w:hAnsi="Arial" w:cs="Arial"/>
          <w:sz w:val="22"/>
          <w:szCs w:val="28"/>
        </w:rPr>
      </w:pPr>
      <w:r w:rsidRPr="00DF578C">
        <w:rPr>
          <w:rFonts w:ascii="Arial" w:eastAsia="Calibri" w:hAnsi="Arial" w:cs="Arial"/>
          <w:sz w:val="22"/>
          <w:szCs w:val="28"/>
        </w:rPr>
        <w:t>For Vietnam, the priority is not to replicate a particular platform but to build an architecture suited to its institutional context and enterprise capabilities. The four connectivity layers - institutions and certification; traceability data; markets; and knowledge and support services - must be developed in a coordinated manner. In the near term, Vietnam needs to standardize data, strengthen international recognition, pilot digital passports in selected product sectors, and help enterprises move from merely "having certification" to maintaining and demonstrably proving Halal integrity. This approach can reduce compliance costs, enhance credibility, and strengthen Vietnam's position in regional Halal food value chains.</w:t>
      </w:r>
    </w:p>
    <w:p w14:paraId="4794722E" w14:textId="77777777" w:rsidR="003D0046" w:rsidRPr="00DF578C" w:rsidRDefault="003D0046" w:rsidP="003D0046">
      <w:pPr>
        <w:pStyle w:val="Body"/>
        <w:spacing w:after="60" w:line="276" w:lineRule="auto"/>
        <w:rPr>
          <w:rFonts w:ascii="Arial" w:eastAsia="Calibri" w:hAnsi="Arial" w:cs="Arial"/>
          <w:b/>
          <w:bCs/>
          <w:sz w:val="22"/>
          <w:szCs w:val="28"/>
        </w:rPr>
      </w:pPr>
      <w:r w:rsidRPr="00DF578C">
        <w:rPr>
          <w:rFonts w:ascii="Arial" w:eastAsia="Calibri" w:hAnsi="Arial" w:cs="Arial"/>
          <w:b/>
          <w:bCs/>
          <w:sz w:val="22"/>
          <w:szCs w:val="28"/>
        </w:rPr>
        <w:t>COMPETING INTERESTS</w:t>
      </w:r>
    </w:p>
    <w:p w14:paraId="24ED37EA" w14:textId="77777777" w:rsidR="003D0046" w:rsidRPr="00DF578C" w:rsidRDefault="003D0046" w:rsidP="003D0046">
      <w:pPr>
        <w:pStyle w:val="Body"/>
        <w:spacing w:after="60" w:line="276" w:lineRule="auto"/>
        <w:rPr>
          <w:rFonts w:ascii="Arial" w:eastAsia="Calibri" w:hAnsi="Arial" w:cs="Arial"/>
          <w:sz w:val="22"/>
          <w:szCs w:val="28"/>
        </w:rPr>
      </w:pPr>
      <w:r w:rsidRPr="00DF578C">
        <w:rPr>
          <w:rFonts w:ascii="Arial" w:eastAsia="Calibri" w:hAnsi="Arial" w:cs="Arial"/>
          <w:sz w:val="22"/>
          <w:szCs w:val="28"/>
        </w:rPr>
        <w:t>The author has declared that no competing interests exist.</w:t>
      </w:r>
    </w:p>
    <w:p w14:paraId="02D067ED" w14:textId="77777777" w:rsidR="003D0046" w:rsidRPr="00DF578C" w:rsidRDefault="003D0046" w:rsidP="003D0046">
      <w:pPr>
        <w:pStyle w:val="Body"/>
        <w:spacing w:after="60" w:line="276" w:lineRule="auto"/>
        <w:rPr>
          <w:rFonts w:ascii="Arial" w:eastAsia="Calibri" w:hAnsi="Arial" w:cs="Arial"/>
          <w:b/>
          <w:bCs/>
          <w:sz w:val="22"/>
          <w:szCs w:val="28"/>
        </w:rPr>
      </w:pPr>
      <w:r w:rsidRPr="00DF578C">
        <w:rPr>
          <w:rFonts w:ascii="Arial" w:eastAsia="Calibri" w:hAnsi="Arial" w:cs="Arial"/>
          <w:b/>
          <w:bCs/>
          <w:sz w:val="22"/>
          <w:szCs w:val="28"/>
        </w:rPr>
        <w:t>CONSENT</w:t>
      </w:r>
    </w:p>
    <w:p w14:paraId="102F9B75" w14:textId="77777777" w:rsidR="003D0046" w:rsidRPr="00DF578C" w:rsidRDefault="003D0046" w:rsidP="003D0046">
      <w:pPr>
        <w:pStyle w:val="Body"/>
        <w:spacing w:after="60" w:line="276" w:lineRule="auto"/>
        <w:rPr>
          <w:rFonts w:ascii="Arial" w:eastAsia="Calibri" w:hAnsi="Arial" w:cs="Arial"/>
          <w:sz w:val="22"/>
          <w:szCs w:val="28"/>
        </w:rPr>
      </w:pPr>
      <w:r w:rsidRPr="00DF578C">
        <w:rPr>
          <w:rFonts w:ascii="Arial" w:eastAsia="Calibri" w:hAnsi="Arial" w:cs="Arial"/>
          <w:sz w:val="22"/>
          <w:szCs w:val="28"/>
        </w:rPr>
        <w:t>Not applicable.</w:t>
      </w:r>
    </w:p>
    <w:p w14:paraId="0D6B9F5E" w14:textId="77777777" w:rsidR="003D0046" w:rsidRPr="00DF578C" w:rsidRDefault="003D0046" w:rsidP="003D0046">
      <w:pPr>
        <w:pStyle w:val="Body"/>
        <w:spacing w:after="60" w:line="276" w:lineRule="auto"/>
        <w:rPr>
          <w:rFonts w:ascii="Arial" w:eastAsia="Calibri" w:hAnsi="Arial" w:cs="Arial"/>
          <w:b/>
          <w:bCs/>
          <w:sz w:val="22"/>
          <w:szCs w:val="28"/>
        </w:rPr>
      </w:pPr>
      <w:r w:rsidRPr="00DF578C">
        <w:rPr>
          <w:rFonts w:ascii="Arial" w:eastAsia="Calibri" w:hAnsi="Arial" w:cs="Arial"/>
          <w:b/>
          <w:bCs/>
          <w:sz w:val="22"/>
          <w:szCs w:val="28"/>
        </w:rPr>
        <w:t>ETHICAL APPROVAL</w:t>
      </w:r>
    </w:p>
    <w:p w14:paraId="74CD84AE" w14:textId="77777777" w:rsidR="003D0046" w:rsidRPr="00DF578C" w:rsidRDefault="003D0046" w:rsidP="003D0046">
      <w:pPr>
        <w:pStyle w:val="Body"/>
        <w:spacing w:after="60" w:line="276" w:lineRule="auto"/>
        <w:rPr>
          <w:rFonts w:ascii="Arial" w:eastAsia="Calibri" w:hAnsi="Arial" w:cs="Arial"/>
          <w:sz w:val="22"/>
          <w:szCs w:val="28"/>
        </w:rPr>
      </w:pPr>
      <w:r w:rsidRPr="00DF578C">
        <w:rPr>
          <w:rFonts w:ascii="Arial" w:eastAsia="Calibri" w:hAnsi="Arial" w:cs="Arial"/>
          <w:sz w:val="22"/>
          <w:szCs w:val="28"/>
        </w:rPr>
        <w:lastRenderedPageBreak/>
        <w:t>Not applicable. The study is based exclusively on publicly available documentary sources and did not involve human participants or animals.</w:t>
      </w:r>
    </w:p>
    <w:p w14:paraId="0B67F582" w14:textId="77777777" w:rsidR="003D0046" w:rsidRDefault="003D0046" w:rsidP="003D0046">
      <w:pPr>
        <w:pStyle w:val="Body"/>
        <w:spacing w:after="60" w:line="276" w:lineRule="auto"/>
        <w:rPr>
          <w:rFonts w:ascii="Arial" w:eastAsia="Calibri" w:hAnsi="Arial" w:cs="Arial"/>
          <w:b/>
          <w:sz w:val="22"/>
          <w:szCs w:val="28"/>
        </w:rPr>
      </w:pPr>
    </w:p>
    <w:p w14:paraId="2E423E17" w14:textId="77777777" w:rsidR="003D0046" w:rsidRDefault="003D0046" w:rsidP="003D0046">
      <w:pPr>
        <w:pStyle w:val="Body"/>
        <w:spacing w:after="60" w:line="276" w:lineRule="auto"/>
        <w:rPr>
          <w:rFonts w:ascii="Arial" w:eastAsia="Calibri" w:hAnsi="Arial" w:cs="Arial"/>
          <w:b/>
          <w:sz w:val="22"/>
          <w:szCs w:val="28"/>
        </w:rPr>
      </w:pPr>
    </w:p>
    <w:p w14:paraId="7F200E7A" w14:textId="77777777" w:rsidR="003D0046" w:rsidRPr="000839CE" w:rsidRDefault="003D0046" w:rsidP="003D0046">
      <w:pPr>
        <w:rPr>
          <w:rFonts w:ascii="Times New Roman" w:hAnsi="Times New Roman" w:cs="Times New Roman"/>
          <w:b/>
        </w:rPr>
      </w:pPr>
      <w:r w:rsidRPr="000839CE">
        <w:rPr>
          <w:rFonts w:ascii="Times New Roman" w:hAnsi="Times New Roman" w:cs="Times New Roman"/>
          <w:b/>
        </w:rPr>
        <w:t>Declaration of AI Use</w:t>
      </w:r>
    </w:p>
    <w:p w14:paraId="0BD85469" w14:textId="77777777" w:rsidR="003D0046" w:rsidRPr="000839CE" w:rsidRDefault="003D0046" w:rsidP="003D0046">
      <w:pPr>
        <w:rPr>
          <w:rFonts w:ascii="Times New Roman" w:hAnsi="Times New Roman" w:cs="Times New Roman"/>
        </w:rPr>
      </w:pPr>
    </w:p>
    <w:p w14:paraId="052AFDD0" w14:textId="77777777" w:rsidR="003D0046" w:rsidRPr="000839CE" w:rsidRDefault="003D0046" w:rsidP="003D0046">
      <w:pPr>
        <w:jc w:val="both"/>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3E54C53B" w14:textId="77777777" w:rsidR="003D0046" w:rsidRDefault="003D0046" w:rsidP="003D0046">
      <w:pPr>
        <w:pStyle w:val="Body"/>
        <w:spacing w:after="60" w:line="276" w:lineRule="auto"/>
        <w:rPr>
          <w:rFonts w:ascii="Arial" w:eastAsia="Calibri" w:hAnsi="Arial" w:cs="Arial"/>
          <w:b/>
          <w:sz w:val="22"/>
          <w:szCs w:val="28"/>
        </w:rPr>
      </w:pPr>
    </w:p>
    <w:p w14:paraId="551F5035" w14:textId="77777777" w:rsidR="003D0046" w:rsidRDefault="003D0046" w:rsidP="003D0046">
      <w:pPr>
        <w:pStyle w:val="Body"/>
        <w:spacing w:after="60" w:line="276" w:lineRule="auto"/>
        <w:rPr>
          <w:rFonts w:ascii="Arial" w:eastAsia="Calibri" w:hAnsi="Arial" w:cs="Arial"/>
          <w:b/>
          <w:sz w:val="22"/>
          <w:szCs w:val="28"/>
        </w:rPr>
      </w:pPr>
    </w:p>
    <w:p w14:paraId="33948013" w14:textId="77777777" w:rsidR="003D0046" w:rsidRDefault="003D0046" w:rsidP="00DF578C">
      <w:pPr>
        <w:pStyle w:val="Body"/>
        <w:spacing w:after="60" w:line="276" w:lineRule="auto"/>
        <w:rPr>
          <w:rFonts w:ascii="Arial" w:eastAsia="Calibri" w:hAnsi="Arial" w:cs="Arial"/>
          <w:sz w:val="22"/>
          <w:szCs w:val="28"/>
        </w:rPr>
      </w:pPr>
    </w:p>
    <w:p w14:paraId="06827DD3" w14:textId="77777777" w:rsidR="000F4F66" w:rsidRPr="000F4F66" w:rsidRDefault="000F4F66" w:rsidP="000F4F66">
      <w:pPr>
        <w:pStyle w:val="Body"/>
        <w:spacing w:after="60" w:line="276" w:lineRule="auto"/>
        <w:rPr>
          <w:rFonts w:ascii="Arial" w:eastAsia="Calibri" w:hAnsi="Arial" w:cs="Arial"/>
          <w:sz w:val="22"/>
          <w:szCs w:val="28"/>
        </w:rPr>
      </w:pPr>
      <w:r w:rsidRPr="000F4F66">
        <w:rPr>
          <w:rFonts w:ascii="Arial" w:eastAsia="Calibri" w:hAnsi="Arial" w:cs="Arial"/>
          <w:b/>
          <w:bCs/>
          <w:sz w:val="22"/>
          <w:szCs w:val="28"/>
        </w:rPr>
        <w:t>REFERENCES</w:t>
      </w:r>
    </w:p>
    <w:p w14:paraId="5721CBC3" w14:textId="77777777" w:rsidR="000F4F66" w:rsidRDefault="000F4F66" w:rsidP="000F4F66">
      <w:pPr>
        <w:pStyle w:val="Body"/>
        <w:numPr>
          <w:ilvl w:val="0"/>
          <w:numId w:val="6"/>
        </w:numPr>
        <w:spacing w:after="60" w:line="276" w:lineRule="auto"/>
        <w:rPr>
          <w:rFonts w:ascii="Arial" w:eastAsia="Calibri" w:hAnsi="Arial" w:cs="Arial"/>
          <w:sz w:val="22"/>
          <w:szCs w:val="28"/>
        </w:rPr>
      </w:pPr>
      <w:r w:rsidRPr="000F4F66">
        <w:rPr>
          <w:rFonts w:ascii="Arial" w:eastAsia="Calibri" w:hAnsi="Arial" w:cs="Arial"/>
          <w:sz w:val="22"/>
          <w:szCs w:val="28"/>
        </w:rPr>
        <w:t xml:space="preserve">ASEAN. (2026). </w:t>
      </w:r>
      <w:r w:rsidRPr="000F4F66">
        <w:rPr>
          <w:rFonts w:ascii="Arial" w:eastAsia="Calibri" w:hAnsi="Arial" w:cs="Arial"/>
          <w:i/>
          <w:iCs/>
          <w:sz w:val="22"/>
          <w:szCs w:val="28"/>
        </w:rPr>
        <w:t>ASEAN Digital Masterplan 2030</w:t>
      </w:r>
      <w:r w:rsidRPr="000F4F66">
        <w:rPr>
          <w:rFonts w:ascii="Arial" w:eastAsia="Calibri" w:hAnsi="Arial" w:cs="Arial"/>
          <w:sz w:val="22"/>
          <w:szCs w:val="28"/>
        </w:rPr>
        <w:t xml:space="preserve">. </w:t>
      </w:r>
      <w:hyperlink r:id="rId8" w:history="1">
        <w:r w:rsidRPr="000F4F66">
          <w:rPr>
            <w:rStyle w:val="Hyperlink"/>
            <w:rFonts w:ascii="Arial" w:eastAsia="Calibri" w:hAnsi="Arial" w:cs="Arial"/>
            <w:sz w:val="22"/>
            <w:szCs w:val="28"/>
          </w:rPr>
          <w:t>https://asean.org/wp-content/uploads/2026/01/ASEAN-Digital-Master-Plan-2030-final-2026.pdf</w:t>
        </w:r>
      </w:hyperlink>
    </w:p>
    <w:p w14:paraId="4692D5F3" w14:textId="77777777" w:rsidR="000F4F66" w:rsidRDefault="000F4F66" w:rsidP="000F4F66">
      <w:pPr>
        <w:pStyle w:val="Body"/>
        <w:numPr>
          <w:ilvl w:val="0"/>
          <w:numId w:val="6"/>
        </w:numPr>
        <w:spacing w:after="60" w:line="276" w:lineRule="auto"/>
        <w:rPr>
          <w:rFonts w:ascii="Arial" w:eastAsia="Calibri" w:hAnsi="Arial" w:cs="Arial"/>
          <w:sz w:val="22"/>
          <w:szCs w:val="28"/>
        </w:rPr>
      </w:pPr>
      <w:r w:rsidRPr="000F4F66">
        <w:rPr>
          <w:rFonts w:ascii="Arial" w:eastAsia="Calibri" w:hAnsi="Arial" w:cs="Arial"/>
          <w:sz w:val="22"/>
          <w:szCs w:val="28"/>
        </w:rPr>
        <w:t xml:space="preserve">Astuti, R., &amp; </w:t>
      </w:r>
      <w:proofErr w:type="spellStart"/>
      <w:r w:rsidRPr="000F4F66">
        <w:rPr>
          <w:rFonts w:ascii="Arial" w:eastAsia="Calibri" w:hAnsi="Arial" w:cs="Arial"/>
          <w:sz w:val="22"/>
          <w:szCs w:val="28"/>
        </w:rPr>
        <w:t>Hidayati</w:t>
      </w:r>
      <w:proofErr w:type="spellEnd"/>
      <w:r w:rsidRPr="000F4F66">
        <w:rPr>
          <w:rFonts w:ascii="Arial" w:eastAsia="Calibri" w:hAnsi="Arial" w:cs="Arial"/>
          <w:sz w:val="22"/>
          <w:szCs w:val="28"/>
        </w:rPr>
        <w:t xml:space="preserve">, L. (2023). How might blockchain technology be used in the food supply chain? A systematic literature review. </w:t>
      </w:r>
      <w:r w:rsidRPr="000F4F66">
        <w:rPr>
          <w:rFonts w:ascii="Arial" w:eastAsia="Calibri" w:hAnsi="Arial" w:cs="Arial"/>
          <w:i/>
          <w:iCs/>
          <w:sz w:val="22"/>
          <w:szCs w:val="28"/>
        </w:rPr>
        <w:t>Cogent Business &amp; Management, 10</w:t>
      </w:r>
      <w:r w:rsidRPr="000F4F66">
        <w:rPr>
          <w:rFonts w:ascii="Arial" w:eastAsia="Calibri" w:hAnsi="Arial" w:cs="Arial"/>
          <w:sz w:val="22"/>
          <w:szCs w:val="28"/>
        </w:rPr>
        <w:t xml:space="preserve">, Article 2246739. </w:t>
      </w:r>
      <w:hyperlink r:id="rId9" w:history="1">
        <w:r w:rsidRPr="000F4F66">
          <w:rPr>
            <w:rStyle w:val="Hyperlink"/>
            <w:rFonts w:ascii="Arial" w:eastAsia="Calibri" w:hAnsi="Arial" w:cs="Arial"/>
            <w:sz w:val="22"/>
            <w:szCs w:val="28"/>
          </w:rPr>
          <w:t>https://doi.org/10.1080/23311975.2023.2246739</w:t>
        </w:r>
      </w:hyperlink>
    </w:p>
    <w:p w14:paraId="0A26AA84" w14:textId="77777777" w:rsidR="000F4F66" w:rsidRDefault="000F4F66" w:rsidP="000F4F66">
      <w:pPr>
        <w:pStyle w:val="Body"/>
        <w:numPr>
          <w:ilvl w:val="0"/>
          <w:numId w:val="6"/>
        </w:numPr>
        <w:spacing w:after="60" w:line="276" w:lineRule="auto"/>
        <w:rPr>
          <w:rFonts w:ascii="Arial" w:eastAsia="Calibri" w:hAnsi="Arial" w:cs="Arial"/>
          <w:sz w:val="22"/>
          <w:szCs w:val="28"/>
        </w:rPr>
      </w:pPr>
      <w:r w:rsidRPr="000F4F66">
        <w:rPr>
          <w:rFonts w:ascii="Arial" w:eastAsia="Calibri" w:hAnsi="Arial" w:cs="Arial"/>
          <w:sz w:val="22"/>
          <w:szCs w:val="28"/>
        </w:rPr>
        <w:t xml:space="preserve">Badan </w:t>
      </w:r>
      <w:proofErr w:type="spellStart"/>
      <w:r w:rsidRPr="000F4F66">
        <w:rPr>
          <w:rFonts w:ascii="Arial" w:eastAsia="Calibri" w:hAnsi="Arial" w:cs="Arial"/>
          <w:sz w:val="22"/>
          <w:szCs w:val="28"/>
        </w:rPr>
        <w:t>Penyelenggara</w:t>
      </w:r>
      <w:proofErr w:type="spellEnd"/>
      <w:r w:rsidRPr="000F4F66">
        <w:rPr>
          <w:rFonts w:ascii="Arial" w:eastAsia="Calibri" w:hAnsi="Arial" w:cs="Arial"/>
          <w:sz w:val="22"/>
          <w:szCs w:val="28"/>
        </w:rPr>
        <w:t xml:space="preserve"> </w:t>
      </w:r>
      <w:proofErr w:type="spellStart"/>
      <w:r w:rsidRPr="000F4F66">
        <w:rPr>
          <w:rFonts w:ascii="Arial" w:eastAsia="Calibri" w:hAnsi="Arial" w:cs="Arial"/>
          <w:sz w:val="22"/>
          <w:szCs w:val="28"/>
        </w:rPr>
        <w:t>Jaminan</w:t>
      </w:r>
      <w:proofErr w:type="spellEnd"/>
      <w:r w:rsidRPr="000F4F66">
        <w:rPr>
          <w:rFonts w:ascii="Arial" w:eastAsia="Calibri" w:hAnsi="Arial" w:cs="Arial"/>
          <w:sz w:val="22"/>
          <w:szCs w:val="28"/>
        </w:rPr>
        <w:t xml:space="preserve"> </w:t>
      </w:r>
      <w:proofErr w:type="spellStart"/>
      <w:r w:rsidRPr="000F4F66">
        <w:rPr>
          <w:rFonts w:ascii="Arial" w:eastAsia="Calibri" w:hAnsi="Arial" w:cs="Arial"/>
          <w:sz w:val="22"/>
          <w:szCs w:val="28"/>
        </w:rPr>
        <w:t>Produk</w:t>
      </w:r>
      <w:proofErr w:type="spellEnd"/>
      <w:r w:rsidRPr="000F4F66">
        <w:rPr>
          <w:rFonts w:ascii="Arial" w:eastAsia="Calibri" w:hAnsi="Arial" w:cs="Arial"/>
          <w:sz w:val="22"/>
          <w:szCs w:val="28"/>
        </w:rPr>
        <w:t xml:space="preserve"> Halal. (2024a). </w:t>
      </w:r>
      <w:r w:rsidRPr="000F4F66">
        <w:rPr>
          <w:rFonts w:ascii="Arial" w:eastAsia="Calibri" w:hAnsi="Arial" w:cs="Arial"/>
          <w:i/>
          <w:iCs/>
          <w:sz w:val="22"/>
          <w:szCs w:val="28"/>
        </w:rPr>
        <w:t xml:space="preserve">Kabar </w:t>
      </w:r>
      <w:proofErr w:type="spellStart"/>
      <w:r w:rsidRPr="000F4F66">
        <w:rPr>
          <w:rFonts w:ascii="Arial" w:eastAsia="Calibri" w:hAnsi="Arial" w:cs="Arial"/>
          <w:i/>
          <w:iCs/>
          <w:sz w:val="22"/>
          <w:szCs w:val="28"/>
        </w:rPr>
        <w:t>baik</w:t>
      </w:r>
      <w:proofErr w:type="spellEnd"/>
      <w:r w:rsidRPr="000F4F66">
        <w:rPr>
          <w:rFonts w:ascii="Arial" w:eastAsia="Calibri" w:hAnsi="Arial" w:cs="Arial"/>
          <w:i/>
          <w:iCs/>
          <w:sz w:val="22"/>
          <w:szCs w:val="28"/>
        </w:rPr>
        <w:t xml:space="preserve">, </w:t>
      </w:r>
      <w:proofErr w:type="spellStart"/>
      <w:r w:rsidRPr="000F4F66">
        <w:rPr>
          <w:rFonts w:ascii="Arial" w:eastAsia="Calibri" w:hAnsi="Arial" w:cs="Arial"/>
          <w:i/>
          <w:iCs/>
          <w:sz w:val="22"/>
          <w:szCs w:val="28"/>
        </w:rPr>
        <w:t>registrasi</w:t>
      </w:r>
      <w:proofErr w:type="spellEnd"/>
      <w:r w:rsidRPr="000F4F66">
        <w:rPr>
          <w:rFonts w:ascii="Arial" w:eastAsia="Calibri" w:hAnsi="Arial" w:cs="Arial"/>
          <w:i/>
          <w:iCs/>
          <w:sz w:val="22"/>
          <w:szCs w:val="28"/>
        </w:rPr>
        <w:t xml:space="preserve"> </w:t>
      </w:r>
      <w:proofErr w:type="spellStart"/>
      <w:r w:rsidRPr="000F4F66">
        <w:rPr>
          <w:rFonts w:ascii="Arial" w:eastAsia="Calibri" w:hAnsi="Arial" w:cs="Arial"/>
          <w:i/>
          <w:iCs/>
          <w:sz w:val="22"/>
          <w:szCs w:val="28"/>
        </w:rPr>
        <w:t>sertifikat</w:t>
      </w:r>
      <w:proofErr w:type="spellEnd"/>
      <w:r w:rsidRPr="000F4F66">
        <w:rPr>
          <w:rFonts w:ascii="Arial" w:eastAsia="Calibri" w:hAnsi="Arial" w:cs="Arial"/>
          <w:i/>
          <w:iCs/>
          <w:sz w:val="22"/>
          <w:szCs w:val="28"/>
        </w:rPr>
        <w:t xml:space="preserve"> halal </w:t>
      </w:r>
      <w:proofErr w:type="spellStart"/>
      <w:r w:rsidRPr="000F4F66">
        <w:rPr>
          <w:rFonts w:ascii="Arial" w:eastAsia="Calibri" w:hAnsi="Arial" w:cs="Arial"/>
          <w:i/>
          <w:iCs/>
          <w:sz w:val="22"/>
          <w:szCs w:val="28"/>
        </w:rPr>
        <w:t>luar</w:t>
      </w:r>
      <w:proofErr w:type="spellEnd"/>
      <w:r w:rsidRPr="000F4F66">
        <w:rPr>
          <w:rFonts w:ascii="Arial" w:eastAsia="Calibri" w:hAnsi="Arial" w:cs="Arial"/>
          <w:i/>
          <w:iCs/>
          <w:sz w:val="22"/>
          <w:szCs w:val="28"/>
        </w:rPr>
        <w:t xml:space="preserve"> negeri </w:t>
      </w:r>
      <w:proofErr w:type="spellStart"/>
      <w:r w:rsidRPr="000F4F66">
        <w:rPr>
          <w:rFonts w:ascii="Arial" w:eastAsia="Calibri" w:hAnsi="Arial" w:cs="Arial"/>
          <w:i/>
          <w:iCs/>
          <w:sz w:val="22"/>
          <w:szCs w:val="28"/>
        </w:rPr>
        <w:t>dibuka</w:t>
      </w:r>
      <w:proofErr w:type="spellEnd"/>
      <w:r w:rsidRPr="000F4F66">
        <w:rPr>
          <w:rFonts w:ascii="Arial" w:eastAsia="Calibri" w:hAnsi="Arial" w:cs="Arial"/>
          <w:i/>
          <w:iCs/>
          <w:sz w:val="22"/>
          <w:szCs w:val="28"/>
        </w:rPr>
        <w:t xml:space="preserve"> di menu </w:t>
      </w:r>
      <w:proofErr w:type="spellStart"/>
      <w:r w:rsidRPr="000F4F66">
        <w:rPr>
          <w:rFonts w:ascii="Arial" w:eastAsia="Calibri" w:hAnsi="Arial" w:cs="Arial"/>
          <w:i/>
          <w:iCs/>
          <w:sz w:val="22"/>
          <w:szCs w:val="28"/>
        </w:rPr>
        <w:t>Sihalal</w:t>
      </w:r>
      <w:proofErr w:type="spellEnd"/>
      <w:r w:rsidRPr="000F4F66">
        <w:rPr>
          <w:rFonts w:ascii="Arial" w:eastAsia="Calibri" w:hAnsi="Arial" w:cs="Arial"/>
          <w:sz w:val="22"/>
          <w:szCs w:val="28"/>
        </w:rPr>
        <w:t xml:space="preserve"> [Good news: Registration of foreign Halal certificates opens on the </w:t>
      </w:r>
      <w:proofErr w:type="spellStart"/>
      <w:r w:rsidRPr="000F4F66">
        <w:rPr>
          <w:rFonts w:ascii="Arial" w:eastAsia="Calibri" w:hAnsi="Arial" w:cs="Arial"/>
          <w:sz w:val="22"/>
          <w:szCs w:val="28"/>
        </w:rPr>
        <w:t>Sihalal</w:t>
      </w:r>
      <w:proofErr w:type="spellEnd"/>
      <w:r w:rsidRPr="000F4F66">
        <w:rPr>
          <w:rFonts w:ascii="Arial" w:eastAsia="Calibri" w:hAnsi="Arial" w:cs="Arial"/>
          <w:sz w:val="22"/>
          <w:szCs w:val="28"/>
        </w:rPr>
        <w:t xml:space="preserve"> menu]. </w:t>
      </w:r>
      <w:hyperlink r:id="rId10" w:history="1">
        <w:r w:rsidRPr="000F4F66">
          <w:rPr>
            <w:rStyle w:val="Hyperlink"/>
            <w:rFonts w:ascii="Arial" w:eastAsia="Calibri" w:hAnsi="Arial" w:cs="Arial"/>
            <w:sz w:val="22"/>
            <w:szCs w:val="28"/>
          </w:rPr>
          <w:t>https://bpjph.halal.go.id/detail/kabar-baik-registrasi-sertifikat-halal-luar-negeri-dibuka-di-menu-sihalal/</w:t>
        </w:r>
      </w:hyperlink>
    </w:p>
    <w:p w14:paraId="08683843" w14:textId="77777777" w:rsidR="000F4F66" w:rsidRDefault="000F4F66" w:rsidP="000F4F66">
      <w:pPr>
        <w:pStyle w:val="Body"/>
        <w:numPr>
          <w:ilvl w:val="0"/>
          <w:numId w:val="6"/>
        </w:numPr>
        <w:spacing w:after="60" w:line="276" w:lineRule="auto"/>
        <w:rPr>
          <w:rFonts w:ascii="Arial" w:eastAsia="Calibri" w:hAnsi="Arial" w:cs="Arial"/>
          <w:sz w:val="22"/>
          <w:szCs w:val="28"/>
        </w:rPr>
      </w:pPr>
      <w:r w:rsidRPr="000F4F66">
        <w:rPr>
          <w:rFonts w:ascii="Arial" w:eastAsia="Calibri" w:hAnsi="Arial" w:cs="Arial"/>
          <w:sz w:val="22"/>
          <w:szCs w:val="28"/>
        </w:rPr>
        <w:t xml:space="preserve">Badan </w:t>
      </w:r>
      <w:proofErr w:type="spellStart"/>
      <w:r w:rsidRPr="000F4F66">
        <w:rPr>
          <w:rFonts w:ascii="Arial" w:eastAsia="Calibri" w:hAnsi="Arial" w:cs="Arial"/>
          <w:sz w:val="22"/>
          <w:szCs w:val="28"/>
        </w:rPr>
        <w:t>Penyelenggara</w:t>
      </w:r>
      <w:proofErr w:type="spellEnd"/>
      <w:r w:rsidRPr="000F4F66">
        <w:rPr>
          <w:rFonts w:ascii="Arial" w:eastAsia="Calibri" w:hAnsi="Arial" w:cs="Arial"/>
          <w:sz w:val="22"/>
          <w:szCs w:val="28"/>
        </w:rPr>
        <w:t xml:space="preserve"> </w:t>
      </w:r>
      <w:proofErr w:type="spellStart"/>
      <w:r w:rsidRPr="000F4F66">
        <w:rPr>
          <w:rFonts w:ascii="Arial" w:eastAsia="Calibri" w:hAnsi="Arial" w:cs="Arial"/>
          <w:sz w:val="22"/>
          <w:szCs w:val="28"/>
        </w:rPr>
        <w:t>Jaminan</w:t>
      </w:r>
      <w:proofErr w:type="spellEnd"/>
      <w:r w:rsidRPr="000F4F66">
        <w:rPr>
          <w:rFonts w:ascii="Arial" w:eastAsia="Calibri" w:hAnsi="Arial" w:cs="Arial"/>
          <w:sz w:val="22"/>
          <w:szCs w:val="28"/>
        </w:rPr>
        <w:t xml:space="preserve"> </w:t>
      </w:r>
      <w:proofErr w:type="spellStart"/>
      <w:r w:rsidRPr="000F4F66">
        <w:rPr>
          <w:rFonts w:ascii="Arial" w:eastAsia="Calibri" w:hAnsi="Arial" w:cs="Arial"/>
          <w:sz w:val="22"/>
          <w:szCs w:val="28"/>
        </w:rPr>
        <w:t>Produk</w:t>
      </w:r>
      <w:proofErr w:type="spellEnd"/>
      <w:r w:rsidRPr="000F4F66">
        <w:rPr>
          <w:rFonts w:ascii="Arial" w:eastAsia="Calibri" w:hAnsi="Arial" w:cs="Arial"/>
          <w:sz w:val="22"/>
          <w:szCs w:val="28"/>
        </w:rPr>
        <w:t xml:space="preserve"> Halal. (2024b). </w:t>
      </w:r>
      <w:r w:rsidRPr="000F4F66">
        <w:rPr>
          <w:rFonts w:ascii="Arial" w:eastAsia="Calibri" w:hAnsi="Arial" w:cs="Arial"/>
          <w:i/>
          <w:iCs/>
          <w:sz w:val="22"/>
          <w:szCs w:val="28"/>
        </w:rPr>
        <w:t xml:space="preserve">BPJPH: 17 Oktober 2026 </w:t>
      </w:r>
      <w:proofErr w:type="spellStart"/>
      <w:r w:rsidRPr="000F4F66">
        <w:rPr>
          <w:rFonts w:ascii="Arial" w:eastAsia="Calibri" w:hAnsi="Arial" w:cs="Arial"/>
          <w:i/>
          <w:iCs/>
          <w:sz w:val="22"/>
          <w:szCs w:val="28"/>
        </w:rPr>
        <w:t>produk</w:t>
      </w:r>
      <w:proofErr w:type="spellEnd"/>
      <w:r w:rsidRPr="000F4F66">
        <w:rPr>
          <w:rFonts w:ascii="Arial" w:eastAsia="Calibri" w:hAnsi="Arial" w:cs="Arial"/>
          <w:i/>
          <w:iCs/>
          <w:sz w:val="22"/>
          <w:szCs w:val="28"/>
        </w:rPr>
        <w:t xml:space="preserve"> </w:t>
      </w:r>
      <w:proofErr w:type="spellStart"/>
      <w:r w:rsidRPr="000F4F66">
        <w:rPr>
          <w:rFonts w:ascii="Arial" w:eastAsia="Calibri" w:hAnsi="Arial" w:cs="Arial"/>
          <w:i/>
          <w:iCs/>
          <w:sz w:val="22"/>
          <w:szCs w:val="28"/>
        </w:rPr>
        <w:t>makanan-minuman</w:t>
      </w:r>
      <w:proofErr w:type="spellEnd"/>
      <w:r w:rsidRPr="000F4F66">
        <w:rPr>
          <w:rFonts w:ascii="Arial" w:eastAsia="Calibri" w:hAnsi="Arial" w:cs="Arial"/>
          <w:i/>
          <w:iCs/>
          <w:sz w:val="22"/>
          <w:szCs w:val="28"/>
        </w:rPr>
        <w:t xml:space="preserve"> UMK </w:t>
      </w:r>
      <w:proofErr w:type="spellStart"/>
      <w:r w:rsidRPr="000F4F66">
        <w:rPr>
          <w:rFonts w:ascii="Arial" w:eastAsia="Calibri" w:hAnsi="Arial" w:cs="Arial"/>
          <w:i/>
          <w:iCs/>
          <w:sz w:val="22"/>
          <w:szCs w:val="28"/>
        </w:rPr>
        <w:t>harus</w:t>
      </w:r>
      <w:proofErr w:type="spellEnd"/>
      <w:r w:rsidRPr="000F4F66">
        <w:rPr>
          <w:rFonts w:ascii="Arial" w:eastAsia="Calibri" w:hAnsi="Arial" w:cs="Arial"/>
          <w:i/>
          <w:iCs/>
          <w:sz w:val="22"/>
          <w:szCs w:val="28"/>
        </w:rPr>
        <w:t xml:space="preserve"> </w:t>
      </w:r>
      <w:proofErr w:type="spellStart"/>
      <w:r w:rsidRPr="000F4F66">
        <w:rPr>
          <w:rFonts w:ascii="Arial" w:eastAsia="Calibri" w:hAnsi="Arial" w:cs="Arial"/>
          <w:i/>
          <w:iCs/>
          <w:sz w:val="22"/>
          <w:szCs w:val="28"/>
        </w:rPr>
        <w:t>sudah</w:t>
      </w:r>
      <w:proofErr w:type="spellEnd"/>
      <w:r w:rsidRPr="000F4F66">
        <w:rPr>
          <w:rFonts w:ascii="Arial" w:eastAsia="Calibri" w:hAnsi="Arial" w:cs="Arial"/>
          <w:i/>
          <w:iCs/>
          <w:sz w:val="22"/>
          <w:szCs w:val="28"/>
        </w:rPr>
        <w:t xml:space="preserve"> </w:t>
      </w:r>
      <w:proofErr w:type="spellStart"/>
      <w:r w:rsidRPr="000F4F66">
        <w:rPr>
          <w:rFonts w:ascii="Arial" w:eastAsia="Calibri" w:hAnsi="Arial" w:cs="Arial"/>
          <w:i/>
          <w:iCs/>
          <w:sz w:val="22"/>
          <w:szCs w:val="28"/>
        </w:rPr>
        <w:t>bersertifikat</w:t>
      </w:r>
      <w:proofErr w:type="spellEnd"/>
      <w:r w:rsidRPr="000F4F66">
        <w:rPr>
          <w:rFonts w:ascii="Arial" w:eastAsia="Calibri" w:hAnsi="Arial" w:cs="Arial"/>
          <w:i/>
          <w:iCs/>
          <w:sz w:val="22"/>
          <w:szCs w:val="28"/>
        </w:rPr>
        <w:t xml:space="preserve"> halal, </w:t>
      </w:r>
      <w:proofErr w:type="spellStart"/>
      <w:r w:rsidRPr="000F4F66">
        <w:rPr>
          <w:rFonts w:ascii="Arial" w:eastAsia="Calibri" w:hAnsi="Arial" w:cs="Arial"/>
          <w:i/>
          <w:iCs/>
          <w:sz w:val="22"/>
          <w:szCs w:val="28"/>
        </w:rPr>
        <w:t>bagaimana</w:t>
      </w:r>
      <w:proofErr w:type="spellEnd"/>
      <w:r w:rsidRPr="000F4F66">
        <w:rPr>
          <w:rFonts w:ascii="Arial" w:eastAsia="Calibri" w:hAnsi="Arial" w:cs="Arial"/>
          <w:i/>
          <w:iCs/>
          <w:sz w:val="22"/>
          <w:szCs w:val="28"/>
        </w:rPr>
        <w:t xml:space="preserve"> </w:t>
      </w:r>
      <w:proofErr w:type="spellStart"/>
      <w:r w:rsidRPr="000F4F66">
        <w:rPr>
          <w:rFonts w:ascii="Arial" w:eastAsia="Calibri" w:hAnsi="Arial" w:cs="Arial"/>
          <w:i/>
          <w:iCs/>
          <w:sz w:val="22"/>
          <w:szCs w:val="28"/>
        </w:rPr>
        <w:t>dengan</w:t>
      </w:r>
      <w:proofErr w:type="spellEnd"/>
      <w:r w:rsidRPr="000F4F66">
        <w:rPr>
          <w:rFonts w:ascii="Arial" w:eastAsia="Calibri" w:hAnsi="Arial" w:cs="Arial"/>
          <w:i/>
          <w:iCs/>
          <w:sz w:val="22"/>
          <w:szCs w:val="28"/>
        </w:rPr>
        <w:t xml:space="preserve"> </w:t>
      </w:r>
      <w:proofErr w:type="spellStart"/>
      <w:r w:rsidRPr="000F4F66">
        <w:rPr>
          <w:rFonts w:ascii="Arial" w:eastAsia="Calibri" w:hAnsi="Arial" w:cs="Arial"/>
          <w:i/>
          <w:iCs/>
          <w:sz w:val="22"/>
          <w:szCs w:val="28"/>
        </w:rPr>
        <w:t>produk</w:t>
      </w:r>
      <w:proofErr w:type="spellEnd"/>
      <w:r w:rsidRPr="000F4F66">
        <w:rPr>
          <w:rFonts w:ascii="Arial" w:eastAsia="Calibri" w:hAnsi="Arial" w:cs="Arial"/>
          <w:i/>
          <w:iCs/>
          <w:sz w:val="22"/>
          <w:szCs w:val="28"/>
        </w:rPr>
        <w:t xml:space="preserve"> </w:t>
      </w:r>
      <w:proofErr w:type="spellStart"/>
      <w:r w:rsidRPr="000F4F66">
        <w:rPr>
          <w:rFonts w:ascii="Arial" w:eastAsia="Calibri" w:hAnsi="Arial" w:cs="Arial"/>
          <w:i/>
          <w:iCs/>
          <w:sz w:val="22"/>
          <w:szCs w:val="28"/>
        </w:rPr>
        <w:t>luar</w:t>
      </w:r>
      <w:proofErr w:type="spellEnd"/>
      <w:r w:rsidRPr="000F4F66">
        <w:rPr>
          <w:rFonts w:ascii="Arial" w:eastAsia="Calibri" w:hAnsi="Arial" w:cs="Arial"/>
          <w:i/>
          <w:iCs/>
          <w:sz w:val="22"/>
          <w:szCs w:val="28"/>
        </w:rPr>
        <w:t xml:space="preserve"> negeri?</w:t>
      </w:r>
      <w:r w:rsidRPr="000F4F66">
        <w:rPr>
          <w:rFonts w:ascii="Arial" w:eastAsia="Calibri" w:hAnsi="Arial" w:cs="Arial"/>
          <w:sz w:val="22"/>
          <w:szCs w:val="28"/>
        </w:rPr>
        <w:t xml:space="preserve"> [BPJPH: By 17 October 2026, food and beverage products of micro and small enterprises must be Halal-certified - what about foreign products?]. </w:t>
      </w:r>
      <w:hyperlink r:id="rId11" w:history="1">
        <w:r w:rsidRPr="000F4F66">
          <w:rPr>
            <w:rStyle w:val="Hyperlink"/>
            <w:rFonts w:ascii="Arial" w:eastAsia="Calibri" w:hAnsi="Arial" w:cs="Arial"/>
            <w:sz w:val="22"/>
            <w:szCs w:val="28"/>
          </w:rPr>
          <w:t>https://bpjph.halal.go.id/read/bpjph-17-oktober-2026-produk-makanan-minuman-umk-harus-sudah-bersertifikat-halal-bagaimana-dengan-produk-luar-negeri</w:t>
        </w:r>
      </w:hyperlink>
    </w:p>
    <w:p w14:paraId="21431F8F" w14:textId="77777777" w:rsidR="000F4F66" w:rsidRDefault="000F4F66" w:rsidP="000F4F66">
      <w:pPr>
        <w:pStyle w:val="Body"/>
        <w:numPr>
          <w:ilvl w:val="0"/>
          <w:numId w:val="6"/>
        </w:numPr>
        <w:spacing w:after="60" w:line="276" w:lineRule="auto"/>
        <w:rPr>
          <w:rFonts w:ascii="Arial" w:eastAsia="Calibri" w:hAnsi="Arial" w:cs="Arial"/>
          <w:sz w:val="22"/>
          <w:szCs w:val="28"/>
        </w:rPr>
      </w:pPr>
      <w:r w:rsidRPr="000F4F66">
        <w:rPr>
          <w:rFonts w:ascii="Arial" w:eastAsia="Calibri" w:hAnsi="Arial" w:cs="Arial"/>
          <w:sz w:val="22"/>
          <w:szCs w:val="28"/>
        </w:rPr>
        <w:t xml:space="preserve">Badan </w:t>
      </w:r>
      <w:proofErr w:type="spellStart"/>
      <w:r w:rsidRPr="000F4F66">
        <w:rPr>
          <w:rFonts w:ascii="Arial" w:eastAsia="Calibri" w:hAnsi="Arial" w:cs="Arial"/>
          <w:sz w:val="22"/>
          <w:szCs w:val="28"/>
        </w:rPr>
        <w:t>Penyelenggara</w:t>
      </w:r>
      <w:proofErr w:type="spellEnd"/>
      <w:r w:rsidRPr="000F4F66">
        <w:rPr>
          <w:rFonts w:ascii="Arial" w:eastAsia="Calibri" w:hAnsi="Arial" w:cs="Arial"/>
          <w:sz w:val="22"/>
          <w:szCs w:val="28"/>
        </w:rPr>
        <w:t xml:space="preserve"> </w:t>
      </w:r>
      <w:proofErr w:type="spellStart"/>
      <w:r w:rsidRPr="000F4F66">
        <w:rPr>
          <w:rFonts w:ascii="Arial" w:eastAsia="Calibri" w:hAnsi="Arial" w:cs="Arial"/>
          <w:sz w:val="22"/>
          <w:szCs w:val="28"/>
        </w:rPr>
        <w:t>Jaminan</w:t>
      </w:r>
      <w:proofErr w:type="spellEnd"/>
      <w:r w:rsidRPr="000F4F66">
        <w:rPr>
          <w:rFonts w:ascii="Arial" w:eastAsia="Calibri" w:hAnsi="Arial" w:cs="Arial"/>
          <w:sz w:val="22"/>
          <w:szCs w:val="28"/>
        </w:rPr>
        <w:t xml:space="preserve"> </w:t>
      </w:r>
      <w:proofErr w:type="spellStart"/>
      <w:r w:rsidRPr="000F4F66">
        <w:rPr>
          <w:rFonts w:ascii="Arial" w:eastAsia="Calibri" w:hAnsi="Arial" w:cs="Arial"/>
          <w:sz w:val="22"/>
          <w:szCs w:val="28"/>
        </w:rPr>
        <w:t>Produk</w:t>
      </w:r>
      <w:proofErr w:type="spellEnd"/>
      <w:r w:rsidRPr="000F4F66">
        <w:rPr>
          <w:rFonts w:ascii="Arial" w:eastAsia="Calibri" w:hAnsi="Arial" w:cs="Arial"/>
          <w:sz w:val="22"/>
          <w:szCs w:val="28"/>
        </w:rPr>
        <w:t xml:space="preserve"> Halal. (2025). </w:t>
      </w:r>
      <w:r w:rsidRPr="000F4F66">
        <w:rPr>
          <w:rFonts w:ascii="Arial" w:eastAsia="Calibri" w:hAnsi="Arial" w:cs="Arial"/>
          <w:i/>
          <w:iCs/>
          <w:sz w:val="22"/>
          <w:szCs w:val="28"/>
        </w:rPr>
        <w:t xml:space="preserve">SIHALAL </w:t>
      </w:r>
      <w:proofErr w:type="spellStart"/>
      <w:r w:rsidRPr="000F4F66">
        <w:rPr>
          <w:rFonts w:ascii="Arial" w:eastAsia="Calibri" w:hAnsi="Arial" w:cs="Arial"/>
          <w:i/>
          <w:iCs/>
          <w:sz w:val="22"/>
          <w:szCs w:val="28"/>
        </w:rPr>
        <w:t>diperbarui</w:t>
      </w:r>
      <w:proofErr w:type="spellEnd"/>
      <w:r w:rsidRPr="000F4F66">
        <w:rPr>
          <w:rFonts w:ascii="Arial" w:eastAsia="Calibri" w:hAnsi="Arial" w:cs="Arial"/>
          <w:i/>
          <w:iCs/>
          <w:sz w:val="22"/>
          <w:szCs w:val="28"/>
        </w:rPr>
        <w:t xml:space="preserve">, </w:t>
      </w:r>
      <w:proofErr w:type="spellStart"/>
      <w:r w:rsidRPr="000F4F66">
        <w:rPr>
          <w:rFonts w:ascii="Arial" w:eastAsia="Calibri" w:hAnsi="Arial" w:cs="Arial"/>
          <w:i/>
          <w:iCs/>
          <w:sz w:val="22"/>
          <w:szCs w:val="28"/>
        </w:rPr>
        <w:t>begini</w:t>
      </w:r>
      <w:proofErr w:type="spellEnd"/>
      <w:r w:rsidRPr="000F4F66">
        <w:rPr>
          <w:rFonts w:ascii="Arial" w:eastAsia="Calibri" w:hAnsi="Arial" w:cs="Arial"/>
          <w:i/>
          <w:iCs/>
          <w:sz w:val="22"/>
          <w:szCs w:val="28"/>
        </w:rPr>
        <w:t xml:space="preserve"> </w:t>
      </w:r>
      <w:proofErr w:type="spellStart"/>
      <w:r w:rsidRPr="000F4F66">
        <w:rPr>
          <w:rFonts w:ascii="Arial" w:eastAsia="Calibri" w:hAnsi="Arial" w:cs="Arial"/>
          <w:i/>
          <w:iCs/>
          <w:sz w:val="22"/>
          <w:szCs w:val="28"/>
        </w:rPr>
        <w:t>panduan</w:t>
      </w:r>
      <w:proofErr w:type="spellEnd"/>
      <w:r w:rsidRPr="000F4F66">
        <w:rPr>
          <w:rFonts w:ascii="Arial" w:eastAsia="Calibri" w:hAnsi="Arial" w:cs="Arial"/>
          <w:i/>
          <w:iCs/>
          <w:sz w:val="22"/>
          <w:szCs w:val="28"/>
        </w:rPr>
        <w:t xml:space="preserve"> </w:t>
      </w:r>
      <w:proofErr w:type="spellStart"/>
      <w:r w:rsidRPr="000F4F66">
        <w:rPr>
          <w:rFonts w:ascii="Arial" w:eastAsia="Calibri" w:hAnsi="Arial" w:cs="Arial"/>
          <w:i/>
          <w:iCs/>
          <w:sz w:val="22"/>
          <w:szCs w:val="28"/>
        </w:rPr>
        <w:t>mudah</w:t>
      </w:r>
      <w:proofErr w:type="spellEnd"/>
      <w:r w:rsidRPr="000F4F66">
        <w:rPr>
          <w:rFonts w:ascii="Arial" w:eastAsia="Calibri" w:hAnsi="Arial" w:cs="Arial"/>
          <w:i/>
          <w:iCs/>
          <w:sz w:val="22"/>
          <w:szCs w:val="28"/>
        </w:rPr>
        <w:t xml:space="preserve"> daftar </w:t>
      </w:r>
      <w:proofErr w:type="spellStart"/>
      <w:r w:rsidRPr="000F4F66">
        <w:rPr>
          <w:rFonts w:ascii="Arial" w:eastAsia="Calibri" w:hAnsi="Arial" w:cs="Arial"/>
          <w:i/>
          <w:iCs/>
          <w:sz w:val="22"/>
          <w:szCs w:val="28"/>
        </w:rPr>
        <w:t>sertifikasi</w:t>
      </w:r>
      <w:proofErr w:type="spellEnd"/>
      <w:r w:rsidRPr="000F4F66">
        <w:rPr>
          <w:rFonts w:ascii="Arial" w:eastAsia="Calibri" w:hAnsi="Arial" w:cs="Arial"/>
          <w:i/>
          <w:iCs/>
          <w:sz w:val="22"/>
          <w:szCs w:val="28"/>
        </w:rPr>
        <w:t xml:space="preserve"> halal</w:t>
      </w:r>
      <w:r w:rsidRPr="000F4F66">
        <w:rPr>
          <w:rFonts w:ascii="Arial" w:eastAsia="Calibri" w:hAnsi="Arial" w:cs="Arial"/>
          <w:sz w:val="22"/>
          <w:szCs w:val="28"/>
        </w:rPr>
        <w:t xml:space="preserve"> [SIHALAL updated: A simple guide to applying for Halal certification]. </w:t>
      </w:r>
      <w:hyperlink r:id="rId12" w:history="1">
        <w:r w:rsidRPr="000F4F66">
          <w:rPr>
            <w:rStyle w:val="Hyperlink"/>
            <w:rFonts w:ascii="Arial" w:eastAsia="Calibri" w:hAnsi="Arial" w:cs="Arial"/>
            <w:sz w:val="22"/>
            <w:szCs w:val="28"/>
          </w:rPr>
          <w:t>https://bpjph.halal.go.id/read/sihalal-diperbarui-begini-panduan-mudah-daftar-sertifikasi-halal</w:t>
        </w:r>
      </w:hyperlink>
    </w:p>
    <w:p w14:paraId="271E73C9" w14:textId="77777777" w:rsidR="000F4F66" w:rsidRDefault="000F4F66" w:rsidP="000F4F66">
      <w:pPr>
        <w:pStyle w:val="Body"/>
        <w:numPr>
          <w:ilvl w:val="0"/>
          <w:numId w:val="6"/>
        </w:numPr>
        <w:spacing w:after="60" w:line="276" w:lineRule="auto"/>
        <w:rPr>
          <w:rFonts w:ascii="Arial" w:eastAsia="Calibri" w:hAnsi="Arial" w:cs="Arial"/>
          <w:sz w:val="22"/>
          <w:szCs w:val="28"/>
        </w:rPr>
      </w:pPr>
      <w:r w:rsidRPr="000F4F66">
        <w:rPr>
          <w:rFonts w:ascii="Arial" w:eastAsia="Calibri" w:hAnsi="Arial" w:cs="Arial"/>
          <w:sz w:val="22"/>
          <w:szCs w:val="28"/>
        </w:rPr>
        <w:t xml:space="preserve">Central Islamic Council of Thailand. (2016). </w:t>
      </w:r>
      <w:r w:rsidRPr="000F4F66">
        <w:rPr>
          <w:rFonts w:ascii="Arial" w:eastAsia="Calibri" w:hAnsi="Arial" w:cs="Arial"/>
          <w:i/>
          <w:iCs/>
          <w:sz w:val="22"/>
          <w:szCs w:val="28"/>
        </w:rPr>
        <w:t>Announcement on the requirements for the certification process of Halal products B.E. 2559</w:t>
      </w:r>
      <w:r w:rsidRPr="000F4F66">
        <w:rPr>
          <w:rFonts w:ascii="Arial" w:eastAsia="Calibri" w:hAnsi="Arial" w:cs="Arial"/>
          <w:sz w:val="22"/>
          <w:szCs w:val="28"/>
        </w:rPr>
        <w:t xml:space="preserve">. </w:t>
      </w:r>
      <w:hyperlink r:id="rId13" w:history="1">
        <w:r w:rsidRPr="000F4F66">
          <w:rPr>
            <w:rStyle w:val="Hyperlink"/>
            <w:rFonts w:ascii="Arial" w:eastAsia="Calibri" w:hAnsi="Arial" w:cs="Arial"/>
            <w:sz w:val="22"/>
            <w:szCs w:val="28"/>
          </w:rPr>
          <w:t>https://www.cicot.or.th/storages/contents/attachments/On_The_requirements_for_certification_process_of_Halal_products_B.E.2559._Eng.pdf</w:t>
        </w:r>
      </w:hyperlink>
    </w:p>
    <w:p w14:paraId="564CC0C2" w14:textId="77777777" w:rsidR="000F4F66" w:rsidRDefault="000F4F66" w:rsidP="000F4F66">
      <w:pPr>
        <w:pStyle w:val="Body"/>
        <w:numPr>
          <w:ilvl w:val="0"/>
          <w:numId w:val="6"/>
        </w:numPr>
        <w:spacing w:after="60" w:line="276" w:lineRule="auto"/>
        <w:rPr>
          <w:rFonts w:ascii="Arial" w:eastAsia="Calibri" w:hAnsi="Arial" w:cs="Arial"/>
          <w:sz w:val="22"/>
          <w:szCs w:val="28"/>
        </w:rPr>
      </w:pPr>
      <w:r w:rsidRPr="000F4F66">
        <w:rPr>
          <w:rFonts w:ascii="Arial" w:eastAsia="Calibri" w:hAnsi="Arial" w:cs="Arial"/>
          <w:sz w:val="22"/>
          <w:szCs w:val="28"/>
        </w:rPr>
        <w:lastRenderedPageBreak/>
        <w:t xml:space="preserve">Central Islamic Council of Thailand. (n.d.-a). </w:t>
      </w:r>
      <w:r w:rsidRPr="000F4F66">
        <w:rPr>
          <w:rFonts w:ascii="Arial" w:eastAsia="Calibri" w:hAnsi="Arial" w:cs="Arial"/>
          <w:i/>
          <w:iCs/>
          <w:sz w:val="22"/>
          <w:szCs w:val="28"/>
        </w:rPr>
        <w:t>Halal e-services and certification status</w:t>
      </w:r>
      <w:r w:rsidRPr="000F4F66">
        <w:rPr>
          <w:rFonts w:ascii="Arial" w:eastAsia="Calibri" w:hAnsi="Arial" w:cs="Arial"/>
          <w:sz w:val="22"/>
          <w:szCs w:val="28"/>
        </w:rPr>
        <w:t xml:space="preserve">. Retrieved July 22, 2026, from </w:t>
      </w:r>
      <w:hyperlink r:id="rId14" w:history="1">
        <w:r w:rsidRPr="000F4F66">
          <w:rPr>
            <w:rStyle w:val="Hyperlink"/>
            <w:rFonts w:ascii="Arial" w:eastAsia="Calibri" w:hAnsi="Arial" w:cs="Arial"/>
            <w:sz w:val="22"/>
            <w:szCs w:val="28"/>
          </w:rPr>
          <w:t>https://www.halal.or.th/en/</w:t>
        </w:r>
      </w:hyperlink>
    </w:p>
    <w:p w14:paraId="598BAB0A" w14:textId="77777777" w:rsidR="000F4F66" w:rsidRDefault="000F4F66" w:rsidP="000F4F66">
      <w:pPr>
        <w:pStyle w:val="Body"/>
        <w:numPr>
          <w:ilvl w:val="0"/>
          <w:numId w:val="6"/>
        </w:numPr>
        <w:spacing w:after="60" w:line="276" w:lineRule="auto"/>
        <w:rPr>
          <w:rFonts w:ascii="Arial" w:eastAsia="Calibri" w:hAnsi="Arial" w:cs="Arial"/>
          <w:sz w:val="22"/>
          <w:szCs w:val="28"/>
        </w:rPr>
      </w:pPr>
      <w:r w:rsidRPr="000F4F66">
        <w:rPr>
          <w:rFonts w:ascii="Arial" w:eastAsia="Calibri" w:hAnsi="Arial" w:cs="Arial"/>
          <w:sz w:val="22"/>
          <w:szCs w:val="28"/>
        </w:rPr>
        <w:t xml:space="preserve">Central Islamic Council of Thailand. (n.d.-b). </w:t>
      </w:r>
      <w:r w:rsidRPr="000F4F66">
        <w:rPr>
          <w:rFonts w:ascii="Arial" w:eastAsia="Calibri" w:hAnsi="Arial" w:cs="Arial"/>
          <w:i/>
          <w:iCs/>
          <w:sz w:val="22"/>
          <w:szCs w:val="28"/>
        </w:rPr>
        <w:t>Find Thai Halal products</w:t>
      </w:r>
      <w:r w:rsidRPr="000F4F66">
        <w:rPr>
          <w:rFonts w:ascii="Arial" w:eastAsia="Calibri" w:hAnsi="Arial" w:cs="Arial"/>
          <w:sz w:val="22"/>
          <w:szCs w:val="28"/>
        </w:rPr>
        <w:t xml:space="preserve">. Retrieved July 22, 2026, from </w:t>
      </w:r>
      <w:hyperlink r:id="rId15" w:history="1">
        <w:r w:rsidRPr="000F4F66">
          <w:rPr>
            <w:rStyle w:val="Hyperlink"/>
            <w:rFonts w:ascii="Arial" w:eastAsia="Calibri" w:hAnsi="Arial" w:cs="Arial"/>
            <w:sz w:val="22"/>
            <w:szCs w:val="28"/>
          </w:rPr>
          <w:t>https://www.halal.co.th/en/</w:t>
        </w:r>
      </w:hyperlink>
    </w:p>
    <w:p w14:paraId="5E2D934B" w14:textId="77777777" w:rsidR="000F4F66" w:rsidRDefault="000F4F66" w:rsidP="000F4F66">
      <w:pPr>
        <w:pStyle w:val="Body"/>
        <w:numPr>
          <w:ilvl w:val="0"/>
          <w:numId w:val="6"/>
        </w:numPr>
        <w:spacing w:after="60" w:line="276" w:lineRule="auto"/>
        <w:rPr>
          <w:rFonts w:ascii="Arial" w:eastAsia="Calibri" w:hAnsi="Arial" w:cs="Arial"/>
          <w:sz w:val="22"/>
          <w:szCs w:val="28"/>
        </w:rPr>
      </w:pPr>
      <w:proofErr w:type="spellStart"/>
      <w:r w:rsidRPr="000F4F66">
        <w:rPr>
          <w:rFonts w:ascii="Arial" w:eastAsia="Calibri" w:hAnsi="Arial" w:cs="Arial"/>
          <w:sz w:val="22"/>
          <w:szCs w:val="28"/>
        </w:rPr>
        <w:t>DinarStandard</w:t>
      </w:r>
      <w:proofErr w:type="spellEnd"/>
      <w:r w:rsidRPr="000F4F66">
        <w:rPr>
          <w:rFonts w:ascii="Arial" w:eastAsia="Calibri" w:hAnsi="Arial" w:cs="Arial"/>
          <w:sz w:val="22"/>
          <w:szCs w:val="28"/>
        </w:rPr>
        <w:t xml:space="preserve">. (2026). </w:t>
      </w:r>
      <w:r w:rsidRPr="000F4F66">
        <w:rPr>
          <w:rFonts w:ascii="Arial" w:eastAsia="Calibri" w:hAnsi="Arial" w:cs="Arial"/>
          <w:i/>
          <w:iCs/>
          <w:sz w:val="22"/>
          <w:szCs w:val="28"/>
        </w:rPr>
        <w:t>State of the Global Islamic Economy Report 2025/26</w:t>
      </w:r>
      <w:r w:rsidRPr="000F4F66">
        <w:rPr>
          <w:rFonts w:ascii="Arial" w:eastAsia="Calibri" w:hAnsi="Arial" w:cs="Arial"/>
          <w:sz w:val="22"/>
          <w:szCs w:val="28"/>
        </w:rPr>
        <w:t xml:space="preserve">. </w:t>
      </w:r>
      <w:hyperlink r:id="rId16" w:history="1">
        <w:r w:rsidRPr="000F4F66">
          <w:rPr>
            <w:rStyle w:val="Hyperlink"/>
            <w:rFonts w:ascii="Arial" w:eastAsia="Calibri" w:hAnsi="Arial" w:cs="Arial"/>
            <w:sz w:val="22"/>
            <w:szCs w:val="28"/>
          </w:rPr>
          <w:t>https://www.dinarstandard.com/insights/state-of-the-global-islamic-economy-report-2025-26</w:t>
        </w:r>
      </w:hyperlink>
    </w:p>
    <w:p w14:paraId="15789D55" w14:textId="77777777" w:rsidR="000F4F66" w:rsidRDefault="000F4F66" w:rsidP="000F4F66">
      <w:pPr>
        <w:pStyle w:val="Body"/>
        <w:numPr>
          <w:ilvl w:val="0"/>
          <w:numId w:val="6"/>
        </w:numPr>
        <w:spacing w:after="60" w:line="276" w:lineRule="auto"/>
        <w:rPr>
          <w:rFonts w:ascii="Arial" w:eastAsia="Calibri" w:hAnsi="Arial" w:cs="Arial"/>
          <w:sz w:val="22"/>
          <w:szCs w:val="28"/>
        </w:rPr>
      </w:pPr>
      <w:r w:rsidRPr="000F4F66">
        <w:rPr>
          <w:rFonts w:ascii="Arial" w:eastAsia="Calibri" w:hAnsi="Arial" w:cs="Arial"/>
          <w:sz w:val="22"/>
          <w:szCs w:val="28"/>
        </w:rPr>
        <w:t xml:space="preserve">Government of Indonesia. (2014). </w:t>
      </w:r>
      <w:r w:rsidRPr="000F4F66">
        <w:rPr>
          <w:rFonts w:ascii="Arial" w:eastAsia="Calibri" w:hAnsi="Arial" w:cs="Arial"/>
          <w:i/>
          <w:iCs/>
          <w:sz w:val="22"/>
          <w:szCs w:val="28"/>
        </w:rPr>
        <w:t>Law of the Republic of Indonesia Number 33 of 2014 concerning Halal product assurance</w:t>
      </w:r>
      <w:r w:rsidRPr="000F4F66">
        <w:rPr>
          <w:rFonts w:ascii="Arial" w:eastAsia="Calibri" w:hAnsi="Arial" w:cs="Arial"/>
          <w:sz w:val="22"/>
          <w:szCs w:val="28"/>
        </w:rPr>
        <w:t xml:space="preserve">. </w:t>
      </w:r>
      <w:hyperlink r:id="rId17" w:history="1">
        <w:r w:rsidRPr="000F4F66">
          <w:rPr>
            <w:rStyle w:val="Hyperlink"/>
            <w:rFonts w:ascii="Arial" w:eastAsia="Calibri" w:hAnsi="Arial" w:cs="Arial"/>
            <w:sz w:val="22"/>
            <w:szCs w:val="28"/>
          </w:rPr>
          <w:t>https://peraturan.bpk.go.id/Details/38709/uu-no-33-tahun-2014</w:t>
        </w:r>
      </w:hyperlink>
    </w:p>
    <w:p w14:paraId="4F388DBC" w14:textId="77777777" w:rsidR="000F4F66" w:rsidRDefault="000F4F66" w:rsidP="000F4F66">
      <w:pPr>
        <w:pStyle w:val="Body"/>
        <w:numPr>
          <w:ilvl w:val="0"/>
          <w:numId w:val="6"/>
        </w:numPr>
        <w:spacing w:after="60" w:line="276" w:lineRule="auto"/>
        <w:rPr>
          <w:rFonts w:ascii="Arial" w:eastAsia="Calibri" w:hAnsi="Arial" w:cs="Arial"/>
          <w:sz w:val="22"/>
          <w:szCs w:val="28"/>
        </w:rPr>
      </w:pPr>
      <w:r w:rsidRPr="000F4F66">
        <w:rPr>
          <w:rFonts w:ascii="Arial" w:eastAsia="Calibri" w:hAnsi="Arial" w:cs="Arial"/>
          <w:sz w:val="22"/>
          <w:szCs w:val="28"/>
        </w:rPr>
        <w:t xml:space="preserve">Government of Indonesia. (2024). </w:t>
      </w:r>
      <w:r w:rsidRPr="000F4F66">
        <w:rPr>
          <w:rFonts w:ascii="Arial" w:eastAsia="Calibri" w:hAnsi="Arial" w:cs="Arial"/>
          <w:i/>
          <w:iCs/>
          <w:sz w:val="22"/>
          <w:szCs w:val="28"/>
        </w:rPr>
        <w:t>Government Regulation Number 42 of 2024 concerning the implementation of Halal product assurance</w:t>
      </w:r>
      <w:r w:rsidRPr="000F4F66">
        <w:rPr>
          <w:rFonts w:ascii="Arial" w:eastAsia="Calibri" w:hAnsi="Arial" w:cs="Arial"/>
          <w:sz w:val="22"/>
          <w:szCs w:val="28"/>
        </w:rPr>
        <w:t xml:space="preserve">. </w:t>
      </w:r>
      <w:hyperlink r:id="rId18" w:history="1">
        <w:r w:rsidRPr="000F4F66">
          <w:rPr>
            <w:rStyle w:val="Hyperlink"/>
            <w:rFonts w:ascii="Arial" w:eastAsia="Calibri" w:hAnsi="Arial" w:cs="Arial"/>
            <w:sz w:val="22"/>
            <w:szCs w:val="28"/>
          </w:rPr>
          <w:t>https://peraturan.bpk.go.id/Details/304896/pp-no-42-tahun-2024</w:t>
        </w:r>
      </w:hyperlink>
    </w:p>
    <w:p w14:paraId="47A2468E" w14:textId="77777777" w:rsidR="000F4F66" w:rsidRDefault="000F4F66" w:rsidP="000F4F66">
      <w:pPr>
        <w:pStyle w:val="Body"/>
        <w:numPr>
          <w:ilvl w:val="0"/>
          <w:numId w:val="6"/>
        </w:numPr>
        <w:spacing w:after="60" w:line="276" w:lineRule="auto"/>
        <w:rPr>
          <w:rFonts w:ascii="Arial" w:eastAsia="Calibri" w:hAnsi="Arial" w:cs="Arial"/>
          <w:sz w:val="22"/>
          <w:szCs w:val="28"/>
        </w:rPr>
      </w:pPr>
      <w:r w:rsidRPr="000F4F66">
        <w:rPr>
          <w:rFonts w:ascii="Arial" w:eastAsia="Calibri" w:hAnsi="Arial" w:cs="Arial"/>
          <w:sz w:val="22"/>
          <w:szCs w:val="28"/>
        </w:rPr>
        <w:t xml:space="preserve">Halal Development Corporation. (n.d.). </w:t>
      </w:r>
      <w:r w:rsidRPr="000F4F66">
        <w:rPr>
          <w:rFonts w:ascii="Arial" w:eastAsia="Calibri" w:hAnsi="Arial" w:cs="Arial"/>
          <w:i/>
          <w:iCs/>
          <w:sz w:val="22"/>
          <w:szCs w:val="28"/>
        </w:rPr>
        <w:t>Halal Integrated Platform (HIP)</w:t>
      </w:r>
      <w:r w:rsidRPr="000F4F66">
        <w:rPr>
          <w:rFonts w:ascii="Arial" w:eastAsia="Calibri" w:hAnsi="Arial" w:cs="Arial"/>
          <w:sz w:val="22"/>
          <w:szCs w:val="28"/>
        </w:rPr>
        <w:t xml:space="preserve">. </w:t>
      </w:r>
      <w:hyperlink r:id="rId19" w:history="1">
        <w:r w:rsidRPr="000F4F66">
          <w:rPr>
            <w:rStyle w:val="Hyperlink"/>
            <w:rFonts w:ascii="Arial" w:eastAsia="Calibri" w:hAnsi="Arial" w:cs="Arial"/>
            <w:sz w:val="22"/>
            <w:szCs w:val="28"/>
          </w:rPr>
          <w:t>https://hip.hdcglobal.com</w:t>
        </w:r>
      </w:hyperlink>
    </w:p>
    <w:p w14:paraId="37798696" w14:textId="77777777" w:rsidR="000F4F66" w:rsidRDefault="000F4F66" w:rsidP="000F4F66">
      <w:pPr>
        <w:pStyle w:val="Body"/>
        <w:numPr>
          <w:ilvl w:val="0"/>
          <w:numId w:val="6"/>
        </w:numPr>
        <w:spacing w:after="60" w:line="276" w:lineRule="auto"/>
        <w:rPr>
          <w:rFonts w:ascii="Arial" w:eastAsia="Calibri" w:hAnsi="Arial" w:cs="Arial"/>
          <w:sz w:val="22"/>
          <w:szCs w:val="28"/>
        </w:rPr>
      </w:pPr>
      <w:r w:rsidRPr="000F4F66">
        <w:rPr>
          <w:rFonts w:ascii="Arial" w:eastAsia="Calibri" w:hAnsi="Arial" w:cs="Arial"/>
          <w:sz w:val="22"/>
          <w:szCs w:val="28"/>
        </w:rPr>
        <w:t xml:space="preserve">Halal Science Center, Chulalongkorn University. (n.d.). </w:t>
      </w:r>
      <w:r w:rsidRPr="000F4F66">
        <w:rPr>
          <w:rFonts w:ascii="Arial" w:eastAsia="Calibri" w:hAnsi="Arial" w:cs="Arial"/>
          <w:i/>
          <w:iCs/>
          <w:sz w:val="22"/>
          <w:szCs w:val="28"/>
        </w:rPr>
        <w:t>Halal Assurance and Liability Quality System (HAL-Q)</w:t>
      </w:r>
      <w:r w:rsidRPr="000F4F66">
        <w:rPr>
          <w:rFonts w:ascii="Arial" w:eastAsia="Calibri" w:hAnsi="Arial" w:cs="Arial"/>
          <w:sz w:val="22"/>
          <w:szCs w:val="28"/>
        </w:rPr>
        <w:t xml:space="preserve">. Retrieved July 20, 2026, from </w:t>
      </w:r>
      <w:hyperlink r:id="rId20" w:history="1">
        <w:r w:rsidRPr="000F4F66">
          <w:rPr>
            <w:rStyle w:val="Hyperlink"/>
            <w:rFonts w:ascii="Arial" w:eastAsia="Calibri" w:hAnsi="Arial" w:cs="Arial"/>
            <w:sz w:val="22"/>
            <w:szCs w:val="28"/>
          </w:rPr>
          <w:t>https://www.halalscience.org/en/hal-q-en/</w:t>
        </w:r>
      </w:hyperlink>
    </w:p>
    <w:p w14:paraId="4C2CE988" w14:textId="77777777" w:rsidR="000F4F66" w:rsidRDefault="000F4F66" w:rsidP="000F4F66">
      <w:pPr>
        <w:pStyle w:val="Body"/>
        <w:numPr>
          <w:ilvl w:val="0"/>
          <w:numId w:val="6"/>
        </w:numPr>
        <w:spacing w:after="60" w:line="276" w:lineRule="auto"/>
        <w:jc w:val="left"/>
        <w:rPr>
          <w:rFonts w:ascii="Arial" w:eastAsia="Calibri" w:hAnsi="Arial" w:cs="Arial"/>
          <w:sz w:val="22"/>
          <w:szCs w:val="28"/>
        </w:rPr>
      </w:pPr>
      <w:proofErr w:type="spellStart"/>
      <w:r w:rsidRPr="000F4F66">
        <w:rPr>
          <w:rFonts w:ascii="Arial" w:eastAsia="Calibri" w:hAnsi="Arial" w:cs="Arial"/>
          <w:sz w:val="22"/>
          <w:szCs w:val="28"/>
        </w:rPr>
        <w:t>Jabatan</w:t>
      </w:r>
      <w:proofErr w:type="spellEnd"/>
      <w:r w:rsidRPr="000F4F66">
        <w:rPr>
          <w:rFonts w:ascii="Arial" w:eastAsia="Calibri" w:hAnsi="Arial" w:cs="Arial"/>
          <w:sz w:val="22"/>
          <w:szCs w:val="28"/>
        </w:rPr>
        <w:t xml:space="preserve"> </w:t>
      </w:r>
      <w:proofErr w:type="spellStart"/>
      <w:r w:rsidRPr="000F4F66">
        <w:rPr>
          <w:rFonts w:ascii="Arial" w:eastAsia="Calibri" w:hAnsi="Arial" w:cs="Arial"/>
          <w:sz w:val="22"/>
          <w:szCs w:val="28"/>
        </w:rPr>
        <w:t>Kemajuan</w:t>
      </w:r>
      <w:proofErr w:type="spellEnd"/>
      <w:r w:rsidRPr="000F4F66">
        <w:rPr>
          <w:rFonts w:ascii="Arial" w:eastAsia="Calibri" w:hAnsi="Arial" w:cs="Arial"/>
          <w:sz w:val="22"/>
          <w:szCs w:val="28"/>
        </w:rPr>
        <w:t xml:space="preserve"> Islam Malaysia. (2023). </w:t>
      </w:r>
      <w:r w:rsidRPr="000F4F66">
        <w:rPr>
          <w:rFonts w:ascii="Arial" w:eastAsia="Calibri" w:hAnsi="Arial" w:cs="Arial"/>
          <w:i/>
          <w:iCs/>
          <w:sz w:val="22"/>
          <w:szCs w:val="28"/>
        </w:rPr>
        <w:t>Malaysian Halal certification procedure for international manufacturing</w:t>
      </w:r>
      <w:r w:rsidRPr="000F4F66">
        <w:rPr>
          <w:rFonts w:ascii="Arial" w:eastAsia="Calibri" w:hAnsi="Arial" w:cs="Arial"/>
          <w:sz w:val="22"/>
          <w:szCs w:val="28"/>
        </w:rPr>
        <w:t xml:space="preserve">. </w:t>
      </w:r>
      <w:hyperlink r:id="rId21" w:history="1">
        <w:r w:rsidRPr="000F4F66">
          <w:rPr>
            <w:rStyle w:val="Hyperlink"/>
            <w:rFonts w:ascii="Arial" w:eastAsia="Calibri" w:hAnsi="Arial" w:cs="Arial"/>
            <w:sz w:val="22"/>
            <w:szCs w:val="28"/>
          </w:rPr>
          <w:t>https://www.halal.gov.my/index.php?content_id=202312216583f5b3aa5d9&amp;data=bW9kdWxlcy9jb250ZW50X2RldGFpbHM7Ozs%3D&amp;page_title=News</w:t>
        </w:r>
      </w:hyperlink>
    </w:p>
    <w:p w14:paraId="7207D35B" w14:textId="77777777" w:rsidR="000F4F66" w:rsidRDefault="000F4F66" w:rsidP="000F4F66">
      <w:pPr>
        <w:pStyle w:val="Body"/>
        <w:numPr>
          <w:ilvl w:val="0"/>
          <w:numId w:val="6"/>
        </w:numPr>
        <w:spacing w:after="60" w:line="276" w:lineRule="auto"/>
        <w:rPr>
          <w:rFonts w:ascii="Arial" w:eastAsia="Calibri" w:hAnsi="Arial" w:cs="Arial"/>
          <w:sz w:val="22"/>
          <w:szCs w:val="28"/>
        </w:rPr>
      </w:pPr>
      <w:proofErr w:type="spellStart"/>
      <w:r w:rsidRPr="000F4F66">
        <w:rPr>
          <w:rFonts w:ascii="Arial" w:eastAsia="Calibri" w:hAnsi="Arial" w:cs="Arial"/>
          <w:sz w:val="22"/>
          <w:szCs w:val="28"/>
        </w:rPr>
        <w:t>Jabatan</w:t>
      </w:r>
      <w:proofErr w:type="spellEnd"/>
      <w:r w:rsidRPr="000F4F66">
        <w:rPr>
          <w:rFonts w:ascii="Arial" w:eastAsia="Calibri" w:hAnsi="Arial" w:cs="Arial"/>
          <w:sz w:val="22"/>
          <w:szCs w:val="28"/>
        </w:rPr>
        <w:t xml:space="preserve"> </w:t>
      </w:r>
      <w:proofErr w:type="spellStart"/>
      <w:r w:rsidRPr="000F4F66">
        <w:rPr>
          <w:rFonts w:ascii="Arial" w:eastAsia="Calibri" w:hAnsi="Arial" w:cs="Arial"/>
          <w:sz w:val="22"/>
          <w:szCs w:val="28"/>
        </w:rPr>
        <w:t>Kemajuan</w:t>
      </w:r>
      <w:proofErr w:type="spellEnd"/>
      <w:r w:rsidRPr="000F4F66">
        <w:rPr>
          <w:rFonts w:ascii="Arial" w:eastAsia="Calibri" w:hAnsi="Arial" w:cs="Arial"/>
          <w:sz w:val="22"/>
          <w:szCs w:val="28"/>
        </w:rPr>
        <w:t xml:space="preserve"> Islam Malaysia. (2026). </w:t>
      </w:r>
      <w:r w:rsidRPr="000F4F66">
        <w:rPr>
          <w:rFonts w:ascii="Arial" w:eastAsia="Calibri" w:hAnsi="Arial" w:cs="Arial"/>
          <w:i/>
          <w:iCs/>
          <w:sz w:val="22"/>
          <w:szCs w:val="28"/>
        </w:rPr>
        <w:t xml:space="preserve">The </w:t>
      </w:r>
      <w:proofErr w:type="spellStart"/>
      <w:r w:rsidRPr="000F4F66">
        <w:rPr>
          <w:rFonts w:ascii="Arial" w:eastAsia="Calibri" w:hAnsi="Arial" w:cs="Arial"/>
          <w:i/>
          <w:iCs/>
          <w:sz w:val="22"/>
          <w:szCs w:val="28"/>
        </w:rPr>
        <w:t>recognised</w:t>
      </w:r>
      <w:proofErr w:type="spellEnd"/>
      <w:r w:rsidRPr="000F4F66">
        <w:rPr>
          <w:rFonts w:ascii="Arial" w:eastAsia="Calibri" w:hAnsi="Arial" w:cs="Arial"/>
          <w:i/>
          <w:iCs/>
          <w:sz w:val="22"/>
          <w:szCs w:val="28"/>
        </w:rPr>
        <w:t xml:space="preserve"> foreign Halal certification bodies and authorities</w:t>
      </w:r>
      <w:r w:rsidRPr="000F4F66">
        <w:rPr>
          <w:rFonts w:ascii="Arial" w:eastAsia="Calibri" w:hAnsi="Arial" w:cs="Arial"/>
          <w:sz w:val="22"/>
          <w:szCs w:val="28"/>
        </w:rPr>
        <w:t xml:space="preserve">. </w:t>
      </w:r>
      <w:hyperlink r:id="rId22" w:history="1">
        <w:r w:rsidRPr="000F4F66">
          <w:rPr>
            <w:rStyle w:val="Hyperlink"/>
            <w:rFonts w:ascii="Arial" w:eastAsia="Calibri" w:hAnsi="Arial" w:cs="Arial"/>
            <w:sz w:val="22"/>
            <w:szCs w:val="28"/>
          </w:rPr>
          <w:t>https://myehalal.halal.gov.my/portal-halal/v1/pdf/cb/FHCB30012026.pdf</w:t>
        </w:r>
      </w:hyperlink>
    </w:p>
    <w:p w14:paraId="314438CE" w14:textId="77777777" w:rsidR="000F4F66" w:rsidRDefault="000F4F66" w:rsidP="000F4F66">
      <w:pPr>
        <w:pStyle w:val="Body"/>
        <w:numPr>
          <w:ilvl w:val="0"/>
          <w:numId w:val="6"/>
        </w:numPr>
        <w:spacing w:after="60" w:line="276" w:lineRule="auto"/>
        <w:rPr>
          <w:rFonts w:ascii="Arial" w:eastAsia="Calibri" w:hAnsi="Arial" w:cs="Arial"/>
          <w:sz w:val="22"/>
          <w:szCs w:val="28"/>
        </w:rPr>
      </w:pPr>
      <w:r w:rsidRPr="000F4F66">
        <w:rPr>
          <w:rFonts w:ascii="Arial" w:eastAsia="Calibri" w:hAnsi="Arial" w:cs="Arial"/>
          <w:sz w:val="22"/>
          <w:szCs w:val="28"/>
        </w:rPr>
        <w:t xml:space="preserve">Johan, E., &amp; </w:t>
      </w:r>
      <w:proofErr w:type="spellStart"/>
      <w:r w:rsidRPr="000F4F66">
        <w:rPr>
          <w:rFonts w:ascii="Arial" w:eastAsia="Calibri" w:hAnsi="Arial" w:cs="Arial"/>
          <w:sz w:val="22"/>
          <w:szCs w:val="28"/>
        </w:rPr>
        <w:t>Schebesta</w:t>
      </w:r>
      <w:proofErr w:type="spellEnd"/>
      <w:r w:rsidRPr="000F4F66">
        <w:rPr>
          <w:rFonts w:ascii="Arial" w:eastAsia="Calibri" w:hAnsi="Arial" w:cs="Arial"/>
          <w:sz w:val="22"/>
          <w:szCs w:val="28"/>
        </w:rPr>
        <w:t xml:space="preserve">, H. (2022). Religious regulation meets international trade law: Halal measures, a trade obstacle? Evidence from the SPS and TBT Committees. </w:t>
      </w:r>
      <w:r w:rsidRPr="000F4F66">
        <w:rPr>
          <w:rFonts w:ascii="Arial" w:eastAsia="Calibri" w:hAnsi="Arial" w:cs="Arial"/>
          <w:i/>
          <w:iCs/>
          <w:sz w:val="22"/>
          <w:szCs w:val="28"/>
        </w:rPr>
        <w:t>Journal of International Economic Law, 25</w:t>
      </w:r>
      <w:r w:rsidRPr="000F4F66">
        <w:rPr>
          <w:rFonts w:ascii="Arial" w:eastAsia="Calibri" w:hAnsi="Arial" w:cs="Arial"/>
          <w:sz w:val="22"/>
          <w:szCs w:val="28"/>
        </w:rPr>
        <w:t xml:space="preserve">(1), 61-73. </w:t>
      </w:r>
      <w:hyperlink r:id="rId23" w:history="1">
        <w:r w:rsidRPr="000F4F66">
          <w:rPr>
            <w:rStyle w:val="Hyperlink"/>
            <w:rFonts w:ascii="Arial" w:eastAsia="Calibri" w:hAnsi="Arial" w:cs="Arial"/>
            <w:sz w:val="22"/>
            <w:szCs w:val="28"/>
          </w:rPr>
          <w:t>https://doi.org/10.1093/jiel/jgac003</w:t>
        </w:r>
      </w:hyperlink>
    </w:p>
    <w:p w14:paraId="2143FC4C" w14:textId="77777777" w:rsidR="000F4F66" w:rsidRDefault="000F4F66" w:rsidP="000F4F66">
      <w:pPr>
        <w:pStyle w:val="Body"/>
        <w:numPr>
          <w:ilvl w:val="0"/>
          <w:numId w:val="6"/>
        </w:numPr>
        <w:spacing w:after="60" w:line="276" w:lineRule="auto"/>
        <w:rPr>
          <w:rFonts w:ascii="Arial" w:eastAsia="Calibri" w:hAnsi="Arial" w:cs="Arial"/>
          <w:sz w:val="22"/>
          <w:szCs w:val="28"/>
        </w:rPr>
      </w:pPr>
      <w:r w:rsidRPr="000F4F66">
        <w:rPr>
          <w:rFonts w:ascii="Arial" w:eastAsia="Calibri" w:hAnsi="Arial" w:cs="Arial"/>
          <w:sz w:val="22"/>
          <w:szCs w:val="28"/>
        </w:rPr>
        <w:t xml:space="preserve">Ministry of Investment, Trade and Industry Malaysia. (2023). </w:t>
      </w:r>
      <w:r w:rsidRPr="000F4F66">
        <w:rPr>
          <w:rFonts w:ascii="Arial" w:eastAsia="Calibri" w:hAnsi="Arial" w:cs="Arial"/>
          <w:i/>
          <w:iCs/>
          <w:sz w:val="22"/>
          <w:szCs w:val="28"/>
        </w:rPr>
        <w:t>Halal Industry Master Plan 2030 launched to strengthen Malaysia's leadership in the global Halal industry</w:t>
      </w:r>
      <w:r w:rsidRPr="000F4F66">
        <w:rPr>
          <w:rFonts w:ascii="Arial" w:eastAsia="Calibri" w:hAnsi="Arial" w:cs="Arial"/>
          <w:sz w:val="22"/>
          <w:szCs w:val="28"/>
        </w:rPr>
        <w:t>.</w:t>
      </w:r>
    </w:p>
    <w:p w14:paraId="4832B1B2" w14:textId="77777777" w:rsidR="000F4F66" w:rsidRDefault="000F4F66" w:rsidP="000F4F66">
      <w:pPr>
        <w:pStyle w:val="Body"/>
        <w:numPr>
          <w:ilvl w:val="0"/>
          <w:numId w:val="6"/>
        </w:numPr>
        <w:spacing w:after="60" w:line="276" w:lineRule="auto"/>
        <w:rPr>
          <w:rFonts w:ascii="Arial" w:eastAsia="Calibri" w:hAnsi="Arial" w:cs="Arial"/>
          <w:sz w:val="22"/>
          <w:szCs w:val="28"/>
        </w:rPr>
      </w:pPr>
      <w:r w:rsidRPr="000F4F66">
        <w:rPr>
          <w:rFonts w:ascii="Arial" w:eastAsia="Calibri" w:hAnsi="Arial" w:cs="Arial"/>
          <w:sz w:val="22"/>
          <w:szCs w:val="28"/>
        </w:rPr>
        <w:t xml:space="preserve">Ministry of Industry and Trade of Vietnam. (2026). </w:t>
      </w:r>
      <w:r w:rsidRPr="000F4F66">
        <w:rPr>
          <w:rFonts w:ascii="Arial" w:eastAsia="Calibri" w:hAnsi="Arial" w:cs="Arial"/>
          <w:i/>
          <w:iCs/>
          <w:sz w:val="22"/>
          <w:szCs w:val="28"/>
        </w:rPr>
        <w:t>Vietnam-Malaysia trade records strong growth in the first five months of 2026</w:t>
      </w:r>
      <w:r w:rsidRPr="000F4F66">
        <w:rPr>
          <w:rFonts w:ascii="Arial" w:eastAsia="Calibri" w:hAnsi="Arial" w:cs="Arial"/>
          <w:sz w:val="22"/>
          <w:szCs w:val="28"/>
        </w:rPr>
        <w:t xml:space="preserve">. </w:t>
      </w:r>
      <w:hyperlink r:id="rId24" w:history="1">
        <w:r w:rsidRPr="000F4F66">
          <w:rPr>
            <w:rStyle w:val="Hyperlink"/>
            <w:rFonts w:ascii="Arial" w:eastAsia="Calibri" w:hAnsi="Arial" w:cs="Arial"/>
            <w:sz w:val="22"/>
            <w:szCs w:val="28"/>
          </w:rPr>
          <w:t>https://moit.gov.vn/en/news/vietnam-malaysia-trade-records-strong-growth-in-five-months-of-2026.html</w:t>
        </w:r>
      </w:hyperlink>
    </w:p>
    <w:p w14:paraId="5BD7DB72" w14:textId="77777777" w:rsidR="000F4F66" w:rsidRDefault="000F4F66" w:rsidP="000F4F66">
      <w:pPr>
        <w:pStyle w:val="Body"/>
        <w:numPr>
          <w:ilvl w:val="0"/>
          <w:numId w:val="6"/>
        </w:numPr>
        <w:spacing w:after="60" w:line="276" w:lineRule="auto"/>
        <w:rPr>
          <w:rFonts w:ascii="Arial" w:eastAsia="Calibri" w:hAnsi="Arial" w:cs="Arial"/>
          <w:sz w:val="22"/>
          <w:szCs w:val="28"/>
        </w:rPr>
      </w:pPr>
      <w:r w:rsidRPr="000F4F66">
        <w:rPr>
          <w:rFonts w:ascii="Arial" w:eastAsia="Calibri" w:hAnsi="Arial" w:cs="Arial"/>
          <w:sz w:val="22"/>
          <w:szCs w:val="28"/>
        </w:rPr>
        <w:t xml:space="preserve">National Halal Certification Center. (2024a). </w:t>
      </w:r>
      <w:r w:rsidRPr="000F4F66">
        <w:rPr>
          <w:rFonts w:ascii="Arial" w:eastAsia="Calibri" w:hAnsi="Arial" w:cs="Arial"/>
          <w:i/>
          <w:iCs/>
          <w:sz w:val="22"/>
          <w:szCs w:val="28"/>
        </w:rPr>
        <w:t>About HALCERT and Vietnam's Halal infrastructure</w:t>
      </w:r>
      <w:r w:rsidRPr="000F4F66">
        <w:rPr>
          <w:rFonts w:ascii="Arial" w:eastAsia="Calibri" w:hAnsi="Arial" w:cs="Arial"/>
          <w:sz w:val="22"/>
          <w:szCs w:val="28"/>
        </w:rPr>
        <w:t xml:space="preserve">. </w:t>
      </w:r>
      <w:hyperlink r:id="rId25" w:history="1">
        <w:r w:rsidRPr="000F4F66">
          <w:rPr>
            <w:rStyle w:val="Hyperlink"/>
            <w:rFonts w:ascii="Arial" w:eastAsia="Calibri" w:hAnsi="Arial" w:cs="Arial"/>
            <w:sz w:val="22"/>
            <w:szCs w:val="28"/>
          </w:rPr>
          <w:t>https://halcert.mst.gov.vn/</w:t>
        </w:r>
      </w:hyperlink>
    </w:p>
    <w:p w14:paraId="030A7FD5" w14:textId="77777777" w:rsidR="000F4F66" w:rsidRDefault="000F4F66" w:rsidP="000F4F66">
      <w:pPr>
        <w:pStyle w:val="Body"/>
        <w:numPr>
          <w:ilvl w:val="0"/>
          <w:numId w:val="6"/>
        </w:numPr>
        <w:spacing w:after="60" w:line="276" w:lineRule="auto"/>
        <w:rPr>
          <w:rFonts w:ascii="Arial" w:eastAsia="Calibri" w:hAnsi="Arial" w:cs="Arial"/>
          <w:sz w:val="22"/>
          <w:szCs w:val="28"/>
        </w:rPr>
      </w:pPr>
      <w:r w:rsidRPr="000F4F66">
        <w:rPr>
          <w:rFonts w:ascii="Arial" w:eastAsia="Calibri" w:hAnsi="Arial" w:cs="Arial"/>
          <w:sz w:val="22"/>
          <w:szCs w:val="28"/>
        </w:rPr>
        <w:t xml:space="preserve">National Halal Certification Center. (2024b). </w:t>
      </w:r>
      <w:r w:rsidRPr="000F4F66">
        <w:rPr>
          <w:rFonts w:ascii="Arial" w:eastAsia="Calibri" w:hAnsi="Arial" w:cs="Arial"/>
          <w:i/>
          <w:iCs/>
          <w:sz w:val="22"/>
          <w:szCs w:val="28"/>
        </w:rPr>
        <w:t>Meeting Halal standards: Paving the way for businesses to enter the Islamic market</w:t>
      </w:r>
      <w:r w:rsidRPr="000F4F66">
        <w:rPr>
          <w:rFonts w:ascii="Arial" w:eastAsia="Calibri" w:hAnsi="Arial" w:cs="Arial"/>
          <w:sz w:val="22"/>
          <w:szCs w:val="28"/>
        </w:rPr>
        <w:t xml:space="preserve">. </w:t>
      </w:r>
      <w:hyperlink r:id="rId26" w:history="1">
        <w:r w:rsidRPr="000F4F66">
          <w:rPr>
            <w:rStyle w:val="Hyperlink"/>
            <w:rFonts w:ascii="Arial" w:eastAsia="Calibri" w:hAnsi="Arial" w:cs="Arial"/>
            <w:sz w:val="22"/>
            <w:szCs w:val="28"/>
          </w:rPr>
          <w:t>https://halcert.mst.gov.vn/en/tap-san/meeting-halal-standards-paving-the-way-for-businesses-to-enter-the-islamic-market/</w:t>
        </w:r>
      </w:hyperlink>
    </w:p>
    <w:p w14:paraId="44D6B292" w14:textId="77777777" w:rsidR="000F4F66" w:rsidRDefault="000F4F66" w:rsidP="000F4F66">
      <w:pPr>
        <w:pStyle w:val="Body"/>
        <w:numPr>
          <w:ilvl w:val="0"/>
          <w:numId w:val="6"/>
        </w:numPr>
        <w:spacing w:after="60" w:line="276" w:lineRule="auto"/>
        <w:rPr>
          <w:rFonts w:ascii="Arial" w:eastAsia="Calibri" w:hAnsi="Arial" w:cs="Arial"/>
          <w:sz w:val="22"/>
          <w:szCs w:val="28"/>
        </w:rPr>
      </w:pPr>
      <w:proofErr w:type="spellStart"/>
      <w:r w:rsidRPr="000F4F66">
        <w:rPr>
          <w:rFonts w:ascii="Arial" w:eastAsia="Calibri" w:hAnsi="Arial" w:cs="Arial"/>
          <w:sz w:val="22"/>
          <w:szCs w:val="28"/>
        </w:rPr>
        <w:t>Rejeb</w:t>
      </w:r>
      <w:proofErr w:type="spellEnd"/>
      <w:r w:rsidRPr="000F4F66">
        <w:rPr>
          <w:rFonts w:ascii="Arial" w:eastAsia="Calibri" w:hAnsi="Arial" w:cs="Arial"/>
          <w:sz w:val="22"/>
          <w:szCs w:val="28"/>
        </w:rPr>
        <w:t xml:space="preserve">, A., Keogh, J. G., </w:t>
      </w:r>
      <w:proofErr w:type="spellStart"/>
      <w:r w:rsidRPr="000F4F66">
        <w:rPr>
          <w:rFonts w:ascii="Arial" w:eastAsia="Calibri" w:hAnsi="Arial" w:cs="Arial"/>
          <w:sz w:val="22"/>
          <w:szCs w:val="28"/>
        </w:rPr>
        <w:t>Rejeb</w:t>
      </w:r>
      <w:proofErr w:type="spellEnd"/>
      <w:r w:rsidRPr="000F4F66">
        <w:rPr>
          <w:rFonts w:ascii="Arial" w:eastAsia="Calibri" w:hAnsi="Arial" w:cs="Arial"/>
          <w:sz w:val="22"/>
          <w:szCs w:val="28"/>
        </w:rPr>
        <w:t xml:space="preserve">, K., &amp; Dean, K. (2021). Halal food supply chains: A literature review of sustainable measures and future research directions. </w:t>
      </w:r>
      <w:r w:rsidRPr="000F4F66">
        <w:rPr>
          <w:rFonts w:ascii="Arial" w:eastAsia="Calibri" w:hAnsi="Arial" w:cs="Arial"/>
          <w:i/>
          <w:iCs/>
          <w:sz w:val="22"/>
          <w:szCs w:val="28"/>
        </w:rPr>
        <w:t>Foods and Raw Materials, 9</w:t>
      </w:r>
      <w:r w:rsidRPr="000F4F66">
        <w:rPr>
          <w:rFonts w:ascii="Arial" w:eastAsia="Calibri" w:hAnsi="Arial" w:cs="Arial"/>
          <w:sz w:val="22"/>
          <w:szCs w:val="28"/>
        </w:rPr>
        <w:t xml:space="preserve">(1), 106-116. </w:t>
      </w:r>
      <w:hyperlink r:id="rId27" w:history="1">
        <w:r w:rsidRPr="000F4F66">
          <w:rPr>
            <w:rStyle w:val="Hyperlink"/>
            <w:rFonts w:ascii="Arial" w:eastAsia="Calibri" w:hAnsi="Arial" w:cs="Arial"/>
            <w:sz w:val="22"/>
            <w:szCs w:val="28"/>
          </w:rPr>
          <w:t>https://doi.org/10.21603/2308-4057-2021-1-106-116</w:t>
        </w:r>
      </w:hyperlink>
    </w:p>
    <w:p w14:paraId="7B8D5A9D" w14:textId="77777777" w:rsidR="000F4F66" w:rsidRDefault="000F4F66" w:rsidP="000F4F66">
      <w:pPr>
        <w:pStyle w:val="Body"/>
        <w:numPr>
          <w:ilvl w:val="0"/>
          <w:numId w:val="6"/>
        </w:numPr>
        <w:spacing w:after="60" w:line="276" w:lineRule="auto"/>
        <w:rPr>
          <w:rFonts w:ascii="Arial" w:eastAsia="Calibri" w:hAnsi="Arial" w:cs="Arial"/>
          <w:sz w:val="22"/>
          <w:szCs w:val="28"/>
        </w:rPr>
      </w:pPr>
      <w:r w:rsidRPr="000F4F66">
        <w:rPr>
          <w:rFonts w:ascii="Arial" w:eastAsia="Calibri" w:hAnsi="Arial" w:cs="Arial"/>
          <w:sz w:val="22"/>
          <w:szCs w:val="28"/>
        </w:rPr>
        <w:lastRenderedPageBreak/>
        <w:t xml:space="preserve">Soon, J. M., Chandia, M., &amp; Regenstein, J. M. (2017). Halal integrity in the food supply chain. </w:t>
      </w:r>
      <w:r w:rsidRPr="000F4F66">
        <w:rPr>
          <w:rFonts w:ascii="Arial" w:eastAsia="Calibri" w:hAnsi="Arial" w:cs="Arial"/>
          <w:i/>
          <w:iCs/>
          <w:sz w:val="22"/>
          <w:szCs w:val="28"/>
        </w:rPr>
        <w:t>British Food Journal, 119</w:t>
      </w:r>
      <w:r w:rsidRPr="000F4F66">
        <w:rPr>
          <w:rFonts w:ascii="Arial" w:eastAsia="Calibri" w:hAnsi="Arial" w:cs="Arial"/>
          <w:sz w:val="22"/>
          <w:szCs w:val="28"/>
        </w:rPr>
        <w:t xml:space="preserve">(1), 39-51. </w:t>
      </w:r>
      <w:hyperlink r:id="rId28" w:history="1">
        <w:r w:rsidRPr="000F4F66">
          <w:rPr>
            <w:rStyle w:val="Hyperlink"/>
            <w:rFonts w:ascii="Arial" w:eastAsia="Calibri" w:hAnsi="Arial" w:cs="Arial"/>
            <w:sz w:val="22"/>
            <w:szCs w:val="28"/>
          </w:rPr>
          <w:t>https://doi.org/10.1108/BFJ-04-2016-0150</w:t>
        </w:r>
      </w:hyperlink>
    </w:p>
    <w:p w14:paraId="78DA2621" w14:textId="77777777" w:rsidR="000F4F66" w:rsidRDefault="000F4F66" w:rsidP="000F4F66">
      <w:pPr>
        <w:pStyle w:val="Body"/>
        <w:numPr>
          <w:ilvl w:val="0"/>
          <w:numId w:val="6"/>
        </w:numPr>
        <w:spacing w:after="60" w:line="276" w:lineRule="auto"/>
        <w:rPr>
          <w:rFonts w:ascii="Arial" w:eastAsia="Calibri" w:hAnsi="Arial" w:cs="Arial"/>
          <w:sz w:val="22"/>
          <w:szCs w:val="28"/>
        </w:rPr>
      </w:pPr>
      <w:r w:rsidRPr="000F4F66">
        <w:rPr>
          <w:rFonts w:ascii="Arial" w:eastAsia="Calibri" w:hAnsi="Arial" w:cs="Arial"/>
          <w:sz w:val="22"/>
          <w:szCs w:val="28"/>
        </w:rPr>
        <w:t xml:space="preserve">Prime Minister of Vietnam. (2023). </w:t>
      </w:r>
      <w:r w:rsidRPr="000F4F66">
        <w:rPr>
          <w:rFonts w:ascii="Arial" w:eastAsia="Calibri" w:hAnsi="Arial" w:cs="Arial"/>
          <w:i/>
          <w:iCs/>
          <w:sz w:val="22"/>
          <w:szCs w:val="28"/>
        </w:rPr>
        <w:t>Decision No. 10/QD-</w:t>
      </w:r>
      <w:proofErr w:type="spellStart"/>
      <w:r w:rsidRPr="000F4F66">
        <w:rPr>
          <w:rFonts w:ascii="Arial" w:eastAsia="Calibri" w:hAnsi="Arial" w:cs="Arial"/>
          <w:i/>
          <w:iCs/>
          <w:sz w:val="22"/>
          <w:szCs w:val="28"/>
        </w:rPr>
        <w:t>TTg</w:t>
      </w:r>
      <w:proofErr w:type="spellEnd"/>
      <w:r w:rsidRPr="000F4F66">
        <w:rPr>
          <w:rFonts w:ascii="Arial" w:eastAsia="Calibri" w:hAnsi="Arial" w:cs="Arial"/>
          <w:i/>
          <w:iCs/>
          <w:sz w:val="22"/>
          <w:szCs w:val="28"/>
        </w:rPr>
        <w:t xml:space="preserve"> dated February 14, 2023, approving the project “Strengthening international cooperation to build and develop Vietnam’s Halal industry through 2030”</w:t>
      </w:r>
      <w:r w:rsidRPr="000F4F66">
        <w:rPr>
          <w:rFonts w:ascii="Arial" w:eastAsia="Calibri" w:hAnsi="Arial" w:cs="Arial"/>
          <w:sz w:val="22"/>
          <w:szCs w:val="28"/>
        </w:rPr>
        <w:t>.</w:t>
      </w:r>
    </w:p>
    <w:p w14:paraId="63F5ABCF" w14:textId="77777777" w:rsidR="000F4F66" w:rsidRPr="000F4F66" w:rsidRDefault="000F4F66" w:rsidP="000F4F66">
      <w:pPr>
        <w:pStyle w:val="Body"/>
        <w:numPr>
          <w:ilvl w:val="0"/>
          <w:numId w:val="6"/>
        </w:numPr>
        <w:spacing w:after="60" w:line="276" w:lineRule="auto"/>
        <w:rPr>
          <w:rFonts w:ascii="Arial" w:eastAsia="Calibri" w:hAnsi="Arial" w:cs="Arial"/>
          <w:sz w:val="22"/>
          <w:szCs w:val="28"/>
        </w:rPr>
      </w:pPr>
      <w:r w:rsidRPr="000F4F66">
        <w:rPr>
          <w:rFonts w:ascii="Arial" w:eastAsia="Calibri" w:hAnsi="Arial" w:cs="Arial"/>
          <w:sz w:val="22"/>
          <w:szCs w:val="28"/>
        </w:rPr>
        <w:t xml:space="preserve">Tieman, M., van der Vorst, J. G. A. J., &amp; Ghazali, M. C. (2012). Principles in Halal supply chain management. </w:t>
      </w:r>
      <w:r w:rsidRPr="000F4F66">
        <w:rPr>
          <w:rFonts w:ascii="Arial" w:eastAsia="Calibri" w:hAnsi="Arial" w:cs="Arial"/>
          <w:i/>
          <w:iCs/>
          <w:sz w:val="22"/>
          <w:szCs w:val="28"/>
        </w:rPr>
        <w:t>Journal of Islamic Marketing, 3</w:t>
      </w:r>
      <w:r w:rsidRPr="000F4F66">
        <w:rPr>
          <w:rFonts w:ascii="Arial" w:eastAsia="Calibri" w:hAnsi="Arial" w:cs="Arial"/>
          <w:sz w:val="22"/>
          <w:szCs w:val="28"/>
        </w:rPr>
        <w:t>(3), 217-243. https://doi.org/10.1108/17590831211259727</w:t>
      </w:r>
    </w:p>
    <w:p w14:paraId="62CD0CB9" w14:textId="77777777" w:rsidR="000F4F66" w:rsidRDefault="000F4F66" w:rsidP="00DF578C">
      <w:pPr>
        <w:pStyle w:val="Body"/>
        <w:spacing w:after="60" w:line="276" w:lineRule="auto"/>
        <w:rPr>
          <w:rFonts w:ascii="Arial" w:eastAsia="Calibri" w:hAnsi="Arial" w:cs="Arial"/>
          <w:sz w:val="22"/>
          <w:szCs w:val="28"/>
        </w:rPr>
      </w:pPr>
    </w:p>
    <w:p w14:paraId="205E336F" w14:textId="77777777" w:rsidR="00DF578C" w:rsidRDefault="00DF578C" w:rsidP="008103CE">
      <w:pPr>
        <w:pStyle w:val="Body"/>
        <w:spacing w:after="60" w:line="276" w:lineRule="auto"/>
        <w:rPr>
          <w:rFonts w:ascii="Arial" w:eastAsia="Calibri" w:hAnsi="Arial" w:cs="Arial"/>
          <w:b/>
          <w:sz w:val="22"/>
          <w:szCs w:val="28"/>
        </w:rPr>
      </w:pPr>
    </w:p>
    <w:p w14:paraId="58E7EC75" w14:textId="77777777" w:rsidR="00DF578C" w:rsidRDefault="00DF578C" w:rsidP="008103CE">
      <w:pPr>
        <w:pStyle w:val="Body"/>
        <w:spacing w:after="60" w:line="276" w:lineRule="auto"/>
        <w:rPr>
          <w:rFonts w:ascii="Arial" w:eastAsia="Calibri" w:hAnsi="Arial" w:cs="Arial"/>
          <w:b/>
          <w:sz w:val="22"/>
          <w:szCs w:val="28"/>
        </w:rPr>
      </w:pPr>
    </w:p>
    <w:p w14:paraId="54673B1D" w14:textId="77777777" w:rsidR="00DF578C" w:rsidRDefault="00DF578C" w:rsidP="008103CE">
      <w:pPr>
        <w:pStyle w:val="Body"/>
        <w:spacing w:after="60" w:line="276" w:lineRule="auto"/>
        <w:rPr>
          <w:rFonts w:ascii="Arial" w:eastAsia="Calibri" w:hAnsi="Arial" w:cs="Arial"/>
          <w:b/>
          <w:sz w:val="22"/>
          <w:szCs w:val="28"/>
        </w:rPr>
      </w:pPr>
    </w:p>
    <w:p w14:paraId="1753B5FB" w14:textId="77777777" w:rsidR="00DF578C" w:rsidRDefault="00DF578C" w:rsidP="008103CE">
      <w:pPr>
        <w:pStyle w:val="Body"/>
        <w:spacing w:after="60" w:line="276" w:lineRule="auto"/>
        <w:rPr>
          <w:rFonts w:ascii="Arial" w:eastAsia="Calibri" w:hAnsi="Arial" w:cs="Arial"/>
          <w:b/>
          <w:sz w:val="22"/>
          <w:szCs w:val="28"/>
        </w:rPr>
      </w:pPr>
    </w:p>
    <w:p w14:paraId="01792DFD" w14:textId="77777777" w:rsidR="00DF578C" w:rsidRDefault="00DF578C" w:rsidP="008103CE">
      <w:pPr>
        <w:pStyle w:val="Body"/>
        <w:spacing w:after="60" w:line="276" w:lineRule="auto"/>
        <w:rPr>
          <w:rFonts w:ascii="Arial" w:eastAsia="Calibri" w:hAnsi="Arial" w:cs="Arial"/>
          <w:b/>
          <w:sz w:val="22"/>
          <w:szCs w:val="28"/>
        </w:rPr>
      </w:pPr>
    </w:p>
    <w:p w14:paraId="20E5E12F" w14:textId="77777777" w:rsidR="00DF578C" w:rsidRDefault="00DF578C" w:rsidP="008103CE">
      <w:pPr>
        <w:pStyle w:val="Body"/>
        <w:spacing w:after="60" w:line="276" w:lineRule="auto"/>
        <w:rPr>
          <w:rFonts w:ascii="Arial" w:eastAsia="Calibri" w:hAnsi="Arial" w:cs="Arial"/>
          <w:b/>
          <w:sz w:val="22"/>
          <w:szCs w:val="28"/>
        </w:rPr>
      </w:pPr>
    </w:p>
    <w:p w14:paraId="2DFC8A3D" w14:textId="77777777" w:rsidR="00DF578C" w:rsidRDefault="00DF578C" w:rsidP="008103CE">
      <w:pPr>
        <w:pStyle w:val="Body"/>
        <w:spacing w:after="60" w:line="276" w:lineRule="auto"/>
        <w:rPr>
          <w:rFonts w:ascii="Arial" w:hAnsi="Arial" w:cs="Arial"/>
        </w:rPr>
      </w:pPr>
    </w:p>
    <w:sectPr w:rsidR="00DF578C" w:rsidSect="00FF59B1">
      <w:headerReference w:type="even" r:id="rId29"/>
      <w:headerReference w:type="default" r:id="rId30"/>
      <w:footerReference w:type="even" r:id="rId31"/>
      <w:footerReference w:type="default" r:id="rId32"/>
      <w:headerReference w:type="first" r:id="rId33"/>
      <w:footerReference w:type="first" r:id="rId34"/>
      <w:pgSz w:w="12240" w:h="15840"/>
      <w:pgMar w:top="151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AA33A" w14:textId="77777777" w:rsidR="009A2349" w:rsidRDefault="009A2349" w:rsidP="00FF59B1">
      <w:r>
        <w:separator/>
      </w:r>
    </w:p>
  </w:endnote>
  <w:endnote w:type="continuationSeparator" w:id="0">
    <w:p w14:paraId="381DEDF4" w14:textId="77777777" w:rsidR="009A2349" w:rsidRDefault="009A2349" w:rsidP="00FF5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81799676"/>
      <w:docPartObj>
        <w:docPartGallery w:val="Page Numbers (Bottom of Page)"/>
        <w:docPartUnique/>
      </w:docPartObj>
    </w:sdtPr>
    <w:sdtContent>
      <w:p w14:paraId="3253E550" w14:textId="77777777" w:rsidR="000F4F66" w:rsidRDefault="000F4F66" w:rsidP="005A435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790E941" w14:textId="77777777" w:rsidR="000F4F66" w:rsidRDefault="000F4F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33637206"/>
      <w:docPartObj>
        <w:docPartGallery w:val="Page Numbers (Bottom of Page)"/>
        <w:docPartUnique/>
      </w:docPartObj>
    </w:sdtPr>
    <w:sdtContent>
      <w:p w14:paraId="63631EF6" w14:textId="77777777" w:rsidR="000F4F66" w:rsidRDefault="000F4F66" w:rsidP="005A435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CA7B82E" w14:textId="77777777" w:rsidR="000F4F66" w:rsidRDefault="000F4F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38076" w14:textId="77777777" w:rsidR="00A90C8D" w:rsidRDefault="00A90C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974A2" w14:textId="77777777" w:rsidR="009A2349" w:rsidRDefault="009A2349" w:rsidP="00FF59B1">
      <w:r>
        <w:separator/>
      </w:r>
    </w:p>
  </w:footnote>
  <w:footnote w:type="continuationSeparator" w:id="0">
    <w:p w14:paraId="39D04826" w14:textId="77777777" w:rsidR="009A2349" w:rsidRDefault="009A2349" w:rsidP="00FF59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E218C" w14:textId="3CA6FBDC" w:rsidR="00A90C8D" w:rsidRDefault="00A90C8D">
    <w:pPr>
      <w:pStyle w:val="Header"/>
    </w:pPr>
    <w:r>
      <w:rPr>
        <w:noProof/>
      </w:rPr>
      <w:pict w14:anchorId="7550ED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0764438"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98A66" w14:textId="3BEBD061" w:rsidR="00A90C8D" w:rsidRDefault="00A90C8D">
    <w:pPr>
      <w:pStyle w:val="Header"/>
    </w:pPr>
    <w:r>
      <w:rPr>
        <w:noProof/>
      </w:rPr>
      <w:pict w14:anchorId="12ED7D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0764439"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B555F" w14:textId="4AE73AB6" w:rsidR="00A90C8D" w:rsidRDefault="00A90C8D">
    <w:pPr>
      <w:pStyle w:val="Header"/>
    </w:pPr>
    <w:r>
      <w:rPr>
        <w:noProof/>
      </w:rPr>
      <w:pict w14:anchorId="294EB0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0764437"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A3186"/>
    <w:multiLevelType w:val="multilevel"/>
    <w:tmpl w:val="26387E2E"/>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62513F"/>
    <w:multiLevelType w:val="multilevel"/>
    <w:tmpl w:val="6368F1C2"/>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D91162"/>
    <w:multiLevelType w:val="hybridMultilevel"/>
    <w:tmpl w:val="3F8C4F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B104B4"/>
    <w:multiLevelType w:val="hybridMultilevel"/>
    <w:tmpl w:val="250A78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362AAB"/>
    <w:multiLevelType w:val="hybridMultilevel"/>
    <w:tmpl w:val="3F503E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E2D5BA6"/>
    <w:multiLevelType w:val="hybridMultilevel"/>
    <w:tmpl w:val="854C5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6573624">
    <w:abstractNumId w:val="2"/>
  </w:num>
  <w:num w:numId="2" w16cid:durableId="1886942675">
    <w:abstractNumId w:val="4"/>
  </w:num>
  <w:num w:numId="3" w16cid:durableId="473526562">
    <w:abstractNumId w:val="0"/>
  </w:num>
  <w:num w:numId="4" w16cid:durableId="1614902650">
    <w:abstractNumId w:val="1"/>
  </w:num>
  <w:num w:numId="5" w16cid:durableId="305551475">
    <w:abstractNumId w:val="3"/>
  </w:num>
  <w:num w:numId="6" w16cid:durableId="8395844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9B1"/>
    <w:rsid w:val="00067017"/>
    <w:rsid w:val="000757C4"/>
    <w:rsid w:val="000F4F66"/>
    <w:rsid w:val="001A4AA4"/>
    <w:rsid w:val="00203A80"/>
    <w:rsid w:val="002C62CA"/>
    <w:rsid w:val="002D44EE"/>
    <w:rsid w:val="00343EA0"/>
    <w:rsid w:val="003B6334"/>
    <w:rsid w:val="003D0046"/>
    <w:rsid w:val="003E4F36"/>
    <w:rsid w:val="003E51D4"/>
    <w:rsid w:val="003F4153"/>
    <w:rsid w:val="00403277"/>
    <w:rsid w:val="004359B6"/>
    <w:rsid w:val="005579B7"/>
    <w:rsid w:val="007708C4"/>
    <w:rsid w:val="00791DE6"/>
    <w:rsid w:val="008103CE"/>
    <w:rsid w:val="00877EAE"/>
    <w:rsid w:val="009A2349"/>
    <w:rsid w:val="00A90C8D"/>
    <w:rsid w:val="00B00F38"/>
    <w:rsid w:val="00B86B7A"/>
    <w:rsid w:val="00BE5626"/>
    <w:rsid w:val="00BF745A"/>
    <w:rsid w:val="00C03D45"/>
    <w:rsid w:val="00CB0D2E"/>
    <w:rsid w:val="00DF578C"/>
    <w:rsid w:val="00E954D5"/>
    <w:rsid w:val="00ED0393"/>
    <w:rsid w:val="00FF59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BF741"/>
  <w15:chartTrackingRefBased/>
  <w15:docId w15:val="{76D4FAEA-75B2-E644-A84D-66F103C9E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FF59B1"/>
    <w:pPr>
      <w:spacing w:line="280" w:lineRule="exact"/>
      <w:jc w:val="right"/>
    </w:pPr>
    <w:rPr>
      <w:rFonts w:ascii="Helvetica" w:eastAsia="Times New Roman" w:hAnsi="Helvetica" w:cs="Times New Roman"/>
      <w:b/>
      <w:kern w:val="0"/>
      <w:szCs w:val="20"/>
      <w:lang w:val="en-US"/>
      <w14:ligatures w14:val="none"/>
    </w:rPr>
  </w:style>
  <w:style w:type="character" w:styleId="FootnoteReference">
    <w:name w:val="footnote reference"/>
    <w:basedOn w:val="DefaultParagraphFont"/>
    <w:semiHidden/>
    <w:unhideWhenUsed/>
    <w:rsid w:val="00FF59B1"/>
    <w:rPr>
      <w:vertAlign w:val="superscript"/>
    </w:rPr>
  </w:style>
  <w:style w:type="paragraph" w:styleId="FootnoteText">
    <w:name w:val="footnote text"/>
    <w:basedOn w:val="Normal"/>
    <w:link w:val="FootnoteTextChar"/>
    <w:uiPriority w:val="99"/>
    <w:unhideWhenUsed/>
    <w:rsid w:val="00FF59B1"/>
    <w:rPr>
      <w:sz w:val="20"/>
      <w:szCs w:val="20"/>
    </w:rPr>
  </w:style>
  <w:style w:type="character" w:customStyle="1" w:styleId="FootnoteTextChar">
    <w:name w:val="Footnote Text Char"/>
    <w:basedOn w:val="DefaultParagraphFont"/>
    <w:link w:val="FootnoteText"/>
    <w:uiPriority w:val="99"/>
    <w:rsid w:val="00FF59B1"/>
    <w:rPr>
      <w:sz w:val="20"/>
      <w:szCs w:val="20"/>
    </w:rPr>
  </w:style>
  <w:style w:type="paragraph" w:styleId="Footer">
    <w:name w:val="footer"/>
    <w:basedOn w:val="Normal"/>
    <w:link w:val="FooterChar"/>
    <w:rsid w:val="007708C4"/>
    <w:pPr>
      <w:tabs>
        <w:tab w:val="center" w:pos="4320"/>
        <w:tab w:val="right" w:pos="8640"/>
      </w:tabs>
    </w:pPr>
    <w:rPr>
      <w:rFonts w:ascii="Helvetica" w:eastAsia="Times New Roman" w:hAnsi="Helvetica" w:cs="Times New Roman"/>
      <w:kern w:val="0"/>
      <w:sz w:val="20"/>
      <w:szCs w:val="20"/>
      <w:lang w:val="en-US"/>
      <w14:ligatures w14:val="none"/>
    </w:rPr>
  </w:style>
  <w:style w:type="character" w:customStyle="1" w:styleId="FooterChar">
    <w:name w:val="Footer Char"/>
    <w:basedOn w:val="DefaultParagraphFont"/>
    <w:link w:val="Footer"/>
    <w:rsid w:val="007708C4"/>
    <w:rPr>
      <w:rFonts w:ascii="Helvetica" w:eastAsia="Times New Roman" w:hAnsi="Helvetica" w:cs="Times New Roman"/>
      <w:kern w:val="0"/>
      <w:sz w:val="20"/>
      <w:szCs w:val="20"/>
      <w:lang w:val="en-US"/>
      <w14:ligatures w14:val="none"/>
    </w:rPr>
  </w:style>
  <w:style w:type="paragraph" w:customStyle="1" w:styleId="Body">
    <w:name w:val="Body"/>
    <w:basedOn w:val="Normal"/>
    <w:rsid w:val="00CB0D2E"/>
    <w:pPr>
      <w:spacing w:after="240"/>
      <w:jc w:val="both"/>
    </w:pPr>
    <w:rPr>
      <w:rFonts w:ascii="Helvetica" w:eastAsia="Times New Roman" w:hAnsi="Helvetica" w:cs="Times New Roman"/>
      <w:kern w:val="0"/>
      <w:sz w:val="20"/>
      <w:szCs w:val="20"/>
      <w:lang w:val="en-US"/>
      <w14:ligatures w14:val="none"/>
    </w:rPr>
  </w:style>
  <w:style w:type="table" w:styleId="TableGrid">
    <w:name w:val="Table Grid"/>
    <w:basedOn w:val="TableNormal"/>
    <w:uiPriority w:val="39"/>
    <w:rsid w:val="00CB0D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1">
    <w:name w:val="Head1"/>
    <w:basedOn w:val="Normal"/>
    <w:rsid w:val="008103CE"/>
    <w:pPr>
      <w:keepNext/>
      <w:spacing w:after="240"/>
    </w:pPr>
    <w:rPr>
      <w:rFonts w:ascii="Helvetica" w:eastAsia="Times New Roman" w:hAnsi="Helvetica" w:cs="Times New Roman"/>
      <w:b/>
      <w:caps/>
      <w:kern w:val="0"/>
      <w:sz w:val="22"/>
      <w:szCs w:val="20"/>
      <w:lang w:val="en-US"/>
      <w14:ligatures w14:val="none"/>
    </w:rPr>
  </w:style>
  <w:style w:type="character" w:styleId="Hyperlink">
    <w:name w:val="Hyperlink"/>
    <w:basedOn w:val="DefaultParagraphFont"/>
    <w:uiPriority w:val="99"/>
    <w:unhideWhenUsed/>
    <w:rsid w:val="00343EA0"/>
    <w:rPr>
      <w:color w:val="0563C1" w:themeColor="hyperlink"/>
      <w:u w:val="single"/>
    </w:rPr>
  </w:style>
  <w:style w:type="character" w:styleId="UnresolvedMention">
    <w:name w:val="Unresolved Mention"/>
    <w:basedOn w:val="DefaultParagraphFont"/>
    <w:uiPriority w:val="99"/>
    <w:semiHidden/>
    <w:unhideWhenUsed/>
    <w:rsid w:val="00343EA0"/>
    <w:rPr>
      <w:color w:val="605E5C"/>
      <w:shd w:val="clear" w:color="auto" w:fill="E1DFDD"/>
    </w:rPr>
  </w:style>
  <w:style w:type="paragraph" w:styleId="ListParagraph">
    <w:name w:val="List Paragraph"/>
    <w:basedOn w:val="Normal"/>
    <w:uiPriority w:val="34"/>
    <w:qFormat/>
    <w:rsid w:val="00343EA0"/>
    <w:pPr>
      <w:ind w:left="720"/>
      <w:contextualSpacing/>
    </w:pPr>
  </w:style>
  <w:style w:type="paragraph" w:styleId="NormalWeb">
    <w:name w:val="Normal (Web)"/>
    <w:basedOn w:val="Normal"/>
    <w:uiPriority w:val="99"/>
    <w:semiHidden/>
    <w:unhideWhenUsed/>
    <w:rsid w:val="00DF578C"/>
    <w:rPr>
      <w:rFonts w:ascii="Times New Roman" w:hAnsi="Times New Roman" w:cs="Times New Roman"/>
    </w:rPr>
  </w:style>
  <w:style w:type="character" w:styleId="PageNumber">
    <w:name w:val="page number"/>
    <w:basedOn w:val="DefaultParagraphFont"/>
    <w:uiPriority w:val="99"/>
    <w:semiHidden/>
    <w:unhideWhenUsed/>
    <w:rsid w:val="000F4F66"/>
  </w:style>
  <w:style w:type="paragraph" w:styleId="Header">
    <w:name w:val="header"/>
    <w:basedOn w:val="Normal"/>
    <w:link w:val="HeaderChar"/>
    <w:uiPriority w:val="99"/>
    <w:unhideWhenUsed/>
    <w:rsid w:val="00A90C8D"/>
    <w:pPr>
      <w:tabs>
        <w:tab w:val="center" w:pos="4513"/>
        <w:tab w:val="right" w:pos="9026"/>
      </w:tabs>
    </w:pPr>
  </w:style>
  <w:style w:type="character" w:customStyle="1" w:styleId="HeaderChar">
    <w:name w:val="Header Char"/>
    <w:basedOn w:val="DefaultParagraphFont"/>
    <w:link w:val="Header"/>
    <w:uiPriority w:val="99"/>
    <w:rsid w:val="00A90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94165">
      <w:bodyDiv w:val="1"/>
      <w:marLeft w:val="0"/>
      <w:marRight w:val="0"/>
      <w:marTop w:val="0"/>
      <w:marBottom w:val="0"/>
      <w:divBdr>
        <w:top w:val="none" w:sz="0" w:space="0" w:color="auto"/>
        <w:left w:val="none" w:sz="0" w:space="0" w:color="auto"/>
        <w:bottom w:val="none" w:sz="0" w:space="0" w:color="auto"/>
        <w:right w:val="none" w:sz="0" w:space="0" w:color="auto"/>
      </w:divBdr>
    </w:div>
    <w:div w:id="159395466">
      <w:bodyDiv w:val="1"/>
      <w:marLeft w:val="0"/>
      <w:marRight w:val="0"/>
      <w:marTop w:val="0"/>
      <w:marBottom w:val="0"/>
      <w:divBdr>
        <w:top w:val="none" w:sz="0" w:space="0" w:color="auto"/>
        <w:left w:val="none" w:sz="0" w:space="0" w:color="auto"/>
        <w:bottom w:val="none" w:sz="0" w:space="0" w:color="auto"/>
        <w:right w:val="none" w:sz="0" w:space="0" w:color="auto"/>
      </w:divBdr>
    </w:div>
    <w:div w:id="292440866">
      <w:bodyDiv w:val="1"/>
      <w:marLeft w:val="0"/>
      <w:marRight w:val="0"/>
      <w:marTop w:val="0"/>
      <w:marBottom w:val="0"/>
      <w:divBdr>
        <w:top w:val="none" w:sz="0" w:space="0" w:color="auto"/>
        <w:left w:val="none" w:sz="0" w:space="0" w:color="auto"/>
        <w:bottom w:val="none" w:sz="0" w:space="0" w:color="auto"/>
        <w:right w:val="none" w:sz="0" w:space="0" w:color="auto"/>
      </w:divBdr>
    </w:div>
    <w:div w:id="432626385">
      <w:bodyDiv w:val="1"/>
      <w:marLeft w:val="0"/>
      <w:marRight w:val="0"/>
      <w:marTop w:val="0"/>
      <w:marBottom w:val="0"/>
      <w:divBdr>
        <w:top w:val="none" w:sz="0" w:space="0" w:color="auto"/>
        <w:left w:val="none" w:sz="0" w:space="0" w:color="auto"/>
        <w:bottom w:val="none" w:sz="0" w:space="0" w:color="auto"/>
        <w:right w:val="none" w:sz="0" w:space="0" w:color="auto"/>
      </w:divBdr>
    </w:div>
    <w:div w:id="888806405">
      <w:bodyDiv w:val="1"/>
      <w:marLeft w:val="0"/>
      <w:marRight w:val="0"/>
      <w:marTop w:val="0"/>
      <w:marBottom w:val="0"/>
      <w:divBdr>
        <w:top w:val="none" w:sz="0" w:space="0" w:color="auto"/>
        <w:left w:val="none" w:sz="0" w:space="0" w:color="auto"/>
        <w:bottom w:val="none" w:sz="0" w:space="0" w:color="auto"/>
        <w:right w:val="none" w:sz="0" w:space="0" w:color="auto"/>
      </w:divBdr>
    </w:div>
    <w:div w:id="1202521387">
      <w:bodyDiv w:val="1"/>
      <w:marLeft w:val="0"/>
      <w:marRight w:val="0"/>
      <w:marTop w:val="0"/>
      <w:marBottom w:val="0"/>
      <w:divBdr>
        <w:top w:val="none" w:sz="0" w:space="0" w:color="auto"/>
        <w:left w:val="none" w:sz="0" w:space="0" w:color="auto"/>
        <w:bottom w:val="none" w:sz="0" w:space="0" w:color="auto"/>
        <w:right w:val="none" w:sz="0" w:space="0" w:color="auto"/>
      </w:divBdr>
    </w:div>
    <w:div w:id="1269312638">
      <w:bodyDiv w:val="1"/>
      <w:marLeft w:val="0"/>
      <w:marRight w:val="0"/>
      <w:marTop w:val="0"/>
      <w:marBottom w:val="0"/>
      <w:divBdr>
        <w:top w:val="none" w:sz="0" w:space="0" w:color="auto"/>
        <w:left w:val="none" w:sz="0" w:space="0" w:color="auto"/>
        <w:bottom w:val="none" w:sz="0" w:space="0" w:color="auto"/>
        <w:right w:val="none" w:sz="0" w:space="0" w:color="auto"/>
      </w:divBdr>
    </w:div>
    <w:div w:id="1366103723">
      <w:bodyDiv w:val="1"/>
      <w:marLeft w:val="0"/>
      <w:marRight w:val="0"/>
      <w:marTop w:val="0"/>
      <w:marBottom w:val="0"/>
      <w:divBdr>
        <w:top w:val="none" w:sz="0" w:space="0" w:color="auto"/>
        <w:left w:val="none" w:sz="0" w:space="0" w:color="auto"/>
        <w:bottom w:val="none" w:sz="0" w:space="0" w:color="auto"/>
        <w:right w:val="none" w:sz="0" w:space="0" w:color="auto"/>
      </w:divBdr>
    </w:div>
    <w:div w:id="1749617492">
      <w:bodyDiv w:val="1"/>
      <w:marLeft w:val="0"/>
      <w:marRight w:val="0"/>
      <w:marTop w:val="0"/>
      <w:marBottom w:val="0"/>
      <w:divBdr>
        <w:top w:val="none" w:sz="0" w:space="0" w:color="auto"/>
        <w:left w:val="none" w:sz="0" w:space="0" w:color="auto"/>
        <w:bottom w:val="none" w:sz="0" w:space="0" w:color="auto"/>
        <w:right w:val="none" w:sz="0" w:space="0" w:color="auto"/>
      </w:divBdr>
    </w:div>
    <w:div w:id="2056345766">
      <w:bodyDiv w:val="1"/>
      <w:marLeft w:val="0"/>
      <w:marRight w:val="0"/>
      <w:marTop w:val="0"/>
      <w:marBottom w:val="0"/>
      <w:divBdr>
        <w:top w:val="none" w:sz="0" w:space="0" w:color="auto"/>
        <w:left w:val="none" w:sz="0" w:space="0" w:color="auto"/>
        <w:bottom w:val="none" w:sz="0" w:space="0" w:color="auto"/>
        <w:right w:val="none" w:sz="0" w:space="0" w:color="auto"/>
      </w:divBdr>
    </w:div>
    <w:div w:id="2058317414">
      <w:bodyDiv w:val="1"/>
      <w:marLeft w:val="0"/>
      <w:marRight w:val="0"/>
      <w:marTop w:val="0"/>
      <w:marBottom w:val="0"/>
      <w:divBdr>
        <w:top w:val="none" w:sz="0" w:space="0" w:color="auto"/>
        <w:left w:val="none" w:sz="0" w:space="0" w:color="auto"/>
        <w:bottom w:val="none" w:sz="0" w:space="0" w:color="auto"/>
        <w:right w:val="none" w:sz="0" w:space="0" w:color="auto"/>
      </w:divBdr>
    </w:div>
    <w:div w:id="213105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icot.or.th/storages/contents/attachments/On_The_requirements_for_certification_process_of_Halal_products_B.E.2559._Eng.pdf" TargetMode="External"/><Relationship Id="rId18" Type="http://schemas.openxmlformats.org/officeDocument/2006/relationships/hyperlink" Target="https://peraturan.bpk.go.id/Details/304896/pp-no-42-tahun-2024" TargetMode="External"/><Relationship Id="rId26" Type="http://schemas.openxmlformats.org/officeDocument/2006/relationships/hyperlink" Target="https://halcert.mst.gov.vn/en/tap-san/meeting-halal-standards-paving-the-way-for-businesses-to-enter-the-islamic-market/" TargetMode="External"/><Relationship Id="rId3" Type="http://schemas.openxmlformats.org/officeDocument/2006/relationships/styles" Target="styles.xml"/><Relationship Id="rId21" Type="http://schemas.openxmlformats.org/officeDocument/2006/relationships/hyperlink" Target="https://www.halal.gov.my/index.php?content_id=202312216583f5b3aa5d9&amp;data=bW9kdWxlcy9jb250ZW50X2RldGFpbHM7Ozs%3D&amp;page_title=News"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bpjph.halal.go.id/read/sihalal-diperbarui-begini-panduan-mudah-daftar-sertifikasi-halal" TargetMode="External"/><Relationship Id="rId17" Type="http://schemas.openxmlformats.org/officeDocument/2006/relationships/hyperlink" Target="https://peraturan.bpk.go.id/Details/38709/uu-no-33-tahun-2014" TargetMode="External"/><Relationship Id="rId25" Type="http://schemas.openxmlformats.org/officeDocument/2006/relationships/hyperlink" Target="https://halcert.mst.gov.vn/"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dinarstandard.com/insights/state-of-the-global-islamic-economy-report-2025-26" TargetMode="External"/><Relationship Id="rId20" Type="http://schemas.openxmlformats.org/officeDocument/2006/relationships/hyperlink" Target="https://www.halalscience.org/en/hal-q-en/"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pjph.halal.go.id/read/bpjph-17-oktober-2026-produk-makanan-minuman-umk-harus-sudah-bersertifikat-halal-bagaimana-dengan-produk-luar-negeri" TargetMode="External"/><Relationship Id="rId24" Type="http://schemas.openxmlformats.org/officeDocument/2006/relationships/hyperlink" Target="https://moit.gov.vn/en/news/vietnam-malaysia-trade-records-strong-growth-in-five-months-of-2026.html"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halal.co.th/en/" TargetMode="External"/><Relationship Id="rId23" Type="http://schemas.openxmlformats.org/officeDocument/2006/relationships/hyperlink" Target="https://doi.org/10.1093/jiel/jgac003" TargetMode="External"/><Relationship Id="rId28" Type="http://schemas.openxmlformats.org/officeDocument/2006/relationships/hyperlink" Target="https://doi.org/10.1108/BFJ-04-2016-0150" TargetMode="External"/><Relationship Id="rId36" Type="http://schemas.openxmlformats.org/officeDocument/2006/relationships/theme" Target="theme/theme1.xml"/><Relationship Id="rId10" Type="http://schemas.openxmlformats.org/officeDocument/2006/relationships/hyperlink" Target="https://bpjph.halal.go.id/detail/kabar-baik-registrasi-sertifikat-halal-luar-negeri-dibuka-di-menu-sihalal/" TargetMode="External"/><Relationship Id="rId19" Type="http://schemas.openxmlformats.org/officeDocument/2006/relationships/hyperlink" Target="https://hip.hdcglobal.com"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1080/23311975.2023.2246739" TargetMode="External"/><Relationship Id="rId14" Type="http://schemas.openxmlformats.org/officeDocument/2006/relationships/hyperlink" Target="https://www.halal.or.th/en/" TargetMode="External"/><Relationship Id="rId22" Type="http://schemas.openxmlformats.org/officeDocument/2006/relationships/hyperlink" Target="https://myehalal.halal.gov.my/portal-halal/v1/pdf/cb/FHCB30012026.pdf" TargetMode="External"/><Relationship Id="rId27" Type="http://schemas.openxmlformats.org/officeDocument/2006/relationships/hyperlink" Target="https://doi.org/10.21603/2308-4057-2021-1-106-116"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hyperlink" Target="https://asean.org/wp-content/uploads/2026/01/ASEAN-Digital-Master-Plan-2030-final-202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BC8A7-A9B7-5842-A90C-F52DB58AA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5893</Words>
  <Characters>33593</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SDI 1166</cp:lastModifiedBy>
  <cp:revision>8</cp:revision>
  <dcterms:created xsi:type="dcterms:W3CDTF">2026-07-24T15:23:00Z</dcterms:created>
  <dcterms:modified xsi:type="dcterms:W3CDTF">2026-07-31T12:33:00Z</dcterms:modified>
</cp:coreProperties>
</file>