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7F56D" w14:textId="77777777" w:rsidR="009344FF" w:rsidRPr="00B149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49D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B4F547A" w14:textId="01490172" w:rsidR="009344FF" w:rsidRPr="00B149DA" w:rsidRDefault="00B149DA" w:rsidP="009344FF">
      <w:pPr>
        <w:rPr>
          <w:rFonts w:ascii="Arial" w:hAnsi="Arial" w:cs="Arial"/>
          <w:sz w:val="20"/>
          <w:szCs w:val="20"/>
        </w:rPr>
      </w:pPr>
      <w:r w:rsidRPr="00B149DA">
        <w:rPr>
          <w:rFonts w:ascii="Arial" w:hAnsi="Arial" w:cs="Arial"/>
          <w:sz w:val="20"/>
          <w:szCs w:val="20"/>
        </w:rPr>
        <w:t>The authors have successfully addressed all reviewer comments, and the manuscript is acceptable for publication.</w:t>
      </w:r>
    </w:p>
    <w:p w14:paraId="0D68AC28" w14:textId="77777777" w:rsidR="00000000" w:rsidRPr="00B149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49D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0ABD79D" w14:textId="5774AFEB" w:rsidR="00B149DA" w:rsidRPr="00B149DA" w:rsidRDefault="00B149DA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49DA">
        <w:rPr>
          <w:rFonts w:ascii="Arial" w:hAnsi="Arial" w:cs="Arial"/>
          <w:sz w:val="20"/>
          <w:szCs w:val="20"/>
        </w:rPr>
        <w:t>Dr. Anjaneyulu Vinukonda, Strides Pharma Inc., USA</w:t>
      </w:r>
    </w:p>
    <w:sectPr w:rsidR="00B149DA" w:rsidRPr="00B149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575E2"/>
    <w:rsid w:val="009344FF"/>
    <w:rsid w:val="009F328F"/>
    <w:rsid w:val="00A72896"/>
    <w:rsid w:val="00B1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59EC1"/>
  <w15:docId w15:val="{C8B8929A-ED10-4FE5-84E1-DA8212DD5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2026-09-23T12:33:00Z</dcterms:modified>
</cp:coreProperties>
</file>