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43F3" w14:textId="77777777" w:rsidR="009344FF" w:rsidRPr="000E5E8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E5E8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459AF7F" w14:textId="5ED135AB" w:rsidR="009344FF" w:rsidRPr="000E5E8A" w:rsidRDefault="00F14359" w:rsidP="009344FF">
      <w:pPr>
        <w:rPr>
          <w:rFonts w:ascii="Arial" w:hAnsi="Arial" w:cs="Arial"/>
          <w:sz w:val="20"/>
          <w:szCs w:val="20"/>
        </w:rPr>
      </w:pPr>
      <w:r w:rsidRPr="000E5E8A">
        <w:rPr>
          <w:rFonts w:ascii="Arial" w:hAnsi="Arial" w:cs="Arial"/>
          <w:sz w:val="20"/>
          <w:szCs w:val="20"/>
        </w:rPr>
        <w:t xml:space="preserve">The study is well structured, with the objectives, experimental design, measured parameters, and major findings presented in a logical and coherent manner. Overall, the manuscript is worthy of publication. However, one point should be noted: streptozotocin (STZ)-induced diabetic Wistar rats closely mimic certain metabolic and biochemical features of human diabetes mellitus, but they differ fundamentally in their underlying </w:t>
      </w:r>
      <w:proofErr w:type="spellStart"/>
      <w:r w:rsidRPr="000E5E8A">
        <w:rPr>
          <w:rFonts w:ascii="Arial" w:hAnsi="Arial" w:cs="Arial"/>
          <w:sz w:val="20"/>
          <w:szCs w:val="20"/>
        </w:rPr>
        <w:t>etiology</w:t>
      </w:r>
      <w:proofErr w:type="spellEnd"/>
      <w:r w:rsidRPr="000E5E8A">
        <w:rPr>
          <w:rFonts w:ascii="Arial" w:hAnsi="Arial" w:cs="Arial"/>
          <w:sz w:val="20"/>
          <w:szCs w:val="20"/>
        </w:rPr>
        <w:t xml:space="preserve"> and immune mechanisms, particularly in the case of type 1 diabetes mellitus (T1DM). Therefore, the conclusion should avoid implying clinical efficacy, as the findings are based on an animal model and may not be directly extrapolated to humans.</w:t>
      </w:r>
    </w:p>
    <w:p w14:paraId="6FAE7C64" w14:textId="77777777" w:rsidR="00000000" w:rsidRPr="000E5E8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E5E8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E3C31D" w14:textId="1DCE4DAD" w:rsidR="000E5E8A" w:rsidRPr="000E5E8A" w:rsidRDefault="000E5E8A" w:rsidP="009344FF">
      <w:pPr>
        <w:rPr>
          <w:rFonts w:ascii="Arial" w:hAnsi="Arial" w:cs="Arial"/>
          <w:bCs/>
          <w:sz w:val="20"/>
          <w:szCs w:val="20"/>
        </w:rPr>
      </w:pPr>
      <w:r w:rsidRPr="000E5E8A">
        <w:rPr>
          <w:rFonts w:ascii="Arial" w:hAnsi="Arial" w:cs="Arial"/>
          <w:bCs/>
          <w:sz w:val="20"/>
          <w:szCs w:val="20"/>
        </w:rPr>
        <w:t>Dr. Yi-Ren Hong</w:t>
      </w:r>
      <w:r w:rsidRPr="000E5E8A">
        <w:rPr>
          <w:rFonts w:ascii="Arial" w:hAnsi="Arial" w:cs="Arial"/>
          <w:bCs/>
          <w:sz w:val="20"/>
          <w:szCs w:val="20"/>
        </w:rPr>
        <w:t xml:space="preserve">, </w:t>
      </w:r>
      <w:r w:rsidRPr="000E5E8A">
        <w:rPr>
          <w:rFonts w:ascii="Arial" w:hAnsi="Arial" w:cs="Arial"/>
          <w:bCs/>
          <w:sz w:val="20"/>
          <w:szCs w:val="20"/>
        </w:rPr>
        <w:t>Kaohsiung Medical University, Taiwan</w:t>
      </w:r>
    </w:p>
    <w:sectPr w:rsidR="000E5E8A" w:rsidRPr="000E5E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5E8A"/>
    <w:rsid w:val="002C0B2C"/>
    <w:rsid w:val="005E7FD5"/>
    <w:rsid w:val="009344FF"/>
    <w:rsid w:val="009F328F"/>
    <w:rsid w:val="00A72896"/>
    <w:rsid w:val="00F1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0BB51"/>
  <w15:docId w15:val="{B4741FF1-B3B9-4E35-A2BD-0F8EE678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4</cp:revision>
  <dcterms:created xsi:type="dcterms:W3CDTF">2025-02-19T08:37:00Z</dcterms:created>
  <dcterms:modified xsi:type="dcterms:W3CDTF">2026-09-21T06:16:00Z</dcterms:modified>
</cp:coreProperties>
</file>