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32052" w14:textId="77777777" w:rsidR="000B00B9" w:rsidRPr="00F67967" w:rsidRDefault="000B00B9" w:rsidP="003F3ECD">
      <w:pPr>
        <w:spacing w:line="360" w:lineRule="auto"/>
        <w:jc w:val="center"/>
        <w:rPr>
          <w:rFonts w:ascii="Times New Roman" w:hAnsi="Times New Roman" w:cs="Times New Roman"/>
          <w:b/>
          <w:bCs/>
          <w:sz w:val="24"/>
        </w:rPr>
      </w:pPr>
      <w:r w:rsidRPr="00F67967">
        <w:rPr>
          <w:rFonts w:ascii="Times New Roman" w:hAnsi="Times New Roman" w:cs="Times New Roman"/>
          <w:b/>
          <w:sz w:val="28"/>
        </w:rPr>
        <w:t>Efficacy of Varied Liquid Microbial Formulations on the Growth and Yield Performance of Mulberry (</w:t>
      </w:r>
      <w:r w:rsidRPr="00F67967">
        <w:rPr>
          <w:rFonts w:ascii="Times New Roman" w:hAnsi="Times New Roman" w:cs="Times New Roman"/>
          <w:b/>
          <w:i/>
          <w:sz w:val="28"/>
        </w:rPr>
        <w:t>Morus indica</w:t>
      </w:r>
      <w:r w:rsidRPr="00F67967">
        <w:rPr>
          <w:rFonts w:ascii="Times New Roman" w:hAnsi="Times New Roman" w:cs="Times New Roman"/>
          <w:b/>
          <w:sz w:val="28"/>
        </w:rPr>
        <w:t xml:space="preserve"> L.)</w:t>
      </w:r>
    </w:p>
    <w:p w14:paraId="3EEBC068" w14:textId="77777777" w:rsidR="000B00B9" w:rsidRPr="00F67967" w:rsidRDefault="000B00B9" w:rsidP="000B00B9">
      <w:pPr>
        <w:pStyle w:val="Heading2"/>
        <w:jc w:val="both"/>
        <w:rPr>
          <w:rFonts w:ascii="Times New Roman" w:hAnsi="Times New Roman" w:cs="Times New Roman"/>
          <w:color w:val="auto"/>
          <w:sz w:val="24"/>
        </w:rPr>
      </w:pPr>
      <w:r w:rsidRPr="00F67967">
        <w:rPr>
          <w:rFonts w:ascii="Times New Roman" w:hAnsi="Times New Roman" w:cs="Times New Roman"/>
          <w:color w:val="auto"/>
          <w:sz w:val="24"/>
        </w:rPr>
        <w:t>Abstract</w:t>
      </w:r>
    </w:p>
    <w:p w14:paraId="75412EB8" w14:textId="77777777" w:rsidR="003C629C" w:rsidRPr="00F67967" w:rsidRDefault="00882F4A" w:rsidP="001B6DFF">
      <w:pPr>
        <w:spacing w:before="100" w:beforeAutospacing="1" w:after="100" w:afterAutospacing="1"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Optimi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ing fertili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er application effectively boosts mulberry yields without degrading soil quality in high-density sericulture systems. A field experiment was conducted during 2021–22 and 2022–23 in farmers' fields at Gaddekannuru village, Kolar Taluk, Karnataka, by ICAR–Krishi Vigyan Kendra (KVK), Kolar, to evaluate the efficacy of different liquid microbial formulations on growth, yield, leaf quality, cocoon productivity</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highlight w:val="yellow"/>
        </w:rPr>
        <w:t xml:space="preserve"> the</w:t>
      </w:r>
      <w:r>
        <w:rPr>
          <w:rFonts w:ascii="Times New Roman" w:eastAsia="Times New Roman" w:hAnsi="Times New Roman" w:cs="Times New Roman"/>
          <w:sz w:val="24"/>
          <w:szCs w:val="24"/>
        </w:rPr>
        <w:t xml:space="preserve"> economics of mulberry (</w:t>
      </w:r>
      <w:r>
        <w:rPr>
          <w:rFonts w:ascii="Times New Roman" w:eastAsia="Times New Roman" w:hAnsi="Times New Roman" w:cs="Times New Roman"/>
          <w:i/>
          <w:iCs/>
          <w:sz w:val="24"/>
          <w:szCs w:val="24"/>
        </w:rPr>
        <w:t>Morus indica</w:t>
      </w:r>
      <w:r>
        <w:rPr>
          <w:rFonts w:ascii="Times New Roman" w:eastAsia="Times New Roman" w:hAnsi="Times New Roman" w:cs="Times New Roman"/>
          <w:sz w:val="24"/>
          <w:szCs w:val="24"/>
        </w:rPr>
        <w:t xml:space="preserve"> L.). The treatments included the recommended dose of fertili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ers (RDF) and farmyard manure (FYM) alone (T₁), RDF + Liquid Microbial Consortia (T₂), RDF + Arka Microbial Consortia (T₃)</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and RDF + Waste Decomposer Solution (T₄)</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with</w:t>
      </w:r>
      <w:r>
        <w:rPr>
          <w:rFonts w:ascii="Times New Roman" w:eastAsia="Times New Roman" w:hAnsi="Times New Roman" w:cs="Times New Roman"/>
          <w:sz w:val="24"/>
          <w:szCs w:val="24"/>
          <w:highlight w:val="yellow"/>
        </w:rPr>
        <w:t xml:space="preserve"> the</w:t>
      </w:r>
      <w:r>
        <w:rPr>
          <w:rFonts w:ascii="Times New Roman" w:eastAsia="Times New Roman" w:hAnsi="Times New Roman" w:cs="Times New Roman"/>
          <w:sz w:val="24"/>
          <w:szCs w:val="24"/>
        </w:rPr>
        <w:t xml:space="preserve"> microbial formulations applied through drip irrigation at 8 and 25 days after pruning. Pooled data </w:t>
      </w:r>
      <w:r>
        <w:rPr>
          <w:rFonts w:ascii="Times New Roman" w:eastAsia="Times New Roman" w:hAnsi="Times New Roman" w:cs="Times New Roman"/>
          <w:sz w:val="24"/>
          <w:szCs w:val="24"/>
          <w:highlight w:val="yellow"/>
        </w:rPr>
        <w:t>fr</w:t>
      </w:r>
      <w:r>
        <w:rPr>
          <w:rFonts w:ascii="Times New Roman" w:eastAsia="Times New Roman" w:hAnsi="Times New Roman" w:cs="Times New Roman"/>
          <w:sz w:val="24"/>
          <w:szCs w:val="24"/>
        </w:rPr>
        <w:t>o</w:t>
      </w:r>
      <w:r>
        <w:rPr>
          <w:rFonts w:ascii="Times New Roman" w:eastAsia="Times New Roman" w:hAnsi="Times New Roman" w:cs="Times New Roman"/>
          <w:sz w:val="24"/>
          <w:szCs w:val="24"/>
          <w:highlight w:val="yellow"/>
        </w:rPr>
        <w:t>m</w:t>
      </w:r>
      <w:r>
        <w:rPr>
          <w:rFonts w:ascii="Times New Roman" w:eastAsia="Times New Roman" w:hAnsi="Times New Roman" w:cs="Times New Roman"/>
          <w:sz w:val="24"/>
          <w:szCs w:val="24"/>
        </w:rPr>
        <w:t xml:space="preserve"> two consecutive years revealed significant differences among the treatments. Among the treatments, T₂ (RDF + Liquid Microbial Consortia) recorded the highest number of branches (15.40 per plant), leaves (26.36 per branch), leaf yield (1.302 kg per plant and 120.51 q per ha per crop), and cocoon yield (457.96 kg per ha). It also produced superior leaf quality</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with the highest leaf moisture content (77.50%), moisture retention capacity (71.90%), total chlorophyll (45.80%), protein (25.10%)</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and carbohydrate content (16.65%). Economic analysis indicated that T₂ generated the highest gross return (183,184 per ha), net return (132,734 per ha)</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and benefit–cost ratio (3.63)</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followed by T₃ (RDF + Arka Microbial Consortia). </w:t>
      </w:r>
      <w:r>
        <w:rPr>
          <w:rFonts w:ascii="Times New Roman" w:eastAsia="Times New Roman" w:hAnsi="Times New Roman" w:cs="Times New Roman"/>
          <w:sz w:val="24"/>
          <w:szCs w:val="24"/>
          <w:highlight w:val="yellow"/>
        </w:rPr>
        <w:t>The r</w:t>
      </w:r>
      <w:r>
        <w:rPr>
          <w:rFonts w:ascii="Times New Roman" w:eastAsia="Times New Roman" w:hAnsi="Times New Roman" w:cs="Times New Roman"/>
          <w:sz w:val="24"/>
          <w:szCs w:val="24"/>
        </w:rPr>
        <w:t>esults reveal</w:t>
      </w:r>
      <w:r>
        <w:rPr>
          <w:rFonts w:ascii="Times New Roman" w:eastAsia="Times New Roman" w:hAnsi="Times New Roman" w:cs="Times New Roman"/>
          <w:sz w:val="24"/>
          <w:szCs w:val="24"/>
          <w:highlight w:val="yellow"/>
        </w:rPr>
        <w:t>ed</w:t>
      </w:r>
      <w:r>
        <w:rPr>
          <w:rFonts w:ascii="Times New Roman" w:eastAsia="Times New Roman" w:hAnsi="Times New Roman" w:cs="Times New Roman"/>
          <w:sz w:val="24"/>
          <w:szCs w:val="24"/>
        </w:rPr>
        <w:t xml:space="preserve"> that combining liquid biofertili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 xml:space="preserve">ers with standard nutrient recommendations significantly </w:t>
      </w:r>
      <w:r>
        <w:rPr>
          <w:rFonts w:ascii="Times New Roman" w:eastAsia="Times New Roman" w:hAnsi="Times New Roman" w:cs="Times New Roman"/>
          <w:sz w:val="24"/>
          <w:szCs w:val="24"/>
          <w:highlight w:val="yellow"/>
        </w:rPr>
        <w:t>impr</w:t>
      </w:r>
      <w:r>
        <w:rPr>
          <w:rFonts w:ascii="Times New Roman" w:eastAsia="Times New Roman" w:hAnsi="Times New Roman" w:cs="Times New Roman"/>
          <w:sz w:val="24"/>
          <w:szCs w:val="24"/>
        </w:rPr>
        <w:t>o</w:t>
      </w:r>
      <w:r>
        <w:rPr>
          <w:rFonts w:ascii="Times New Roman" w:eastAsia="Times New Roman" w:hAnsi="Times New Roman" w:cs="Times New Roman"/>
          <w:sz w:val="24"/>
          <w:szCs w:val="24"/>
          <w:highlight w:val="yellow"/>
        </w:rPr>
        <w:t>ved</w:t>
      </w:r>
      <w:r>
        <w:rPr>
          <w:rFonts w:ascii="Times New Roman" w:eastAsia="Times New Roman" w:hAnsi="Times New Roman" w:cs="Times New Roman"/>
          <w:sz w:val="24"/>
          <w:szCs w:val="24"/>
        </w:rPr>
        <w:t xml:space="preserve"> mulberry biomass, leaf nutritive value, silkworm cocoon output, and net farm profits. </w:t>
      </w:r>
      <w:r>
        <w:rPr>
          <w:rFonts w:ascii="Times New Roman" w:eastAsia="Times New Roman" w:hAnsi="Times New Roman" w:cs="Times New Roman"/>
          <w:sz w:val="24"/>
          <w:szCs w:val="24"/>
          <w:highlight w:val="yellow"/>
        </w:rPr>
        <w:t>The a</w:t>
      </w:r>
      <w:r>
        <w:rPr>
          <w:rFonts w:ascii="Times New Roman" w:eastAsia="Times New Roman" w:hAnsi="Times New Roman" w:cs="Times New Roman"/>
          <w:sz w:val="24"/>
          <w:szCs w:val="24"/>
        </w:rPr>
        <w:t>p</w:t>
      </w:r>
      <w:r>
        <w:rPr>
          <w:rFonts w:ascii="Times New Roman" w:eastAsia="Times New Roman" w:hAnsi="Times New Roman" w:cs="Times New Roman"/>
          <w:sz w:val="24"/>
          <w:szCs w:val="24"/>
          <w:highlight w:val="yellow"/>
        </w:rPr>
        <w:t>plica</w:t>
      </w:r>
      <w:r>
        <w:rPr>
          <w:rFonts w:ascii="Times New Roman" w:eastAsia="Times New Roman" w:hAnsi="Times New Roman" w:cs="Times New Roman"/>
          <w:sz w:val="24"/>
          <w:szCs w:val="24"/>
        </w:rPr>
        <w:t>tion of liquid microbial consortia through drip irrigation represents a sustainable nutrient</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management approach that enhances fertili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er</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use efficiency, reduces dependence on chemical fertili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ers</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and promotes environmentally sustainable sericulture. </w:t>
      </w:r>
    </w:p>
    <w:p w14:paraId="60AA39FC" w14:textId="77777777" w:rsidR="003140E4" w:rsidRPr="00F67967" w:rsidRDefault="003140E4" w:rsidP="001B6DFF">
      <w:pPr>
        <w:pStyle w:val="Heading2"/>
        <w:spacing w:line="360" w:lineRule="auto"/>
        <w:jc w:val="both"/>
        <w:rPr>
          <w:rFonts w:ascii="Times New Roman" w:eastAsia="Times New Roman" w:hAnsi="Times New Roman" w:cs="Times New Roman"/>
          <w:b w:val="0"/>
          <w:bCs w:val="0"/>
          <w:color w:val="auto"/>
          <w:sz w:val="24"/>
          <w:szCs w:val="24"/>
        </w:rPr>
      </w:pPr>
      <w:r w:rsidRPr="00F67967">
        <w:rPr>
          <w:rFonts w:ascii="Times New Roman" w:eastAsia="Times New Roman" w:hAnsi="Times New Roman" w:cs="Times New Roman"/>
          <w:color w:val="auto"/>
          <w:sz w:val="24"/>
          <w:szCs w:val="24"/>
        </w:rPr>
        <w:t>Keywords:</w:t>
      </w:r>
      <w:r w:rsidRPr="00F67967">
        <w:rPr>
          <w:rFonts w:ascii="Times New Roman" w:eastAsia="Times New Roman" w:hAnsi="Times New Roman" w:cs="Times New Roman"/>
          <w:b w:val="0"/>
          <w:bCs w:val="0"/>
          <w:color w:val="auto"/>
          <w:sz w:val="24"/>
          <w:szCs w:val="24"/>
        </w:rPr>
        <w:t xml:space="preserve"> </w:t>
      </w:r>
      <w:r w:rsidRPr="00F67967">
        <w:rPr>
          <w:rFonts w:ascii="Times New Roman" w:eastAsia="Times New Roman" w:hAnsi="Times New Roman" w:cs="Times New Roman"/>
          <w:b w:val="0"/>
          <w:bCs w:val="0"/>
          <w:i/>
          <w:iCs/>
          <w:color w:val="auto"/>
          <w:sz w:val="24"/>
          <w:szCs w:val="24"/>
        </w:rPr>
        <w:t>Morus indica</w:t>
      </w:r>
      <w:r w:rsidRPr="00F67967">
        <w:rPr>
          <w:rFonts w:ascii="Times New Roman" w:eastAsia="Times New Roman" w:hAnsi="Times New Roman" w:cs="Times New Roman"/>
          <w:b w:val="0"/>
          <w:bCs w:val="0"/>
          <w:color w:val="auto"/>
          <w:sz w:val="24"/>
          <w:szCs w:val="24"/>
        </w:rPr>
        <w:t>, liquid microbial consortia, waste decomposer, drip fertigation, leaf quality, cocoon yield.</w:t>
      </w:r>
    </w:p>
    <w:p w14:paraId="7D7F5D2C" w14:textId="77777777" w:rsidR="00350F3D" w:rsidRPr="00F67967" w:rsidRDefault="00350F3D" w:rsidP="00350F3D">
      <w:pPr>
        <w:pStyle w:val="Heading2"/>
        <w:jc w:val="both"/>
        <w:rPr>
          <w:rFonts w:ascii="Times New Roman" w:hAnsi="Times New Roman" w:cs="Times New Roman"/>
          <w:color w:val="auto"/>
          <w:sz w:val="24"/>
          <w:szCs w:val="24"/>
        </w:rPr>
      </w:pPr>
      <w:r w:rsidRPr="00F67967">
        <w:rPr>
          <w:rFonts w:ascii="Times New Roman" w:hAnsi="Times New Roman" w:cs="Times New Roman"/>
          <w:color w:val="auto"/>
          <w:sz w:val="24"/>
          <w:szCs w:val="24"/>
        </w:rPr>
        <w:t>Introduction</w:t>
      </w:r>
    </w:p>
    <w:p w14:paraId="1A265F04" w14:textId="77777777" w:rsidR="00A4334A" w:rsidRDefault="00A4334A" w:rsidP="00A4334A">
      <w:pPr>
        <w:autoSpaceDE w:val="0"/>
        <w:autoSpaceDN w:val="0"/>
        <w:adjustRightInd w:val="0"/>
        <w:spacing w:after="0" w:line="360" w:lineRule="auto"/>
        <w:ind w:firstLine="720"/>
        <w:jc w:val="both"/>
        <w:rPr>
          <w:rFonts w:ascii="Times New Roman" w:eastAsia="Times New Roman" w:hAnsi="Times New Roman" w:cs="Times New Roman"/>
          <w:sz w:val="24"/>
          <w:szCs w:val="24"/>
        </w:rPr>
      </w:pPr>
    </w:p>
    <w:p w14:paraId="4D17E402" w14:textId="77777777" w:rsidR="003C589D" w:rsidRPr="00F67967" w:rsidRDefault="00A4334A" w:rsidP="009D4B8A">
      <w:pPr>
        <w:autoSpaceDE w:val="0"/>
        <w:autoSpaceDN w:val="0"/>
        <w:adjustRightInd w:val="0"/>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Sericulture is a unique domain of agriculture combining both botanical aspects of mulberry cultivation and zoological aspects of silkworm rearing. Mulberry (</w:t>
      </w:r>
      <w:r>
        <w:rPr>
          <w:rFonts w:ascii="Times New Roman" w:eastAsia="Times New Roman" w:hAnsi="Times New Roman" w:cs="Times New Roman"/>
          <w:i/>
          <w:sz w:val="24"/>
          <w:szCs w:val="24"/>
        </w:rPr>
        <w:t>Morus indica</w:t>
      </w:r>
      <w:r>
        <w:rPr>
          <w:rFonts w:ascii="Times New Roman" w:eastAsia="Times New Roman" w:hAnsi="Times New Roman" w:cs="Times New Roman"/>
          <w:sz w:val="24"/>
          <w:szCs w:val="24"/>
        </w:rPr>
        <w:t xml:space="preserve"> L.) is the sole food plant of the silkworm (</w:t>
      </w:r>
      <w:r>
        <w:rPr>
          <w:rFonts w:ascii="Times New Roman" w:eastAsia="Times New Roman" w:hAnsi="Times New Roman" w:cs="Times New Roman"/>
          <w:i/>
          <w:sz w:val="24"/>
          <w:szCs w:val="24"/>
        </w:rPr>
        <w:t>Bombyx mori</w:t>
      </w:r>
      <w:r>
        <w:rPr>
          <w:rFonts w:ascii="Times New Roman" w:eastAsia="Times New Roman" w:hAnsi="Times New Roman" w:cs="Times New Roman"/>
          <w:sz w:val="24"/>
          <w:szCs w:val="24"/>
        </w:rPr>
        <w:t xml:space="preserve"> L.) and constitutes the base of the sericulture industry. The productivity and quality of mulberry leaves directly influence silkworm growth, cocoon yield, silk quality</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highlight w:val="yellow"/>
        </w:rPr>
        <w:t xml:space="preserve"> the</w:t>
      </w:r>
      <w:r>
        <w:rPr>
          <w:rFonts w:ascii="Times New Roman" w:eastAsia="Times New Roman" w:hAnsi="Times New Roman" w:cs="Times New Roman"/>
          <w:sz w:val="24"/>
          <w:szCs w:val="24"/>
        </w:rPr>
        <w:t xml:space="preserve"> profitability of sericulture. Cultivation of high</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yielding mulberry varieties under intensive harvesting requires balanced nutrient inputs, often leading to depletion of soil fertility, reduced soil organic carbon</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and deterioration of soil biological activity. Therefore, sustainable nutrient management has become crucial for maintaining long</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term productivity and soil health in mulberry cultivation (Dandin &amp; Giridhar, 2010)</w:t>
      </w:r>
      <w:r>
        <w:rPr>
          <w:rFonts w:ascii="Times New Roman" w:eastAsia="Times New Roman" w:hAnsi="Times New Roman" w:cs="Times New Roman"/>
          <w:sz w:val="24"/>
          <w:szCs w:val="24"/>
          <w:highlight w:val="yellow"/>
        </w:rPr>
        <w:t/>
      </w:r>
      <w:r>
        <w:rPr>
          <w:rFonts w:ascii="Times New Roman" w:eastAsia="Times New Roman" w:hAnsi="Times New Roman" w:cs="Times New Roman"/>
          <w:sz w:val="24"/>
          <w:szCs w:val="24"/>
        </w:rPr>
        <w:t xml:space="preserve">. Consequently, integrated nutrient</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management appro</w:t>
      </w:r>
      <w:r>
        <w:rPr>
          <w:rFonts w:ascii="Times New Roman" w:eastAsia="Times New Roman" w:hAnsi="Times New Roman" w:cs="Times New Roman"/>
          <w:sz w:val="24"/>
          <w:szCs w:val="24"/>
          <w:highlight w:val="yellow"/>
        </w:rPr>
        <w:t>a</w:t>
      </w:r>
      <w:r>
        <w:rPr>
          <w:rFonts w:ascii="Times New Roman" w:eastAsia="Times New Roman" w:hAnsi="Times New Roman" w:cs="Times New Roman"/>
          <w:sz w:val="24"/>
          <w:szCs w:val="24"/>
        </w:rPr>
        <w:t>ches combining chemical fertili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 xml:space="preserve">ers with biological inputs have </w:t>
      </w:r>
      <w:r>
        <w:rPr>
          <w:rFonts w:ascii="Times New Roman" w:eastAsia="Times New Roman" w:hAnsi="Times New Roman" w:cs="Times New Roman"/>
          <w:sz w:val="24"/>
          <w:szCs w:val="24"/>
          <w:highlight w:val="yellow"/>
        </w:rPr>
        <w:t>rece</w:t>
      </w:r>
      <w:r>
        <w:rPr>
          <w:rFonts w:ascii="Times New Roman" w:eastAsia="Times New Roman" w:hAnsi="Times New Roman" w:cs="Times New Roman"/>
          <w:sz w:val="24"/>
          <w:szCs w:val="24"/>
        </w:rPr>
        <w:t>i</w:t>
      </w:r>
      <w:r>
        <w:rPr>
          <w:rFonts w:ascii="Times New Roman" w:eastAsia="Times New Roman" w:hAnsi="Times New Roman" w:cs="Times New Roman"/>
          <w:sz w:val="24"/>
          <w:szCs w:val="24"/>
          <w:highlight w:val="yellow"/>
        </w:rPr>
        <w:t>v</w:t>
      </w:r>
      <w:r>
        <w:rPr>
          <w:rFonts w:ascii="Times New Roman" w:eastAsia="Times New Roman" w:hAnsi="Times New Roman" w:cs="Times New Roman"/>
          <w:sz w:val="24"/>
          <w:szCs w:val="24"/>
        </w:rPr>
        <w:t>ed considerable attention for improving soil fertility, sustaining leaf productivity</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and minimi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ing adverse environmental consequences (Ahmed et al., 2017; Allouzi et al., 2022).</w:t>
      </w:r>
    </w:p>
    <w:p w14:paraId="28930C7A" w14:textId="77777777" w:rsidR="009D4B8A" w:rsidRDefault="009D4B8A" w:rsidP="009D4B8A">
      <w:pPr>
        <w:pStyle w:val="Default"/>
        <w:spacing w:line="360" w:lineRule="auto"/>
        <w:ind w:firstLine="720"/>
        <w:jc w:val="both"/>
        <w:rPr>
          <w:rFonts w:ascii="Times New Roman" w:eastAsia="Times New Roman" w:hAnsi="Times New Roman" w:cs="Times New Roman"/>
          <w:color w:val="auto"/>
        </w:rPr>
      </w:pPr>
    </w:p>
    <w:p w14:paraId="2C525F71" w14:textId="77777777" w:rsidR="00152A2B" w:rsidRPr="003D7ADC" w:rsidRDefault="003D7ADC" w:rsidP="00A737E8">
      <w:pPr>
        <w:spacing w:line="360" w:lineRule="auto"/>
        <w:ind w:firstLine="720"/>
        <w:jc w:val="both"/>
        <w:rPr>
          <w:rFonts w:ascii="Times New Roman" w:eastAsia="Times New Roman" w:hAnsi="Times New Roman" w:cs="Times New Roman"/>
          <w:sz w:val="24"/>
        </w:rPr>
      </w:pPr>
      <w:r>
        <w:rPr>
          <w:rFonts w:ascii="Times New Roman" w:eastAsia="Times New Roman" w:hAnsi="Times New Roman" w:cs="Times New Roman"/>
          <w:sz w:val="24"/>
          <w:szCs w:val="24"/>
        </w:rPr>
        <w:t>Beneficial soil microbes play a critical role in optimi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ing nutrient availability and accelerating plant development by fixing nitrogen, solubili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ing phosphorus and potassium</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and mobili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 xml:space="preserve">ing key micronutrients. Additionally, they produce vital plant hormones and defend against soil-borne diseases. Key bacterial groups </w:t>
      </w:r>
      <w:r>
        <w:rPr>
          <w:rFonts w:ascii="Times New Roman" w:eastAsia="Times New Roman" w:hAnsi="Times New Roman" w:cs="Times New Roman"/>
          <w:sz w:val="24"/>
          <w:szCs w:val="24"/>
          <w:highlight w:val="yellow"/>
        </w:rPr>
        <w:t>such as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Azospirillum</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Azotobacter</w:t>
      </w:r>
      <w:r>
        <w:rPr>
          <w:rFonts w:ascii="Times New Roman" w:eastAsia="Times New Roman" w:hAnsi="Times New Roman" w:cs="Times New Roman"/>
          <w:sz w:val="24"/>
          <w:szCs w:val="24"/>
        </w:rPr>
        <w:t>, PSB, and KSB directly enhance root systems, nutrient uptake</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and chlorophyll production. Th</w:t>
      </w:r>
      <w:r>
        <w:rPr>
          <w:rFonts w:ascii="Times New Roman" w:eastAsia="Times New Roman" w:hAnsi="Times New Roman" w:cs="Times New Roman"/>
          <w:sz w:val="24"/>
          <w:szCs w:val="24"/>
          <w:highlight w:val="yellow"/>
        </w:rPr>
        <w:t>ese effect</w:t>
      </w:r>
      <w:r>
        <w:rPr>
          <w:rFonts w:ascii="Times New Roman" w:eastAsia="Times New Roman" w:hAnsi="Times New Roman" w:cs="Times New Roman"/>
          <w:sz w:val="24"/>
          <w:szCs w:val="24"/>
        </w:rPr>
        <w:t>s increase photosynthetic efficiency, ensuring stronger crop growth and higher productivity</w:t>
      </w:r>
      <w:r>
        <w:rPr>
          <w:rFonts w:ascii="Times New Roman" w:eastAsia="Times New Roman" w:hAnsi="Times New Roman" w:cs="Times New Roman"/>
        </w:rPr>
        <w:t xml:space="preserve"> </w:t>
      </w:r>
      <w:r>
        <w:rPr>
          <w:rFonts w:ascii="Times New Roman" w:eastAsia="Times New Roman" w:hAnsi="Times New Roman" w:cs="Times New Roman"/>
          <w:sz w:val="24"/>
        </w:rPr>
        <w:t xml:space="preserve">(Vessey, 2003; Naik </w:t>
      </w:r>
      <w:r>
        <w:rPr>
          <w:rFonts w:ascii="Times New Roman" w:eastAsia="Times New Roman" w:hAnsi="Times New Roman" w:cs="Times New Roman"/>
          <w:sz w:val="24"/>
          <w:szCs w:val="24"/>
        </w:rPr>
        <w:t>et al</w:t>
      </w:r>
      <w:r>
        <w:rPr>
          <w:rFonts w:ascii="Times New Roman" w:eastAsia="Times New Roman" w:hAnsi="Times New Roman" w:cs="Times New Roman"/>
          <w:sz w:val="24"/>
        </w:rPr>
        <w:t>., 2020). In mulberry, microbial inoculants integrated with recommended fertili</w:t>
      </w:r>
      <w:r>
        <w:rPr>
          <w:rFonts w:ascii="Times New Roman" w:eastAsia="Times New Roman" w:hAnsi="Times New Roman" w:cs="Times New Roman"/>
          <w:sz w:val="24"/>
          <w:highlight w:val="yellow"/>
        </w:rPr>
        <w:t>s</w:t>
      </w:r>
      <w:r>
        <w:rPr>
          <w:rFonts w:ascii="Times New Roman" w:eastAsia="Times New Roman" w:hAnsi="Times New Roman" w:cs="Times New Roman"/>
          <w:sz w:val="24"/>
        </w:rPr>
        <w:t>er doses have been reported to improve shoot growth, leaf yield, chlorophyll content, protein content</w:t>
      </w:r>
      <w:r>
        <w:rPr>
          <w:rFonts w:ascii="Times New Roman" w:eastAsia="Times New Roman" w:hAnsi="Times New Roman" w:cs="Times New Roman"/>
          <w:sz w:val="24"/>
          <w:highlight w:val="yellow"/>
        </w:rPr>
        <w:t>,</w:t>
      </w:r>
      <w:r>
        <w:rPr>
          <w:rFonts w:ascii="Times New Roman" w:eastAsia="Times New Roman" w:hAnsi="Times New Roman" w:cs="Times New Roman"/>
          <w:sz w:val="24"/>
        </w:rPr>
        <w:t xml:space="preserve"> and soil fertility (Baqual &amp; Das, 2006; Ram Rao et al., 2007; Setua et al., 2005; Shravanilakshmi et al., 2025)</w:t>
      </w:r>
      <w:r>
        <w:rPr>
          <w:rFonts w:ascii="Times New Roman" w:eastAsia="Times New Roman" w:hAnsi="Times New Roman" w:cs="Times New Roman"/>
          <w:sz w:val="24"/>
          <w:szCs w:val="24"/>
        </w:rPr>
        <w:t/>
      </w:r>
      <w:r>
        <w:rPr>
          <w:rFonts w:ascii="Times New Roman" w:eastAsia="Times New Roman" w:hAnsi="Times New Roman" w:cs="Times New Roman"/>
          <w:sz w:val="24"/>
        </w:rPr>
        <w:t xml:space="preserve"/>
      </w:r>
      <w:r>
        <w:rPr>
          <w:rFonts w:ascii="Times New Roman" w:eastAsia="Times New Roman" w:hAnsi="Times New Roman" w:cs="Times New Roman"/>
          <w:sz w:val="24"/>
          <w:szCs w:val="24"/>
        </w:rPr>
        <w:t/>
      </w:r>
      <w:r>
        <w:rPr>
          <w:rFonts w:ascii="Times New Roman" w:eastAsia="Times New Roman" w:hAnsi="Times New Roman" w:cs="Times New Roman"/>
          <w:sz w:val="24"/>
        </w:rPr>
        <w:t xml:space="preserve"/>
      </w:r>
      <w:r>
        <w:rPr>
          <w:rFonts w:ascii="Times New Roman" w:eastAsia="Times New Roman" w:hAnsi="Times New Roman" w:cs="Times New Roman"/>
          <w:sz w:val="24"/>
          <w:szCs w:val="24"/>
        </w:rPr>
        <w:t/>
      </w:r>
      <w:r>
        <w:rPr>
          <w:rFonts w:ascii="Times New Roman" w:eastAsia="Times New Roman" w:hAnsi="Times New Roman" w:cs="Times New Roman"/>
          <w:sz w:val="24"/>
        </w:rPr>
        <w:t xml:space="preserve"/>
      </w:r>
      <w:r>
        <w:rPr>
          <w:rFonts w:ascii="Times New Roman" w:eastAsia="Times New Roman" w:hAnsi="Times New Roman" w:cs="Times New Roman"/>
          <w:sz w:val="24"/>
          <w:szCs w:val="24"/>
        </w:rPr>
        <w:t/>
      </w:r>
      <w:r>
        <w:rPr>
          <w:rFonts w:ascii="Times New Roman" w:eastAsia="Times New Roman" w:hAnsi="Times New Roman" w:cs="Times New Roman"/>
          <w:sz w:val="24"/>
        </w:rPr>
        <w:t xml:space="preserve">. </w:t>
      </w:r>
      <w:r w:rsidRPr="001722E4">
        <w:rPr>
          <w:rFonts w:ascii="Times New Roman" w:hAnsi="Times New Roman" w:cs="Times New Roman"/>
          <w:bCs/>
          <w:sz w:val="24"/>
          <w:highlight w:val="yellow"/>
        </w:rPr>
        <w:t xml:space="preserve">Recent field studies across crop systems further indicate that PGPR-based biofertilisers and multi-strain microbial consortia can support nutrient acquisition, crop growth, and yield within integrated nutrient-management programmes (Nabati et al., 2025; Patil et al., 2026). A recent mulberry-focused review likewise identifies biofertiliser-based nutrient management as a promising component of sustainable production while emphasising the need for continued field validation of formulation performance (Bhuvaneshwari et al., 2026). Crop-specific evaluation of Arka Microbial Consortium has also </w:t>
      </w:r>
      <w:r w:rsidRPr="001722E4">
        <w:rPr>
          <w:rFonts w:ascii="Times New Roman" w:hAnsi="Times New Roman" w:cs="Times New Roman"/>
          <w:bCs/>
          <w:sz w:val="24"/>
          <w:highlight w:val="yellow"/>
        </w:rPr>
        <w:lastRenderedPageBreak/>
        <w:t>reported favourable early-growth responses, supporting further assessment of this consortium under different crop and production conditions (Choudhary &amp; Kumari, 2025).</w:t>
      </w:r>
    </w:p>
    <w:p w14:paraId="6F243196" w14:textId="77777777" w:rsidR="003C589D" w:rsidRPr="00F67967" w:rsidRDefault="003C589D" w:rsidP="001B6DFF">
      <w:pPr>
        <w:spacing w:before="100" w:beforeAutospacing="1" w:after="100" w:afterAutospacing="1"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Liquid microbial formulations have recently emerged as an effective alternative to conventional carrier-based biofertili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ers because of their high microbial viability, longer shelf life, rapid rhizosphere coloni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 xml:space="preserve">ation, and suitability for application through drip irrigation and fertigation. These formulations improve nutrient-use efficiency, stimulate soil biological activity, and enhance plant </w:t>
      </w:r>
      <w:r w:rsidRPr="001722E4">
        <w:rPr>
          <w:rFonts w:ascii="Times New Roman" w:eastAsia="Times New Roman" w:hAnsi="Times New Roman" w:cs="Times New Roman"/>
          <w:b/>
          <w:bCs/>
          <w:sz w:val="24"/>
          <w:szCs w:val="24"/>
        </w:rPr>
        <w:t>growth while reducing dependence on chemical fertili</w:t>
      </w:r>
      <w:r w:rsidRPr="001722E4">
        <w:rPr>
          <w:rFonts w:ascii="Times New Roman" w:eastAsia="Times New Roman" w:hAnsi="Times New Roman" w:cs="Times New Roman"/>
          <w:b/>
          <w:bCs/>
          <w:sz w:val="24"/>
          <w:szCs w:val="24"/>
          <w:highlight w:val="yellow"/>
        </w:rPr>
        <w:t>s</w:t>
      </w:r>
      <w:r w:rsidRPr="001722E4">
        <w:rPr>
          <w:rFonts w:ascii="Times New Roman" w:eastAsia="Times New Roman" w:hAnsi="Times New Roman" w:cs="Times New Roman"/>
          <w:b/>
          <w:bCs/>
          <w:sz w:val="24"/>
          <w:szCs w:val="24"/>
        </w:rPr>
        <w:t>ers (Mustaka et al., 2022; Naik et al., 2020).</w:t>
      </w:r>
      <w:r w:rsidRPr="001722E4">
        <w:rPr>
          <w:rFonts w:ascii="Times New Roman" w:hAnsi="Times New Roman" w:cs="Times New Roman"/>
          <w:b/>
          <w:bCs/>
          <w:sz w:val="24"/>
          <w:highlight w:val="yellow"/>
        </w:rPr>
        <w:t xml:space="preserve"> Recent meta-analytic evidence further indicates that biofertiliser responses vary with crop and soil context, reinforcing the importance of location-specific field evaluation (Zhang et al., 2025).</w:t>
      </w:r>
      <w:r>
        <w:rPr>
          <w:rFonts w:ascii="Times New Roman" w:eastAsia="Times New Roman" w:hAnsi="Times New Roman" w:cs="Times New Roman"/>
          <w:sz w:val="24"/>
          <w:szCs w:val="24"/>
        </w:rPr>
        <w:t xml:space="preserve"> However, comparative information on the performance of different liquid microbial formulations under irrigated mulberry cultivation is limited, particularly under the intensive production systems practi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ed in southern India.</w:t>
      </w:r>
    </w:p>
    <w:p w14:paraId="5A8F48E4" w14:textId="77777777" w:rsidR="00350F3D" w:rsidRPr="00F67967" w:rsidRDefault="003C589D" w:rsidP="001B6DFF">
      <w:pPr>
        <w:spacing w:before="100" w:beforeAutospacing="1" w:after="100" w:afterAutospacing="1"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Therefore, the present study was undertaken to evaluate the efficacy of different liquid microbial formulations on the growth, leaf yield, leaf quality, cocoon productivity</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and economics of mulberry (</w:t>
      </w:r>
      <w:r>
        <w:rPr>
          <w:rFonts w:ascii="Times New Roman" w:eastAsia="Times New Roman" w:hAnsi="Times New Roman" w:cs="Times New Roman"/>
          <w:i/>
          <w:iCs/>
          <w:sz w:val="24"/>
          <w:szCs w:val="24"/>
        </w:rPr>
        <w:t>Morus indica</w:t>
      </w:r>
      <w:r>
        <w:rPr>
          <w:rFonts w:ascii="Times New Roman" w:eastAsia="Times New Roman" w:hAnsi="Times New Roman" w:cs="Times New Roman"/>
          <w:sz w:val="24"/>
          <w:szCs w:val="24"/>
        </w:rPr>
        <w:t xml:space="preserve"> L.) under irrigated field conditions in Kolar district, Karnataka. The findings are expected to provide</w:t>
      </w:r>
      <w:r>
        <w:rPr>
          <w:rFonts w:ascii="Times New Roman" w:eastAsia="Times New Roman" w:hAnsi="Times New Roman" w:cs="Times New Roman"/>
          <w:sz w:val="24"/>
          <w:szCs w:val="24"/>
          <w:highlight w:val="yellow"/>
        </w:rPr>
        <w:t xml:space="preserve"> a</w:t>
      </w:r>
      <w:r>
        <w:rPr>
          <w:rFonts w:ascii="Times New Roman" w:eastAsia="Times New Roman" w:hAnsi="Times New Roman" w:cs="Times New Roman"/>
          <w:sz w:val="24"/>
          <w:szCs w:val="24"/>
        </w:rPr>
        <w:t xml:space="preserve"> scientific basis for developing an efficient biological nutrient</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management strategy that improves mulberry productivity and soil health, reduces dependence on chemical fertili</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ers</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and contributes to sustainable cocoon production.</w:t>
      </w:r>
    </w:p>
    <w:p w14:paraId="45EC4757" w14:textId="77777777" w:rsidR="00D61223" w:rsidRPr="00F67967" w:rsidRDefault="00D61223" w:rsidP="00D61223">
      <w:pPr>
        <w:pStyle w:val="Heading2"/>
        <w:jc w:val="both"/>
        <w:rPr>
          <w:rFonts w:ascii="Times New Roman" w:hAnsi="Times New Roman" w:cs="Times New Roman"/>
          <w:color w:val="auto"/>
          <w:sz w:val="24"/>
          <w:szCs w:val="24"/>
        </w:rPr>
      </w:pPr>
      <w:r w:rsidRPr="00F67967">
        <w:rPr>
          <w:rFonts w:ascii="Times New Roman" w:hAnsi="Times New Roman" w:cs="Times New Roman"/>
          <w:color w:val="auto"/>
          <w:sz w:val="24"/>
          <w:szCs w:val="24"/>
        </w:rPr>
        <w:t>Materials and Methods</w:t>
      </w:r>
    </w:p>
    <w:p w14:paraId="1479BFC2" w14:textId="77777777" w:rsidR="00D61223" w:rsidRPr="00F67967" w:rsidRDefault="00D61223" w:rsidP="00D61223">
      <w:pPr>
        <w:pStyle w:val="Heading3"/>
        <w:jc w:val="both"/>
        <w:rPr>
          <w:sz w:val="24"/>
          <w:szCs w:val="24"/>
        </w:rPr>
      </w:pPr>
      <w:r w:rsidRPr="00F67967">
        <w:rPr>
          <w:sz w:val="24"/>
          <w:szCs w:val="24"/>
        </w:rPr>
        <w:t>Experimental site</w:t>
      </w:r>
    </w:p>
    <w:p w14:paraId="1DBE1F37" w14:textId="77777777" w:rsidR="004E329C" w:rsidRPr="00F67967" w:rsidRDefault="004E329C" w:rsidP="00D148F7">
      <w:pPr>
        <w:pStyle w:val="Heading3"/>
        <w:spacing w:line="360" w:lineRule="auto"/>
        <w:ind w:firstLine="720"/>
        <w:jc w:val="both"/>
        <w:rPr>
          <w:b w:val="0"/>
          <w:sz w:val="24"/>
        </w:rPr>
      </w:pPr>
      <w:r>
        <w:rPr>
          <w:b w:val="0"/>
          <w:sz w:val="24"/>
        </w:rPr>
        <w:t xml:space="preserve">The present experiment was conducted in the cluster village of Gaddekannuru, Kolar Taluk, Kolar District, Karnataka, </w:t>
      </w:r>
      <w:r>
        <w:rPr>
          <w:b w:val="0"/>
          <w:sz w:val="24"/>
          <w:szCs w:val="24"/>
          <w:highlight w:val="yellow"/>
        </w:rPr>
        <w:t xml:space="preserve">over two </w:t>
      </w:r>
      <w:r>
        <w:rPr>
          <w:b w:val="0"/>
          <w:sz w:val="24"/>
          <w:szCs w:val="24"/>
        </w:rPr>
        <w:t>consecutive years</w:t>
      </w:r>
      <w:r>
        <w:rPr>
          <w:b w:val="0"/>
          <w:sz w:val="24"/>
          <w:szCs w:val="24"/>
          <w:highlight w:val="yellow"/>
        </w:rPr>
        <w:t>,</w:t>
      </w:r>
      <w:r>
        <w:rPr>
          <w:sz w:val="24"/>
          <w:szCs w:val="24"/>
        </w:rPr>
        <w:t xml:space="preserve"> </w:t>
      </w:r>
      <w:r>
        <w:rPr>
          <w:b w:val="0"/>
          <w:sz w:val="24"/>
        </w:rPr>
        <w:t>2021–22 and 2022–23. The experimental site is located in the Eastern Dry Zone (Zone V) of Karnataka and is characteri</w:t>
      </w:r>
      <w:r>
        <w:rPr>
          <w:b w:val="0"/>
          <w:sz w:val="24"/>
          <w:highlight w:val="yellow"/>
        </w:rPr>
        <w:t>s</w:t>
      </w:r>
      <w:r>
        <w:rPr>
          <w:b w:val="0"/>
          <w:sz w:val="24"/>
        </w:rPr>
        <w:t xml:space="preserve">ed by a semi-arid tropical climate with red sandy loam soils, which are well suited </w:t>
      </w:r>
      <w:r>
        <w:rPr>
          <w:b w:val="0"/>
          <w:sz w:val="24"/>
          <w:highlight w:val="yellow"/>
        </w:rPr>
        <w:t>t</w:t>
      </w:r>
      <w:r>
        <w:rPr>
          <w:b w:val="0"/>
          <w:sz w:val="24"/>
        </w:rPr>
        <w:t>o irrigated mulberry cultivation.</w:t>
      </w:r>
    </w:p>
    <w:p w14:paraId="21C03B21" w14:textId="77777777" w:rsidR="00D61223" w:rsidRPr="00F67967" w:rsidRDefault="00D61223" w:rsidP="00D61223">
      <w:pPr>
        <w:pStyle w:val="Heading3"/>
        <w:jc w:val="both"/>
        <w:rPr>
          <w:sz w:val="24"/>
          <w:szCs w:val="24"/>
        </w:rPr>
      </w:pPr>
      <w:r w:rsidRPr="00F67967">
        <w:rPr>
          <w:sz w:val="24"/>
          <w:szCs w:val="24"/>
        </w:rPr>
        <w:t>Experimental crop</w:t>
      </w:r>
    </w:p>
    <w:p w14:paraId="66A912AA" w14:textId="77777777" w:rsidR="004E329C" w:rsidRPr="00F67967" w:rsidRDefault="00B34E17" w:rsidP="00D148F7">
      <w:pPr>
        <w:pStyle w:val="Heading3"/>
        <w:spacing w:line="360" w:lineRule="auto"/>
        <w:ind w:firstLine="720"/>
        <w:jc w:val="both"/>
        <w:rPr>
          <w:b w:val="0"/>
          <w:sz w:val="24"/>
        </w:rPr>
      </w:pPr>
      <w:r>
        <w:rPr>
          <w:b w:val="0"/>
          <w:sz w:val="24"/>
        </w:rPr>
        <w:lastRenderedPageBreak/>
        <w:t xml:space="preserve">The </w:t>
      </w:r>
      <w:r>
        <w:rPr>
          <w:b w:val="0"/>
          <w:sz w:val="24"/>
          <w:highlight w:val="yellow"/>
        </w:rPr>
        <w:t>f</w:t>
      </w:r>
      <w:r>
        <w:rPr>
          <w:b w:val="0"/>
          <w:sz w:val="24"/>
        </w:rPr>
        <w:t>ield trials were conducted in an established five</w:t>
      </w:r>
      <w:r>
        <w:rPr>
          <w:b w:val="0"/>
          <w:sz w:val="24"/>
          <w:highlight w:val="yellow"/>
        </w:rPr>
        <w:t>-</w:t>
      </w:r>
      <w:r>
        <w:rPr>
          <w:b w:val="0"/>
          <w:sz w:val="24"/>
        </w:rPr>
        <w:t>year</w:t>
      </w:r>
      <w:r>
        <w:rPr>
          <w:b w:val="0"/>
          <w:sz w:val="24"/>
          <w:highlight w:val="yellow"/>
        </w:rPr>
        <w:t>-</w:t>
      </w:r>
      <w:r>
        <w:rPr>
          <w:b w:val="0"/>
          <w:sz w:val="24"/>
        </w:rPr>
        <w:t>old V-1 mulberry garden under irrigated condition</w:t>
      </w:r>
      <w:r>
        <w:rPr>
          <w:b w:val="0"/>
          <w:sz w:val="24"/>
          <w:highlight w:val="yellow"/>
        </w:rPr>
        <w:t>s</w:t>
      </w:r>
      <w:r>
        <w:rPr>
          <w:b w:val="0"/>
          <w:sz w:val="24"/>
        </w:rPr>
        <w:t>, maintaining a plant spacing of 4 ft × 3 ft. The crop was maintained following the recommended package of practices for mulberry cultivation prescribed by the Central Silk Board, Bengaluru, except for the nutrient</w:t>
      </w:r>
      <w:r>
        <w:rPr>
          <w:b w:val="0"/>
          <w:sz w:val="24"/>
          <w:highlight w:val="yellow"/>
        </w:rPr>
        <w:t>-</w:t>
      </w:r>
      <w:r>
        <w:rPr>
          <w:b w:val="0"/>
          <w:sz w:val="24"/>
        </w:rPr>
        <w:t xml:space="preserve">management treatments evaluated in the study (Dandin &amp; Giridhar, 2010)</w:t>
      </w:r>
      <w:r>
        <w:rPr>
          <w:b w:val="0"/>
          <w:sz w:val="24"/>
          <w:highlight w:val="yellow"/>
        </w:rPr>
        <w:t/>
      </w:r>
      <w:r>
        <w:rPr>
          <w:b w:val="0"/>
          <w:sz w:val="24"/>
        </w:rPr>
        <w:t xml:space="preserve">.</w:t>
      </w:r>
    </w:p>
    <w:p w14:paraId="7F3DEE01" w14:textId="77777777" w:rsidR="00D61223" w:rsidRPr="00F67967" w:rsidRDefault="00D61223" w:rsidP="00D61223">
      <w:pPr>
        <w:pStyle w:val="Heading3"/>
        <w:jc w:val="both"/>
        <w:rPr>
          <w:sz w:val="24"/>
          <w:szCs w:val="24"/>
        </w:rPr>
      </w:pPr>
      <w:r w:rsidRPr="00F67967">
        <w:rPr>
          <w:sz w:val="24"/>
          <w:szCs w:val="24"/>
        </w:rPr>
        <w:t>Experimental design and treatments</w:t>
      </w:r>
    </w:p>
    <w:p w14:paraId="05E08BEF" w14:textId="77777777" w:rsidR="00D61223" w:rsidRPr="00F67967" w:rsidRDefault="00D61223" w:rsidP="00D148F7">
      <w:pPr>
        <w:pStyle w:val="isselectedend"/>
        <w:spacing w:line="360" w:lineRule="auto"/>
        <w:ind w:firstLine="720"/>
        <w:jc w:val="both"/>
      </w:pPr>
      <w:r>
        <w:t xml:space="preserve">The experiment was laid out in a </w:t>
      </w:r>
      <w:r>
        <w:rPr>
          <w:rStyle w:val="Strong"/>
          <w:b w:val="0"/>
        </w:rPr>
        <w:t>Randomi</w:t>
      </w:r>
      <w:r>
        <w:rPr>
          <w:rStyle w:val="Strong"/>
          <w:b w:val="0"/>
          <w:highlight w:val="yellow"/>
        </w:rPr>
        <w:t>s</w:t>
      </w:r>
      <w:r>
        <w:rPr>
          <w:rStyle w:val="Strong"/>
          <w:b w:val="0"/>
        </w:rPr>
        <w:t>ed Complete Block Design (RCBD)</w:t>
      </w:r>
      <w:r>
        <w:t xml:space="preserve"> comprising </w:t>
      </w:r>
      <w:r>
        <w:rPr>
          <w:rStyle w:val="Strong"/>
          <w:b w:val="0"/>
        </w:rPr>
        <w:t>four</w:t>
      </w:r>
      <w:r>
        <w:rPr>
          <w:rStyle w:val="Strong"/>
        </w:rPr>
        <w:t xml:space="preserve"> </w:t>
      </w:r>
      <w:r>
        <w:rPr>
          <w:rStyle w:val="Strong"/>
          <w:b w:val="0"/>
        </w:rPr>
        <w:t>treatments</w:t>
      </w:r>
      <w:r>
        <w:t xml:space="preserve"> and </w:t>
      </w:r>
      <w:r>
        <w:rPr>
          <w:rStyle w:val="Strong"/>
          <w:b w:val="0"/>
        </w:rPr>
        <w:t>five replications</w:t>
      </w:r>
      <w:r>
        <w:t>. The trial was conducted in farmers' fields, with each farmer representing one replication. The treatment details were as follows:</w:t>
      </w:r>
    </w:p>
    <w:p w14:paraId="12651523" w14:textId="77777777" w:rsidR="00D61223" w:rsidRPr="00F67967" w:rsidRDefault="00D61223" w:rsidP="00215687">
      <w:pPr>
        <w:pStyle w:val="isselectedend"/>
        <w:spacing w:line="360" w:lineRule="auto"/>
        <w:ind w:left="630"/>
        <w:jc w:val="both"/>
      </w:pPr>
      <w:r>
        <w:rPr>
          <w:rStyle w:val="Strong"/>
        </w:rPr>
        <w:t>T₁:</w:t>
      </w:r>
      <w:r>
        <w:t xml:space="preserve"> Recommended dose of fertili</w:t>
      </w:r>
      <w:r>
        <w:rPr>
          <w:highlight w:val="yellow"/>
        </w:rPr>
        <w:t>s</w:t>
      </w:r>
      <w:r>
        <w:t xml:space="preserve">ers (RDF) and farmyard manure (FYM) consisting of </w:t>
      </w:r>
      <w:r>
        <w:rPr>
          <w:rStyle w:val="Strong"/>
          <w:b w:val="0"/>
        </w:rPr>
        <w:t>350:140:140 kg NPK/ha/year</w:t>
      </w:r>
      <w:r>
        <w:t xml:space="preserve"> along with </w:t>
      </w:r>
      <w:r>
        <w:rPr>
          <w:rStyle w:val="Strong"/>
          <w:b w:val="0"/>
        </w:rPr>
        <w:t>20 t FYM /ha/year</w:t>
      </w:r>
      <w:r>
        <w:rPr>
          <w:b/>
        </w:rPr>
        <w:t>,</w:t>
      </w:r>
      <w:r>
        <w:t xml:space="preserve"> applied in five equal split doses (</w:t>
      </w:r>
      <w:r>
        <w:rPr>
          <w:highlight w:val="yellow"/>
        </w:rPr>
        <w:t>f</w:t>
      </w:r>
      <w:r>
        <w:t>armer's practice).</w:t>
      </w:r>
    </w:p>
    <w:p w14:paraId="4AE893DD" w14:textId="77777777" w:rsidR="00D61223" w:rsidRPr="00F67967" w:rsidRDefault="00D61223" w:rsidP="00215687">
      <w:pPr>
        <w:pStyle w:val="isselectedend"/>
        <w:spacing w:line="360" w:lineRule="auto"/>
        <w:ind w:left="630"/>
        <w:jc w:val="both"/>
        <w:rPr>
          <w:b/>
        </w:rPr>
      </w:pPr>
      <w:r>
        <w:rPr>
          <w:rStyle w:val="Strong"/>
        </w:rPr>
        <w:t>T₂:</w:t>
      </w:r>
      <w:r>
        <w:t xml:space="preserve"> RDF + FYM + </w:t>
      </w:r>
      <w:r>
        <w:rPr>
          <w:rStyle w:val="Strong"/>
          <w:b w:val="0"/>
        </w:rPr>
        <w:t>Liquid Microbial Consortia</w:t>
      </w:r>
      <w:r>
        <w:t xml:space="preserve"> applied through drip irrigation at </w:t>
      </w:r>
      <w:r>
        <w:rPr>
          <w:rStyle w:val="Strong"/>
          <w:b w:val="0"/>
        </w:rPr>
        <w:t>7.5 L /ha /crop</w:t>
      </w:r>
      <w:r>
        <w:rPr>
          <w:b/>
        </w:rPr>
        <w:t xml:space="preserve"> </w:t>
      </w:r>
      <w:r>
        <w:t>at</w:t>
      </w:r>
      <w:r>
        <w:rPr>
          <w:b/>
        </w:rPr>
        <w:t xml:space="preserve"> </w:t>
      </w:r>
      <w:r>
        <w:rPr>
          <w:rStyle w:val="Strong"/>
          <w:b w:val="0"/>
        </w:rPr>
        <w:t>8 and 25 days after pruning (DAP).</w:t>
      </w:r>
    </w:p>
    <w:p w14:paraId="577D6F4F" w14:textId="77777777" w:rsidR="00D61223" w:rsidRPr="00F67967" w:rsidRDefault="00D61223" w:rsidP="00215687">
      <w:pPr>
        <w:pStyle w:val="isselectedend"/>
        <w:spacing w:line="360" w:lineRule="auto"/>
        <w:ind w:left="630"/>
        <w:jc w:val="both"/>
        <w:rPr>
          <w:b/>
        </w:rPr>
      </w:pPr>
      <w:r>
        <w:rPr>
          <w:rStyle w:val="Strong"/>
        </w:rPr>
        <w:t>T₃:</w:t>
      </w:r>
      <w:r>
        <w:t xml:space="preserve"> RDF + FYM + </w:t>
      </w:r>
      <w:r>
        <w:rPr>
          <w:rStyle w:val="Strong"/>
          <w:b w:val="0"/>
        </w:rPr>
        <w:t>Arka Microbial Consortia</w:t>
      </w:r>
      <w:r>
        <w:t xml:space="preserve"> applied through drip irrigation at </w:t>
      </w:r>
      <w:r>
        <w:rPr>
          <w:rStyle w:val="Strong"/>
          <w:b w:val="0"/>
        </w:rPr>
        <w:t>7.5 L/ ha/crop</w:t>
      </w:r>
      <w:r>
        <w:rPr>
          <w:b/>
        </w:rPr>
        <w:t xml:space="preserve"> </w:t>
      </w:r>
      <w:r>
        <w:t>at</w:t>
      </w:r>
      <w:r>
        <w:rPr>
          <w:b/>
        </w:rPr>
        <w:t xml:space="preserve"> </w:t>
      </w:r>
      <w:r>
        <w:rPr>
          <w:rStyle w:val="Strong"/>
          <w:b w:val="0"/>
        </w:rPr>
        <w:t>8 and 25 DAP.</w:t>
      </w:r>
    </w:p>
    <w:p w14:paraId="0224045E" w14:textId="77777777" w:rsidR="00D61223" w:rsidRPr="00F67967" w:rsidRDefault="00D61223" w:rsidP="00215687">
      <w:pPr>
        <w:pStyle w:val="isselectedend"/>
        <w:spacing w:line="360" w:lineRule="auto"/>
        <w:ind w:left="630"/>
        <w:jc w:val="both"/>
        <w:rPr>
          <w:b/>
        </w:rPr>
      </w:pPr>
      <w:r>
        <w:rPr>
          <w:rStyle w:val="Strong"/>
        </w:rPr>
        <w:t>T₄:</w:t>
      </w:r>
      <w:r>
        <w:t xml:space="preserve"> RDF + FYM + </w:t>
      </w:r>
      <w:r>
        <w:rPr>
          <w:rStyle w:val="Strong"/>
          <w:b w:val="0"/>
        </w:rPr>
        <w:t>Waste Decomposer Solution</w:t>
      </w:r>
      <w:r>
        <w:t xml:space="preserve"> (20 g culture dissolved in 200 L water acre/crop) applied through drip irrigation at </w:t>
      </w:r>
      <w:r>
        <w:rPr>
          <w:rStyle w:val="Strong"/>
          <w:b w:val="0"/>
        </w:rPr>
        <w:t>8 and 25 DAP.</w:t>
      </w:r>
    </w:p>
    <w:p w14:paraId="3AC83562" w14:textId="77777777" w:rsidR="00D61223" w:rsidRPr="00F67967" w:rsidRDefault="00D61223" w:rsidP="001B6DFF">
      <w:pPr>
        <w:pStyle w:val="isselectedend"/>
        <w:spacing w:line="360" w:lineRule="auto"/>
        <w:jc w:val="both"/>
      </w:pPr>
      <w:r>
        <w:t>Standard crop maintenance and nutrient applications were implemented in accordance with the established packages of practices for irrigated V-1 mulberry (Dandin et al., 2003).</w:t>
      </w:r>
    </w:p>
    <w:p w14:paraId="2DB4C307" w14:textId="77777777" w:rsidR="00BE742D" w:rsidRDefault="00367C3B" w:rsidP="00D61223">
      <w:pPr>
        <w:pStyle w:val="Heading3"/>
        <w:jc w:val="both"/>
        <w:rPr>
          <w:sz w:val="24"/>
          <w:szCs w:val="24"/>
        </w:rPr>
      </w:pPr>
      <w:r>
        <w:rPr>
          <w:sz w:val="24"/>
          <w:szCs w:val="24"/>
        </w:rPr>
        <w:t>Details of</w:t>
      </w:r>
      <w:r w:rsidR="00BE742D">
        <w:rPr>
          <w:sz w:val="24"/>
          <w:szCs w:val="24"/>
        </w:rPr>
        <w:t xml:space="preserve"> Liquid Formulations</w:t>
      </w:r>
    </w:p>
    <w:p w14:paraId="0AAAA688" w14:textId="77777777" w:rsidR="00F674F3" w:rsidRPr="00BE742D" w:rsidRDefault="00F674F3" w:rsidP="00F674F3">
      <w:pPr>
        <w:keepNext/>
        <w:spacing w:line="360" w:lineRule="auto"/>
        <w:jc w:val="both"/>
        <w:outlineLvl w:val="1"/>
        <w:rPr>
          <w:rFonts w:ascii="Times New Roman" w:eastAsia="MS Mincho" w:hAnsi="Times New Roman" w:cs="Times New Roman"/>
          <w:bCs/>
          <w:szCs w:val="20"/>
          <w:lang w:val="en-GB"/>
        </w:rPr>
      </w:pPr>
      <w:r>
        <w:rPr>
          <w:rFonts w:ascii="Times New Roman" w:hAnsi="Times New Roman" w:cs="Times New Roman"/>
          <w:b/>
          <w:sz w:val="24"/>
        </w:rPr>
        <w:t>Liquid Microbial Consortium (LMC)</w:t>
      </w:r>
      <w:r>
        <w:rPr>
          <w:rFonts w:ascii="Times New Roman" w:hAnsi="Times New Roman" w:cs="Times New Roman"/>
          <w:sz w:val="24"/>
          <w:highlight w:val="yellow"/>
        </w:rPr>
        <w:t>,</w:t>
      </w:r>
      <w:r>
        <w:rPr>
          <w:rFonts w:ascii="Times New Roman" w:hAnsi="Times New Roman" w:cs="Times New Roman"/>
          <w:sz w:val="24"/>
        </w:rPr>
        <w:t xml:space="preserve"> developed by the University of Agricultural Sciences (UAS) Bangalore</w:t>
      </w:r>
      <w:r>
        <w:rPr>
          <w:rFonts w:ascii="Times New Roman" w:hAnsi="Times New Roman" w:cs="Times New Roman"/>
          <w:sz w:val="24"/>
          <w:highlight w:val="yellow"/>
        </w:rPr>
        <w:t>,</w:t>
      </w:r>
      <w:r>
        <w:rPr>
          <w:rFonts w:ascii="Times New Roman" w:hAnsi="Times New Roman" w:cs="Times New Roman"/>
          <w:sz w:val="24"/>
        </w:rPr>
        <w:t xml:space="preserve"> is an advanced, multi-nutrient bioinoculant designed to optimi</w:t>
      </w:r>
      <w:r>
        <w:rPr>
          <w:rFonts w:ascii="Times New Roman" w:hAnsi="Times New Roman" w:cs="Times New Roman"/>
          <w:sz w:val="24"/>
          <w:highlight w:val="yellow"/>
        </w:rPr>
        <w:t>s</w:t>
      </w:r>
      <w:r>
        <w:rPr>
          <w:rFonts w:ascii="Times New Roman" w:hAnsi="Times New Roman" w:cs="Times New Roman"/>
          <w:sz w:val="24"/>
        </w:rPr>
        <w:t xml:space="preserve">e crop nutrition. This formulation combines compatible strains of </w:t>
      </w:r>
      <w:r>
        <w:rPr>
          <w:rFonts w:ascii="Times New Roman" w:hAnsi="Times New Roman" w:cs="Times New Roman"/>
          <w:i/>
          <w:sz w:val="24"/>
        </w:rPr>
        <w:t>Azospirillum lipoferum</w:t>
      </w:r>
      <w:r>
        <w:rPr>
          <w:rFonts w:ascii="Times New Roman" w:hAnsi="Times New Roman" w:cs="Times New Roman"/>
          <w:sz w:val="24"/>
        </w:rPr>
        <w:t xml:space="preserve">, </w:t>
      </w:r>
      <w:r>
        <w:rPr>
          <w:rFonts w:ascii="Times New Roman" w:hAnsi="Times New Roman" w:cs="Times New Roman"/>
          <w:i/>
          <w:sz w:val="24"/>
        </w:rPr>
        <w:t>Bacillus megaterium</w:t>
      </w:r>
      <w:r>
        <w:rPr>
          <w:rFonts w:ascii="Times New Roman" w:hAnsi="Times New Roman" w:cs="Times New Roman"/>
          <w:sz w:val="24"/>
          <w:highlight w:val="yellow"/>
        </w:rPr>
        <w:t>,</w:t>
      </w:r>
      <w:r>
        <w:rPr>
          <w:rFonts w:ascii="Times New Roman" w:hAnsi="Times New Roman" w:cs="Times New Roman"/>
          <w:sz w:val="24"/>
        </w:rPr>
        <w:t xml:space="preserve"> and </w:t>
      </w:r>
      <w:r>
        <w:rPr>
          <w:rFonts w:ascii="Times New Roman" w:hAnsi="Times New Roman" w:cs="Times New Roman"/>
          <w:i/>
          <w:sz w:val="24"/>
        </w:rPr>
        <w:t>Frateuria aurantia</w:t>
      </w:r>
      <w:r>
        <w:rPr>
          <w:rFonts w:ascii="Times New Roman" w:hAnsi="Times New Roman" w:cs="Times New Roman"/>
          <w:sz w:val="24"/>
        </w:rPr>
        <w:t xml:space="preserve"> to simultaneously fix nitrogen, solubili</w:t>
      </w:r>
      <w:r>
        <w:rPr>
          <w:rFonts w:ascii="Times New Roman" w:hAnsi="Times New Roman" w:cs="Times New Roman"/>
          <w:sz w:val="24"/>
          <w:highlight w:val="yellow"/>
        </w:rPr>
        <w:t>s</w:t>
      </w:r>
      <w:r>
        <w:rPr>
          <w:rFonts w:ascii="Times New Roman" w:hAnsi="Times New Roman" w:cs="Times New Roman"/>
          <w:sz w:val="24"/>
        </w:rPr>
        <w:t>e phosphorus</w:t>
      </w:r>
      <w:r>
        <w:rPr>
          <w:rFonts w:ascii="Times New Roman" w:hAnsi="Times New Roman" w:cs="Times New Roman"/>
          <w:sz w:val="24"/>
          <w:highlight w:val="yellow"/>
        </w:rPr>
        <w:t>,</w:t>
      </w:r>
      <w:r>
        <w:rPr>
          <w:rFonts w:ascii="Times New Roman" w:hAnsi="Times New Roman" w:cs="Times New Roman"/>
          <w:sz w:val="24"/>
        </w:rPr>
        <w:t xml:space="preserve"> and mobili</w:t>
      </w:r>
      <w:r>
        <w:rPr>
          <w:rFonts w:ascii="Times New Roman" w:hAnsi="Times New Roman" w:cs="Times New Roman"/>
          <w:sz w:val="24"/>
          <w:highlight w:val="yellow"/>
        </w:rPr>
        <w:t>s</w:t>
      </w:r>
      <w:r>
        <w:rPr>
          <w:rFonts w:ascii="Times New Roman" w:hAnsi="Times New Roman" w:cs="Times New Roman"/>
          <w:sz w:val="24"/>
        </w:rPr>
        <w:t>e potassium in the soil. Enriched with speciali</w:t>
      </w:r>
      <w:r>
        <w:rPr>
          <w:rFonts w:ascii="Times New Roman" w:hAnsi="Times New Roman" w:cs="Times New Roman"/>
          <w:sz w:val="24"/>
          <w:highlight w:val="yellow"/>
        </w:rPr>
        <w:t>s</w:t>
      </w:r>
      <w:r>
        <w:rPr>
          <w:rFonts w:ascii="Times New Roman" w:hAnsi="Times New Roman" w:cs="Times New Roman"/>
          <w:sz w:val="24"/>
        </w:rPr>
        <w:t xml:space="preserve">ed cell-protectants, the liquid base ensures </w:t>
      </w:r>
      <w:r>
        <w:rPr>
          <w:rFonts w:ascii="Times New Roman" w:hAnsi="Times New Roman" w:cs="Times New Roman"/>
          <w:sz w:val="24"/>
        </w:rPr>
        <w:lastRenderedPageBreak/>
        <w:t>an extended shelf life and maintains a higher concentration of viable cells than conventional powder-based options. Beyond nutrient delivery, these beneficial microbes secrete essential growth hormones that promote robust root development and overall plant biomass. Its regular application allows farmers to reduce synthetic chemical fertili</w:t>
      </w:r>
      <w:r>
        <w:rPr>
          <w:rFonts w:ascii="Times New Roman" w:hAnsi="Times New Roman" w:cs="Times New Roman"/>
          <w:sz w:val="24"/>
          <w:highlight w:val="yellow"/>
        </w:rPr>
        <w:t>s</w:t>
      </w:r>
      <w:r>
        <w:rPr>
          <w:rFonts w:ascii="Times New Roman" w:hAnsi="Times New Roman" w:cs="Times New Roman"/>
          <w:sz w:val="24"/>
        </w:rPr>
        <w:t>er use by 25% to 30% while maintaining high yields.</w:t>
      </w:r>
    </w:p>
    <w:p w14:paraId="4FC371B8" w14:textId="77777777" w:rsidR="00F674F3" w:rsidRPr="00BE742D" w:rsidRDefault="00F674F3" w:rsidP="00F674F3">
      <w:pPr>
        <w:keepNext/>
        <w:spacing w:line="360" w:lineRule="auto"/>
        <w:jc w:val="both"/>
        <w:outlineLvl w:val="1"/>
        <w:rPr>
          <w:rFonts w:ascii="Times New Roman" w:hAnsi="Times New Roman" w:cs="Times New Roman"/>
          <w:sz w:val="24"/>
        </w:rPr>
      </w:pPr>
      <w:r>
        <w:rPr>
          <w:rFonts w:ascii="Times New Roman" w:hAnsi="Times New Roman" w:cs="Times New Roman"/>
          <w:b/>
          <w:sz w:val="24"/>
        </w:rPr>
        <w:t>Arka Microbial Consortium (AMC)</w:t>
      </w:r>
      <w:r>
        <w:rPr>
          <w:rFonts w:ascii="Times New Roman" w:hAnsi="Times New Roman" w:cs="Times New Roman"/>
          <w:sz w:val="24"/>
        </w:rPr>
        <w:t xml:space="preserve"> is a sustainable, multi-strain biofertili</w:t>
      </w:r>
      <w:r>
        <w:rPr>
          <w:rFonts w:ascii="Times New Roman" w:hAnsi="Times New Roman" w:cs="Times New Roman"/>
          <w:sz w:val="24"/>
          <w:highlight w:val="yellow"/>
        </w:rPr>
        <w:t>s</w:t>
      </w:r>
      <w:r>
        <w:rPr>
          <w:rFonts w:ascii="Times New Roman" w:hAnsi="Times New Roman" w:cs="Times New Roman"/>
          <w:sz w:val="24"/>
        </w:rPr>
        <w:t xml:space="preserve">er developed by the ICAR-Indian Institute of Horticultural Research (IIHR) to enhance nutrient uptake. This technology consolidates </w:t>
      </w:r>
      <w:r>
        <w:rPr>
          <w:rFonts w:ascii="Times New Roman" w:hAnsi="Times New Roman" w:cs="Times New Roman"/>
          <w:bCs/>
          <w:i/>
          <w:sz w:val="24"/>
        </w:rPr>
        <w:t>Azotobacter tropicalis</w:t>
      </w:r>
      <w:r>
        <w:rPr>
          <w:rFonts w:ascii="Times New Roman" w:hAnsi="Times New Roman" w:cs="Times New Roman"/>
          <w:b/>
          <w:bCs/>
          <w:i/>
          <w:sz w:val="24"/>
        </w:rPr>
        <w:t xml:space="preserve"> </w:t>
      </w:r>
      <w:r>
        <w:rPr>
          <w:rFonts w:ascii="Times New Roman" w:hAnsi="Times New Roman" w:cs="Times New Roman"/>
          <w:b/>
          <w:bCs/>
          <w:sz w:val="24"/>
        </w:rPr>
        <w:t>(</w:t>
      </w:r>
      <w:r>
        <w:rPr>
          <w:rFonts w:ascii="Times New Roman" w:hAnsi="Times New Roman" w:cs="Times New Roman"/>
          <w:sz w:val="24"/>
        </w:rPr>
        <w:t xml:space="preserve">nitrogen-fixing), </w:t>
      </w:r>
      <w:r>
        <w:rPr>
          <w:rFonts w:ascii="Times New Roman" w:hAnsi="Times New Roman" w:cs="Times New Roman"/>
          <w:bCs/>
          <w:i/>
          <w:sz w:val="24"/>
        </w:rPr>
        <w:t>Bacillus aryabhattai</w:t>
      </w:r>
      <w:r>
        <w:rPr>
          <w:rFonts w:ascii="Times New Roman" w:hAnsi="Times New Roman" w:cs="Times New Roman"/>
          <w:b/>
          <w:bCs/>
          <w:sz w:val="24"/>
        </w:rPr>
        <w:t xml:space="preserve"> </w:t>
      </w:r>
      <w:r>
        <w:rPr>
          <w:rFonts w:ascii="Times New Roman" w:hAnsi="Times New Roman" w:cs="Times New Roman"/>
          <w:bCs/>
          <w:sz w:val="24"/>
        </w:rPr>
        <w:t>(P &amp; Zn solubili</w:t>
      </w:r>
      <w:r>
        <w:rPr>
          <w:rFonts w:ascii="Times New Roman" w:hAnsi="Times New Roman" w:cs="Times New Roman"/>
          <w:bCs/>
          <w:sz w:val="24"/>
          <w:highlight w:val="yellow"/>
        </w:rPr>
        <w:t>s</w:t>
      </w:r>
      <w:r>
        <w:rPr>
          <w:rFonts w:ascii="Times New Roman" w:hAnsi="Times New Roman" w:cs="Times New Roman"/>
          <w:bCs/>
          <w:sz w:val="24"/>
        </w:rPr>
        <w:t>er)</w:t>
      </w:r>
      <w:r>
        <w:rPr>
          <w:rFonts w:ascii="Times New Roman" w:hAnsi="Times New Roman" w:cs="Times New Roman"/>
          <w:bCs/>
          <w:sz w:val="24"/>
          <w:highlight w:val="yellow"/>
        </w:rPr>
        <w:t>,</w:t>
      </w:r>
      <w:r>
        <w:rPr>
          <w:rFonts w:ascii="Times New Roman" w:hAnsi="Times New Roman" w:cs="Times New Roman"/>
          <w:bCs/>
          <w:sz w:val="24"/>
        </w:rPr>
        <w:t xml:space="preserve"> and </w:t>
      </w:r>
      <w:r>
        <w:rPr>
          <w:rFonts w:ascii="Times New Roman" w:hAnsi="Times New Roman" w:cs="Times New Roman"/>
          <w:bCs/>
          <w:i/>
          <w:sz w:val="24"/>
        </w:rPr>
        <w:t>Pseudomonas taiwanensis</w:t>
      </w:r>
      <w:r>
        <w:rPr>
          <w:rFonts w:ascii="Times New Roman" w:hAnsi="Times New Roman" w:cs="Times New Roman"/>
          <w:b/>
          <w:bCs/>
          <w:sz w:val="24"/>
        </w:rPr>
        <w:t xml:space="preserve"> </w:t>
      </w:r>
      <w:r>
        <w:rPr>
          <w:rFonts w:ascii="Times New Roman" w:hAnsi="Times New Roman" w:cs="Times New Roman"/>
          <w:bCs/>
          <w:sz w:val="24"/>
        </w:rPr>
        <w:t xml:space="preserve">(plant growth promoter) </w:t>
      </w:r>
      <w:r>
        <w:rPr>
          <w:rFonts w:ascii="Times New Roman" w:hAnsi="Times New Roman" w:cs="Times New Roman"/>
          <w:sz w:val="24"/>
        </w:rPr>
        <w:t xml:space="preserve">bacteria into a single application for improved plant growth. By delivering essential nutrients to the root zone, AMC reduces </w:t>
      </w:r>
      <w:r>
        <w:rPr>
          <w:rFonts w:ascii="Times New Roman" w:hAnsi="Times New Roman" w:cs="Times New Roman"/>
          <w:sz w:val="24"/>
          <w:highlight w:val="yellow"/>
        </w:rPr>
        <w:t xml:space="preserve">dependence on </w:t>
      </w:r>
      <w:r>
        <w:rPr>
          <w:rFonts w:ascii="Times New Roman" w:hAnsi="Times New Roman" w:cs="Times New Roman"/>
          <w:sz w:val="24"/>
        </w:rPr>
        <w:t>chemical fertili</w:t>
      </w:r>
      <w:r>
        <w:rPr>
          <w:rFonts w:ascii="Times New Roman" w:hAnsi="Times New Roman" w:cs="Times New Roman"/>
          <w:sz w:val="24"/>
          <w:highlight w:val="yellow"/>
        </w:rPr>
        <w:t>s</w:t>
      </w:r>
      <w:r>
        <w:rPr>
          <w:rFonts w:ascii="Times New Roman" w:hAnsi="Times New Roman" w:cs="Times New Roman"/>
          <w:sz w:val="24"/>
        </w:rPr>
        <w:t>er</w:t>
      </w:r>
      <w:r>
        <w:rPr>
          <w:rFonts w:ascii="Times New Roman" w:hAnsi="Times New Roman" w:cs="Times New Roman"/>
          <w:sz w:val="24"/>
          <w:highlight w:val="yellow"/>
        </w:rPr>
        <w:t>s</w:t>
      </w:r>
      <w:r>
        <w:rPr>
          <w:rFonts w:ascii="Times New Roman" w:hAnsi="Times New Roman" w:cs="Times New Roman"/>
          <w:sz w:val="24"/>
        </w:rPr>
        <w:t xml:space="preserve"> by 25 percent and increases crop yields</w:t>
      </w:r>
      <w:r>
        <w:rPr>
          <w:rFonts w:ascii="Times New Roman" w:hAnsi="Times New Roman" w:cs="Times New Roman"/>
          <w:sz w:val="24"/>
          <w:highlight w:val="yellow"/>
        </w:rPr>
        <w:t xml:space="preserve"> by</w:t>
      </w:r>
      <w:r>
        <w:rPr>
          <w:rFonts w:ascii="Times New Roman" w:hAnsi="Times New Roman" w:cs="Times New Roman"/>
          <w:sz w:val="24"/>
        </w:rPr>
        <w:t xml:space="preserve"> up to 20 percent. It can be applied efficiently through soil drenching or drip irrigation systems. </w:t>
      </w:r>
    </w:p>
    <w:p w14:paraId="17EE702B" w14:textId="77777777" w:rsidR="00F674F3" w:rsidRPr="00E7063B" w:rsidRDefault="00F674F3" w:rsidP="00F674F3">
      <w:pPr>
        <w:pStyle w:val="Heading3"/>
        <w:spacing w:line="360" w:lineRule="auto"/>
        <w:jc w:val="both"/>
        <w:rPr>
          <w:b w:val="0"/>
          <w:sz w:val="24"/>
          <w:szCs w:val="24"/>
        </w:rPr>
      </w:pPr>
      <w:r>
        <w:rPr>
          <w:rStyle w:val="Strong"/>
          <w:b/>
          <w:sz w:val="24"/>
        </w:rPr>
        <w:t xml:space="preserve">Waste Decomposer Solution (WDC) </w:t>
      </w:r>
      <w:r>
        <w:rPr>
          <w:b w:val="0"/>
          <w:sz w:val="24"/>
          <w:szCs w:val="24"/>
        </w:rPr>
        <w:t>technology</w:t>
      </w:r>
      <w:r>
        <w:rPr>
          <w:b w:val="0"/>
          <w:sz w:val="24"/>
          <w:szCs w:val="24"/>
          <w:highlight w:val="yellow"/>
        </w:rPr>
        <w:t>,</w:t>
      </w:r>
      <w:r>
        <w:rPr>
          <w:b w:val="0"/>
          <w:sz w:val="24"/>
          <w:szCs w:val="24"/>
        </w:rPr>
        <w:t xml:space="preserve"> developed by NCOF, Ghaziabad</w:t>
      </w:r>
      <w:r>
        <w:rPr>
          <w:b w:val="0"/>
          <w:sz w:val="24"/>
          <w:szCs w:val="24"/>
          <w:highlight w:val="yellow"/>
        </w:rPr>
        <w:t>,</w:t>
      </w:r>
      <w:r>
        <w:rPr>
          <w:b w:val="0"/>
          <w:sz w:val="24"/>
          <w:szCs w:val="24"/>
        </w:rPr>
        <w:t xml:space="preserve"> is a cow dung-derived microbial consortium designed to accelerate waste degradation and improve soil fertility. For organic matter decomposition, the bacterium </w:t>
      </w:r>
      <w:r>
        <w:rPr>
          <w:rStyle w:val="Emphasis"/>
          <w:b w:val="0"/>
          <w:sz w:val="24"/>
          <w:szCs w:val="24"/>
        </w:rPr>
        <w:t>Bacillus subtilis</w:t>
      </w:r>
      <w:r>
        <w:rPr>
          <w:b w:val="0"/>
          <w:sz w:val="24"/>
          <w:szCs w:val="24"/>
        </w:rPr>
        <w:t xml:space="preserve"> and the fungus </w:t>
      </w:r>
      <w:r>
        <w:rPr>
          <w:rStyle w:val="Emphasis"/>
          <w:b w:val="0"/>
          <w:sz w:val="24"/>
          <w:szCs w:val="24"/>
        </w:rPr>
        <w:t>Trichoderma viride</w:t>
      </w:r>
      <w:r>
        <w:rPr>
          <w:b w:val="0"/>
          <w:sz w:val="24"/>
          <w:szCs w:val="24"/>
        </w:rPr>
        <w:t xml:space="preserve"> secrete powerful extracellular enzymes to break down tough plant cell walls. Nutrient mobili</w:t>
      </w:r>
      <w:r>
        <w:rPr>
          <w:b w:val="0"/>
          <w:sz w:val="24"/>
          <w:szCs w:val="24"/>
          <w:highlight w:val="yellow"/>
        </w:rPr>
        <w:t>s</w:t>
      </w:r>
      <w:r>
        <w:rPr>
          <w:b w:val="0"/>
          <w:sz w:val="24"/>
          <w:szCs w:val="24"/>
        </w:rPr>
        <w:t xml:space="preserve">ation is driven by </w:t>
      </w:r>
      <w:r>
        <w:rPr>
          <w:rStyle w:val="Emphasis"/>
          <w:b w:val="0"/>
          <w:sz w:val="24"/>
          <w:szCs w:val="24"/>
        </w:rPr>
        <w:t>Pseudomonas fluorescens</w:t>
      </w:r>
      <w:r>
        <w:rPr>
          <w:b w:val="0"/>
          <w:sz w:val="24"/>
          <w:szCs w:val="24"/>
        </w:rPr>
        <w:t xml:space="preserve"> and </w:t>
      </w:r>
      <w:r>
        <w:rPr>
          <w:rStyle w:val="Emphasis"/>
          <w:b w:val="0"/>
          <w:sz w:val="24"/>
          <w:szCs w:val="24"/>
        </w:rPr>
        <w:t>Bacillus megaterium</w:t>
      </w:r>
      <w:r>
        <w:rPr>
          <w:b w:val="0"/>
          <w:sz w:val="24"/>
          <w:szCs w:val="24"/>
        </w:rPr>
        <w:t xml:space="preserve">, which release organic acids to unlock fixed phosphorus and potassium in the soil. To balance the carbon-to-nitrogen ratio during decomposition, diazotrophic bacteria </w:t>
      </w:r>
      <w:r>
        <w:rPr>
          <w:b w:val="0"/>
          <w:sz w:val="24"/>
          <w:szCs w:val="24"/>
          <w:highlight w:val="yellow"/>
        </w:rPr>
        <w:t>such as</w:t>
      </w:r>
      <w:r>
        <w:rPr>
          <w:b w:val="0"/>
          <w:sz w:val="24"/>
          <w:szCs w:val="24"/>
        </w:rPr>
        <w:t xml:space="preserve"> </w:t>
      </w:r>
      <w:r>
        <w:rPr>
          <w:rStyle w:val="Emphasis"/>
          <w:b w:val="0"/>
          <w:sz w:val="24"/>
          <w:szCs w:val="24"/>
        </w:rPr>
        <w:t>Azotobacter chroococcum</w:t>
      </w:r>
      <w:r>
        <w:rPr>
          <w:b w:val="0"/>
          <w:sz w:val="24"/>
          <w:szCs w:val="24"/>
        </w:rPr>
        <w:t xml:space="preserve"> and </w:t>
      </w:r>
      <w:r>
        <w:rPr>
          <w:rStyle w:val="Emphasis"/>
          <w:b w:val="0"/>
          <w:sz w:val="24"/>
          <w:szCs w:val="24"/>
        </w:rPr>
        <w:t>Azospirillum brasilense</w:t>
      </w:r>
      <w:r>
        <w:rPr>
          <w:b w:val="0"/>
          <w:sz w:val="24"/>
          <w:szCs w:val="24"/>
        </w:rPr>
        <w:t xml:space="preserve"> fix atmospheric nitrogen into usable forms. Finally, </w:t>
      </w:r>
      <w:r>
        <w:rPr>
          <w:rStyle w:val="Emphasis"/>
          <w:b w:val="0"/>
          <w:sz w:val="24"/>
          <w:szCs w:val="24"/>
        </w:rPr>
        <w:t>Lactobacillus acidophilus</w:t>
      </w:r>
      <w:r>
        <w:rPr>
          <w:b w:val="0"/>
          <w:sz w:val="24"/>
          <w:szCs w:val="24"/>
        </w:rPr>
        <w:t xml:space="preserve"> and </w:t>
      </w:r>
      <w:r>
        <w:rPr>
          <w:rStyle w:val="Emphasis"/>
          <w:b w:val="0"/>
          <w:sz w:val="24"/>
          <w:szCs w:val="24"/>
        </w:rPr>
        <w:t>Streptomyces</w:t>
      </w:r>
      <w:r>
        <w:rPr>
          <w:b w:val="0"/>
          <w:sz w:val="24"/>
          <w:szCs w:val="24"/>
        </w:rPr>
        <w:t xml:space="preserve"> species suppress harmful soil-borne pathogens by lowering locali</w:t>
      </w:r>
      <w:r>
        <w:rPr>
          <w:b w:val="0"/>
          <w:sz w:val="24"/>
          <w:szCs w:val="24"/>
          <w:highlight w:val="yellow"/>
        </w:rPr>
        <w:t>s</w:t>
      </w:r>
      <w:r>
        <w:rPr>
          <w:b w:val="0"/>
          <w:sz w:val="24"/>
          <w:szCs w:val="24"/>
        </w:rPr>
        <w:t xml:space="preserve">ed pH and producing antimicrobial compounds. </w:t>
      </w:r>
    </w:p>
    <w:p w14:paraId="3151F0AC" w14:textId="77777777" w:rsidR="00D61223" w:rsidRPr="00F67967" w:rsidRDefault="00D61223" w:rsidP="00D61223">
      <w:pPr>
        <w:pStyle w:val="Heading3"/>
        <w:jc w:val="both"/>
        <w:rPr>
          <w:sz w:val="24"/>
          <w:szCs w:val="24"/>
        </w:rPr>
      </w:pPr>
      <w:r w:rsidRPr="00F67967">
        <w:rPr>
          <w:sz w:val="24"/>
          <w:szCs w:val="24"/>
        </w:rPr>
        <w:t>Application of liquid microbial formulations</w:t>
      </w:r>
    </w:p>
    <w:p w14:paraId="2F8AC22A" w14:textId="77777777" w:rsidR="00D61223" w:rsidRPr="00DD5D27" w:rsidRDefault="00D61223" w:rsidP="00D148F7">
      <w:pPr>
        <w:pStyle w:val="isselectedend"/>
        <w:spacing w:line="360" w:lineRule="auto"/>
        <w:ind w:firstLine="720"/>
        <w:jc w:val="both"/>
      </w:pPr>
      <w:r>
        <w:t xml:space="preserve">The liquid microbial formulations were applied through the existing drip irrigation system to ensure uniform distribution in the active root zone. Two applications were made during each crop cycle at </w:t>
      </w:r>
      <w:r>
        <w:rPr>
          <w:rStyle w:val="Strong"/>
          <w:b w:val="0"/>
        </w:rPr>
        <w:t>8 and 25 days after pruning (DAP)</w:t>
      </w:r>
      <w:r>
        <w:rPr>
          <w:b/>
          <w:highlight w:val="yellow"/>
        </w:rPr>
        <w:t>,</w:t>
      </w:r>
      <w:r>
        <w:rPr>
          <w:b/>
        </w:rPr>
        <w:t xml:space="preserve"> </w:t>
      </w:r>
      <w:r>
        <w:t>corresponding to the period of active vegetative growth. Application through drip irrigation facilitates efficient coloni</w:t>
      </w:r>
      <w:r>
        <w:rPr>
          <w:highlight w:val="yellow"/>
        </w:rPr>
        <w:t>s</w:t>
      </w:r>
      <w:r>
        <w:t>ation of beneficial microorganisms in the rhizosphere and enhances nutrient availability to plants (Naik et al., 2020; Allouzi et al., 2022).</w:t>
      </w:r>
    </w:p>
    <w:p w14:paraId="79478A43" w14:textId="77777777" w:rsidR="00D61223" w:rsidRPr="00F67967" w:rsidRDefault="00D61223" w:rsidP="00D61223">
      <w:pPr>
        <w:pStyle w:val="Heading3"/>
        <w:jc w:val="both"/>
        <w:rPr>
          <w:sz w:val="24"/>
          <w:szCs w:val="24"/>
        </w:rPr>
      </w:pPr>
      <w:r w:rsidRPr="00F67967">
        <w:rPr>
          <w:sz w:val="24"/>
          <w:szCs w:val="24"/>
        </w:rPr>
        <w:lastRenderedPageBreak/>
        <w:t>Crop management</w:t>
      </w:r>
    </w:p>
    <w:p w14:paraId="489037B5" w14:textId="77777777" w:rsidR="00D61223" w:rsidRPr="00F67967" w:rsidRDefault="00640EA8" w:rsidP="00D148F7">
      <w:pPr>
        <w:pStyle w:val="isselectedend"/>
        <w:spacing w:line="360" w:lineRule="auto"/>
        <w:ind w:firstLine="720"/>
        <w:jc w:val="both"/>
      </w:pPr>
      <w:r>
        <w:t>Regular agronomic practices</w:t>
      </w:r>
      <w:r>
        <w:rPr>
          <w:highlight w:val="yellow"/>
        </w:rPr>
        <w:t>,</w:t>
      </w:r>
      <w:r>
        <w:t xml:space="preserve"> </w:t>
      </w:r>
      <w:r>
        <w:rPr>
          <w:highlight w:val="yellow"/>
        </w:rPr>
        <w:t>namely</w:t>
      </w:r>
      <w:r>
        <w:t xml:space="preserve"> irrigation scheduling, intercultivation, weed management, pruning</w:t>
      </w:r>
      <w:r>
        <w:rPr>
          <w:highlight w:val="yellow"/>
        </w:rPr>
        <w:t>,</w:t>
      </w:r>
      <w:r>
        <w:t xml:space="preserve"> and plant protection measures</w:t>
      </w:r>
      <w:r>
        <w:rPr>
          <w:highlight w:val="yellow"/>
        </w:rPr>
        <w:t>,</w:t>
      </w:r>
      <w:r>
        <w:t xml:space="preserve"> were followed in all treatments throughout the experimental period in accordance with the recommended package of practices for mulberry cultivation (Dandin et al., 2003).</w:t>
      </w:r>
    </w:p>
    <w:p w14:paraId="5FB5EEE6" w14:textId="77777777" w:rsidR="002452E4" w:rsidRPr="00F67967" w:rsidRDefault="002452E4" w:rsidP="00D61223">
      <w:pPr>
        <w:pStyle w:val="Heading3"/>
        <w:jc w:val="both"/>
        <w:rPr>
          <w:b w:val="0"/>
          <w:sz w:val="22"/>
          <w:szCs w:val="24"/>
        </w:rPr>
      </w:pPr>
      <w:r w:rsidRPr="00F67967">
        <w:rPr>
          <w:sz w:val="24"/>
        </w:rPr>
        <w:t>Observations recorded</w:t>
      </w:r>
    </w:p>
    <w:p w14:paraId="619AC6B8" w14:textId="77777777" w:rsidR="00B979E1" w:rsidRPr="00F67967" w:rsidRDefault="00D34475" w:rsidP="00D148F7">
      <w:pPr>
        <w:pStyle w:val="Heading3"/>
        <w:spacing w:line="360" w:lineRule="auto"/>
        <w:ind w:firstLine="720"/>
        <w:jc w:val="both"/>
        <w:rPr>
          <w:b w:val="0"/>
          <w:sz w:val="24"/>
        </w:rPr>
      </w:pPr>
      <w:r>
        <w:rPr>
          <w:b w:val="0"/>
          <w:sz w:val="24"/>
        </w:rPr>
        <w:t xml:space="preserve">Observations on growth, yield, leaf quality, and economic parameters were recorded from each treatment following the standard procedures recommended for mulberry experimentation (Dandin &amp; Giridhar, 2010)</w:t>
      </w:r>
      <w:r>
        <w:rPr>
          <w:b w:val="0"/>
          <w:sz w:val="24"/>
          <w:highlight w:val="yellow"/>
        </w:rPr>
        <w:t/>
      </w:r>
      <w:r>
        <w:rPr>
          <w:b w:val="0"/>
          <w:sz w:val="24"/>
        </w:rPr>
        <w:t xml:space="preserve">. Growth parameters included</w:t>
      </w:r>
      <w:r>
        <w:rPr>
          <w:b w:val="0"/>
          <w:sz w:val="24"/>
          <w:highlight w:val="yellow"/>
        </w:rPr>
        <w:t xml:space="preserve"> the</w:t>
      </w:r>
      <w:r>
        <w:rPr>
          <w:b w:val="0"/>
          <w:sz w:val="24"/>
        </w:rPr>
        <w:t xml:space="preserve"> number of shoots per plant, number of leaves per shoot, leaf moisture content (%)</w:t>
      </w:r>
      <w:r>
        <w:rPr>
          <w:b w:val="0"/>
          <w:sz w:val="24"/>
          <w:highlight w:val="yellow"/>
        </w:rPr>
        <w:t>,</w:t>
      </w:r>
      <w:r>
        <w:rPr>
          <w:b w:val="0"/>
          <w:sz w:val="24"/>
        </w:rPr>
        <w:t xml:space="preserve"> and leaf quality. Leaf yield was recorded at each harvest on a plot basis and expressed as tonnes per hectare per crop (t /ha/crop), while annual leaf yield was calculated by summing the yields of all crops and expressed as tonnes per hectare per year (t /ha/year). </w:t>
      </w:r>
    </w:p>
    <w:p w14:paraId="09C66088" w14:textId="77777777" w:rsidR="00B979E1" w:rsidRPr="00F67967" w:rsidRDefault="00B979E1" w:rsidP="00D148F7">
      <w:pPr>
        <w:pStyle w:val="Heading3"/>
        <w:spacing w:line="360" w:lineRule="auto"/>
        <w:ind w:firstLine="720"/>
        <w:jc w:val="both"/>
        <w:rPr>
          <w:b w:val="0"/>
          <w:sz w:val="24"/>
        </w:rPr>
      </w:pPr>
      <w:r>
        <w:rPr>
          <w:b w:val="0"/>
          <w:sz w:val="24"/>
        </w:rPr>
        <w:t>Leaf quality parameters in mulberry were evaluated using standard gravimetric and spectrophotometric procedures</w:t>
      </w:r>
      <w:r>
        <w:rPr>
          <w:b w:val="0"/>
          <w:sz w:val="24"/>
          <w:highlight w:val="yellow"/>
        </w:rPr>
        <w:t>.</w:t>
      </w:r>
      <w:r>
        <w:rPr>
          <w:b w:val="0"/>
          <w:sz w:val="24"/>
        </w:rPr>
        <w:t xml:space="preserve"> </w:t>
      </w:r>
      <w:r>
        <w:rPr>
          <w:b w:val="0"/>
          <w:sz w:val="24"/>
          <w:highlight w:val="yellow"/>
        </w:rPr>
        <w:t>M</w:t>
      </w:r>
      <w:r>
        <w:rPr>
          <w:b w:val="0"/>
          <w:sz w:val="24"/>
        </w:rPr>
        <w:t xml:space="preserve">oisture content </w:t>
      </w:r>
      <w:r>
        <w:rPr>
          <w:b w:val="0"/>
          <w:sz w:val="24"/>
          <w:highlight w:val="yellow"/>
        </w:rPr>
        <w:t>was determ</w:t>
      </w:r>
      <w:r>
        <w:rPr>
          <w:b w:val="0"/>
          <w:sz w:val="24"/>
        </w:rPr>
        <w:t>i</w:t>
      </w:r>
      <w:r>
        <w:rPr>
          <w:b w:val="0"/>
          <w:sz w:val="24"/>
          <w:highlight w:val="yellow"/>
        </w:rPr>
        <w:t>ned by</w:t>
      </w:r>
      <w:r>
        <w:rPr>
          <w:b w:val="0"/>
          <w:sz w:val="24"/>
        </w:rPr>
        <w:t xml:space="preserve"> oven-drying</w:t>
      </w:r>
      <w:r>
        <w:rPr>
          <w:b w:val="0"/>
          <w:sz w:val="24"/>
          <w:highlight w:val="yellow"/>
        </w:rPr>
        <w:t>,</w:t>
      </w:r>
      <w:r>
        <w:rPr>
          <w:b w:val="0"/>
          <w:sz w:val="24"/>
        </w:rPr>
        <w:t xml:space="preserve"> and moisture retention capacity</w:t>
      </w:r>
      <w:r>
        <w:rPr>
          <w:b w:val="0"/>
          <w:sz w:val="24"/>
          <w:highlight w:val="yellow"/>
        </w:rPr>
        <w:t xml:space="preserve"> was determined</w:t>
      </w:r>
      <w:r>
        <w:rPr>
          <w:b w:val="0"/>
          <w:sz w:val="24"/>
        </w:rPr>
        <w:t xml:space="preserve"> through room-temperature desiccation (Association of Official Analytical Chemists [AOAC], 1980; Ramachandra et al., 2008)</w:t>
      </w:r>
      <w:r>
        <w:rPr>
          <w:b w:val="0"/>
          <w:sz w:val="24"/>
          <w:highlight w:val="yellow"/>
        </w:rPr>
        <w:t/>
      </w:r>
      <w:r>
        <w:rPr>
          <w:b w:val="0"/>
          <w:sz w:val="24"/>
        </w:rPr>
        <w:t xml:space="preserve">. Total chlorophyll content was extracted with 80% acetone and calculated using simultaneous spectrophotometric equations at 645 nm and 663 nm (Arnon, 1949). Finally, total soluble protein and carbohydrate contents were quantified colorimetrically using the Folin-Ciocalteu phenol reagent at 660 nm and the acid-anthrone hydrolysis method at 630 nm, respectively (Lowry et al., 1951; DuBois et al., 1956).</w:t>
      </w:r>
    </w:p>
    <w:p w14:paraId="1A71F329" w14:textId="77777777" w:rsidR="00D34475" w:rsidRPr="00F67967" w:rsidRDefault="00D34475" w:rsidP="00D148F7">
      <w:pPr>
        <w:pStyle w:val="Heading3"/>
        <w:spacing w:line="360" w:lineRule="auto"/>
        <w:ind w:firstLine="720"/>
        <w:jc w:val="both"/>
        <w:rPr>
          <w:b w:val="0"/>
          <w:sz w:val="24"/>
        </w:rPr>
      </w:pPr>
      <w:r>
        <w:rPr>
          <w:b w:val="0"/>
          <w:sz w:val="24"/>
        </w:rPr>
        <w:t>Economic parameters, including cost of cultivation, gross returns, net returns, and benefit–cost ratio (B</w:t>
      </w:r>
      <w:r>
        <w:rPr>
          <w:b w:val="0"/>
          <w:sz w:val="24"/>
          <w:highlight w:val="yellow"/>
        </w:rPr>
        <w:t>:C</w:t>
      </w:r>
      <w:r>
        <w:rPr>
          <w:b w:val="0"/>
          <w:sz w:val="24"/>
        </w:rPr>
        <w:t>), were computed using the prevailing market prices of inputs and outputs to assess the economic viability of the different liquid microbial formulations (Central Silk Board, n.d.).</w:t>
      </w:r>
    </w:p>
    <w:p w14:paraId="208A36C0" w14:textId="77777777" w:rsidR="009D783F" w:rsidRPr="009D783F" w:rsidRDefault="00D61223" w:rsidP="002F7885">
      <w:pPr>
        <w:pStyle w:val="Heading3"/>
        <w:spacing w:line="360" w:lineRule="auto"/>
        <w:jc w:val="both"/>
        <w:rPr>
          <w:b w:val="0"/>
          <w:sz w:val="24"/>
        </w:rPr>
      </w:pPr>
      <w:r>
        <w:rPr>
          <w:sz w:val="24"/>
          <w:szCs w:val="24"/>
        </w:rPr>
        <w:t xml:space="preserve">Statistical analysis: </w:t>
      </w:r>
      <w:r>
        <w:rPr>
          <w:b w:val="0"/>
          <w:sz w:val="24"/>
        </w:rPr>
        <w:t>Data were analy</w:t>
      </w:r>
      <w:r>
        <w:rPr>
          <w:b w:val="0"/>
          <w:sz w:val="24"/>
          <w:highlight w:val="yellow"/>
        </w:rPr>
        <w:t>s</w:t>
      </w:r>
      <w:r>
        <w:rPr>
          <w:b w:val="0"/>
          <w:sz w:val="24"/>
        </w:rPr>
        <w:t>ed using RCBD-based ANOVA, and treatment means were compared using the LSD test (P ≤ 0.05)</w:t>
      </w:r>
      <w:r>
        <w:rPr>
          <w:b w:val="0"/>
          <w:sz w:val="24"/>
          <w:highlight w:val="yellow"/>
        </w:rPr>
        <w:t>,</w:t>
      </w:r>
      <w:r>
        <w:rPr>
          <w:b w:val="0"/>
          <w:sz w:val="24"/>
        </w:rPr>
        <w:t xml:space="preserve"> </w:t>
      </w:r>
      <w:r>
        <w:rPr>
          <w:b w:val="0"/>
          <w:sz w:val="24"/>
          <w:highlight w:val="yellow"/>
        </w:rPr>
        <w:t>acco</w:t>
      </w:r>
      <w:r>
        <w:rPr>
          <w:b w:val="0"/>
          <w:sz w:val="24"/>
        </w:rPr>
        <w:t>r</w:t>
      </w:r>
      <w:r>
        <w:rPr>
          <w:b w:val="0"/>
          <w:sz w:val="24"/>
          <w:highlight w:val="yellow"/>
        </w:rPr>
        <w:t>ding to</w:t>
      </w:r>
      <w:r>
        <w:rPr>
          <w:b w:val="0"/>
          <w:sz w:val="24"/>
        </w:rPr>
        <w:t xml:space="preserve"> Gomez and Gomez (1984)</w:t>
      </w:r>
      <w:r>
        <w:rPr>
          <w:b w:val="0"/>
          <w:sz w:val="24"/>
          <w:highlight w:val="yellow"/>
        </w:rPr>
        <w:t>.</w:t>
      </w:r>
    </w:p>
    <w:p w14:paraId="716328D5" w14:textId="77777777" w:rsidR="009D783F" w:rsidRDefault="009D783F" w:rsidP="000E0D58">
      <w:pPr>
        <w:pStyle w:val="Heading2"/>
        <w:jc w:val="both"/>
      </w:pPr>
    </w:p>
    <w:p w14:paraId="04225F5B" w14:textId="77777777" w:rsidR="000E0D58" w:rsidRPr="00F67967" w:rsidRDefault="000E0D58" w:rsidP="000E0D58">
      <w:pPr>
        <w:pStyle w:val="Heading2"/>
        <w:jc w:val="both"/>
        <w:rPr>
          <w:rFonts w:ascii="Times New Roman" w:hAnsi="Times New Roman" w:cs="Times New Roman"/>
          <w:color w:val="auto"/>
          <w:sz w:val="24"/>
          <w:szCs w:val="24"/>
        </w:rPr>
      </w:pPr>
      <w:r w:rsidRPr="00F67967">
        <w:rPr>
          <w:rFonts w:ascii="Times New Roman" w:hAnsi="Times New Roman" w:cs="Times New Roman"/>
          <w:color w:val="auto"/>
          <w:sz w:val="24"/>
          <w:szCs w:val="24"/>
        </w:rPr>
        <w:t>Results and Discussion</w:t>
      </w:r>
    </w:p>
    <w:p w14:paraId="35B0CFCB" w14:textId="77777777" w:rsidR="0046341B" w:rsidRPr="00F67967" w:rsidRDefault="005925B0" w:rsidP="00D148F7">
      <w:pPr>
        <w:pStyle w:val="Heading3"/>
        <w:spacing w:line="360" w:lineRule="auto"/>
        <w:ind w:firstLine="720"/>
        <w:jc w:val="both"/>
        <w:rPr>
          <w:b w:val="0"/>
          <w:sz w:val="24"/>
        </w:rPr>
      </w:pPr>
      <w:r>
        <w:rPr>
          <w:b w:val="0"/>
          <w:sz w:val="24"/>
        </w:rPr>
        <w:t>The pooled analysis of data collected over two consecutive years (2021–22 and 2022–23) revealed that the application of different liquid microbial formulations significantly influenced mulberry growth, leaf yield, leaf quality, cocoon yield, and economic returns compared with the recommended fertili</w:t>
      </w:r>
      <w:r>
        <w:rPr>
          <w:b w:val="0"/>
          <w:sz w:val="24"/>
          <w:highlight w:val="yellow"/>
        </w:rPr>
        <w:t>s</w:t>
      </w:r>
      <w:r>
        <w:rPr>
          <w:b w:val="0"/>
          <w:sz w:val="24"/>
        </w:rPr>
        <w:t xml:space="preserve">er practice (Tables 1–3). </w:t>
      </w:r>
    </w:p>
    <w:p w14:paraId="5B207F41" w14:textId="77777777" w:rsidR="00B86628" w:rsidRPr="00F67967" w:rsidRDefault="00B86628" w:rsidP="00B86628">
      <w:pPr>
        <w:pStyle w:val="Heading4"/>
        <w:rPr>
          <w:rFonts w:ascii="Times New Roman" w:eastAsia="Times New Roman" w:hAnsi="Times New Roman" w:cs="Times New Roman"/>
          <w:i w:val="0"/>
          <w:iCs w:val="0"/>
          <w:color w:val="auto"/>
          <w:sz w:val="24"/>
          <w:szCs w:val="24"/>
        </w:rPr>
      </w:pPr>
      <w:r w:rsidRPr="00F67967">
        <w:rPr>
          <w:rFonts w:ascii="Times New Roman" w:eastAsia="Times New Roman" w:hAnsi="Times New Roman" w:cs="Times New Roman"/>
          <w:i w:val="0"/>
          <w:iCs w:val="0"/>
          <w:color w:val="auto"/>
          <w:sz w:val="24"/>
          <w:szCs w:val="24"/>
        </w:rPr>
        <w:t>Effect of Liquid Microbial Formulations on Mulberry Growth and Leaf Yield</w:t>
      </w:r>
    </w:p>
    <w:p w14:paraId="08BEB8A8" w14:textId="77777777" w:rsidR="00B86628" w:rsidRPr="00F67967" w:rsidRDefault="00B86628" w:rsidP="00D148F7">
      <w:pPr>
        <w:pStyle w:val="isselectedend"/>
        <w:spacing w:line="360" w:lineRule="auto"/>
        <w:ind w:firstLine="720"/>
        <w:jc w:val="both"/>
      </w:pPr>
      <w:r>
        <w:t>Application of liquid microbial formulations significantly enhanced the vegetative growth and leaf yield of mulberry compared with the recommended fertili</w:t>
      </w:r>
      <w:r>
        <w:rPr>
          <w:highlight w:val="yellow"/>
        </w:rPr>
        <w:t>s</w:t>
      </w:r>
      <w:r>
        <w:t>er practice (Table 1). Among the treatments, T₂ (Recommended NPK + FYM + Liquid Microbial Consortia) recorded the highest number of branches (15.40 per plant) and leaves (26.36 per branch), which were significantly superior to T₁ (Recommended NPK + FYM alone), which produced 13.48 branches per plant and 23.40 leaves per branch. Treatment T₃ (Arka Microbial Consortia) recorded statistically comparable values (15.31 branches per plant and 26.15 leaves per branch), while T₄ (Waste Decomposer Solution) also significantly improved vegetative growth over the control.</w:t>
      </w:r>
    </w:p>
    <w:p w14:paraId="17BEC8EB" w14:textId="77777777" w:rsidR="00B86628" w:rsidRPr="00F67967" w:rsidRDefault="00B86628" w:rsidP="00D148F7">
      <w:pPr>
        <w:pStyle w:val="isselectedend"/>
        <w:spacing w:line="360" w:lineRule="auto"/>
        <w:ind w:firstLine="720"/>
        <w:jc w:val="both"/>
      </w:pPr>
      <w:r>
        <w:t>The enhanced vegetative growth observed under microbial treatments can be attributed to the synergistic action of beneficial microorganisms that promote biological nitrogen fixation, solubili</w:t>
      </w:r>
      <w:r>
        <w:rPr>
          <w:highlight w:val="yellow"/>
        </w:rPr>
        <w:t>s</w:t>
      </w:r>
      <w:r>
        <w:t>ation of phosphorus and potassium, mobili</w:t>
      </w:r>
      <w:r>
        <w:rPr>
          <w:highlight w:val="yellow"/>
        </w:rPr>
        <w:t>s</w:t>
      </w:r>
      <w:r>
        <w:t>ation of micronutrients</w:t>
      </w:r>
      <w:r>
        <w:rPr>
          <w:highlight w:val="yellow"/>
        </w:rPr>
        <w:t>,</w:t>
      </w:r>
      <w:r>
        <w:t xml:space="preserve"> and synthesis of plant growth</w:t>
      </w:r>
      <w:r>
        <w:rPr>
          <w:highlight w:val="yellow"/>
        </w:rPr>
        <w:t>-</w:t>
      </w:r>
      <w:r>
        <w:t>promoting substances such as auxins, gibberellins</w:t>
      </w:r>
      <w:r>
        <w:rPr>
          <w:highlight w:val="yellow"/>
        </w:rPr>
        <w:t>,</w:t>
      </w:r>
      <w:r>
        <w:t xml:space="preserve"> and cytokinins. These processes stimulate root development, improve nutrient uptake</w:t>
      </w:r>
      <w:r>
        <w:rPr>
          <w:highlight w:val="yellow"/>
        </w:rPr>
        <w:t>,</w:t>
      </w:r>
      <w:r>
        <w:t xml:space="preserve"> and enhance photosynthetic efficiency, resulting in vigorous plant growth (Vessey, 2003; Naik et al., 2020).</w:t>
      </w:r>
    </w:p>
    <w:p w14:paraId="0D2EA894" w14:textId="77777777" w:rsidR="00B86628" w:rsidRPr="0005658B" w:rsidRDefault="00B86628" w:rsidP="00D148F7">
      <w:pPr>
        <w:pStyle w:val="NormalWeb"/>
        <w:spacing w:line="360" w:lineRule="auto"/>
        <w:ind w:firstLine="720"/>
        <w:jc w:val="both"/>
      </w:pPr>
      <w:r>
        <w:t>The improvement in vegetative growth was reflected in significantly higher leaf productivity. Treatment T₂ recorded the highest leaf yield of 1.302 kg per plant and 120.51 q per ha per crop, followed by T₃ (1.294 kg per plant and 119.80 q per ha per crop) and T₄ (1.241 kg per plant and 114.96 q per ha per crop), whereas T₁ recorded the lowest yield (1.106 kg per plant and 102.36 q per ha per crop). The application of Liquid Microbial Consortia (T₂) increased leaf yield by 17.7 percent over the recommended fertili</w:t>
      </w:r>
      <w:r>
        <w:rPr>
          <w:highlight w:val="yellow"/>
        </w:rPr>
        <w:t>s</w:t>
      </w:r>
      <w:r>
        <w:t xml:space="preserve">er practice. The higher leaf yield may be attributed to improved nutrient-use efficiency, enhanced chlorophyll synthesis, greater </w:t>
      </w:r>
      <w:r>
        <w:lastRenderedPageBreak/>
        <w:t xml:space="preserve">photosynthetic activity, and increased biomass accumulation resulting from </w:t>
      </w:r>
      <w:r>
        <w:rPr>
          <w:highlight w:val="yellow"/>
        </w:rPr>
        <w:t>gr</w:t>
      </w:r>
      <w:r>
        <w:t>ea</w:t>
      </w:r>
      <w:r>
        <w:rPr>
          <w:highlight w:val="yellow"/>
        </w:rPr>
        <w:t>t</w:t>
      </w:r>
      <w:r>
        <w:t>e</w:t>
      </w:r>
      <w:r>
        <w:rPr>
          <w:highlight w:val="yellow"/>
        </w:rPr>
        <w:t>r</w:t>
      </w:r>
      <w:r>
        <w:t xml:space="preserve"> microbial activity in the rhizosphere. These findings are consistent with earlier reports on the beneficial effects of microbial inoculants on mulberry growth and leaf production (Naik et al., 2020; Ram Rao et al., 2007; Shahwar et al., 2023).</w:t>
      </w:r>
    </w:p>
    <w:p w14:paraId="5205FB00" w14:textId="77777777" w:rsidR="00663900" w:rsidRPr="00F67967" w:rsidRDefault="00663900" w:rsidP="00663900">
      <w:pPr>
        <w:pStyle w:val="Heading4"/>
        <w:rPr>
          <w:rFonts w:ascii="Times New Roman" w:eastAsia="Times New Roman" w:hAnsi="Times New Roman" w:cs="Times New Roman"/>
          <w:i w:val="0"/>
          <w:iCs w:val="0"/>
          <w:color w:val="auto"/>
          <w:sz w:val="24"/>
          <w:szCs w:val="24"/>
        </w:rPr>
      </w:pPr>
      <w:r w:rsidRPr="00F67967">
        <w:rPr>
          <w:rFonts w:ascii="Times New Roman" w:eastAsia="Times New Roman" w:hAnsi="Times New Roman" w:cs="Times New Roman"/>
          <w:i w:val="0"/>
          <w:iCs w:val="0"/>
          <w:color w:val="auto"/>
          <w:sz w:val="24"/>
          <w:szCs w:val="24"/>
        </w:rPr>
        <w:t>Effect of Liquid Microbial Formulations on Leaf Quality and Cocoon Yield</w:t>
      </w:r>
    </w:p>
    <w:p w14:paraId="4A7B028B" w14:textId="77777777" w:rsidR="00663900" w:rsidRPr="00F67967" w:rsidRDefault="00663900" w:rsidP="00D148F7">
      <w:pPr>
        <w:pStyle w:val="isselectedend"/>
        <w:spacing w:line="360" w:lineRule="auto"/>
        <w:ind w:firstLine="720"/>
        <w:jc w:val="both"/>
      </w:pPr>
      <w:r>
        <w:t>Application of liquid microbial formulations significantly improved the quality of mulberry leaves compared with the recommended fertili</w:t>
      </w:r>
      <w:r>
        <w:rPr>
          <w:highlight w:val="yellow"/>
        </w:rPr>
        <w:t>s</w:t>
      </w:r>
      <w:r>
        <w:t>er practice (Table 2). Among the treatments, T₂ (Recommended NPK + FYM + Liquid Microbial Consortia) recorded the highest leaf moisture content (77.50%), moisture retention capacity (71.90%), total chlorophyll (45.80%), protein (25.10%), and carbohydrate content (16.65%). Treatment T₃ (Arka Microbial Consortia) produced statistically comparable values for most quality parameters, whereas T₁ (Recommended NPK + FYM alone) consistently recorded the lowest values</w:t>
      </w:r>
      <w:r>
        <w:rPr>
          <w:highlight w:val="yellow"/>
        </w:rPr>
        <w:t>,</w:t>
      </w:r>
      <w:r>
        <w:t xml:space="preserve"> with 71.20 percent leaf moisture, 64.40 percent moisture retention, 38.50 percent total chlorophyll, 20.25 percent protein, and 13.15 percent carbohydrate content.</w:t>
      </w:r>
    </w:p>
    <w:p w14:paraId="6C1D7CA3" w14:textId="77777777" w:rsidR="00663900" w:rsidRPr="00F67967" w:rsidRDefault="00663900" w:rsidP="00D148F7">
      <w:pPr>
        <w:pStyle w:val="isselectedend"/>
        <w:spacing w:line="360" w:lineRule="auto"/>
        <w:ind w:firstLine="720"/>
        <w:jc w:val="both"/>
      </w:pPr>
      <w:r>
        <w:t>The improvement in leaf quality may be attributed to enhanced nutrient availability and uptake resulting from the activity of beneficial microorganisms involved in biological nitrogen fixation, phosphorus and potassium solubili</w:t>
      </w:r>
      <w:r>
        <w:rPr>
          <w:highlight w:val="yellow"/>
        </w:rPr>
        <w:t>s</w:t>
      </w:r>
      <w:r>
        <w:t>ation, micronutrient mobili</w:t>
      </w:r>
      <w:r>
        <w:rPr>
          <w:highlight w:val="yellow"/>
        </w:rPr>
        <w:t>s</w:t>
      </w:r>
      <w:r>
        <w:t>ation, and phytohormone production. These processes promote nitrogen assimilation, chlorophyll biosynthesis, enzymatic activity, and photosynthetic efficiency, leading to g</w:t>
      </w:r>
      <w:r>
        <w:rPr>
          <w:highlight w:val="yellow"/>
        </w:rPr>
        <w:t>reat</w:t>
      </w:r>
      <w:r>
        <w:t>er accumulation of proteins and carbohydrates in mulberry leaves (Vessey, 2003; Allouzi et al., 2022; Nath et al., 2025). Increased leaf moisture and moisture retention further improve leaf succulence and maintain leaf freshness after harvest, thereby enhancing nutrient utili</w:t>
      </w:r>
      <w:r>
        <w:rPr>
          <w:highlight w:val="yellow"/>
        </w:rPr>
        <w:t>s</w:t>
      </w:r>
      <w:r>
        <w:t>ation by silkworm larvae.</w:t>
      </w:r>
    </w:p>
    <w:p w14:paraId="424379DE" w14:textId="77777777" w:rsidR="00663900" w:rsidRPr="00F67967" w:rsidRDefault="00663900" w:rsidP="00663900">
      <w:pPr>
        <w:pStyle w:val="NormalWeb"/>
        <w:spacing w:line="360" w:lineRule="auto"/>
        <w:jc w:val="both"/>
      </w:pPr>
      <w:r>
        <w:t>The</w:t>
      </w:r>
      <w:r>
        <w:rPr>
          <w:highlight w:val="yellow"/>
        </w:rPr>
        <w:t xml:space="preserve"> improved</w:t>
      </w:r>
      <w:r>
        <w:t xml:space="preserve"> quality of mulberry leave</w:t>
      </w:r>
      <w:r>
        <w:rPr>
          <w:highlight w:val="yellow"/>
        </w:rPr>
        <w:t>s was associa</w:t>
      </w:r>
      <w:r>
        <w:t xml:space="preserve">ted </w:t>
      </w:r>
      <w:r>
        <w:rPr>
          <w:highlight w:val="yellow"/>
        </w:rPr>
        <w:t>w</w:t>
      </w:r>
      <w:r>
        <w:t>it</w:t>
      </w:r>
      <w:r>
        <w:rPr>
          <w:highlight w:val="yellow"/>
        </w:rPr>
        <w:t>h</w:t>
      </w:r>
      <w:r>
        <w:t xml:space="preserve"> significantly higher cocoon productivity. Treatment T₂ recorded the highest cocoon yield (457.96 kg per ha), followed by T₃ (455.25 kg per ha) and T₄ (436.85 kg per ha), whereas T₁ recorded the lowest yield (368.50 kg per ha). The application of Liquid Microbial Consortia increased cocoon yield by approximately 24.3 percent over the recommended fertili</w:t>
      </w:r>
      <w:r>
        <w:rPr>
          <w:highlight w:val="yellow"/>
        </w:rPr>
        <w:t>s</w:t>
      </w:r>
      <w:r>
        <w:t xml:space="preserve">er practice. The enhanced cocoon yield can be attributed to the improved nutritional quality of mulberry leaves, particularly their higher protein, chlorophyll, and carbohydrate contents, which promote better larval growth, silk gland </w:t>
      </w:r>
      <w:r>
        <w:lastRenderedPageBreak/>
        <w:t>development</w:t>
      </w:r>
      <w:r>
        <w:rPr>
          <w:highlight w:val="yellow"/>
        </w:rPr>
        <w:t>,</w:t>
      </w:r>
      <w:r>
        <w:t xml:space="preserve"> and cocoon formation. Similar improvements in mulberry leaf quality and cocoon productivity following the integration of microbial inoculants with recommended nutrient management have been reported by Baqual and Das (2006), Ram Rao et al. (2007), and Shahwar et al. (2023)</w:t>
      </w:r>
      <w:r>
        <w:rPr>
          <w:highlight w:val="yellow"/>
        </w:rPr>
        <w:t/>
      </w:r>
      <w:r>
        <w:t xml:space="preserve">.</w:t>
      </w:r>
    </w:p>
    <w:p w14:paraId="31A70ED8" w14:textId="77777777" w:rsidR="00663900" w:rsidRPr="00F67967" w:rsidRDefault="00663900" w:rsidP="00663900">
      <w:pPr>
        <w:pStyle w:val="Heading4"/>
        <w:rPr>
          <w:rFonts w:ascii="Times New Roman" w:eastAsia="Times New Roman" w:hAnsi="Times New Roman" w:cs="Times New Roman"/>
          <w:i w:val="0"/>
          <w:iCs w:val="0"/>
          <w:color w:val="auto"/>
          <w:sz w:val="24"/>
          <w:szCs w:val="24"/>
        </w:rPr>
      </w:pPr>
      <w:r w:rsidRPr="00F67967">
        <w:rPr>
          <w:rFonts w:ascii="Times New Roman" w:eastAsia="Times New Roman" w:hAnsi="Times New Roman" w:cs="Times New Roman"/>
          <w:i w:val="0"/>
          <w:iCs w:val="0"/>
          <w:color w:val="auto"/>
          <w:sz w:val="24"/>
          <w:szCs w:val="24"/>
        </w:rPr>
        <w:t>Effect of Liquid Microbial Formulations on Economics</w:t>
      </w:r>
    </w:p>
    <w:p w14:paraId="70F13C19" w14:textId="77777777" w:rsidR="00663900" w:rsidRPr="00F67967" w:rsidRDefault="00663900" w:rsidP="00663900">
      <w:pPr>
        <w:pStyle w:val="isselectedend"/>
        <w:spacing w:line="360" w:lineRule="auto"/>
        <w:ind w:firstLine="720"/>
        <w:jc w:val="both"/>
      </w:pPr>
      <w:r>
        <w:t>Economic analysis indicated that the integration of liquid microbial formulations with the recommended nutrient</w:t>
      </w:r>
      <w:r>
        <w:rPr>
          <w:highlight w:val="yellow"/>
        </w:rPr>
        <w:t>-</w:t>
      </w:r>
      <w:r>
        <w:t>management practices significantly improved the profitability of mulberry cultivation (Table 3). Although the cost of cultivation increased marginally from Rs.50,000 per ha in T₁ to Rs.50,450 – Rs.50,789 per ha in the microbial treatments due to the additional cost of the formulations, the higher productivity resulted in substantially greater economic returns.</w:t>
      </w:r>
    </w:p>
    <w:p w14:paraId="719B7DCB" w14:textId="77777777" w:rsidR="00663900" w:rsidRPr="00F67967" w:rsidRDefault="00663900" w:rsidP="00663900">
      <w:pPr>
        <w:pStyle w:val="isselectedend"/>
        <w:spacing w:line="360" w:lineRule="auto"/>
        <w:jc w:val="both"/>
      </w:pPr>
      <w:r>
        <w:t>Among the treatments, T₂ (Recommended NPK + FYM + Liquid Microbial Consortia) recorded the highest gross return (Rs.183,184 per ha), net return (Rs.132,734 per ha), and benefit</w:t>
      </w:r>
      <w:r>
        <w:rPr>
          <w:highlight w:val="yellow"/>
        </w:rPr>
        <w:t>–</w:t>
      </w:r>
      <w:r>
        <w:t xml:space="preserve">cost (BC) ratio (3.63), followed closely by T₃ (Recommended NPK + FYM + Arka Microbial Consortia), which recorded a gross return of Rs.182,100 per ha, a net return of Rs.131,311 per ha, and </w:t>
      </w:r>
      <w:r>
        <w:rPr>
          <w:highlight w:val="yellow"/>
        </w:rPr>
        <w:t>a</w:t>
      </w:r>
      <w:r>
        <w:t xml:space="preserve"> BC ratio of 3.58. In contrast, T₁ (Recommended NPK + FYM alone) recorded the lowest gross return (Rs.138,187 per ha), net return (Rs.88,187 per ha), and B</w:t>
      </w:r>
      <w:r>
        <w:rPr>
          <w:highlight w:val="yellow"/>
        </w:rPr>
        <w:t>C</w:t>
      </w:r>
      <w:r>
        <w:t xml:space="preserve"> ratio (2.76). The net return obtained with T₂ was approximately 50.5 percent higher than that of the recommended fertili</w:t>
      </w:r>
      <w:r>
        <w:rPr>
          <w:highlight w:val="yellow"/>
        </w:rPr>
        <w:t>s</w:t>
      </w:r>
      <w:r>
        <w:t>er practice, demonstrating that the modest additional investment in liquid microbial formulations was effectively compensated by the substantial increase in leaf and cocoon productivity. The enhanced economic returns achieved under T₂ can be attributed to improved nutrient-use efficiency, superior leaf yield and quality, and higher cocoon production, which collectively increased farm profitability. These findings are in agreement with earlier reports highlighting the economic benefits of integrating microbial inoculants into nutrient</w:t>
      </w:r>
      <w:r>
        <w:rPr>
          <w:highlight w:val="yellow"/>
        </w:rPr>
        <w:t>-</w:t>
      </w:r>
      <w:r>
        <w:t>management programmes through enhanced crop productivity and input-use efficiency (Naik et al., 2020; Allouzi et al., 2022).</w:t>
      </w:r>
    </w:p>
    <w:p w14:paraId="7535D88B" w14:textId="77777777" w:rsidR="00350F3D" w:rsidRDefault="00663900" w:rsidP="00663900">
      <w:pPr>
        <w:spacing w:line="360" w:lineRule="auto"/>
        <w:jc w:val="both"/>
        <w:rPr>
          <w:rFonts w:ascii="Times New Roman" w:hAnsi="Times New Roman" w:cs="Times New Roman"/>
          <w:sz w:val="24"/>
        </w:rPr>
      </w:pPr>
      <w:r>
        <w:rPr>
          <w:rFonts w:ascii="Times New Roman" w:hAnsi="Times New Roman" w:cs="Times New Roman"/>
          <w:sz w:val="24"/>
        </w:rPr>
        <w:t>The pooled results demonstrated that integrating Liquid Microbial Consortia (T</w:t>
      </w:r>
      <w:r>
        <w:rPr>
          <w:rFonts w:ascii="Times New Roman" w:hAnsi="Times New Roman" w:cs="Times New Roman"/>
          <w:sz w:val="24"/>
          <w:vertAlign w:val="subscript"/>
        </w:rPr>
        <w:t>2</w:t>
      </w:r>
      <w:r>
        <w:rPr>
          <w:rFonts w:ascii="Times New Roman" w:hAnsi="Times New Roman" w:cs="Times New Roman"/>
          <w:sz w:val="24"/>
        </w:rPr>
        <w:t>) with recommended fertili</w:t>
      </w:r>
      <w:r>
        <w:rPr>
          <w:rFonts w:ascii="Times New Roman" w:hAnsi="Times New Roman" w:cs="Times New Roman"/>
          <w:sz w:val="24"/>
          <w:highlight w:val="yellow"/>
        </w:rPr>
        <w:t>s</w:t>
      </w:r>
      <w:r>
        <w:rPr>
          <w:rFonts w:ascii="Times New Roman" w:hAnsi="Times New Roman" w:cs="Times New Roman"/>
          <w:sz w:val="24"/>
        </w:rPr>
        <w:t>ers (RDF) and farmyard manure (FYM) constitutes the most effective nutrient</w:t>
      </w:r>
      <w:r>
        <w:rPr>
          <w:rFonts w:ascii="Times New Roman" w:hAnsi="Times New Roman" w:cs="Times New Roman"/>
          <w:sz w:val="24"/>
          <w:highlight w:val="yellow"/>
        </w:rPr>
        <w:t>-</w:t>
      </w:r>
      <w:r>
        <w:rPr>
          <w:rFonts w:ascii="Times New Roman" w:hAnsi="Times New Roman" w:cs="Times New Roman"/>
          <w:sz w:val="24"/>
        </w:rPr>
        <w:t xml:space="preserve">management strategy for irrigated mulberry cultivation. This approach significantly </w:t>
      </w:r>
      <w:r>
        <w:rPr>
          <w:rFonts w:ascii="Times New Roman" w:hAnsi="Times New Roman" w:cs="Times New Roman"/>
          <w:sz w:val="24"/>
        </w:rPr>
        <w:lastRenderedPageBreak/>
        <w:t>enhances vegetative growth, leaf yield, quality</w:t>
      </w:r>
      <w:r>
        <w:rPr>
          <w:rFonts w:ascii="Times New Roman" w:hAnsi="Times New Roman" w:cs="Times New Roman"/>
          <w:sz w:val="24"/>
          <w:highlight w:val="yellow"/>
        </w:rPr>
        <w:t>,</w:t>
      </w:r>
      <w:r>
        <w:rPr>
          <w:rFonts w:ascii="Times New Roman" w:hAnsi="Times New Roman" w:cs="Times New Roman"/>
          <w:sz w:val="24"/>
        </w:rPr>
        <w:t xml:space="preserve"> and economic returns compared </w:t>
      </w:r>
      <w:r>
        <w:rPr>
          <w:rFonts w:ascii="Times New Roman" w:hAnsi="Times New Roman" w:cs="Times New Roman"/>
          <w:sz w:val="24"/>
          <w:highlight w:val="yellow"/>
        </w:rPr>
        <w:t>wi</w:t>
      </w:r>
      <w:r>
        <w:rPr>
          <w:rFonts w:ascii="Times New Roman" w:hAnsi="Times New Roman" w:cs="Times New Roman"/>
          <w:sz w:val="24"/>
        </w:rPr>
        <w:t>t</w:t>
      </w:r>
      <w:r>
        <w:rPr>
          <w:rFonts w:ascii="Times New Roman" w:hAnsi="Times New Roman" w:cs="Times New Roman"/>
          <w:sz w:val="24"/>
          <w:highlight w:val="yellow"/>
        </w:rPr>
        <w:t>h</w:t>
      </w:r>
      <w:r>
        <w:rPr>
          <w:rFonts w:ascii="Times New Roman" w:hAnsi="Times New Roman" w:cs="Times New Roman"/>
          <w:sz w:val="24"/>
        </w:rPr>
        <w:t xml:space="preserve"> conventional practices (T</w:t>
      </w:r>
      <w:r>
        <w:rPr>
          <w:rFonts w:ascii="Times New Roman" w:hAnsi="Times New Roman" w:cs="Times New Roman"/>
          <w:sz w:val="24"/>
          <w:vertAlign w:val="subscript"/>
        </w:rPr>
        <w:t>1</w:t>
      </w:r>
      <w:r>
        <w:rPr>
          <w:rFonts w:ascii="Times New Roman" w:hAnsi="Times New Roman" w:cs="Times New Roman"/>
          <w:sz w:val="24"/>
        </w:rPr>
        <w:t>). While Arka Microbial Consortia (T</w:t>
      </w:r>
      <w:r>
        <w:rPr>
          <w:rFonts w:ascii="Times New Roman" w:hAnsi="Times New Roman" w:cs="Times New Roman"/>
          <w:sz w:val="24"/>
          <w:vertAlign w:val="subscript"/>
        </w:rPr>
        <w:t>3</w:t>
      </w:r>
      <w:r>
        <w:rPr>
          <w:rFonts w:ascii="Times New Roman" w:hAnsi="Times New Roman" w:cs="Times New Roman"/>
          <w:sz w:val="24"/>
        </w:rPr>
        <w:t>) provides comparable results, the Waste Decomposer Solution (T</w:t>
      </w:r>
      <w:r>
        <w:rPr>
          <w:rFonts w:ascii="Times New Roman" w:hAnsi="Times New Roman" w:cs="Times New Roman"/>
          <w:sz w:val="24"/>
          <w:vertAlign w:val="subscript"/>
        </w:rPr>
        <w:t>4</w:t>
      </w:r>
      <w:r>
        <w:rPr>
          <w:rFonts w:ascii="Times New Roman" w:hAnsi="Times New Roman" w:cs="Times New Roman"/>
          <w:sz w:val="24"/>
        </w:rPr>
        <w:t>) also outperforms standard fertili</w:t>
      </w:r>
      <w:r>
        <w:rPr>
          <w:rFonts w:ascii="Times New Roman" w:hAnsi="Times New Roman" w:cs="Times New Roman"/>
          <w:sz w:val="24"/>
          <w:highlight w:val="yellow"/>
        </w:rPr>
        <w:t>s</w:t>
      </w:r>
      <w:r>
        <w:rPr>
          <w:rFonts w:ascii="Times New Roman" w:hAnsi="Times New Roman" w:cs="Times New Roman"/>
          <w:sz w:val="24"/>
        </w:rPr>
        <w:t xml:space="preserve">er methods. Enhanced nutrient cycling, nitrogen fixation, and phytohormone production driven by these consortia improve overall plant metabolism. Ultimately, applying liquid microbial formulations through drip irrigation represents a sustainable method for </w:t>
      </w:r>
      <w:r>
        <w:rPr>
          <w:rFonts w:ascii="Times New Roman" w:hAnsi="Times New Roman" w:cs="Times New Roman"/>
          <w:sz w:val="24"/>
          <w:highlight w:val="yellow"/>
        </w:rPr>
        <w:t>impr</w:t>
      </w:r>
      <w:r>
        <w:rPr>
          <w:rFonts w:ascii="Times New Roman" w:hAnsi="Times New Roman" w:cs="Times New Roman"/>
          <w:sz w:val="24"/>
        </w:rPr>
        <w:t>o</w:t>
      </w:r>
      <w:r>
        <w:rPr>
          <w:rFonts w:ascii="Times New Roman" w:hAnsi="Times New Roman" w:cs="Times New Roman"/>
          <w:sz w:val="24"/>
          <w:highlight w:val="yellow"/>
        </w:rPr>
        <w:t>v</w:t>
      </w:r>
      <w:r>
        <w:rPr>
          <w:rFonts w:ascii="Times New Roman" w:hAnsi="Times New Roman" w:cs="Times New Roman"/>
          <w:sz w:val="24"/>
        </w:rPr>
        <w:t>ing long-term sericulture productivity and soil health</w:t>
      </w:r>
      <w:r>
        <w:rPr>
          <w:rFonts w:ascii="Times New Roman" w:hAnsi="Times New Roman" w:cs="Times New Roman"/>
          <w:sz w:val="24"/>
          <w:highlight w:val="yellow"/>
        </w:rPr>
        <w:t>.</w:t>
      </w:r>
    </w:p>
    <w:p w14:paraId="2DC139D1" w14:textId="77777777" w:rsidR="00EA2980" w:rsidRPr="00653DED" w:rsidRDefault="00EA2980" w:rsidP="00653DED">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653DED">
        <w:rPr>
          <w:rFonts w:ascii="Times New Roman" w:eastAsia="Times New Roman" w:hAnsi="Times New Roman" w:cs="Times New Roman"/>
          <w:b/>
          <w:bCs/>
          <w:sz w:val="24"/>
          <w:szCs w:val="24"/>
        </w:rPr>
        <w:t>Conclusions</w:t>
      </w:r>
    </w:p>
    <w:p w14:paraId="50EDF600" w14:textId="0AC38D32" w:rsidR="001722E4" w:rsidRDefault="001722E4" w:rsidP="00C05DD9">
      <w:pPr>
        <w:spacing w:before="100" w:beforeAutospacing="1" w:after="100" w:afterAutospacing="1" w:line="360" w:lineRule="auto"/>
        <w:jc w:val="both"/>
        <w:rPr>
          <w:rFonts w:ascii="Times New Roman" w:eastAsia="Times New Roman" w:hAnsi="Times New Roman" w:cs="Times New Roman"/>
          <w:sz w:val="24"/>
          <w:szCs w:val="24"/>
        </w:rPr>
      </w:pPr>
      <w:r>
        <w:t>Across the two-year field experiment, the integration of RDF and FYM with Liquid Microbial Consortia applied through drip irrigation at 8 and 25 days after pruning produced the best overall response in irrigated V-1 mulberry. The treatment recorded the highest vegetative growth, leaf yield, selected leaf-quality parameters, cocoon yield, gross return, net return, and benefit–cost ratio among the four treatments. Arka Microbial Consortia produced comparable values for several traits, whereas the Waste Decomposer Solution also improved performance relative to the recommended fertiliser practice. The observed response indicates that the use of liquid microbial formulations alongside recommended nutrient management can improve nutrient-use efficiency, leaf productivity, leaf quality, cocoon production, and farm returns under the conditions evaluated. Among the tested options, Liquid Microbial Consortia was the most favourable treatment across agronomic and economic indicators. These findings support its integration with RDF and FYM through drip irrigation as a practical nutrient-management option for irrigated mulberry production in the study area</w:t>
      </w:r>
      <w:r>
        <w:t>.</w:t>
      </w:r>
    </w:p>
    <w:p w14:paraId="472D1CA9" w14:textId="36C481A3" w:rsidR="001722E4" w:rsidRPr="001722E4" w:rsidRDefault="001722E4" w:rsidP="001722E4">
      <w:pPr>
        <w:spacing w:before="100" w:beforeAutospacing="1" w:after="100" w:afterAutospacing="1" w:line="240" w:lineRule="auto"/>
        <w:outlineLvl w:val="1"/>
        <w:rPr>
          <w:rFonts w:ascii="Times New Roman" w:eastAsia="Times New Roman" w:hAnsi="Times New Roman" w:cs="Times New Roman"/>
          <w:b/>
          <w:bCs/>
          <w:sz w:val="36"/>
          <w:szCs w:val="36"/>
        </w:rPr>
      </w:pPr>
      <w:r w:rsidRPr="001722E4">
        <w:rPr>
          <w:rFonts w:ascii="Times New Roman" w:eastAsia="Times New Roman" w:hAnsi="Times New Roman" w:cs="Times New Roman"/>
          <w:b/>
          <w:bCs/>
          <w:sz w:val="36"/>
          <w:szCs w:val="36"/>
        </w:rPr>
        <w:t xml:space="preserve">Limitation </w:t>
      </w:r>
    </w:p>
    <w:p w14:paraId="28B15065" w14:textId="77777777" w:rsidR="001722E4" w:rsidRPr="001722E4" w:rsidRDefault="001722E4" w:rsidP="001722E4">
      <w:pPr>
        <w:spacing w:before="100" w:beforeAutospacing="1" w:after="100" w:afterAutospacing="1" w:line="240" w:lineRule="auto"/>
        <w:rPr>
          <w:rFonts w:ascii="Times New Roman" w:eastAsia="Times New Roman" w:hAnsi="Times New Roman" w:cs="Times New Roman"/>
          <w:sz w:val="24"/>
          <w:szCs w:val="24"/>
        </w:rPr>
      </w:pPr>
      <w:r w:rsidRPr="001722E4">
        <w:rPr>
          <w:rFonts w:ascii="Times New Roman" w:eastAsia="Times New Roman" w:hAnsi="Times New Roman" w:cs="Times New Roman"/>
          <w:sz w:val="24"/>
          <w:szCs w:val="24"/>
        </w:rPr>
        <w:t>This study was conducted for two years in farmers’ fields at a single cluster village in Kolar District using an established V-1 mulberry garden under irrigated conditions. The evaluation included four nutrient-management treatments and focused on growth, leaf yield, selected leaf-quality traits, cocoon yield, and economics. Therefore, the findings are specific to the tested location, seasons, cultivar, irrigation system, treatment rates, and application timings. Wider multi-location and longer-term evaluation would be needed to determine the consistency of treatment responses under other soil, climate, and production conditions.</w:t>
      </w:r>
    </w:p>
    <w:p w14:paraId="1A76854C" w14:textId="77777777" w:rsidR="001722E4" w:rsidRPr="00653DED" w:rsidRDefault="001722E4" w:rsidP="00C05DD9">
      <w:pPr>
        <w:spacing w:before="100" w:beforeAutospacing="1" w:after="100" w:afterAutospacing="1" w:line="360" w:lineRule="auto"/>
        <w:jc w:val="both"/>
        <w:rPr>
          <w:rFonts w:ascii="Times New Roman" w:eastAsia="Times New Roman" w:hAnsi="Times New Roman" w:cs="Times New Roman"/>
          <w:sz w:val="24"/>
          <w:szCs w:val="24"/>
        </w:rPr>
      </w:pPr>
    </w:p>
    <w:p w14:paraId="23798FD8" w14:textId="77777777" w:rsidR="00EA2980" w:rsidRPr="00D33C8F" w:rsidRDefault="00EA2980" w:rsidP="00EA2980">
      <w:pPr>
        <w:spacing w:after="0" w:line="240" w:lineRule="auto"/>
        <w:rPr>
          <w:rFonts w:ascii="Times New Roman" w:hAnsi="Times New Roman" w:cs="Times New Roman"/>
          <w:b/>
          <w:sz w:val="24"/>
        </w:rPr>
      </w:pPr>
      <w:r w:rsidRPr="00D33C8F">
        <w:rPr>
          <w:rFonts w:ascii="Times New Roman" w:hAnsi="Times New Roman" w:cs="Times New Roman"/>
          <w:b/>
          <w:sz w:val="24"/>
        </w:rPr>
        <w:t>Declaration of AI Use</w:t>
      </w:r>
    </w:p>
    <w:p w14:paraId="099009E5" w14:textId="77777777" w:rsidR="00EA2980" w:rsidRPr="00D33C8F" w:rsidRDefault="00EA2980" w:rsidP="00EA2980">
      <w:pPr>
        <w:spacing w:after="0" w:line="240" w:lineRule="auto"/>
        <w:rPr>
          <w:rFonts w:ascii="Times New Roman" w:hAnsi="Times New Roman" w:cs="Times New Roman"/>
          <w:sz w:val="24"/>
        </w:rPr>
      </w:pPr>
    </w:p>
    <w:p w14:paraId="03D6B894" w14:textId="77777777" w:rsidR="001722E4" w:rsidRPr="001722E4" w:rsidRDefault="001722E4" w:rsidP="001722E4">
      <w:pPr>
        <w:jc w:val="both"/>
        <w:rPr>
          <w:kern w:val="2"/>
          <w14:ligatures w14:val="standardContextual"/>
        </w:rPr>
      </w:pPr>
      <w:r w:rsidRPr="001722E4">
        <w:rPr>
          <w:kern w:val="2"/>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44465AB" w14:textId="77777777" w:rsidR="00D233E7" w:rsidRDefault="00D233E7" w:rsidP="00E90813">
      <w:pPr>
        <w:rPr>
          <w:rFonts w:ascii="Times New Roman" w:hAnsi="Times New Roman" w:cs="Times New Roman"/>
          <w:b/>
          <w:bCs/>
          <w:sz w:val="26"/>
          <w:szCs w:val="26"/>
        </w:rPr>
      </w:pPr>
    </w:p>
    <w:p w14:paraId="4EFD11C9" w14:textId="77777777" w:rsidR="006F5489" w:rsidRPr="00F67967" w:rsidRDefault="006F5489" w:rsidP="00E90813">
      <w:pPr>
        <w:rPr>
          <w:rFonts w:ascii="Times New Roman" w:hAnsi="Times New Roman" w:cs="Times New Roman"/>
          <w:b/>
          <w:bCs/>
          <w:sz w:val="26"/>
          <w:szCs w:val="26"/>
        </w:rPr>
      </w:pPr>
      <w:r w:rsidRPr="00F67967">
        <w:rPr>
          <w:rFonts w:ascii="Times New Roman" w:hAnsi="Times New Roman" w:cs="Times New Roman"/>
          <w:b/>
          <w:bCs/>
          <w:sz w:val="26"/>
          <w:szCs w:val="26"/>
        </w:rPr>
        <w:t>Acknowledgement</w:t>
      </w:r>
    </w:p>
    <w:p w14:paraId="5DA01C7E" w14:textId="77777777" w:rsidR="006F5489" w:rsidRPr="00F67967" w:rsidRDefault="006F5489" w:rsidP="001534C8">
      <w:pPr>
        <w:spacing w:before="120" w:after="120" w:line="360" w:lineRule="auto"/>
        <w:ind w:firstLine="720"/>
        <w:jc w:val="both"/>
        <w:rPr>
          <w:rFonts w:ascii="Times New Roman" w:eastAsia="Times New Roman" w:hAnsi="Times New Roman" w:cs="Times New Roman"/>
          <w:sz w:val="24"/>
          <w:szCs w:val="24"/>
        </w:rPr>
      </w:pPr>
      <w:r w:rsidRPr="00F67967">
        <w:rPr>
          <w:rFonts w:ascii="Times New Roman" w:eastAsia="Times New Roman" w:hAnsi="Times New Roman" w:cs="Times New Roman"/>
          <w:sz w:val="24"/>
          <w:szCs w:val="24"/>
        </w:rPr>
        <w:t xml:space="preserve">The authors express their sincere gratitude to the ICAR – Agricultural Technology Application Research Institute, Bengaluru, Zone XI, for the financial support extended to undertake the on-farm testing programme. </w:t>
      </w:r>
      <w:r w:rsidRPr="00F67967">
        <w:rPr>
          <w:rFonts w:ascii="Times New Roman" w:hAnsi="Times New Roman" w:cs="Times New Roman"/>
          <w:sz w:val="24"/>
          <w:szCs w:val="24"/>
        </w:rPr>
        <w:t xml:space="preserve">The authors also sincerely acknowledge the cooperation </w:t>
      </w:r>
      <w:r w:rsidR="00BD1447" w:rsidRPr="00F67967">
        <w:rPr>
          <w:rFonts w:ascii="Times New Roman" w:hAnsi="Times New Roman" w:cs="Times New Roman"/>
          <w:sz w:val="24"/>
          <w:szCs w:val="24"/>
        </w:rPr>
        <w:t xml:space="preserve">of UHS Bagalkot </w:t>
      </w:r>
      <w:r w:rsidRPr="00F67967">
        <w:rPr>
          <w:rFonts w:ascii="Times New Roman" w:hAnsi="Times New Roman" w:cs="Times New Roman"/>
          <w:sz w:val="24"/>
          <w:szCs w:val="24"/>
        </w:rPr>
        <w:t xml:space="preserve">and active participation of the collaborating farmers in the </w:t>
      </w:r>
      <w:r w:rsidR="00CA3F39" w:rsidRPr="00F67967">
        <w:rPr>
          <w:rFonts w:ascii="Times New Roman" w:hAnsi="Times New Roman" w:cs="Times New Roman"/>
          <w:sz w:val="24"/>
          <w:szCs w:val="24"/>
        </w:rPr>
        <w:t>study</w:t>
      </w:r>
      <w:r w:rsidRPr="00F67967">
        <w:rPr>
          <w:rFonts w:ascii="Times New Roman" w:hAnsi="Times New Roman" w:cs="Times New Roman"/>
          <w:sz w:val="24"/>
          <w:szCs w:val="24"/>
        </w:rPr>
        <w:t xml:space="preserve">. Their willingness to adopt the recommended interventions, provide field resources, and share experiential insights was instrumental in the successful execution of the study. </w:t>
      </w:r>
    </w:p>
    <w:p w14:paraId="6271EAC2" w14:textId="77777777" w:rsidR="00D5313B" w:rsidRPr="00F67967" w:rsidRDefault="00D5313B" w:rsidP="00D5313B">
      <w:pPr>
        <w:pStyle w:val="Heading2"/>
        <w:jc w:val="both"/>
        <w:rPr>
          <w:rFonts w:ascii="Times New Roman" w:hAnsi="Times New Roman" w:cs="Times New Roman"/>
          <w:color w:val="auto"/>
          <w:sz w:val="24"/>
          <w:szCs w:val="24"/>
        </w:rPr>
      </w:pPr>
      <w:r w:rsidRPr="00F67967">
        <w:rPr>
          <w:rFonts w:ascii="Times New Roman" w:hAnsi="Times New Roman" w:cs="Times New Roman"/>
          <w:color w:val="auto"/>
          <w:sz w:val="24"/>
          <w:szCs w:val="24"/>
        </w:rPr>
        <w:t>References</w:t>
      </w:r>
    </w:p>
    <w:p w14:paraId="2FF2AF8D" w14:textId="77777777" w:rsidR="00983839" w:rsidRPr="00F67967" w:rsidRDefault="00983839" w:rsidP="00A7041A">
      <w:pPr>
        <w:spacing w:after="0" w:line="360" w:lineRule="auto"/>
        <w:ind w:hanging="389"/>
        <w:jc w:val="both"/>
        <w:rPr>
          <w:rFonts w:ascii="Times New Roman" w:eastAsia="Times New Roman" w:hAnsi="Times New Roman" w:cs="Times New Roman"/>
          <w:bCs/>
          <w:sz w:val="24"/>
          <w:szCs w:val="24"/>
        </w:rPr>
      </w:pPr>
      <w:r>
        <w:rPr/>
        <w:t xml:space="preserve">Ahmed, F., Sultana, R., Ahmed, O., Akhtaruzzaman, M., &amp; Iqbal, M. T. (2017). Roles of different fertilizer management practices on mulberry leaf yield and quality. </w:t>
      </w:r>
      <w:r>
        <w:rPr>
          <w:i/>
        </w:rPr>
        <w:t>International Journal of Agricultural and Biological Engineering, 10</w:t>
      </w:r>
      <w:r>
        <w:rPr/>
        <w:t xml:space="preserve">(5), 104–114. </w:t>
      </w:r>
      <w:hyperlink r:id="rId6">
        <w:r>
          <w:rPr>
            <w:color w:val="000000"/>
            <w:u w:val="none"/>
          </w:rPr>
          <w:t>https://doi.org/10.25165/j.ijabe.20171005.2268</w:t>
        </w:r>
      </w:hyperlink>
    </w:p>
    <w:p w14:paraId="0C459230" w14:textId="77777777" w:rsidR="00983839" w:rsidRPr="00F67967" w:rsidRDefault="00983839" w:rsidP="00A7041A">
      <w:pPr>
        <w:pStyle w:val="isselectedend"/>
        <w:spacing w:line="360" w:lineRule="auto"/>
        <w:ind w:hanging="389"/>
        <w:jc w:val="both"/>
      </w:pPr>
      <w:r>
        <w:rPr/>
        <w:t xml:space="preserve">Allouzi, M. M. A., Allouzi, S. M. A., Keng, Z. X., Supramaniam, C. V., Singh, A., &amp; Chong, S. (2022). Liquid biofertilizers as a sustainable solution for agriculture. </w:t>
      </w:r>
      <w:r>
        <w:rPr>
          <w:i/>
        </w:rPr>
        <w:t>Heliyon, 8</w:t>
      </w:r>
      <w:r>
        <w:rPr/>
        <w:t xml:space="preserve">(12), e12609. </w:t>
      </w:r>
      <w:hyperlink r:id="rId7">
        <w:r>
          <w:rPr>
            <w:color w:val="000000"/>
            <w:u w:val="none"/>
          </w:rPr>
          <w:t>https://doi.org/10.1016/j.heliyon.2022.e12609</w:t>
        </w:r>
      </w:hyperlink>
    </w:p>
    <w:p w14:paraId="6405E65F" w14:textId="77777777" w:rsidR="00983839" w:rsidRPr="00F67967" w:rsidRDefault="00983839" w:rsidP="00A7041A">
      <w:pPr>
        <w:spacing w:after="0" w:line="360" w:lineRule="auto"/>
        <w:ind w:hanging="389"/>
        <w:jc w:val="both"/>
        <w:rPr>
          <w:rFonts w:ascii="Times New Roman" w:eastAsia="Times New Roman" w:hAnsi="Times New Roman" w:cs="Times New Roman"/>
          <w:sz w:val="24"/>
          <w:szCs w:val="24"/>
        </w:rPr>
      </w:pPr>
      <w:r>
        <w:rPr/>
        <w:t xml:space="preserve">Association of Official Analytical Chemists. (1980). </w:t>
      </w:r>
      <w:r>
        <w:rPr>
          <w:i/>
        </w:rPr>
        <w:t>Official methods of analysis of the Association of Official Analytical Chemists</w:t>
      </w:r>
      <w:r>
        <w:rPr/>
        <w:t xml:space="preserve"> (13th ed.). </w:t>
      </w:r>
      <w:hyperlink r:id="rId23">
        <w:r>
          <w:rPr>
            <w:color w:val="000000"/>
            <w:u w:val="none"/>
          </w:rPr>
          <w:t>https://agris.fao.org/search/en/providers/123819/records/64735b272c1d629bc97be68a</w:t>
        </w:r>
      </w:hyperlink>
    </w:p>
    <w:p w14:paraId="771ABD10" w14:textId="77777777" w:rsidR="00A7041A" w:rsidRPr="00F67967" w:rsidRDefault="00A7041A" w:rsidP="00A7041A">
      <w:pPr>
        <w:spacing w:after="0" w:line="360" w:lineRule="auto"/>
        <w:ind w:hanging="389"/>
        <w:jc w:val="both"/>
        <w:rPr>
          <w:rFonts w:ascii="Times New Roman" w:eastAsia="Times New Roman" w:hAnsi="Times New Roman" w:cs="Times New Roman"/>
          <w:sz w:val="24"/>
          <w:szCs w:val="24"/>
        </w:rPr>
      </w:pPr>
      <w:r>
        <w:rPr/>
        <w:t xml:space="preserve">Arnon, D. I. (1949). Copper enzymes in isolated chloroplasts. Polyphenoloxidase in </w:t>
      </w:r>
      <w:r>
        <w:rPr>
          <w:i/>
        </w:rPr>
        <w:t>Beta vulgaris</w:t>
      </w:r>
      <w:r>
        <w:rPr/>
        <w:t xml:space="preserve">. </w:t>
      </w:r>
      <w:r>
        <w:rPr>
          <w:i/>
        </w:rPr>
        <w:t>Plant Physiology, 24</w:t>
      </w:r>
      <w:r>
        <w:rPr/>
        <w:t xml:space="preserve">(1), 1–15. </w:t>
      </w:r>
      <w:hyperlink r:id="rId8">
        <w:r>
          <w:rPr>
            <w:color w:val="000000"/>
            <w:u w:val="none"/>
          </w:rPr>
          <w:t>https://doi.org/10.1104/pp.24.1.1</w:t>
        </w:r>
      </w:hyperlink>
    </w:p>
    <w:p w14:paraId="57D3FF0E" w14:textId="77777777" w:rsidR="00A7041A" w:rsidRPr="00F67967" w:rsidRDefault="00A7041A" w:rsidP="00A7041A">
      <w:pPr>
        <w:pStyle w:val="isselectedend"/>
        <w:spacing w:line="360" w:lineRule="auto"/>
        <w:ind w:hanging="389"/>
        <w:jc w:val="both"/>
      </w:pPr>
      <w:r>
        <w:rPr/>
        <w:t xml:space="preserve">Baqual, M. F., &amp; Das, P. K. (2006). Influence of biofertilizers on macronutrient uptake by the mulberry plant and its impact on silkworm bioassay. </w:t>
      </w:r>
      <w:r>
        <w:rPr>
          <w:i/>
        </w:rPr>
        <w:t>Caspian Journal of Environmental Sciences, 4</w:t>
      </w:r>
      <w:r>
        <w:rPr/>
        <w:t xml:space="preserve">(2), 98–109. </w:t>
      </w:r>
      <w:hyperlink r:id="rId24">
        <w:r>
          <w:rPr>
            <w:color w:val="000000"/>
            <w:u w:val="none"/>
          </w:rPr>
          <w:t>https://cjes.guilan.ac.ir/article_970.html</w:t>
        </w:r>
      </w:hyperlink>
    </w:p>
    <w:p w14:paraId="7AEC99D1" w14:textId="77777777" w:rsidR="00AF0A8A" w:rsidRDefault="00000000">
      <w:pPr>
        <w:spacing w:after="0" w:line="360" w:lineRule="auto"/>
        <w:ind w:hanging="389"/>
        <w:jc w:val="both"/>
        <w:rPr>
          <w:rFonts w:ascii="Times New Roman" w:eastAsia="Times New Roman" w:hAnsi="Times New Roman" w:cs="Times New Roman"/>
          <w:sz w:val="24"/>
          <w:szCs w:val="24"/>
        </w:rPr>
      </w:pPr>
      <w:r>
        <w:rPr/>
        <w:t xml:space="preserve">Bhuvaneshwari, T., Tilak, M., Menaka, S., Durgadevi, R., Anusuya, G., &amp; Naveen Kumar, R. (2026). Influence of biofertilisers on mulberry productivity: A review. </w:t>
      </w:r>
      <w:r>
        <w:rPr>
          <w:i/>
        </w:rPr>
        <w:t>Journal of Basic and Applied Research International, 32</w:t>
      </w:r>
      <w:r>
        <w:rPr/>
        <w:t xml:space="preserve">(2), 60–73. </w:t>
      </w:r>
      <w:hyperlink r:id="rId9">
        <w:r>
          <w:rPr>
            <w:color w:val="000000"/>
            <w:u w:val="none"/>
          </w:rPr>
          <w:t>https://doi.org/10.56557/jobari/2026/v32i210430</w:t>
        </w:r>
      </w:hyperlink>
    </w:p>
    <w:p w14:paraId="61D5F00B" w14:textId="77777777" w:rsidR="00A7041A" w:rsidRPr="00F67967" w:rsidRDefault="00A7041A" w:rsidP="00A7041A">
      <w:pPr>
        <w:spacing w:after="0" w:line="360" w:lineRule="auto"/>
        <w:ind w:hanging="389"/>
        <w:jc w:val="both"/>
        <w:rPr>
          <w:rFonts w:ascii="Times New Roman" w:eastAsia="Times New Roman" w:hAnsi="Times New Roman" w:cs="Times New Roman"/>
          <w:sz w:val="24"/>
          <w:szCs w:val="24"/>
        </w:rPr>
      </w:pPr>
      <w:r>
        <w:rPr/>
        <w:t xml:space="preserve">Central Silk Board. (n.d.). </w:t>
      </w:r>
      <w:r>
        <w:rPr>
          <w:i/>
        </w:rPr>
        <w:t>Mulberry crop production technology</w:t>
      </w:r>
      <w:r>
        <w:rPr/>
        <w:t xml:space="preserve">. </w:t>
      </w:r>
      <w:hyperlink r:id="rId25">
        <w:r>
          <w:rPr>
            <w:color w:val="000000"/>
            <w:u w:val="none"/>
          </w:rPr>
          <w:t>https://silks.csb.gov.in/nellore/mulberry-crop-production-technology/</w:t>
        </w:r>
      </w:hyperlink>
    </w:p>
    <w:p w14:paraId="6766BF6B" w14:textId="77777777" w:rsidR="00A7041A" w:rsidRPr="00F67967" w:rsidRDefault="00A7041A" w:rsidP="00A7041A">
      <w:pPr>
        <w:pStyle w:val="isselectedend"/>
        <w:spacing w:line="360" w:lineRule="auto"/>
        <w:ind w:hanging="389"/>
        <w:jc w:val="both"/>
      </w:pPr>
      <w:r>
        <w:rPr/>
        <w:t>Choudhary, M., &amp; Kumari, A. (2025). Effect of different levels of Arka Microbial Consortium on germination and seedling performance of chilli (</w:t>
      </w:r>
      <w:r>
        <w:rPr>
          <w:i/>
        </w:rPr>
        <w:t>Capsicum annum</w:t>
      </w:r>
      <w:r>
        <w:rPr/>
        <w:t xml:space="preserve"> L.) cv. Arka Saanvi. </w:t>
      </w:r>
      <w:r>
        <w:rPr>
          <w:i/>
        </w:rPr>
        <w:t>Journal of Advances in Microbiology, 25</w:t>
      </w:r>
      <w:r>
        <w:rPr/>
        <w:t xml:space="preserve">(6), 1–6. </w:t>
      </w:r>
      <w:hyperlink r:id="rId10">
        <w:r>
          <w:rPr>
            <w:color w:val="000000"/>
            <w:u w:val="none"/>
          </w:rPr>
          <w:t>https://doi.org/10.9734/jamb/2025/v25i6943</w:t>
        </w:r>
      </w:hyperlink>
    </w:p>
    <w:p w14:paraId="6BCA5B83" w14:textId="77777777" w:rsidR="00AF0A8A" w:rsidRDefault="00000000">
      <w:pPr>
        <w:pStyle w:val="isselectedend"/>
        <w:spacing w:line="360" w:lineRule="auto"/>
        <w:ind w:hanging="389"/>
        <w:jc w:val="both"/>
      </w:pPr>
      <w:r>
        <w:rPr/>
        <w:t xml:space="preserve">Dandin, S. B., &amp; Giridhar, K. (2010). </w:t>
      </w:r>
      <w:r>
        <w:rPr>
          <w:i/>
        </w:rPr>
        <w:t>Handbook of sericulture technologies</w:t>
      </w:r>
      <w:r>
        <w:rPr/>
        <w:t xml:space="preserve"> (4th ed.). Central Silk Board. </w:t>
      </w:r>
      <w:hyperlink r:id="rId26">
        <w:r>
          <w:rPr>
            <w:color w:val="000000"/>
            <w:u w:val="none"/>
          </w:rPr>
          <w:t>https://uasbagrilibindia.org/cgi-bin/koha/opac-detail.pl?biblionumber=166356</w:t>
        </w:r>
      </w:hyperlink>
    </w:p>
    <w:p w14:paraId="4D25A328" w14:textId="77777777" w:rsidR="00A7041A" w:rsidRPr="00F67967" w:rsidRDefault="00A7041A" w:rsidP="00A7041A">
      <w:pPr>
        <w:pStyle w:val="isselectedend"/>
        <w:spacing w:line="360" w:lineRule="auto"/>
        <w:ind w:hanging="389"/>
        <w:jc w:val="both"/>
      </w:pPr>
      <w:r>
        <w:rPr/>
        <w:t xml:space="preserve">Dandin, S. B., Jayaswal, J., &amp; Giridhar, K. (2003). </w:t>
      </w:r>
      <w:r>
        <w:rPr>
          <w:i/>
        </w:rPr>
        <w:t>Handbook of sericulture technologies</w:t>
      </w:r>
      <w:r>
        <w:rPr/>
        <w:t xml:space="preserve"> (3rd ed.). Central Silk Board. </w:t>
      </w:r>
      <w:hyperlink r:id="rId27">
        <w:r>
          <w:rPr>
            <w:color w:val="000000"/>
            <w:u w:val="none"/>
          </w:rPr>
          <w:t>https://uasbagrilibindia.org/cgi-bin/koha/opac-detail.pl?biblionumber=164015</w:t>
        </w:r>
      </w:hyperlink>
    </w:p>
    <w:p w14:paraId="37F10508" w14:textId="77777777" w:rsidR="00A7041A" w:rsidRPr="00F67967" w:rsidRDefault="00A7041A" w:rsidP="00A7041A">
      <w:pPr>
        <w:pStyle w:val="isselectedend"/>
        <w:spacing w:line="360" w:lineRule="auto"/>
        <w:ind w:hanging="389"/>
        <w:jc w:val="both"/>
      </w:pPr>
      <w:r>
        <w:rPr/>
        <w:t xml:space="preserve">DuBois, M., Gilles, K. A., Hamilton, J. K., Rebers, P. A., &amp; Smith, F. (1956). Colorimetric method for determination of sugars and related substances. </w:t>
      </w:r>
      <w:r>
        <w:rPr>
          <w:i/>
        </w:rPr>
        <w:t>Analytical Chemistry, 28</w:t>
      </w:r>
      <w:r>
        <w:rPr/>
        <w:t xml:space="preserve">(3), 350–356. </w:t>
      </w:r>
      <w:hyperlink r:id="rId11">
        <w:r>
          <w:rPr>
            <w:color w:val="000000"/>
            <w:u w:val="none"/>
          </w:rPr>
          <w:t>https://doi.org/10.1021/ac60111a017</w:t>
        </w:r>
      </w:hyperlink>
    </w:p>
    <w:p w14:paraId="345AD308" w14:textId="77777777" w:rsidR="00A7041A" w:rsidRPr="00F67967" w:rsidRDefault="00A7041A" w:rsidP="00A7041A">
      <w:pPr>
        <w:spacing w:after="0" w:line="360" w:lineRule="auto"/>
        <w:ind w:hanging="389"/>
        <w:jc w:val="both"/>
        <w:rPr>
          <w:rFonts w:ascii="Times New Roman" w:eastAsia="Times New Roman" w:hAnsi="Times New Roman" w:cs="Times New Roman"/>
          <w:sz w:val="24"/>
          <w:szCs w:val="24"/>
        </w:rPr>
      </w:pPr>
      <w:r>
        <w:rPr/>
        <w:t xml:space="preserve">Gomez, K. A., &amp; Gomez, A. A. (1984). </w:t>
      </w:r>
      <w:r>
        <w:rPr>
          <w:i/>
        </w:rPr>
        <w:t>Statistical procedures for agricultural research</w:t>
      </w:r>
      <w:r>
        <w:rPr/>
        <w:t xml:space="preserve"> (2nd ed.). John Wiley &amp; Sons. </w:t>
      </w:r>
      <w:hyperlink r:id="rId28">
        <w:r>
          <w:rPr>
            <w:color w:val="000000"/>
            <w:u w:val="none"/>
          </w:rPr>
          <w:t>https://agris.fao.org/search/en/records/65ddf0374c5aef494fd7a8f5</w:t>
        </w:r>
      </w:hyperlink>
    </w:p>
    <w:p w14:paraId="1B5EAC8E" w14:textId="77777777" w:rsidR="00A7041A" w:rsidRPr="00F67967" w:rsidRDefault="00A7041A" w:rsidP="00A7041A">
      <w:pPr>
        <w:pStyle w:val="isselectedend"/>
        <w:spacing w:line="360" w:lineRule="auto"/>
        <w:ind w:hanging="389"/>
        <w:jc w:val="both"/>
      </w:pPr>
      <w:r>
        <w:rPr/>
        <w:t xml:space="preserve">Lowry, O. H., Rosebrough, N. J., Farr, A. L., &amp; Randall, R. J. (1951). Protein measurement with the Folin phenol reagent. </w:t>
      </w:r>
      <w:r>
        <w:rPr>
          <w:i/>
        </w:rPr>
        <w:t>Journal of Biological Chemistry, 193</w:t>
      </w:r>
      <w:r>
        <w:rPr/>
        <w:t xml:space="preserve">(1), 265–275. </w:t>
      </w:r>
      <w:hyperlink r:id="rId12">
        <w:r>
          <w:rPr>
            <w:color w:val="000000"/>
            <w:u w:val="none"/>
          </w:rPr>
          <w:t>https://doi.org/10.1016/S0021-9258(19)52451-6</w:t>
        </w:r>
      </w:hyperlink>
    </w:p>
    <w:p w14:paraId="1A0E847A" w14:textId="77777777" w:rsidR="00A7041A" w:rsidRPr="00F67967" w:rsidRDefault="00A7041A" w:rsidP="00A7041A">
      <w:pPr>
        <w:pStyle w:val="isselectedend"/>
        <w:spacing w:line="360" w:lineRule="auto"/>
        <w:ind w:hanging="389"/>
        <w:jc w:val="both"/>
      </w:pPr>
      <w:r>
        <w:rPr/>
        <w:t>Mustaka, Z., Patandjengi, B., Alam, G., &amp; Melina. (2022). Potential of rhizobacterial consortium in increasing area and weight of mulberry leaves (</w:t>
      </w:r>
      <w:r>
        <w:rPr>
          <w:i/>
        </w:rPr>
        <w:t>Morus indica</w:t>
      </w:r>
      <w:r>
        <w:rPr/>
        <w:t xml:space="preserve">). </w:t>
      </w:r>
      <w:r>
        <w:rPr>
          <w:i/>
        </w:rPr>
        <w:t>Biodiversitas Journal of Biological Diversity, 23</w:t>
      </w:r>
      <w:r>
        <w:rPr/>
        <w:t xml:space="preserve">(3), 1369–1374. </w:t>
      </w:r>
      <w:hyperlink r:id="rId29">
        <w:r>
          <w:rPr>
            <w:color w:val="000000"/>
            <w:u w:val="none"/>
          </w:rPr>
          <w:t>https://doi.org/10.13057/biodiv/d230322</w:t>
        </w:r>
      </w:hyperlink>
    </w:p>
    <w:p w14:paraId="39FCFB56" w14:textId="77777777" w:rsidR="00A7041A" w:rsidRPr="00F67967" w:rsidRDefault="00A7041A" w:rsidP="00A7041A">
      <w:pPr>
        <w:pStyle w:val="isselectedend"/>
        <w:spacing w:line="360" w:lineRule="auto"/>
        <w:ind w:hanging="389"/>
        <w:jc w:val="both"/>
      </w:pPr>
      <w:r>
        <w:rPr/>
        <w:t xml:space="preserve">Nabati, J., Nezami, A., Yousefi, A., Oskoueian, E., Oskoueian, A., &amp; Ahmadi-Lahijani, M. J. (2025). Biofertilizers containing plant growth promoting rhizobacteria enhance nutrient uptake and improve the growth and yield of chickpea plants in an arid environment. </w:t>
      </w:r>
      <w:r>
        <w:rPr>
          <w:i/>
        </w:rPr>
        <w:t>Scientific Reports, 15</w:t>
      </w:r>
      <w:r>
        <w:rPr/>
        <w:t xml:space="preserve">, 8331. </w:t>
      </w:r>
      <w:hyperlink r:id="rId13">
        <w:r>
          <w:rPr>
            <w:color w:val="000000"/>
            <w:u w:val="none"/>
          </w:rPr>
          <w:t>https://doi.org/10.1038/s41598-025-93070-w</w:t>
        </w:r>
      </w:hyperlink>
    </w:p>
    <w:p w14:paraId="3942E2DE" w14:textId="77777777" w:rsidR="00A7041A" w:rsidRPr="00F67967" w:rsidRDefault="00A7041A" w:rsidP="00A7041A">
      <w:pPr>
        <w:spacing w:after="0" w:line="360" w:lineRule="auto"/>
        <w:ind w:hanging="389"/>
        <w:jc w:val="both"/>
        <w:rPr>
          <w:rFonts w:ascii="Times New Roman" w:eastAsia="Times New Roman" w:hAnsi="Times New Roman" w:cs="Times New Roman"/>
          <w:sz w:val="24"/>
          <w:szCs w:val="24"/>
        </w:rPr>
      </w:pPr>
      <w:r>
        <w:rPr/>
        <w:t xml:space="preserve">Naik, K., Mishra, S., Srichandan, H., Singh, P. K., &amp; Choudhary, A. (2020). Microbial formulation and growth of cereals, pulses, oilseeds and vegetable crops. </w:t>
      </w:r>
      <w:r>
        <w:rPr>
          <w:i/>
        </w:rPr>
        <w:t>Sustainable Environment Research, 30</w:t>
      </w:r>
      <w:r>
        <w:rPr/>
        <w:t xml:space="preserve">, 10. </w:t>
      </w:r>
      <w:hyperlink r:id="rId14">
        <w:r>
          <w:rPr>
            <w:color w:val="000000"/>
            <w:u w:val="none"/>
          </w:rPr>
          <w:t>https://doi.org/10.1186/s42834-020-00051-x</w:t>
        </w:r>
      </w:hyperlink>
    </w:p>
    <w:p w14:paraId="56062335" w14:textId="77777777" w:rsidR="00AF0A8A" w:rsidRDefault="00000000">
      <w:pPr>
        <w:pStyle w:val="isselectedend"/>
        <w:spacing w:line="360" w:lineRule="auto"/>
        <w:ind w:hanging="389"/>
        <w:jc w:val="both"/>
      </w:pPr>
      <w:r>
        <w:rPr/>
        <w:t xml:space="preserve">Nath, I., Rajagopal, S., Dutta, P. L., Ahmed, M. H., &amp; Saikia, K. (2025). Impact of liquid bioformulations on mulberry leaf quality and physiological traits. </w:t>
      </w:r>
      <w:r>
        <w:rPr>
          <w:i/>
        </w:rPr>
        <w:t>International Journal of Plant &amp; Soil Science, 37</w:t>
      </w:r>
      <w:r>
        <w:rPr/>
        <w:t xml:space="preserve">(7), 512–521. </w:t>
      </w:r>
      <w:hyperlink r:id="rId15">
        <w:r>
          <w:rPr>
            <w:color w:val="000000"/>
            <w:u w:val="none"/>
          </w:rPr>
          <w:t>https://doi.org/10.9734/ijpss/2025/v37i75596</w:t>
        </w:r>
      </w:hyperlink>
    </w:p>
    <w:p w14:paraId="448189D0" w14:textId="77777777" w:rsidR="00A7041A" w:rsidRPr="00F67967" w:rsidRDefault="00A7041A" w:rsidP="00A7041A">
      <w:pPr>
        <w:pStyle w:val="isselectedend"/>
        <w:spacing w:line="360" w:lineRule="auto"/>
        <w:ind w:hanging="389"/>
        <w:jc w:val="both"/>
      </w:pPr>
      <w:r>
        <w:rPr/>
        <w:t>Patil, S. D., Jobanputra, A. H., Upadhye, V. J., Mujahid, M. H., &amp; Ahmed, S. (2026). Field evaluation of novel PGPM consortium bioinoculants for growth regulation and yield enhancement in bread wheat (</w:t>
      </w:r>
      <w:r>
        <w:rPr>
          <w:i/>
        </w:rPr>
        <w:t>Triticum aestivum</w:t>
      </w:r>
      <w:r>
        <w:rPr/>
        <w:t xml:space="preserve"> L.) and maize (</w:t>
      </w:r>
      <w:r>
        <w:rPr>
          <w:i/>
        </w:rPr>
        <w:t>Zea Mays</w:t>
      </w:r>
      <w:r>
        <w:rPr/>
        <w:t xml:space="preserve"> L.). </w:t>
      </w:r>
      <w:r>
        <w:rPr>
          <w:i/>
        </w:rPr>
        <w:t>BMC Plant Biology, 26</w:t>
      </w:r>
      <w:r>
        <w:rPr/>
        <w:t xml:space="preserve">, 78. </w:t>
      </w:r>
      <w:hyperlink r:id="rId16">
        <w:r>
          <w:rPr>
            <w:color w:val="000000"/>
            <w:u w:val="none"/>
          </w:rPr>
          <w:t>https://doi.org/10.1186/s12870-025-07909-5</w:t>
        </w:r>
      </w:hyperlink>
    </w:p>
    <w:p w14:paraId="3890B712" w14:textId="77777777" w:rsidR="00A7041A" w:rsidRPr="00F67967" w:rsidRDefault="00A7041A" w:rsidP="00A7041A">
      <w:pPr>
        <w:pStyle w:val="isselectedend"/>
        <w:spacing w:line="360" w:lineRule="auto"/>
        <w:ind w:hanging="389"/>
        <w:jc w:val="both"/>
      </w:pPr>
      <w:r>
        <w:rPr/>
        <w:t xml:space="preserve">Ram Rao, D. M., Kodandaramaiah, J., Reddy, M. P., Katiyar, R. S., &amp; Rahmathulla, V. K. (2007). Effect of VAM fungi and bacterial biofertilizers on mulberry leaf quality and silkworm cocoon characters under semiarid conditions. </w:t>
      </w:r>
      <w:r>
        <w:rPr>
          <w:i/>
        </w:rPr>
        <w:t>Caspian Journal of Environmental Sciences, 5</w:t>
      </w:r>
      <w:r>
        <w:rPr/>
        <w:t xml:space="preserve">(2), 111–117. </w:t>
      </w:r>
      <w:hyperlink r:id="rId30">
        <w:r>
          <w:rPr>
            <w:color w:val="000000"/>
            <w:u w:val="none"/>
          </w:rPr>
          <w:t>https://cjes.guilan.ac.ir/article_989.html</w:t>
        </w:r>
      </w:hyperlink>
    </w:p>
    <w:p w14:paraId="22CC0475" w14:textId="77777777" w:rsidR="00AF0A8A" w:rsidRDefault="00000000">
      <w:pPr>
        <w:pStyle w:val="isselectedend"/>
        <w:spacing w:line="360" w:lineRule="auto"/>
        <w:ind w:hanging="389"/>
        <w:jc w:val="both"/>
      </w:pPr>
      <w:r>
        <w:rPr/>
        <w:t xml:space="preserve">Ramachandra, Y. L., Rai, P. S., Sudeep, H. V., Ganapathy, P. S. S., Kavitha, B. T., &amp; Krishnamurthy, N. B. (2008). Evaluation of relative moisture loss from leaves of five mulberry varieties during silkworm rearing. </w:t>
      </w:r>
      <w:r>
        <w:rPr>
          <w:i/>
        </w:rPr>
        <w:t>Asian Journal of Bio Science, 3</w:t>
      </w:r>
      <w:r>
        <w:rPr/>
        <w:t xml:space="preserve">(2), 245–246. </w:t>
      </w:r>
      <w:hyperlink r:id="rId31">
        <w:r>
          <w:rPr>
            <w:color w:val="000000"/>
            <w:u w:val="none"/>
          </w:rPr>
          <w:t>https://researcher.manipal.edu/en/publications/evaluation-of-relative-moisture-loss-from-leaves-of-five-mulberry/</w:t>
        </w:r>
      </w:hyperlink>
    </w:p>
    <w:p w14:paraId="07D3CAF5" w14:textId="77777777" w:rsidR="00A7041A" w:rsidRPr="00F67967" w:rsidRDefault="00A7041A" w:rsidP="00A7041A">
      <w:pPr>
        <w:pStyle w:val="isselectedend"/>
        <w:spacing w:line="360" w:lineRule="auto"/>
        <w:ind w:hanging="389"/>
        <w:jc w:val="both"/>
      </w:pPr>
      <w:r>
        <w:rPr/>
        <w:t>Setua, G. C., Das, N. K., Banerjee, N. D., Sengupta, T., Sudhakar, P., Sen, S., &amp; Saratchandra, S. (2005). Effect of integrated nutrient management on quality leaf production in mulberry (</w:t>
      </w:r>
      <w:r>
        <w:rPr>
          <w:i/>
        </w:rPr>
        <w:t>Morus alba</w:t>
      </w:r>
      <w:r>
        <w:rPr/>
        <w:t xml:space="preserve">) under rainfed, alluvial soil conditions. </w:t>
      </w:r>
      <w:r>
        <w:rPr>
          <w:i/>
        </w:rPr>
        <w:t>The Indian Journal of Agricultural Sciences, 75</w:t>
      </w:r>
      <w:r>
        <w:rPr/>
        <w:t xml:space="preserve">(8), 474–478. </w:t>
      </w:r>
      <w:hyperlink r:id="rId32">
        <w:r>
          <w:rPr>
            <w:color w:val="000000"/>
            <w:u w:val="none"/>
          </w:rPr>
          <w:t>https://epubs.icar.org.in/index.php/IJAgS/article/view/9126</w:t>
        </w:r>
      </w:hyperlink>
    </w:p>
    <w:p w14:paraId="631DD34C" w14:textId="77777777" w:rsidR="00A7041A" w:rsidRPr="00F67967" w:rsidRDefault="00A7041A" w:rsidP="00A7041A">
      <w:pPr>
        <w:pStyle w:val="isselectedend"/>
        <w:spacing w:line="360" w:lineRule="auto"/>
        <w:ind w:hanging="389"/>
        <w:jc w:val="both"/>
      </w:pPr>
      <w:r>
        <w:rPr/>
        <w:t xml:space="preserve">Shahwar, D., Mushtaq, Z., Mushtaq, H., Alqarawi, A. A., Park, Y., Alshahrani, T. S., &amp; Faizan, S. (2023). Role of microbial inoculants as bio fertilizers for improving crop productivity: A review. </w:t>
      </w:r>
      <w:r>
        <w:rPr>
          <w:i/>
        </w:rPr>
        <w:t>Heliyon, 9</w:t>
      </w:r>
      <w:r>
        <w:rPr/>
        <w:t xml:space="preserve">(6), e16134. </w:t>
      </w:r>
      <w:hyperlink r:id="rId17">
        <w:r>
          <w:rPr>
            <w:color w:val="000000"/>
            <w:u w:val="none"/>
          </w:rPr>
          <w:t>https://doi.org/10.1016/j.heliyon.2023.e16134</w:t>
        </w:r>
      </w:hyperlink>
    </w:p>
    <w:p w14:paraId="0A3FF097" w14:textId="77777777" w:rsidR="005B715E" w:rsidRPr="00F67967" w:rsidRDefault="00A7041A" w:rsidP="005B715E">
      <w:pPr>
        <w:pStyle w:val="NormalWeb"/>
        <w:spacing w:line="360" w:lineRule="auto"/>
        <w:ind w:hanging="389"/>
        <w:jc w:val="both"/>
      </w:pPr>
      <w:r>
        <w:rPr/>
        <w:t xml:space="preserve">Shravanilakshmi, V., Kallimani, C. S., Veenita, M. K., Tejaswini, A. S., Shwetha, G. V., Gagana Sindhu, S., &amp; Doreswamy, C. (2025). Influence of silkworm litter liquid organic manure on soil nutrient status and microbial population in mulberry plantation. </w:t>
      </w:r>
      <w:r>
        <w:rPr>
          <w:i/>
        </w:rPr>
        <w:t>Plant Cell Biotechnology and Molecular Biology, 26</w:t>
      </w:r>
      <w:r>
        <w:rPr/>
        <w:t xml:space="preserve">(7–8), 456–470. </w:t>
      </w:r>
      <w:hyperlink r:id="rId18">
        <w:r>
          <w:rPr>
            <w:color w:val="000000"/>
            <w:u w:val="none"/>
          </w:rPr>
          <w:t>https://doi.org/10.56557/pcbmb/2025/v26i7-89586</w:t>
        </w:r>
      </w:hyperlink>
    </w:p>
    <w:p w14:paraId="51FD8C7F" w14:textId="77777777" w:rsidR="001508D7" w:rsidRPr="00F67967" w:rsidRDefault="005B715E" w:rsidP="005B715E">
      <w:pPr>
        <w:pStyle w:val="NormalWeb"/>
        <w:spacing w:line="360" w:lineRule="auto"/>
        <w:ind w:hanging="389"/>
        <w:jc w:val="both"/>
      </w:pPr>
      <w:r>
        <w:rPr/>
        <w:t xml:space="preserve">Vessey, J. K. (2003). Plant growth-promoting rhizobacteria as biofertilizers. </w:t>
      </w:r>
      <w:r>
        <w:rPr>
          <w:i/>
        </w:rPr>
        <w:t>Plant and Soil, 255</w:t>
      </w:r>
      <w:r>
        <w:rPr/>
        <w:t xml:space="preserve">(2), 571–586. </w:t>
      </w:r>
      <w:hyperlink r:id="rId19">
        <w:r>
          <w:rPr>
            <w:color w:val="000000"/>
            <w:u w:val="none"/>
          </w:rPr>
          <w:t>https://doi.org/10.1023/A:1026037216893</w:t>
        </w:r>
      </w:hyperlink>
    </w:p>
    <w:p w14:paraId="0703D475" w14:textId="77777777" w:rsidR="00AF0A8A" w:rsidRDefault="00000000">
      <w:pPr>
        <w:pStyle w:val="NormalWeb"/>
        <w:spacing w:line="360" w:lineRule="auto"/>
        <w:ind w:hanging="389"/>
        <w:jc w:val="both"/>
      </w:pPr>
      <w:r>
        <w:rPr/>
        <w:t xml:space="preserve">Zhang, Z., Cui, Y., Wang, Z., Li, S., Wei, B., Liu, Q., Yu, Z., &amp; Zhang, W. (2025). Unlocking the potential of biofertilizer: Soil microbial contributions to nutrient availability and vegetable yield. </w:t>
      </w:r>
      <w:r>
        <w:rPr>
          <w:i/>
        </w:rPr>
        <w:t>Plant and Soil, 515</w:t>
      </w:r>
      <w:r>
        <w:rPr/>
        <w:t xml:space="preserve">, 1599–1612. </w:t>
      </w:r>
      <w:hyperlink r:id="rId20">
        <w:r>
          <w:rPr>
            <w:color w:val="000000"/>
            <w:u w:val="none"/>
          </w:rPr>
          <w:t>https://doi.org/10.1007/s11104-025-07680-4</w:t>
        </w:r>
      </w:hyperlink>
    </w:p>
    <w:p w14:paraId="04758395" w14:textId="77777777" w:rsidR="00D5313B" w:rsidRPr="00F67967" w:rsidRDefault="00D5313B" w:rsidP="00D5313B">
      <w:pPr>
        <w:jc w:val="both"/>
        <w:rPr>
          <w:rFonts w:ascii="Times New Roman" w:hAnsi="Times New Roman" w:cs="Times New Roman"/>
          <w:sz w:val="24"/>
          <w:szCs w:val="24"/>
        </w:rPr>
      </w:pPr>
      <w:r w:rsidRPr="00F67967">
        <w:rPr>
          <w:rFonts w:ascii="Times New Roman" w:hAnsi="Times New Roman" w:cs="Times New Roman"/>
          <w:b/>
          <w:sz w:val="24"/>
          <w:szCs w:val="24"/>
        </w:rPr>
        <w:t>Table 1 :</w:t>
      </w:r>
      <w:r w:rsidRPr="00F67967">
        <w:rPr>
          <w:rFonts w:ascii="Times New Roman" w:hAnsi="Times New Roman" w:cs="Times New Roman"/>
          <w:sz w:val="24"/>
          <w:szCs w:val="24"/>
        </w:rPr>
        <w:t xml:space="preserve"> </w:t>
      </w:r>
      <w:r w:rsidRPr="00F67967">
        <w:rPr>
          <w:rFonts w:ascii="Times New Roman" w:hAnsi="Times New Roman" w:cs="Times New Roman"/>
          <w:b/>
          <w:sz w:val="24"/>
          <w:szCs w:val="24"/>
        </w:rPr>
        <w:t>Efficacy of Varied Liquid Microbial Formulations on the Growth and Yield Performance of Mulberry</w:t>
      </w:r>
    </w:p>
    <w:tbl>
      <w:tblPr>
        <w:tblStyle w:val="TableGrid"/>
        <w:tblW w:w="10188" w:type="dxa"/>
        <w:tblLook w:val="04A0" w:firstRow="1" w:lastRow="0" w:firstColumn="1" w:lastColumn="0" w:noHBand="0" w:noVBand="1"/>
      </w:tblPr>
      <w:tblGrid>
        <w:gridCol w:w="1548"/>
        <w:gridCol w:w="1890"/>
        <w:gridCol w:w="1736"/>
        <w:gridCol w:w="1555"/>
        <w:gridCol w:w="1566"/>
        <w:gridCol w:w="1893"/>
      </w:tblGrid>
      <w:tr w:rsidR="00F67967" w:rsidRPr="00F67967" w14:paraId="4E1AF20E" w14:textId="77777777" w:rsidTr="00CD051B">
        <w:tc>
          <w:tcPr>
            <w:tcW w:w="1548" w:type="dxa"/>
            <w:vAlign w:val="center"/>
          </w:tcPr>
          <w:p w14:paraId="2B45AC8B"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Treatments</w:t>
            </w:r>
          </w:p>
        </w:tc>
        <w:tc>
          <w:tcPr>
            <w:tcW w:w="1890" w:type="dxa"/>
            <w:vAlign w:val="center"/>
          </w:tcPr>
          <w:p w14:paraId="2AF919ED"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No of branches/ plant</w:t>
            </w:r>
          </w:p>
        </w:tc>
        <w:tc>
          <w:tcPr>
            <w:tcW w:w="1736" w:type="dxa"/>
            <w:vAlign w:val="center"/>
          </w:tcPr>
          <w:p w14:paraId="3164733D"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No of leaves/ branches</w:t>
            </w:r>
          </w:p>
        </w:tc>
        <w:tc>
          <w:tcPr>
            <w:tcW w:w="1555" w:type="dxa"/>
            <w:vAlign w:val="center"/>
          </w:tcPr>
          <w:p w14:paraId="75A5B257"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Leaf yield (kg/plant)</w:t>
            </w:r>
          </w:p>
        </w:tc>
        <w:tc>
          <w:tcPr>
            <w:tcW w:w="1566" w:type="dxa"/>
            <w:vAlign w:val="center"/>
          </w:tcPr>
          <w:p w14:paraId="70B7A2DF"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Leaf yield (q/ha/crop)</w:t>
            </w:r>
          </w:p>
        </w:tc>
        <w:tc>
          <w:tcPr>
            <w:tcW w:w="1893" w:type="dxa"/>
            <w:vAlign w:val="center"/>
          </w:tcPr>
          <w:p w14:paraId="4FF03B2C"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Cocoon yield (Kg/ha)</w:t>
            </w:r>
          </w:p>
        </w:tc>
      </w:tr>
      <w:tr w:rsidR="00F67967" w:rsidRPr="00F67967" w14:paraId="3C0DFF58" w14:textId="77777777" w:rsidTr="00CD051B">
        <w:tc>
          <w:tcPr>
            <w:tcW w:w="1548" w:type="dxa"/>
            <w:vAlign w:val="center"/>
          </w:tcPr>
          <w:p w14:paraId="7AC4F293"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T1</w:t>
            </w:r>
          </w:p>
        </w:tc>
        <w:tc>
          <w:tcPr>
            <w:tcW w:w="1890" w:type="dxa"/>
            <w:vAlign w:val="center"/>
          </w:tcPr>
          <w:p w14:paraId="709AFC64"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13.48</w:t>
            </w:r>
          </w:p>
        </w:tc>
        <w:tc>
          <w:tcPr>
            <w:tcW w:w="1736" w:type="dxa"/>
            <w:vAlign w:val="center"/>
          </w:tcPr>
          <w:p w14:paraId="04D18670"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23.40</w:t>
            </w:r>
          </w:p>
        </w:tc>
        <w:tc>
          <w:tcPr>
            <w:tcW w:w="1555" w:type="dxa"/>
            <w:vAlign w:val="center"/>
          </w:tcPr>
          <w:p w14:paraId="751F1EC5"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1.106</w:t>
            </w:r>
          </w:p>
        </w:tc>
        <w:tc>
          <w:tcPr>
            <w:tcW w:w="1566" w:type="dxa"/>
            <w:vAlign w:val="center"/>
          </w:tcPr>
          <w:p w14:paraId="45EC7296"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102.36</w:t>
            </w:r>
          </w:p>
        </w:tc>
        <w:tc>
          <w:tcPr>
            <w:tcW w:w="1893" w:type="dxa"/>
            <w:vAlign w:val="center"/>
          </w:tcPr>
          <w:p w14:paraId="1AF4CA9F"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368.50</w:t>
            </w:r>
          </w:p>
        </w:tc>
      </w:tr>
      <w:tr w:rsidR="00F67967" w:rsidRPr="00F67967" w14:paraId="5220E535" w14:textId="77777777" w:rsidTr="00CD051B">
        <w:tc>
          <w:tcPr>
            <w:tcW w:w="1548" w:type="dxa"/>
            <w:vAlign w:val="center"/>
          </w:tcPr>
          <w:p w14:paraId="000994AF"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T2</w:t>
            </w:r>
          </w:p>
        </w:tc>
        <w:tc>
          <w:tcPr>
            <w:tcW w:w="1890" w:type="dxa"/>
            <w:vAlign w:val="center"/>
          </w:tcPr>
          <w:p w14:paraId="0A99BC84"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15.40</w:t>
            </w:r>
          </w:p>
        </w:tc>
        <w:tc>
          <w:tcPr>
            <w:tcW w:w="1736" w:type="dxa"/>
            <w:vAlign w:val="center"/>
          </w:tcPr>
          <w:p w14:paraId="46E1DD9C"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26.36</w:t>
            </w:r>
          </w:p>
        </w:tc>
        <w:tc>
          <w:tcPr>
            <w:tcW w:w="1555" w:type="dxa"/>
            <w:vAlign w:val="center"/>
          </w:tcPr>
          <w:p w14:paraId="61FF8002"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1.302</w:t>
            </w:r>
          </w:p>
        </w:tc>
        <w:tc>
          <w:tcPr>
            <w:tcW w:w="1566" w:type="dxa"/>
            <w:vAlign w:val="center"/>
          </w:tcPr>
          <w:p w14:paraId="21DEA84B"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120.51</w:t>
            </w:r>
          </w:p>
        </w:tc>
        <w:tc>
          <w:tcPr>
            <w:tcW w:w="1893" w:type="dxa"/>
            <w:vAlign w:val="center"/>
          </w:tcPr>
          <w:p w14:paraId="75EAF75F"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457.96</w:t>
            </w:r>
          </w:p>
        </w:tc>
      </w:tr>
      <w:tr w:rsidR="00F67967" w:rsidRPr="00F67967" w14:paraId="0176206A" w14:textId="77777777" w:rsidTr="00CD051B">
        <w:tc>
          <w:tcPr>
            <w:tcW w:w="1548" w:type="dxa"/>
            <w:vAlign w:val="center"/>
          </w:tcPr>
          <w:p w14:paraId="5305F918"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T3</w:t>
            </w:r>
          </w:p>
        </w:tc>
        <w:tc>
          <w:tcPr>
            <w:tcW w:w="1890" w:type="dxa"/>
            <w:vAlign w:val="center"/>
          </w:tcPr>
          <w:p w14:paraId="2731FB91"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15.31</w:t>
            </w:r>
          </w:p>
        </w:tc>
        <w:tc>
          <w:tcPr>
            <w:tcW w:w="1736" w:type="dxa"/>
            <w:vAlign w:val="center"/>
          </w:tcPr>
          <w:p w14:paraId="438CA817"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26.15</w:t>
            </w:r>
          </w:p>
        </w:tc>
        <w:tc>
          <w:tcPr>
            <w:tcW w:w="1555" w:type="dxa"/>
            <w:vAlign w:val="center"/>
          </w:tcPr>
          <w:p w14:paraId="06195FF6"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1.294</w:t>
            </w:r>
          </w:p>
        </w:tc>
        <w:tc>
          <w:tcPr>
            <w:tcW w:w="1566" w:type="dxa"/>
            <w:vAlign w:val="center"/>
          </w:tcPr>
          <w:p w14:paraId="16831F89"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119.80</w:t>
            </w:r>
          </w:p>
        </w:tc>
        <w:tc>
          <w:tcPr>
            <w:tcW w:w="1893" w:type="dxa"/>
            <w:vAlign w:val="center"/>
          </w:tcPr>
          <w:p w14:paraId="3F5D82F7"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455.25</w:t>
            </w:r>
          </w:p>
        </w:tc>
      </w:tr>
      <w:tr w:rsidR="00F67967" w:rsidRPr="00F67967" w14:paraId="69372A8C" w14:textId="77777777" w:rsidTr="00CD051B">
        <w:tc>
          <w:tcPr>
            <w:tcW w:w="1548" w:type="dxa"/>
            <w:vAlign w:val="center"/>
          </w:tcPr>
          <w:p w14:paraId="2BC63E74"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T4</w:t>
            </w:r>
          </w:p>
        </w:tc>
        <w:tc>
          <w:tcPr>
            <w:tcW w:w="1890" w:type="dxa"/>
            <w:vAlign w:val="center"/>
          </w:tcPr>
          <w:p w14:paraId="6F56A79A"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15.12</w:t>
            </w:r>
          </w:p>
        </w:tc>
        <w:tc>
          <w:tcPr>
            <w:tcW w:w="1736" w:type="dxa"/>
            <w:vAlign w:val="center"/>
          </w:tcPr>
          <w:p w14:paraId="6A68C4E1"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25.63</w:t>
            </w:r>
          </w:p>
        </w:tc>
        <w:tc>
          <w:tcPr>
            <w:tcW w:w="1555" w:type="dxa"/>
            <w:vAlign w:val="center"/>
          </w:tcPr>
          <w:p w14:paraId="5055CC9F"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1.241</w:t>
            </w:r>
          </w:p>
        </w:tc>
        <w:tc>
          <w:tcPr>
            <w:tcW w:w="1566" w:type="dxa"/>
            <w:vAlign w:val="center"/>
          </w:tcPr>
          <w:p w14:paraId="0697C449"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114.96</w:t>
            </w:r>
          </w:p>
        </w:tc>
        <w:tc>
          <w:tcPr>
            <w:tcW w:w="1893" w:type="dxa"/>
            <w:vAlign w:val="center"/>
          </w:tcPr>
          <w:p w14:paraId="0751D3CE"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436.85</w:t>
            </w:r>
          </w:p>
        </w:tc>
      </w:tr>
      <w:tr w:rsidR="00F67967" w:rsidRPr="00F67967" w14:paraId="17A732C6" w14:textId="77777777" w:rsidTr="00CD051B">
        <w:tc>
          <w:tcPr>
            <w:tcW w:w="1548" w:type="dxa"/>
            <w:vAlign w:val="center"/>
          </w:tcPr>
          <w:p w14:paraId="04683D37"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SEm±</w:t>
            </w:r>
          </w:p>
        </w:tc>
        <w:tc>
          <w:tcPr>
            <w:tcW w:w="1890" w:type="dxa"/>
            <w:vAlign w:val="center"/>
          </w:tcPr>
          <w:p w14:paraId="2E01203A"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0.32</w:t>
            </w:r>
          </w:p>
        </w:tc>
        <w:tc>
          <w:tcPr>
            <w:tcW w:w="1736" w:type="dxa"/>
            <w:vAlign w:val="center"/>
          </w:tcPr>
          <w:p w14:paraId="7C3E2237"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0.51</w:t>
            </w:r>
          </w:p>
        </w:tc>
        <w:tc>
          <w:tcPr>
            <w:tcW w:w="1555" w:type="dxa"/>
            <w:vAlign w:val="center"/>
          </w:tcPr>
          <w:p w14:paraId="76B38D51"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0.025</w:t>
            </w:r>
          </w:p>
        </w:tc>
        <w:tc>
          <w:tcPr>
            <w:tcW w:w="1566" w:type="dxa"/>
            <w:vAlign w:val="center"/>
          </w:tcPr>
          <w:p w14:paraId="614147A5"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2.45</w:t>
            </w:r>
          </w:p>
        </w:tc>
        <w:tc>
          <w:tcPr>
            <w:tcW w:w="1893" w:type="dxa"/>
            <w:vAlign w:val="center"/>
          </w:tcPr>
          <w:p w14:paraId="20668273"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9.80</w:t>
            </w:r>
          </w:p>
        </w:tc>
      </w:tr>
      <w:tr w:rsidR="00D5313B" w:rsidRPr="00F67967" w14:paraId="26A867F9" w14:textId="77777777" w:rsidTr="00CD051B">
        <w:tc>
          <w:tcPr>
            <w:tcW w:w="1548" w:type="dxa"/>
            <w:vAlign w:val="center"/>
          </w:tcPr>
          <w:p w14:paraId="045383DD"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CD (p=0.05)</w:t>
            </w:r>
          </w:p>
        </w:tc>
        <w:tc>
          <w:tcPr>
            <w:tcW w:w="1890" w:type="dxa"/>
            <w:vAlign w:val="center"/>
          </w:tcPr>
          <w:p w14:paraId="12F67607"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0.99</w:t>
            </w:r>
          </w:p>
        </w:tc>
        <w:tc>
          <w:tcPr>
            <w:tcW w:w="1736" w:type="dxa"/>
            <w:vAlign w:val="center"/>
          </w:tcPr>
          <w:p w14:paraId="141A9BA0"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1.57</w:t>
            </w:r>
          </w:p>
        </w:tc>
        <w:tc>
          <w:tcPr>
            <w:tcW w:w="1555" w:type="dxa"/>
            <w:vAlign w:val="center"/>
          </w:tcPr>
          <w:p w14:paraId="5BD0FBA0"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0.077</w:t>
            </w:r>
          </w:p>
        </w:tc>
        <w:tc>
          <w:tcPr>
            <w:tcW w:w="1566" w:type="dxa"/>
            <w:vAlign w:val="center"/>
          </w:tcPr>
          <w:p w14:paraId="7B52134C"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7.55</w:t>
            </w:r>
          </w:p>
        </w:tc>
        <w:tc>
          <w:tcPr>
            <w:tcW w:w="1893" w:type="dxa"/>
            <w:vAlign w:val="center"/>
          </w:tcPr>
          <w:p w14:paraId="16BB3336" w14:textId="77777777" w:rsidR="00D5313B" w:rsidRPr="00F67967" w:rsidRDefault="00D5313B" w:rsidP="00CD051B">
            <w:pPr>
              <w:jc w:val="center"/>
              <w:rPr>
                <w:rFonts w:ascii="Times New Roman" w:hAnsi="Times New Roman" w:cs="Times New Roman"/>
                <w:sz w:val="24"/>
                <w:szCs w:val="24"/>
              </w:rPr>
            </w:pPr>
            <w:r w:rsidRPr="00F67967">
              <w:rPr>
                <w:rStyle w:val="Strong"/>
                <w:rFonts w:ascii="Times New Roman" w:hAnsi="Times New Roman" w:cs="Times New Roman"/>
                <w:sz w:val="24"/>
                <w:szCs w:val="24"/>
              </w:rPr>
              <w:t>30.20</w:t>
            </w:r>
          </w:p>
        </w:tc>
      </w:tr>
    </w:tbl>
    <w:p w14:paraId="25A98EA1" w14:textId="77777777" w:rsidR="00D5313B" w:rsidRPr="00F67967" w:rsidRDefault="00D5313B" w:rsidP="00D5313B">
      <w:pPr>
        <w:rPr>
          <w:rFonts w:ascii="Times New Roman" w:hAnsi="Times New Roman" w:cs="Times New Roman"/>
          <w:sz w:val="24"/>
          <w:szCs w:val="24"/>
        </w:rPr>
      </w:pPr>
    </w:p>
    <w:p w14:paraId="74D181CA" w14:textId="77777777" w:rsidR="00D5313B" w:rsidRPr="00F67967" w:rsidRDefault="00D5313B" w:rsidP="00D5313B">
      <w:pPr>
        <w:rPr>
          <w:rFonts w:ascii="Times New Roman" w:hAnsi="Times New Roman" w:cs="Times New Roman"/>
          <w:sz w:val="24"/>
          <w:szCs w:val="24"/>
        </w:rPr>
      </w:pPr>
      <w:r w:rsidRPr="00F67967">
        <w:rPr>
          <w:rFonts w:ascii="Times New Roman" w:hAnsi="Times New Roman" w:cs="Times New Roman"/>
          <w:b/>
          <w:sz w:val="24"/>
          <w:szCs w:val="24"/>
        </w:rPr>
        <w:t xml:space="preserve">Table 2 : Efficacy of Varied Liquid Microbial Formulations on Quality of Mulberry </w:t>
      </w:r>
    </w:p>
    <w:tbl>
      <w:tblPr>
        <w:tblStyle w:val="TableGrid"/>
        <w:tblW w:w="10268" w:type="dxa"/>
        <w:tblLook w:val="04A0" w:firstRow="1" w:lastRow="0" w:firstColumn="1" w:lastColumn="0" w:noHBand="0" w:noVBand="1"/>
      </w:tblPr>
      <w:tblGrid>
        <w:gridCol w:w="1638"/>
        <w:gridCol w:w="1677"/>
        <w:gridCol w:w="2197"/>
        <w:gridCol w:w="1542"/>
        <w:gridCol w:w="1518"/>
        <w:gridCol w:w="1696"/>
      </w:tblGrid>
      <w:tr w:rsidR="00F67967" w:rsidRPr="00F67967" w14:paraId="56C9E54A" w14:textId="77777777" w:rsidTr="00CD051B">
        <w:tc>
          <w:tcPr>
            <w:tcW w:w="1638" w:type="dxa"/>
          </w:tcPr>
          <w:p w14:paraId="246D1147"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Treatments</w:t>
            </w:r>
          </w:p>
        </w:tc>
        <w:tc>
          <w:tcPr>
            <w:tcW w:w="1677" w:type="dxa"/>
          </w:tcPr>
          <w:p w14:paraId="073CA40B"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Leaf moisture content (%)</w:t>
            </w:r>
          </w:p>
        </w:tc>
        <w:tc>
          <w:tcPr>
            <w:tcW w:w="2197" w:type="dxa"/>
          </w:tcPr>
          <w:p w14:paraId="3C6DE5E8"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Total moisture retention capacity (%)</w:t>
            </w:r>
          </w:p>
        </w:tc>
        <w:tc>
          <w:tcPr>
            <w:tcW w:w="1542" w:type="dxa"/>
          </w:tcPr>
          <w:p w14:paraId="5F19B9B0"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Total chlorophyll (%)</w:t>
            </w:r>
          </w:p>
        </w:tc>
        <w:tc>
          <w:tcPr>
            <w:tcW w:w="1518" w:type="dxa"/>
          </w:tcPr>
          <w:p w14:paraId="78F58EEB"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Total protein (%)</w:t>
            </w:r>
          </w:p>
        </w:tc>
        <w:tc>
          <w:tcPr>
            <w:tcW w:w="1696" w:type="dxa"/>
          </w:tcPr>
          <w:p w14:paraId="7F78C27B"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Total carbohydrates (%)</w:t>
            </w:r>
          </w:p>
        </w:tc>
      </w:tr>
      <w:tr w:rsidR="00F67967" w:rsidRPr="00F67967" w14:paraId="7C02A8DE" w14:textId="77777777" w:rsidTr="00CD051B">
        <w:tc>
          <w:tcPr>
            <w:tcW w:w="1638" w:type="dxa"/>
          </w:tcPr>
          <w:p w14:paraId="1A6E246C"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T1</w:t>
            </w:r>
          </w:p>
        </w:tc>
        <w:tc>
          <w:tcPr>
            <w:tcW w:w="1677" w:type="dxa"/>
          </w:tcPr>
          <w:p w14:paraId="0E78033A"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71.20</w:t>
            </w:r>
          </w:p>
        </w:tc>
        <w:tc>
          <w:tcPr>
            <w:tcW w:w="2197" w:type="dxa"/>
          </w:tcPr>
          <w:p w14:paraId="2D208031"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64.40</w:t>
            </w:r>
          </w:p>
        </w:tc>
        <w:tc>
          <w:tcPr>
            <w:tcW w:w="1542" w:type="dxa"/>
          </w:tcPr>
          <w:p w14:paraId="52E2B383"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38.50</w:t>
            </w:r>
          </w:p>
        </w:tc>
        <w:tc>
          <w:tcPr>
            <w:tcW w:w="1518" w:type="dxa"/>
          </w:tcPr>
          <w:p w14:paraId="5E0D8F04"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20.25</w:t>
            </w:r>
          </w:p>
        </w:tc>
        <w:tc>
          <w:tcPr>
            <w:tcW w:w="1696" w:type="dxa"/>
          </w:tcPr>
          <w:p w14:paraId="493471E8"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13.15</w:t>
            </w:r>
          </w:p>
        </w:tc>
      </w:tr>
      <w:tr w:rsidR="00F67967" w:rsidRPr="00F67967" w14:paraId="01E6EE27" w14:textId="77777777" w:rsidTr="00CD051B">
        <w:tc>
          <w:tcPr>
            <w:tcW w:w="1638" w:type="dxa"/>
          </w:tcPr>
          <w:p w14:paraId="0D1559D1"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T2</w:t>
            </w:r>
          </w:p>
        </w:tc>
        <w:tc>
          <w:tcPr>
            <w:tcW w:w="1677" w:type="dxa"/>
          </w:tcPr>
          <w:p w14:paraId="0723627F"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77.50</w:t>
            </w:r>
          </w:p>
        </w:tc>
        <w:tc>
          <w:tcPr>
            <w:tcW w:w="2197" w:type="dxa"/>
          </w:tcPr>
          <w:p w14:paraId="7386651F"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71.90</w:t>
            </w:r>
          </w:p>
        </w:tc>
        <w:tc>
          <w:tcPr>
            <w:tcW w:w="1542" w:type="dxa"/>
          </w:tcPr>
          <w:p w14:paraId="05E23EF1"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45.80</w:t>
            </w:r>
          </w:p>
        </w:tc>
        <w:tc>
          <w:tcPr>
            <w:tcW w:w="1518" w:type="dxa"/>
          </w:tcPr>
          <w:p w14:paraId="53954D96"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25.10</w:t>
            </w:r>
          </w:p>
        </w:tc>
        <w:tc>
          <w:tcPr>
            <w:tcW w:w="1696" w:type="dxa"/>
          </w:tcPr>
          <w:p w14:paraId="21CE4983"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16.65</w:t>
            </w:r>
          </w:p>
        </w:tc>
      </w:tr>
      <w:tr w:rsidR="00F67967" w:rsidRPr="00F67967" w14:paraId="07F69D7A" w14:textId="77777777" w:rsidTr="00CD051B">
        <w:tc>
          <w:tcPr>
            <w:tcW w:w="1638" w:type="dxa"/>
          </w:tcPr>
          <w:p w14:paraId="134AED31"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T3</w:t>
            </w:r>
          </w:p>
        </w:tc>
        <w:tc>
          <w:tcPr>
            <w:tcW w:w="1677" w:type="dxa"/>
          </w:tcPr>
          <w:p w14:paraId="3C7A2BEC"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76.90</w:t>
            </w:r>
          </w:p>
        </w:tc>
        <w:tc>
          <w:tcPr>
            <w:tcW w:w="2197" w:type="dxa"/>
          </w:tcPr>
          <w:p w14:paraId="35F3D347"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70.55</w:t>
            </w:r>
          </w:p>
        </w:tc>
        <w:tc>
          <w:tcPr>
            <w:tcW w:w="1542" w:type="dxa"/>
          </w:tcPr>
          <w:p w14:paraId="65FD1CC3"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44.10</w:t>
            </w:r>
          </w:p>
        </w:tc>
        <w:tc>
          <w:tcPr>
            <w:tcW w:w="1518" w:type="dxa"/>
          </w:tcPr>
          <w:p w14:paraId="3A455A1A"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24.65</w:t>
            </w:r>
          </w:p>
        </w:tc>
        <w:tc>
          <w:tcPr>
            <w:tcW w:w="1696" w:type="dxa"/>
          </w:tcPr>
          <w:p w14:paraId="119E7B8D"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 xml:space="preserve">16.10  </w:t>
            </w:r>
          </w:p>
        </w:tc>
      </w:tr>
      <w:tr w:rsidR="00F67967" w:rsidRPr="00F67967" w14:paraId="63A3FF87" w14:textId="77777777" w:rsidTr="00CD051B">
        <w:tc>
          <w:tcPr>
            <w:tcW w:w="1638" w:type="dxa"/>
          </w:tcPr>
          <w:p w14:paraId="1B040F37"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T4</w:t>
            </w:r>
          </w:p>
        </w:tc>
        <w:tc>
          <w:tcPr>
            <w:tcW w:w="1677" w:type="dxa"/>
          </w:tcPr>
          <w:p w14:paraId="05C865CF"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74.35</w:t>
            </w:r>
          </w:p>
        </w:tc>
        <w:tc>
          <w:tcPr>
            <w:tcW w:w="2197" w:type="dxa"/>
          </w:tcPr>
          <w:p w14:paraId="73F66BD8"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67.20</w:t>
            </w:r>
          </w:p>
        </w:tc>
        <w:tc>
          <w:tcPr>
            <w:tcW w:w="1542" w:type="dxa"/>
          </w:tcPr>
          <w:p w14:paraId="4F943FC5"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41.40</w:t>
            </w:r>
          </w:p>
        </w:tc>
        <w:tc>
          <w:tcPr>
            <w:tcW w:w="1518" w:type="dxa"/>
          </w:tcPr>
          <w:p w14:paraId="055F3D9D"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22.80</w:t>
            </w:r>
          </w:p>
        </w:tc>
        <w:tc>
          <w:tcPr>
            <w:tcW w:w="1696" w:type="dxa"/>
          </w:tcPr>
          <w:p w14:paraId="31CB69BB"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14.85</w:t>
            </w:r>
          </w:p>
        </w:tc>
      </w:tr>
      <w:tr w:rsidR="00F67967" w:rsidRPr="00F67967" w14:paraId="3D2D0370" w14:textId="77777777" w:rsidTr="00CD051B">
        <w:tc>
          <w:tcPr>
            <w:tcW w:w="1638" w:type="dxa"/>
          </w:tcPr>
          <w:p w14:paraId="258EBAA8"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SEm±</w:t>
            </w:r>
          </w:p>
        </w:tc>
        <w:tc>
          <w:tcPr>
            <w:tcW w:w="1677" w:type="dxa"/>
          </w:tcPr>
          <w:p w14:paraId="6F9B85FC"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1.15</w:t>
            </w:r>
          </w:p>
        </w:tc>
        <w:tc>
          <w:tcPr>
            <w:tcW w:w="2197" w:type="dxa"/>
          </w:tcPr>
          <w:p w14:paraId="3C701546"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1.30</w:t>
            </w:r>
          </w:p>
        </w:tc>
        <w:tc>
          <w:tcPr>
            <w:tcW w:w="1542" w:type="dxa"/>
          </w:tcPr>
          <w:p w14:paraId="32ECFAAB"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0.85</w:t>
            </w:r>
          </w:p>
        </w:tc>
        <w:tc>
          <w:tcPr>
            <w:tcW w:w="1518" w:type="dxa"/>
          </w:tcPr>
          <w:p w14:paraId="48593C9A"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0.48</w:t>
            </w:r>
          </w:p>
        </w:tc>
        <w:tc>
          <w:tcPr>
            <w:tcW w:w="1696" w:type="dxa"/>
          </w:tcPr>
          <w:p w14:paraId="2276A88E"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0.35</w:t>
            </w:r>
          </w:p>
        </w:tc>
      </w:tr>
      <w:tr w:rsidR="00D5313B" w:rsidRPr="00F67967" w14:paraId="4665EC95" w14:textId="77777777" w:rsidTr="00CD051B">
        <w:tc>
          <w:tcPr>
            <w:tcW w:w="1638" w:type="dxa"/>
          </w:tcPr>
          <w:p w14:paraId="02E9ADD7"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CD (p=0.05)</w:t>
            </w:r>
          </w:p>
        </w:tc>
        <w:tc>
          <w:tcPr>
            <w:tcW w:w="1677" w:type="dxa"/>
          </w:tcPr>
          <w:p w14:paraId="59BED5E3"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3.54</w:t>
            </w:r>
          </w:p>
        </w:tc>
        <w:tc>
          <w:tcPr>
            <w:tcW w:w="2197" w:type="dxa"/>
            <w:vAlign w:val="center"/>
          </w:tcPr>
          <w:p w14:paraId="09205BEF" w14:textId="77777777" w:rsidR="00D5313B" w:rsidRPr="00F67967" w:rsidRDefault="00D5313B" w:rsidP="00CD051B">
            <w:pPr>
              <w:jc w:val="center"/>
              <w:rPr>
                <w:rFonts w:ascii="Times New Roman" w:eastAsia="Times New Roman" w:hAnsi="Times New Roman" w:cs="Times New Roman"/>
                <w:sz w:val="24"/>
                <w:szCs w:val="24"/>
              </w:rPr>
            </w:pPr>
            <w:r w:rsidRPr="00F67967">
              <w:rPr>
                <w:rFonts w:ascii="Times New Roman" w:eastAsia="Times New Roman" w:hAnsi="Times New Roman" w:cs="Times New Roman"/>
                <w:b/>
                <w:bCs/>
                <w:sz w:val="24"/>
                <w:szCs w:val="24"/>
              </w:rPr>
              <w:t>4.01</w:t>
            </w:r>
          </w:p>
        </w:tc>
        <w:tc>
          <w:tcPr>
            <w:tcW w:w="1542" w:type="dxa"/>
          </w:tcPr>
          <w:p w14:paraId="39738A9C"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2.62</w:t>
            </w:r>
          </w:p>
        </w:tc>
        <w:tc>
          <w:tcPr>
            <w:tcW w:w="1518" w:type="dxa"/>
          </w:tcPr>
          <w:p w14:paraId="209951A6"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1.48</w:t>
            </w:r>
          </w:p>
        </w:tc>
        <w:tc>
          <w:tcPr>
            <w:tcW w:w="1696" w:type="dxa"/>
          </w:tcPr>
          <w:p w14:paraId="34DE1204"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
                <w:bCs/>
                <w:sz w:val="24"/>
                <w:szCs w:val="24"/>
              </w:rPr>
              <w:t>1.08</w:t>
            </w:r>
          </w:p>
        </w:tc>
      </w:tr>
    </w:tbl>
    <w:p w14:paraId="4F31F4C2" w14:textId="77777777" w:rsidR="00D5313B" w:rsidRPr="00F67967" w:rsidRDefault="00D5313B" w:rsidP="00D5313B">
      <w:pPr>
        <w:rPr>
          <w:rFonts w:ascii="Times New Roman" w:hAnsi="Times New Roman" w:cs="Times New Roman"/>
          <w:sz w:val="24"/>
          <w:szCs w:val="24"/>
        </w:rPr>
      </w:pPr>
    </w:p>
    <w:p w14:paraId="4A878E24" w14:textId="77777777" w:rsidR="00D5313B" w:rsidRPr="00F67967" w:rsidRDefault="00D5313B" w:rsidP="00D5313B">
      <w:pPr>
        <w:rPr>
          <w:rFonts w:ascii="Times New Roman" w:hAnsi="Times New Roman" w:cs="Times New Roman"/>
          <w:sz w:val="24"/>
          <w:szCs w:val="24"/>
        </w:rPr>
      </w:pPr>
      <w:r w:rsidRPr="00F67967">
        <w:rPr>
          <w:rFonts w:ascii="Times New Roman" w:hAnsi="Times New Roman" w:cs="Times New Roman"/>
          <w:b/>
          <w:sz w:val="24"/>
          <w:szCs w:val="24"/>
        </w:rPr>
        <w:t>Table 3 : Economic Analysis of Varied Liquid Microbial Formulations on Mulberry Yield</w:t>
      </w:r>
    </w:p>
    <w:tbl>
      <w:tblPr>
        <w:tblStyle w:val="TableGrid"/>
        <w:tblW w:w="0" w:type="auto"/>
        <w:jc w:val="center"/>
        <w:tblLook w:val="04A0" w:firstRow="1" w:lastRow="0" w:firstColumn="1" w:lastColumn="0" w:noHBand="0" w:noVBand="1"/>
      </w:tblPr>
      <w:tblGrid>
        <w:gridCol w:w="1453"/>
        <w:gridCol w:w="1693"/>
        <w:gridCol w:w="1704"/>
        <w:gridCol w:w="1531"/>
        <w:gridCol w:w="1531"/>
      </w:tblGrid>
      <w:tr w:rsidR="00F67967" w:rsidRPr="00F67967" w14:paraId="2D0D2BAE" w14:textId="77777777" w:rsidTr="00CD051B">
        <w:trPr>
          <w:jc w:val="center"/>
        </w:trPr>
        <w:tc>
          <w:tcPr>
            <w:tcW w:w="1453" w:type="dxa"/>
          </w:tcPr>
          <w:p w14:paraId="4D64E8D9"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hAnsi="Times New Roman" w:cs="Times New Roman"/>
                <w:b/>
                <w:bCs/>
                <w:sz w:val="24"/>
                <w:szCs w:val="24"/>
              </w:rPr>
              <w:t>Treatments</w:t>
            </w:r>
          </w:p>
        </w:tc>
        <w:tc>
          <w:tcPr>
            <w:tcW w:w="1693" w:type="dxa"/>
          </w:tcPr>
          <w:p w14:paraId="3345AAA5"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eastAsia="Times New Roman" w:hAnsi="Times New Roman" w:cs="Times New Roman"/>
                <w:b/>
                <w:bCs/>
                <w:kern w:val="24"/>
                <w:sz w:val="24"/>
                <w:szCs w:val="24"/>
              </w:rPr>
              <w:t>Gross cost (Rs./ha)</w:t>
            </w:r>
          </w:p>
        </w:tc>
        <w:tc>
          <w:tcPr>
            <w:tcW w:w="1704" w:type="dxa"/>
          </w:tcPr>
          <w:p w14:paraId="12B03F4E"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eastAsia="Times New Roman" w:hAnsi="Times New Roman" w:cs="Times New Roman"/>
                <w:b/>
                <w:bCs/>
                <w:kern w:val="24"/>
                <w:sz w:val="24"/>
                <w:szCs w:val="24"/>
              </w:rPr>
              <w:t>Gross Return (Rs./ha)</w:t>
            </w:r>
          </w:p>
        </w:tc>
        <w:tc>
          <w:tcPr>
            <w:tcW w:w="1531" w:type="dxa"/>
          </w:tcPr>
          <w:p w14:paraId="0E795221"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eastAsia="Times New Roman" w:hAnsi="Times New Roman" w:cs="Times New Roman"/>
                <w:b/>
                <w:bCs/>
                <w:kern w:val="24"/>
                <w:sz w:val="24"/>
                <w:szCs w:val="24"/>
              </w:rPr>
              <w:t>Net Return (Rs./ha)</w:t>
            </w:r>
          </w:p>
        </w:tc>
        <w:tc>
          <w:tcPr>
            <w:tcW w:w="1531" w:type="dxa"/>
          </w:tcPr>
          <w:p w14:paraId="5F5077B4" w14:textId="77777777" w:rsidR="00D5313B" w:rsidRPr="00F67967" w:rsidRDefault="00D5313B" w:rsidP="00CD051B">
            <w:pPr>
              <w:jc w:val="center"/>
              <w:rPr>
                <w:rFonts w:ascii="Times New Roman" w:hAnsi="Times New Roman" w:cs="Times New Roman"/>
                <w:b/>
                <w:bCs/>
                <w:sz w:val="24"/>
                <w:szCs w:val="24"/>
              </w:rPr>
            </w:pPr>
            <w:r w:rsidRPr="00F67967">
              <w:rPr>
                <w:rFonts w:ascii="Times New Roman" w:eastAsia="Times New Roman" w:hAnsi="Times New Roman" w:cs="Times New Roman"/>
                <w:b/>
                <w:bCs/>
                <w:kern w:val="24"/>
                <w:sz w:val="24"/>
                <w:szCs w:val="24"/>
              </w:rPr>
              <w:t>B:C Ratio (Rs.)</w:t>
            </w:r>
          </w:p>
        </w:tc>
      </w:tr>
      <w:tr w:rsidR="00F67967" w:rsidRPr="00F67967" w14:paraId="0FC9B8DC" w14:textId="77777777" w:rsidTr="00CD051B">
        <w:trPr>
          <w:jc w:val="center"/>
        </w:trPr>
        <w:tc>
          <w:tcPr>
            <w:tcW w:w="1453" w:type="dxa"/>
          </w:tcPr>
          <w:p w14:paraId="6D516C47"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T1</w:t>
            </w:r>
          </w:p>
        </w:tc>
        <w:tc>
          <w:tcPr>
            <w:tcW w:w="1693" w:type="dxa"/>
          </w:tcPr>
          <w:p w14:paraId="67B3D73A"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lang w:val="en-IN"/>
              </w:rPr>
              <w:t>50000</w:t>
            </w:r>
          </w:p>
        </w:tc>
        <w:tc>
          <w:tcPr>
            <w:tcW w:w="1704" w:type="dxa"/>
          </w:tcPr>
          <w:p w14:paraId="7954BA96"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138187</w:t>
            </w:r>
          </w:p>
        </w:tc>
        <w:tc>
          <w:tcPr>
            <w:tcW w:w="1531" w:type="dxa"/>
          </w:tcPr>
          <w:p w14:paraId="4287099F"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88187</w:t>
            </w:r>
          </w:p>
        </w:tc>
        <w:tc>
          <w:tcPr>
            <w:tcW w:w="1531" w:type="dxa"/>
          </w:tcPr>
          <w:p w14:paraId="5188FFCA"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2.76</w:t>
            </w:r>
          </w:p>
        </w:tc>
      </w:tr>
      <w:tr w:rsidR="00F67967" w:rsidRPr="00F67967" w14:paraId="5ED07C81" w14:textId="77777777" w:rsidTr="00CD051B">
        <w:trPr>
          <w:jc w:val="center"/>
        </w:trPr>
        <w:tc>
          <w:tcPr>
            <w:tcW w:w="1453" w:type="dxa"/>
          </w:tcPr>
          <w:p w14:paraId="48C5868B"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T2</w:t>
            </w:r>
          </w:p>
        </w:tc>
        <w:tc>
          <w:tcPr>
            <w:tcW w:w="1693" w:type="dxa"/>
          </w:tcPr>
          <w:p w14:paraId="5CC76C4B"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50450</w:t>
            </w:r>
          </w:p>
        </w:tc>
        <w:tc>
          <w:tcPr>
            <w:tcW w:w="1704" w:type="dxa"/>
          </w:tcPr>
          <w:p w14:paraId="6992655E"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183184</w:t>
            </w:r>
          </w:p>
        </w:tc>
        <w:tc>
          <w:tcPr>
            <w:tcW w:w="1531" w:type="dxa"/>
          </w:tcPr>
          <w:p w14:paraId="3047A51C"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132734</w:t>
            </w:r>
          </w:p>
        </w:tc>
        <w:tc>
          <w:tcPr>
            <w:tcW w:w="1531" w:type="dxa"/>
          </w:tcPr>
          <w:p w14:paraId="4795F478"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3.63</w:t>
            </w:r>
          </w:p>
        </w:tc>
      </w:tr>
      <w:tr w:rsidR="00F67967" w:rsidRPr="00F67967" w14:paraId="186F7AD4" w14:textId="77777777" w:rsidTr="00CD051B">
        <w:trPr>
          <w:jc w:val="center"/>
        </w:trPr>
        <w:tc>
          <w:tcPr>
            <w:tcW w:w="1453" w:type="dxa"/>
          </w:tcPr>
          <w:p w14:paraId="7F4543B1"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T3</w:t>
            </w:r>
          </w:p>
        </w:tc>
        <w:tc>
          <w:tcPr>
            <w:tcW w:w="1693" w:type="dxa"/>
          </w:tcPr>
          <w:p w14:paraId="1F42CD8C"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50789</w:t>
            </w:r>
          </w:p>
        </w:tc>
        <w:tc>
          <w:tcPr>
            <w:tcW w:w="1704" w:type="dxa"/>
          </w:tcPr>
          <w:p w14:paraId="60D42B3B"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182100</w:t>
            </w:r>
          </w:p>
        </w:tc>
        <w:tc>
          <w:tcPr>
            <w:tcW w:w="1531" w:type="dxa"/>
          </w:tcPr>
          <w:p w14:paraId="468B5930"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131311</w:t>
            </w:r>
          </w:p>
        </w:tc>
        <w:tc>
          <w:tcPr>
            <w:tcW w:w="1531" w:type="dxa"/>
          </w:tcPr>
          <w:p w14:paraId="6AE96FB6"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3.58</w:t>
            </w:r>
          </w:p>
        </w:tc>
      </w:tr>
      <w:tr w:rsidR="00F67967" w:rsidRPr="00F67967" w14:paraId="0CE82278" w14:textId="77777777" w:rsidTr="00CD051B">
        <w:trPr>
          <w:jc w:val="center"/>
        </w:trPr>
        <w:tc>
          <w:tcPr>
            <w:tcW w:w="1453" w:type="dxa"/>
          </w:tcPr>
          <w:p w14:paraId="07C7C51A" w14:textId="77777777" w:rsidR="00D5313B" w:rsidRPr="00F67967" w:rsidRDefault="00D5313B" w:rsidP="00CD051B">
            <w:pPr>
              <w:jc w:val="center"/>
              <w:rPr>
                <w:rFonts w:ascii="Times New Roman" w:hAnsi="Times New Roman" w:cs="Times New Roman"/>
                <w:sz w:val="24"/>
                <w:szCs w:val="24"/>
              </w:rPr>
            </w:pPr>
            <w:r w:rsidRPr="00F67967">
              <w:rPr>
                <w:rFonts w:ascii="Times New Roman" w:hAnsi="Times New Roman" w:cs="Times New Roman"/>
                <w:sz w:val="24"/>
                <w:szCs w:val="24"/>
              </w:rPr>
              <w:t>T4</w:t>
            </w:r>
          </w:p>
        </w:tc>
        <w:tc>
          <w:tcPr>
            <w:tcW w:w="1693" w:type="dxa"/>
          </w:tcPr>
          <w:p w14:paraId="15E11EC2"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50240</w:t>
            </w:r>
          </w:p>
        </w:tc>
        <w:tc>
          <w:tcPr>
            <w:tcW w:w="1704" w:type="dxa"/>
          </w:tcPr>
          <w:p w14:paraId="7865C7AC"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174740</w:t>
            </w:r>
          </w:p>
        </w:tc>
        <w:tc>
          <w:tcPr>
            <w:tcW w:w="1531" w:type="dxa"/>
          </w:tcPr>
          <w:p w14:paraId="73AA1176"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124500</w:t>
            </w:r>
          </w:p>
        </w:tc>
        <w:tc>
          <w:tcPr>
            <w:tcW w:w="1531" w:type="dxa"/>
          </w:tcPr>
          <w:p w14:paraId="5E6CBEFF" w14:textId="77777777" w:rsidR="00D5313B" w:rsidRPr="00F67967" w:rsidRDefault="00D5313B" w:rsidP="00CD051B">
            <w:pPr>
              <w:jc w:val="center"/>
              <w:rPr>
                <w:rFonts w:ascii="Times New Roman" w:hAnsi="Times New Roman" w:cs="Times New Roman"/>
                <w:sz w:val="24"/>
                <w:szCs w:val="24"/>
              </w:rPr>
            </w:pPr>
            <w:r w:rsidRPr="00F67967">
              <w:rPr>
                <w:rFonts w:ascii="Times New Roman" w:eastAsia="Times New Roman" w:hAnsi="Times New Roman" w:cs="Times New Roman"/>
                <w:bCs/>
                <w:kern w:val="24"/>
                <w:sz w:val="24"/>
                <w:szCs w:val="24"/>
              </w:rPr>
              <w:t>3.48</w:t>
            </w:r>
          </w:p>
        </w:tc>
      </w:tr>
    </w:tbl>
    <w:p w14:paraId="407F034D" w14:textId="77777777" w:rsidR="002E5073" w:rsidRPr="00F67967" w:rsidRDefault="002E5073" w:rsidP="002E5073">
      <w:pPr>
        <w:pStyle w:val="Default"/>
        <w:jc w:val="both"/>
        <w:rPr>
          <w:rFonts w:ascii="Times New Roman" w:hAnsi="Times New Roman" w:cs="Times New Roman"/>
          <w:b/>
          <w:bCs/>
          <w:color w:val="auto"/>
        </w:rPr>
      </w:pPr>
    </w:p>
    <w:p w14:paraId="63AE732B" w14:textId="77777777" w:rsidR="002E5073" w:rsidRPr="00F67967" w:rsidRDefault="002E5073" w:rsidP="002E5073">
      <w:pPr>
        <w:pStyle w:val="Default"/>
        <w:jc w:val="both"/>
        <w:rPr>
          <w:rFonts w:ascii="Times New Roman" w:hAnsi="Times New Roman" w:cs="Times New Roman"/>
          <w:b/>
          <w:bCs/>
          <w:color w:val="auto"/>
        </w:rPr>
      </w:pPr>
    </w:p>
    <w:p w14:paraId="36851C6D" w14:textId="77777777" w:rsidR="002E5073" w:rsidRPr="00F67967" w:rsidRDefault="002E5073" w:rsidP="002E5073">
      <w:pPr>
        <w:pStyle w:val="Default"/>
        <w:jc w:val="both"/>
        <w:rPr>
          <w:rFonts w:ascii="Times New Roman" w:hAnsi="Times New Roman" w:cs="Times New Roman"/>
          <w:b/>
          <w:bCs/>
          <w:color w:val="auto"/>
        </w:rPr>
      </w:pPr>
    </w:p>
    <w:p w14:paraId="2BA05957" w14:textId="77777777" w:rsidR="00D5313B" w:rsidRPr="00F67967" w:rsidRDefault="00D5313B" w:rsidP="00E022DE"/>
    <w:sectPr w:rsidR="00D5313B" w:rsidRPr="00F679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7688B"/>
    <w:multiLevelType w:val="multilevel"/>
    <w:tmpl w:val="F99E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651FF"/>
    <w:multiLevelType w:val="multilevel"/>
    <w:tmpl w:val="CB6A5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D57FF2"/>
    <w:multiLevelType w:val="multilevel"/>
    <w:tmpl w:val="71E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FB2C2A"/>
    <w:multiLevelType w:val="multilevel"/>
    <w:tmpl w:val="F07A0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834D7C"/>
    <w:multiLevelType w:val="multilevel"/>
    <w:tmpl w:val="996C5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CF6D07"/>
    <w:multiLevelType w:val="multilevel"/>
    <w:tmpl w:val="093E0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6D53E9D"/>
    <w:multiLevelType w:val="multilevel"/>
    <w:tmpl w:val="7AFA5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FA225C"/>
    <w:multiLevelType w:val="multilevel"/>
    <w:tmpl w:val="ADD2D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2963339">
    <w:abstractNumId w:val="6"/>
  </w:num>
  <w:num w:numId="2" w16cid:durableId="1050767172">
    <w:abstractNumId w:val="1"/>
  </w:num>
  <w:num w:numId="3" w16cid:durableId="172576631">
    <w:abstractNumId w:val="3"/>
  </w:num>
  <w:num w:numId="4" w16cid:durableId="1084447755">
    <w:abstractNumId w:val="0"/>
  </w:num>
  <w:num w:numId="5" w16cid:durableId="1341279546">
    <w:abstractNumId w:val="2"/>
  </w:num>
  <w:num w:numId="6" w16cid:durableId="859515550">
    <w:abstractNumId w:val="7"/>
  </w:num>
  <w:num w:numId="7" w16cid:durableId="1897282288">
    <w:abstractNumId w:val="4"/>
  </w:num>
  <w:num w:numId="8" w16cid:durableId="15198496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3A2"/>
    <w:rsid w:val="000335BB"/>
    <w:rsid w:val="0005658B"/>
    <w:rsid w:val="00057495"/>
    <w:rsid w:val="000819CC"/>
    <w:rsid w:val="00097CFB"/>
    <w:rsid w:val="000B00B9"/>
    <w:rsid w:val="000D10E2"/>
    <w:rsid w:val="000E0D58"/>
    <w:rsid w:val="000E3169"/>
    <w:rsid w:val="000E3186"/>
    <w:rsid w:val="00100B98"/>
    <w:rsid w:val="001228E9"/>
    <w:rsid w:val="0012326C"/>
    <w:rsid w:val="00144497"/>
    <w:rsid w:val="001508D7"/>
    <w:rsid w:val="00152A2B"/>
    <w:rsid w:val="001534C8"/>
    <w:rsid w:val="00166CD9"/>
    <w:rsid w:val="001722E4"/>
    <w:rsid w:val="00183288"/>
    <w:rsid w:val="00194C25"/>
    <w:rsid w:val="001A55C1"/>
    <w:rsid w:val="001B6DFF"/>
    <w:rsid w:val="001D03A2"/>
    <w:rsid w:val="001D604E"/>
    <w:rsid w:val="001E59BB"/>
    <w:rsid w:val="00207DA0"/>
    <w:rsid w:val="00215687"/>
    <w:rsid w:val="00216447"/>
    <w:rsid w:val="00220940"/>
    <w:rsid w:val="00220D1D"/>
    <w:rsid w:val="002374C8"/>
    <w:rsid w:val="002452E4"/>
    <w:rsid w:val="002A3A9E"/>
    <w:rsid w:val="002C74C5"/>
    <w:rsid w:val="002E5073"/>
    <w:rsid w:val="002F7885"/>
    <w:rsid w:val="003067DA"/>
    <w:rsid w:val="003140E4"/>
    <w:rsid w:val="00341393"/>
    <w:rsid w:val="00350F3D"/>
    <w:rsid w:val="0035790C"/>
    <w:rsid w:val="00367C3B"/>
    <w:rsid w:val="00374B5E"/>
    <w:rsid w:val="003C589D"/>
    <w:rsid w:val="003C629C"/>
    <w:rsid w:val="003C72F9"/>
    <w:rsid w:val="003D7ADC"/>
    <w:rsid w:val="003F05EC"/>
    <w:rsid w:val="003F3ECD"/>
    <w:rsid w:val="00413694"/>
    <w:rsid w:val="004150F6"/>
    <w:rsid w:val="00447EC7"/>
    <w:rsid w:val="00456DE2"/>
    <w:rsid w:val="0046341B"/>
    <w:rsid w:val="004731D1"/>
    <w:rsid w:val="004733E6"/>
    <w:rsid w:val="004A7715"/>
    <w:rsid w:val="004B0DB7"/>
    <w:rsid w:val="004B53A2"/>
    <w:rsid w:val="004E329C"/>
    <w:rsid w:val="0050267A"/>
    <w:rsid w:val="00502B0C"/>
    <w:rsid w:val="005304FA"/>
    <w:rsid w:val="00531B07"/>
    <w:rsid w:val="0053515F"/>
    <w:rsid w:val="0055734B"/>
    <w:rsid w:val="005925B0"/>
    <w:rsid w:val="005929EE"/>
    <w:rsid w:val="005B715E"/>
    <w:rsid w:val="005D54AB"/>
    <w:rsid w:val="005E09A5"/>
    <w:rsid w:val="005E5699"/>
    <w:rsid w:val="005E7166"/>
    <w:rsid w:val="00640EA8"/>
    <w:rsid w:val="00653DED"/>
    <w:rsid w:val="00657B62"/>
    <w:rsid w:val="00662901"/>
    <w:rsid w:val="00663900"/>
    <w:rsid w:val="00684923"/>
    <w:rsid w:val="006B16FC"/>
    <w:rsid w:val="006C36D3"/>
    <w:rsid w:val="006C6C1A"/>
    <w:rsid w:val="006D770E"/>
    <w:rsid w:val="006E6BCB"/>
    <w:rsid w:val="006E7266"/>
    <w:rsid w:val="006F04E7"/>
    <w:rsid w:val="006F5489"/>
    <w:rsid w:val="00704022"/>
    <w:rsid w:val="0071302A"/>
    <w:rsid w:val="00721A5A"/>
    <w:rsid w:val="00726536"/>
    <w:rsid w:val="00752CDB"/>
    <w:rsid w:val="00752F1A"/>
    <w:rsid w:val="00771C60"/>
    <w:rsid w:val="007743AC"/>
    <w:rsid w:val="007860A8"/>
    <w:rsid w:val="007B7521"/>
    <w:rsid w:val="00816766"/>
    <w:rsid w:val="008255CA"/>
    <w:rsid w:val="0083314F"/>
    <w:rsid w:val="00882F4A"/>
    <w:rsid w:val="008A46D5"/>
    <w:rsid w:val="008A505D"/>
    <w:rsid w:val="008F2DAA"/>
    <w:rsid w:val="00913B1F"/>
    <w:rsid w:val="00914BFA"/>
    <w:rsid w:val="00921D34"/>
    <w:rsid w:val="0092209D"/>
    <w:rsid w:val="009272F0"/>
    <w:rsid w:val="009564E7"/>
    <w:rsid w:val="009573A1"/>
    <w:rsid w:val="00960AAD"/>
    <w:rsid w:val="009627A9"/>
    <w:rsid w:val="009706CE"/>
    <w:rsid w:val="00983839"/>
    <w:rsid w:val="00984CAA"/>
    <w:rsid w:val="00993B17"/>
    <w:rsid w:val="009C2E5E"/>
    <w:rsid w:val="009D4B8A"/>
    <w:rsid w:val="009D783F"/>
    <w:rsid w:val="009E0BBB"/>
    <w:rsid w:val="009E1D5C"/>
    <w:rsid w:val="009E2399"/>
    <w:rsid w:val="009F4630"/>
    <w:rsid w:val="00A00A6D"/>
    <w:rsid w:val="00A1389C"/>
    <w:rsid w:val="00A1427F"/>
    <w:rsid w:val="00A4334A"/>
    <w:rsid w:val="00A4542B"/>
    <w:rsid w:val="00A70001"/>
    <w:rsid w:val="00A7041A"/>
    <w:rsid w:val="00A737D4"/>
    <w:rsid w:val="00A737E8"/>
    <w:rsid w:val="00A90243"/>
    <w:rsid w:val="00A927E0"/>
    <w:rsid w:val="00A93E38"/>
    <w:rsid w:val="00AA40E9"/>
    <w:rsid w:val="00AB1208"/>
    <w:rsid w:val="00AF0170"/>
    <w:rsid w:val="00AF0A8A"/>
    <w:rsid w:val="00B009BB"/>
    <w:rsid w:val="00B017CA"/>
    <w:rsid w:val="00B32D9D"/>
    <w:rsid w:val="00B34E17"/>
    <w:rsid w:val="00B86628"/>
    <w:rsid w:val="00B923AA"/>
    <w:rsid w:val="00B96689"/>
    <w:rsid w:val="00B979E1"/>
    <w:rsid w:val="00BD1447"/>
    <w:rsid w:val="00BD50DA"/>
    <w:rsid w:val="00BE742D"/>
    <w:rsid w:val="00C04DEA"/>
    <w:rsid w:val="00C05DD9"/>
    <w:rsid w:val="00C10828"/>
    <w:rsid w:val="00C305AE"/>
    <w:rsid w:val="00C3426B"/>
    <w:rsid w:val="00C67E0E"/>
    <w:rsid w:val="00C82F36"/>
    <w:rsid w:val="00CA305C"/>
    <w:rsid w:val="00CA3F39"/>
    <w:rsid w:val="00CF028B"/>
    <w:rsid w:val="00D062DE"/>
    <w:rsid w:val="00D117F2"/>
    <w:rsid w:val="00D148F7"/>
    <w:rsid w:val="00D214C9"/>
    <w:rsid w:val="00D233E7"/>
    <w:rsid w:val="00D3188B"/>
    <w:rsid w:val="00D33340"/>
    <w:rsid w:val="00D33C8F"/>
    <w:rsid w:val="00D34475"/>
    <w:rsid w:val="00D415A6"/>
    <w:rsid w:val="00D51519"/>
    <w:rsid w:val="00D5313B"/>
    <w:rsid w:val="00D61223"/>
    <w:rsid w:val="00D739C1"/>
    <w:rsid w:val="00D75FFE"/>
    <w:rsid w:val="00D81EAE"/>
    <w:rsid w:val="00D92E06"/>
    <w:rsid w:val="00DC2E98"/>
    <w:rsid w:val="00DD5D27"/>
    <w:rsid w:val="00DE254B"/>
    <w:rsid w:val="00E022DE"/>
    <w:rsid w:val="00E0382F"/>
    <w:rsid w:val="00E12596"/>
    <w:rsid w:val="00E4452B"/>
    <w:rsid w:val="00E673C8"/>
    <w:rsid w:val="00E75569"/>
    <w:rsid w:val="00E90813"/>
    <w:rsid w:val="00EA264F"/>
    <w:rsid w:val="00EA2980"/>
    <w:rsid w:val="00EA6CB7"/>
    <w:rsid w:val="00EB70D4"/>
    <w:rsid w:val="00EE6D7A"/>
    <w:rsid w:val="00F539E5"/>
    <w:rsid w:val="00F674F3"/>
    <w:rsid w:val="00F67967"/>
    <w:rsid w:val="00F71DE5"/>
    <w:rsid w:val="00F967B8"/>
    <w:rsid w:val="00FA2F05"/>
    <w:rsid w:val="00FC196D"/>
    <w:rsid w:val="00FC4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176CE"/>
  <w15:docId w15:val="{4016FD89-0E00-49F0-B888-97478D9F0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50F3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D81EA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8662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04DE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04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D9D"/>
    <w:rPr>
      <w:b/>
      <w:bCs/>
    </w:rPr>
  </w:style>
  <w:style w:type="character" w:customStyle="1" w:styleId="inqyif">
    <w:name w:val="inqyif"/>
    <w:basedOn w:val="DefaultParagraphFont"/>
    <w:rsid w:val="00EA6CB7"/>
  </w:style>
  <w:style w:type="character" w:customStyle="1" w:styleId="Heading3Char">
    <w:name w:val="Heading 3 Char"/>
    <w:basedOn w:val="DefaultParagraphFont"/>
    <w:link w:val="Heading3"/>
    <w:uiPriority w:val="9"/>
    <w:rsid w:val="00D81EAE"/>
    <w:rPr>
      <w:rFonts w:ascii="Times New Roman" w:eastAsia="Times New Roman" w:hAnsi="Times New Roman" w:cs="Times New Roman"/>
      <w:b/>
      <w:bCs/>
      <w:sz w:val="27"/>
      <w:szCs w:val="27"/>
    </w:rPr>
  </w:style>
  <w:style w:type="character" w:styleId="Emphasis">
    <w:name w:val="Emphasis"/>
    <w:basedOn w:val="DefaultParagraphFont"/>
    <w:uiPriority w:val="20"/>
    <w:qFormat/>
    <w:rsid w:val="00D81EAE"/>
    <w:rPr>
      <w:i/>
      <w:iCs/>
    </w:rPr>
  </w:style>
  <w:style w:type="character" w:customStyle="1" w:styleId="Heading2Char">
    <w:name w:val="Heading 2 Char"/>
    <w:basedOn w:val="DefaultParagraphFont"/>
    <w:link w:val="Heading2"/>
    <w:uiPriority w:val="9"/>
    <w:semiHidden/>
    <w:rsid w:val="00350F3D"/>
    <w:rPr>
      <w:rFonts w:asciiTheme="majorHAnsi" w:eastAsiaTheme="majorEastAsia" w:hAnsiTheme="majorHAnsi" w:cstheme="majorBidi"/>
      <w:b/>
      <w:bCs/>
      <w:color w:val="4F81BD" w:themeColor="accent1"/>
      <w:sz w:val="26"/>
      <w:szCs w:val="26"/>
    </w:rPr>
  </w:style>
  <w:style w:type="paragraph" w:customStyle="1" w:styleId="isselectedend">
    <w:name w:val="isselectedend"/>
    <w:basedOn w:val="Normal"/>
    <w:rsid w:val="00350F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B86628"/>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657B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7B62"/>
    <w:rPr>
      <w:rFonts w:ascii="Tahoma" w:hAnsi="Tahoma" w:cs="Tahoma"/>
      <w:sz w:val="16"/>
      <w:szCs w:val="16"/>
    </w:rPr>
  </w:style>
  <w:style w:type="paragraph" w:customStyle="1" w:styleId="Default">
    <w:name w:val="Default"/>
    <w:rsid w:val="00D739C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43862">
      <w:bodyDiv w:val="1"/>
      <w:marLeft w:val="0"/>
      <w:marRight w:val="0"/>
      <w:marTop w:val="0"/>
      <w:marBottom w:val="0"/>
      <w:divBdr>
        <w:top w:val="none" w:sz="0" w:space="0" w:color="auto"/>
        <w:left w:val="none" w:sz="0" w:space="0" w:color="auto"/>
        <w:bottom w:val="none" w:sz="0" w:space="0" w:color="auto"/>
        <w:right w:val="none" w:sz="0" w:space="0" w:color="auto"/>
      </w:divBdr>
    </w:div>
    <w:div w:id="268515891">
      <w:bodyDiv w:val="1"/>
      <w:marLeft w:val="0"/>
      <w:marRight w:val="0"/>
      <w:marTop w:val="0"/>
      <w:marBottom w:val="0"/>
      <w:divBdr>
        <w:top w:val="none" w:sz="0" w:space="0" w:color="auto"/>
        <w:left w:val="none" w:sz="0" w:space="0" w:color="auto"/>
        <w:bottom w:val="none" w:sz="0" w:space="0" w:color="auto"/>
        <w:right w:val="none" w:sz="0" w:space="0" w:color="auto"/>
      </w:divBdr>
    </w:div>
    <w:div w:id="338317352">
      <w:bodyDiv w:val="1"/>
      <w:marLeft w:val="0"/>
      <w:marRight w:val="0"/>
      <w:marTop w:val="0"/>
      <w:marBottom w:val="0"/>
      <w:divBdr>
        <w:top w:val="none" w:sz="0" w:space="0" w:color="auto"/>
        <w:left w:val="none" w:sz="0" w:space="0" w:color="auto"/>
        <w:bottom w:val="none" w:sz="0" w:space="0" w:color="auto"/>
        <w:right w:val="none" w:sz="0" w:space="0" w:color="auto"/>
      </w:divBdr>
    </w:div>
    <w:div w:id="372778883">
      <w:bodyDiv w:val="1"/>
      <w:marLeft w:val="0"/>
      <w:marRight w:val="0"/>
      <w:marTop w:val="0"/>
      <w:marBottom w:val="0"/>
      <w:divBdr>
        <w:top w:val="none" w:sz="0" w:space="0" w:color="auto"/>
        <w:left w:val="none" w:sz="0" w:space="0" w:color="auto"/>
        <w:bottom w:val="none" w:sz="0" w:space="0" w:color="auto"/>
        <w:right w:val="none" w:sz="0" w:space="0" w:color="auto"/>
      </w:divBdr>
    </w:div>
    <w:div w:id="373771087">
      <w:bodyDiv w:val="1"/>
      <w:marLeft w:val="0"/>
      <w:marRight w:val="0"/>
      <w:marTop w:val="0"/>
      <w:marBottom w:val="0"/>
      <w:divBdr>
        <w:top w:val="none" w:sz="0" w:space="0" w:color="auto"/>
        <w:left w:val="none" w:sz="0" w:space="0" w:color="auto"/>
        <w:bottom w:val="none" w:sz="0" w:space="0" w:color="auto"/>
        <w:right w:val="none" w:sz="0" w:space="0" w:color="auto"/>
      </w:divBdr>
    </w:div>
    <w:div w:id="524369243">
      <w:bodyDiv w:val="1"/>
      <w:marLeft w:val="0"/>
      <w:marRight w:val="0"/>
      <w:marTop w:val="0"/>
      <w:marBottom w:val="0"/>
      <w:divBdr>
        <w:top w:val="none" w:sz="0" w:space="0" w:color="auto"/>
        <w:left w:val="none" w:sz="0" w:space="0" w:color="auto"/>
        <w:bottom w:val="none" w:sz="0" w:space="0" w:color="auto"/>
        <w:right w:val="none" w:sz="0" w:space="0" w:color="auto"/>
      </w:divBdr>
    </w:div>
    <w:div w:id="559049829">
      <w:bodyDiv w:val="1"/>
      <w:marLeft w:val="0"/>
      <w:marRight w:val="0"/>
      <w:marTop w:val="0"/>
      <w:marBottom w:val="0"/>
      <w:divBdr>
        <w:top w:val="none" w:sz="0" w:space="0" w:color="auto"/>
        <w:left w:val="none" w:sz="0" w:space="0" w:color="auto"/>
        <w:bottom w:val="none" w:sz="0" w:space="0" w:color="auto"/>
        <w:right w:val="none" w:sz="0" w:space="0" w:color="auto"/>
      </w:divBdr>
    </w:div>
    <w:div w:id="637809029">
      <w:bodyDiv w:val="1"/>
      <w:marLeft w:val="0"/>
      <w:marRight w:val="0"/>
      <w:marTop w:val="0"/>
      <w:marBottom w:val="0"/>
      <w:divBdr>
        <w:top w:val="none" w:sz="0" w:space="0" w:color="auto"/>
        <w:left w:val="none" w:sz="0" w:space="0" w:color="auto"/>
        <w:bottom w:val="none" w:sz="0" w:space="0" w:color="auto"/>
        <w:right w:val="none" w:sz="0" w:space="0" w:color="auto"/>
      </w:divBdr>
    </w:div>
    <w:div w:id="680014628">
      <w:bodyDiv w:val="1"/>
      <w:marLeft w:val="0"/>
      <w:marRight w:val="0"/>
      <w:marTop w:val="0"/>
      <w:marBottom w:val="0"/>
      <w:divBdr>
        <w:top w:val="none" w:sz="0" w:space="0" w:color="auto"/>
        <w:left w:val="none" w:sz="0" w:space="0" w:color="auto"/>
        <w:bottom w:val="none" w:sz="0" w:space="0" w:color="auto"/>
        <w:right w:val="none" w:sz="0" w:space="0" w:color="auto"/>
      </w:divBdr>
    </w:div>
    <w:div w:id="884832046">
      <w:bodyDiv w:val="1"/>
      <w:marLeft w:val="0"/>
      <w:marRight w:val="0"/>
      <w:marTop w:val="0"/>
      <w:marBottom w:val="0"/>
      <w:divBdr>
        <w:top w:val="none" w:sz="0" w:space="0" w:color="auto"/>
        <w:left w:val="none" w:sz="0" w:space="0" w:color="auto"/>
        <w:bottom w:val="none" w:sz="0" w:space="0" w:color="auto"/>
        <w:right w:val="none" w:sz="0" w:space="0" w:color="auto"/>
      </w:divBdr>
    </w:div>
    <w:div w:id="892354103">
      <w:bodyDiv w:val="1"/>
      <w:marLeft w:val="0"/>
      <w:marRight w:val="0"/>
      <w:marTop w:val="0"/>
      <w:marBottom w:val="0"/>
      <w:divBdr>
        <w:top w:val="none" w:sz="0" w:space="0" w:color="auto"/>
        <w:left w:val="none" w:sz="0" w:space="0" w:color="auto"/>
        <w:bottom w:val="none" w:sz="0" w:space="0" w:color="auto"/>
        <w:right w:val="none" w:sz="0" w:space="0" w:color="auto"/>
      </w:divBdr>
    </w:div>
    <w:div w:id="947352036">
      <w:bodyDiv w:val="1"/>
      <w:marLeft w:val="0"/>
      <w:marRight w:val="0"/>
      <w:marTop w:val="0"/>
      <w:marBottom w:val="0"/>
      <w:divBdr>
        <w:top w:val="none" w:sz="0" w:space="0" w:color="auto"/>
        <w:left w:val="none" w:sz="0" w:space="0" w:color="auto"/>
        <w:bottom w:val="none" w:sz="0" w:space="0" w:color="auto"/>
        <w:right w:val="none" w:sz="0" w:space="0" w:color="auto"/>
      </w:divBdr>
    </w:div>
    <w:div w:id="975452216">
      <w:bodyDiv w:val="1"/>
      <w:marLeft w:val="0"/>
      <w:marRight w:val="0"/>
      <w:marTop w:val="0"/>
      <w:marBottom w:val="0"/>
      <w:divBdr>
        <w:top w:val="none" w:sz="0" w:space="0" w:color="auto"/>
        <w:left w:val="none" w:sz="0" w:space="0" w:color="auto"/>
        <w:bottom w:val="none" w:sz="0" w:space="0" w:color="auto"/>
        <w:right w:val="none" w:sz="0" w:space="0" w:color="auto"/>
      </w:divBdr>
    </w:div>
    <w:div w:id="1083995441">
      <w:bodyDiv w:val="1"/>
      <w:marLeft w:val="0"/>
      <w:marRight w:val="0"/>
      <w:marTop w:val="0"/>
      <w:marBottom w:val="0"/>
      <w:divBdr>
        <w:top w:val="none" w:sz="0" w:space="0" w:color="auto"/>
        <w:left w:val="none" w:sz="0" w:space="0" w:color="auto"/>
        <w:bottom w:val="none" w:sz="0" w:space="0" w:color="auto"/>
        <w:right w:val="none" w:sz="0" w:space="0" w:color="auto"/>
      </w:divBdr>
    </w:div>
    <w:div w:id="1122309425">
      <w:bodyDiv w:val="1"/>
      <w:marLeft w:val="0"/>
      <w:marRight w:val="0"/>
      <w:marTop w:val="0"/>
      <w:marBottom w:val="0"/>
      <w:divBdr>
        <w:top w:val="none" w:sz="0" w:space="0" w:color="auto"/>
        <w:left w:val="none" w:sz="0" w:space="0" w:color="auto"/>
        <w:bottom w:val="none" w:sz="0" w:space="0" w:color="auto"/>
        <w:right w:val="none" w:sz="0" w:space="0" w:color="auto"/>
      </w:divBdr>
    </w:div>
    <w:div w:id="1149127921">
      <w:bodyDiv w:val="1"/>
      <w:marLeft w:val="0"/>
      <w:marRight w:val="0"/>
      <w:marTop w:val="0"/>
      <w:marBottom w:val="0"/>
      <w:divBdr>
        <w:top w:val="none" w:sz="0" w:space="0" w:color="auto"/>
        <w:left w:val="none" w:sz="0" w:space="0" w:color="auto"/>
        <w:bottom w:val="none" w:sz="0" w:space="0" w:color="auto"/>
        <w:right w:val="none" w:sz="0" w:space="0" w:color="auto"/>
      </w:divBdr>
    </w:div>
    <w:div w:id="1161237828">
      <w:bodyDiv w:val="1"/>
      <w:marLeft w:val="0"/>
      <w:marRight w:val="0"/>
      <w:marTop w:val="0"/>
      <w:marBottom w:val="0"/>
      <w:divBdr>
        <w:top w:val="none" w:sz="0" w:space="0" w:color="auto"/>
        <w:left w:val="none" w:sz="0" w:space="0" w:color="auto"/>
        <w:bottom w:val="none" w:sz="0" w:space="0" w:color="auto"/>
        <w:right w:val="none" w:sz="0" w:space="0" w:color="auto"/>
      </w:divBdr>
    </w:div>
    <w:div w:id="1184251093">
      <w:bodyDiv w:val="1"/>
      <w:marLeft w:val="0"/>
      <w:marRight w:val="0"/>
      <w:marTop w:val="0"/>
      <w:marBottom w:val="0"/>
      <w:divBdr>
        <w:top w:val="none" w:sz="0" w:space="0" w:color="auto"/>
        <w:left w:val="none" w:sz="0" w:space="0" w:color="auto"/>
        <w:bottom w:val="none" w:sz="0" w:space="0" w:color="auto"/>
        <w:right w:val="none" w:sz="0" w:space="0" w:color="auto"/>
      </w:divBdr>
    </w:div>
    <w:div w:id="1272275486">
      <w:bodyDiv w:val="1"/>
      <w:marLeft w:val="0"/>
      <w:marRight w:val="0"/>
      <w:marTop w:val="0"/>
      <w:marBottom w:val="0"/>
      <w:divBdr>
        <w:top w:val="none" w:sz="0" w:space="0" w:color="auto"/>
        <w:left w:val="none" w:sz="0" w:space="0" w:color="auto"/>
        <w:bottom w:val="none" w:sz="0" w:space="0" w:color="auto"/>
        <w:right w:val="none" w:sz="0" w:space="0" w:color="auto"/>
      </w:divBdr>
    </w:div>
    <w:div w:id="1382749596">
      <w:bodyDiv w:val="1"/>
      <w:marLeft w:val="0"/>
      <w:marRight w:val="0"/>
      <w:marTop w:val="0"/>
      <w:marBottom w:val="0"/>
      <w:divBdr>
        <w:top w:val="none" w:sz="0" w:space="0" w:color="auto"/>
        <w:left w:val="none" w:sz="0" w:space="0" w:color="auto"/>
        <w:bottom w:val="none" w:sz="0" w:space="0" w:color="auto"/>
        <w:right w:val="none" w:sz="0" w:space="0" w:color="auto"/>
      </w:divBdr>
    </w:div>
    <w:div w:id="1389301648">
      <w:bodyDiv w:val="1"/>
      <w:marLeft w:val="0"/>
      <w:marRight w:val="0"/>
      <w:marTop w:val="0"/>
      <w:marBottom w:val="0"/>
      <w:divBdr>
        <w:top w:val="none" w:sz="0" w:space="0" w:color="auto"/>
        <w:left w:val="none" w:sz="0" w:space="0" w:color="auto"/>
        <w:bottom w:val="none" w:sz="0" w:space="0" w:color="auto"/>
        <w:right w:val="none" w:sz="0" w:space="0" w:color="auto"/>
      </w:divBdr>
    </w:div>
    <w:div w:id="1425224576">
      <w:bodyDiv w:val="1"/>
      <w:marLeft w:val="0"/>
      <w:marRight w:val="0"/>
      <w:marTop w:val="0"/>
      <w:marBottom w:val="0"/>
      <w:divBdr>
        <w:top w:val="none" w:sz="0" w:space="0" w:color="auto"/>
        <w:left w:val="none" w:sz="0" w:space="0" w:color="auto"/>
        <w:bottom w:val="none" w:sz="0" w:space="0" w:color="auto"/>
        <w:right w:val="none" w:sz="0" w:space="0" w:color="auto"/>
      </w:divBdr>
      <w:divsChild>
        <w:div w:id="10415877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25674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580269">
      <w:bodyDiv w:val="1"/>
      <w:marLeft w:val="0"/>
      <w:marRight w:val="0"/>
      <w:marTop w:val="0"/>
      <w:marBottom w:val="0"/>
      <w:divBdr>
        <w:top w:val="none" w:sz="0" w:space="0" w:color="auto"/>
        <w:left w:val="none" w:sz="0" w:space="0" w:color="auto"/>
        <w:bottom w:val="none" w:sz="0" w:space="0" w:color="auto"/>
        <w:right w:val="none" w:sz="0" w:space="0" w:color="auto"/>
      </w:divBdr>
    </w:div>
    <w:div w:id="1449275309">
      <w:bodyDiv w:val="1"/>
      <w:marLeft w:val="0"/>
      <w:marRight w:val="0"/>
      <w:marTop w:val="0"/>
      <w:marBottom w:val="0"/>
      <w:divBdr>
        <w:top w:val="none" w:sz="0" w:space="0" w:color="auto"/>
        <w:left w:val="none" w:sz="0" w:space="0" w:color="auto"/>
        <w:bottom w:val="none" w:sz="0" w:space="0" w:color="auto"/>
        <w:right w:val="none" w:sz="0" w:space="0" w:color="auto"/>
      </w:divBdr>
    </w:div>
    <w:div w:id="1547520754">
      <w:bodyDiv w:val="1"/>
      <w:marLeft w:val="0"/>
      <w:marRight w:val="0"/>
      <w:marTop w:val="0"/>
      <w:marBottom w:val="0"/>
      <w:divBdr>
        <w:top w:val="none" w:sz="0" w:space="0" w:color="auto"/>
        <w:left w:val="none" w:sz="0" w:space="0" w:color="auto"/>
        <w:bottom w:val="none" w:sz="0" w:space="0" w:color="auto"/>
        <w:right w:val="none" w:sz="0" w:space="0" w:color="auto"/>
      </w:divBdr>
    </w:div>
    <w:div w:id="1660962678">
      <w:bodyDiv w:val="1"/>
      <w:marLeft w:val="0"/>
      <w:marRight w:val="0"/>
      <w:marTop w:val="0"/>
      <w:marBottom w:val="0"/>
      <w:divBdr>
        <w:top w:val="none" w:sz="0" w:space="0" w:color="auto"/>
        <w:left w:val="none" w:sz="0" w:space="0" w:color="auto"/>
        <w:bottom w:val="none" w:sz="0" w:space="0" w:color="auto"/>
        <w:right w:val="none" w:sz="0" w:space="0" w:color="auto"/>
      </w:divBdr>
      <w:divsChild>
        <w:div w:id="1227180446">
          <w:marLeft w:val="0"/>
          <w:marRight w:val="0"/>
          <w:marTop w:val="0"/>
          <w:marBottom w:val="0"/>
          <w:divBdr>
            <w:top w:val="none" w:sz="0" w:space="0" w:color="auto"/>
            <w:left w:val="none" w:sz="0" w:space="0" w:color="auto"/>
            <w:bottom w:val="none" w:sz="0" w:space="0" w:color="auto"/>
            <w:right w:val="none" w:sz="0" w:space="0" w:color="auto"/>
          </w:divBdr>
          <w:divsChild>
            <w:div w:id="866871041">
              <w:marLeft w:val="0"/>
              <w:marRight w:val="0"/>
              <w:marTop w:val="0"/>
              <w:marBottom w:val="0"/>
              <w:divBdr>
                <w:top w:val="none" w:sz="0" w:space="0" w:color="auto"/>
                <w:left w:val="none" w:sz="0" w:space="0" w:color="auto"/>
                <w:bottom w:val="none" w:sz="0" w:space="0" w:color="auto"/>
                <w:right w:val="none" w:sz="0" w:space="0" w:color="auto"/>
              </w:divBdr>
              <w:divsChild>
                <w:div w:id="1120295840">
                  <w:marLeft w:val="0"/>
                  <w:marRight w:val="0"/>
                  <w:marTop w:val="60"/>
                  <w:marBottom w:val="180"/>
                  <w:divBdr>
                    <w:top w:val="none" w:sz="0" w:space="0" w:color="auto"/>
                    <w:left w:val="none" w:sz="0" w:space="0" w:color="auto"/>
                    <w:bottom w:val="none" w:sz="0" w:space="0" w:color="auto"/>
                    <w:right w:val="none" w:sz="0" w:space="0" w:color="auto"/>
                  </w:divBdr>
                </w:div>
                <w:div w:id="957027369">
                  <w:marLeft w:val="0"/>
                  <w:marRight w:val="0"/>
                  <w:marTop w:val="360"/>
                  <w:marBottom w:val="180"/>
                  <w:divBdr>
                    <w:top w:val="none" w:sz="0" w:space="0" w:color="auto"/>
                    <w:left w:val="none" w:sz="0" w:space="0" w:color="auto"/>
                    <w:bottom w:val="none" w:sz="0" w:space="0" w:color="auto"/>
                    <w:right w:val="none" w:sz="0" w:space="0" w:color="auto"/>
                  </w:divBdr>
                </w:div>
                <w:div w:id="36059075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803500629">
      <w:bodyDiv w:val="1"/>
      <w:marLeft w:val="0"/>
      <w:marRight w:val="0"/>
      <w:marTop w:val="0"/>
      <w:marBottom w:val="0"/>
      <w:divBdr>
        <w:top w:val="none" w:sz="0" w:space="0" w:color="auto"/>
        <w:left w:val="none" w:sz="0" w:space="0" w:color="auto"/>
        <w:bottom w:val="none" w:sz="0" w:space="0" w:color="auto"/>
        <w:right w:val="none" w:sz="0" w:space="0" w:color="auto"/>
      </w:divBdr>
    </w:div>
    <w:div w:id="1917977352">
      <w:bodyDiv w:val="1"/>
      <w:marLeft w:val="0"/>
      <w:marRight w:val="0"/>
      <w:marTop w:val="0"/>
      <w:marBottom w:val="0"/>
      <w:divBdr>
        <w:top w:val="none" w:sz="0" w:space="0" w:color="auto"/>
        <w:left w:val="none" w:sz="0" w:space="0" w:color="auto"/>
        <w:bottom w:val="none" w:sz="0" w:space="0" w:color="auto"/>
        <w:right w:val="none" w:sz="0" w:space="0" w:color="auto"/>
      </w:divBdr>
    </w:div>
    <w:div w:id="1945334936">
      <w:bodyDiv w:val="1"/>
      <w:marLeft w:val="0"/>
      <w:marRight w:val="0"/>
      <w:marTop w:val="0"/>
      <w:marBottom w:val="0"/>
      <w:divBdr>
        <w:top w:val="none" w:sz="0" w:space="0" w:color="auto"/>
        <w:left w:val="none" w:sz="0" w:space="0" w:color="auto"/>
        <w:bottom w:val="none" w:sz="0" w:space="0" w:color="auto"/>
        <w:right w:val="none" w:sz="0" w:space="0" w:color="auto"/>
      </w:divBdr>
    </w:div>
    <w:div w:id="199669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4/pp.24.1.1" TargetMode="External"/><Relationship Id="rId13" Type="http://schemas.openxmlformats.org/officeDocument/2006/relationships/hyperlink" Target="https://doi.org/10.1038/s41598-025-93070-w" TargetMode="External"/><Relationship Id="rId18" Type="http://schemas.openxmlformats.org/officeDocument/2006/relationships/hyperlink" Target="https://doi.org/10.56557/pcbmb/2025/v26i7-89586"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doi.org/10.1016/j.heliyon.2022.e12609" TargetMode="External"/><Relationship Id="rId12" Type="http://schemas.openxmlformats.org/officeDocument/2006/relationships/hyperlink" Target="https://doi.org/10.1016/S0021-9258(19)52451-6" TargetMode="External"/><Relationship Id="rId17" Type="http://schemas.openxmlformats.org/officeDocument/2006/relationships/hyperlink" Target="https://doi.org/10.1016/j.heliyon.2023.e16134" TargetMode="External"/><Relationship Id="rId2" Type="http://schemas.openxmlformats.org/officeDocument/2006/relationships/numbering" Target="numbering.xml"/><Relationship Id="rId16" Type="http://schemas.openxmlformats.org/officeDocument/2006/relationships/hyperlink" Target="https://doi.org/10.1186/s12870-025-07909-5" TargetMode="External"/><Relationship Id="rId20" Type="http://schemas.openxmlformats.org/officeDocument/2006/relationships/hyperlink" Target="https://doi.org/10.1007/s11104-025-07680-4" TargetMode="External"/><Relationship Id="rId1" Type="http://schemas.openxmlformats.org/officeDocument/2006/relationships/customXml" Target="../customXml/item1.xml"/><Relationship Id="rId6" Type="http://schemas.openxmlformats.org/officeDocument/2006/relationships/hyperlink" Target="https://doi.org/10.25165/j.ijabe.20171005.2268" TargetMode="External"/><Relationship Id="rId11" Type="http://schemas.openxmlformats.org/officeDocument/2006/relationships/hyperlink" Target="https://doi.org/10.1021/ac60111a017" TargetMode="External"/><Relationship Id="rId5" Type="http://schemas.openxmlformats.org/officeDocument/2006/relationships/webSettings" Target="webSettings.xml"/><Relationship Id="rId15" Type="http://schemas.openxmlformats.org/officeDocument/2006/relationships/hyperlink" Target="https://doi.org/10.9734/ijpss/2025/v37i75596" TargetMode="External"/><Relationship Id="rId10" Type="http://schemas.openxmlformats.org/officeDocument/2006/relationships/hyperlink" Target="https://doi.org/10.9734/jamb/2025/v25i6943" TargetMode="External"/><Relationship Id="rId19" Type="http://schemas.openxmlformats.org/officeDocument/2006/relationships/hyperlink" Target="https://doi.org/10.1023/A:1026037216893" TargetMode="External"/><Relationship Id="rId4" Type="http://schemas.openxmlformats.org/officeDocument/2006/relationships/settings" Target="settings.xml"/><Relationship Id="rId9" Type="http://schemas.openxmlformats.org/officeDocument/2006/relationships/hyperlink" Target="https://doi.org/10.56557/jobari/2026/v32i210430" TargetMode="External"/><Relationship Id="rId14" Type="http://schemas.openxmlformats.org/officeDocument/2006/relationships/hyperlink" Target="https://doi.org/10.1186/s42834-020-00051-x" TargetMode="External"/><Relationship Id="rId22" Type="http://schemas.openxmlformats.org/officeDocument/2006/relationships/theme" Target="theme/theme1.xml"/><Relationship Id="rId23" Type="http://schemas.openxmlformats.org/officeDocument/2006/relationships/hyperlink" Target="https://agris.fao.org/search/en/providers/123819/records/64735b272c1d629bc97be68a" TargetMode="External"/><Relationship Id="rId24" Type="http://schemas.openxmlformats.org/officeDocument/2006/relationships/hyperlink" Target="https://cjes.guilan.ac.ir/article_970.html" TargetMode="External"/><Relationship Id="rId25" Type="http://schemas.openxmlformats.org/officeDocument/2006/relationships/hyperlink" Target="https://silks.csb.gov.in/nellore/mulberry-crop-production-technology/" TargetMode="External"/><Relationship Id="rId26" Type="http://schemas.openxmlformats.org/officeDocument/2006/relationships/hyperlink" Target="https://uasbagrilibindia.org/cgi-bin/koha/opac-detail.pl?biblionumber=166356" TargetMode="External"/><Relationship Id="rId27" Type="http://schemas.openxmlformats.org/officeDocument/2006/relationships/hyperlink" Target="https://uasbagrilibindia.org/cgi-bin/koha/opac-detail.pl?biblionumber=164015" TargetMode="External"/><Relationship Id="rId28" Type="http://schemas.openxmlformats.org/officeDocument/2006/relationships/hyperlink" Target="https://agris.fao.org/search/en/records/65ddf0374c5aef494fd7a8f5" TargetMode="External"/><Relationship Id="rId29" Type="http://schemas.openxmlformats.org/officeDocument/2006/relationships/hyperlink" Target="https://doi.org/10.13057/biodiv/d230322" TargetMode="External"/><Relationship Id="rId30" Type="http://schemas.openxmlformats.org/officeDocument/2006/relationships/hyperlink" Target="https://cjes.guilan.ac.ir/article_989.html" TargetMode="External"/><Relationship Id="rId31" Type="http://schemas.openxmlformats.org/officeDocument/2006/relationships/hyperlink" Target="https://researcher.manipal.edu/en/publications/evaluation-of-relative-moisture-loss-from-leaves-of-five-mulberry/" TargetMode="External"/><Relationship Id="rId32" Type="http://schemas.openxmlformats.org/officeDocument/2006/relationships/hyperlink" Target="https://epubs.icar.org.in/index.php/IJAgS/article/view/91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4DEA2-2FB8-4E72-BEEE-99F688613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912</TotalTime>
  <Pages>15</Pages>
  <Words>4718</Words>
  <Characters>26895</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SDI 1065</cp:lastModifiedBy>
  <cp:revision>240</cp:revision>
  <cp:lastPrinted>2026-07-28T07:24:00Z</cp:lastPrinted>
  <dcterms:created xsi:type="dcterms:W3CDTF">2026-07-23T10:08:00Z</dcterms:created>
  <dcterms:modified xsi:type="dcterms:W3CDTF">2026-08-17T06:40:00Z</dcterms:modified>
</cp:coreProperties>
</file>