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FCD90" w14:textId="77777777" w:rsidR="00AD2FDD" w:rsidRPr="00AD2FDD" w:rsidRDefault="00AD2FDD" w:rsidP="00001303">
      <w:pPr>
        <w:pStyle w:val="Title"/>
        <w:spacing w:before="1000" w:after="480"/>
        <w:rPr>
          <w:bCs/>
          <w:i/>
          <w:iCs/>
          <w:u w:val="single"/>
        </w:rPr>
      </w:pPr>
      <w:r w:rsidRPr="00AD2FDD">
        <w:rPr>
          <w:bCs/>
          <w:i/>
          <w:iCs/>
          <w:u w:val="single"/>
        </w:rPr>
        <w:t>Review Article</w:t>
      </w:r>
    </w:p>
    <w:p w14:paraId="77D931E1" w14:textId="512CEF87" w:rsidR="00DD1D37" w:rsidRDefault="00DD1D37" w:rsidP="00001303">
      <w:pPr>
        <w:rPr>
          <w:b/>
          <w:bCs/>
          <w:sz w:val="32"/>
          <w:szCs w:val="32"/>
        </w:rPr>
      </w:pPr>
      <w:r w:rsidRPr="00DD1D37">
        <w:rPr>
          <w:b/>
          <w:bCs/>
          <w:sz w:val="32"/>
          <w:szCs w:val="32"/>
        </w:rPr>
        <w:t>CRISPR and Artificial Intelligence in Crop Improvement: A Critical Synthesis for Precision Plant Breeding</w:t>
      </w:r>
    </w:p>
    <w:p w14:paraId="318642AB" w14:textId="77777777" w:rsidR="00DD1D37" w:rsidRPr="00A60D5B" w:rsidRDefault="00DD1D37" w:rsidP="00001303">
      <w:pPr>
        <w:rPr>
          <w:b/>
          <w:bCs/>
          <w:sz w:val="32"/>
          <w:szCs w:val="32"/>
        </w:rPr>
      </w:pPr>
    </w:p>
    <w:p w14:paraId="60AAA27A" w14:textId="77777777" w:rsidR="00532AA9" w:rsidRDefault="00000000" w:rsidP="00001303">
      <w:pPr>
        <w:pStyle w:val="Heading1"/>
      </w:pPr>
      <w:r>
        <w:t>Abstract</w:t>
      </w:r>
    </w:p>
    <w:p w14:paraId="0D2806BA" w14:textId="77777777" w:rsidR="00532AA9" w:rsidRDefault="00000000" w:rsidP="00001303">
      <w:pPr>
        <w:pStyle w:val="AbstractText"/>
      </w:pPr>
      <w:r>
        <w:t xml:space="preserve">Clustered regularly interspaced short palindromic repeats (CRISPR)-based genome editing and artificial intelligence (AI) are increasingly presented as a unified route to precision plant breeding. Their convergence is scientifically plausible but unevenly demonstrated. CRISPR systems can create targeted sequence changes, whereas AI can </w:t>
      </w:r>
      <w:proofErr w:type="spellStart"/>
      <w:r>
        <w:t>prioritise</w:t>
      </w:r>
      <w:proofErr w:type="spellEnd"/>
      <w:r>
        <w:t xml:space="preserve"> candidate genes, integrate genomic and </w:t>
      </w:r>
      <w:proofErr w:type="spellStart"/>
      <w:r>
        <w:t>phenomic</w:t>
      </w:r>
      <w:proofErr w:type="spellEnd"/>
      <w:r>
        <w:t xml:space="preserve"> data, </w:t>
      </w:r>
      <w:proofErr w:type="spellStart"/>
      <w:r>
        <w:t>optimise</w:t>
      </w:r>
      <w:proofErr w:type="spellEnd"/>
      <w:r>
        <w:t xml:space="preserve"> guide RNAs and editors, predict editing outcomes, and support iterative genotype-to-phenotype learning. This critical narrative review evaluates the evidence linking these capabilities across the crop-improvement pipeline. Literature published from 1 January 2012 to 5 June 2026 was selected through transparent searches of accessible scholarly indexes and bibliographic resources, followed by citation tracking, metadata verification and thematic appraisal. Evidence is strongest for CRISPR-mediated improvement of discrete, biologically well-</w:t>
      </w:r>
      <w:proofErr w:type="spellStart"/>
      <w:r>
        <w:t>characterised</w:t>
      </w:r>
      <w:proofErr w:type="spellEnd"/>
      <w:r>
        <w:t xml:space="preserve"> traits, including disease resistance, quality attributes, plant architecture and selected stress responses. AI has also achieved useful performance in phenotyping, genomic prediction and CRISPR design, but superiority over conventional statistical or rule-based approaches is not consistent across datasets, species or prediction tasks. Direct evidence for fully integrated, AI-guided CRISPR breeding </w:t>
      </w:r>
      <w:proofErr w:type="spellStart"/>
      <w:r>
        <w:t>programmes</w:t>
      </w:r>
      <w:proofErr w:type="spellEnd"/>
      <w:r>
        <w:t xml:space="preserve"> that deliver stable field performance remains limited. Major constraints include uncertain causal target identification, small and non-representative training datasets, poor transferability across genetic backgrounds, polyploidy, genotype-by-environment interaction, transformation and regeneration bottlenecks, incomplete detection of unintended outcomes, and heterogeneous regulation. The most defensible interpretation is therefore that AI and CRISPR are complementary components of an emerging design-build-test-learn framework rather than a mature autonomous breeding platform. Progress will depend on plant-specific benchmark datasets, prospective validation, multi-environment field trials, interoperable data standards, equitable access to transformation and computational infrastructure, and governance focused on the properties and evidence of resulting products. Their integration can accelerate precision breeding, but biological causality, experimental validation and breeding judgement remain indispensable.</w:t>
      </w:r>
    </w:p>
    <w:p w14:paraId="5396D055" w14:textId="77777777" w:rsidR="00532AA9" w:rsidRDefault="00000000" w:rsidP="00001303">
      <w:pPr>
        <w:pStyle w:val="AbstractText"/>
        <w:spacing w:before="80"/>
      </w:pPr>
      <w:r>
        <w:rPr>
          <w:b/>
        </w:rPr>
        <w:t xml:space="preserve">Keywords: </w:t>
      </w:r>
      <w:r>
        <w:t>genome editing; machine learning; genomic prediction; high-throughput phenotyping; guide RNA design; base editing; genotype-by-environment interaction</w:t>
      </w:r>
    </w:p>
    <w:p w14:paraId="5BC320A6" w14:textId="77777777" w:rsidR="00532AA9" w:rsidRDefault="00000000" w:rsidP="00001303">
      <w:r>
        <w:br w:type="page"/>
      </w:r>
    </w:p>
    <w:p w14:paraId="67C85CFD" w14:textId="77777777" w:rsidR="00532AA9" w:rsidRDefault="00000000" w:rsidP="00001303">
      <w:pPr>
        <w:pStyle w:val="Heading1"/>
      </w:pPr>
      <w:r>
        <w:lastRenderedPageBreak/>
        <w:t>1. Introduction</w:t>
      </w:r>
    </w:p>
    <w:p w14:paraId="0CA44A34" w14:textId="77777777" w:rsidR="00532AA9" w:rsidRDefault="00000000" w:rsidP="00001303">
      <w:r>
        <w:t xml:space="preserve">Crop breeding is being asked to deliver greater genetic gain under conditions that make prediction increasingly difficult. Climate instability changes the frequency and combination of heat, drought, flooding and disease pressures, while breeding objectives now extend beyond yield to nutritional quality, resource-use efficiency, reduced chemical dependence and suitability for diverse production systems. Conventional crossing and selection remain indispensable because they recombine whole genomes and expose candidate material to realistic environments, but they are slow when useful alleles are rare, linkage drag is substantial or a trait depends on a specific regulatory change. Genome editing and data-intensive prediction have therefore attracted attention as ways to shorten parts of the breeding cycle and to make genetic interventions more deliberate (Chen et al., 2019; Gao, 2021; </w:t>
      </w:r>
      <w:proofErr w:type="spellStart"/>
      <w:r>
        <w:t>Harfouche</w:t>
      </w:r>
      <w:proofErr w:type="spellEnd"/>
      <w:r>
        <w:t xml:space="preserve"> et al., 2019).</w:t>
      </w:r>
    </w:p>
    <w:p w14:paraId="15BF5CC6" w14:textId="77777777" w:rsidR="00532AA9" w:rsidRPr="00001303" w:rsidRDefault="00000000" w:rsidP="00001303">
      <w:r>
        <w:t xml:space="preserve">CRISPR-based editing changed plant biotechnology by making targeted modification comparatively programmable. A guide RNA directs a CRISPR-associated nuclease to a selected sequence, after which endogenous repair can generate small insertions or deletions, defined substitutions or, with newer systems, more versatile sequence replacement. Early demonstrations in crops established that multiple alleles and </w:t>
      </w:r>
      <w:proofErr w:type="spellStart"/>
      <w:r>
        <w:t>homoeologues</w:t>
      </w:r>
      <w:proofErr w:type="spellEnd"/>
      <w:r>
        <w:t xml:space="preserve"> could be edited, including in polyploid wheat (Shan et al., 2013; Wang et al., 2014). Subsequent development of base editors, prime editors, multiplex systems and targeted regulatory editing </w:t>
      </w:r>
      <w:r w:rsidRPr="00001303">
        <w:t>expanded the range of accessible variation beyond simple gene knockout (Hua et al., 2022; B. Li et al., 2024; Molla et al., 2021). These developments justify the description of CRISPR as precise at the level of molecular targeting, but molecular precision does not automatically imply predictable agronomic performance.</w:t>
      </w:r>
      <w:r w:rsidRPr="00001303">
        <w:rPr>
          <w:highlight w:val="yellow"/>
        </w:rPr>
        <w:t xml:space="preserve"> Recent synthesis likewise indicates that the growing diversity of plant CRISPR/Cas systems expands the range of possible interventions, while off-target activity, delivery efficiency and crop-dependent performance remain material constraints (Hwarari et al., 2024).</w:t>
      </w:r>
    </w:p>
    <w:p w14:paraId="6956CE07" w14:textId="77777777" w:rsidR="00532AA9" w:rsidRDefault="00000000" w:rsidP="00001303">
      <w:r w:rsidRPr="00001303">
        <w:t>The intellectual starting point for this transition was the demonstration that a programmable RNA-guided nuclease could cleave a chosen DNA sequence, followed rapidly by proof that the system could modify crop genomes (</w:t>
      </w:r>
      <w:proofErr w:type="spellStart"/>
      <w:r w:rsidRPr="00001303">
        <w:t>Jinek</w:t>
      </w:r>
      <w:proofErr w:type="spellEnd"/>
      <w:r w:rsidRPr="00001303">
        <w:t xml:space="preserve"> et al., 2012; Shan et al., 2013). The subsequent decade brought an expansion from targeted mutagenesis to multiplex editing, cis-regulatory engineering and precise nucleotide conversion, and applications</w:t>
      </w:r>
      <w:r>
        <w:t xml:space="preserve"> now span agronomic, resistance, quality and domestication traits (Zhu et al., 2020). This history matters because the meaning of precision has changed. Early precision referred mainly to locating a DNA break. Contemporary claims often extend to selecting the biologically correct locus, writing a useful allele, predicting its phenotypic effect and deploying it in an elite background. These are distinct inferential problems. A highly specific edit can be biologically ineffective, and a useful phenotype can arise from an edit whose molecular outcome is heterogeneous. The central analytical question is therefore not whether CRISPR or AI is precise in isolation, but which uncertainty each removes, which uncertainty it leaves intact and how evidence should be accumulated across the breeding process.</w:t>
      </w:r>
    </w:p>
    <w:p w14:paraId="422AC1ED" w14:textId="77777777" w:rsidR="00532AA9" w:rsidRPr="00001303" w:rsidRDefault="00000000" w:rsidP="00001303">
      <w:r>
        <w:t xml:space="preserve">Artificial intelligence is a broad label covering machine learning, deep learning, computer vision, natural-language and generative methods. In crop improvement, the most relevant functions are prediction and </w:t>
      </w:r>
      <w:proofErr w:type="spellStart"/>
      <w:r>
        <w:t>prioritisation</w:t>
      </w:r>
      <w:proofErr w:type="spellEnd"/>
      <w:r>
        <w:t xml:space="preserve">: identifying candidate genes or regulatory elements, modelling genotype-to-phenotype relationships, extracting traits from images, ranking guide RNAs, estimating off-target activity and choosing among editor variants. AI is attractive because plant breeding data are high-dimensional and multimodal, spanning genome sequence, transcript abundance, chromatin accessibility, metabolites, images, weather, soil and management. Yet breeding datasets are often small </w:t>
      </w:r>
      <w:r>
        <w:lastRenderedPageBreak/>
        <w:t xml:space="preserve">relative to model complexity, imbalanced towards a few major crops and elite germplasm pools, and affected by population structure and genotype-by-environment interaction. Benchmarking has shown that nonlinear models do not </w:t>
      </w:r>
      <w:r w:rsidRPr="00001303">
        <w:t>consistently outperform linear or kernel-based methods, and that model rankings can change across traits and datasets (</w:t>
      </w:r>
      <w:proofErr w:type="spellStart"/>
      <w:r w:rsidRPr="00001303">
        <w:t>Azodi</w:t>
      </w:r>
      <w:proofErr w:type="spellEnd"/>
      <w:r w:rsidRPr="00001303">
        <w:t xml:space="preserve"> et al., 2019; </w:t>
      </w:r>
      <w:proofErr w:type="spellStart"/>
      <w:r w:rsidRPr="00001303">
        <w:t>Danilevicz</w:t>
      </w:r>
      <w:proofErr w:type="spellEnd"/>
      <w:r w:rsidRPr="00001303">
        <w:t xml:space="preserve"> et al., 2022; Tong &amp; </w:t>
      </w:r>
      <w:proofErr w:type="spellStart"/>
      <w:r w:rsidRPr="00001303">
        <w:t>Nikoloski</w:t>
      </w:r>
      <w:proofErr w:type="spellEnd"/>
      <w:r w:rsidRPr="00001303">
        <w:t>, 2021).</w:t>
      </w:r>
      <w:r w:rsidRPr="00001303">
        <w:rPr>
          <w:highlight w:val="yellow"/>
        </w:rPr>
        <w:t xml:space="preserve"> A recent review of AI in plant breeding situates these methods across data acquisition, germplasm exploration, genotype-to-phenotype modelling and gene-editing support, while emphasising the need for integrated data infrastructure and validation (Farooq et al., 2024). Similarly, a contemporary assessment of machine-learning-enabled genomic prediction highlights the dependence of predictive reliability on genomic, phenotypic and environmental data, appropriate validation and explicit treatment of genotype-by-environment interaction (Crossa et al., 2025).</w:t>
      </w:r>
    </w:p>
    <w:p w14:paraId="7D5E83B3" w14:textId="77777777" w:rsidR="00532AA9" w:rsidRPr="00001303" w:rsidRDefault="00000000" w:rsidP="00001303">
      <w:r w:rsidRPr="00001303">
        <w:t>The proposed convergence of CRISPR and AI is therefore more consequential than the simple co-occurrence of two technologies. AI can help select what to edit and how to edit it; CRISPR can test predicted causal relationships and generate perturbation data that improve future models. This reciprocal logic underpins a design-build-test-learn cycle in which computational hypotheses are translated into edited plants, measured under controlled and field conditions, and returned as training evidence (Gao et al., 2026; Jiang et al., 2025; Zhang et al., 2025). Reviews increasingly describe this cycle as predictive crop design, but the underlying evidence remains distributed across separate literatures. Most AI-CRISPR predictors were developed using mammalian or microbial datasets, whereas many crop-editing studies used conventional target selection without AI. A critical synthesis must therefore distinguish demonstrated integration from conceptual potential.</w:t>
      </w:r>
      <w:r w:rsidRPr="00001303">
        <w:rPr>
          <w:highlight w:val="yellow"/>
        </w:rPr>
        <w:t xml:space="preserve"> A crop-focused synthesis identifies target-site detection, guide design and prediction of editing efficiency or specificity as practical interfaces between machine learning and genome editing, but also describes the integration as methodologically developing rather than fully established in breeding programmes (Chen et al., 2024).</w:t>
      </w:r>
    </w:p>
    <w:p w14:paraId="2DEF6BBB" w14:textId="77777777" w:rsidR="00532AA9" w:rsidRDefault="00000000" w:rsidP="00001303">
      <w:r w:rsidRPr="00001303">
        <w:t>Existing reviews have separately covered CRISPR technologies, plant base and prime editing, AI-enabled crop breeding, high-throughput phenotyping</w:t>
      </w:r>
      <w:r>
        <w:t xml:space="preserve"> and AI-assisted genome editing (Abbasi et al., 2025; Kim et al., 2025; B. Li et al., 2024; Thomson et al., 2026; Yang et al., 2020). Recent plant-focused perspectives have begun to connect these domains, but the field still lacks an evidence-calibrated account of where integration adds value, where it merely shifts uncertainty upstream, and which validation standards are needed before predictive claims become breeding claims. Particular attention is required for causal target discovery, portability across plant species and genetic backgrounds, transformation and regeneration, polygenic traits, field robustness, unintended outcomes and regulatory divergence.</w:t>
      </w:r>
    </w:p>
    <w:p w14:paraId="5504A898" w14:textId="77777777" w:rsidR="00532AA9" w:rsidRDefault="00000000" w:rsidP="00001303">
      <w:pPr>
        <w:pStyle w:val="Heading2"/>
      </w:pPr>
      <w:r>
        <w:t>1.1 Scope, Research Gap and Objectives</w:t>
      </w:r>
    </w:p>
    <w:p w14:paraId="2EC4A9E2" w14:textId="77777777" w:rsidR="00532AA9" w:rsidRDefault="00000000" w:rsidP="00001303">
      <w:r>
        <w:t>This review examines crop plants and the integration of CRISPR nucleases, base editors, prime editors and related programmable systems with AI or machine-learning methods used for target discovery, guide and editor design, editing-outcome prediction, genomic prediction, phenotyping and iterative validation. The central research gap is the limited critical connection between molecular editing performance and breeding-scale evidence. The objectives are to define precision across the full crop-improvement pathway, evaluate the strength and transferability of evidence for each point of AI-CRISPR integration, compare representative crop applications, identify technical and governance constraints, and propose a validation-</w:t>
      </w:r>
      <w:proofErr w:type="spellStart"/>
      <w:r>
        <w:t>centred</w:t>
      </w:r>
      <w:proofErr w:type="spellEnd"/>
      <w:r>
        <w:t xml:space="preserve"> research agenda. Clinical genome editing, livestock </w:t>
      </w:r>
      <w:r>
        <w:lastRenderedPageBreak/>
        <w:t>applications, gene drives and purely operational precision agriculture are outside the principal scope except where methodological evidence informs plant-specific limitations.</w:t>
      </w:r>
    </w:p>
    <w:p w14:paraId="49B614B3" w14:textId="77777777" w:rsidR="00532AA9" w:rsidRDefault="00000000" w:rsidP="00001303">
      <w:pPr>
        <w:pStyle w:val="Heading1"/>
      </w:pPr>
      <w:r>
        <w:t>2. Methods for Literature Selection</w:t>
      </w:r>
    </w:p>
    <w:p w14:paraId="6944E972" w14:textId="77777777" w:rsidR="00532AA9" w:rsidRDefault="00000000" w:rsidP="00001303">
      <w:r>
        <w:t>This critical narrative review used a transparent, theme-oriented literature-selection process designed to support interpretive synthesis rather than exhaustive effect estimation. The approach followed the quality principles of the Scale for the Assessment of Narrative Review Articles, including explicit objectives, a reproducible literature search, appropriate referencing and evidence-level appraisal (</w:t>
      </w:r>
      <w:proofErr w:type="spellStart"/>
      <w:r>
        <w:t>Baethge</w:t>
      </w:r>
      <w:proofErr w:type="spellEnd"/>
      <w:r>
        <w:t xml:space="preserve"> et al., 2019). The review was not framed as a systematic review because the question joins heterogeneous technologies, study designs and outcomes that cannot be reduced to a single intervention-effect estimate. No meta-analysis was attempted, and no formal risk-of-bias score was assigned across incompatible experimental and computational designs.</w:t>
      </w:r>
    </w:p>
    <w:p w14:paraId="13BCB320" w14:textId="77777777" w:rsidR="00532AA9" w:rsidRDefault="00000000" w:rsidP="00001303">
      <w:pPr>
        <w:pStyle w:val="Heading2"/>
      </w:pPr>
      <w:r>
        <w:t>2.1 Review Design and Rationale</w:t>
      </w:r>
    </w:p>
    <w:p w14:paraId="49309E01" w14:textId="77777777" w:rsidR="00532AA9" w:rsidRDefault="00000000" w:rsidP="00001303">
      <w:r>
        <w:t>A critical narrative design was selected because the evidence ranges from molecular tool-development studies and crop transformation experiments to computational benchmarks, field trials, regulatory analyses and conceptual frameworks. The review question concerns the coherence and limitations of an emerging technological system rather than the pooled magnitude of one treatment effect. Narrative synthesis permits comparison of mechanistic evidence, predictive performance, translational constraints and normative implications while preserving differences among data types. Transparency was maintained by documenting sources, search concepts, eligibility rules, duplicate handling and appraisal criteria, and by separating demonstrated crop outcomes from extrapolation based on non-plant datasets.</w:t>
      </w:r>
    </w:p>
    <w:p w14:paraId="692A5BDC" w14:textId="77777777" w:rsidR="00532AA9" w:rsidRDefault="00000000" w:rsidP="00001303">
      <w:pPr>
        <w:pStyle w:val="Heading2"/>
      </w:pPr>
      <w:r>
        <w:t>2.2 Information Sources</w:t>
      </w:r>
    </w:p>
    <w:p w14:paraId="1912FC6A" w14:textId="77777777" w:rsidR="00532AA9" w:rsidRDefault="00000000" w:rsidP="00001303">
      <w:r>
        <w:t xml:space="preserve">Searches were conducted in PubMed/MEDLINE, Semantic Scholar, </w:t>
      </w:r>
      <w:proofErr w:type="spellStart"/>
      <w:r>
        <w:t>OpenAlex</w:t>
      </w:r>
      <w:proofErr w:type="spellEnd"/>
      <w:r>
        <w:t xml:space="preserve">, the Directory of Open Access Journals, </w:t>
      </w:r>
      <w:proofErr w:type="spellStart"/>
      <w:r>
        <w:t>Crossref</w:t>
      </w:r>
      <w:proofErr w:type="spellEnd"/>
      <w:r>
        <w:t xml:space="preserve"> Metadata Search and United States Department of Agriculture National Agricultural Library discovery interfaces. Backward citation searching was performed from recent high-quality reviews and key primary studies, and forward citation searching was used to identify replication, extensions, corrections and policy updates. Publisher and journal landing pages were consulted only to verify article metadata, publication dates, corrections and DOI resolution; they were not described as literature databases. Searches for retractions, corrections and current bibliographic status were incorporated into reference verification.</w:t>
      </w:r>
    </w:p>
    <w:p w14:paraId="086A1ACB" w14:textId="77777777" w:rsidR="00532AA9" w:rsidRDefault="00000000" w:rsidP="00001303">
      <w:pPr>
        <w:pStyle w:val="Heading2"/>
      </w:pPr>
      <w:r>
        <w:t>2.3 Search Strategy and Search Period</w:t>
      </w:r>
    </w:p>
    <w:p w14:paraId="69929EA2" w14:textId="77777777" w:rsidR="00532AA9" w:rsidRDefault="00000000" w:rsidP="00001303">
      <w:r>
        <w:t xml:space="preserve">The principal search period was 1 January 2012 to 5 June 2026, reflecting the transition from programmable CRISPR-Cas nuclease activity to plant and crop applications. Earlier foundational material was eligible only when essential to explain a method. Search concepts combined terms for CRISPR, Cas9, Cas12a, base editing, prime editing, multiplex editing, crop improvement and plant breeding with artificial intelligence, machine learning, deep learning, genomic prediction, phenomics, guide RNA design, off-target prediction, editing outcome, causal gene discovery, transformation, regeneration, regulation and field validation. Representative Boolean strings included “(CRISPR OR Cas9 OR Cas12a OR base edit* OR prime edit*) AND (crop* OR plant breeding) AND (artificial intelligence OR machine learning OR deep learning)” and “(guide RNA OR off-target OR editing </w:t>
      </w:r>
      <w:r>
        <w:lastRenderedPageBreak/>
        <w:t>outcome) AND (prediction OR machine learning) AND (plant* OR crop*)”. Searches were iteratively refined by crop, trait and methodological term when broad strings retrieved predominantly biomedical records.</w:t>
      </w:r>
    </w:p>
    <w:p w14:paraId="38DC923B" w14:textId="77777777" w:rsidR="00532AA9" w:rsidRDefault="00000000" w:rsidP="00001303">
      <w:pPr>
        <w:pStyle w:val="Heading2"/>
      </w:pPr>
      <w:r>
        <w:t>2.4 Eligibility Criteria</w:t>
      </w:r>
    </w:p>
    <w:p w14:paraId="00E2B210" w14:textId="77777777" w:rsidR="00532AA9" w:rsidRDefault="00000000" w:rsidP="00001303">
      <w:r>
        <w:t xml:space="preserve">Eligible sources were peer-reviewed original studies, rigorous reviews and method papers directly relevant to crop genome editing, AI-enabled plant breeding, CRISPR prediction or translation of genome-edited crops. Studies were included when they provided conceptual importance, methodological innovation, representative crop evidence, prospective or independent validation, field relevance, or critical analysis of limitations and governance. English-language articles were </w:t>
      </w:r>
      <w:proofErr w:type="spellStart"/>
      <w:r>
        <w:t>prioritised</w:t>
      </w:r>
      <w:proofErr w:type="spellEnd"/>
      <w:r>
        <w:t xml:space="preserve"> because reliable full-text appraisal and metadata verification were required. Sources were excluded when bibliographic identity could not be confirmed, when the article was retracted, when a preprint had been superseded by a peer-reviewed version, or when claims were promotional and unsupported by accessible methods or results. Biomedical AI-CRISPR studies were retained selectively to evaluate design principles and portability, but they were not treated as direct evidence of crop performance.</w:t>
      </w:r>
    </w:p>
    <w:p w14:paraId="13D5AE03" w14:textId="77777777" w:rsidR="00532AA9" w:rsidRDefault="00000000" w:rsidP="00001303">
      <w:pPr>
        <w:pStyle w:val="Heading2"/>
      </w:pPr>
      <w:r>
        <w:t>2.5 Screening, Duplicate Handling and Study Selection</w:t>
      </w:r>
    </w:p>
    <w:p w14:paraId="0781644A" w14:textId="77777777" w:rsidR="00532AA9" w:rsidRDefault="00000000" w:rsidP="00001303">
      <w:r>
        <w:t xml:space="preserve">Titles and abstracts were first assessed for relevance to at least one component of the precision-breeding pathway. Full texts or detailed indexed records were then examined for study design, species, data provenance, editing modality, validation strategy and outcome relevance. Duplicate records were consolidated by DOI, PubMed identifier and </w:t>
      </w:r>
      <w:proofErr w:type="spellStart"/>
      <w:r>
        <w:t>normalised</w:t>
      </w:r>
      <w:proofErr w:type="spellEnd"/>
      <w:r>
        <w:t xml:space="preserve"> title; online-first and version-of-record entries were treated as one article. When metadata differed, the DOI landing page, PubMed record, journal record and </w:t>
      </w:r>
      <w:proofErr w:type="spellStart"/>
      <w:r>
        <w:t>Crossref</w:t>
      </w:r>
      <w:proofErr w:type="spellEnd"/>
      <w:r>
        <w:t xml:space="preserve"> metadata were compared, and the version of record was used. Articles inaccessible beyond an uninformative citation were not used to support detailed claims. Because the process was designed for critical narrative synthesis and no complete subscription-database exports were available, screening counts and a PRISMA flow diagram were not generated.</w:t>
      </w:r>
    </w:p>
    <w:p w14:paraId="09F11688" w14:textId="77777777" w:rsidR="00532AA9" w:rsidRDefault="00000000" w:rsidP="00001303">
      <w:pPr>
        <w:pStyle w:val="Heading2"/>
      </w:pPr>
      <w:r>
        <w:t>2.6 Critical Appraisal and Evidence Synthesis</w:t>
      </w:r>
    </w:p>
    <w:p w14:paraId="00FA1E9D" w14:textId="77777777" w:rsidR="00532AA9" w:rsidRDefault="00000000" w:rsidP="00001303">
      <w:r>
        <w:t>Evidence was appraised according to design appropriateness, biological controls, replication, sample size relative to the inference claimed, transparency of training and test partitions, independence of validation data, handling of population structure and environmental variation, genotype coverage, assessment of unintended outcomes, and relevance to breeding practice. Computational studies were examined for leakage between training and test sets, class imbalance, external validation, baseline choice and model interpretability. Editing studies were examined for molecular confirmation, zygosity, transgene status, phenotypic penalties, inheritance and field testing. Themes were developed around target discovery, editing design, crop applications, delivery, safety, field robustness and governance. Conclusions were calibrated by distinguishing molecular proof of concept, greenhouse phenotype, replicated field performance and evidence across germplasm backgrounds.</w:t>
      </w:r>
    </w:p>
    <w:p w14:paraId="16751589" w14:textId="77777777" w:rsidR="00532AA9" w:rsidRDefault="00000000" w:rsidP="00001303">
      <w:pPr>
        <w:pStyle w:val="Heading1"/>
      </w:pPr>
      <w:r>
        <w:t>3. Defining Precision Across the Breeding Pipeline</w:t>
      </w:r>
    </w:p>
    <w:p w14:paraId="24C7F636" w14:textId="77777777" w:rsidR="00532AA9" w:rsidRDefault="00000000" w:rsidP="00001303">
      <w:r>
        <w:t xml:space="preserve">Precision in plant breeding is not a single property. Sequence precision concerns whether the intended nucleotide or locus is modified. Allelic precision concerns whether the edit creates the desired functional allele rather than an uncontrolled mixture of outcomes. Biological precision concerns whether the altered gene or regulatory element causally controls the target phenotype. Breeding </w:t>
      </w:r>
      <w:r>
        <w:lastRenderedPageBreak/>
        <w:t xml:space="preserve">precision concerns whether the effect remains useful across backgrounds, environments and management systems. Operational precision concerns whether the edited genotype can be delivered, regenerated, identified and advanced at a cost and scale compatible with breeding. Governance precision concerns whether the evidence and regulatory category match the properties of the final product. CRISPR is strongest in sequence targeting, whereas AI is potentially strongest in </w:t>
      </w:r>
      <w:proofErr w:type="spellStart"/>
      <w:r>
        <w:t>prioritisation</w:t>
      </w:r>
      <w:proofErr w:type="spellEnd"/>
      <w:r>
        <w:t xml:space="preserve"> and prediction; neither technology alone secures the later forms of precision.</w:t>
      </w:r>
    </w:p>
    <w:p w14:paraId="263D3D40" w14:textId="77777777" w:rsidR="00532AA9" w:rsidRDefault="00000000" w:rsidP="00001303">
      <w:r>
        <w:t>Nuclease-based CRISPR editing is efficient for loss-of-function alleles and multiplex disruption, particularly when natural or induced null alleles are known to be beneficial. Base editors can install selected transition substitutions without a double-strand break, but their editing windows, bystander changes and deaminase-associated off-target activity constrain apparently exact substitutions. Prime editing can in principle write a wider variety of small changes, although plant efficiency and genotype dependence remain variable (Hua et al., 2022; Molla et al., 2021). Targeted promoter editing and multiplex regulatory modification offer a different form of precision: they create quantitative allelic series rather than binary knockouts. The tomato promoter-editing study of Rodríguez-Leal et al. (2017) demonstrated this power, but also showed that phenotypic magnitude was not simply predictable from mutation class or transcript abundance.</w:t>
      </w:r>
    </w:p>
    <w:p w14:paraId="16638C9B" w14:textId="77777777" w:rsidR="00532AA9" w:rsidRDefault="00000000" w:rsidP="00001303">
      <w:r>
        <w:t xml:space="preserve">AI contributes at several non-equivalent levels. Computer vision can measure phenotypes at higher throughput and temporal resolution than manual scoring. Genomic prediction can rank untested genotypes from markers and environmental covariates. Sequence models can estimate guide activity, off-target propensity or editor compatibility. Multi-omics models can rank candidate genes and regulatory elements. Generative approaches can propose proteins, guides or regulatory sequences. These tasks differ in training data, validation requirements and acceptable error. A model that accurately detects canopy pixels does not thereby identify a causal drought-tolerance gene, and a guide-efficiency model does not predict field yield. Treating all these functions as a </w:t>
      </w:r>
      <w:proofErr w:type="gramStart"/>
      <w:r>
        <w:t>single AI capability obscures</w:t>
      </w:r>
      <w:proofErr w:type="gramEnd"/>
      <w:r>
        <w:t xml:space="preserve"> where uncertainty resides (</w:t>
      </w:r>
      <w:proofErr w:type="spellStart"/>
      <w:r>
        <w:t>Danilevicz</w:t>
      </w:r>
      <w:proofErr w:type="spellEnd"/>
      <w:r>
        <w:t xml:space="preserve"> et al., 2022; Kim et al., 2025; Thomson et al., 2026).</w:t>
      </w:r>
    </w:p>
    <w:p w14:paraId="0415CD4F" w14:textId="77777777" w:rsidR="00532AA9" w:rsidRDefault="00000000" w:rsidP="00001303">
      <w:r>
        <w:t xml:space="preserve">The most credible integrative model is a closed loop rather than a one-directional pipeline. Observational genomic and </w:t>
      </w:r>
      <w:proofErr w:type="spellStart"/>
      <w:r>
        <w:t>phenomic</w:t>
      </w:r>
      <w:proofErr w:type="spellEnd"/>
      <w:r>
        <w:t xml:space="preserve"> data generate hypotheses; AI </w:t>
      </w:r>
      <w:proofErr w:type="spellStart"/>
      <w:r>
        <w:t>prioritises</w:t>
      </w:r>
      <w:proofErr w:type="spellEnd"/>
      <w:r>
        <w:t xml:space="preserve"> interventions; CRISPR creates defined perturbations; molecular, physiological and field phenotyping tests consequences; and resulting data update the model. CRISPR is valuable here not only as an engineering tool but as a causal experiment. Conversely, AI is valuable not only for automation but for choosing informative perturbations and integrating outcomes. The framework is emerging, but most published crop examples occupy only one or two stages. Table 1 therefore separates established functions from claims that remain conditional on plant-specific evidence.</w:t>
      </w:r>
    </w:p>
    <w:p w14:paraId="53720F9D" w14:textId="77777777" w:rsidR="00532AA9" w:rsidRDefault="00000000" w:rsidP="00001303">
      <w:pPr>
        <w:keepNext/>
        <w:spacing w:before="140" w:after="100"/>
      </w:pPr>
      <w:r>
        <w:rPr>
          <w:b/>
          <w:color w:val="1F4E79"/>
          <w:sz w:val="19"/>
        </w:rPr>
        <w:t>Table 1. Forms of precision and the complementary roles of CRISPR and artificial intelligence in crop improvement</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465F8148" w14:textId="77777777">
        <w:trPr>
          <w:cantSplit/>
          <w:tblHeader/>
          <w:jc w:val="center"/>
        </w:trPr>
        <w:tc>
          <w:tcPr>
            <w:tcW w:w="1440" w:type="dxa"/>
            <w:shd w:val="clear" w:color="auto" w:fill="D9EAF7"/>
            <w:tcMar>
              <w:top w:w="90" w:type="dxa"/>
              <w:left w:w="90" w:type="dxa"/>
              <w:bottom w:w="90" w:type="dxa"/>
              <w:right w:w="90" w:type="dxa"/>
            </w:tcMar>
            <w:vAlign w:val="center"/>
          </w:tcPr>
          <w:p w14:paraId="59CDD18D" w14:textId="77777777" w:rsidR="00532AA9" w:rsidRDefault="00000000" w:rsidP="00001303">
            <w:pPr>
              <w:spacing w:after="0" w:line="240" w:lineRule="auto"/>
            </w:pPr>
            <w:r>
              <w:rPr>
                <w:b/>
                <w:color w:val="1F4E79"/>
                <w:sz w:val="16"/>
              </w:rPr>
              <w:t>Precision domain</w:t>
            </w:r>
          </w:p>
        </w:tc>
        <w:tc>
          <w:tcPr>
            <w:tcW w:w="1756" w:type="dxa"/>
            <w:shd w:val="clear" w:color="auto" w:fill="D9EAF7"/>
            <w:tcMar>
              <w:top w:w="90" w:type="dxa"/>
              <w:left w:w="90" w:type="dxa"/>
              <w:bottom w:w="90" w:type="dxa"/>
              <w:right w:w="90" w:type="dxa"/>
            </w:tcMar>
            <w:vAlign w:val="center"/>
          </w:tcPr>
          <w:p w14:paraId="47ECEE0E" w14:textId="77777777" w:rsidR="00532AA9" w:rsidRDefault="00000000" w:rsidP="00001303">
            <w:pPr>
              <w:spacing w:after="0" w:line="240" w:lineRule="auto"/>
            </w:pPr>
            <w:r>
              <w:rPr>
                <w:b/>
                <w:color w:val="1F4E79"/>
                <w:sz w:val="16"/>
              </w:rPr>
              <w:t>Primary question</w:t>
            </w:r>
          </w:p>
        </w:tc>
        <w:tc>
          <w:tcPr>
            <w:tcW w:w="1987" w:type="dxa"/>
            <w:shd w:val="clear" w:color="auto" w:fill="D9EAF7"/>
            <w:tcMar>
              <w:top w:w="90" w:type="dxa"/>
              <w:left w:w="90" w:type="dxa"/>
              <w:bottom w:w="90" w:type="dxa"/>
              <w:right w:w="90" w:type="dxa"/>
            </w:tcMar>
            <w:vAlign w:val="center"/>
          </w:tcPr>
          <w:p w14:paraId="67757523" w14:textId="77777777" w:rsidR="00532AA9" w:rsidRDefault="00000000" w:rsidP="00001303">
            <w:pPr>
              <w:spacing w:after="0" w:line="240" w:lineRule="auto"/>
            </w:pPr>
            <w:r>
              <w:rPr>
                <w:b/>
                <w:color w:val="1F4E79"/>
                <w:sz w:val="16"/>
              </w:rPr>
              <w:t>CRISPR contribution</w:t>
            </w:r>
          </w:p>
        </w:tc>
        <w:tc>
          <w:tcPr>
            <w:tcW w:w="2232" w:type="dxa"/>
            <w:shd w:val="clear" w:color="auto" w:fill="D9EAF7"/>
            <w:tcMar>
              <w:top w:w="90" w:type="dxa"/>
              <w:left w:w="90" w:type="dxa"/>
              <w:bottom w:w="90" w:type="dxa"/>
              <w:right w:w="90" w:type="dxa"/>
            </w:tcMar>
            <w:vAlign w:val="center"/>
          </w:tcPr>
          <w:p w14:paraId="201BA8B1" w14:textId="77777777" w:rsidR="00532AA9" w:rsidRDefault="00000000" w:rsidP="00001303">
            <w:pPr>
              <w:spacing w:after="0" w:line="240" w:lineRule="auto"/>
            </w:pPr>
            <w:r>
              <w:rPr>
                <w:b/>
                <w:color w:val="1F4E79"/>
                <w:sz w:val="16"/>
              </w:rPr>
              <w:t>AI contribution and principal limitation</w:t>
            </w:r>
          </w:p>
        </w:tc>
        <w:tc>
          <w:tcPr>
            <w:tcW w:w="1944" w:type="dxa"/>
            <w:shd w:val="clear" w:color="auto" w:fill="D9EAF7"/>
            <w:tcMar>
              <w:top w:w="90" w:type="dxa"/>
              <w:left w:w="90" w:type="dxa"/>
              <w:bottom w:w="90" w:type="dxa"/>
              <w:right w:w="90" w:type="dxa"/>
            </w:tcMar>
            <w:vAlign w:val="center"/>
          </w:tcPr>
          <w:p w14:paraId="60235422" w14:textId="77777777" w:rsidR="00532AA9" w:rsidRDefault="00000000" w:rsidP="00001303">
            <w:pPr>
              <w:spacing w:after="0" w:line="240" w:lineRule="auto"/>
            </w:pPr>
            <w:r>
              <w:rPr>
                <w:b/>
                <w:color w:val="1F4E79"/>
                <w:sz w:val="16"/>
              </w:rPr>
              <w:t>Supporting references</w:t>
            </w:r>
          </w:p>
        </w:tc>
      </w:tr>
      <w:tr w:rsidR="00532AA9" w14:paraId="36A179E4" w14:textId="77777777">
        <w:trPr>
          <w:cantSplit/>
          <w:jc w:val="center"/>
        </w:trPr>
        <w:tc>
          <w:tcPr>
            <w:tcW w:w="1440" w:type="dxa"/>
            <w:tcMar>
              <w:top w:w="85" w:type="dxa"/>
              <w:left w:w="85" w:type="dxa"/>
              <w:bottom w:w="85" w:type="dxa"/>
              <w:right w:w="85" w:type="dxa"/>
            </w:tcMar>
            <w:vAlign w:val="center"/>
          </w:tcPr>
          <w:p w14:paraId="58EF7455" w14:textId="77777777" w:rsidR="00532AA9" w:rsidRDefault="00000000" w:rsidP="00001303">
            <w:pPr>
              <w:spacing w:after="0" w:line="240" w:lineRule="auto"/>
            </w:pPr>
            <w:r>
              <w:rPr>
                <w:sz w:val="16"/>
              </w:rPr>
              <w:t>Sequence precision</w:t>
            </w:r>
          </w:p>
        </w:tc>
        <w:tc>
          <w:tcPr>
            <w:tcW w:w="1756" w:type="dxa"/>
            <w:tcMar>
              <w:top w:w="85" w:type="dxa"/>
              <w:left w:w="85" w:type="dxa"/>
              <w:bottom w:w="85" w:type="dxa"/>
              <w:right w:w="85" w:type="dxa"/>
            </w:tcMar>
            <w:vAlign w:val="center"/>
          </w:tcPr>
          <w:p w14:paraId="754EBE29" w14:textId="77777777" w:rsidR="00532AA9" w:rsidRDefault="00000000" w:rsidP="00001303">
            <w:pPr>
              <w:spacing w:after="0" w:line="240" w:lineRule="auto"/>
            </w:pPr>
            <w:r>
              <w:rPr>
                <w:sz w:val="16"/>
              </w:rPr>
              <w:t>Was the intended locus altered?</w:t>
            </w:r>
          </w:p>
        </w:tc>
        <w:tc>
          <w:tcPr>
            <w:tcW w:w="1987" w:type="dxa"/>
            <w:tcMar>
              <w:top w:w="85" w:type="dxa"/>
              <w:left w:w="85" w:type="dxa"/>
              <w:bottom w:w="85" w:type="dxa"/>
              <w:right w:w="85" w:type="dxa"/>
            </w:tcMar>
            <w:vAlign w:val="center"/>
          </w:tcPr>
          <w:p w14:paraId="68E23090" w14:textId="77777777" w:rsidR="00532AA9" w:rsidRDefault="00000000" w:rsidP="00001303">
            <w:pPr>
              <w:spacing w:after="0" w:line="240" w:lineRule="auto"/>
            </w:pPr>
            <w:r>
              <w:rPr>
                <w:sz w:val="16"/>
              </w:rPr>
              <w:t>Programmable nuclease, base or prime editing at a selected site.</w:t>
            </w:r>
          </w:p>
        </w:tc>
        <w:tc>
          <w:tcPr>
            <w:tcW w:w="2232" w:type="dxa"/>
            <w:tcMar>
              <w:top w:w="85" w:type="dxa"/>
              <w:left w:w="85" w:type="dxa"/>
              <w:bottom w:w="85" w:type="dxa"/>
              <w:right w:w="85" w:type="dxa"/>
            </w:tcMar>
            <w:vAlign w:val="center"/>
          </w:tcPr>
          <w:p w14:paraId="486E0650" w14:textId="77777777" w:rsidR="00532AA9" w:rsidRDefault="00000000" w:rsidP="00001303">
            <w:pPr>
              <w:spacing w:after="0" w:line="240" w:lineRule="auto"/>
            </w:pPr>
            <w:r>
              <w:rPr>
                <w:sz w:val="16"/>
              </w:rPr>
              <w:t>Guide ranking and off-target prediction; portability is limited by species, chromatin and assay differences.</w:t>
            </w:r>
          </w:p>
        </w:tc>
        <w:tc>
          <w:tcPr>
            <w:tcW w:w="1944" w:type="dxa"/>
            <w:tcMar>
              <w:top w:w="85" w:type="dxa"/>
              <w:left w:w="85" w:type="dxa"/>
              <w:bottom w:w="85" w:type="dxa"/>
              <w:right w:w="85" w:type="dxa"/>
            </w:tcMar>
            <w:vAlign w:val="center"/>
          </w:tcPr>
          <w:p w14:paraId="3FF50A85" w14:textId="77777777" w:rsidR="00532AA9" w:rsidRDefault="00000000" w:rsidP="00001303">
            <w:pPr>
              <w:spacing w:after="0" w:line="240" w:lineRule="auto"/>
            </w:pPr>
            <w:r>
              <w:rPr>
                <w:sz w:val="16"/>
              </w:rPr>
              <w:t>Doench et al. (2016); Haeussler et al. (2016); Molla et al. (2021)</w:t>
            </w:r>
          </w:p>
        </w:tc>
      </w:tr>
      <w:tr w:rsidR="00532AA9" w14:paraId="28F0D6CB" w14:textId="77777777">
        <w:trPr>
          <w:cantSplit/>
          <w:jc w:val="center"/>
        </w:trPr>
        <w:tc>
          <w:tcPr>
            <w:tcW w:w="1440" w:type="dxa"/>
            <w:tcMar>
              <w:top w:w="85" w:type="dxa"/>
              <w:left w:w="85" w:type="dxa"/>
              <w:bottom w:w="85" w:type="dxa"/>
              <w:right w:w="85" w:type="dxa"/>
            </w:tcMar>
            <w:vAlign w:val="center"/>
          </w:tcPr>
          <w:p w14:paraId="6BCDF70B" w14:textId="77777777" w:rsidR="00532AA9" w:rsidRDefault="00000000" w:rsidP="00001303">
            <w:pPr>
              <w:spacing w:after="0" w:line="240" w:lineRule="auto"/>
            </w:pPr>
            <w:r>
              <w:rPr>
                <w:sz w:val="16"/>
              </w:rPr>
              <w:t>Allelic precision</w:t>
            </w:r>
          </w:p>
        </w:tc>
        <w:tc>
          <w:tcPr>
            <w:tcW w:w="1756" w:type="dxa"/>
            <w:tcMar>
              <w:top w:w="85" w:type="dxa"/>
              <w:left w:w="85" w:type="dxa"/>
              <w:bottom w:w="85" w:type="dxa"/>
              <w:right w:w="85" w:type="dxa"/>
            </w:tcMar>
            <w:vAlign w:val="center"/>
          </w:tcPr>
          <w:p w14:paraId="578B4B51" w14:textId="77777777" w:rsidR="00532AA9" w:rsidRDefault="00000000" w:rsidP="00001303">
            <w:pPr>
              <w:spacing w:after="0" w:line="240" w:lineRule="auto"/>
            </w:pPr>
            <w:r>
              <w:rPr>
                <w:sz w:val="16"/>
              </w:rPr>
              <w:t>Was the desired functional allele created?</w:t>
            </w:r>
          </w:p>
        </w:tc>
        <w:tc>
          <w:tcPr>
            <w:tcW w:w="1987" w:type="dxa"/>
            <w:tcMar>
              <w:top w:w="85" w:type="dxa"/>
              <w:left w:w="85" w:type="dxa"/>
              <w:bottom w:w="85" w:type="dxa"/>
              <w:right w:w="85" w:type="dxa"/>
            </w:tcMar>
            <w:vAlign w:val="center"/>
          </w:tcPr>
          <w:p w14:paraId="15D5590A" w14:textId="77777777" w:rsidR="00532AA9" w:rsidRDefault="00000000" w:rsidP="00001303">
            <w:pPr>
              <w:spacing w:after="0" w:line="240" w:lineRule="auto"/>
            </w:pPr>
            <w:r>
              <w:rPr>
                <w:sz w:val="16"/>
              </w:rPr>
              <w:t>Defined substitutions, promoter variants and multiplex edits.</w:t>
            </w:r>
          </w:p>
        </w:tc>
        <w:tc>
          <w:tcPr>
            <w:tcW w:w="2232" w:type="dxa"/>
            <w:tcMar>
              <w:top w:w="85" w:type="dxa"/>
              <w:left w:w="85" w:type="dxa"/>
              <w:bottom w:w="85" w:type="dxa"/>
              <w:right w:w="85" w:type="dxa"/>
            </w:tcMar>
            <w:vAlign w:val="center"/>
          </w:tcPr>
          <w:p w14:paraId="34C59CB7" w14:textId="77777777" w:rsidR="00532AA9" w:rsidRDefault="00000000" w:rsidP="00001303">
            <w:pPr>
              <w:spacing w:after="0" w:line="240" w:lineRule="auto"/>
            </w:pPr>
            <w:r>
              <w:rPr>
                <w:sz w:val="16"/>
              </w:rPr>
              <w:t>Outcome prediction and editor selection; repair distributions remain context dependent.</w:t>
            </w:r>
          </w:p>
        </w:tc>
        <w:tc>
          <w:tcPr>
            <w:tcW w:w="1944" w:type="dxa"/>
            <w:tcMar>
              <w:top w:w="85" w:type="dxa"/>
              <w:left w:w="85" w:type="dxa"/>
              <w:bottom w:w="85" w:type="dxa"/>
              <w:right w:w="85" w:type="dxa"/>
            </w:tcMar>
            <w:vAlign w:val="center"/>
          </w:tcPr>
          <w:p w14:paraId="1C19E848" w14:textId="77777777" w:rsidR="00532AA9" w:rsidRDefault="00000000" w:rsidP="00001303">
            <w:pPr>
              <w:spacing w:after="0" w:line="240" w:lineRule="auto"/>
            </w:pPr>
            <w:r>
              <w:rPr>
                <w:sz w:val="16"/>
              </w:rPr>
              <w:t>Hua et al. (2022); J. Li et al. (2024); Rodríguez-Leal et al. (2017)</w:t>
            </w:r>
          </w:p>
        </w:tc>
      </w:tr>
      <w:tr w:rsidR="00532AA9" w14:paraId="18EA4254" w14:textId="77777777">
        <w:trPr>
          <w:cantSplit/>
          <w:jc w:val="center"/>
        </w:trPr>
        <w:tc>
          <w:tcPr>
            <w:tcW w:w="1440" w:type="dxa"/>
            <w:tcMar>
              <w:top w:w="85" w:type="dxa"/>
              <w:left w:w="85" w:type="dxa"/>
              <w:bottom w:w="85" w:type="dxa"/>
              <w:right w:w="85" w:type="dxa"/>
            </w:tcMar>
            <w:vAlign w:val="center"/>
          </w:tcPr>
          <w:p w14:paraId="3A6CEBE9" w14:textId="77777777" w:rsidR="00532AA9" w:rsidRDefault="00000000" w:rsidP="00001303">
            <w:pPr>
              <w:spacing w:after="0" w:line="240" w:lineRule="auto"/>
            </w:pPr>
            <w:r>
              <w:rPr>
                <w:sz w:val="16"/>
              </w:rPr>
              <w:lastRenderedPageBreak/>
              <w:t>Biological precision</w:t>
            </w:r>
          </w:p>
        </w:tc>
        <w:tc>
          <w:tcPr>
            <w:tcW w:w="1756" w:type="dxa"/>
            <w:tcMar>
              <w:top w:w="85" w:type="dxa"/>
              <w:left w:w="85" w:type="dxa"/>
              <w:bottom w:w="85" w:type="dxa"/>
              <w:right w:w="85" w:type="dxa"/>
            </w:tcMar>
            <w:vAlign w:val="center"/>
          </w:tcPr>
          <w:p w14:paraId="7FA30C07" w14:textId="77777777" w:rsidR="00532AA9" w:rsidRDefault="00000000" w:rsidP="00001303">
            <w:pPr>
              <w:spacing w:after="0" w:line="240" w:lineRule="auto"/>
            </w:pPr>
            <w:r>
              <w:rPr>
                <w:sz w:val="16"/>
              </w:rPr>
              <w:t>Is the target causally related to the trait?</w:t>
            </w:r>
          </w:p>
        </w:tc>
        <w:tc>
          <w:tcPr>
            <w:tcW w:w="1987" w:type="dxa"/>
            <w:tcMar>
              <w:top w:w="85" w:type="dxa"/>
              <w:left w:w="85" w:type="dxa"/>
              <w:bottom w:w="85" w:type="dxa"/>
              <w:right w:w="85" w:type="dxa"/>
            </w:tcMar>
            <w:vAlign w:val="center"/>
          </w:tcPr>
          <w:p w14:paraId="2D116633" w14:textId="77777777" w:rsidR="00532AA9" w:rsidRDefault="00000000" w:rsidP="00001303">
            <w:pPr>
              <w:spacing w:after="0" w:line="240" w:lineRule="auto"/>
            </w:pPr>
            <w:r>
              <w:rPr>
                <w:sz w:val="16"/>
              </w:rPr>
              <w:t>Controlled perturbation of candidate genes or regulatory elements.</w:t>
            </w:r>
          </w:p>
        </w:tc>
        <w:tc>
          <w:tcPr>
            <w:tcW w:w="2232" w:type="dxa"/>
            <w:tcMar>
              <w:top w:w="85" w:type="dxa"/>
              <w:left w:w="85" w:type="dxa"/>
              <w:bottom w:w="85" w:type="dxa"/>
              <w:right w:w="85" w:type="dxa"/>
            </w:tcMar>
            <w:vAlign w:val="center"/>
          </w:tcPr>
          <w:p w14:paraId="0F8A7D89" w14:textId="77777777" w:rsidR="00532AA9" w:rsidRDefault="00000000" w:rsidP="00001303">
            <w:pPr>
              <w:spacing w:after="0" w:line="240" w:lineRule="auto"/>
            </w:pPr>
            <w:r>
              <w:rPr>
                <w:sz w:val="16"/>
              </w:rPr>
              <w:t xml:space="preserve">Candidate </w:t>
            </w:r>
            <w:proofErr w:type="spellStart"/>
            <w:r>
              <w:rPr>
                <w:sz w:val="16"/>
              </w:rPr>
              <w:t>prioritisation</w:t>
            </w:r>
            <w:proofErr w:type="spellEnd"/>
            <w:r>
              <w:rPr>
                <w:sz w:val="16"/>
              </w:rPr>
              <w:t xml:space="preserve"> from genomics and multi-omics; association can be mistaken for causation.</w:t>
            </w:r>
          </w:p>
        </w:tc>
        <w:tc>
          <w:tcPr>
            <w:tcW w:w="1944" w:type="dxa"/>
            <w:tcMar>
              <w:top w:w="85" w:type="dxa"/>
              <w:left w:w="85" w:type="dxa"/>
              <w:bottom w:w="85" w:type="dxa"/>
              <w:right w:w="85" w:type="dxa"/>
            </w:tcMar>
            <w:vAlign w:val="center"/>
          </w:tcPr>
          <w:p w14:paraId="4EFE9D6D" w14:textId="77777777" w:rsidR="00532AA9" w:rsidRDefault="00000000" w:rsidP="00001303">
            <w:pPr>
              <w:spacing w:after="0" w:line="240" w:lineRule="auto"/>
            </w:pPr>
            <w:proofErr w:type="spellStart"/>
            <w:r>
              <w:rPr>
                <w:sz w:val="16"/>
              </w:rPr>
              <w:t>Danilevicz</w:t>
            </w:r>
            <w:proofErr w:type="spellEnd"/>
            <w:r>
              <w:rPr>
                <w:sz w:val="16"/>
              </w:rPr>
              <w:t xml:space="preserve"> et al. (2022); Gao et al. (2026); Tong and </w:t>
            </w:r>
            <w:proofErr w:type="spellStart"/>
            <w:r>
              <w:rPr>
                <w:sz w:val="16"/>
              </w:rPr>
              <w:t>Nikoloski</w:t>
            </w:r>
            <w:proofErr w:type="spellEnd"/>
            <w:r>
              <w:rPr>
                <w:sz w:val="16"/>
              </w:rPr>
              <w:t xml:space="preserve"> (2021)</w:t>
            </w:r>
          </w:p>
        </w:tc>
      </w:tr>
      <w:tr w:rsidR="00532AA9" w14:paraId="630359AA" w14:textId="77777777">
        <w:trPr>
          <w:cantSplit/>
          <w:jc w:val="center"/>
        </w:trPr>
        <w:tc>
          <w:tcPr>
            <w:tcW w:w="1440" w:type="dxa"/>
            <w:tcMar>
              <w:top w:w="85" w:type="dxa"/>
              <w:left w:w="85" w:type="dxa"/>
              <w:bottom w:w="85" w:type="dxa"/>
              <w:right w:w="85" w:type="dxa"/>
            </w:tcMar>
            <w:vAlign w:val="center"/>
          </w:tcPr>
          <w:p w14:paraId="6DFF6149" w14:textId="77777777" w:rsidR="00532AA9" w:rsidRDefault="00000000" w:rsidP="00001303">
            <w:pPr>
              <w:spacing w:after="0" w:line="240" w:lineRule="auto"/>
            </w:pPr>
            <w:r>
              <w:rPr>
                <w:sz w:val="16"/>
              </w:rPr>
              <w:t>Breeding precision</w:t>
            </w:r>
          </w:p>
        </w:tc>
        <w:tc>
          <w:tcPr>
            <w:tcW w:w="1756" w:type="dxa"/>
            <w:tcMar>
              <w:top w:w="85" w:type="dxa"/>
              <w:left w:w="85" w:type="dxa"/>
              <w:bottom w:w="85" w:type="dxa"/>
              <w:right w:w="85" w:type="dxa"/>
            </w:tcMar>
            <w:vAlign w:val="center"/>
          </w:tcPr>
          <w:p w14:paraId="79442660" w14:textId="77777777" w:rsidR="00532AA9" w:rsidRDefault="00000000" w:rsidP="00001303">
            <w:pPr>
              <w:spacing w:after="0" w:line="240" w:lineRule="auto"/>
            </w:pPr>
            <w:r>
              <w:rPr>
                <w:sz w:val="16"/>
              </w:rPr>
              <w:t>Is the effect stable across backgrounds and environments?</w:t>
            </w:r>
          </w:p>
        </w:tc>
        <w:tc>
          <w:tcPr>
            <w:tcW w:w="1987" w:type="dxa"/>
            <w:tcMar>
              <w:top w:w="85" w:type="dxa"/>
              <w:left w:w="85" w:type="dxa"/>
              <w:bottom w:w="85" w:type="dxa"/>
              <w:right w:w="85" w:type="dxa"/>
            </w:tcMar>
            <w:vAlign w:val="center"/>
          </w:tcPr>
          <w:p w14:paraId="468130A1" w14:textId="77777777" w:rsidR="00532AA9" w:rsidRDefault="00000000" w:rsidP="00001303">
            <w:pPr>
              <w:spacing w:after="0" w:line="240" w:lineRule="auto"/>
            </w:pPr>
            <w:r>
              <w:rPr>
                <w:sz w:val="16"/>
              </w:rPr>
              <w:t xml:space="preserve">Introgression-free recreation of </w:t>
            </w:r>
            <w:proofErr w:type="spellStart"/>
            <w:r>
              <w:rPr>
                <w:sz w:val="16"/>
              </w:rPr>
              <w:t>favourable</w:t>
            </w:r>
            <w:proofErr w:type="spellEnd"/>
            <w:r>
              <w:rPr>
                <w:sz w:val="16"/>
              </w:rPr>
              <w:t xml:space="preserve"> alleles in elite germplasm.</w:t>
            </w:r>
          </w:p>
        </w:tc>
        <w:tc>
          <w:tcPr>
            <w:tcW w:w="2232" w:type="dxa"/>
            <w:tcMar>
              <w:top w:w="85" w:type="dxa"/>
              <w:left w:w="85" w:type="dxa"/>
              <w:bottom w:w="85" w:type="dxa"/>
              <w:right w:w="85" w:type="dxa"/>
            </w:tcMar>
            <w:vAlign w:val="center"/>
          </w:tcPr>
          <w:p w14:paraId="65335EC9" w14:textId="77777777" w:rsidR="00532AA9" w:rsidRDefault="00000000" w:rsidP="00001303">
            <w:pPr>
              <w:spacing w:after="0" w:line="240" w:lineRule="auto"/>
            </w:pPr>
            <w:r>
              <w:rPr>
                <w:sz w:val="16"/>
              </w:rPr>
              <w:t>Genomic and environmental prediction; performance is sensitive to population structure and distribution shift.</w:t>
            </w:r>
          </w:p>
        </w:tc>
        <w:tc>
          <w:tcPr>
            <w:tcW w:w="1944" w:type="dxa"/>
            <w:tcMar>
              <w:top w:w="85" w:type="dxa"/>
              <w:left w:w="85" w:type="dxa"/>
              <w:bottom w:w="85" w:type="dxa"/>
              <w:right w:w="85" w:type="dxa"/>
            </w:tcMar>
            <w:vAlign w:val="center"/>
          </w:tcPr>
          <w:p w14:paraId="7EC83E1A" w14:textId="77777777" w:rsidR="00532AA9" w:rsidRDefault="00000000" w:rsidP="00001303">
            <w:pPr>
              <w:spacing w:after="0" w:line="240" w:lineRule="auto"/>
            </w:pPr>
            <w:proofErr w:type="spellStart"/>
            <w:r>
              <w:rPr>
                <w:sz w:val="16"/>
              </w:rPr>
              <w:t>Azodi</w:t>
            </w:r>
            <w:proofErr w:type="spellEnd"/>
            <w:r>
              <w:rPr>
                <w:sz w:val="16"/>
              </w:rPr>
              <w:t xml:space="preserve"> et al. (2019); </w:t>
            </w:r>
            <w:proofErr w:type="spellStart"/>
            <w:r>
              <w:rPr>
                <w:sz w:val="16"/>
              </w:rPr>
              <w:t>Harfouche</w:t>
            </w:r>
            <w:proofErr w:type="spellEnd"/>
            <w:r>
              <w:rPr>
                <w:sz w:val="16"/>
              </w:rPr>
              <w:t xml:space="preserve"> et al. (2019); Shi et al. (2017)</w:t>
            </w:r>
          </w:p>
        </w:tc>
      </w:tr>
      <w:tr w:rsidR="00532AA9" w14:paraId="38CF895E" w14:textId="77777777">
        <w:trPr>
          <w:cantSplit/>
          <w:jc w:val="center"/>
        </w:trPr>
        <w:tc>
          <w:tcPr>
            <w:tcW w:w="1440" w:type="dxa"/>
            <w:tcMar>
              <w:top w:w="85" w:type="dxa"/>
              <w:left w:w="85" w:type="dxa"/>
              <w:bottom w:w="85" w:type="dxa"/>
              <w:right w:w="85" w:type="dxa"/>
            </w:tcMar>
            <w:vAlign w:val="center"/>
          </w:tcPr>
          <w:p w14:paraId="1293B018" w14:textId="77777777" w:rsidR="00532AA9" w:rsidRDefault="00000000" w:rsidP="00001303">
            <w:pPr>
              <w:spacing w:after="0" w:line="240" w:lineRule="auto"/>
            </w:pPr>
            <w:r>
              <w:rPr>
                <w:sz w:val="16"/>
              </w:rPr>
              <w:t>Operational precision</w:t>
            </w:r>
          </w:p>
        </w:tc>
        <w:tc>
          <w:tcPr>
            <w:tcW w:w="1756" w:type="dxa"/>
            <w:tcMar>
              <w:top w:w="85" w:type="dxa"/>
              <w:left w:w="85" w:type="dxa"/>
              <w:bottom w:w="85" w:type="dxa"/>
              <w:right w:w="85" w:type="dxa"/>
            </w:tcMar>
            <w:vAlign w:val="center"/>
          </w:tcPr>
          <w:p w14:paraId="46D73A52" w14:textId="77777777" w:rsidR="00532AA9" w:rsidRDefault="00000000" w:rsidP="00001303">
            <w:pPr>
              <w:spacing w:after="0" w:line="240" w:lineRule="auto"/>
            </w:pPr>
            <w:r>
              <w:rPr>
                <w:sz w:val="16"/>
              </w:rPr>
              <w:t>Can edited plants be produced and advanced efficiently?</w:t>
            </w:r>
          </w:p>
        </w:tc>
        <w:tc>
          <w:tcPr>
            <w:tcW w:w="1987" w:type="dxa"/>
            <w:tcMar>
              <w:top w:w="85" w:type="dxa"/>
              <w:left w:w="85" w:type="dxa"/>
              <w:bottom w:w="85" w:type="dxa"/>
              <w:right w:w="85" w:type="dxa"/>
            </w:tcMar>
            <w:vAlign w:val="center"/>
          </w:tcPr>
          <w:p w14:paraId="49E53F12" w14:textId="77777777" w:rsidR="00532AA9" w:rsidRDefault="00000000" w:rsidP="00001303">
            <w:pPr>
              <w:spacing w:after="0" w:line="240" w:lineRule="auto"/>
            </w:pPr>
            <w:r>
              <w:rPr>
                <w:sz w:val="16"/>
              </w:rPr>
              <w:t>Transgene-free reagents, multiplexing and direct editing approaches.</w:t>
            </w:r>
          </w:p>
        </w:tc>
        <w:tc>
          <w:tcPr>
            <w:tcW w:w="2232" w:type="dxa"/>
            <w:tcMar>
              <w:top w:w="85" w:type="dxa"/>
              <w:left w:w="85" w:type="dxa"/>
              <w:bottom w:w="85" w:type="dxa"/>
              <w:right w:w="85" w:type="dxa"/>
            </w:tcMar>
            <w:vAlign w:val="center"/>
          </w:tcPr>
          <w:p w14:paraId="7AB162DD" w14:textId="77777777" w:rsidR="00532AA9" w:rsidRDefault="00000000" w:rsidP="00001303">
            <w:pPr>
              <w:spacing w:after="0" w:line="240" w:lineRule="auto"/>
            </w:pPr>
            <w:r>
              <w:rPr>
                <w:sz w:val="16"/>
              </w:rPr>
              <w:t xml:space="preserve">Experimental design, image-based screening and workflow </w:t>
            </w:r>
            <w:proofErr w:type="spellStart"/>
            <w:r>
              <w:rPr>
                <w:sz w:val="16"/>
              </w:rPr>
              <w:t>optimisation</w:t>
            </w:r>
            <w:proofErr w:type="spellEnd"/>
            <w:r>
              <w:rPr>
                <w:sz w:val="16"/>
              </w:rPr>
              <w:t>; physical delivery and regeneration remain biological constraints.</w:t>
            </w:r>
          </w:p>
        </w:tc>
        <w:tc>
          <w:tcPr>
            <w:tcW w:w="1944" w:type="dxa"/>
            <w:tcMar>
              <w:top w:w="85" w:type="dxa"/>
              <w:left w:w="85" w:type="dxa"/>
              <w:bottom w:w="85" w:type="dxa"/>
              <w:right w:w="85" w:type="dxa"/>
            </w:tcMar>
            <w:vAlign w:val="center"/>
          </w:tcPr>
          <w:p w14:paraId="022AA383" w14:textId="77777777" w:rsidR="00532AA9" w:rsidRDefault="00000000" w:rsidP="00001303">
            <w:pPr>
              <w:spacing w:after="0" w:line="240" w:lineRule="auto"/>
            </w:pPr>
            <w:r>
              <w:rPr>
                <w:sz w:val="16"/>
              </w:rPr>
              <w:t>Altpeter et al. (2016); Debernardi et al. (2020); Woo et al. (2015)</w:t>
            </w:r>
          </w:p>
        </w:tc>
      </w:tr>
      <w:tr w:rsidR="00532AA9" w14:paraId="3CF830AB" w14:textId="77777777">
        <w:trPr>
          <w:cantSplit/>
          <w:jc w:val="center"/>
        </w:trPr>
        <w:tc>
          <w:tcPr>
            <w:tcW w:w="1440" w:type="dxa"/>
            <w:tcMar>
              <w:top w:w="85" w:type="dxa"/>
              <w:left w:w="85" w:type="dxa"/>
              <w:bottom w:w="85" w:type="dxa"/>
              <w:right w:w="85" w:type="dxa"/>
            </w:tcMar>
            <w:vAlign w:val="center"/>
          </w:tcPr>
          <w:p w14:paraId="0CD5BE82" w14:textId="77777777" w:rsidR="00532AA9" w:rsidRDefault="00000000" w:rsidP="00001303">
            <w:pPr>
              <w:spacing w:after="0" w:line="240" w:lineRule="auto"/>
            </w:pPr>
            <w:r>
              <w:rPr>
                <w:sz w:val="16"/>
              </w:rPr>
              <w:t>Governance precision</w:t>
            </w:r>
          </w:p>
        </w:tc>
        <w:tc>
          <w:tcPr>
            <w:tcW w:w="1756" w:type="dxa"/>
            <w:tcMar>
              <w:top w:w="85" w:type="dxa"/>
              <w:left w:w="85" w:type="dxa"/>
              <w:bottom w:w="85" w:type="dxa"/>
              <w:right w:w="85" w:type="dxa"/>
            </w:tcMar>
            <w:vAlign w:val="center"/>
          </w:tcPr>
          <w:p w14:paraId="7EFA4628" w14:textId="77777777" w:rsidR="00532AA9" w:rsidRDefault="00000000" w:rsidP="00001303">
            <w:pPr>
              <w:spacing w:after="0" w:line="240" w:lineRule="auto"/>
            </w:pPr>
            <w:r>
              <w:rPr>
                <w:sz w:val="16"/>
              </w:rPr>
              <w:t>Does oversight match product properties and evidence?</w:t>
            </w:r>
          </w:p>
        </w:tc>
        <w:tc>
          <w:tcPr>
            <w:tcW w:w="1987" w:type="dxa"/>
            <w:tcMar>
              <w:top w:w="85" w:type="dxa"/>
              <w:left w:w="85" w:type="dxa"/>
              <w:bottom w:w="85" w:type="dxa"/>
              <w:right w:w="85" w:type="dxa"/>
            </w:tcMar>
            <w:vAlign w:val="center"/>
          </w:tcPr>
          <w:p w14:paraId="626270EE" w14:textId="77777777" w:rsidR="00532AA9" w:rsidRDefault="00000000" w:rsidP="00001303">
            <w:pPr>
              <w:spacing w:after="0" w:line="240" w:lineRule="auto"/>
            </w:pPr>
            <w:r>
              <w:rPr>
                <w:sz w:val="16"/>
              </w:rPr>
              <w:t>Can generate products ranging from small mutations to complex insertions.</w:t>
            </w:r>
          </w:p>
        </w:tc>
        <w:tc>
          <w:tcPr>
            <w:tcW w:w="2232" w:type="dxa"/>
            <w:tcMar>
              <w:top w:w="85" w:type="dxa"/>
              <w:left w:w="85" w:type="dxa"/>
              <w:bottom w:w="85" w:type="dxa"/>
              <w:right w:w="85" w:type="dxa"/>
            </w:tcMar>
            <w:vAlign w:val="center"/>
          </w:tcPr>
          <w:p w14:paraId="759332CC" w14:textId="77777777" w:rsidR="00532AA9" w:rsidRDefault="00000000" w:rsidP="00001303">
            <w:pPr>
              <w:spacing w:after="0" w:line="240" w:lineRule="auto"/>
            </w:pPr>
            <w:r>
              <w:rPr>
                <w:sz w:val="16"/>
              </w:rPr>
              <w:t>Supports traceability and evidence synthesis but cannot resolve normative choices.</w:t>
            </w:r>
          </w:p>
        </w:tc>
        <w:tc>
          <w:tcPr>
            <w:tcW w:w="1944" w:type="dxa"/>
            <w:tcMar>
              <w:top w:w="85" w:type="dxa"/>
              <w:left w:w="85" w:type="dxa"/>
              <w:bottom w:w="85" w:type="dxa"/>
              <w:right w:w="85" w:type="dxa"/>
            </w:tcMar>
            <w:vAlign w:val="center"/>
          </w:tcPr>
          <w:p w14:paraId="2B10C23C" w14:textId="77777777" w:rsidR="00532AA9" w:rsidRDefault="00000000" w:rsidP="00001303">
            <w:pPr>
              <w:spacing w:after="0" w:line="240" w:lineRule="auto"/>
            </w:pPr>
            <w:proofErr w:type="spellStart"/>
            <w:r>
              <w:rPr>
                <w:sz w:val="16"/>
              </w:rPr>
              <w:t>Sprink</w:t>
            </w:r>
            <w:proofErr w:type="spellEnd"/>
            <w:r>
              <w:rPr>
                <w:sz w:val="16"/>
              </w:rPr>
              <w:t xml:space="preserve"> et al. (2022); Wolt et al. (2016)</w:t>
            </w:r>
          </w:p>
        </w:tc>
      </w:tr>
    </w:tbl>
    <w:p w14:paraId="186FE4CB" w14:textId="77777777" w:rsidR="00532AA9" w:rsidRDefault="00000000" w:rsidP="00001303">
      <w:pPr>
        <w:pStyle w:val="TableNote"/>
      </w:pPr>
      <w:r>
        <w:rPr>
          <w:i w:val="0"/>
        </w:rPr>
        <w:t>Note. AI = artificial intelligence; CRISPR = clustered regularly interspaced short palindromic repeats.</w:t>
      </w:r>
    </w:p>
    <w:p w14:paraId="17A8FCF7" w14:textId="77777777" w:rsidR="00532AA9" w:rsidRDefault="00000000" w:rsidP="00001303">
      <w:pPr>
        <w:pStyle w:val="Heading1"/>
      </w:pPr>
      <w:r>
        <w:t>4. AI-Enabled Target Discovery and Genotype-to-Phenotype Inference</w:t>
      </w:r>
    </w:p>
    <w:p w14:paraId="48FD5291" w14:textId="77777777" w:rsidR="00532AA9" w:rsidRDefault="00000000" w:rsidP="00001303">
      <w:r>
        <w:t>The first and most consequential decision in genome editing is target selection. Efficient editing of the wrong gene is not precision breeding. Candidate targets can arise from quantitative trait locus mapping, genome-wide association studies, comparative genomics, pangenomes, transcriptomics, epigenomics, protein interaction networks and prior biological knowledge. AI can integrate these sources and identify nonlinear patterns that are difficult to specify manually. The appeal is especially strong for complex traits, where many small-effect loci interact with developmental stage and environment. Yet high predictive accuracy does not necessarily identify a manipulable causal node. Models may exploit linkage disequilibrium, population structure or environmental proxies, and the selected feature may fail when moved to a different genetic background.</w:t>
      </w:r>
    </w:p>
    <w:p w14:paraId="39555F6A" w14:textId="77777777" w:rsidR="00532AA9" w:rsidRDefault="00000000" w:rsidP="00001303">
      <w:r>
        <w:t xml:space="preserve">Genomic prediction illustrates both the value and the limits of machine learning. It estimates breeding values using genome-wide markers without requiring each marker to be causal. This is useful for selection, but the features that drive prediction are not automatically suitable CRISPR targets. </w:t>
      </w:r>
      <w:proofErr w:type="spellStart"/>
      <w:r>
        <w:t>Azodi</w:t>
      </w:r>
      <w:proofErr w:type="spellEnd"/>
      <w:r>
        <w:t xml:space="preserve"> et al. (2019), benchmarking linear and nonlinear methods across 18 traits and six plant species, found no universally superior algorithm; artificial neural networks were not best for any trait, whereas ensembles were comparatively robust. This result does not imply that deep learning is ineffective. It indicates that model capacity must match sample size, marker architecture and trait complexity, and that conventional baselines remain essential. Reviews of genotype-to-phenotype modelling similarly </w:t>
      </w:r>
      <w:proofErr w:type="spellStart"/>
      <w:r>
        <w:t>emphasise</w:t>
      </w:r>
      <w:proofErr w:type="spellEnd"/>
      <w:r>
        <w:t xml:space="preserve"> high-quality metadata, independent evaluation and integration of environment rather than algorithmic novelty alone (</w:t>
      </w:r>
      <w:proofErr w:type="spellStart"/>
      <w:r>
        <w:t>Danilevicz</w:t>
      </w:r>
      <w:proofErr w:type="spellEnd"/>
      <w:r>
        <w:t xml:space="preserve"> et al., 2022; Tong &amp; </w:t>
      </w:r>
      <w:proofErr w:type="spellStart"/>
      <w:r>
        <w:t>Nikoloski</w:t>
      </w:r>
      <w:proofErr w:type="spellEnd"/>
      <w:r>
        <w:t>, 2021).</w:t>
      </w:r>
    </w:p>
    <w:p w14:paraId="1B3A3E13" w14:textId="77777777" w:rsidR="00532AA9" w:rsidRDefault="00000000" w:rsidP="00001303">
      <w:r>
        <w:t xml:space="preserve">The distinction between prediction and intervention is central. A genomic model can predict which lines will yield well because it captures thousands of correlated marker effects. Editing one highly weighted marker may have little consequence if the marker is merely linked to causal variation or if its effect depends on epistasis. Causal target </w:t>
      </w:r>
      <w:proofErr w:type="spellStart"/>
      <w:r>
        <w:t>prioritisation</w:t>
      </w:r>
      <w:proofErr w:type="spellEnd"/>
      <w:r>
        <w:t xml:space="preserve"> should therefore combine statistical association with perturbation evidence, gene function, expression context and feasible allelic mechanisms. CRISPR screens can improve this process by converting candidate ranking into controlled </w:t>
      </w:r>
      <w:r>
        <w:lastRenderedPageBreak/>
        <w:t>tests, but high-throughput screens in plants remain constrained by transformation and regeneration. Active-learning strategies, in which a model selects the next most informative edits, are promising because they reduce the number of experiments required; however, crop-scale prospective demonstrations remain scarce (Gao et al., 2026; Jiang et al., 2025).</w:t>
      </w:r>
    </w:p>
    <w:p w14:paraId="246C2D34" w14:textId="77777777" w:rsidR="00532AA9" w:rsidRDefault="00000000" w:rsidP="00001303">
      <w:r>
        <w:t>High-throughput phenotyping can improve both target discovery and validation. Computer vision, hyperspectral sensing and temporal imaging can reveal traits that manual measurements miss, including growth dynamics, canopy temperature, disease progression and architecture. Machine learning for stress phenotyping and crop phenomics has progressed rapidly, but controlled-environment performance often exceeds field performance because illumination, occlusion, soil background and weather introduce distribution shifts (Singh et al., 2016; Yang et al., 2020). Field phenotyping also faces a scale mismatch: platforms that measure replicated plots may not fit early-generation selection, and image-derived proxies may not correspond to the breeding objective. AI-derived phenotypes should therefore be validated against biological measurements and genetic repeatability, not only image-level metrics.</w:t>
      </w:r>
    </w:p>
    <w:p w14:paraId="650EF69C" w14:textId="77777777" w:rsidR="00532AA9" w:rsidRDefault="00000000" w:rsidP="00001303">
      <w:r>
        <w:t>Multi-omics integration is often proposed as a route from correlation to mechanism. Transcript, chromatin, protein and metabolite measurements can narrow candidate sets and reveal pathway-level consequences. Nevertheless, these layers are temporally and tissue specific, and integration may increase dimensionality faster than sample size. Models can become accurate within a dataset while remaining unstable under genotype or environment shift. Missing values, batch effects and inconsistent ontologies further limit reuse. The most useful AI systems will probably be modular and uncertainty aware: they should indicate whether a prediction is supported by direct perturbation, replicated association, conserved function or only model extrapolation. Such evidence labels are more informative for edit selection than a single opaque score.</w:t>
      </w:r>
    </w:p>
    <w:p w14:paraId="0A17ACE5" w14:textId="77777777" w:rsidR="00532AA9" w:rsidRDefault="00000000" w:rsidP="00001303">
      <w:r>
        <w:t xml:space="preserve">Field phenotyping adds a second layer of selection bias that is often hidden in model development. Sensor platforms preferentially capture traits that are visible, frequent and technically measurable, whereas root function, reproductive resilience and rare stress interactions may remain poorly observed. Plot-level measurements also differ from plant-level images in spatial scale and error structure. Reviews of field phenotyping </w:t>
      </w:r>
      <w:proofErr w:type="spellStart"/>
      <w:r>
        <w:t>emphasise</w:t>
      </w:r>
      <w:proofErr w:type="spellEnd"/>
      <w:r>
        <w:t xml:space="preserve"> calibration, environmental metadata, platform interoperability and the need to translate image features into heritable, decision-relevant traits (Ninomiya, 2022; Yang et al., 2020). For AI-guided editing, this means that phenotype labels must be treated as measurements with uncertainty rather than ground truth. A model trained on a convenient proxy may </w:t>
      </w:r>
      <w:proofErr w:type="spellStart"/>
      <w:r>
        <w:t>prioritise</w:t>
      </w:r>
      <w:proofErr w:type="spellEnd"/>
      <w:r>
        <w:t xml:space="preserve"> an edit that improves the proxy while leaving yield stability unchanged. Repeated measurements, physiological anchoring and genetic correlation with the breeding objective are therefore required before an image-derived trait is used to rank causal targets.</w:t>
      </w:r>
    </w:p>
    <w:p w14:paraId="49508816" w14:textId="77777777" w:rsidR="00532AA9" w:rsidRDefault="00000000" w:rsidP="00001303">
      <w:r>
        <w:t xml:space="preserve">Portability is equally important at the genomic level. A target discovered in one reference genome may be absent, duplicated, structurally rearranged or differently regulated in another accession. This problem is amplified in polyploids, where </w:t>
      </w:r>
      <w:proofErr w:type="spellStart"/>
      <w:r>
        <w:t>homoeologues</w:t>
      </w:r>
      <w:proofErr w:type="spellEnd"/>
      <w:r>
        <w:t xml:space="preserve"> can be redundant, dosage sensitive or unequally expressed. Pangenome and haplotype-aware analyses can reduce reference bias, but only when training data represent the diversity in which edited products will be developed. Models should report uncertainty across haplotypes and identify targets whose effect depends on local linkage or background-specific modifiers. A useful target-ranking system would therefore combine evidence type, allelic diversity, edit feasibility and expected robustness across backgrounds. Such a system is more demanding than gene </w:t>
      </w:r>
      <w:proofErr w:type="spellStart"/>
      <w:r>
        <w:t>prioritisation</w:t>
      </w:r>
      <w:proofErr w:type="spellEnd"/>
      <w:r>
        <w:t xml:space="preserve"> from a single association dataset, but it aligns computational ranking with the actual breeding decision.</w:t>
      </w:r>
    </w:p>
    <w:p w14:paraId="318184FE" w14:textId="77777777" w:rsidR="00532AA9" w:rsidRDefault="00000000" w:rsidP="00001303">
      <w:r>
        <w:lastRenderedPageBreak/>
        <w:t xml:space="preserve">Table 2 </w:t>
      </w:r>
      <w:proofErr w:type="spellStart"/>
      <w:r>
        <w:t>summarises</w:t>
      </w:r>
      <w:proofErr w:type="spellEnd"/>
      <w:r>
        <w:t xml:space="preserve"> the principal AI tasks that precede or accompany crop editing. The comparison shows that the strongest current applications involve measurement and ranking, whereas causal target discovery and cross-environment prediction require more demanding validation. This hierarchy should guide investment: improving data quality, experimental design and benchmark relevance may yield more breeding value than increasing model complexity.</w:t>
      </w:r>
    </w:p>
    <w:p w14:paraId="50D7C54F" w14:textId="77777777" w:rsidR="00532AA9" w:rsidRDefault="00000000" w:rsidP="00001303">
      <w:pPr>
        <w:keepNext/>
        <w:spacing w:before="140" w:after="100"/>
      </w:pPr>
      <w:r>
        <w:rPr>
          <w:b/>
          <w:color w:val="1F4E79"/>
          <w:sz w:val="19"/>
        </w:rPr>
        <w:t>Table 2. Artificial-intelligence tasks relevant to CRISPR-enabled crop breeding and their evidential constraints</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3AB11F39" w14:textId="77777777">
        <w:trPr>
          <w:cantSplit/>
          <w:tblHeader/>
          <w:jc w:val="center"/>
        </w:trPr>
        <w:tc>
          <w:tcPr>
            <w:tcW w:w="1440" w:type="dxa"/>
            <w:shd w:val="clear" w:color="auto" w:fill="D9EAF7"/>
            <w:tcMar>
              <w:top w:w="90" w:type="dxa"/>
              <w:left w:w="90" w:type="dxa"/>
              <w:bottom w:w="90" w:type="dxa"/>
              <w:right w:w="90" w:type="dxa"/>
            </w:tcMar>
            <w:vAlign w:val="center"/>
          </w:tcPr>
          <w:p w14:paraId="00B95B05" w14:textId="77777777" w:rsidR="00532AA9" w:rsidRDefault="00000000" w:rsidP="00001303">
            <w:pPr>
              <w:spacing w:after="0" w:line="240" w:lineRule="auto"/>
            </w:pPr>
            <w:r>
              <w:rPr>
                <w:b/>
                <w:color w:val="1F4E79"/>
                <w:sz w:val="16"/>
              </w:rPr>
              <w:t>AI task</w:t>
            </w:r>
          </w:p>
        </w:tc>
        <w:tc>
          <w:tcPr>
            <w:tcW w:w="1756" w:type="dxa"/>
            <w:shd w:val="clear" w:color="auto" w:fill="D9EAF7"/>
            <w:tcMar>
              <w:top w:w="90" w:type="dxa"/>
              <w:left w:w="90" w:type="dxa"/>
              <w:bottom w:w="90" w:type="dxa"/>
              <w:right w:w="90" w:type="dxa"/>
            </w:tcMar>
            <w:vAlign w:val="center"/>
          </w:tcPr>
          <w:p w14:paraId="61E570D5" w14:textId="77777777" w:rsidR="00532AA9" w:rsidRDefault="00000000" w:rsidP="00001303">
            <w:pPr>
              <w:spacing w:after="0" w:line="240" w:lineRule="auto"/>
            </w:pPr>
            <w:r>
              <w:rPr>
                <w:b/>
                <w:color w:val="1F4E79"/>
                <w:sz w:val="16"/>
              </w:rPr>
              <w:t>Typical inputs</w:t>
            </w:r>
          </w:p>
        </w:tc>
        <w:tc>
          <w:tcPr>
            <w:tcW w:w="1987" w:type="dxa"/>
            <w:shd w:val="clear" w:color="auto" w:fill="D9EAF7"/>
            <w:tcMar>
              <w:top w:w="90" w:type="dxa"/>
              <w:left w:w="90" w:type="dxa"/>
              <w:bottom w:w="90" w:type="dxa"/>
              <w:right w:w="90" w:type="dxa"/>
            </w:tcMar>
            <w:vAlign w:val="center"/>
          </w:tcPr>
          <w:p w14:paraId="3A26870D" w14:textId="77777777" w:rsidR="00532AA9" w:rsidRDefault="00000000" w:rsidP="00001303">
            <w:pPr>
              <w:spacing w:after="0" w:line="240" w:lineRule="auto"/>
            </w:pPr>
            <w:r>
              <w:rPr>
                <w:b/>
                <w:color w:val="1F4E79"/>
                <w:sz w:val="16"/>
              </w:rPr>
              <w:t>Useful output</w:t>
            </w:r>
          </w:p>
        </w:tc>
        <w:tc>
          <w:tcPr>
            <w:tcW w:w="2232" w:type="dxa"/>
            <w:shd w:val="clear" w:color="auto" w:fill="D9EAF7"/>
            <w:tcMar>
              <w:top w:w="90" w:type="dxa"/>
              <w:left w:w="90" w:type="dxa"/>
              <w:bottom w:w="90" w:type="dxa"/>
              <w:right w:w="90" w:type="dxa"/>
            </w:tcMar>
            <w:vAlign w:val="center"/>
          </w:tcPr>
          <w:p w14:paraId="7317E3B3" w14:textId="77777777" w:rsidR="00532AA9" w:rsidRDefault="00000000" w:rsidP="00001303">
            <w:pPr>
              <w:spacing w:after="0" w:line="240" w:lineRule="auto"/>
            </w:pPr>
            <w:r>
              <w:rPr>
                <w:b/>
                <w:color w:val="1F4E79"/>
                <w:sz w:val="16"/>
              </w:rPr>
              <w:t>Critical validation requirement</w:t>
            </w:r>
          </w:p>
        </w:tc>
        <w:tc>
          <w:tcPr>
            <w:tcW w:w="1944" w:type="dxa"/>
            <w:shd w:val="clear" w:color="auto" w:fill="D9EAF7"/>
            <w:tcMar>
              <w:top w:w="90" w:type="dxa"/>
              <w:left w:w="90" w:type="dxa"/>
              <w:bottom w:w="90" w:type="dxa"/>
              <w:right w:w="90" w:type="dxa"/>
            </w:tcMar>
            <w:vAlign w:val="center"/>
          </w:tcPr>
          <w:p w14:paraId="76872C08" w14:textId="77777777" w:rsidR="00532AA9" w:rsidRDefault="00000000" w:rsidP="00001303">
            <w:pPr>
              <w:spacing w:after="0" w:line="240" w:lineRule="auto"/>
            </w:pPr>
            <w:r>
              <w:rPr>
                <w:b/>
                <w:color w:val="1F4E79"/>
                <w:sz w:val="16"/>
              </w:rPr>
              <w:t>Supporting references</w:t>
            </w:r>
          </w:p>
        </w:tc>
      </w:tr>
      <w:tr w:rsidR="00532AA9" w14:paraId="022A8438" w14:textId="77777777">
        <w:trPr>
          <w:cantSplit/>
          <w:jc w:val="center"/>
        </w:trPr>
        <w:tc>
          <w:tcPr>
            <w:tcW w:w="1440" w:type="dxa"/>
            <w:tcMar>
              <w:top w:w="85" w:type="dxa"/>
              <w:left w:w="85" w:type="dxa"/>
              <w:bottom w:w="85" w:type="dxa"/>
              <w:right w:w="85" w:type="dxa"/>
            </w:tcMar>
            <w:vAlign w:val="center"/>
          </w:tcPr>
          <w:p w14:paraId="3807B256" w14:textId="77777777" w:rsidR="00532AA9" w:rsidRDefault="00000000" w:rsidP="00001303">
            <w:pPr>
              <w:spacing w:after="0" w:line="240" w:lineRule="auto"/>
            </w:pPr>
            <w:r>
              <w:rPr>
                <w:sz w:val="16"/>
              </w:rPr>
              <w:t xml:space="preserve">Candidate-gene </w:t>
            </w:r>
            <w:proofErr w:type="spellStart"/>
            <w:r>
              <w:rPr>
                <w:sz w:val="16"/>
              </w:rPr>
              <w:t>prioritisation</w:t>
            </w:r>
            <w:proofErr w:type="spellEnd"/>
          </w:p>
        </w:tc>
        <w:tc>
          <w:tcPr>
            <w:tcW w:w="1756" w:type="dxa"/>
            <w:tcMar>
              <w:top w:w="85" w:type="dxa"/>
              <w:left w:w="85" w:type="dxa"/>
              <w:bottom w:w="85" w:type="dxa"/>
              <w:right w:w="85" w:type="dxa"/>
            </w:tcMar>
            <w:vAlign w:val="center"/>
          </w:tcPr>
          <w:p w14:paraId="1A5164E9" w14:textId="77777777" w:rsidR="00532AA9" w:rsidRDefault="00000000" w:rsidP="00001303">
            <w:pPr>
              <w:spacing w:after="0" w:line="240" w:lineRule="auto"/>
            </w:pPr>
            <w:r>
              <w:rPr>
                <w:sz w:val="16"/>
              </w:rPr>
              <w:t>Markers, expression, chromatin, networks and annotations</w:t>
            </w:r>
          </w:p>
        </w:tc>
        <w:tc>
          <w:tcPr>
            <w:tcW w:w="1987" w:type="dxa"/>
            <w:tcMar>
              <w:top w:w="85" w:type="dxa"/>
              <w:left w:w="85" w:type="dxa"/>
              <w:bottom w:w="85" w:type="dxa"/>
              <w:right w:w="85" w:type="dxa"/>
            </w:tcMar>
            <w:vAlign w:val="center"/>
          </w:tcPr>
          <w:p w14:paraId="3F99060D" w14:textId="77777777" w:rsidR="00532AA9" w:rsidRDefault="00000000" w:rsidP="00001303">
            <w:pPr>
              <w:spacing w:after="0" w:line="240" w:lineRule="auto"/>
            </w:pPr>
            <w:r>
              <w:rPr>
                <w:sz w:val="16"/>
              </w:rPr>
              <w:t>Ranked genes or regulatory elements for perturbation</w:t>
            </w:r>
          </w:p>
        </w:tc>
        <w:tc>
          <w:tcPr>
            <w:tcW w:w="2232" w:type="dxa"/>
            <w:tcMar>
              <w:top w:w="85" w:type="dxa"/>
              <w:left w:w="85" w:type="dxa"/>
              <w:bottom w:w="85" w:type="dxa"/>
              <w:right w:w="85" w:type="dxa"/>
            </w:tcMar>
            <w:vAlign w:val="center"/>
          </w:tcPr>
          <w:p w14:paraId="6C89FE88" w14:textId="77777777" w:rsidR="00532AA9" w:rsidRDefault="00000000" w:rsidP="00001303">
            <w:pPr>
              <w:spacing w:after="0" w:line="240" w:lineRule="auto"/>
            </w:pPr>
            <w:r>
              <w:rPr>
                <w:sz w:val="16"/>
              </w:rPr>
              <w:t>Prospective CRISPR validation and separation of causality from linkage or confounding</w:t>
            </w:r>
          </w:p>
        </w:tc>
        <w:tc>
          <w:tcPr>
            <w:tcW w:w="1944" w:type="dxa"/>
            <w:tcMar>
              <w:top w:w="85" w:type="dxa"/>
              <w:left w:w="85" w:type="dxa"/>
              <w:bottom w:w="85" w:type="dxa"/>
              <w:right w:w="85" w:type="dxa"/>
            </w:tcMar>
            <w:vAlign w:val="center"/>
          </w:tcPr>
          <w:p w14:paraId="04F69122" w14:textId="77777777" w:rsidR="00532AA9" w:rsidRDefault="00000000" w:rsidP="00001303">
            <w:pPr>
              <w:spacing w:after="0" w:line="240" w:lineRule="auto"/>
            </w:pPr>
            <w:proofErr w:type="spellStart"/>
            <w:r>
              <w:rPr>
                <w:sz w:val="16"/>
              </w:rPr>
              <w:t>Danilevicz</w:t>
            </w:r>
            <w:proofErr w:type="spellEnd"/>
            <w:r>
              <w:rPr>
                <w:sz w:val="16"/>
              </w:rPr>
              <w:t xml:space="preserve"> et al. (2022); Gao et al. (2026)</w:t>
            </w:r>
          </w:p>
        </w:tc>
      </w:tr>
      <w:tr w:rsidR="00532AA9" w14:paraId="231F5AAD" w14:textId="77777777">
        <w:trPr>
          <w:cantSplit/>
          <w:jc w:val="center"/>
        </w:trPr>
        <w:tc>
          <w:tcPr>
            <w:tcW w:w="1440" w:type="dxa"/>
            <w:tcMar>
              <w:top w:w="85" w:type="dxa"/>
              <w:left w:w="85" w:type="dxa"/>
              <w:bottom w:w="85" w:type="dxa"/>
              <w:right w:w="85" w:type="dxa"/>
            </w:tcMar>
            <w:vAlign w:val="center"/>
          </w:tcPr>
          <w:p w14:paraId="341F1B08" w14:textId="77777777" w:rsidR="00532AA9" w:rsidRDefault="00000000" w:rsidP="00001303">
            <w:pPr>
              <w:spacing w:after="0" w:line="240" w:lineRule="auto"/>
            </w:pPr>
            <w:r>
              <w:rPr>
                <w:sz w:val="16"/>
              </w:rPr>
              <w:t>Genomic prediction</w:t>
            </w:r>
          </w:p>
        </w:tc>
        <w:tc>
          <w:tcPr>
            <w:tcW w:w="1756" w:type="dxa"/>
            <w:tcMar>
              <w:top w:w="85" w:type="dxa"/>
              <w:left w:w="85" w:type="dxa"/>
              <w:bottom w:w="85" w:type="dxa"/>
              <w:right w:w="85" w:type="dxa"/>
            </w:tcMar>
            <w:vAlign w:val="center"/>
          </w:tcPr>
          <w:p w14:paraId="285CCEB6" w14:textId="77777777" w:rsidR="00532AA9" w:rsidRDefault="00000000" w:rsidP="00001303">
            <w:pPr>
              <w:spacing w:after="0" w:line="240" w:lineRule="auto"/>
            </w:pPr>
            <w:r>
              <w:rPr>
                <w:sz w:val="16"/>
              </w:rPr>
              <w:t>Genome-wide markers, pedigrees and phenotypes</w:t>
            </w:r>
          </w:p>
        </w:tc>
        <w:tc>
          <w:tcPr>
            <w:tcW w:w="1987" w:type="dxa"/>
            <w:tcMar>
              <w:top w:w="85" w:type="dxa"/>
              <w:left w:w="85" w:type="dxa"/>
              <w:bottom w:w="85" w:type="dxa"/>
              <w:right w:w="85" w:type="dxa"/>
            </w:tcMar>
            <w:vAlign w:val="center"/>
          </w:tcPr>
          <w:p w14:paraId="0B72ED91" w14:textId="77777777" w:rsidR="00532AA9" w:rsidRDefault="00000000" w:rsidP="00001303">
            <w:pPr>
              <w:spacing w:after="0" w:line="240" w:lineRule="auto"/>
            </w:pPr>
            <w:r>
              <w:rPr>
                <w:sz w:val="16"/>
              </w:rPr>
              <w:t>Predicted breeding value or line ranking</w:t>
            </w:r>
          </w:p>
        </w:tc>
        <w:tc>
          <w:tcPr>
            <w:tcW w:w="2232" w:type="dxa"/>
            <w:tcMar>
              <w:top w:w="85" w:type="dxa"/>
              <w:left w:w="85" w:type="dxa"/>
              <w:bottom w:w="85" w:type="dxa"/>
              <w:right w:w="85" w:type="dxa"/>
            </w:tcMar>
            <w:vAlign w:val="center"/>
          </w:tcPr>
          <w:p w14:paraId="53109829" w14:textId="77777777" w:rsidR="00532AA9" w:rsidRDefault="00000000" w:rsidP="00001303">
            <w:pPr>
              <w:spacing w:after="0" w:line="240" w:lineRule="auto"/>
            </w:pPr>
            <w:r>
              <w:rPr>
                <w:sz w:val="16"/>
              </w:rPr>
              <w:t>Independent populations, realistic relatedness and comparison with linear or kernel baselines</w:t>
            </w:r>
          </w:p>
        </w:tc>
        <w:tc>
          <w:tcPr>
            <w:tcW w:w="1944" w:type="dxa"/>
            <w:tcMar>
              <w:top w:w="85" w:type="dxa"/>
              <w:left w:w="85" w:type="dxa"/>
              <w:bottom w:w="85" w:type="dxa"/>
              <w:right w:w="85" w:type="dxa"/>
            </w:tcMar>
            <w:vAlign w:val="center"/>
          </w:tcPr>
          <w:p w14:paraId="3EAA377C" w14:textId="77777777" w:rsidR="00532AA9" w:rsidRDefault="00000000" w:rsidP="00001303">
            <w:pPr>
              <w:spacing w:after="0" w:line="240" w:lineRule="auto"/>
            </w:pPr>
            <w:proofErr w:type="spellStart"/>
            <w:r>
              <w:rPr>
                <w:sz w:val="16"/>
              </w:rPr>
              <w:t>Azodi</w:t>
            </w:r>
            <w:proofErr w:type="spellEnd"/>
            <w:r>
              <w:rPr>
                <w:sz w:val="16"/>
              </w:rPr>
              <w:t xml:space="preserve"> et al. (2019); Tong and </w:t>
            </w:r>
            <w:proofErr w:type="spellStart"/>
            <w:r>
              <w:rPr>
                <w:sz w:val="16"/>
              </w:rPr>
              <w:t>Nikoloski</w:t>
            </w:r>
            <w:proofErr w:type="spellEnd"/>
            <w:r>
              <w:rPr>
                <w:sz w:val="16"/>
              </w:rPr>
              <w:t xml:space="preserve"> (2021)</w:t>
            </w:r>
          </w:p>
        </w:tc>
      </w:tr>
      <w:tr w:rsidR="00532AA9" w14:paraId="6D67700E" w14:textId="77777777">
        <w:trPr>
          <w:cantSplit/>
          <w:jc w:val="center"/>
        </w:trPr>
        <w:tc>
          <w:tcPr>
            <w:tcW w:w="1440" w:type="dxa"/>
            <w:tcMar>
              <w:top w:w="85" w:type="dxa"/>
              <w:left w:w="85" w:type="dxa"/>
              <w:bottom w:w="85" w:type="dxa"/>
              <w:right w:w="85" w:type="dxa"/>
            </w:tcMar>
            <w:vAlign w:val="center"/>
          </w:tcPr>
          <w:p w14:paraId="04E67565" w14:textId="77777777" w:rsidR="00532AA9" w:rsidRDefault="00000000" w:rsidP="00001303">
            <w:pPr>
              <w:spacing w:after="0" w:line="240" w:lineRule="auto"/>
            </w:pPr>
            <w:r>
              <w:rPr>
                <w:sz w:val="16"/>
              </w:rPr>
              <w:t>Genotype-by-environment modelling</w:t>
            </w:r>
          </w:p>
        </w:tc>
        <w:tc>
          <w:tcPr>
            <w:tcW w:w="1756" w:type="dxa"/>
            <w:tcMar>
              <w:top w:w="85" w:type="dxa"/>
              <w:left w:w="85" w:type="dxa"/>
              <w:bottom w:w="85" w:type="dxa"/>
              <w:right w:w="85" w:type="dxa"/>
            </w:tcMar>
            <w:vAlign w:val="center"/>
          </w:tcPr>
          <w:p w14:paraId="18324F4D" w14:textId="77777777" w:rsidR="00532AA9" w:rsidRDefault="00000000" w:rsidP="00001303">
            <w:pPr>
              <w:spacing w:after="0" w:line="240" w:lineRule="auto"/>
            </w:pPr>
            <w:r>
              <w:rPr>
                <w:sz w:val="16"/>
              </w:rPr>
              <w:t>Genotypes, weather, soil and management</w:t>
            </w:r>
          </w:p>
        </w:tc>
        <w:tc>
          <w:tcPr>
            <w:tcW w:w="1987" w:type="dxa"/>
            <w:tcMar>
              <w:top w:w="85" w:type="dxa"/>
              <w:left w:w="85" w:type="dxa"/>
              <w:bottom w:w="85" w:type="dxa"/>
              <w:right w:w="85" w:type="dxa"/>
            </w:tcMar>
            <w:vAlign w:val="center"/>
          </w:tcPr>
          <w:p w14:paraId="5D190BDF" w14:textId="77777777" w:rsidR="00532AA9" w:rsidRDefault="00000000" w:rsidP="00001303">
            <w:pPr>
              <w:spacing w:after="0" w:line="240" w:lineRule="auto"/>
            </w:pPr>
            <w:r>
              <w:rPr>
                <w:sz w:val="16"/>
              </w:rPr>
              <w:t>Environment-specific performance prediction</w:t>
            </w:r>
          </w:p>
        </w:tc>
        <w:tc>
          <w:tcPr>
            <w:tcW w:w="2232" w:type="dxa"/>
            <w:tcMar>
              <w:top w:w="85" w:type="dxa"/>
              <w:left w:w="85" w:type="dxa"/>
              <w:bottom w:w="85" w:type="dxa"/>
              <w:right w:w="85" w:type="dxa"/>
            </w:tcMar>
            <w:vAlign w:val="center"/>
          </w:tcPr>
          <w:p w14:paraId="24E94E1E" w14:textId="77777777" w:rsidR="00532AA9" w:rsidRDefault="00000000" w:rsidP="00001303">
            <w:pPr>
              <w:spacing w:after="0" w:line="240" w:lineRule="auto"/>
            </w:pPr>
            <w:r>
              <w:rPr>
                <w:sz w:val="16"/>
              </w:rPr>
              <w:t>Multi-location, multi-year testing and explicit uncertainty under novel climates</w:t>
            </w:r>
          </w:p>
        </w:tc>
        <w:tc>
          <w:tcPr>
            <w:tcW w:w="1944" w:type="dxa"/>
            <w:tcMar>
              <w:top w:w="85" w:type="dxa"/>
              <w:left w:w="85" w:type="dxa"/>
              <w:bottom w:w="85" w:type="dxa"/>
              <w:right w:w="85" w:type="dxa"/>
            </w:tcMar>
            <w:vAlign w:val="center"/>
          </w:tcPr>
          <w:p w14:paraId="2566A227" w14:textId="77777777" w:rsidR="00532AA9" w:rsidRDefault="00000000" w:rsidP="00001303">
            <w:pPr>
              <w:spacing w:after="0" w:line="240" w:lineRule="auto"/>
            </w:pPr>
            <w:proofErr w:type="spellStart"/>
            <w:r>
              <w:rPr>
                <w:sz w:val="16"/>
              </w:rPr>
              <w:t>Harfouche</w:t>
            </w:r>
            <w:proofErr w:type="spellEnd"/>
            <w:r>
              <w:rPr>
                <w:sz w:val="16"/>
              </w:rPr>
              <w:t xml:space="preserve"> et al. (2019); Tong and </w:t>
            </w:r>
            <w:proofErr w:type="spellStart"/>
            <w:r>
              <w:rPr>
                <w:sz w:val="16"/>
              </w:rPr>
              <w:t>Nikoloski</w:t>
            </w:r>
            <w:proofErr w:type="spellEnd"/>
            <w:r>
              <w:rPr>
                <w:sz w:val="16"/>
              </w:rPr>
              <w:t xml:space="preserve"> (2021)</w:t>
            </w:r>
          </w:p>
        </w:tc>
      </w:tr>
      <w:tr w:rsidR="00532AA9" w14:paraId="04D96E5A" w14:textId="77777777">
        <w:trPr>
          <w:cantSplit/>
          <w:jc w:val="center"/>
        </w:trPr>
        <w:tc>
          <w:tcPr>
            <w:tcW w:w="1440" w:type="dxa"/>
            <w:tcMar>
              <w:top w:w="85" w:type="dxa"/>
              <w:left w:w="85" w:type="dxa"/>
              <w:bottom w:w="85" w:type="dxa"/>
              <w:right w:w="85" w:type="dxa"/>
            </w:tcMar>
            <w:vAlign w:val="center"/>
          </w:tcPr>
          <w:p w14:paraId="3442CAA3" w14:textId="77777777" w:rsidR="00532AA9" w:rsidRDefault="00000000" w:rsidP="00001303">
            <w:pPr>
              <w:spacing w:after="0" w:line="240" w:lineRule="auto"/>
            </w:pPr>
            <w:r>
              <w:rPr>
                <w:sz w:val="16"/>
              </w:rPr>
              <w:t>Image-based phenotyping</w:t>
            </w:r>
          </w:p>
        </w:tc>
        <w:tc>
          <w:tcPr>
            <w:tcW w:w="1756" w:type="dxa"/>
            <w:tcMar>
              <w:top w:w="85" w:type="dxa"/>
              <w:left w:w="85" w:type="dxa"/>
              <w:bottom w:w="85" w:type="dxa"/>
              <w:right w:w="85" w:type="dxa"/>
            </w:tcMar>
            <w:vAlign w:val="center"/>
          </w:tcPr>
          <w:p w14:paraId="0164AB4E" w14:textId="77777777" w:rsidR="00532AA9" w:rsidRDefault="00000000" w:rsidP="00001303">
            <w:pPr>
              <w:spacing w:after="0" w:line="240" w:lineRule="auto"/>
            </w:pPr>
            <w:r>
              <w:rPr>
                <w:sz w:val="16"/>
              </w:rPr>
              <w:t>RGB, hyperspectral, thermal, three-dimensional or time-series images</w:t>
            </w:r>
          </w:p>
        </w:tc>
        <w:tc>
          <w:tcPr>
            <w:tcW w:w="1987" w:type="dxa"/>
            <w:tcMar>
              <w:top w:w="85" w:type="dxa"/>
              <w:left w:w="85" w:type="dxa"/>
              <w:bottom w:w="85" w:type="dxa"/>
              <w:right w:w="85" w:type="dxa"/>
            </w:tcMar>
            <w:vAlign w:val="center"/>
          </w:tcPr>
          <w:p w14:paraId="0E0C8BE2" w14:textId="77777777" w:rsidR="00532AA9" w:rsidRDefault="00000000" w:rsidP="00001303">
            <w:pPr>
              <w:spacing w:after="0" w:line="240" w:lineRule="auto"/>
            </w:pPr>
            <w:r>
              <w:rPr>
                <w:sz w:val="16"/>
              </w:rPr>
              <w:t>Quantitative traits, stress or disease scores</w:t>
            </w:r>
          </w:p>
        </w:tc>
        <w:tc>
          <w:tcPr>
            <w:tcW w:w="2232" w:type="dxa"/>
            <w:tcMar>
              <w:top w:w="85" w:type="dxa"/>
              <w:left w:w="85" w:type="dxa"/>
              <w:bottom w:w="85" w:type="dxa"/>
              <w:right w:w="85" w:type="dxa"/>
            </w:tcMar>
            <w:vAlign w:val="center"/>
          </w:tcPr>
          <w:p w14:paraId="125F0797" w14:textId="77777777" w:rsidR="00532AA9" w:rsidRDefault="00000000" w:rsidP="00001303">
            <w:pPr>
              <w:spacing w:after="0" w:line="240" w:lineRule="auto"/>
            </w:pPr>
            <w:r>
              <w:rPr>
                <w:sz w:val="16"/>
              </w:rPr>
              <w:t>Field transfer, biological calibration and assessment of heritability and repeatability</w:t>
            </w:r>
          </w:p>
        </w:tc>
        <w:tc>
          <w:tcPr>
            <w:tcW w:w="1944" w:type="dxa"/>
            <w:tcMar>
              <w:top w:w="85" w:type="dxa"/>
              <w:left w:w="85" w:type="dxa"/>
              <w:bottom w:w="85" w:type="dxa"/>
              <w:right w:w="85" w:type="dxa"/>
            </w:tcMar>
            <w:vAlign w:val="center"/>
          </w:tcPr>
          <w:p w14:paraId="62B2EA75" w14:textId="77777777" w:rsidR="00532AA9" w:rsidRDefault="00000000" w:rsidP="00001303">
            <w:pPr>
              <w:spacing w:after="0" w:line="240" w:lineRule="auto"/>
            </w:pPr>
            <w:r>
              <w:rPr>
                <w:sz w:val="16"/>
              </w:rPr>
              <w:t>Singh et al. (2016); Yang et al. (2020)</w:t>
            </w:r>
          </w:p>
        </w:tc>
      </w:tr>
      <w:tr w:rsidR="00532AA9" w14:paraId="5BD2AAE9" w14:textId="77777777">
        <w:trPr>
          <w:cantSplit/>
          <w:jc w:val="center"/>
        </w:trPr>
        <w:tc>
          <w:tcPr>
            <w:tcW w:w="1440" w:type="dxa"/>
            <w:tcMar>
              <w:top w:w="85" w:type="dxa"/>
              <w:left w:w="85" w:type="dxa"/>
              <w:bottom w:w="85" w:type="dxa"/>
              <w:right w:w="85" w:type="dxa"/>
            </w:tcMar>
            <w:vAlign w:val="center"/>
          </w:tcPr>
          <w:p w14:paraId="246B146A" w14:textId="77777777" w:rsidR="00532AA9" w:rsidRDefault="00000000" w:rsidP="00001303">
            <w:pPr>
              <w:spacing w:after="0" w:line="240" w:lineRule="auto"/>
            </w:pPr>
            <w:r>
              <w:rPr>
                <w:sz w:val="16"/>
              </w:rPr>
              <w:t>Guide and editor selection</w:t>
            </w:r>
          </w:p>
        </w:tc>
        <w:tc>
          <w:tcPr>
            <w:tcW w:w="1756" w:type="dxa"/>
            <w:tcMar>
              <w:top w:w="85" w:type="dxa"/>
              <w:left w:w="85" w:type="dxa"/>
              <w:bottom w:w="85" w:type="dxa"/>
              <w:right w:w="85" w:type="dxa"/>
            </w:tcMar>
            <w:vAlign w:val="center"/>
          </w:tcPr>
          <w:p w14:paraId="3AFAF64F" w14:textId="77777777" w:rsidR="00532AA9" w:rsidRDefault="00000000" w:rsidP="00001303">
            <w:pPr>
              <w:spacing w:after="0" w:line="240" w:lineRule="auto"/>
            </w:pPr>
            <w:r>
              <w:rPr>
                <w:sz w:val="16"/>
              </w:rPr>
              <w:t>Target sequence, nuclease, chromatin and assay data</w:t>
            </w:r>
          </w:p>
        </w:tc>
        <w:tc>
          <w:tcPr>
            <w:tcW w:w="1987" w:type="dxa"/>
            <w:tcMar>
              <w:top w:w="85" w:type="dxa"/>
              <w:left w:w="85" w:type="dxa"/>
              <w:bottom w:w="85" w:type="dxa"/>
              <w:right w:w="85" w:type="dxa"/>
            </w:tcMar>
            <w:vAlign w:val="center"/>
          </w:tcPr>
          <w:p w14:paraId="48C7F955" w14:textId="77777777" w:rsidR="00532AA9" w:rsidRDefault="00000000" w:rsidP="00001303">
            <w:pPr>
              <w:spacing w:after="0" w:line="240" w:lineRule="auto"/>
            </w:pPr>
            <w:r>
              <w:rPr>
                <w:sz w:val="16"/>
              </w:rPr>
              <w:t>Activity, specificity or variant ranking</w:t>
            </w:r>
          </w:p>
        </w:tc>
        <w:tc>
          <w:tcPr>
            <w:tcW w:w="2232" w:type="dxa"/>
            <w:tcMar>
              <w:top w:w="85" w:type="dxa"/>
              <w:left w:w="85" w:type="dxa"/>
              <w:bottom w:w="85" w:type="dxa"/>
              <w:right w:w="85" w:type="dxa"/>
            </w:tcMar>
            <w:vAlign w:val="center"/>
          </w:tcPr>
          <w:p w14:paraId="3AB51A68" w14:textId="77777777" w:rsidR="00532AA9" w:rsidRDefault="00000000" w:rsidP="00001303">
            <w:pPr>
              <w:spacing w:after="0" w:line="240" w:lineRule="auto"/>
            </w:pPr>
            <w:r>
              <w:rPr>
                <w:sz w:val="16"/>
              </w:rPr>
              <w:t>Plant-specific external datasets and prospective wet-laboratory comparison</w:t>
            </w:r>
          </w:p>
        </w:tc>
        <w:tc>
          <w:tcPr>
            <w:tcW w:w="1944" w:type="dxa"/>
            <w:tcMar>
              <w:top w:w="85" w:type="dxa"/>
              <w:left w:w="85" w:type="dxa"/>
              <w:bottom w:w="85" w:type="dxa"/>
              <w:right w:w="85" w:type="dxa"/>
            </w:tcMar>
            <w:vAlign w:val="center"/>
          </w:tcPr>
          <w:p w14:paraId="50C2CA2B" w14:textId="77777777" w:rsidR="00532AA9" w:rsidRDefault="00000000" w:rsidP="00001303">
            <w:pPr>
              <w:spacing w:after="0" w:line="240" w:lineRule="auto"/>
            </w:pPr>
            <w:r>
              <w:rPr>
                <w:sz w:val="16"/>
              </w:rPr>
              <w:t>Abbasi et al. (2025); J. Li et al. (2024)</w:t>
            </w:r>
          </w:p>
        </w:tc>
      </w:tr>
      <w:tr w:rsidR="00532AA9" w14:paraId="1DE25385" w14:textId="77777777">
        <w:trPr>
          <w:cantSplit/>
          <w:jc w:val="center"/>
        </w:trPr>
        <w:tc>
          <w:tcPr>
            <w:tcW w:w="1440" w:type="dxa"/>
            <w:tcMar>
              <w:top w:w="85" w:type="dxa"/>
              <w:left w:w="85" w:type="dxa"/>
              <w:bottom w:w="85" w:type="dxa"/>
              <w:right w:w="85" w:type="dxa"/>
            </w:tcMar>
            <w:vAlign w:val="center"/>
          </w:tcPr>
          <w:p w14:paraId="3BF39DF0" w14:textId="77777777" w:rsidR="00532AA9" w:rsidRDefault="00000000" w:rsidP="00001303">
            <w:pPr>
              <w:spacing w:after="0" w:line="240" w:lineRule="auto"/>
            </w:pPr>
            <w:r>
              <w:rPr>
                <w:sz w:val="16"/>
              </w:rPr>
              <w:t>Editing-outcome prediction</w:t>
            </w:r>
          </w:p>
        </w:tc>
        <w:tc>
          <w:tcPr>
            <w:tcW w:w="1756" w:type="dxa"/>
            <w:tcMar>
              <w:top w:w="85" w:type="dxa"/>
              <w:left w:w="85" w:type="dxa"/>
              <w:bottom w:w="85" w:type="dxa"/>
              <w:right w:w="85" w:type="dxa"/>
            </w:tcMar>
            <w:vAlign w:val="center"/>
          </w:tcPr>
          <w:p w14:paraId="0BFECC3E" w14:textId="77777777" w:rsidR="00532AA9" w:rsidRDefault="00000000" w:rsidP="00001303">
            <w:pPr>
              <w:spacing w:after="0" w:line="240" w:lineRule="auto"/>
            </w:pPr>
            <w:r>
              <w:rPr>
                <w:sz w:val="16"/>
              </w:rPr>
              <w:t>Sequence context and measured repair products</w:t>
            </w:r>
          </w:p>
        </w:tc>
        <w:tc>
          <w:tcPr>
            <w:tcW w:w="1987" w:type="dxa"/>
            <w:tcMar>
              <w:top w:w="85" w:type="dxa"/>
              <w:left w:w="85" w:type="dxa"/>
              <w:bottom w:w="85" w:type="dxa"/>
              <w:right w:w="85" w:type="dxa"/>
            </w:tcMar>
            <w:vAlign w:val="center"/>
          </w:tcPr>
          <w:p w14:paraId="48EE2803" w14:textId="77777777" w:rsidR="00532AA9" w:rsidRDefault="00000000" w:rsidP="00001303">
            <w:pPr>
              <w:spacing w:after="0" w:line="240" w:lineRule="auto"/>
            </w:pPr>
            <w:r>
              <w:rPr>
                <w:sz w:val="16"/>
              </w:rPr>
              <w:t>Probability distribution of insertions, deletions or substitutions</w:t>
            </w:r>
          </w:p>
        </w:tc>
        <w:tc>
          <w:tcPr>
            <w:tcW w:w="2232" w:type="dxa"/>
            <w:tcMar>
              <w:top w:w="85" w:type="dxa"/>
              <w:left w:w="85" w:type="dxa"/>
              <w:bottom w:w="85" w:type="dxa"/>
              <w:right w:w="85" w:type="dxa"/>
            </w:tcMar>
            <w:vAlign w:val="center"/>
          </w:tcPr>
          <w:p w14:paraId="7381CB7C" w14:textId="77777777" w:rsidR="00532AA9" w:rsidRDefault="00000000" w:rsidP="00001303">
            <w:pPr>
              <w:spacing w:after="0" w:line="240" w:lineRule="auto"/>
            </w:pPr>
            <w:r>
              <w:rPr>
                <w:sz w:val="16"/>
              </w:rPr>
              <w:t>Assay-matched calibration across species, tissues and delivery modes</w:t>
            </w:r>
          </w:p>
        </w:tc>
        <w:tc>
          <w:tcPr>
            <w:tcW w:w="1944" w:type="dxa"/>
            <w:tcMar>
              <w:top w:w="85" w:type="dxa"/>
              <w:left w:w="85" w:type="dxa"/>
              <w:bottom w:w="85" w:type="dxa"/>
              <w:right w:w="85" w:type="dxa"/>
            </w:tcMar>
            <w:vAlign w:val="center"/>
          </w:tcPr>
          <w:p w14:paraId="5568506D" w14:textId="77777777" w:rsidR="00532AA9" w:rsidRDefault="00000000" w:rsidP="00001303">
            <w:pPr>
              <w:spacing w:after="0" w:line="240" w:lineRule="auto"/>
            </w:pPr>
            <w:r>
              <w:rPr>
                <w:sz w:val="16"/>
              </w:rPr>
              <w:t>Kim et al. (2025); Thomson et al. (2026)</w:t>
            </w:r>
          </w:p>
        </w:tc>
      </w:tr>
      <w:tr w:rsidR="00532AA9" w14:paraId="795F6393" w14:textId="77777777">
        <w:trPr>
          <w:cantSplit/>
          <w:jc w:val="center"/>
        </w:trPr>
        <w:tc>
          <w:tcPr>
            <w:tcW w:w="1440" w:type="dxa"/>
            <w:tcMar>
              <w:top w:w="85" w:type="dxa"/>
              <w:left w:w="85" w:type="dxa"/>
              <w:bottom w:w="85" w:type="dxa"/>
              <w:right w:w="85" w:type="dxa"/>
            </w:tcMar>
            <w:vAlign w:val="center"/>
          </w:tcPr>
          <w:p w14:paraId="0EAADAB4" w14:textId="77777777" w:rsidR="00532AA9" w:rsidRDefault="00000000" w:rsidP="00001303">
            <w:pPr>
              <w:spacing w:after="0" w:line="240" w:lineRule="auto"/>
            </w:pPr>
            <w:r>
              <w:rPr>
                <w:sz w:val="16"/>
              </w:rPr>
              <w:t>Closed-loop experiment design</w:t>
            </w:r>
          </w:p>
        </w:tc>
        <w:tc>
          <w:tcPr>
            <w:tcW w:w="1756" w:type="dxa"/>
            <w:tcMar>
              <w:top w:w="85" w:type="dxa"/>
              <w:left w:w="85" w:type="dxa"/>
              <w:bottom w:w="85" w:type="dxa"/>
              <w:right w:w="85" w:type="dxa"/>
            </w:tcMar>
            <w:vAlign w:val="center"/>
          </w:tcPr>
          <w:p w14:paraId="4B94E682" w14:textId="77777777" w:rsidR="00532AA9" w:rsidRDefault="00000000" w:rsidP="00001303">
            <w:pPr>
              <w:spacing w:after="0" w:line="240" w:lineRule="auto"/>
            </w:pPr>
            <w:r>
              <w:rPr>
                <w:sz w:val="16"/>
              </w:rPr>
              <w:t>Prior observations and outcomes from completed edits</w:t>
            </w:r>
          </w:p>
        </w:tc>
        <w:tc>
          <w:tcPr>
            <w:tcW w:w="1987" w:type="dxa"/>
            <w:tcMar>
              <w:top w:w="85" w:type="dxa"/>
              <w:left w:w="85" w:type="dxa"/>
              <w:bottom w:w="85" w:type="dxa"/>
              <w:right w:w="85" w:type="dxa"/>
            </w:tcMar>
            <w:vAlign w:val="center"/>
          </w:tcPr>
          <w:p w14:paraId="2A5BEF21" w14:textId="77777777" w:rsidR="00532AA9" w:rsidRDefault="00000000" w:rsidP="00001303">
            <w:pPr>
              <w:spacing w:after="0" w:line="240" w:lineRule="auto"/>
            </w:pPr>
            <w:r>
              <w:rPr>
                <w:sz w:val="16"/>
              </w:rPr>
              <w:t>Next informative edit or experimental condition</w:t>
            </w:r>
          </w:p>
        </w:tc>
        <w:tc>
          <w:tcPr>
            <w:tcW w:w="2232" w:type="dxa"/>
            <w:tcMar>
              <w:top w:w="85" w:type="dxa"/>
              <w:left w:w="85" w:type="dxa"/>
              <w:bottom w:w="85" w:type="dxa"/>
              <w:right w:w="85" w:type="dxa"/>
            </w:tcMar>
            <w:vAlign w:val="center"/>
          </w:tcPr>
          <w:p w14:paraId="23F1A007" w14:textId="77777777" w:rsidR="00532AA9" w:rsidRDefault="00000000" w:rsidP="00001303">
            <w:pPr>
              <w:spacing w:after="0" w:line="240" w:lineRule="auto"/>
            </w:pPr>
            <w:r>
              <w:rPr>
                <w:sz w:val="16"/>
              </w:rPr>
              <w:t>Pre-registered prospective cycles demonstrating improved sample efficiency and trait gain</w:t>
            </w:r>
          </w:p>
        </w:tc>
        <w:tc>
          <w:tcPr>
            <w:tcW w:w="1944" w:type="dxa"/>
            <w:tcMar>
              <w:top w:w="85" w:type="dxa"/>
              <w:left w:w="85" w:type="dxa"/>
              <w:bottom w:w="85" w:type="dxa"/>
              <w:right w:w="85" w:type="dxa"/>
            </w:tcMar>
            <w:vAlign w:val="center"/>
          </w:tcPr>
          <w:p w14:paraId="0794FA9F" w14:textId="77777777" w:rsidR="00532AA9" w:rsidRDefault="00000000" w:rsidP="00001303">
            <w:pPr>
              <w:spacing w:after="0" w:line="240" w:lineRule="auto"/>
            </w:pPr>
            <w:r>
              <w:rPr>
                <w:sz w:val="16"/>
              </w:rPr>
              <w:t>Gao et al. (2026); Zhang et al. (2025)</w:t>
            </w:r>
          </w:p>
        </w:tc>
      </w:tr>
    </w:tbl>
    <w:p w14:paraId="5B7BF8FC" w14:textId="77777777" w:rsidR="00532AA9" w:rsidRDefault="00000000" w:rsidP="00001303">
      <w:pPr>
        <w:pStyle w:val="TableNote"/>
      </w:pPr>
      <w:r>
        <w:rPr>
          <w:i w:val="0"/>
        </w:rPr>
        <w:t>Note. RGB = red-green-blue imaging. Predictive accuracy within a retrospective dataset is not equivalent to causal validity or breeding utility.</w:t>
      </w:r>
    </w:p>
    <w:p w14:paraId="3E0BBBAE" w14:textId="77777777" w:rsidR="00532AA9" w:rsidRDefault="00000000" w:rsidP="00001303">
      <w:pPr>
        <w:pStyle w:val="Heading1"/>
      </w:pPr>
      <w:r>
        <w:t>5. CRISPR Editing Strategies and Evidence from Crop Traits</w:t>
      </w:r>
    </w:p>
    <w:p w14:paraId="632BDDC6" w14:textId="77777777" w:rsidR="00532AA9" w:rsidRDefault="00000000" w:rsidP="00001303">
      <w:r>
        <w:t xml:space="preserve">Crop-editing evidence is most mature where a discrete molecular change has a defensible mechanistic link to phenotype. Early work demonstrated editing feasibility in rice, wheat and other crops, but the value of a breeding intervention depends on inheritance, background effects and agronomic penalties. The simultaneous editing of three wheat </w:t>
      </w:r>
      <w:proofErr w:type="spellStart"/>
      <w:r>
        <w:t>homoeoalleles</w:t>
      </w:r>
      <w:proofErr w:type="spellEnd"/>
      <w:r>
        <w:t xml:space="preserve"> to confer powdery mildew resistance illustrated the advantage of CRISPR in polyploid genomes, where conventional mutagenesis would require assembling multiple recessive alleles (Wang et al., 2014). This is sequence-efficient, but polyploidy also complicates target specificity, dosage and compensation among </w:t>
      </w:r>
      <w:proofErr w:type="spellStart"/>
      <w:r>
        <w:t>homoeologues</w:t>
      </w:r>
      <w:proofErr w:type="spellEnd"/>
      <w:r>
        <w:t>. AI models trained primarily on diploid reference genomes may therefore underestimate the importance of haplotype variation and duplicated targets.</w:t>
      </w:r>
    </w:p>
    <w:p w14:paraId="24E7CD6C" w14:textId="77777777" w:rsidR="00532AA9" w:rsidRDefault="00000000" w:rsidP="00001303">
      <w:r>
        <w:t xml:space="preserve">Disease resistance provides some of the strongest examples of rational regulatory editing. Rice bacterial blight pathogens deploy transcription activator-like effectors to induce SWEET susceptibility genes. Editing effector-binding elements in multiple SWEET promoters generated broad resistance in </w:t>
      </w:r>
      <w:r>
        <w:lastRenderedPageBreak/>
        <w:t xml:space="preserve">several rice backgrounds, with paddy-trial evidence reported for edited lines (Oliva et al., 2019). Related studies disrupted variable binding elements across susceptibility-gene promoters or edited the Xa13 promoter while preserving fertility-related gene function (Li et al., 2020; Xu et al., 2019). These cases show why promoter editing can be more precise biologically than gene knockout: it removes pathogen-responsive regulation while retaining endogenous functions. They also demonstrate that pathogen diversity must inform target design. AI could help predict effector-binding variation and </w:t>
      </w:r>
      <w:proofErr w:type="spellStart"/>
      <w:r>
        <w:t>prioritise</w:t>
      </w:r>
      <w:proofErr w:type="spellEnd"/>
      <w:r>
        <w:t xml:space="preserve"> robust promoter combinations, but resistance durability still requires surveillance and multi-strain testing.</w:t>
      </w:r>
    </w:p>
    <w:p w14:paraId="6BC06F90" w14:textId="77777777" w:rsidR="00532AA9" w:rsidRDefault="00000000" w:rsidP="00001303">
      <w:r>
        <w:t>Abiotic stress and yield are more difficult because phenotypes are polygenic and environment dependent. The maize ARGOS8 study used CRISPR-Cas9 to create regulatory variants and reported improved grain yield under field drought conditions (Shi et al., 2017). Its importance lies less in a claim that one gene solves drought than in the demonstration that editing can recreate useful expression variation and be tested under agronomic conditions. Similar strategies should be evaluated for yield stability, not only performance in one stress regime. AI may identify promising regulatory targets by integrating expression and environment, but models must avoid selecting genes whose apparent benefit reflects a narrow trial context.</w:t>
      </w:r>
    </w:p>
    <w:p w14:paraId="5084E484" w14:textId="77777777" w:rsidR="00532AA9" w:rsidRDefault="00000000" w:rsidP="00001303">
      <w:r>
        <w:t>Quality traits often offer clearer biochemical endpoints. Deleting the autoinhibitory region of tomato glutamate decarboxylase genes increased γ-aminobutyric acid accumulation, but effects on plant and fruit size varied among edited lines (Nonaka et al., 2017). This illustrates pleiotropy: a target can improve a compositional trait while perturbing development or carbon allocation. Editing for nutritional quality therefore requires compositional, agronomic and food-safety assessment rather than confirmation of the intended metabolite alone. AI-enabled metabolic models may help anticipate pathway effects, but their predictions depend on tissue-specific flux data and cannot substitute for measurement.</w:t>
      </w:r>
    </w:p>
    <w:p w14:paraId="153F89E0" w14:textId="77777777" w:rsidR="00532AA9" w:rsidRDefault="00000000" w:rsidP="00001303">
      <w:r>
        <w:t xml:space="preserve">Genome editing also enables de novo domestication and quantitative trait engineering. Editing domestication loci in wild tomato altered architecture, fruit size, number and nutritional characteristics, while parallel work accelerated domestication in another wild tomato context (Li et al., 2018; </w:t>
      </w:r>
      <w:proofErr w:type="spellStart"/>
      <w:r>
        <w:t>Zsögön</w:t>
      </w:r>
      <w:proofErr w:type="spellEnd"/>
      <w:r>
        <w:t xml:space="preserve"> et al., 2018). Editing several domestication genes in groundcherry improved traits in an orphan crop (Lemmon et al., 2018). These studies demonstrate a route to retain stress-adaptive diversity while changing a limited set of domestication traits. Their limits are equally important: domestication syndromes are species specific, and multi-locus edits can create unforeseen interactions. Local adaptation, post-harvest quality and farmer preferences cannot be inferred from a small number of greenhouse or early-field observations.</w:t>
      </w:r>
    </w:p>
    <w:p w14:paraId="41991BC2" w14:textId="77777777" w:rsidR="00532AA9" w:rsidRDefault="00000000" w:rsidP="00001303">
      <w:r>
        <w:t>Promoter mutagenesis offers a bridge between simple and complex traits because it creates graded alleles. Rodríguez-Leal et al. (2017) generated cis-regulatory variation affecting tomato fruit size, inflorescence branching and architecture. The resulting phenotypic continuum is valuable for breeding, but the weak predictability of phenotype from mutation class cautions against assuming that generative sequence design will immediately produce desired quantitative effects. Regulatory grammar is context dependent, and transcriptional change may be buffered or amplified by networks. AI can rank promoter motifs and predict expression, yet edited allelic series remain essential for calibration.</w:t>
      </w:r>
    </w:p>
    <w:p w14:paraId="29CAC2F6" w14:textId="77777777" w:rsidR="00532AA9" w:rsidRDefault="00000000" w:rsidP="00001303">
      <w:r>
        <w:t xml:space="preserve">The representative applications in Table 3 show a consistent pattern. CRISPR can reproduce or create useful alleles efficiently, especially when causal biology is strong. Evidence becomes less transferable </w:t>
      </w:r>
      <w:r>
        <w:lastRenderedPageBreak/>
        <w:t>as trait complexity, environmental dependence and number of edits increase. The most credible path to AI-assisted crop design is therefore not to replace trait biology but to use models to select among experimentally testable interventions and to quantify uncertainty before field deployment.</w:t>
      </w:r>
    </w:p>
    <w:p w14:paraId="62A616E8" w14:textId="77777777" w:rsidR="00532AA9" w:rsidRDefault="00000000" w:rsidP="00001303">
      <w:pPr>
        <w:keepNext/>
        <w:spacing w:before="140" w:after="100"/>
      </w:pPr>
      <w:r>
        <w:rPr>
          <w:b/>
          <w:color w:val="1F4E79"/>
          <w:sz w:val="19"/>
        </w:rPr>
        <w:t>Table 3. Representative CRISPR crop-improvement applications and the limits of inference</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611E7035" w14:textId="77777777">
        <w:trPr>
          <w:cantSplit/>
          <w:tblHeader/>
          <w:jc w:val="center"/>
        </w:trPr>
        <w:tc>
          <w:tcPr>
            <w:tcW w:w="1440" w:type="dxa"/>
            <w:shd w:val="clear" w:color="auto" w:fill="D9EAF7"/>
            <w:tcMar>
              <w:top w:w="90" w:type="dxa"/>
              <w:left w:w="90" w:type="dxa"/>
              <w:bottom w:w="90" w:type="dxa"/>
              <w:right w:w="90" w:type="dxa"/>
            </w:tcMar>
            <w:vAlign w:val="center"/>
          </w:tcPr>
          <w:p w14:paraId="18C99D52" w14:textId="77777777" w:rsidR="00532AA9" w:rsidRDefault="00000000" w:rsidP="00001303">
            <w:pPr>
              <w:spacing w:after="0" w:line="240" w:lineRule="auto"/>
            </w:pPr>
            <w:r>
              <w:rPr>
                <w:b/>
                <w:color w:val="1F4E79"/>
                <w:sz w:val="16"/>
              </w:rPr>
              <w:t>Crop and trait</w:t>
            </w:r>
          </w:p>
        </w:tc>
        <w:tc>
          <w:tcPr>
            <w:tcW w:w="1756" w:type="dxa"/>
            <w:shd w:val="clear" w:color="auto" w:fill="D9EAF7"/>
            <w:tcMar>
              <w:top w:w="90" w:type="dxa"/>
              <w:left w:w="90" w:type="dxa"/>
              <w:bottom w:w="90" w:type="dxa"/>
              <w:right w:w="90" w:type="dxa"/>
            </w:tcMar>
            <w:vAlign w:val="center"/>
          </w:tcPr>
          <w:p w14:paraId="09A520DE" w14:textId="77777777" w:rsidR="00532AA9" w:rsidRDefault="00000000" w:rsidP="00001303">
            <w:pPr>
              <w:spacing w:after="0" w:line="240" w:lineRule="auto"/>
            </w:pPr>
            <w:r>
              <w:rPr>
                <w:b/>
                <w:color w:val="1F4E79"/>
                <w:sz w:val="16"/>
              </w:rPr>
              <w:t>Editing strategy</w:t>
            </w:r>
          </w:p>
        </w:tc>
        <w:tc>
          <w:tcPr>
            <w:tcW w:w="1987" w:type="dxa"/>
            <w:shd w:val="clear" w:color="auto" w:fill="D9EAF7"/>
            <w:tcMar>
              <w:top w:w="90" w:type="dxa"/>
              <w:left w:w="90" w:type="dxa"/>
              <w:bottom w:w="90" w:type="dxa"/>
              <w:right w:w="90" w:type="dxa"/>
            </w:tcMar>
            <w:vAlign w:val="center"/>
          </w:tcPr>
          <w:p w14:paraId="1EEAA277" w14:textId="77777777" w:rsidR="00532AA9" w:rsidRDefault="00000000" w:rsidP="00001303">
            <w:pPr>
              <w:spacing w:after="0" w:line="240" w:lineRule="auto"/>
            </w:pPr>
            <w:r>
              <w:rPr>
                <w:b/>
                <w:color w:val="1F4E79"/>
                <w:sz w:val="16"/>
              </w:rPr>
              <w:t>Evidence of benefit</w:t>
            </w:r>
          </w:p>
        </w:tc>
        <w:tc>
          <w:tcPr>
            <w:tcW w:w="2232" w:type="dxa"/>
            <w:shd w:val="clear" w:color="auto" w:fill="D9EAF7"/>
            <w:tcMar>
              <w:top w:w="90" w:type="dxa"/>
              <w:left w:w="90" w:type="dxa"/>
              <w:bottom w:w="90" w:type="dxa"/>
              <w:right w:w="90" w:type="dxa"/>
            </w:tcMar>
            <w:vAlign w:val="center"/>
          </w:tcPr>
          <w:p w14:paraId="2A678374" w14:textId="77777777" w:rsidR="00532AA9" w:rsidRDefault="00000000" w:rsidP="00001303">
            <w:pPr>
              <w:spacing w:after="0" w:line="240" w:lineRule="auto"/>
            </w:pPr>
            <w:r>
              <w:rPr>
                <w:b/>
                <w:color w:val="1F4E79"/>
                <w:sz w:val="16"/>
              </w:rPr>
              <w:t>Principal limitation for precision breeding</w:t>
            </w:r>
          </w:p>
        </w:tc>
        <w:tc>
          <w:tcPr>
            <w:tcW w:w="1944" w:type="dxa"/>
            <w:shd w:val="clear" w:color="auto" w:fill="D9EAF7"/>
            <w:tcMar>
              <w:top w:w="90" w:type="dxa"/>
              <w:left w:w="90" w:type="dxa"/>
              <w:bottom w:w="90" w:type="dxa"/>
              <w:right w:w="90" w:type="dxa"/>
            </w:tcMar>
            <w:vAlign w:val="center"/>
          </w:tcPr>
          <w:p w14:paraId="602AB2E9" w14:textId="77777777" w:rsidR="00532AA9" w:rsidRDefault="00000000" w:rsidP="00001303">
            <w:pPr>
              <w:spacing w:after="0" w:line="240" w:lineRule="auto"/>
            </w:pPr>
            <w:r>
              <w:rPr>
                <w:b/>
                <w:color w:val="1F4E79"/>
                <w:sz w:val="16"/>
              </w:rPr>
              <w:t>Supporting references</w:t>
            </w:r>
          </w:p>
        </w:tc>
      </w:tr>
      <w:tr w:rsidR="00532AA9" w14:paraId="26D9D5FC" w14:textId="77777777">
        <w:trPr>
          <w:cantSplit/>
          <w:jc w:val="center"/>
        </w:trPr>
        <w:tc>
          <w:tcPr>
            <w:tcW w:w="1440" w:type="dxa"/>
            <w:tcMar>
              <w:top w:w="85" w:type="dxa"/>
              <w:left w:w="85" w:type="dxa"/>
              <w:bottom w:w="85" w:type="dxa"/>
              <w:right w:w="85" w:type="dxa"/>
            </w:tcMar>
            <w:vAlign w:val="center"/>
          </w:tcPr>
          <w:p w14:paraId="67C379BE" w14:textId="77777777" w:rsidR="00532AA9" w:rsidRDefault="00000000" w:rsidP="00001303">
            <w:pPr>
              <w:spacing w:after="0" w:line="240" w:lineRule="auto"/>
            </w:pPr>
            <w:r>
              <w:rPr>
                <w:sz w:val="16"/>
              </w:rPr>
              <w:t>Bread wheat: powdery mildew resistance</w:t>
            </w:r>
          </w:p>
        </w:tc>
        <w:tc>
          <w:tcPr>
            <w:tcW w:w="1756" w:type="dxa"/>
            <w:tcMar>
              <w:top w:w="85" w:type="dxa"/>
              <w:left w:w="85" w:type="dxa"/>
              <w:bottom w:w="85" w:type="dxa"/>
              <w:right w:w="85" w:type="dxa"/>
            </w:tcMar>
            <w:vAlign w:val="center"/>
          </w:tcPr>
          <w:p w14:paraId="51225BB8" w14:textId="77777777" w:rsidR="00532AA9" w:rsidRDefault="00000000" w:rsidP="00001303">
            <w:pPr>
              <w:spacing w:after="0" w:line="240" w:lineRule="auto"/>
            </w:pPr>
            <w:r>
              <w:rPr>
                <w:sz w:val="16"/>
              </w:rPr>
              <w:t xml:space="preserve">Simultaneous knockout of three </w:t>
            </w:r>
            <w:proofErr w:type="spellStart"/>
            <w:r>
              <w:rPr>
                <w:sz w:val="16"/>
              </w:rPr>
              <w:t>homoeoalleles</w:t>
            </w:r>
            <w:proofErr w:type="spellEnd"/>
          </w:p>
        </w:tc>
        <w:tc>
          <w:tcPr>
            <w:tcW w:w="1987" w:type="dxa"/>
            <w:tcMar>
              <w:top w:w="85" w:type="dxa"/>
              <w:left w:w="85" w:type="dxa"/>
              <w:bottom w:w="85" w:type="dxa"/>
              <w:right w:w="85" w:type="dxa"/>
            </w:tcMar>
            <w:vAlign w:val="center"/>
          </w:tcPr>
          <w:p w14:paraId="2E2578B0" w14:textId="77777777" w:rsidR="00532AA9" w:rsidRDefault="00000000" w:rsidP="00001303">
            <w:pPr>
              <w:spacing w:after="0" w:line="240" w:lineRule="auto"/>
            </w:pPr>
            <w:r>
              <w:rPr>
                <w:sz w:val="16"/>
              </w:rPr>
              <w:t xml:space="preserve">Heritable resistance in a </w:t>
            </w:r>
            <w:proofErr w:type="spellStart"/>
            <w:r>
              <w:rPr>
                <w:sz w:val="16"/>
              </w:rPr>
              <w:t>hexaploid</w:t>
            </w:r>
            <w:proofErr w:type="spellEnd"/>
            <w:r>
              <w:rPr>
                <w:sz w:val="16"/>
              </w:rPr>
              <w:t xml:space="preserve"> crop</w:t>
            </w:r>
          </w:p>
        </w:tc>
        <w:tc>
          <w:tcPr>
            <w:tcW w:w="2232" w:type="dxa"/>
            <w:tcMar>
              <w:top w:w="85" w:type="dxa"/>
              <w:left w:w="85" w:type="dxa"/>
              <w:bottom w:w="85" w:type="dxa"/>
              <w:right w:w="85" w:type="dxa"/>
            </w:tcMar>
            <w:vAlign w:val="center"/>
          </w:tcPr>
          <w:p w14:paraId="6E93BF6B" w14:textId="77777777" w:rsidR="00532AA9" w:rsidRDefault="00000000" w:rsidP="00001303">
            <w:pPr>
              <w:spacing w:after="0" w:line="240" w:lineRule="auto"/>
            </w:pPr>
            <w:r>
              <w:rPr>
                <w:sz w:val="16"/>
              </w:rPr>
              <w:t>Background specificity, pathogen evolution and dosage effects require broader validation</w:t>
            </w:r>
          </w:p>
        </w:tc>
        <w:tc>
          <w:tcPr>
            <w:tcW w:w="1944" w:type="dxa"/>
            <w:tcMar>
              <w:top w:w="85" w:type="dxa"/>
              <w:left w:w="85" w:type="dxa"/>
              <w:bottom w:w="85" w:type="dxa"/>
              <w:right w:w="85" w:type="dxa"/>
            </w:tcMar>
            <w:vAlign w:val="center"/>
          </w:tcPr>
          <w:p w14:paraId="352350A7" w14:textId="77777777" w:rsidR="00532AA9" w:rsidRDefault="00000000" w:rsidP="00001303">
            <w:pPr>
              <w:spacing w:after="0" w:line="240" w:lineRule="auto"/>
            </w:pPr>
            <w:r>
              <w:rPr>
                <w:sz w:val="16"/>
              </w:rPr>
              <w:t>Wang et al. (2014)</w:t>
            </w:r>
          </w:p>
        </w:tc>
      </w:tr>
      <w:tr w:rsidR="00532AA9" w14:paraId="635D6E43" w14:textId="77777777">
        <w:trPr>
          <w:cantSplit/>
          <w:jc w:val="center"/>
        </w:trPr>
        <w:tc>
          <w:tcPr>
            <w:tcW w:w="1440" w:type="dxa"/>
            <w:tcMar>
              <w:top w:w="85" w:type="dxa"/>
              <w:left w:w="85" w:type="dxa"/>
              <w:bottom w:w="85" w:type="dxa"/>
              <w:right w:w="85" w:type="dxa"/>
            </w:tcMar>
            <w:vAlign w:val="center"/>
          </w:tcPr>
          <w:p w14:paraId="0DF2EAAF" w14:textId="77777777" w:rsidR="00532AA9" w:rsidRDefault="00000000" w:rsidP="00001303">
            <w:pPr>
              <w:spacing w:after="0" w:line="240" w:lineRule="auto"/>
            </w:pPr>
            <w:r>
              <w:rPr>
                <w:sz w:val="16"/>
              </w:rPr>
              <w:t>Rice: bacterial blight resistance</w:t>
            </w:r>
          </w:p>
        </w:tc>
        <w:tc>
          <w:tcPr>
            <w:tcW w:w="1756" w:type="dxa"/>
            <w:tcMar>
              <w:top w:w="85" w:type="dxa"/>
              <w:left w:w="85" w:type="dxa"/>
              <w:bottom w:w="85" w:type="dxa"/>
              <w:right w:w="85" w:type="dxa"/>
            </w:tcMar>
            <w:vAlign w:val="center"/>
          </w:tcPr>
          <w:p w14:paraId="3B21EFA6" w14:textId="77777777" w:rsidR="00532AA9" w:rsidRDefault="00000000" w:rsidP="00001303">
            <w:pPr>
              <w:spacing w:after="0" w:line="240" w:lineRule="auto"/>
            </w:pPr>
            <w:r>
              <w:rPr>
                <w:sz w:val="16"/>
              </w:rPr>
              <w:t>Multiplex editing of pathogen effector-binding elements in SWEET promoters</w:t>
            </w:r>
          </w:p>
        </w:tc>
        <w:tc>
          <w:tcPr>
            <w:tcW w:w="1987" w:type="dxa"/>
            <w:tcMar>
              <w:top w:w="85" w:type="dxa"/>
              <w:left w:w="85" w:type="dxa"/>
              <w:bottom w:w="85" w:type="dxa"/>
              <w:right w:w="85" w:type="dxa"/>
            </w:tcMar>
            <w:vAlign w:val="center"/>
          </w:tcPr>
          <w:p w14:paraId="1FF3965D" w14:textId="77777777" w:rsidR="00532AA9" w:rsidRDefault="00000000" w:rsidP="00001303">
            <w:pPr>
              <w:spacing w:after="0" w:line="240" w:lineRule="auto"/>
            </w:pPr>
            <w:r>
              <w:rPr>
                <w:sz w:val="16"/>
              </w:rPr>
              <w:t>Broad resistance, including paddy-trial evidence in elite varieties</w:t>
            </w:r>
          </w:p>
        </w:tc>
        <w:tc>
          <w:tcPr>
            <w:tcW w:w="2232" w:type="dxa"/>
            <w:tcMar>
              <w:top w:w="85" w:type="dxa"/>
              <w:left w:w="85" w:type="dxa"/>
              <w:bottom w:w="85" w:type="dxa"/>
              <w:right w:w="85" w:type="dxa"/>
            </w:tcMar>
            <w:vAlign w:val="center"/>
          </w:tcPr>
          <w:p w14:paraId="5EDC2634" w14:textId="77777777" w:rsidR="00532AA9" w:rsidRDefault="00000000" w:rsidP="00001303">
            <w:pPr>
              <w:spacing w:after="0" w:line="240" w:lineRule="auto"/>
            </w:pPr>
            <w:r>
              <w:rPr>
                <w:sz w:val="16"/>
              </w:rPr>
              <w:t>Durability depends on pathogen effector diversity and maintenance of endogenous SWEET functions</w:t>
            </w:r>
          </w:p>
        </w:tc>
        <w:tc>
          <w:tcPr>
            <w:tcW w:w="1944" w:type="dxa"/>
            <w:tcMar>
              <w:top w:w="85" w:type="dxa"/>
              <w:left w:w="85" w:type="dxa"/>
              <w:bottom w:w="85" w:type="dxa"/>
              <w:right w:w="85" w:type="dxa"/>
            </w:tcMar>
            <w:vAlign w:val="center"/>
          </w:tcPr>
          <w:p w14:paraId="3EB2907A" w14:textId="77777777" w:rsidR="00532AA9" w:rsidRDefault="00000000" w:rsidP="00001303">
            <w:pPr>
              <w:spacing w:after="0" w:line="240" w:lineRule="auto"/>
            </w:pPr>
            <w:r>
              <w:rPr>
                <w:sz w:val="16"/>
              </w:rPr>
              <w:t>Oliva et al. (2019); Xu et al. (2019)</w:t>
            </w:r>
          </w:p>
        </w:tc>
      </w:tr>
      <w:tr w:rsidR="00532AA9" w14:paraId="47CA7638" w14:textId="77777777">
        <w:trPr>
          <w:cantSplit/>
          <w:jc w:val="center"/>
        </w:trPr>
        <w:tc>
          <w:tcPr>
            <w:tcW w:w="1440" w:type="dxa"/>
            <w:tcMar>
              <w:top w:w="85" w:type="dxa"/>
              <w:left w:w="85" w:type="dxa"/>
              <w:bottom w:w="85" w:type="dxa"/>
              <w:right w:w="85" w:type="dxa"/>
            </w:tcMar>
            <w:vAlign w:val="center"/>
          </w:tcPr>
          <w:p w14:paraId="125BE74B" w14:textId="77777777" w:rsidR="00532AA9" w:rsidRDefault="00000000" w:rsidP="00001303">
            <w:pPr>
              <w:spacing w:after="0" w:line="240" w:lineRule="auto"/>
            </w:pPr>
            <w:r>
              <w:rPr>
                <w:sz w:val="16"/>
              </w:rPr>
              <w:t>Rice: resistance with retained fertility</w:t>
            </w:r>
          </w:p>
        </w:tc>
        <w:tc>
          <w:tcPr>
            <w:tcW w:w="1756" w:type="dxa"/>
            <w:tcMar>
              <w:top w:w="85" w:type="dxa"/>
              <w:left w:w="85" w:type="dxa"/>
              <w:bottom w:w="85" w:type="dxa"/>
              <w:right w:w="85" w:type="dxa"/>
            </w:tcMar>
            <w:vAlign w:val="center"/>
          </w:tcPr>
          <w:p w14:paraId="6AC4F1C0" w14:textId="77777777" w:rsidR="00532AA9" w:rsidRDefault="00000000" w:rsidP="00001303">
            <w:pPr>
              <w:spacing w:after="0" w:line="240" w:lineRule="auto"/>
            </w:pPr>
            <w:r>
              <w:rPr>
                <w:sz w:val="16"/>
              </w:rPr>
              <w:t>Editing of the Xa13 promoter rather than coding sequence</w:t>
            </w:r>
          </w:p>
        </w:tc>
        <w:tc>
          <w:tcPr>
            <w:tcW w:w="1987" w:type="dxa"/>
            <w:tcMar>
              <w:top w:w="85" w:type="dxa"/>
              <w:left w:w="85" w:type="dxa"/>
              <w:bottom w:w="85" w:type="dxa"/>
              <w:right w:w="85" w:type="dxa"/>
            </w:tcMar>
            <w:vAlign w:val="center"/>
          </w:tcPr>
          <w:p w14:paraId="207B33DC" w14:textId="77777777" w:rsidR="00532AA9" w:rsidRDefault="00000000" w:rsidP="00001303">
            <w:pPr>
              <w:spacing w:after="0" w:line="240" w:lineRule="auto"/>
            </w:pPr>
            <w:r>
              <w:rPr>
                <w:sz w:val="16"/>
              </w:rPr>
              <w:t>Transgene-free resistant progeny with preserved reproductive function</w:t>
            </w:r>
          </w:p>
        </w:tc>
        <w:tc>
          <w:tcPr>
            <w:tcW w:w="2232" w:type="dxa"/>
            <w:tcMar>
              <w:top w:w="85" w:type="dxa"/>
              <w:left w:w="85" w:type="dxa"/>
              <w:bottom w:w="85" w:type="dxa"/>
              <w:right w:w="85" w:type="dxa"/>
            </w:tcMar>
            <w:vAlign w:val="center"/>
          </w:tcPr>
          <w:p w14:paraId="318141FC" w14:textId="77777777" w:rsidR="00532AA9" w:rsidRDefault="00000000" w:rsidP="00001303">
            <w:pPr>
              <w:spacing w:after="0" w:line="240" w:lineRule="auto"/>
            </w:pPr>
            <w:r>
              <w:rPr>
                <w:sz w:val="16"/>
              </w:rPr>
              <w:t>Evidence is specific to promoter architecture, cultivar and tested pathogen strains</w:t>
            </w:r>
          </w:p>
        </w:tc>
        <w:tc>
          <w:tcPr>
            <w:tcW w:w="1944" w:type="dxa"/>
            <w:tcMar>
              <w:top w:w="85" w:type="dxa"/>
              <w:left w:w="85" w:type="dxa"/>
              <w:bottom w:w="85" w:type="dxa"/>
              <w:right w:w="85" w:type="dxa"/>
            </w:tcMar>
            <w:vAlign w:val="center"/>
          </w:tcPr>
          <w:p w14:paraId="46CD29D4" w14:textId="77777777" w:rsidR="00532AA9" w:rsidRDefault="00000000" w:rsidP="00001303">
            <w:pPr>
              <w:spacing w:after="0" w:line="240" w:lineRule="auto"/>
            </w:pPr>
            <w:r>
              <w:rPr>
                <w:sz w:val="16"/>
              </w:rPr>
              <w:t>Li et al. (2020)</w:t>
            </w:r>
          </w:p>
        </w:tc>
      </w:tr>
      <w:tr w:rsidR="00532AA9" w14:paraId="1A4F1074" w14:textId="77777777">
        <w:trPr>
          <w:cantSplit/>
          <w:jc w:val="center"/>
        </w:trPr>
        <w:tc>
          <w:tcPr>
            <w:tcW w:w="1440" w:type="dxa"/>
            <w:tcMar>
              <w:top w:w="85" w:type="dxa"/>
              <w:left w:w="85" w:type="dxa"/>
              <w:bottom w:w="85" w:type="dxa"/>
              <w:right w:w="85" w:type="dxa"/>
            </w:tcMar>
            <w:vAlign w:val="center"/>
          </w:tcPr>
          <w:p w14:paraId="3D2611C5" w14:textId="77777777" w:rsidR="00532AA9" w:rsidRDefault="00000000" w:rsidP="00001303">
            <w:pPr>
              <w:spacing w:after="0" w:line="240" w:lineRule="auto"/>
            </w:pPr>
            <w:r>
              <w:rPr>
                <w:sz w:val="16"/>
              </w:rPr>
              <w:t>Maize: drought-associated yield</w:t>
            </w:r>
          </w:p>
        </w:tc>
        <w:tc>
          <w:tcPr>
            <w:tcW w:w="1756" w:type="dxa"/>
            <w:tcMar>
              <w:top w:w="85" w:type="dxa"/>
              <w:left w:w="85" w:type="dxa"/>
              <w:bottom w:w="85" w:type="dxa"/>
              <w:right w:w="85" w:type="dxa"/>
            </w:tcMar>
            <w:vAlign w:val="center"/>
          </w:tcPr>
          <w:p w14:paraId="78847AB8" w14:textId="77777777" w:rsidR="00532AA9" w:rsidRDefault="00000000" w:rsidP="00001303">
            <w:pPr>
              <w:spacing w:after="0" w:line="240" w:lineRule="auto"/>
            </w:pPr>
            <w:r>
              <w:rPr>
                <w:sz w:val="16"/>
              </w:rPr>
              <w:t>Regulatory variation at ARGOS8</w:t>
            </w:r>
          </w:p>
        </w:tc>
        <w:tc>
          <w:tcPr>
            <w:tcW w:w="1987" w:type="dxa"/>
            <w:tcMar>
              <w:top w:w="85" w:type="dxa"/>
              <w:left w:w="85" w:type="dxa"/>
              <w:bottom w:w="85" w:type="dxa"/>
              <w:right w:w="85" w:type="dxa"/>
            </w:tcMar>
            <w:vAlign w:val="center"/>
          </w:tcPr>
          <w:p w14:paraId="0D64E1FA" w14:textId="77777777" w:rsidR="00532AA9" w:rsidRDefault="00000000" w:rsidP="00001303">
            <w:pPr>
              <w:spacing w:after="0" w:line="240" w:lineRule="auto"/>
            </w:pPr>
            <w:r>
              <w:rPr>
                <w:sz w:val="16"/>
              </w:rPr>
              <w:t>Improved grain yield under field drought conditions</w:t>
            </w:r>
          </w:p>
        </w:tc>
        <w:tc>
          <w:tcPr>
            <w:tcW w:w="2232" w:type="dxa"/>
            <w:tcMar>
              <w:top w:w="85" w:type="dxa"/>
              <w:left w:w="85" w:type="dxa"/>
              <w:bottom w:w="85" w:type="dxa"/>
              <w:right w:w="85" w:type="dxa"/>
            </w:tcMar>
            <w:vAlign w:val="center"/>
          </w:tcPr>
          <w:p w14:paraId="723DF47B" w14:textId="77777777" w:rsidR="00532AA9" w:rsidRDefault="00000000" w:rsidP="00001303">
            <w:pPr>
              <w:spacing w:after="0" w:line="240" w:lineRule="auto"/>
            </w:pPr>
            <w:r>
              <w:rPr>
                <w:sz w:val="16"/>
              </w:rPr>
              <w:t>Performance across stress timing, environments and germplasm remains decisive</w:t>
            </w:r>
          </w:p>
        </w:tc>
        <w:tc>
          <w:tcPr>
            <w:tcW w:w="1944" w:type="dxa"/>
            <w:tcMar>
              <w:top w:w="85" w:type="dxa"/>
              <w:left w:w="85" w:type="dxa"/>
              <w:bottom w:w="85" w:type="dxa"/>
              <w:right w:w="85" w:type="dxa"/>
            </w:tcMar>
            <w:vAlign w:val="center"/>
          </w:tcPr>
          <w:p w14:paraId="4DD90985" w14:textId="77777777" w:rsidR="00532AA9" w:rsidRDefault="00000000" w:rsidP="00001303">
            <w:pPr>
              <w:spacing w:after="0" w:line="240" w:lineRule="auto"/>
            </w:pPr>
            <w:r>
              <w:rPr>
                <w:sz w:val="16"/>
              </w:rPr>
              <w:t>Shi et al. (2017)</w:t>
            </w:r>
          </w:p>
        </w:tc>
      </w:tr>
      <w:tr w:rsidR="00532AA9" w14:paraId="5594D7F2" w14:textId="77777777">
        <w:trPr>
          <w:cantSplit/>
          <w:jc w:val="center"/>
        </w:trPr>
        <w:tc>
          <w:tcPr>
            <w:tcW w:w="1440" w:type="dxa"/>
            <w:tcMar>
              <w:top w:w="85" w:type="dxa"/>
              <w:left w:w="85" w:type="dxa"/>
              <w:bottom w:w="85" w:type="dxa"/>
              <w:right w:w="85" w:type="dxa"/>
            </w:tcMar>
            <w:vAlign w:val="center"/>
          </w:tcPr>
          <w:p w14:paraId="66370383" w14:textId="77777777" w:rsidR="00532AA9" w:rsidRDefault="00000000" w:rsidP="00001303">
            <w:pPr>
              <w:spacing w:after="0" w:line="240" w:lineRule="auto"/>
            </w:pPr>
            <w:r>
              <w:rPr>
                <w:sz w:val="16"/>
              </w:rPr>
              <w:t>Tomato: increased γ-aminobutyric acid</w:t>
            </w:r>
          </w:p>
        </w:tc>
        <w:tc>
          <w:tcPr>
            <w:tcW w:w="1756" w:type="dxa"/>
            <w:tcMar>
              <w:top w:w="85" w:type="dxa"/>
              <w:left w:w="85" w:type="dxa"/>
              <w:bottom w:w="85" w:type="dxa"/>
              <w:right w:w="85" w:type="dxa"/>
            </w:tcMar>
            <w:vAlign w:val="center"/>
          </w:tcPr>
          <w:p w14:paraId="678E9C78" w14:textId="77777777" w:rsidR="00532AA9" w:rsidRDefault="00000000" w:rsidP="00001303">
            <w:pPr>
              <w:spacing w:after="0" w:line="240" w:lineRule="auto"/>
            </w:pPr>
            <w:r>
              <w:rPr>
                <w:sz w:val="16"/>
              </w:rPr>
              <w:t>Targeted truncation of glutamate decarboxylase autoinhibitory domains</w:t>
            </w:r>
          </w:p>
        </w:tc>
        <w:tc>
          <w:tcPr>
            <w:tcW w:w="1987" w:type="dxa"/>
            <w:tcMar>
              <w:top w:w="85" w:type="dxa"/>
              <w:left w:w="85" w:type="dxa"/>
              <w:bottom w:w="85" w:type="dxa"/>
              <w:right w:w="85" w:type="dxa"/>
            </w:tcMar>
            <w:vAlign w:val="center"/>
          </w:tcPr>
          <w:p w14:paraId="6515864D" w14:textId="77777777" w:rsidR="00532AA9" w:rsidRDefault="00000000" w:rsidP="00001303">
            <w:pPr>
              <w:spacing w:after="0" w:line="240" w:lineRule="auto"/>
            </w:pPr>
            <w:r>
              <w:rPr>
                <w:sz w:val="16"/>
              </w:rPr>
              <w:t>Substantial biochemical enrichment in fruit</w:t>
            </w:r>
          </w:p>
        </w:tc>
        <w:tc>
          <w:tcPr>
            <w:tcW w:w="2232" w:type="dxa"/>
            <w:tcMar>
              <w:top w:w="85" w:type="dxa"/>
              <w:left w:w="85" w:type="dxa"/>
              <w:bottom w:w="85" w:type="dxa"/>
              <w:right w:w="85" w:type="dxa"/>
            </w:tcMar>
            <w:vAlign w:val="center"/>
          </w:tcPr>
          <w:p w14:paraId="05CE2898" w14:textId="77777777" w:rsidR="00532AA9" w:rsidRDefault="00000000" w:rsidP="00001303">
            <w:pPr>
              <w:spacing w:after="0" w:line="240" w:lineRule="auto"/>
            </w:pPr>
            <w:r>
              <w:rPr>
                <w:sz w:val="16"/>
              </w:rPr>
              <w:t>Variable effects on growth and yield reveal pleiotropic trade-offs</w:t>
            </w:r>
          </w:p>
        </w:tc>
        <w:tc>
          <w:tcPr>
            <w:tcW w:w="1944" w:type="dxa"/>
            <w:tcMar>
              <w:top w:w="85" w:type="dxa"/>
              <w:left w:w="85" w:type="dxa"/>
              <w:bottom w:w="85" w:type="dxa"/>
              <w:right w:w="85" w:type="dxa"/>
            </w:tcMar>
            <w:vAlign w:val="center"/>
          </w:tcPr>
          <w:p w14:paraId="50F802EB" w14:textId="77777777" w:rsidR="00532AA9" w:rsidRDefault="00000000" w:rsidP="00001303">
            <w:pPr>
              <w:spacing w:after="0" w:line="240" w:lineRule="auto"/>
            </w:pPr>
            <w:r>
              <w:rPr>
                <w:sz w:val="16"/>
              </w:rPr>
              <w:t>Nonaka et al. (2017)</w:t>
            </w:r>
          </w:p>
        </w:tc>
      </w:tr>
      <w:tr w:rsidR="00532AA9" w14:paraId="434F3AA6" w14:textId="77777777">
        <w:trPr>
          <w:cantSplit/>
          <w:jc w:val="center"/>
        </w:trPr>
        <w:tc>
          <w:tcPr>
            <w:tcW w:w="1440" w:type="dxa"/>
            <w:tcMar>
              <w:top w:w="85" w:type="dxa"/>
              <w:left w:w="85" w:type="dxa"/>
              <w:bottom w:w="85" w:type="dxa"/>
              <w:right w:w="85" w:type="dxa"/>
            </w:tcMar>
            <w:vAlign w:val="center"/>
          </w:tcPr>
          <w:p w14:paraId="4A2D524E" w14:textId="77777777" w:rsidR="00532AA9" w:rsidRDefault="00000000" w:rsidP="00001303">
            <w:pPr>
              <w:spacing w:after="0" w:line="240" w:lineRule="auto"/>
            </w:pPr>
            <w:r>
              <w:rPr>
                <w:sz w:val="16"/>
              </w:rPr>
              <w:t>Tomato: quantitative productivity traits</w:t>
            </w:r>
          </w:p>
        </w:tc>
        <w:tc>
          <w:tcPr>
            <w:tcW w:w="1756" w:type="dxa"/>
            <w:tcMar>
              <w:top w:w="85" w:type="dxa"/>
              <w:left w:w="85" w:type="dxa"/>
              <w:bottom w:w="85" w:type="dxa"/>
              <w:right w:w="85" w:type="dxa"/>
            </w:tcMar>
            <w:vAlign w:val="center"/>
          </w:tcPr>
          <w:p w14:paraId="47BB49AF" w14:textId="77777777" w:rsidR="00532AA9" w:rsidRDefault="00000000" w:rsidP="00001303">
            <w:pPr>
              <w:spacing w:after="0" w:line="240" w:lineRule="auto"/>
            </w:pPr>
            <w:r>
              <w:rPr>
                <w:sz w:val="16"/>
              </w:rPr>
              <w:t>Promoter editing to generate cis-regulatory allelic series</w:t>
            </w:r>
          </w:p>
        </w:tc>
        <w:tc>
          <w:tcPr>
            <w:tcW w:w="1987" w:type="dxa"/>
            <w:tcMar>
              <w:top w:w="85" w:type="dxa"/>
              <w:left w:w="85" w:type="dxa"/>
              <w:bottom w:w="85" w:type="dxa"/>
              <w:right w:w="85" w:type="dxa"/>
            </w:tcMar>
            <w:vAlign w:val="center"/>
          </w:tcPr>
          <w:p w14:paraId="7706A61F" w14:textId="77777777" w:rsidR="00532AA9" w:rsidRDefault="00000000" w:rsidP="00001303">
            <w:pPr>
              <w:spacing w:after="0" w:line="240" w:lineRule="auto"/>
            </w:pPr>
            <w:r>
              <w:rPr>
                <w:sz w:val="16"/>
              </w:rPr>
              <w:t>Continuous variation in fruit size, branching and architecture</w:t>
            </w:r>
          </w:p>
        </w:tc>
        <w:tc>
          <w:tcPr>
            <w:tcW w:w="2232" w:type="dxa"/>
            <w:tcMar>
              <w:top w:w="85" w:type="dxa"/>
              <w:left w:w="85" w:type="dxa"/>
              <w:bottom w:w="85" w:type="dxa"/>
              <w:right w:w="85" w:type="dxa"/>
            </w:tcMar>
            <w:vAlign w:val="center"/>
          </w:tcPr>
          <w:p w14:paraId="551FF483" w14:textId="77777777" w:rsidR="00532AA9" w:rsidRDefault="00000000" w:rsidP="00001303">
            <w:pPr>
              <w:spacing w:after="0" w:line="240" w:lineRule="auto"/>
            </w:pPr>
            <w:r>
              <w:rPr>
                <w:sz w:val="16"/>
              </w:rPr>
              <w:t>Phenotypic effect was not simply predictable from mutation or expression change</w:t>
            </w:r>
          </w:p>
        </w:tc>
        <w:tc>
          <w:tcPr>
            <w:tcW w:w="1944" w:type="dxa"/>
            <w:tcMar>
              <w:top w:w="85" w:type="dxa"/>
              <w:left w:w="85" w:type="dxa"/>
              <w:bottom w:w="85" w:type="dxa"/>
              <w:right w:w="85" w:type="dxa"/>
            </w:tcMar>
            <w:vAlign w:val="center"/>
          </w:tcPr>
          <w:p w14:paraId="45F42C2B" w14:textId="77777777" w:rsidR="00532AA9" w:rsidRDefault="00000000" w:rsidP="00001303">
            <w:pPr>
              <w:spacing w:after="0" w:line="240" w:lineRule="auto"/>
            </w:pPr>
            <w:r>
              <w:rPr>
                <w:sz w:val="16"/>
              </w:rPr>
              <w:t>Rodríguez-Leal et al. (2017)</w:t>
            </w:r>
          </w:p>
        </w:tc>
      </w:tr>
      <w:tr w:rsidR="00532AA9" w14:paraId="1A12885C" w14:textId="77777777">
        <w:trPr>
          <w:cantSplit/>
          <w:jc w:val="center"/>
        </w:trPr>
        <w:tc>
          <w:tcPr>
            <w:tcW w:w="1440" w:type="dxa"/>
            <w:tcMar>
              <w:top w:w="85" w:type="dxa"/>
              <w:left w:w="85" w:type="dxa"/>
              <w:bottom w:w="85" w:type="dxa"/>
              <w:right w:w="85" w:type="dxa"/>
            </w:tcMar>
            <w:vAlign w:val="center"/>
          </w:tcPr>
          <w:p w14:paraId="5189C1A7" w14:textId="77777777" w:rsidR="00532AA9" w:rsidRDefault="00000000" w:rsidP="00001303">
            <w:pPr>
              <w:spacing w:after="0" w:line="240" w:lineRule="auto"/>
            </w:pPr>
            <w:r>
              <w:rPr>
                <w:sz w:val="16"/>
              </w:rPr>
              <w:t>Wild tomato and groundcherry: de novo domestication</w:t>
            </w:r>
          </w:p>
        </w:tc>
        <w:tc>
          <w:tcPr>
            <w:tcW w:w="1756" w:type="dxa"/>
            <w:tcMar>
              <w:top w:w="85" w:type="dxa"/>
              <w:left w:w="85" w:type="dxa"/>
              <w:bottom w:w="85" w:type="dxa"/>
              <w:right w:w="85" w:type="dxa"/>
            </w:tcMar>
            <w:vAlign w:val="center"/>
          </w:tcPr>
          <w:p w14:paraId="2CD70B38" w14:textId="77777777" w:rsidR="00532AA9" w:rsidRDefault="00000000" w:rsidP="00001303">
            <w:pPr>
              <w:spacing w:after="0" w:line="240" w:lineRule="auto"/>
            </w:pPr>
            <w:r>
              <w:rPr>
                <w:sz w:val="16"/>
              </w:rPr>
              <w:t>Multiplex editing of domestication genes</w:t>
            </w:r>
          </w:p>
        </w:tc>
        <w:tc>
          <w:tcPr>
            <w:tcW w:w="1987" w:type="dxa"/>
            <w:tcMar>
              <w:top w:w="85" w:type="dxa"/>
              <w:left w:w="85" w:type="dxa"/>
              <w:bottom w:w="85" w:type="dxa"/>
              <w:right w:w="85" w:type="dxa"/>
            </w:tcMar>
            <w:vAlign w:val="center"/>
          </w:tcPr>
          <w:p w14:paraId="50D63E3B" w14:textId="77777777" w:rsidR="00532AA9" w:rsidRDefault="00000000" w:rsidP="00001303">
            <w:pPr>
              <w:spacing w:after="0" w:line="240" w:lineRule="auto"/>
            </w:pPr>
            <w:r>
              <w:rPr>
                <w:sz w:val="16"/>
              </w:rPr>
              <w:t>Rapid improvement of architecture, fruit and harvest traits</w:t>
            </w:r>
          </w:p>
        </w:tc>
        <w:tc>
          <w:tcPr>
            <w:tcW w:w="2232" w:type="dxa"/>
            <w:tcMar>
              <w:top w:w="85" w:type="dxa"/>
              <w:left w:w="85" w:type="dxa"/>
              <w:bottom w:w="85" w:type="dxa"/>
              <w:right w:w="85" w:type="dxa"/>
            </w:tcMar>
            <w:vAlign w:val="center"/>
          </w:tcPr>
          <w:p w14:paraId="461E43EF" w14:textId="77777777" w:rsidR="00532AA9" w:rsidRDefault="00000000" w:rsidP="00001303">
            <w:pPr>
              <w:spacing w:after="0" w:line="240" w:lineRule="auto"/>
            </w:pPr>
            <w:r>
              <w:rPr>
                <w:sz w:val="16"/>
              </w:rPr>
              <w:t>Long-term adaptation, quality, diversity retention and farmer utility were not fully established</w:t>
            </w:r>
          </w:p>
        </w:tc>
        <w:tc>
          <w:tcPr>
            <w:tcW w:w="1944" w:type="dxa"/>
            <w:tcMar>
              <w:top w:w="85" w:type="dxa"/>
              <w:left w:w="85" w:type="dxa"/>
              <w:bottom w:w="85" w:type="dxa"/>
              <w:right w:w="85" w:type="dxa"/>
            </w:tcMar>
            <w:vAlign w:val="center"/>
          </w:tcPr>
          <w:p w14:paraId="12211440" w14:textId="77777777" w:rsidR="00532AA9" w:rsidRDefault="00000000" w:rsidP="00001303">
            <w:pPr>
              <w:spacing w:after="0" w:line="240" w:lineRule="auto"/>
            </w:pPr>
            <w:r>
              <w:rPr>
                <w:sz w:val="16"/>
              </w:rPr>
              <w:t xml:space="preserve">Lemmon et al. (2018); Li et al. (2018); </w:t>
            </w:r>
            <w:proofErr w:type="spellStart"/>
            <w:r>
              <w:rPr>
                <w:sz w:val="16"/>
              </w:rPr>
              <w:t>Zsögön</w:t>
            </w:r>
            <w:proofErr w:type="spellEnd"/>
            <w:r>
              <w:rPr>
                <w:sz w:val="16"/>
              </w:rPr>
              <w:t xml:space="preserve"> et al. (2018)</w:t>
            </w:r>
          </w:p>
        </w:tc>
      </w:tr>
    </w:tbl>
    <w:p w14:paraId="5405F23C" w14:textId="77777777" w:rsidR="00532AA9" w:rsidRDefault="00000000" w:rsidP="00001303">
      <w:pPr>
        <w:pStyle w:val="TableNote"/>
      </w:pPr>
      <w:r>
        <w:rPr>
          <w:i w:val="0"/>
        </w:rPr>
        <w:t xml:space="preserve">Note. The table presents illustrative studies rather than an exhaustive catalogue. Trait benefit should not be </w:t>
      </w:r>
      <w:proofErr w:type="spellStart"/>
      <w:r>
        <w:rPr>
          <w:i w:val="0"/>
        </w:rPr>
        <w:t>generalised</w:t>
      </w:r>
      <w:proofErr w:type="spellEnd"/>
      <w:r>
        <w:rPr>
          <w:i w:val="0"/>
        </w:rPr>
        <w:t xml:space="preserve"> beyond the tested genetic and environmental contexts.</w:t>
      </w:r>
    </w:p>
    <w:p w14:paraId="032AC636" w14:textId="77777777" w:rsidR="00532AA9" w:rsidRDefault="00000000" w:rsidP="00001303">
      <w:pPr>
        <w:pStyle w:val="Heading1"/>
      </w:pPr>
      <w:r>
        <w:t>6. AI-Assisted CRISPR Design and Outcome Prediction</w:t>
      </w:r>
    </w:p>
    <w:p w14:paraId="1B02B400" w14:textId="77777777" w:rsidR="00532AA9" w:rsidRDefault="00000000" w:rsidP="00001303">
      <w:r>
        <w:t>Guide RNA design is the most developed interface between AI and CRISPR. A useful guide must combine on-target activity, specificity, suitable protospacer-adjacent motif availability and compatibility with the selected editor. Early scoring systems learned sequence features from high-throughput perturbation data, and later deep models incorporated epigenetic or representation-learning features (</w:t>
      </w:r>
      <w:proofErr w:type="spellStart"/>
      <w:r>
        <w:t>Chuai</w:t>
      </w:r>
      <w:proofErr w:type="spellEnd"/>
      <w:r>
        <w:t xml:space="preserve"> et al., 2018; Doench et al., 2016). Comparative evaluation and the CRISPOR framework showed that algorithm performance varies by dataset and that integrated ranking is preferable to reliance on one score (Haeussler et al., 2016). These studies transformed guide design, but their datasets were dominated by mammalian cell lines. Plant chromatin, methylation, temperature, delivery mode, polyploidy and sequence diversity may alter activity in ways not captured by those models.</w:t>
      </w:r>
    </w:p>
    <w:p w14:paraId="51C02830" w14:textId="77777777" w:rsidR="00532AA9" w:rsidRDefault="00000000" w:rsidP="00001303">
      <w:r>
        <w:t xml:space="preserve">Off-target prediction is often framed as a classification task, but the relevant biological question is conditional: which unintended sites are cut, at what frequency, in which tissue and with what heritable </w:t>
      </w:r>
      <w:r>
        <w:lastRenderedPageBreak/>
        <w:t xml:space="preserve">consequence? Models based on mismatch position, bulges and sequence context improve ranking of candidate off-targets, and end-to-end design methods can jointly </w:t>
      </w:r>
      <w:proofErr w:type="spellStart"/>
      <w:r>
        <w:t>optimise</w:t>
      </w:r>
      <w:proofErr w:type="spellEnd"/>
      <w:r>
        <w:t xml:space="preserve"> activity and specificity (</w:t>
      </w:r>
      <w:proofErr w:type="spellStart"/>
      <w:r>
        <w:t>Listgarten</w:t>
      </w:r>
      <w:proofErr w:type="spellEnd"/>
      <w:r>
        <w:t xml:space="preserve"> et al., 2018). Nevertheless, negative examples are difficult to define because failure to detect editing depends on assay sensitivity. Class imbalance is extreme, and random train-test splits can place closely related guides in both sets, inflating apparent </w:t>
      </w:r>
      <w:proofErr w:type="spellStart"/>
      <w:r>
        <w:t>generalisation</w:t>
      </w:r>
      <w:proofErr w:type="spellEnd"/>
      <w:r>
        <w:t>. Plant-specific benchmarks should use independent loci, diverse cultivars and experimentally measured low-frequency events.</w:t>
      </w:r>
    </w:p>
    <w:p w14:paraId="53D28F28" w14:textId="77777777" w:rsidR="00532AA9" w:rsidRDefault="00000000" w:rsidP="00001303">
      <w:r>
        <w:t>The choice among nuclease variants adds another layer. J. Li et al. (2024) trained models to predict efficiency and specificity for four Cas9 variants, demonstrating the value of matched high-throughput libraries. Such models can support editor selection when protospacer-adjacent motif constraints differ, but their reported application focused on human genomic sites. A plant breeder cannot assume that the same rank order will hold in a cereal nucleus or regenerated plant. Transfer learning may reduce data requirements, but only prospective experiments can establish calibration. The appropriate output should be a probability distribution with uncertainty, not a categorical declaration that one guide is optimal.</w:t>
      </w:r>
    </w:p>
    <w:p w14:paraId="4FCAC394" w14:textId="77777777" w:rsidR="00532AA9" w:rsidRDefault="00000000" w:rsidP="00001303">
      <w:r>
        <w:t>Editing-outcome prediction is more challenging than cleavage prediction. Nuclease cuts are repaired through pathways whose products depend on local sequence, cell state and reagent exposure. Base editing adds constraints from editing window, bystander bases and deaminase specificity. Prime editing depends on primer-binding site, reverse-transcription template, nicking strategy and cellular repair. AI reviews describe models for these tasks and for enzyme discovery or engineering (Abbasi et al., 2025; Kim et al., 2025; Thomson et al., 2026). Yet direct crop evidence remains sparse. Models should be evaluated on complete outcome distributions, including rare but consequential products, rather than only the frequency of the desired allele.</w:t>
      </w:r>
    </w:p>
    <w:p w14:paraId="30BDDAA2" w14:textId="77777777" w:rsidR="00532AA9" w:rsidRDefault="00000000" w:rsidP="00001303">
      <w:r>
        <w:t xml:space="preserve">AI can also contribute to editor engineering. Protein language models and structure-aware methods can search CRISPR-associated protein space, predict function or propose variants with altered specificity and protospacer-adjacent motif recognition. This is an important frontier because expanding editor diversity may overcome targetability and delivery constraints. The principal risk is validation compression: computationally plausible proteins may fail to express, </w:t>
      </w:r>
      <w:proofErr w:type="spellStart"/>
      <w:r>
        <w:t>localise</w:t>
      </w:r>
      <w:proofErr w:type="spellEnd"/>
      <w:r>
        <w:t xml:space="preserve">, fold or function in plants. Furthermore, editor </w:t>
      </w:r>
      <w:proofErr w:type="spellStart"/>
      <w:r>
        <w:t>optimisation</w:t>
      </w:r>
      <w:proofErr w:type="spellEnd"/>
      <w:r>
        <w:t xml:space="preserve"> on a small set of reporter assays may not predict performance at endogenous crop loci. Claims of AI-designed editors should therefore distinguish sequence generation, biochemical activity, cellular editing and heritable plant editing.</w:t>
      </w:r>
    </w:p>
    <w:p w14:paraId="7E7958D5" w14:textId="77777777" w:rsidR="00532AA9" w:rsidRDefault="00000000" w:rsidP="00001303">
      <w:r>
        <w:t xml:space="preserve">Evaluation design can create an appearance of progress without demonstrating </w:t>
      </w:r>
      <w:proofErr w:type="spellStart"/>
      <w:r>
        <w:t>generalisation</w:t>
      </w:r>
      <w:proofErr w:type="spellEnd"/>
      <w:r>
        <w:t>. Guide sequences that share genomic loci, near-identical sequence motifs or experimental batches can leak across random training and test partitions, inflating apparent accuracy. Imbalanced datasets can also reward models that predict the dominant class while performing poorly on rare but costly failures. Reviews of CRISPR predictors have identified inconsistent datasets, heterogeneous activity definitions and limited external validation as recurrent weaknesses (Abbasi et al., 2025; Dixit et al., 2024). Plant applications need locus-held-out, genotype-held-out and preferably laboratory-held-out tests, together with calibrated probabilities and decision curves that reflect the cost of failed regeneration or unintended editing. Performance should be compared with transparent baselines, including simple sequence rules and established statistical models. A small gain in retrospective discrimination has little value if the model cannot improve the probability of recovering a validated plant in a prospective experiment.</w:t>
      </w:r>
    </w:p>
    <w:p w14:paraId="1051D75F" w14:textId="77777777" w:rsidR="00532AA9" w:rsidRDefault="00000000" w:rsidP="00001303">
      <w:r>
        <w:lastRenderedPageBreak/>
        <w:t xml:space="preserve">Generative and protein-language models broaden the design space by proposing editor variants, guide architectures or regulatory components rather than merely ranking existing options. Their potential is substantial because enzyme activity, specificity, temperature response and protospacer-adjacent motif compatibility constrain plant editing. Yet generative novelty is not equivalent to biochemical function. Candidate editors require staged validation of expression, activity, product distribution, off-target </w:t>
      </w:r>
      <w:proofErr w:type="spellStart"/>
      <w:r>
        <w:t>behaviour</w:t>
      </w:r>
      <w:proofErr w:type="spellEnd"/>
      <w:r>
        <w:t xml:space="preserve"> and performance across plant cell types. Recent syntheses of AI-enabled CRISPR engineering </w:t>
      </w:r>
      <w:proofErr w:type="spellStart"/>
      <w:r>
        <w:t>emphasise</w:t>
      </w:r>
      <w:proofErr w:type="spellEnd"/>
      <w:r>
        <w:t xml:space="preserve"> that model-generated components should be interpreted as hypotheses supported by sequence priors, not as validated reagents (Kim et al., 2025; Thomson et al., 2026). A defensible evidence hierarchy moves from in silico score to cell-free or transient assay, stable plant editing, inheritance and finally relevant phenotype. Without this hierarchy, generative design can multiply candidates faster than experimental capacity can discriminate among them.</w:t>
      </w:r>
    </w:p>
    <w:p w14:paraId="2EC011E2" w14:textId="77777777" w:rsidR="00532AA9" w:rsidRDefault="00000000" w:rsidP="00001303">
      <w:r>
        <w:t xml:space="preserve">The current evidence supports AI as a decision-support layer, not an autonomous design authority. Robust workflows should compare AI-selected guides with established baselines, include multiple candidates per target, measure efficiency and specificity prospectively, and report failed designs. Negative results are particularly important because publication bias otherwise creates overconfident training sets. Plant-focused consortia could generate </w:t>
      </w:r>
      <w:proofErr w:type="spellStart"/>
      <w:r>
        <w:t>standardised</w:t>
      </w:r>
      <w:proofErr w:type="spellEnd"/>
      <w:r>
        <w:t xml:space="preserve"> perturbation datasets across representative monocots, dicots, polyploids and recalcitrant crops. Without such data, model improvements may reflect increasingly sophisticated interpolation within non-plant domains.</w:t>
      </w:r>
    </w:p>
    <w:p w14:paraId="197AD1B0" w14:textId="77777777" w:rsidR="00532AA9" w:rsidRDefault="00000000" w:rsidP="00001303">
      <w:pPr>
        <w:pStyle w:val="Heading1"/>
      </w:pPr>
      <w:r>
        <w:t>7. Delivery, Regeneration and Experimental Throughput</w:t>
      </w:r>
    </w:p>
    <w:p w14:paraId="17CB0476" w14:textId="77777777" w:rsidR="00532AA9" w:rsidRDefault="00000000" w:rsidP="00001303">
      <w:r>
        <w:t xml:space="preserve">The integration of AI and CRISPR does not remove the physical problem of delivering editing reagents into cells that can regenerate a fertile plant. Transformation and regeneration remain genotype dependent and resource intensive, especially in cereals, legumes and many horticultural or orphan crops (Altpeter et al., 2016). This bottleneck creates a systematic bias in the evidence: crops and genotypes that are easy to transform generate more data, become better represented in models and attract further </w:t>
      </w:r>
      <w:proofErr w:type="spellStart"/>
      <w:r>
        <w:t>optimisation</w:t>
      </w:r>
      <w:proofErr w:type="spellEnd"/>
      <w:r>
        <w:t>. The resulting AI systems may therefore reinforce technological concentration rather than broaden crop diversity.</w:t>
      </w:r>
    </w:p>
    <w:p w14:paraId="6276ED32" w14:textId="77777777" w:rsidR="00532AA9" w:rsidRDefault="00000000" w:rsidP="00001303">
      <w:r>
        <w:t xml:space="preserve">DNA-free and transient delivery can reduce transgene integration and simplify segregation. Preassembled CRISPR-Cas9 ribonucleoproteins produced edited plants in several species, and ribonucleoprotein or transient RNA/DNA delivery was demonstrated in wheat (Liang et al., 2017; Woo et al., 2015; Zhang et al., 2016). These strategies can shorten product development and alter regulatory treatment, but they do not automatically solve regeneration. Protoplast-based editing may introduce </w:t>
      </w:r>
      <w:proofErr w:type="spellStart"/>
      <w:r>
        <w:t>somaclonal</w:t>
      </w:r>
      <w:proofErr w:type="spellEnd"/>
      <w:r>
        <w:t xml:space="preserve"> variation or be unavailable for species that cannot regenerate reliably from single cells. Particle bombardment can deliver reagents but may damage tissue or produce complex insertions when DNA is used. Delivery choice must therefore be treated as part of the causal system evaluated by an AI model.</w:t>
      </w:r>
    </w:p>
    <w:p w14:paraId="07767833" w14:textId="77777777" w:rsidR="00532AA9" w:rsidRDefault="00000000" w:rsidP="00001303">
      <w:r>
        <w:t xml:space="preserve">Developmental regulators have improved transformation efficiency. The GRF4-GIF1 chimera increased regeneration in wheat, triticale and rice and expanded the number of transformable wheat genotypes, while de novo meristem induction provided a route that can bypass conventional tissue culture in selected dicots (Debernardi et al., 2020; Maher et al., 2020). These are major advances, but genotype independence remains an aspiration rather than a universal property. Developmental regulators may themselves affect plant development or require removal. A model that </w:t>
      </w:r>
      <w:proofErr w:type="spellStart"/>
      <w:r>
        <w:t>optimises</w:t>
      </w:r>
      <w:proofErr w:type="spellEnd"/>
      <w:r>
        <w:t xml:space="preserve"> target and guide selection without considering regeneration probability can recommend experiments that are biologically elegant but operationally infeasible.</w:t>
      </w:r>
    </w:p>
    <w:p w14:paraId="66EDF89E" w14:textId="77777777" w:rsidR="00532AA9" w:rsidRDefault="00000000" w:rsidP="00001303">
      <w:r>
        <w:lastRenderedPageBreak/>
        <w:t xml:space="preserve">AI can improve throughput around this bottleneck by automating callus and shoot classification, predicting responsive explants, </w:t>
      </w:r>
      <w:proofErr w:type="spellStart"/>
      <w:r>
        <w:t>optimising</w:t>
      </w:r>
      <w:proofErr w:type="spellEnd"/>
      <w:r>
        <w:t xml:space="preserve"> media or </w:t>
      </w:r>
      <w:proofErr w:type="spellStart"/>
      <w:r>
        <w:t>prioritising</w:t>
      </w:r>
      <w:proofErr w:type="spellEnd"/>
      <w:r>
        <w:t xml:space="preserve"> genotypes. Such applications should be evaluated with prospective </w:t>
      </w:r>
      <w:proofErr w:type="spellStart"/>
      <w:r>
        <w:t>randomised</w:t>
      </w:r>
      <w:proofErr w:type="spellEnd"/>
      <w:r>
        <w:t xml:space="preserve"> comparisons, because image classifiers may learn facility-specific backgrounds and process data can encode operator effects. The most valuable models may be those that estimate the probability and cost of recovering a validated edited plant, integrating molecular efficiency, mosaicism, regeneration and screening burden. This end-to-end metric is closer to breeding utility than editing percentage in a transient assay.</w:t>
      </w:r>
    </w:p>
    <w:p w14:paraId="5267B929" w14:textId="77777777" w:rsidR="00532AA9" w:rsidRDefault="00000000" w:rsidP="00001303">
      <w:r>
        <w:t xml:space="preserve">A further operational problem is mosaicism. Editing that occurs after the first transformed cell divisions can generate plants containing multiple alleles, and an apparently </w:t>
      </w:r>
      <w:proofErr w:type="spellStart"/>
      <w:r>
        <w:t>favourable</w:t>
      </w:r>
      <w:proofErr w:type="spellEnd"/>
      <w:r>
        <w:t xml:space="preserve"> leaf sample may not represent the germ line. This complicates phenotype interpretation, inheritance and computational labels for editing outcome. Efficient pipelines therefore require tissue-aware sampling, segregation analysis and confirmation in progeny, not only high read counts from one regenerated plant. The same concern applies to multiplex editing, where combinations of alleles can differ among cells and generations. AI-assisted image analysis and laboratory automation may reduce screening cost, but they cannot replace molecular confirmation of zygosity, transgene status and heritability. End-to-end efficiency should consequently be defined as the probability of recovering a fertile, phenotypically useful and molecularly verified line, rather than the percentage of reads carrying an edit in transformed tissue. This broader denominator exposes why improvements in guide design may have modest breeding impact when regeneration remains genotype dependent (Altpeter et al., 2016; Debernardi et al., 2020; Maher et al., 2020).</w:t>
      </w:r>
    </w:p>
    <w:p w14:paraId="70374C15" w14:textId="77777777" w:rsidR="00532AA9" w:rsidRDefault="00000000" w:rsidP="00001303">
      <w:pPr>
        <w:pStyle w:val="Heading1"/>
      </w:pPr>
      <w:r>
        <w:t>8. Safety, Specificity and Robustness of Edited Phenotypes</w:t>
      </w:r>
    </w:p>
    <w:p w14:paraId="146EBAF1" w14:textId="77777777" w:rsidR="00532AA9" w:rsidRDefault="00000000" w:rsidP="00001303">
      <w:r>
        <w:t>Off-target editing is an important but sometimes oversimplified safety question. Whole-genome sequencing of Cas9- and Cas12a-edited rice found high specificity and indicated that many sequence differences were attributable to tissue culture or standing variation rather than nuclease activity (Tang et al., 2018). This evidence counters assumptions that CRISPR necessarily causes widespread off-target mutation, but it does not eliminate the need for context-specific assessment. Whole-genome sequencing has limited sensitivity for low-frequency mosaic events and does not by itself establish phenotypic neutrality. Candidate-site sequencing, segregating controls and comparison with the background mutation burden are complementary approaches.</w:t>
      </w:r>
    </w:p>
    <w:p w14:paraId="77066605" w14:textId="77777777" w:rsidR="00532AA9" w:rsidRDefault="00000000" w:rsidP="00001303">
      <w:r>
        <w:t>Base editors illustrate why editor-specific evidence matters. Cytosine base editors, but not the tested adenine editor, generated substantial genome-wide off-target single-nucleotide variants in rice, including guide-independent effects associated with the deaminase component (Jin et al., 2019). Later engineering has reduced such activities, but the finding shows that a precise intended substitution can coexist with diffuse unintended chemistry. AI models trained on guide-target pairing alone cannot predict guide-independent off-targets. Safety assessment must consider every active component, expression duration, tissue and delivery route.</w:t>
      </w:r>
    </w:p>
    <w:p w14:paraId="4B84D00B" w14:textId="77777777" w:rsidR="00532AA9" w:rsidRDefault="00000000" w:rsidP="00001303">
      <w:r>
        <w:t xml:space="preserve">On-target complexity can be equally important. Large deletions, rearrangements, template integration, chimerism and allele-specific effects may be missed by short amplicon assays. In polyploids, an apparently complete edit may mask unedited copies or create dosage combinations. The breeding consequences of a molecular event also depend on linkage, background and pleiotropy. Nonaka et al. (2017) observed variable growth and yield effects among high-GABA tomato lines, and promoter-editing studies produced phenotypic variation that was not simply inferred from sequence change </w:t>
      </w:r>
      <w:r>
        <w:lastRenderedPageBreak/>
        <w:t>(Rodríguez-Leal et al., 2017). Safety and efficacy should therefore be assessed at molecular, physiological and agronomic levels.</w:t>
      </w:r>
    </w:p>
    <w:p w14:paraId="412E0426" w14:textId="77777777" w:rsidR="00532AA9" w:rsidRDefault="00000000" w:rsidP="00001303">
      <w:r>
        <w:t>Robustness is the ability of an edited phenotype to remain useful across environments and genetic backgrounds. AI can model genotype-by-environment interaction, but climate extremes generate novel combinations that may lie outside training distributions. A model may be well calibrated for average yield and poorly calibrated for failure risk. Field validation should include contrasting environments, stress timing, pathogen populations and management regimes. For disease resistance, pathogen adaptation and effector diversity are central. For yield or stress tolerance, trade-offs under non-stress conditions must be measured. For quality traits, compositional analysis and post-harvest performance are required.</w:t>
      </w:r>
    </w:p>
    <w:p w14:paraId="1D61EA97" w14:textId="77777777" w:rsidR="00532AA9" w:rsidRDefault="00000000" w:rsidP="00001303">
      <w:r>
        <w:t>AI introduces additional safety concerns through model bias and opacity. If training data overrepresent elite germplasm from a few regions, selected targets may reduce diversity or fail in underrepresented environments. Black-box models can make it difficult to detect reliance on confounded features. Interpretability is not sufficient on its own, because a plausible explanation can still be wrong, but it can expose model dependence and guide experiments. Uncertainty quantification, dataset documentation, external validation and adversarial testing under distribution shift should be routine.</w:t>
      </w:r>
    </w:p>
    <w:p w14:paraId="507172F4" w14:textId="77777777" w:rsidR="00532AA9" w:rsidRDefault="00000000" w:rsidP="00001303">
      <w:r>
        <w:t>Comparison with conventional breeding controls is essential for interpreting unintended outcomes. Tissue culture, transformation and spontaneous mutation generate background variation independently of nuclease specificity, and segregating progeny can retain or lose such changes. A safety study that compares one edited plant only with the parental reference cannot separate editor-associated events from culture-associated or ordinary genetic variation. Appropriate designs include multiple independent edited events, mock-transformed or tissue-culture controls, segregated nulls where available, and progeny sampled across generations. These controls also improve AI training because they prevent models from learning laboratory signatures as if they were edit effects. The practical objective is not to demonstrate an impossible absence of molecular change, but to identify changes that are plausibly attributable to the intervention and relevant to phenotype or risk.</w:t>
      </w:r>
    </w:p>
    <w:p w14:paraId="2B53DB26" w14:textId="77777777" w:rsidR="00532AA9" w:rsidRDefault="00000000" w:rsidP="00001303">
      <w:r>
        <w:t xml:space="preserve">Robustness also requires attention to interaction effects. Editing a susceptibility gene may confer resistance but alter development or interactions with beneficial organisms; modifying hormone </w:t>
      </w:r>
      <w:proofErr w:type="spellStart"/>
      <w:r>
        <w:t>signalling</w:t>
      </w:r>
      <w:proofErr w:type="spellEnd"/>
      <w:r>
        <w:t xml:space="preserve"> may improve stress performance in one environment while reducing yield potential in another. These possibilities are not arguments against editing, but they require experiments that match the biological breadth of the claim. For discrete quality traits, composition and processing may be the relevant endpoints. For stress and yield traits, replicated multi-environment performance and stability are more informative than a single controlled challenge. AI can </w:t>
      </w:r>
      <w:proofErr w:type="spellStart"/>
      <w:r>
        <w:t>prioritise</w:t>
      </w:r>
      <w:proofErr w:type="spellEnd"/>
      <w:r>
        <w:t xml:space="preserve"> environments and detect complex response patterns, yet it should not compress heterogeneous outcomes into one score without showing trade-offs and uncertainty.</w:t>
      </w:r>
    </w:p>
    <w:p w14:paraId="4B0B18D8" w14:textId="77777777" w:rsidR="00532AA9" w:rsidRDefault="00000000" w:rsidP="00001303">
      <w:r>
        <w:t>Table 4 presents a validation matrix for the combined technology. Its main implication is that no single assay establishes precision. Evidence should accumulate from target causality through molecular outcome, plant development, field performance and societal context. The validation burden should scale with edit complexity, trait novelty, exposure and uncertainty rather than with the prestige of the algorithm or editing platform.</w:t>
      </w:r>
    </w:p>
    <w:p w14:paraId="03C500B9" w14:textId="77777777" w:rsidR="00532AA9" w:rsidRDefault="00000000" w:rsidP="00001303">
      <w:pPr>
        <w:keepNext/>
        <w:spacing w:before="140" w:after="100"/>
      </w:pPr>
      <w:r>
        <w:rPr>
          <w:b/>
          <w:color w:val="1F4E79"/>
          <w:sz w:val="19"/>
        </w:rPr>
        <w:lastRenderedPageBreak/>
        <w:t>Table 4. Validation matrix for AI-guided CRISPR crop improvement</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251A11CA" w14:textId="77777777">
        <w:trPr>
          <w:cantSplit/>
          <w:tblHeader/>
          <w:jc w:val="center"/>
        </w:trPr>
        <w:tc>
          <w:tcPr>
            <w:tcW w:w="1440" w:type="dxa"/>
            <w:shd w:val="clear" w:color="auto" w:fill="D9EAF7"/>
            <w:tcMar>
              <w:top w:w="90" w:type="dxa"/>
              <w:left w:w="90" w:type="dxa"/>
              <w:bottom w:w="90" w:type="dxa"/>
              <w:right w:w="90" w:type="dxa"/>
            </w:tcMar>
            <w:vAlign w:val="center"/>
          </w:tcPr>
          <w:p w14:paraId="37B95C0D" w14:textId="77777777" w:rsidR="00532AA9" w:rsidRDefault="00000000" w:rsidP="00001303">
            <w:pPr>
              <w:spacing w:after="0" w:line="240" w:lineRule="auto"/>
            </w:pPr>
            <w:r>
              <w:rPr>
                <w:b/>
                <w:color w:val="1F4E79"/>
                <w:sz w:val="16"/>
              </w:rPr>
              <w:t>Risk or uncertainty</w:t>
            </w:r>
          </w:p>
        </w:tc>
        <w:tc>
          <w:tcPr>
            <w:tcW w:w="1756" w:type="dxa"/>
            <w:shd w:val="clear" w:color="auto" w:fill="D9EAF7"/>
            <w:tcMar>
              <w:top w:w="90" w:type="dxa"/>
              <w:left w:w="90" w:type="dxa"/>
              <w:bottom w:w="90" w:type="dxa"/>
              <w:right w:w="90" w:type="dxa"/>
            </w:tcMar>
            <w:vAlign w:val="center"/>
          </w:tcPr>
          <w:p w14:paraId="5D0D23F4" w14:textId="77777777" w:rsidR="00532AA9" w:rsidRDefault="00000000" w:rsidP="00001303">
            <w:pPr>
              <w:spacing w:after="0" w:line="240" w:lineRule="auto"/>
            </w:pPr>
            <w:r>
              <w:rPr>
                <w:b/>
                <w:color w:val="1F4E79"/>
                <w:sz w:val="16"/>
              </w:rPr>
              <w:t>Minimum evidence</w:t>
            </w:r>
          </w:p>
        </w:tc>
        <w:tc>
          <w:tcPr>
            <w:tcW w:w="1987" w:type="dxa"/>
            <w:shd w:val="clear" w:color="auto" w:fill="D9EAF7"/>
            <w:tcMar>
              <w:top w:w="90" w:type="dxa"/>
              <w:left w:w="90" w:type="dxa"/>
              <w:bottom w:w="90" w:type="dxa"/>
              <w:right w:w="90" w:type="dxa"/>
            </w:tcMar>
            <w:vAlign w:val="center"/>
          </w:tcPr>
          <w:p w14:paraId="5C29418C" w14:textId="77777777" w:rsidR="00532AA9" w:rsidRDefault="00000000" w:rsidP="00001303">
            <w:pPr>
              <w:spacing w:after="0" w:line="240" w:lineRule="auto"/>
            </w:pPr>
            <w:r>
              <w:rPr>
                <w:b/>
                <w:color w:val="1F4E79"/>
                <w:sz w:val="16"/>
              </w:rPr>
              <w:t>Stronger evidence</w:t>
            </w:r>
          </w:p>
        </w:tc>
        <w:tc>
          <w:tcPr>
            <w:tcW w:w="2232" w:type="dxa"/>
            <w:shd w:val="clear" w:color="auto" w:fill="D9EAF7"/>
            <w:tcMar>
              <w:top w:w="90" w:type="dxa"/>
              <w:left w:w="90" w:type="dxa"/>
              <w:bottom w:w="90" w:type="dxa"/>
              <w:right w:w="90" w:type="dxa"/>
            </w:tcMar>
            <w:vAlign w:val="center"/>
          </w:tcPr>
          <w:p w14:paraId="35C48601" w14:textId="77777777" w:rsidR="00532AA9" w:rsidRDefault="00000000" w:rsidP="00001303">
            <w:pPr>
              <w:spacing w:after="0" w:line="240" w:lineRule="auto"/>
            </w:pPr>
            <w:r>
              <w:rPr>
                <w:b/>
                <w:color w:val="1F4E79"/>
                <w:sz w:val="16"/>
              </w:rPr>
              <w:t>Common failure mode</w:t>
            </w:r>
          </w:p>
        </w:tc>
        <w:tc>
          <w:tcPr>
            <w:tcW w:w="1944" w:type="dxa"/>
            <w:shd w:val="clear" w:color="auto" w:fill="D9EAF7"/>
            <w:tcMar>
              <w:top w:w="90" w:type="dxa"/>
              <w:left w:w="90" w:type="dxa"/>
              <w:bottom w:w="90" w:type="dxa"/>
              <w:right w:w="90" w:type="dxa"/>
            </w:tcMar>
            <w:vAlign w:val="center"/>
          </w:tcPr>
          <w:p w14:paraId="4F55AEA7" w14:textId="77777777" w:rsidR="00532AA9" w:rsidRDefault="00000000" w:rsidP="00001303">
            <w:pPr>
              <w:spacing w:after="0" w:line="240" w:lineRule="auto"/>
            </w:pPr>
            <w:r>
              <w:rPr>
                <w:b/>
                <w:color w:val="1F4E79"/>
                <w:sz w:val="16"/>
              </w:rPr>
              <w:t>Supporting references</w:t>
            </w:r>
          </w:p>
        </w:tc>
      </w:tr>
      <w:tr w:rsidR="00532AA9" w14:paraId="71F69B81" w14:textId="77777777">
        <w:trPr>
          <w:cantSplit/>
          <w:jc w:val="center"/>
        </w:trPr>
        <w:tc>
          <w:tcPr>
            <w:tcW w:w="1440" w:type="dxa"/>
            <w:tcMar>
              <w:top w:w="85" w:type="dxa"/>
              <w:left w:w="85" w:type="dxa"/>
              <w:bottom w:w="85" w:type="dxa"/>
              <w:right w:w="85" w:type="dxa"/>
            </w:tcMar>
            <w:vAlign w:val="center"/>
          </w:tcPr>
          <w:p w14:paraId="7429330B" w14:textId="77777777" w:rsidR="00532AA9" w:rsidRDefault="00000000" w:rsidP="00001303">
            <w:pPr>
              <w:spacing w:after="0" w:line="240" w:lineRule="auto"/>
            </w:pPr>
            <w:r>
              <w:rPr>
                <w:sz w:val="16"/>
              </w:rPr>
              <w:t>Causal target validity</w:t>
            </w:r>
          </w:p>
        </w:tc>
        <w:tc>
          <w:tcPr>
            <w:tcW w:w="1756" w:type="dxa"/>
            <w:tcMar>
              <w:top w:w="85" w:type="dxa"/>
              <w:left w:w="85" w:type="dxa"/>
              <w:bottom w:w="85" w:type="dxa"/>
              <w:right w:w="85" w:type="dxa"/>
            </w:tcMar>
            <w:vAlign w:val="center"/>
          </w:tcPr>
          <w:p w14:paraId="6B9823D4" w14:textId="77777777" w:rsidR="00532AA9" w:rsidRDefault="00000000" w:rsidP="00001303">
            <w:pPr>
              <w:spacing w:after="0" w:line="240" w:lineRule="auto"/>
            </w:pPr>
            <w:r>
              <w:rPr>
                <w:sz w:val="16"/>
              </w:rPr>
              <w:t>Functional annotation and association</w:t>
            </w:r>
          </w:p>
        </w:tc>
        <w:tc>
          <w:tcPr>
            <w:tcW w:w="1987" w:type="dxa"/>
            <w:tcMar>
              <w:top w:w="85" w:type="dxa"/>
              <w:left w:w="85" w:type="dxa"/>
              <w:bottom w:w="85" w:type="dxa"/>
              <w:right w:w="85" w:type="dxa"/>
            </w:tcMar>
            <w:vAlign w:val="center"/>
          </w:tcPr>
          <w:p w14:paraId="46A37F84" w14:textId="77777777" w:rsidR="00532AA9" w:rsidRDefault="00000000" w:rsidP="00001303">
            <w:pPr>
              <w:spacing w:after="0" w:line="240" w:lineRule="auto"/>
            </w:pPr>
            <w:r>
              <w:rPr>
                <w:sz w:val="16"/>
              </w:rPr>
              <w:t>Independent perturbation, allelic series and mechanistic rescue</w:t>
            </w:r>
          </w:p>
        </w:tc>
        <w:tc>
          <w:tcPr>
            <w:tcW w:w="2232" w:type="dxa"/>
            <w:tcMar>
              <w:top w:w="85" w:type="dxa"/>
              <w:left w:w="85" w:type="dxa"/>
              <w:bottom w:w="85" w:type="dxa"/>
              <w:right w:w="85" w:type="dxa"/>
            </w:tcMar>
            <w:vAlign w:val="center"/>
          </w:tcPr>
          <w:p w14:paraId="095FBC67" w14:textId="77777777" w:rsidR="00532AA9" w:rsidRDefault="00000000" w:rsidP="00001303">
            <w:pPr>
              <w:spacing w:after="0" w:line="240" w:lineRule="auto"/>
            </w:pPr>
            <w:r>
              <w:rPr>
                <w:sz w:val="16"/>
              </w:rPr>
              <w:t>Editing a correlated marker or context-specific network node</w:t>
            </w:r>
          </w:p>
        </w:tc>
        <w:tc>
          <w:tcPr>
            <w:tcW w:w="1944" w:type="dxa"/>
            <w:tcMar>
              <w:top w:w="85" w:type="dxa"/>
              <w:left w:w="85" w:type="dxa"/>
              <w:bottom w:w="85" w:type="dxa"/>
              <w:right w:w="85" w:type="dxa"/>
            </w:tcMar>
            <w:vAlign w:val="center"/>
          </w:tcPr>
          <w:p w14:paraId="38CB7FE7" w14:textId="77777777" w:rsidR="00532AA9" w:rsidRDefault="00000000" w:rsidP="00001303">
            <w:pPr>
              <w:spacing w:after="0" w:line="240" w:lineRule="auto"/>
            </w:pPr>
            <w:proofErr w:type="spellStart"/>
            <w:r>
              <w:rPr>
                <w:sz w:val="16"/>
              </w:rPr>
              <w:t>Danilevicz</w:t>
            </w:r>
            <w:proofErr w:type="spellEnd"/>
            <w:r>
              <w:rPr>
                <w:sz w:val="16"/>
              </w:rPr>
              <w:t xml:space="preserve"> et al. (2022); Rodríguez-Leal et al. (2017)</w:t>
            </w:r>
          </w:p>
        </w:tc>
      </w:tr>
      <w:tr w:rsidR="00532AA9" w14:paraId="54CEFA63" w14:textId="77777777">
        <w:trPr>
          <w:cantSplit/>
          <w:jc w:val="center"/>
        </w:trPr>
        <w:tc>
          <w:tcPr>
            <w:tcW w:w="1440" w:type="dxa"/>
            <w:tcMar>
              <w:top w:w="85" w:type="dxa"/>
              <w:left w:w="85" w:type="dxa"/>
              <w:bottom w:w="85" w:type="dxa"/>
              <w:right w:w="85" w:type="dxa"/>
            </w:tcMar>
            <w:vAlign w:val="center"/>
          </w:tcPr>
          <w:p w14:paraId="1CB894DC" w14:textId="77777777" w:rsidR="00532AA9" w:rsidRDefault="00000000" w:rsidP="00001303">
            <w:pPr>
              <w:spacing w:after="0" w:line="240" w:lineRule="auto"/>
            </w:pPr>
            <w:r>
              <w:rPr>
                <w:sz w:val="16"/>
              </w:rPr>
              <w:t>Guide and editor performance</w:t>
            </w:r>
          </w:p>
        </w:tc>
        <w:tc>
          <w:tcPr>
            <w:tcW w:w="1756" w:type="dxa"/>
            <w:tcMar>
              <w:top w:w="85" w:type="dxa"/>
              <w:left w:w="85" w:type="dxa"/>
              <w:bottom w:w="85" w:type="dxa"/>
              <w:right w:w="85" w:type="dxa"/>
            </w:tcMar>
            <w:vAlign w:val="center"/>
          </w:tcPr>
          <w:p w14:paraId="70336C19" w14:textId="77777777" w:rsidR="00532AA9" w:rsidRDefault="00000000" w:rsidP="00001303">
            <w:pPr>
              <w:spacing w:after="0" w:line="240" w:lineRule="auto"/>
            </w:pPr>
            <w:r>
              <w:rPr>
                <w:sz w:val="16"/>
              </w:rPr>
              <w:t>In silico ranking and locus assay</w:t>
            </w:r>
          </w:p>
        </w:tc>
        <w:tc>
          <w:tcPr>
            <w:tcW w:w="1987" w:type="dxa"/>
            <w:tcMar>
              <w:top w:w="85" w:type="dxa"/>
              <w:left w:w="85" w:type="dxa"/>
              <w:bottom w:w="85" w:type="dxa"/>
              <w:right w:w="85" w:type="dxa"/>
            </w:tcMar>
            <w:vAlign w:val="center"/>
          </w:tcPr>
          <w:p w14:paraId="7FC6F36A" w14:textId="77777777" w:rsidR="00532AA9" w:rsidRDefault="00000000" w:rsidP="00001303">
            <w:pPr>
              <w:spacing w:after="0" w:line="240" w:lineRule="auto"/>
            </w:pPr>
            <w:r>
              <w:rPr>
                <w:sz w:val="16"/>
              </w:rPr>
              <w:t>Prospective plant-specific comparison across guides, variants and backgrounds</w:t>
            </w:r>
          </w:p>
        </w:tc>
        <w:tc>
          <w:tcPr>
            <w:tcW w:w="2232" w:type="dxa"/>
            <w:tcMar>
              <w:top w:w="85" w:type="dxa"/>
              <w:left w:w="85" w:type="dxa"/>
              <w:bottom w:w="85" w:type="dxa"/>
              <w:right w:w="85" w:type="dxa"/>
            </w:tcMar>
            <w:vAlign w:val="center"/>
          </w:tcPr>
          <w:p w14:paraId="0E751EEC" w14:textId="77777777" w:rsidR="00532AA9" w:rsidRDefault="00000000" w:rsidP="00001303">
            <w:pPr>
              <w:spacing w:after="0" w:line="240" w:lineRule="auto"/>
            </w:pPr>
            <w:r>
              <w:rPr>
                <w:sz w:val="16"/>
              </w:rPr>
              <w:t>Using mammalian model scores without calibration</w:t>
            </w:r>
          </w:p>
        </w:tc>
        <w:tc>
          <w:tcPr>
            <w:tcW w:w="1944" w:type="dxa"/>
            <w:tcMar>
              <w:top w:w="85" w:type="dxa"/>
              <w:left w:w="85" w:type="dxa"/>
              <w:bottom w:w="85" w:type="dxa"/>
              <w:right w:w="85" w:type="dxa"/>
            </w:tcMar>
            <w:vAlign w:val="center"/>
          </w:tcPr>
          <w:p w14:paraId="3E300F7D" w14:textId="77777777" w:rsidR="00532AA9" w:rsidRDefault="00000000" w:rsidP="00001303">
            <w:pPr>
              <w:spacing w:after="0" w:line="240" w:lineRule="auto"/>
            </w:pPr>
            <w:r>
              <w:rPr>
                <w:sz w:val="16"/>
              </w:rPr>
              <w:t>Abbasi et al. (2025); J. Li et al. (2024)</w:t>
            </w:r>
          </w:p>
        </w:tc>
      </w:tr>
      <w:tr w:rsidR="00532AA9" w14:paraId="704663CF" w14:textId="77777777">
        <w:trPr>
          <w:cantSplit/>
          <w:jc w:val="center"/>
        </w:trPr>
        <w:tc>
          <w:tcPr>
            <w:tcW w:w="1440" w:type="dxa"/>
            <w:tcMar>
              <w:top w:w="85" w:type="dxa"/>
              <w:left w:w="85" w:type="dxa"/>
              <w:bottom w:w="85" w:type="dxa"/>
              <w:right w:w="85" w:type="dxa"/>
            </w:tcMar>
            <w:vAlign w:val="center"/>
          </w:tcPr>
          <w:p w14:paraId="236888D9" w14:textId="77777777" w:rsidR="00532AA9" w:rsidRDefault="00000000" w:rsidP="00001303">
            <w:pPr>
              <w:spacing w:after="0" w:line="240" w:lineRule="auto"/>
            </w:pPr>
            <w:r>
              <w:rPr>
                <w:sz w:val="16"/>
              </w:rPr>
              <w:t>Off-target activity</w:t>
            </w:r>
          </w:p>
        </w:tc>
        <w:tc>
          <w:tcPr>
            <w:tcW w:w="1756" w:type="dxa"/>
            <w:tcMar>
              <w:top w:w="85" w:type="dxa"/>
              <w:left w:w="85" w:type="dxa"/>
              <w:bottom w:w="85" w:type="dxa"/>
              <w:right w:w="85" w:type="dxa"/>
            </w:tcMar>
            <w:vAlign w:val="center"/>
          </w:tcPr>
          <w:p w14:paraId="7C56C159" w14:textId="77777777" w:rsidR="00532AA9" w:rsidRDefault="00000000" w:rsidP="00001303">
            <w:pPr>
              <w:spacing w:after="0" w:line="240" w:lineRule="auto"/>
            </w:pPr>
            <w:r>
              <w:rPr>
                <w:sz w:val="16"/>
              </w:rPr>
              <w:t>Predicted-site sequencing</w:t>
            </w:r>
          </w:p>
        </w:tc>
        <w:tc>
          <w:tcPr>
            <w:tcW w:w="1987" w:type="dxa"/>
            <w:tcMar>
              <w:top w:w="85" w:type="dxa"/>
              <w:left w:w="85" w:type="dxa"/>
              <w:bottom w:w="85" w:type="dxa"/>
              <w:right w:w="85" w:type="dxa"/>
            </w:tcMar>
            <w:vAlign w:val="center"/>
          </w:tcPr>
          <w:p w14:paraId="27446F57" w14:textId="77777777" w:rsidR="00532AA9" w:rsidRDefault="00000000" w:rsidP="00001303">
            <w:pPr>
              <w:spacing w:after="0" w:line="240" w:lineRule="auto"/>
            </w:pPr>
            <w:r>
              <w:rPr>
                <w:sz w:val="16"/>
              </w:rPr>
              <w:t>Unbiased genome-wide analysis with appropriate controls and inheritance assessment</w:t>
            </w:r>
          </w:p>
        </w:tc>
        <w:tc>
          <w:tcPr>
            <w:tcW w:w="2232" w:type="dxa"/>
            <w:tcMar>
              <w:top w:w="85" w:type="dxa"/>
              <w:left w:w="85" w:type="dxa"/>
              <w:bottom w:w="85" w:type="dxa"/>
              <w:right w:w="85" w:type="dxa"/>
            </w:tcMar>
            <w:vAlign w:val="center"/>
          </w:tcPr>
          <w:p w14:paraId="077027C3" w14:textId="77777777" w:rsidR="00532AA9" w:rsidRDefault="00000000" w:rsidP="00001303">
            <w:pPr>
              <w:spacing w:after="0" w:line="240" w:lineRule="auto"/>
            </w:pPr>
            <w:r>
              <w:rPr>
                <w:sz w:val="16"/>
              </w:rPr>
              <w:t>Confusing background or tissue-culture variation with nuclease effects</w:t>
            </w:r>
          </w:p>
        </w:tc>
        <w:tc>
          <w:tcPr>
            <w:tcW w:w="1944" w:type="dxa"/>
            <w:tcMar>
              <w:top w:w="85" w:type="dxa"/>
              <w:left w:w="85" w:type="dxa"/>
              <w:bottom w:w="85" w:type="dxa"/>
              <w:right w:w="85" w:type="dxa"/>
            </w:tcMar>
            <w:vAlign w:val="center"/>
          </w:tcPr>
          <w:p w14:paraId="74B21E6E" w14:textId="77777777" w:rsidR="00532AA9" w:rsidRDefault="00000000" w:rsidP="00001303">
            <w:pPr>
              <w:spacing w:after="0" w:line="240" w:lineRule="auto"/>
            </w:pPr>
            <w:r>
              <w:rPr>
                <w:sz w:val="16"/>
              </w:rPr>
              <w:t>Tang et al. (2018)</w:t>
            </w:r>
          </w:p>
        </w:tc>
      </w:tr>
      <w:tr w:rsidR="00532AA9" w14:paraId="2D165C06" w14:textId="77777777">
        <w:trPr>
          <w:cantSplit/>
          <w:jc w:val="center"/>
        </w:trPr>
        <w:tc>
          <w:tcPr>
            <w:tcW w:w="1440" w:type="dxa"/>
            <w:tcMar>
              <w:top w:w="85" w:type="dxa"/>
              <w:left w:w="85" w:type="dxa"/>
              <w:bottom w:w="85" w:type="dxa"/>
              <w:right w:w="85" w:type="dxa"/>
            </w:tcMar>
            <w:vAlign w:val="center"/>
          </w:tcPr>
          <w:p w14:paraId="576FF429" w14:textId="77777777" w:rsidR="00532AA9" w:rsidRDefault="00000000" w:rsidP="00001303">
            <w:pPr>
              <w:spacing w:after="0" w:line="240" w:lineRule="auto"/>
            </w:pPr>
            <w:r>
              <w:rPr>
                <w:sz w:val="16"/>
              </w:rPr>
              <w:t>Editor-intrinsic unintended activity</w:t>
            </w:r>
          </w:p>
        </w:tc>
        <w:tc>
          <w:tcPr>
            <w:tcW w:w="1756" w:type="dxa"/>
            <w:tcMar>
              <w:top w:w="85" w:type="dxa"/>
              <w:left w:w="85" w:type="dxa"/>
              <w:bottom w:w="85" w:type="dxa"/>
              <w:right w:w="85" w:type="dxa"/>
            </w:tcMar>
            <w:vAlign w:val="center"/>
          </w:tcPr>
          <w:p w14:paraId="7CF69B63" w14:textId="77777777" w:rsidR="00532AA9" w:rsidRDefault="00000000" w:rsidP="00001303">
            <w:pPr>
              <w:spacing w:after="0" w:line="240" w:lineRule="auto"/>
            </w:pPr>
            <w:r>
              <w:rPr>
                <w:sz w:val="16"/>
              </w:rPr>
              <w:t>Assay of expected bystanders</w:t>
            </w:r>
          </w:p>
        </w:tc>
        <w:tc>
          <w:tcPr>
            <w:tcW w:w="1987" w:type="dxa"/>
            <w:tcMar>
              <w:top w:w="85" w:type="dxa"/>
              <w:left w:w="85" w:type="dxa"/>
              <w:bottom w:w="85" w:type="dxa"/>
              <w:right w:w="85" w:type="dxa"/>
            </w:tcMar>
            <w:vAlign w:val="center"/>
          </w:tcPr>
          <w:p w14:paraId="1BB424A5" w14:textId="77777777" w:rsidR="00532AA9" w:rsidRDefault="00000000" w:rsidP="00001303">
            <w:pPr>
              <w:spacing w:after="0" w:line="240" w:lineRule="auto"/>
            </w:pPr>
            <w:r>
              <w:rPr>
                <w:sz w:val="16"/>
              </w:rPr>
              <w:t>Genome- and transcriptome-wide evaluation where mechanistically indicated</w:t>
            </w:r>
          </w:p>
        </w:tc>
        <w:tc>
          <w:tcPr>
            <w:tcW w:w="2232" w:type="dxa"/>
            <w:tcMar>
              <w:top w:w="85" w:type="dxa"/>
              <w:left w:w="85" w:type="dxa"/>
              <w:bottom w:w="85" w:type="dxa"/>
              <w:right w:w="85" w:type="dxa"/>
            </w:tcMar>
            <w:vAlign w:val="center"/>
          </w:tcPr>
          <w:p w14:paraId="68EE9532" w14:textId="77777777" w:rsidR="00532AA9" w:rsidRDefault="00000000" w:rsidP="00001303">
            <w:pPr>
              <w:spacing w:after="0" w:line="240" w:lineRule="auto"/>
            </w:pPr>
            <w:r>
              <w:rPr>
                <w:sz w:val="16"/>
              </w:rPr>
              <w:t>Ignoring guide-independent deaminase effects</w:t>
            </w:r>
          </w:p>
        </w:tc>
        <w:tc>
          <w:tcPr>
            <w:tcW w:w="1944" w:type="dxa"/>
            <w:tcMar>
              <w:top w:w="85" w:type="dxa"/>
              <w:left w:w="85" w:type="dxa"/>
              <w:bottom w:w="85" w:type="dxa"/>
              <w:right w:w="85" w:type="dxa"/>
            </w:tcMar>
            <w:vAlign w:val="center"/>
          </w:tcPr>
          <w:p w14:paraId="23DE9567" w14:textId="77777777" w:rsidR="00532AA9" w:rsidRDefault="00000000" w:rsidP="00001303">
            <w:pPr>
              <w:spacing w:after="0" w:line="240" w:lineRule="auto"/>
            </w:pPr>
            <w:r>
              <w:rPr>
                <w:sz w:val="16"/>
              </w:rPr>
              <w:t>Jin et al. (2019)</w:t>
            </w:r>
          </w:p>
        </w:tc>
      </w:tr>
      <w:tr w:rsidR="00532AA9" w14:paraId="3FAEE3A4" w14:textId="77777777">
        <w:trPr>
          <w:cantSplit/>
          <w:jc w:val="center"/>
        </w:trPr>
        <w:tc>
          <w:tcPr>
            <w:tcW w:w="1440" w:type="dxa"/>
            <w:tcMar>
              <w:top w:w="85" w:type="dxa"/>
              <w:left w:w="85" w:type="dxa"/>
              <w:bottom w:w="85" w:type="dxa"/>
              <w:right w:w="85" w:type="dxa"/>
            </w:tcMar>
            <w:vAlign w:val="center"/>
          </w:tcPr>
          <w:p w14:paraId="4DD51038" w14:textId="77777777" w:rsidR="00532AA9" w:rsidRDefault="00000000" w:rsidP="00001303">
            <w:pPr>
              <w:spacing w:after="0" w:line="240" w:lineRule="auto"/>
            </w:pPr>
            <w:r>
              <w:rPr>
                <w:sz w:val="16"/>
              </w:rPr>
              <w:t>On-target structural complexity</w:t>
            </w:r>
          </w:p>
        </w:tc>
        <w:tc>
          <w:tcPr>
            <w:tcW w:w="1756" w:type="dxa"/>
            <w:tcMar>
              <w:top w:w="85" w:type="dxa"/>
              <w:left w:w="85" w:type="dxa"/>
              <w:bottom w:w="85" w:type="dxa"/>
              <w:right w:w="85" w:type="dxa"/>
            </w:tcMar>
            <w:vAlign w:val="center"/>
          </w:tcPr>
          <w:p w14:paraId="01DC1D79" w14:textId="77777777" w:rsidR="00532AA9" w:rsidRDefault="00000000" w:rsidP="00001303">
            <w:pPr>
              <w:spacing w:after="0" w:line="240" w:lineRule="auto"/>
            </w:pPr>
            <w:r>
              <w:rPr>
                <w:sz w:val="16"/>
              </w:rPr>
              <w:t>Short amplicon confirmation</w:t>
            </w:r>
          </w:p>
        </w:tc>
        <w:tc>
          <w:tcPr>
            <w:tcW w:w="1987" w:type="dxa"/>
            <w:tcMar>
              <w:top w:w="85" w:type="dxa"/>
              <w:left w:w="85" w:type="dxa"/>
              <w:bottom w:w="85" w:type="dxa"/>
              <w:right w:w="85" w:type="dxa"/>
            </w:tcMar>
            <w:vAlign w:val="center"/>
          </w:tcPr>
          <w:p w14:paraId="7463585C" w14:textId="77777777" w:rsidR="00532AA9" w:rsidRDefault="00000000" w:rsidP="00001303">
            <w:pPr>
              <w:spacing w:after="0" w:line="240" w:lineRule="auto"/>
            </w:pPr>
            <w:r>
              <w:rPr>
                <w:sz w:val="16"/>
              </w:rPr>
              <w:t>Long-read or orthogonal structural analysis and zygosity assessment</w:t>
            </w:r>
          </w:p>
        </w:tc>
        <w:tc>
          <w:tcPr>
            <w:tcW w:w="2232" w:type="dxa"/>
            <w:tcMar>
              <w:top w:w="85" w:type="dxa"/>
              <w:left w:w="85" w:type="dxa"/>
              <w:bottom w:w="85" w:type="dxa"/>
              <w:right w:w="85" w:type="dxa"/>
            </w:tcMar>
            <w:vAlign w:val="center"/>
          </w:tcPr>
          <w:p w14:paraId="2241C47A" w14:textId="77777777" w:rsidR="00532AA9" w:rsidRDefault="00000000" w:rsidP="00001303">
            <w:pPr>
              <w:spacing w:after="0" w:line="240" w:lineRule="auto"/>
            </w:pPr>
            <w:r>
              <w:rPr>
                <w:sz w:val="16"/>
              </w:rPr>
              <w:t>Missing large deletions, rearrangements or mosaicism</w:t>
            </w:r>
          </w:p>
        </w:tc>
        <w:tc>
          <w:tcPr>
            <w:tcW w:w="1944" w:type="dxa"/>
            <w:tcMar>
              <w:top w:w="85" w:type="dxa"/>
              <w:left w:w="85" w:type="dxa"/>
              <w:bottom w:w="85" w:type="dxa"/>
              <w:right w:w="85" w:type="dxa"/>
            </w:tcMar>
            <w:vAlign w:val="center"/>
          </w:tcPr>
          <w:p w14:paraId="501B3AE3" w14:textId="77777777" w:rsidR="00532AA9" w:rsidRDefault="00000000" w:rsidP="00001303">
            <w:pPr>
              <w:spacing w:after="0" w:line="240" w:lineRule="auto"/>
            </w:pPr>
            <w:r>
              <w:rPr>
                <w:sz w:val="16"/>
              </w:rPr>
              <w:t>B. Li et al. (2024); Molla et al. (2021)</w:t>
            </w:r>
          </w:p>
        </w:tc>
      </w:tr>
      <w:tr w:rsidR="00532AA9" w14:paraId="48B2D1F9" w14:textId="77777777">
        <w:trPr>
          <w:cantSplit/>
          <w:jc w:val="center"/>
        </w:trPr>
        <w:tc>
          <w:tcPr>
            <w:tcW w:w="1440" w:type="dxa"/>
            <w:tcMar>
              <w:top w:w="85" w:type="dxa"/>
              <w:left w:w="85" w:type="dxa"/>
              <w:bottom w:w="85" w:type="dxa"/>
              <w:right w:w="85" w:type="dxa"/>
            </w:tcMar>
            <w:vAlign w:val="center"/>
          </w:tcPr>
          <w:p w14:paraId="335FE7DD" w14:textId="77777777" w:rsidR="00532AA9" w:rsidRDefault="00000000" w:rsidP="00001303">
            <w:pPr>
              <w:spacing w:after="0" w:line="240" w:lineRule="auto"/>
            </w:pPr>
            <w:r>
              <w:rPr>
                <w:sz w:val="16"/>
              </w:rPr>
              <w:t>Pleiotropy and fitness</w:t>
            </w:r>
          </w:p>
        </w:tc>
        <w:tc>
          <w:tcPr>
            <w:tcW w:w="1756" w:type="dxa"/>
            <w:tcMar>
              <w:top w:w="85" w:type="dxa"/>
              <w:left w:w="85" w:type="dxa"/>
              <w:bottom w:w="85" w:type="dxa"/>
              <w:right w:w="85" w:type="dxa"/>
            </w:tcMar>
            <w:vAlign w:val="center"/>
          </w:tcPr>
          <w:p w14:paraId="014EE899" w14:textId="77777777" w:rsidR="00532AA9" w:rsidRDefault="00000000" w:rsidP="00001303">
            <w:pPr>
              <w:spacing w:after="0" w:line="240" w:lineRule="auto"/>
            </w:pPr>
            <w:r>
              <w:rPr>
                <w:sz w:val="16"/>
              </w:rPr>
              <w:t>Target trait and basic morphology</w:t>
            </w:r>
          </w:p>
        </w:tc>
        <w:tc>
          <w:tcPr>
            <w:tcW w:w="1987" w:type="dxa"/>
            <w:tcMar>
              <w:top w:w="85" w:type="dxa"/>
              <w:left w:w="85" w:type="dxa"/>
              <w:bottom w:w="85" w:type="dxa"/>
              <w:right w:w="85" w:type="dxa"/>
            </w:tcMar>
            <w:vAlign w:val="center"/>
          </w:tcPr>
          <w:p w14:paraId="4B3DEADB" w14:textId="77777777" w:rsidR="00532AA9" w:rsidRDefault="00000000" w:rsidP="00001303">
            <w:pPr>
              <w:spacing w:after="0" w:line="240" w:lineRule="auto"/>
            </w:pPr>
            <w:r>
              <w:rPr>
                <w:sz w:val="16"/>
              </w:rPr>
              <w:t>Developmental, compositional, reproductive and yield assessment</w:t>
            </w:r>
          </w:p>
        </w:tc>
        <w:tc>
          <w:tcPr>
            <w:tcW w:w="2232" w:type="dxa"/>
            <w:tcMar>
              <w:top w:w="85" w:type="dxa"/>
              <w:left w:w="85" w:type="dxa"/>
              <w:bottom w:w="85" w:type="dxa"/>
              <w:right w:w="85" w:type="dxa"/>
            </w:tcMar>
            <w:vAlign w:val="center"/>
          </w:tcPr>
          <w:p w14:paraId="2167B305" w14:textId="77777777" w:rsidR="00532AA9" w:rsidRDefault="00000000" w:rsidP="00001303">
            <w:pPr>
              <w:spacing w:after="0" w:line="240" w:lineRule="auto"/>
            </w:pPr>
            <w:proofErr w:type="spellStart"/>
            <w:r>
              <w:rPr>
                <w:sz w:val="16"/>
              </w:rPr>
              <w:t>Optimising</w:t>
            </w:r>
            <w:proofErr w:type="spellEnd"/>
            <w:r>
              <w:rPr>
                <w:sz w:val="16"/>
              </w:rPr>
              <w:t xml:space="preserve"> one endpoint while overlooking penalties</w:t>
            </w:r>
          </w:p>
        </w:tc>
        <w:tc>
          <w:tcPr>
            <w:tcW w:w="1944" w:type="dxa"/>
            <w:tcMar>
              <w:top w:w="85" w:type="dxa"/>
              <w:left w:w="85" w:type="dxa"/>
              <w:bottom w:w="85" w:type="dxa"/>
              <w:right w:w="85" w:type="dxa"/>
            </w:tcMar>
            <w:vAlign w:val="center"/>
          </w:tcPr>
          <w:p w14:paraId="224B957E" w14:textId="77777777" w:rsidR="00532AA9" w:rsidRDefault="00000000" w:rsidP="00001303">
            <w:pPr>
              <w:spacing w:after="0" w:line="240" w:lineRule="auto"/>
            </w:pPr>
            <w:r>
              <w:rPr>
                <w:sz w:val="16"/>
              </w:rPr>
              <w:t xml:space="preserve">Nonaka et al. (2017); </w:t>
            </w:r>
            <w:proofErr w:type="spellStart"/>
            <w:r>
              <w:rPr>
                <w:sz w:val="16"/>
              </w:rPr>
              <w:t>Zsögön</w:t>
            </w:r>
            <w:proofErr w:type="spellEnd"/>
            <w:r>
              <w:rPr>
                <w:sz w:val="16"/>
              </w:rPr>
              <w:t xml:space="preserve"> et al. (2018)</w:t>
            </w:r>
          </w:p>
        </w:tc>
      </w:tr>
      <w:tr w:rsidR="00532AA9" w14:paraId="6925616C" w14:textId="77777777">
        <w:trPr>
          <w:cantSplit/>
          <w:jc w:val="center"/>
        </w:trPr>
        <w:tc>
          <w:tcPr>
            <w:tcW w:w="1440" w:type="dxa"/>
            <w:tcMar>
              <w:top w:w="85" w:type="dxa"/>
              <w:left w:w="85" w:type="dxa"/>
              <w:bottom w:w="85" w:type="dxa"/>
              <w:right w:w="85" w:type="dxa"/>
            </w:tcMar>
            <w:vAlign w:val="center"/>
          </w:tcPr>
          <w:p w14:paraId="0F2E1713" w14:textId="77777777" w:rsidR="00532AA9" w:rsidRDefault="00000000" w:rsidP="00001303">
            <w:pPr>
              <w:spacing w:after="0" w:line="240" w:lineRule="auto"/>
            </w:pPr>
            <w:r>
              <w:rPr>
                <w:sz w:val="16"/>
              </w:rPr>
              <w:t>Field robustness</w:t>
            </w:r>
          </w:p>
        </w:tc>
        <w:tc>
          <w:tcPr>
            <w:tcW w:w="1756" w:type="dxa"/>
            <w:tcMar>
              <w:top w:w="85" w:type="dxa"/>
              <w:left w:w="85" w:type="dxa"/>
              <w:bottom w:w="85" w:type="dxa"/>
              <w:right w:w="85" w:type="dxa"/>
            </w:tcMar>
            <w:vAlign w:val="center"/>
          </w:tcPr>
          <w:p w14:paraId="7637F0AB" w14:textId="77777777" w:rsidR="00532AA9" w:rsidRDefault="00000000" w:rsidP="00001303">
            <w:pPr>
              <w:spacing w:after="0" w:line="240" w:lineRule="auto"/>
            </w:pPr>
            <w:r>
              <w:rPr>
                <w:sz w:val="16"/>
              </w:rPr>
              <w:t>Controlled-environment phenotype</w:t>
            </w:r>
          </w:p>
        </w:tc>
        <w:tc>
          <w:tcPr>
            <w:tcW w:w="1987" w:type="dxa"/>
            <w:tcMar>
              <w:top w:w="85" w:type="dxa"/>
              <w:left w:w="85" w:type="dxa"/>
              <w:bottom w:w="85" w:type="dxa"/>
              <w:right w:w="85" w:type="dxa"/>
            </w:tcMar>
            <w:vAlign w:val="center"/>
          </w:tcPr>
          <w:p w14:paraId="5B18B5DF" w14:textId="77777777" w:rsidR="00532AA9" w:rsidRDefault="00000000" w:rsidP="00001303">
            <w:pPr>
              <w:spacing w:after="0" w:line="240" w:lineRule="auto"/>
            </w:pPr>
            <w:r>
              <w:rPr>
                <w:sz w:val="16"/>
              </w:rPr>
              <w:t>Multi-location, multi-year trials across backgrounds and stress regimes</w:t>
            </w:r>
          </w:p>
        </w:tc>
        <w:tc>
          <w:tcPr>
            <w:tcW w:w="2232" w:type="dxa"/>
            <w:tcMar>
              <w:top w:w="85" w:type="dxa"/>
              <w:left w:w="85" w:type="dxa"/>
              <w:bottom w:w="85" w:type="dxa"/>
              <w:right w:w="85" w:type="dxa"/>
            </w:tcMar>
            <w:vAlign w:val="center"/>
          </w:tcPr>
          <w:p w14:paraId="5E061FA0" w14:textId="77777777" w:rsidR="00532AA9" w:rsidRDefault="00000000" w:rsidP="00001303">
            <w:pPr>
              <w:spacing w:after="0" w:line="240" w:lineRule="auto"/>
            </w:pPr>
            <w:r>
              <w:rPr>
                <w:sz w:val="16"/>
              </w:rPr>
              <w:t>Extrapolating from one environment or growth stage</w:t>
            </w:r>
          </w:p>
        </w:tc>
        <w:tc>
          <w:tcPr>
            <w:tcW w:w="1944" w:type="dxa"/>
            <w:tcMar>
              <w:top w:w="85" w:type="dxa"/>
              <w:left w:w="85" w:type="dxa"/>
              <w:bottom w:w="85" w:type="dxa"/>
              <w:right w:w="85" w:type="dxa"/>
            </w:tcMar>
            <w:vAlign w:val="center"/>
          </w:tcPr>
          <w:p w14:paraId="2BF82161" w14:textId="77777777" w:rsidR="00532AA9" w:rsidRDefault="00000000" w:rsidP="00001303">
            <w:pPr>
              <w:spacing w:after="0" w:line="240" w:lineRule="auto"/>
            </w:pPr>
            <w:proofErr w:type="spellStart"/>
            <w:r>
              <w:rPr>
                <w:sz w:val="16"/>
              </w:rPr>
              <w:t>Harfouche</w:t>
            </w:r>
            <w:proofErr w:type="spellEnd"/>
            <w:r>
              <w:rPr>
                <w:sz w:val="16"/>
              </w:rPr>
              <w:t xml:space="preserve"> et al. (2019); Shi et al. (2017)</w:t>
            </w:r>
          </w:p>
        </w:tc>
      </w:tr>
      <w:tr w:rsidR="00532AA9" w14:paraId="50660CD9" w14:textId="77777777">
        <w:trPr>
          <w:cantSplit/>
          <w:jc w:val="center"/>
        </w:trPr>
        <w:tc>
          <w:tcPr>
            <w:tcW w:w="1440" w:type="dxa"/>
            <w:tcMar>
              <w:top w:w="85" w:type="dxa"/>
              <w:left w:w="85" w:type="dxa"/>
              <w:bottom w:w="85" w:type="dxa"/>
              <w:right w:w="85" w:type="dxa"/>
            </w:tcMar>
            <w:vAlign w:val="center"/>
          </w:tcPr>
          <w:p w14:paraId="5A176E9C" w14:textId="77777777" w:rsidR="00532AA9" w:rsidRDefault="00000000" w:rsidP="00001303">
            <w:pPr>
              <w:spacing w:after="0" w:line="240" w:lineRule="auto"/>
            </w:pPr>
            <w:r>
              <w:rPr>
                <w:sz w:val="16"/>
              </w:rPr>
              <w:t>Model fairness and transferability</w:t>
            </w:r>
          </w:p>
        </w:tc>
        <w:tc>
          <w:tcPr>
            <w:tcW w:w="1756" w:type="dxa"/>
            <w:tcMar>
              <w:top w:w="85" w:type="dxa"/>
              <w:left w:w="85" w:type="dxa"/>
              <w:bottom w:w="85" w:type="dxa"/>
              <w:right w:w="85" w:type="dxa"/>
            </w:tcMar>
            <w:vAlign w:val="center"/>
          </w:tcPr>
          <w:p w14:paraId="4FFB329C" w14:textId="77777777" w:rsidR="00532AA9" w:rsidRDefault="00000000" w:rsidP="00001303">
            <w:pPr>
              <w:spacing w:after="0" w:line="240" w:lineRule="auto"/>
            </w:pPr>
            <w:r>
              <w:rPr>
                <w:sz w:val="16"/>
              </w:rPr>
              <w:t>Internal test performance</w:t>
            </w:r>
          </w:p>
        </w:tc>
        <w:tc>
          <w:tcPr>
            <w:tcW w:w="1987" w:type="dxa"/>
            <w:tcMar>
              <w:top w:w="85" w:type="dxa"/>
              <w:left w:w="85" w:type="dxa"/>
              <w:bottom w:w="85" w:type="dxa"/>
              <w:right w:w="85" w:type="dxa"/>
            </w:tcMar>
            <w:vAlign w:val="center"/>
          </w:tcPr>
          <w:p w14:paraId="72D15FA3" w14:textId="77777777" w:rsidR="00532AA9" w:rsidRDefault="00000000" w:rsidP="00001303">
            <w:pPr>
              <w:spacing w:after="0" w:line="240" w:lineRule="auto"/>
            </w:pPr>
            <w:r>
              <w:rPr>
                <w:sz w:val="16"/>
              </w:rPr>
              <w:t>External germplasm, geographic and crop-species validation with uncertainty reporting</w:t>
            </w:r>
          </w:p>
        </w:tc>
        <w:tc>
          <w:tcPr>
            <w:tcW w:w="2232" w:type="dxa"/>
            <w:tcMar>
              <w:top w:w="85" w:type="dxa"/>
              <w:left w:w="85" w:type="dxa"/>
              <w:bottom w:w="85" w:type="dxa"/>
              <w:right w:w="85" w:type="dxa"/>
            </w:tcMar>
            <w:vAlign w:val="center"/>
          </w:tcPr>
          <w:p w14:paraId="654EEFAA" w14:textId="77777777" w:rsidR="00532AA9" w:rsidRDefault="00000000" w:rsidP="00001303">
            <w:pPr>
              <w:spacing w:after="0" w:line="240" w:lineRule="auto"/>
            </w:pPr>
            <w:r>
              <w:rPr>
                <w:sz w:val="16"/>
              </w:rPr>
              <w:t>Training-data concentration and hidden distribution shift</w:t>
            </w:r>
          </w:p>
        </w:tc>
        <w:tc>
          <w:tcPr>
            <w:tcW w:w="1944" w:type="dxa"/>
            <w:tcMar>
              <w:top w:w="85" w:type="dxa"/>
              <w:left w:w="85" w:type="dxa"/>
              <w:bottom w:w="85" w:type="dxa"/>
              <w:right w:w="85" w:type="dxa"/>
            </w:tcMar>
            <w:vAlign w:val="center"/>
          </w:tcPr>
          <w:p w14:paraId="204D4BEA" w14:textId="77777777" w:rsidR="00532AA9" w:rsidRDefault="00000000" w:rsidP="00001303">
            <w:pPr>
              <w:spacing w:after="0" w:line="240" w:lineRule="auto"/>
            </w:pPr>
            <w:proofErr w:type="spellStart"/>
            <w:r>
              <w:rPr>
                <w:sz w:val="16"/>
              </w:rPr>
              <w:t>Azodi</w:t>
            </w:r>
            <w:proofErr w:type="spellEnd"/>
            <w:r>
              <w:rPr>
                <w:sz w:val="16"/>
              </w:rPr>
              <w:t xml:space="preserve"> et al. (2019); Tong and </w:t>
            </w:r>
            <w:proofErr w:type="spellStart"/>
            <w:r>
              <w:rPr>
                <w:sz w:val="16"/>
              </w:rPr>
              <w:t>Nikoloski</w:t>
            </w:r>
            <w:proofErr w:type="spellEnd"/>
            <w:r>
              <w:rPr>
                <w:sz w:val="16"/>
              </w:rPr>
              <w:t xml:space="preserve"> (2021)</w:t>
            </w:r>
          </w:p>
        </w:tc>
      </w:tr>
    </w:tbl>
    <w:p w14:paraId="7607CD8D" w14:textId="77777777" w:rsidR="00532AA9" w:rsidRDefault="00000000" w:rsidP="00001303">
      <w:pPr>
        <w:pStyle w:val="TableNote"/>
      </w:pPr>
      <w:r>
        <w:rPr>
          <w:i w:val="0"/>
        </w:rPr>
        <w:t>Note. Validation should be proportional to biological complexity, novelty and potential consequences. Stronger evidence is cumulative rather than substitutive.</w:t>
      </w:r>
    </w:p>
    <w:p w14:paraId="24658991" w14:textId="77777777" w:rsidR="00532AA9" w:rsidRDefault="00000000" w:rsidP="00001303">
      <w:pPr>
        <w:pStyle w:val="Heading1"/>
      </w:pPr>
      <w:r>
        <w:t>9. Translation, Regulation and Equity</w:t>
      </w:r>
    </w:p>
    <w:p w14:paraId="665B5684" w14:textId="77777777" w:rsidR="00532AA9" w:rsidRDefault="00000000" w:rsidP="00001303">
      <w:r>
        <w:t>Regulation of genome-edited crops varies substantially among jurisdictions. Some frameworks exempt certain small edits when no foreign DNA remains, whereas others regulate according to the process or apply categories based on the type of sequence change. This divergence affects development cost, trade, traceability and which institutions can participate (</w:t>
      </w:r>
      <w:proofErr w:type="spellStart"/>
      <w:r>
        <w:t>Sprink</w:t>
      </w:r>
      <w:proofErr w:type="spellEnd"/>
      <w:r>
        <w:t xml:space="preserve"> et al., 2022; Wolt et al., 2016). AI does not resolve the underlying normative question of how much evidence is sufficient. It may support documentation, molecular </w:t>
      </w:r>
      <w:proofErr w:type="spellStart"/>
      <w:r>
        <w:t>characterisation</w:t>
      </w:r>
      <w:proofErr w:type="spellEnd"/>
      <w:r>
        <w:t xml:space="preserve"> and predictive risk assessment, but regulatory decisions must remain accountable and transparent.</w:t>
      </w:r>
    </w:p>
    <w:p w14:paraId="5912F3CC" w14:textId="77777777" w:rsidR="00532AA9" w:rsidRDefault="00000000" w:rsidP="00001303">
      <w:r>
        <w:t>Product-based assessment can focus attention on phenotype, exposure and novelty, but it must not assume that a small edit is automatically harmless or that a larger edit is automatically hazardous. Process information can reveal plausible unintended outcomes, especially for base editors, tissue culture or complex delivery. A proportionate framework should integrate product and process evidence. AI-generated predictions should be treated as supporting information unless independently validated, because model uncertainty and data provenance are part of the risk assessment.</w:t>
      </w:r>
    </w:p>
    <w:p w14:paraId="471FBDE3" w14:textId="77777777" w:rsidR="00532AA9" w:rsidRDefault="00000000" w:rsidP="00001303">
      <w:r>
        <w:t xml:space="preserve">Intellectual property and infrastructure shape which crops benefit. CRISPR reagents, transformation systems, elite germplasm, phenotyping platforms and high-performance computing may be controlled </w:t>
      </w:r>
      <w:r>
        <w:lastRenderedPageBreak/>
        <w:t xml:space="preserve">by different </w:t>
      </w:r>
      <w:proofErr w:type="spellStart"/>
      <w:r>
        <w:t>organisations</w:t>
      </w:r>
      <w:proofErr w:type="spellEnd"/>
      <w:r>
        <w:t xml:space="preserve">. Small breeding </w:t>
      </w:r>
      <w:proofErr w:type="spellStart"/>
      <w:r>
        <w:t>programmes</w:t>
      </w:r>
      <w:proofErr w:type="spellEnd"/>
      <w:r>
        <w:t xml:space="preserve"> can face cumulative licensing and technical barriers. Open benchmark data, non-exclusive licensing for public-interest crops, shared transformation facilities and locally governed phenotyping networks would reduce concentration. Without such measures, AI-CRISPR integration could disproportionately </w:t>
      </w:r>
      <w:proofErr w:type="spellStart"/>
      <w:r>
        <w:t>optimise</w:t>
      </w:r>
      <w:proofErr w:type="spellEnd"/>
      <w:r>
        <w:t xml:space="preserve"> globally traded crops and well-resourced environments.</w:t>
      </w:r>
    </w:p>
    <w:p w14:paraId="27C49312" w14:textId="77777777" w:rsidR="00532AA9" w:rsidRDefault="00000000" w:rsidP="00001303">
      <w:r>
        <w:t xml:space="preserve">Equity also concerns target definition. Breeding objectives encoded in training data may privilege yield under high-input management while underweighting </w:t>
      </w:r>
      <w:proofErr w:type="spellStart"/>
      <w:r>
        <w:t>labour</w:t>
      </w:r>
      <w:proofErr w:type="spellEnd"/>
      <w:r>
        <w:t xml:space="preserve">, culinary quality, cultural preference, seed sovereignty or resilience in low-input systems. Participatory breeding and farmer-defined trait priorities are therefore not peripheral to precision; they determine what counts as improvement. AI can help </w:t>
      </w:r>
      <w:proofErr w:type="spellStart"/>
      <w:r>
        <w:t>analyse</w:t>
      </w:r>
      <w:proofErr w:type="spellEnd"/>
      <w:r>
        <w:t xml:space="preserve"> diverse preferences and environments, but it should not replace deliberation. The relevant outcome is not merely an editable target but a useful, accessible and trusted variety.</w:t>
      </w:r>
    </w:p>
    <w:p w14:paraId="3B4AD8B4" w14:textId="77777777" w:rsidR="00532AA9" w:rsidRDefault="00000000" w:rsidP="00001303">
      <w:r>
        <w:t xml:space="preserve">Regulatory evidence becomes more complicated when AI is embedded in design. The algorithm does not itself determine the biological risk of a crop, but it influences which target, guide and editor were selected and how uncertainty was handled. For auditability, development records should preserve the model version, training-data provenance, input sequence, decision threshold and alternative candidates considered. These records allow a regulator or breeding </w:t>
      </w:r>
      <w:proofErr w:type="spellStart"/>
      <w:r>
        <w:t>organisation</w:t>
      </w:r>
      <w:proofErr w:type="spellEnd"/>
      <w:r>
        <w:t xml:space="preserve"> to distinguish a reproducible design process from an opaque recommendation. They are especially relevant when models are updated continuously or provided as external services. Documentation should remain proportionate: the critical evidence concerns the resulting genotype and phenotype, while model records explain how candidates were </w:t>
      </w:r>
      <w:proofErr w:type="spellStart"/>
      <w:r>
        <w:t>prioritised</w:t>
      </w:r>
      <w:proofErr w:type="spellEnd"/>
      <w:r>
        <w:t xml:space="preserve"> and where predicted risk may have been underestimated.</w:t>
      </w:r>
    </w:p>
    <w:p w14:paraId="41684FF3" w14:textId="77777777" w:rsidR="00532AA9" w:rsidRDefault="00000000" w:rsidP="00001303">
      <w:r>
        <w:t xml:space="preserve">Traceability is not synonymous with detectability. Small edits can be indistinguishable from natural or conventionally induced variants unless prior sequence information and chain-of-custody records are available. This limits purely analytical enforcement in jurisdictions that regulate according to technique. Conversely, product-oriented systems still require reliable identity preservation, event </w:t>
      </w:r>
      <w:proofErr w:type="spellStart"/>
      <w:r>
        <w:t>characterisation</w:t>
      </w:r>
      <w:proofErr w:type="spellEnd"/>
      <w:r>
        <w:t xml:space="preserve"> and seed stewardship. </w:t>
      </w:r>
      <w:proofErr w:type="spellStart"/>
      <w:r>
        <w:t>Harmonised</w:t>
      </w:r>
      <w:proofErr w:type="spellEnd"/>
      <w:r>
        <w:t xml:space="preserve"> data standards could reduce duplication by allowing the same molecular and phenotypic evidence to support breeding, safety assessment and trade documentation. Divergent regulatory categories remain a non-technical source of uncertainty because a product acceptable in one market may face different notification, labelling or import requirements elsewhere (</w:t>
      </w:r>
      <w:proofErr w:type="spellStart"/>
      <w:r>
        <w:t>Sprink</w:t>
      </w:r>
      <w:proofErr w:type="spellEnd"/>
      <w:r>
        <w:t xml:space="preserve"> et al., 2022; Wolt et al., 2016).</w:t>
      </w:r>
    </w:p>
    <w:p w14:paraId="59CFFFF5" w14:textId="77777777" w:rsidR="00532AA9" w:rsidRDefault="00000000" w:rsidP="00001303">
      <w:pPr>
        <w:pStyle w:val="Heading1"/>
      </w:pPr>
      <w:r>
        <w:t>10. An Integrative Framework for Predictive Plant Breeding</w:t>
      </w:r>
    </w:p>
    <w:p w14:paraId="1B9B3C50" w14:textId="77777777" w:rsidR="00532AA9" w:rsidRDefault="00000000" w:rsidP="00001303">
      <w:r>
        <w:t>A defensible integrative framework begins with a clearly specified breeding objective and target population of environments. The first stage assembles evidence from genetics, physiology, multi-omics, phenomics and stakeholder priorities. AI is then used to rank candidate interventions and estimate uncertainty, while causal criteria screen out features supported only by correlation. The second stage designs multiple editing strategies, including alternative guides, editor variants and allelic strengths. The third stage generates edited plants using delivery and regeneration methods selected for the crop and genotype. The fourth stage performs molecular, physiological and field validation. The fifth stage returns all outcomes, including failures and trade-offs, to the model.</w:t>
      </w:r>
    </w:p>
    <w:p w14:paraId="2D658887" w14:textId="77777777" w:rsidR="00532AA9" w:rsidRDefault="00000000" w:rsidP="00001303">
      <w:r>
        <w:t xml:space="preserve">Three evidence gates prevent the framework from becoming a technology-driven funnel. The causal gate asks whether the target is supported by perturbation or a coherent mechanism. The operational gate asks whether the edit can be produced, inherited and screened in relevant germplasm. The </w:t>
      </w:r>
      <w:r>
        <w:lastRenderedPageBreak/>
        <w:t>agronomic gate asks whether the phenotype remains beneficial across environments and without unacceptable penalties. An AI system should be allowed to recommend additional experiments when uncertainty is high rather than force a single target choice. This is closer to active learning than autonomous breeding.</w:t>
      </w:r>
    </w:p>
    <w:p w14:paraId="2B33771D" w14:textId="77777777" w:rsidR="00532AA9" w:rsidRDefault="00000000" w:rsidP="00001303">
      <w:r>
        <w:t xml:space="preserve">Data architecture is central. Plant breeding </w:t>
      </w:r>
      <w:proofErr w:type="spellStart"/>
      <w:r>
        <w:t>programmes</w:t>
      </w:r>
      <w:proofErr w:type="spellEnd"/>
      <w:r>
        <w:t xml:space="preserve"> require common identifiers for germplasm, environments, management, phenotypes, edits and molecular assays. Training data should include unsuccessful transformations, ineffective guides and neutral phenotypes, because absence of these records creates publication and survivorship bias. Federated or privacy-preserving learning may allow institutions to share model updates without relinquishing all proprietary data, but interoperability and governance agreements are prerequisites. Models should record version, training data, intended use, known exclusions and calibration domain.</w:t>
      </w:r>
    </w:p>
    <w:p w14:paraId="706D65BB" w14:textId="77777777" w:rsidR="00532AA9" w:rsidRDefault="00000000" w:rsidP="00001303">
      <w:r>
        <w:t xml:space="preserve">Decision thresholds should be explicit at each transition in the cycle. A target should advance only when causal evidence and editability exceed a defined threshold; a guide should advance when predicted activity, specificity and assay quality justify experimental cost; an edited event should advance when molecular identity and phenotypic evidence satisfy breeding objectives; and field advancement should depend on stability and downside risk. These thresholds will differ among traits and </w:t>
      </w:r>
      <w:proofErr w:type="spellStart"/>
      <w:r>
        <w:t>organisations</w:t>
      </w:r>
      <w:proofErr w:type="spellEnd"/>
      <w:r>
        <w:t>, but making them visible prevents a high score in one component from masking weakness elsewhere. Probabilistic outputs are preferable to ranks alone because they allow expected value, resource constraints and asymmetric failure costs to be considered. A model should also be able to abstain when a target, species or environment falls outside its training support.</w:t>
      </w:r>
    </w:p>
    <w:p w14:paraId="2FE49ABD" w14:textId="77777777" w:rsidR="00532AA9" w:rsidRDefault="00000000" w:rsidP="00001303">
      <w:r>
        <w:t>The cycle should retain negative and inconclusive outcomes. Failed edits, neutral phenotypes and background-dependent effects are scientifically informative because they update beliefs about target causality and model scope. Selective retention of successful experiments produces feedback that is systematically optimistic and can make later models less reliable. Versioned datasets should distinguish technical failure from biological null effect and should record the full denominator of attempted designs. In this sense, the quality of the learning system depends less on uninterrupted automation than on disciplined experimental accounting. The strongest role for AI is to allocate scarce experiments and integrate their consequences, while the strongest role for CRISPR is to create perturbations sufficiently defined to support causal learning (Gao et al., 2026; Jiang et al., 2025).</w:t>
      </w:r>
    </w:p>
    <w:p w14:paraId="70111C66" w14:textId="77777777" w:rsidR="00532AA9" w:rsidRDefault="00000000" w:rsidP="00001303">
      <w:r>
        <w:t>The framework also clarifies the continued role of breeders. Breeders define objectives, interpret trade-offs, choose germplasm, design field trials and decide which predictions are actionable. CRISPR narrows the intervention and AI narrows the search, but selection still occurs at whole-plant and population levels. Precision plant breeding is therefore best understood as disciplined coordination of molecular tools, predictive models and empirical selection. Its success should be measured by reliable genetic gain, diversity, resilience, cost and social value, not by editing efficiency or model accuracy alone.</w:t>
      </w:r>
    </w:p>
    <w:p w14:paraId="5B7B69CB" w14:textId="77777777" w:rsidR="00532AA9" w:rsidRDefault="00000000" w:rsidP="00001303">
      <w:pPr>
        <w:pStyle w:val="Heading1"/>
      </w:pPr>
      <w:r>
        <w:t>11. Future Directions</w:t>
      </w:r>
    </w:p>
    <w:p w14:paraId="28966A96" w14:textId="77777777" w:rsidR="00532AA9" w:rsidRDefault="00000000" w:rsidP="00001303">
      <w:r>
        <w:t xml:space="preserve">The immediate priority is to build plant-specific, prospective benchmark datasets for guide activity, specificity and editing outcomes. Current AI-CRISPR models often aggregate assays from different cell types, nucleases and experimental platforms, which limits calibration. Benchmark panels should include major and underrepresented crops, diploid and polyploid genomes, diverse haplotypes, endogenous loci, alternative delivery modes and negative results. Train-test partitions must prevent </w:t>
      </w:r>
      <w:r>
        <w:lastRenderedPageBreak/>
        <w:t>near-duplicate guides or loci from appearing in both sets. Prospective blind challenges would reveal whether model gains persist outside the development dataset (Abbasi et al., 2025; Thomson et al., 2026).</w:t>
      </w:r>
    </w:p>
    <w:p w14:paraId="2D83CE2A" w14:textId="77777777" w:rsidR="00532AA9" w:rsidRDefault="00000000" w:rsidP="00001303">
      <w:r>
        <w:t>A second priority is causal target discovery for complex traits. Large observational datasets should be linked to designed perturbation experiments, regulatory allelic series and multi-environment phenotyping. Active-learning studies can compare random, expert-selected and model-selected edits to determine whether AI genuinely reduces experimental burden. The appropriate outcomes include information gain, recovery of useful alleles, prediction calibration and field performance, not only retrospective area under a curve. Such studies should be pre-registered where feasible and publish null results.</w:t>
      </w:r>
    </w:p>
    <w:p w14:paraId="3488FAA6" w14:textId="77777777" w:rsidR="00532AA9" w:rsidRDefault="00000000" w:rsidP="00001303">
      <w:r>
        <w:t xml:space="preserve">Third, transformation and regeneration research must be integrated with computational design. Predictive models should estimate the full probability of recovering a fertile, non-chimeric, correctly edited plant in a relevant genotype. Multi-institution experiments should test whether developmental regulators, de novo meristem induction, transient delivery and ribonucleoproteins </w:t>
      </w:r>
      <w:proofErr w:type="spellStart"/>
      <w:r>
        <w:t>generalise</w:t>
      </w:r>
      <w:proofErr w:type="spellEnd"/>
      <w:r>
        <w:t xml:space="preserve"> across germplasm. Automation and computer vision can improve throughput, but the biological determinants of totipotency require direct investigation (Altpeter et al., 2016; Debernardi et al., 2020; Maher et al., 2020).</w:t>
      </w:r>
    </w:p>
    <w:p w14:paraId="06048089" w14:textId="77777777" w:rsidR="00532AA9" w:rsidRDefault="00000000" w:rsidP="00001303">
      <w:r>
        <w:t>Fourth, field validation should move earlier in the AI-CRISPR cycle. Edited candidates for stress tolerance or yield need multi-location and multi-year trials that represent the target population of environments. Models should be evaluated under temporal and geographic distribution shift, with emphasis on downside risk and stability. For disease resistance, pathogen population genomics and evolutionary experiments should inform multiplex target choice. For nutritional or quality traits, compositional, processing and sensory outcomes should accompany molecular measurements.</w:t>
      </w:r>
    </w:p>
    <w:p w14:paraId="75C3AD28" w14:textId="77777777" w:rsidR="00532AA9" w:rsidRDefault="00000000" w:rsidP="00001303">
      <w:r>
        <w:t>Fifth, advanced editors require outcome-complete validation. Base and prime editors should be assessed for intended edit, bystanders, guide-dependent and guide-independent off-targets, structural outcomes, mosaicism and inheritance. Long-read sequencing and orthogonal assays should be used selectively according to mechanistic risk. AI models should output calibrated distributions and abstain when targets lie outside training support. Comparisons with simpler scoring methods are necessary to establish added value (Jin et al., 2019; Kim et al., 2025; B. Li et al., 2024).</w:t>
      </w:r>
    </w:p>
    <w:p w14:paraId="6ED6C9DF" w14:textId="77777777" w:rsidR="00532AA9" w:rsidRDefault="00000000" w:rsidP="00001303">
      <w:r>
        <w:t xml:space="preserve">Sixth, governance should be designed for learning systems. Regulatory dossiers need versioned model documentation, data provenance and a clear distinction between predicted and measured evidence. Post-release monitoring may be appropriate for traits with ecological interaction or rapid pathogen evolution. International coordination should reduce unnecessary divergence while preserving context-specific risk assessment. Public-sector breeding </w:t>
      </w:r>
      <w:proofErr w:type="spellStart"/>
      <w:r>
        <w:t>programmes</w:t>
      </w:r>
      <w:proofErr w:type="spellEnd"/>
      <w:r>
        <w:t xml:space="preserve"> need access to validated tools, transformation capacity and compute so that regulatory and technical costs do not exclude locally important crops.</w:t>
      </w:r>
    </w:p>
    <w:p w14:paraId="410B510B" w14:textId="77777777" w:rsidR="00532AA9" w:rsidRDefault="00000000" w:rsidP="00001303">
      <w:r>
        <w:t xml:space="preserve">Foundation models and multimodal architectures should be evaluated against crop-specific questions rather than adopted on scale alone. Models trained on large sequence or literature corpora may transfer useful representations to under-resourced species, but pretraining can also reproduce taxonomic imbalance and annotation error. Studies should compare frozen representations, crop-adapted fine-tuning and conventional feature engineering under small-sample conditions. Evaluation must include uncertainty, calibration, computational cost and prospective biological yield. A model that improves a benchmark but requires infrastructure unavailable to public breeding </w:t>
      </w:r>
      <w:proofErr w:type="spellStart"/>
      <w:r>
        <w:t>programmes</w:t>
      </w:r>
      <w:proofErr w:type="spellEnd"/>
      <w:r>
        <w:t xml:space="preserve"> </w:t>
      </w:r>
      <w:r>
        <w:lastRenderedPageBreak/>
        <w:t xml:space="preserve">may have limited practical advantage. Shared lightweight models and federated or privacy-preserving approaches may be more appropriate where germplasm data cannot be </w:t>
      </w:r>
      <w:proofErr w:type="spellStart"/>
      <w:r>
        <w:t>centralised</w:t>
      </w:r>
      <w:proofErr w:type="spellEnd"/>
      <w:r>
        <w:t>.</w:t>
      </w:r>
    </w:p>
    <w:p w14:paraId="6A30F586" w14:textId="77777777" w:rsidR="00532AA9" w:rsidRDefault="00000000" w:rsidP="00001303">
      <w:r>
        <w:t xml:space="preserve">Longer-term research should link molecular design to quantitative decision analysis. Digital representations of target environments, crop growth and pathogen populations could be used to select edits whose expected value is robust across plausible futures rather than </w:t>
      </w:r>
      <w:proofErr w:type="spellStart"/>
      <w:r>
        <w:t>optimised</w:t>
      </w:r>
      <w:proofErr w:type="spellEnd"/>
      <w:r>
        <w:t xml:space="preserve"> for one historical dataset. Such systems would need explicit causal assumptions and continuous field validation. They should also compare editing with alternative breeding actions, including crossing, introgression, genomic selection and management change. The relevant question is not whether an edit can be produced, but whether it is the most effective and proportionate intervention for the breeding objective. Integrating these alternatives would prevent technological lock-in and place AI-CRISPR within, rather than above, the broader breeding portfolio.</w:t>
      </w:r>
    </w:p>
    <w:p w14:paraId="73481069" w14:textId="77777777" w:rsidR="00532AA9" w:rsidRDefault="00000000" w:rsidP="00001303">
      <w:r>
        <w:t xml:space="preserve">Finally, research should evaluate equity as an empirical outcome. Studies should report which crops, regions and breeding </w:t>
      </w:r>
      <w:proofErr w:type="spellStart"/>
      <w:r>
        <w:t>organisations</w:t>
      </w:r>
      <w:proofErr w:type="spellEnd"/>
      <w:r>
        <w:t xml:space="preserve"> contribute to and benefit from datasets. Participatory definition of breeding objectives should be incorporated before target </w:t>
      </w:r>
      <w:proofErr w:type="spellStart"/>
      <w:r>
        <w:t>optimisation</w:t>
      </w:r>
      <w:proofErr w:type="spellEnd"/>
      <w:r>
        <w:t xml:space="preserve">. Open reference panels and shared standards should be developed without forcing unrestricted release of sensitive farmer or breeding data. The priorities in Table 5 are ordered by their ability to convert current promise into reliable, </w:t>
      </w:r>
      <w:proofErr w:type="spellStart"/>
      <w:r>
        <w:t>generalisable</w:t>
      </w:r>
      <w:proofErr w:type="spellEnd"/>
      <w:r>
        <w:t xml:space="preserve"> and socially useful breeding practice.</w:t>
      </w:r>
    </w:p>
    <w:p w14:paraId="2EAA7A37" w14:textId="77777777" w:rsidR="00532AA9" w:rsidRDefault="00000000" w:rsidP="00001303">
      <w:pPr>
        <w:keepNext/>
        <w:spacing w:before="140" w:after="100"/>
      </w:pPr>
      <w:r>
        <w:rPr>
          <w:b/>
          <w:color w:val="1F4E79"/>
          <w:sz w:val="19"/>
        </w:rPr>
        <w:t xml:space="preserve">Table 5. </w:t>
      </w:r>
      <w:proofErr w:type="spellStart"/>
      <w:r>
        <w:rPr>
          <w:b/>
          <w:color w:val="1F4E79"/>
          <w:sz w:val="19"/>
        </w:rPr>
        <w:t>Prioritised</w:t>
      </w:r>
      <w:proofErr w:type="spellEnd"/>
      <w:r>
        <w:rPr>
          <w:b/>
          <w:color w:val="1F4E79"/>
          <w:sz w:val="19"/>
        </w:rPr>
        <w:t xml:space="preserve"> research agenda for AI-CRISPR precision plant breeding</w:t>
      </w:r>
    </w:p>
    <w:tbl>
      <w:tblPr>
        <w:tblW w:w="0" w:type="auto"/>
        <w:jc w:val="center"/>
        <w:tblBorders>
          <w:top w:val="single" w:sz="4" w:space="0" w:color="B8C2CC"/>
          <w:left w:val="single" w:sz="4" w:space="0" w:color="B8C2CC"/>
          <w:bottom w:val="single" w:sz="4" w:space="0" w:color="B8C2CC"/>
          <w:right w:val="single" w:sz="4" w:space="0" w:color="B8C2CC"/>
          <w:insideH w:val="single" w:sz="4" w:space="0" w:color="B8C2CC"/>
          <w:insideV w:val="single" w:sz="4" w:space="0" w:color="B8C2CC"/>
        </w:tblBorders>
        <w:tblLayout w:type="fixed"/>
        <w:tblLook w:val="04A0" w:firstRow="1" w:lastRow="0" w:firstColumn="1" w:lastColumn="0" w:noHBand="0" w:noVBand="1"/>
      </w:tblPr>
      <w:tblGrid>
        <w:gridCol w:w="1440"/>
        <w:gridCol w:w="1756"/>
        <w:gridCol w:w="1987"/>
        <w:gridCol w:w="2232"/>
        <w:gridCol w:w="1944"/>
      </w:tblGrid>
      <w:tr w:rsidR="00532AA9" w14:paraId="1188AA78" w14:textId="77777777">
        <w:trPr>
          <w:cantSplit/>
          <w:tblHeader/>
          <w:jc w:val="center"/>
        </w:trPr>
        <w:tc>
          <w:tcPr>
            <w:tcW w:w="1440" w:type="dxa"/>
            <w:shd w:val="clear" w:color="auto" w:fill="D9EAF7"/>
            <w:tcMar>
              <w:top w:w="90" w:type="dxa"/>
              <w:left w:w="90" w:type="dxa"/>
              <w:bottom w:w="90" w:type="dxa"/>
              <w:right w:w="90" w:type="dxa"/>
            </w:tcMar>
            <w:vAlign w:val="center"/>
          </w:tcPr>
          <w:p w14:paraId="5D1F6360" w14:textId="77777777" w:rsidR="00532AA9" w:rsidRDefault="00000000" w:rsidP="00001303">
            <w:pPr>
              <w:spacing w:after="0" w:line="240" w:lineRule="auto"/>
            </w:pPr>
            <w:r>
              <w:rPr>
                <w:b/>
                <w:color w:val="1F4E79"/>
                <w:sz w:val="16"/>
              </w:rPr>
              <w:t>Priority</w:t>
            </w:r>
          </w:p>
        </w:tc>
        <w:tc>
          <w:tcPr>
            <w:tcW w:w="1756" w:type="dxa"/>
            <w:shd w:val="clear" w:color="auto" w:fill="D9EAF7"/>
            <w:tcMar>
              <w:top w:w="90" w:type="dxa"/>
              <w:left w:w="90" w:type="dxa"/>
              <w:bottom w:w="90" w:type="dxa"/>
              <w:right w:w="90" w:type="dxa"/>
            </w:tcMar>
            <w:vAlign w:val="center"/>
          </w:tcPr>
          <w:p w14:paraId="18343A16" w14:textId="77777777" w:rsidR="00532AA9" w:rsidRDefault="00000000" w:rsidP="00001303">
            <w:pPr>
              <w:spacing w:after="0" w:line="240" w:lineRule="auto"/>
            </w:pPr>
            <w:r>
              <w:rPr>
                <w:b/>
                <w:color w:val="1F4E79"/>
                <w:sz w:val="16"/>
              </w:rPr>
              <w:t>Unresolved problem</w:t>
            </w:r>
          </w:p>
        </w:tc>
        <w:tc>
          <w:tcPr>
            <w:tcW w:w="1987" w:type="dxa"/>
            <w:shd w:val="clear" w:color="auto" w:fill="D9EAF7"/>
            <w:tcMar>
              <w:top w:w="90" w:type="dxa"/>
              <w:left w:w="90" w:type="dxa"/>
              <w:bottom w:w="90" w:type="dxa"/>
              <w:right w:w="90" w:type="dxa"/>
            </w:tcMar>
            <w:vAlign w:val="center"/>
          </w:tcPr>
          <w:p w14:paraId="26A51A29" w14:textId="77777777" w:rsidR="00532AA9" w:rsidRDefault="00000000" w:rsidP="00001303">
            <w:pPr>
              <w:spacing w:after="0" w:line="240" w:lineRule="auto"/>
            </w:pPr>
            <w:r>
              <w:rPr>
                <w:b/>
                <w:color w:val="1F4E79"/>
                <w:sz w:val="16"/>
              </w:rPr>
              <w:t>Recommended design</w:t>
            </w:r>
          </w:p>
        </w:tc>
        <w:tc>
          <w:tcPr>
            <w:tcW w:w="2232" w:type="dxa"/>
            <w:shd w:val="clear" w:color="auto" w:fill="D9EAF7"/>
            <w:tcMar>
              <w:top w:w="90" w:type="dxa"/>
              <w:left w:w="90" w:type="dxa"/>
              <w:bottom w:w="90" w:type="dxa"/>
              <w:right w:w="90" w:type="dxa"/>
            </w:tcMar>
            <w:vAlign w:val="center"/>
          </w:tcPr>
          <w:p w14:paraId="26E96B44" w14:textId="77777777" w:rsidR="00532AA9" w:rsidRDefault="00000000" w:rsidP="00001303">
            <w:pPr>
              <w:spacing w:after="0" w:line="240" w:lineRule="auto"/>
            </w:pPr>
            <w:r>
              <w:rPr>
                <w:b/>
                <w:color w:val="1F4E79"/>
                <w:sz w:val="16"/>
              </w:rPr>
              <w:t>Decision-relevant outcome</w:t>
            </w:r>
          </w:p>
        </w:tc>
        <w:tc>
          <w:tcPr>
            <w:tcW w:w="1944" w:type="dxa"/>
            <w:shd w:val="clear" w:color="auto" w:fill="D9EAF7"/>
            <w:tcMar>
              <w:top w:w="90" w:type="dxa"/>
              <w:left w:w="90" w:type="dxa"/>
              <w:bottom w:w="90" w:type="dxa"/>
              <w:right w:w="90" w:type="dxa"/>
            </w:tcMar>
            <w:vAlign w:val="center"/>
          </w:tcPr>
          <w:p w14:paraId="63C4D768" w14:textId="77777777" w:rsidR="00532AA9" w:rsidRDefault="00000000" w:rsidP="00001303">
            <w:pPr>
              <w:spacing w:after="0" w:line="240" w:lineRule="auto"/>
            </w:pPr>
            <w:r>
              <w:rPr>
                <w:b/>
                <w:color w:val="1F4E79"/>
                <w:sz w:val="16"/>
              </w:rPr>
              <w:t>Supporting references</w:t>
            </w:r>
          </w:p>
        </w:tc>
      </w:tr>
      <w:tr w:rsidR="00532AA9" w14:paraId="6449DFDA" w14:textId="77777777">
        <w:trPr>
          <w:cantSplit/>
          <w:jc w:val="center"/>
        </w:trPr>
        <w:tc>
          <w:tcPr>
            <w:tcW w:w="1440" w:type="dxa"/>
            <w:tcMar>
              <w:top w:w="85" w:type="dxa"/>
              <w:left w:w="85" w:type="dxa"/>
              <w:bottom w:w="85" w:type="dxa"/>
              <w:right w:w="85" w:type="dxa"/>
            </w:tcMar>
            <w:vAlign w:val="center"/>
          </w:tcPr>
          <w:p w14:paraId="43007078" w14:textId="77777777" w:rsidR="00532AA9" w:rsidRDefault="00000000" w:rsidP="00001303">
            <w:pPr>
              <w:spacing w:after="0" w:line="240" w:lineRule="auto"/>
            </w:pPr>
            <w:r>
              <w:rPr>
                <w:sz w:val="16"/>
              </w:rPr>
              <w:t>1. Plant-specific CRISPR benchmarks</w:t>
            </w:r>
          </w:p>
        </w:tc>
        <w:tc>
          <w:tcPr>
            <w:tcW w:w="1756" w:type="dxa"/>
            <w:tcMar>
              <w:top w:w="85" w:type="dxa"/>
              <w:left w:w="85" w:type="dxa"/>
              <w:bottom w:w="85" w:type="dxa"/>
              <w:right w:w="85" w:type="dxa"/>
            </w:tcMar>
            <w:vAlign w:val="center"/>
          </w:tcPr>
          <w:p w14:paraId="02E79240" w14:textId="77777777" w:rsidR="00532AA9" w:rsidRDefault="00000000" w:rsidP="00001303">
            <w:pPr>
              <w:spacing w:after="0" w:line="240" w:lineRule="auto"/>
            </w:pPr>
            <w:r>
              <w:rPr>
                <w:sz w:val="16"/>
              </w:rPr>
              <w:t>Models are dominated by non-plant or assay-specific data.</w:t>
            </w:r>
          </w:p>
        </w:tc>
        <w:tc>
          <w:tcPr>
            <w:tcW w:w="1987" w:type="dxa"/>
            <w:tcMar>
              <w:top w:w="85" w:type="dxa"/>
              <w:left w:w="85" w:type="dxa"/>
              <w:bottom w:w="85" w:type="dxa"/>
              <w:right w:w="85" w:type="dxa"/>
            </w:tcMar>
            <w:vAlign w:val="center"/>
          </w:tcPr>
          <w:p w14:paraId="08E24EE3" w14:textId="77777777" w:rsidR="00532AA9" w:rsidRDefault="00000000" w:rsidP="00001303">
            <w:pPr>
              <w:spacing w:after="0" w:line="240" w:lineRule="auto"/>
            </w:pPr>
            <w:r>
              <w:rPr>
                <w:sz w:val="16"/>
              </w:rPr>
              <w:t>Prospective multi-crop, multi-locus blind benchmarks with strict split rules and negative results.</w:t>
            </w:r>
          </w:p>
        </w:tc>
        <w:tc>
          <w:tcPr>
            <w:tcW w:w="2232" w:type="dxa"/>
            <w:tcMar>
              <w:top w:w="85" w:type="dxa"/>
              <w:left w:w="85" w:type="dxa"/>
              <w:bottom w:w="85" w:type="dxa"/>
              <w:right w:w="85" w:type="dxa"/>
            </w:tcMar>
            <w:vAlign w:val="center"/>
          </w:tcPr>
          <w:p w14:paraId="6CF8FF54" w14:textId="77777777" w:rsidR="00532AA9" w:rsidRDefault="00000000" w:rsidP="00001303">
            <w:pPr>
              <w:spacing w:after="0" w:line="240" w:lineRule="auto"/>
            </w:pPr>
            <w:r>
              <w:rPr>
                <w:sz w:val="16"/>
              </w:rPr>
              <w:t>External calibration of guide, editor and outcome predictions.</w:t>
            </w:r>
          </w:p>
        </w:tc>
        <w:tc>
          <w:tcPr>
            <w:tcW w:w="1944" w:type="dxa"/>
            <w:tcMar>
              <w:top w:w="85" w:type="dxa"/>
              <w:left w:w="85" w:type="dxa"/>
              <w:bottom w:w="85" w:type="dxa"/>
              <w:right w:w="85" w:type="dxa"/>
            </w:tcMar>
            <w:vAlign w:val="center"/>
          </w:tcPr>
          <w:p w14:paraId="27683870" w14:textId="77777777" w:rsidR="00532AA9" w:rsidRDefault="00000000" w:rsidP="00001303">
            <w:pPr>
              <w:spacing w:after="0" w:line="240" w:lineRule="auto"/>
            </w:pPr>
            <w:r>
              <w:rPr>
                <w:sz w:val="16"/>
              </w:rPr>
              <w:t>Abbasi et al. (2025); Thomson et al. (2026)</w:t>
            </w:r>
          </w:p>
        </w:tc>
      </w:tr>
      <w:tr w:rsidR="00532AA9" w14:paraId="0DF741B8" w14:textId="77777777">
        <w:trPr>
          <w:cantSplit/>
          <w:jc w:val="center"/>
        </w:trPr>
        <w:tc>
          <w:tcPr>
            <w:tcW w:w="1440" w:type="dxa"/>
            <w:tcMar>
              <w:top w:w="85" w:type="dxa"/>
              <w:left w:w="85" w:type="dxa"/>
              <w:bottom w:w="85" w:type="dxa"/>
              <w:right w:w="85" w:type="dxa"/>
            </w:tcMar>
            <w:vAlign w:val="center"/>
          </w:tcPr>
          <w:p w14:paraId="011D8CC2" w14:textId="77777777" w:rsidR="00532AA9" w:rsidRDefault="00000000" w:rsidP="00001303">
            <w:pPr>
              <w:spacing w:after="0" w:line="240" w:lineRule="auto"/>
            </w:pPr>
            <w:r>
              <w:rPr>
                <w:sz w:val="16"/>
              </w:rPr>
              <w:t>2. Causal target learning</w:t>
            </w:r>
          </w:p>
        </w:tc>
        <w:tc>
          <w:tcPr>
            <w:tcW w:w="1756" w:type="dxa"/>
            <w:tcMar>
              <w:top w:w="85" w:type="dxa"/>
              <w:left w:w="85" w:type="dxa"/>
              <w:bottom w:w="85" w:type="dxa"/>
              <w:right w:w="85" w:type="dxa"/>
            </w:tcMar>
            <w:vAlign w:val="center"/>
          </w:tcPr>
          <w:p w14:paraId="65ADAACB" w14:textId="77777777" w:rsidR="00532AA9" w:rsidRDefault="00000000" w:rsidP="00001303">
            <w:pPr>
              <w:spacing w:after="0" w:line="240" w:lineRule="auto"/>
            </w:pPr>
            <w:r>
              <w:rPr>
                <w:sz w:val="16"/>
              </w:rPr>
              <w:t>Predictive features may not be manipulable causal targets.</w:t>
            </w:r>
          </w:p>
        </w:tc>
        <w:tc>
          <w:tcPr>
            <w:tcW w:w="1987" w:type="dxa"/>
            <w:tcMar>
              <w:top w:w="85" w:type="dxa"/>
              <w:left w:w="85" w:type="dxa"/>
              <w:bottom w:w="85" w:type="dxa"/>
              <w:right w:w="85" w:type="dxa"/>
            </w:tcMar>
            <w:vAlign w:val="center"/>
          </w:tcPr>
          <w:p w14:paraId="527E100D" w14:textId="77777777" w:rsidR="00532AA9" w:rsidRDefault="00000000" w:rsidP="00001303">
            <w:pPr>
              <w:spacing w:after="0" w:line="240" w:lineRule="auto"/>
            </w:pPr>
            <w:r>
              <w:rPr>
                <w:sz w:val="16"/>
              </w:rPr>
              <w:t>Active-learning comparison of model-selected, expert-selected and random perturbations.</w:t>
            </w:r>
          </w:p>
        </w:tc>
        <w:tc>
          <w:tcPr>
            <w:tcW w:w="2232" w:type="dxa"/>
            <w:tcMar>
              <w:top w:w="85" w:type="dxa"/>
              <w:left w:w="85" w:type="dxa"/>
              <w:bottom w:w="85" w:type="dxa"/>
              <w:right w:w="85" w:type="dxa"/>
            </w:tcMar>
            <w:vAlign w:val="center"/>
          </w:tcPr>
          <w:p w14:paraId="493AB404" w14:textId="77777777" w:rsidR="00532AA9" w:rsidRDefault="00000000" w:rsidP="00001303">
            <w:pPr>
              <w:spacing w:after="0" w:line="240" w:lineRule="auto"/>
            </w:pPr>
            <w:r>
              <w:rPr>
                <w:sz w:val="16"/>
              </w:rPr>
              <w:t>Information gain and recovery of useful alleles per experiment.</w:t>
            </w:r>
          </w:p>
        </w:tc>
        <w:tc>
          <w:tcPr>
            <w:tcW w:w="1944" w:type="dxa"/>
            <w:tcMar>
              <w:top w:w="85" w:type="dxa"/>
              <w:left w:w="85" w:type="dxa"/>
              <w:bottom w:w="85" w:type="dxa"/>
              <w:right w:w="85" w:type="dxa"/>
            </w:tcMar>
            <w:vAlign w:val="center"/>
          </w:tcPr>
          <w:p w14:paraId="6C18C981" w14:textId="77777777" w:rsidR="00532AA9" w:rsidRDefault="00000000" w:rsidP="00001303">
            <w:pPr>
              <w:spacing w:after="0" w:line="240" w:lineRule="auto"/>
            </w:pPr>
            <w:r>
              <w:rPr>
                <w:sz w:val="16"/>
              </w:rPr>
              <w:t>Gao et al. (2026); Jiang et al. (2025)</w:t>
            </w:r>
          </w:p>
        </w:tc>
      </w:tr>
      <w:tr w:rsidR="00532AA9" w14:paraId="16B8A16A" w14:textId="77777777">
        <w:trPr>
          <w:cantSplit/>
          <w:jc w:val="center"/>
        </w:trPr>
        <w:tc>
          <w:tcPr>
            <w:tcW w:w="1440" w:type="dxa"/>
            <w:tcMar>
              <w:top w:w="85" w:type="dxa"/>
              <w:left w:w="85" w:type="dxa"/>
              <w:bottom w:w="85" w:type="dxa"/>
              <w:right w:w="85" w:type="dxa"/>
            </w:tcMar>
            <w:vAlign w:val="center"/>
          </w:tcPr>
          <w:p w14:paraId="61A0DA07" w14:textId="77777777" w:rsidR="00532AA9" w:rsidRDefault="00000000" w:rsidP="00001303">
            <w:pPr>
              <w:spacing w:after="0" w:line="240" w:lineRule="auto"/>
            </w:pPr>
            <w:r>
              <w:rPr>
                <w:sz w:val="16"/>
              </w:rPr>
              <w:t>3. End-to-end recovery models</w:t>
            </w:r>
          </w:p>
        </w:tc>
        <w:tc>
          <w:tcPr>
            <w:tcW w:w="1756" w:type="dxa"/>
            <w:tcMar>
              <w:top w:w="85" w:type="dxa"/>
              <w:left w:w="85" w:type="dxa"/>
              <w:bottom w:w="85" w:type="dxa"/>
              <w:right w:w="85" w:type="dxa"/>
            </w:tcMar>
            <w:vAlign w:val="center"/>
          </w:tcPr>
          <w:p w14:paraId="72D9227F" w14:textId="77777777" w:rsidR="00532AA9" w:rsidRDefault="00000000" w:rsidP="00001303">
            <w:pPr>
              <w:spacing w:after="0" w:line="240" w:lineRule="auto"/>
            </w:pPr>
            <w:r>
              <w:rPr>
                <w:sz w:val="16"/>
              </w:rPr>
              <w:t>Editing efficiency ignores delivery, mosaicism and regeneration.</w:t>
            </w:r>
          </w:p>
        </w:tc>
        <w:tc>
          <w:tcPr>
            <w:tcW w:w="1987" w:type="dxa"/>
            <w:tcMar>
              <w:top w:w="85" w:type="dxa"/>
              <w:left w:w="85" w:type="dxa"/>
              <w:bottom w:w="85" w:type="dxa"/>
              <w:right w:w="85" w:type="dxa"/>
            </w:tcMar>
            <w:vAlign w:val="center"/>
          </w:tcPr>
          <w:p w14:paraId="0F0D47D1" w14:textId="77777777" w:rsidR="00532AA9" w:rsidRDefault="00000000" w:rsidP="00001303">
            <w:pPr>
              <w:spacing w:after="0" w:line="240" w:lineRule="auto"/>
            </w:pPr>
            <w:r>
              <w:rPr>
                <w:sz w:val="16"/>
              </w:rPr>
              <w:t>Multi-genotype trials integrating reagent delivery, regeneration and molecular screening.</w:t>
            </w:r>
          </w:p>
        </w:tc>
        <w:tc>
          <w:tcPr>
            <w:tcW w:w="2232" w:type="dxa"/>
            <w:tcMar>
              <w:top w:w="85" w:type="dxa"/>
              <w:left w:w="85" w:type="dxa"/>
              <w:bottom w:w="85" w:type="dxa"/>
              <w:right w:w="85" w:type="dxa"/>
            </w:tcMar>
            <w:vAlign w:val="center"/>
          </w:tcPr>
          <w:p w14:paraId="0B88E323" w14:textId="77777777" w:rsidR="00532AA9" w:rsidRDefault="00000000" w:rsidP="00001303">
            <w:pPr>
              <w:spacing w:after="0" w:line="240" w:lineRule="auto"/>
            </w:pPr>
            <w:r>
              <w:rPr>
                <w:sz w:val="16"/>
              </w:rPr>
              <w:t>Probability, cost and time to a fertile validated plant.</w:t>
            </w:r>
          </w:p>
        </w:tc>
        <w:tc>
          <w:tcPr>
            <w:tcW w:w="1944" w:type="dxa"/>
            <w:tcMar>
              <w:top w:w="85" w:type="dxa"/>
              <w:left w:w="85" w:type="dxa"/>
              <w:bottom w:w="85" w:type="dxa"/>
              <w:right w:w="85" w:type="dxa"/>
            </w:tcMar>
            <w:vAlign w:val="center"/>
          </w:tcPr>
          <w:p w14:paraId="1D7E70C3" w14:textId="77777777" w:rsidR="00532AA9" w:rsidRDefault="00000000" w:rsidP="00001303">
            <w:pPr>
              <w:spacing w:after="0" w:line="240" w:lineRule="auto"/>
            </w:pPr>
            <w:r>
              <w:rPr>
                <w:sz w:val="16"/>
              </w:rPr>
              <w:t>Debernardi et al. (2020); Liang et al. (2017)</w:t>
            </w:r>
          </w:p>
        </w:tc>
      </w:tr>
      <w:tr w:rsidR="00532AA9" w14:paraId="567426A9" w14:textId="77777777">
        <w:trPr>
          <w:cantSplit/>
          <w:jc w:val="center"/>
        </w:trPr>
        <w:tc>
          <w:tcPr>
            <w:tcW w:w="1440" w:type="dxa"/>
            <w:tcMar>
              <w:top w:w="85" w:type="dxa"/>
              <w:left w:w="85" w:type="dxa"/>
              <w:bottom w:w="85" w:type="dxa"/>
              <w:right w:w="85" w:type="dxa"/>
            </w:tcMar>
            <w:vAlign w:val="center"/>
          </w:tcPr>
          <w:p w14:paraId="4415184E" w14:textId="77777777" w:rsidR="00532AA9" w:rsidRDefault="00000000" w:rsidP="00001303">
            <w:pPr>
              <w:spacing w:after="0" w:line="240" w:lineRule="auto"/>
            </w:pPr>
            <w:r>
              <w:rPr>
                <w:sz w:val="16"/>
              </w:rPr>
              <w:t>4. Multi-environment validation</w:t>
            </w:r>
          </w:p>
        </w:tc>
        <w:tc>
          <w:tcPr>
            <w:tcW w:w="1756" w:type="dxa"/>
            <w:tcMar>
              <w:top w:w="85" w:type="dxa"/>
              <w:left w:w="85" w:type="dxa"/>
              <w:bottom w:w="85" w:type="dxa"/>
              <w:right w:w="85" w:type="dxa"/>
            </w:tcMar>
            <w:vAlign w:val="center"/>
          </w:tcPr>
          <w:p w14:paraId="78523609" w14:textId="77777777" w:rsidR="00532AA9" w:rsidRDefault="00000000" w:rsidP="00001303">
            <w:pPr>
              <w:spacing w:after="0" w:line="240" w:lineRule="auto"/>
            </w:pPr>
            <w:r>
              <w:rPr>
                <w:sz w:val="16"/>
              </w:rPr>
              <w:t>Controlled-environment gains may fail under field variation.</w:t>
            </w:r>
          </w:p>
        </w:tc>
        <w:tc>
          <w:tcPr>
            <w:tcW w:w="1987" w:type="dxa"/>
            <w:tcMar>
              <w:top w:w="85" w:type="dxa"/>
              <w:left w:w="85" w:type="dxa"/>
              <w:bottom w:w="85" w:type="dxa"/>
              <w:right w:w="85" w:type="dxa"/>
            </w:tcMar>
            <w:vAlign w:val="center"/>
          </w:tcPr>
          <w:p w14:paraId="04EFDEF9" w14:textId="77777777" w:rsidR="00532AA9" w:rsidRDefault="00000000" w:rsidP="00001303">
            <w:pPr>
              <w:spacing w:after="0" w:line="240" w:lineRule="auto"/>
            </w:pPr>
            <w:r>
              <w:rPr>
                <w:sz w:val="16"/>
              </w:rPr>
              <w:t>Multi-location, multi-year trials with explicit target populations of environments.</w:t>
            </w:r>
          </w:p>
        </w:tc>
        <w:tc>
          <w:tcPr>
            <w:tcW w:w="2232" w:type="dxa"/>
            <w:tcMar>
              <w:top w:w="85" w:type="dxa"/>
              <w:left w:w="85" w:type="dxa"/>
              <w:bottom w:w="85" w:type="dxa"/>
              <w:right w:w="85" w:type="dxa"/>
            </w:tcMar>
            <w:vAlign w:val="center"/>
          </w:tcPr>
          <w:p w14:paraId="0149B8EC" w14:textId="77777777" w:rsidR="00532AA9" w:rsidRDefault="00000000" w:rsidP="00001303">
            <w:pPr>
              <w:spacing w:after="0" w:line="240" w:lineRule="auto"/>
            </w:pPr>
            <w:r>
              <w:rPr>
                <w:sz w:val="16"/>
              </w:rPr>
              <w:t>Trait stability, downside risk and genotype-by-environment calibration.</w:t>
            </w:r>
          </w:p>
        </w:tc>
        <w:tc>
          <w:tcPr>
            <w:tcW w:w="1944" w:type="dxa"/>
            <w:tcMar>
              <w:top w:w="85" w:type="dxa"/>
              <w:left w:w="85" w:type="dxa"/>
              <w:bottom w:w="85" w:type="dxa"/>
              <w:right w:w="85" w:type="dxa"/>
            </w:tcMar>
            <w:vAlign w:val="center"/>
          </w:tcPr>
          <w:p w14:paraId="0447EDA3" w14:textId="77777777" w:rsidR="00532AA9" w:rsidRDefault="00000000" w:rsidP="00001303">
            <w:pPr>
              <w:spacing w:after="0" w:line="240" w:lineRule="auto"/>
            </w:pPr>
            <w:proofErr w:type="spellStart"/>
            <w:r>
              <w:rPr>
                <w:sz w:val="16"/>
              </w:rPr>
              <w:t>Harfouche</w:t>
            </w:r>
            <w:proofErr w:type="spellEnd"/>
            <w:r>
              <w:rPr>
                <w:sz w:val="16"/>
              </w:rPr>
              <w:t xml:space="preserve"> et al. (2019); Shi et al. (2017)</w:t>
            </w:r>
          </w:p>
        </w:tc>
      </w:tr>
      <w:tr w:rsidR="00532AA9" w14:paraId="794AB080" w14:textId="77777777">
        <w:trPr>
          <w:cantSplit/>
          <w:jc w:val="center"/>
        </w:trPr>
        <w:tc>
          <w:tcPr>
            <w:tcW w:w="1440" w:type="dxa"/>
            <w:tcMar>
              <w:top w:w="85" w:type="dxa"/>
              <w:left w:w="85" w:type="dxa"/>
              <w:bottom w:w="85" w:type="dxa"/>
              <w:right w:w="85" w:type="dxa"/>
            </w:tcMar>
            <w:vAlign w:val="center"/>
          </w:tcPr>
          <w:p w14:paraId="40FBF952" w14:textId="77777777" w:rsidR="00532AA9" w:rsidRDefault="00000000" w:rsidP="00001303">
            <w:pPr>
              <w:spacing w:after="0" w:line="240" w:lineRule="auto"/>
            </w:pPr>
            <w:r>
              <w:rPr>
                <w:sz w:val="16"/>
              </w:rPr>
              <w:t>5. Outcome-complete safety assessment</w:t>
            </w:r>
          </w:p>
        </w:tc>
        <w:tc>
          <w:tcPr>
            <w:tcW w:w="1756" w:type="dxa"/>
            <w:tcMar>
              <w:top w:w="85" w:type="dxa"/>
              <w:left w:w="85" w:type="dxa"/>
              <w:bottom w:w="85" w:type="dxa"/>
              <w:right w:w="85" w:type="dxa"/>
            </w:tcMar>
            <w:vAlign w:val="center"/>
          </w:tcPr>
          <w:p w14:paraId="1D9883CD" w14:textId="77777777" w:rsidR="00532AA9" w:rsidRDefault="00000000" w:rsidP="00001303">
            <w:pPr>
              <w:spacing w:after="0" w:line="240" w:lineRule="auto"/>
            </w:pPr>
            <w:r>
              <w:rPr>
                <w:sz w:val="16"/>
              </w:rPr>
              <w:t>Rare structural or editor-intrinsic events can be missed.</w:t>
            </w:r>
          </w:p>
        </w:tc>
        <w:tc>
          <w:tcPr>
            <w:tcW w:w="1987" w:type="dxa"/>
            <w:tcMar>
              <w:top w:w="85" w:type="dxa"/>
              <w:left w:w="85" w:type="dxa"/>
              <w:bottom w:w="85" w:type="dxa"/>
              <w:right w:w="85" w:type="dxa"/>
            </w:tcMar>
            <w:vAlign w:val="center"/>
          </w:tcPr>
          <w:p w14:paraId="7F050E1C" w14:textId="77777777" w:rsidR="00532AA9" w:rsidRDefault="00000000" w:rsidP="00001303">
            <w:pPr>
              <w:spacing w:after="0" w:line="240" w:lineRule="auto"/>
            </w:pPr>
            <w:r>
              <w:rPr>
                <w:sz w:val="16"/>
              </w:rPr>
              <w:t>Risk-proportionate short- and long-read sequencing plus physiological and compositional assays.</w:t>
            </w:r>
          </w:p>
        </w:tc>
        <w:tc>
          <w:tcPr>
            <w:tcW w:w="2232" w:type="dxa"/>
            <w:tcMar>
              <w:top w:w="85" w:type="dxa"/>
              <w:left w:w="85" w:type="dxa"/>
              <w:bottom w:w="85" w:type="dxa"/>
              <w:right w:w="85" w:type="dxa"/>
            </w:tcMar>
            <w:vAlign w:val="center"/>
          </w:tcPr>
          <w:p w14:paraId="7FFB42AD" w14:textId="77777777" w:rsidR="00532AA9" w:rsidRDefault="00000000" w:rsidP="00001303">
            <w:pPr>
              <w:spacing w:after="0" w:line="240" w:lineRule="auto"/>
            </w:pPr>
            <w:r>
              <w:rPr>
                <w:sz w:val="16"/>
              </w:rPr>
              <w:t>Frequency and consequence of intended and unintended outcomes.</w:t>
            </w:r>
          </w:p>
        </w:tc>
        <w:tc>
          <w:tcPr>
            <w:tcW w:w="1944" w:type="dxa"/>
            <w:tcMar>
              <w:top w:w="85" w:type="dxa"/>
              <w:left w:w="85" w:type="dxa"/>
              <w:bottom w:w="85" w:type="dxa"/>
              <w:right w:w="85" w:type="dxa"/>
            </w:tcMar>
            <w:vAlign w:val="center"/>
          </w:tcPr>
          <w:p w14:paraId="6539E673" w14:textId="77777777" w:rsidR="00532AA9" w:rsidRDefault="00000000" w:rsidP="00001303">
            <w:pPr>
              <w:spacing w:after="0" w:line="240" w:lineRule="auto"/>
            </w:pPr>
            <w:r>
              <w:rPr>
                <w:sz w:val="16"/>
              </w:rPr>
              <w:t>Jin et al. (2019); Tang et al. (2018)</w:t>
            </w:r>
          </w:p>
        </w:tc>
      </w:tr>
      <w:tr w:rsidR="00532AA9" w14:paraId="2DE5DFA2" w14:textId="77777777">
        <w:trPr>
          <w:cantSplit/>
          <w:jc w:val="center"/>
        </w:trPr>
        <w:tc>
          <w:tcPr>
            <w:tcW w:w="1440" w:type="dxa"/>
            <w:tcMar>
              <w:top w:w="85" w:type="dxa"/>
              <w:left w:w="85" w:type="dxa"/>
              <w:bottom w:w="85" w:type="dxa"/>
              <w:right w:w="85" w:type="dxa"/>
            </w:tcMar>
            <w:vAlign w:val="center"/>
          </w:tcPr>
          <w:p w14:paraId="41621FD4" w14:textId="77777777" w:rsidR="00532AA9" w:rsidRDefault="00000000" w:rsidP="00001303">
            <w:pPr>
              <w:spacing w:after="0" w:line="240" w:lineRule="auto"/>
            </w:pPr>
            <w:r>
              <w:rPr>
                <w:sz w:val="16"/>
              </w:rPr>
              <w:t>6. Interoperable data and model documentation</w:t>
            </w:r>
          </w:p>
        </w:tc>
        <w:tc>
          <w:tcPr>
            <w:tcW w:w="1756" w:type="dxa"/>
            <w:tcMar>
              <w:top w:w="85" w:type="dxa"/>
              <w:left w:w="85" w:type="dxa"/>
              <w:bottom w:w="85" w:type="dxa"/>
              <w:right w:w="85" w:type="dxa"/>
            </w:tcMar>
            <w:vAlign w:val="center"/>
          </w:tcPr>
          <w:p w14:paraId="6C6BCF45" w14:textId="77777777" w:rsidR="00532AA9" w:rsidRDefault="00000000" w:rsidP="00001303">
            <w:pPr>
              <w:spacing w:after="0" w:line="240" w:lineRule="auto"/>
            </w:pPr>
            <w:r>
              <w:rPr>
                <w:sz w:val="16"/>
              </w:rPr>
              <w:t>Datasets cannot be reliably combined or audited.</w:t>
            </w:r>
          </w:p>
        </w:tc>
        <w:tc>
          <w:tcPr>
            <w:tcW w:w="1987" w:type="dxa"/>
            <w:tcMar>
              <w:top w:w="85" w:type="dxa"/>
              <w:left w:w="85" w:type="dxa"/>
              <w:bottom w:w="85" w:type="dxa"/>
              <w:right w:w="85" w:type="dxa"/>
            </w:tcMar>
            <w:vAlign w:val="center"/>
          </w:tcPr>
          <w:p w14:paraId="7EFB804D" w14:textId="77777777" w:rsidR="00532AA9" w:rsidRDefault="00000000" w:rsidP="00001303">
            <w:pPr>
              <w:spacing w:after="0" w:line="240" w:lineRule="auto"/>
            </w:pPr>
            <w:r>
              <w:rPr>
                <w:sz w:val="16"/>
              </w:rPr>
              <w:t>Common ontologies, persistent germplasm identifiers, model cards and versioned provenance.</w:t>
            </w:r>
          </w:p>
        </w:tc>
        <w:tc>
          <w:tcPr>
            <w:tcW w:w="2232" w:type="dxa"/>
            <w:tcMar>
              <w:top w:w="85" w:type="dxa"/>
              <w:left w:w="85" w:type="dxa"/>
              <w:bottom w:w="85" w:type="dxa"/>
              <w:right w:w="85" w:type="dxa"/>
            </w:tcMar>
            <w:vAlign w:val="center"/>
          </w:tcPr>
          <w:p w14:paraId="1175FC17" w14:textId="77777777" w:rsidR="00532AA9" w:rsidRDefault="00000000" w:rsidP="00001303">
            <w:pPr>
              <w:spacing w:after="0" w:line="240" w:lineRule="auto"/>
            </w:pPr>
            <w:r>
              <w:rPr>
                <w:sz w:val="16"/>
              </w:rPr>
              <w:t>Reproducibility, transferability and accountable reuse.</w:t>
            </w:r>
          </w:p>
        </w:tc>
        <w:tc>
          <w:tcPr>
            <w:tcW w:w="1944" w:type="dxa"/>
            <w:tcMar>
              <w:top w:w="85" w:type="dxa"/>
              <w:left w:w="85" w:type="dxa"/>
              <w:bottom w:w="85" w:type="dxa"/>
              <w:right w:w="85" w:type="dxa"/>
            </w:tcMar>
            <w:vAlign w:val="center"/>
          </w:tcPr>
          <w:p w14:paraId="7654CA68" w14:textId="77777777" w:rsidR="00532AA9" w:rsidRDefault="00000000" w:rsidP="00001303">
            <w:pPr>
              <w:spacing w:after="0" w:line="240" w:lineRule="auto"/>
            </w:pPr>
            <w:proofErr w:type="spellStart"/>
            <w:r>
              <w:rPr>
                <w:sz w:val="16"/>
              </w:rPr>
              <w:t>Danilevicz</w:t>
            </w:r>
            <w:proofErr w:type="spellEnd"/>
            <w:r>
              <w:rPr>
                <w:sz w:val="16"/>
              </w:rPr>
              <w:t xml:space="preserve"> et al. (2022); Yang et al. (2020)</w:t>
            </w:r>
          </w:p>
        </w:tc>
      </w:tr>
      <w:tr w:rsidR="00532AA9" w14:paraId="76259377" w14:textId="77777777">
        <w:trPr>
          <w:cantSplit/>
          <w:jc w:val="center"/>
        </w:trPr>
        <w:tc>
          <w:tcPr>
            <w:tcW w:w="1440" w:type="dxa"/>
            <w:tcMar>
              <w:top w:w="85" w:type="dxa"/>
              <w:left w:w="85" w:type="dxa"/>
              <w:bottom w:w="85" w:type="dxa"/>
              <w:right w:w="85" w:type="dxa"/>
            </w:tcMar>
            <w:vAlign w:val="center"/>
          </w:tcPr>
          <w:p w14:paraId="66C11A66" w14:textId="77777777" w:rsidR="00532AA9" w:rsidRDefault="00000000" w:rsidP="00001303">
            <w:pPr>
              <w:spacing w:after="0" w:line="240" w:lineRule="auto"/>
            </w:pPr>
            <w:r>
              <w:rPr>
                <w:sz w:val="16"/>
              </w:rPr>
              <w:t>7. Equitable deployment</w:t>
            </w:r>
          </w:p>
        </w:tc>
        <w:tc>
          <w:tcPr>
            <w:tcW w:w="1756" w:type="dxa"/>
            <w:tcMar>
              <w:top w:w="85" w:type="dxa"/>
              <w:left w:w="85" w:type="dxa"/>
              <w:bottom w:w="85" w:type="dxa"/>
              <w:right w:w="85" w:type="dxa"/>
            </w:tcMar>
            <w:vAlign w:val="center"/>
          </w:tcPr>
          <w:p w14:paraId="191E9F03" w14:textId="77777777" w:rsidR="00532AA9" w:rsidRDefault="00000000" w:rsidP="00001303">
            <w:pPr>
              <w:spacing w:after="0" w:line="240" w:lineRule="auto"/>
            </w:pPr>
            <w:r>
              <w:rPr>
                <w:sz w:val="16"/>
              </w:rPr>
              <w:t>Infrastructure and intellectual property concentrate benefits.</w:t>
            </w:r>
          </w:p>
        </w:tc>
        <w:tc>
          <w:tcPr>
            <w:tcW w:w="1987" w:type="dxa"/>
            <w:tcMar>
              <w:top w:w="85" w:type="dxa"/>
              <w:left w:w="85" w:type="dxa"/>
              <w:bottom w:w="85" w:type="dxa"/>
              <w:right w:w="85" w:type="dxa"/>
            </w:tcMar>
            <w:vAlign w:val="center"/>
          </w:tcPr>
          <w:p w14:paraId="46C6F567" w14:textId="77777777" w:rsidR="00532AA9" w:rsidRDefault="00000000" w:rsidP="00001303">
            <w:pPr>
              <w:spacing w:after="0" w:line="240" w:lineRule="auto"/>
            </w:pPr>
            <w:r>
              <w:rPr>
                <w:sz w:val="16"/>
              </w:rPr>
              <w:t>Shared transformation platforms, public-interest licensing and participatory trait definition.</w:t>
            </w:r>
          </w:p>
        </w:tc>
        <w:tc>
          <w:tcPr>
            <w:tcW w:w="2232" w:type="dxa"/>
            <w:tcMar>
              <w:top w:w="85" w:type="dxa"/>
              <w:left w:w="85" w:type="dxa"/>
              <w:bottom w:w="85" w:type="dxa"/>
              <w:right w:w="85" w:type="dxa"/>
            </w:tcMar>
            <w:vAlign w:val="center"/>
          </w:tcPr>
          <w:p w14:paraId="59C15CEA" w14:textId="77777777" w:rsidR="00532AA9" w:rsidRDefault="00000000" w:rsidP="00001303">
            <w:pPr>
              <w:spacing w:after="0" w:line="240" w:lineRule="auto"/>
            </w:pPr>
            <w:r>
              <w:rPr>
                <w:sz w:val="16"/>
              </w:rPr>
              <w:t xml:space="preserve">Access, crop diversity and </w:t>
            </w:r>
            <w:proofErr w:type="spellStart"/>
            <w:r>
              <w:rPr>
                <w:sz w:val="16"/>
              </w:rPr>
              <w:t>realised</w:t>
            </w:r>
            <w:proofErr w:type="spellEnd"/>
            <w:r>
              <w:rPr>
                <w:sz w:val="16"/>
              </w:rPr>
              <w:t xml:space="preserve"> value for target users.</w:t>
            </w:r>
          </w:p>
        </w:tc>
        <w:tc>
          <w:tcPr>
            <w:tcW w:w="1944" w:type="dxa"/>
            <w:tcMar>
              <w:top w:w="85" w:type="dxa"/>
              <w:left w:w="85" w:type="dxa"/>
              <w:bottom w:w="85" w:type="dxa"/>
              <w:right w:w="85" w:type="dxa"/>
            </w:tcMar>
            <w:vAlign w:val="center"/>
          </w:tcPr>
          <w:p w14:paraId="6A165772" w14:textId="77777777" w:rsidR="00532AA9" w:rsidRDefault="00000000" w:rsidP="00001303">
            <w:pPr>
              <w:spacing w:after="0" w:line="240" w:lineRule="auto"/>
            </w:pPr>
            <w:proofErr w:type="spellStart"/>
            <w:r>
              <w:rPr>
                <w:sz w:val="16"/>
              </w:rPr>
              <w:t>Sprink</w:t>
            </w:r>
            <w:proofErr w:type="spellEnd"/>
            <w:r>
              <w:rPr>
                <w:sz w:val="16"/>
              </w:rPr>
              <w:t xml:space="preserve"> et al. (2022); Wolt et al. (2016)</w:t>
            </w:r>
          </w:p>
        </w:tc>
      </w:tr>
    </w:tbl>
    <w:p w14:paraId="1A974161" w14:textId="77777777" w:rsidR="00532AA9" w:rsidRDefault="00000000" w:rsidP="00001303">
      <w:pPr>
        <w:pStyle w:val="TableNote"/>
      </w:pPr>
      <w:r>
        <w:rPr>
          <w:i w:val="0"/>
        </w:rPr>
        <w:lastRenderedPageBreak/>
        <w:t>Note. Priorities are ordered by near-term leverage rather than scientific prestige. Each requires biological and computational expertise.</w:t>
      </w:r>
    </w:p>
    <w:p w14:paraId="37B3F789" w14:textId="77777777" w:rsidR="00532AA9" w:rsidRDefault="00000000" w:rsidP="00001303">
      <w:pPr>
        <w:pStyle w:val="Heading1"/>
      </w:pPr>
      <w:r>
        <w:t>12. Conclusions</w:t>
      </w:r>
    </w:p>
    <w:p w14:paraId="0E2C1FAF" w14:textId="77777777" w:rsidR="00532AA9" w:rsidRDefault="00000000" w:rsidP="00001303">
      <w:r>
        <w:t xml:space="preserve">CRISPR and artificial intelligence are complementary but not interchangeable sources of precision. CRISPR can create defined genetic perturbations, while AI can improve measurement, </w:t>
      </w:r>
      <w:proofErr w:type="spellStart"/>
      <w:r>
        <w:t>prioritisation</w:t>
      </w:r>
      <w:proofErr w:type="spellEnd"/>
      <w:r>
        <w:t xml:space="preserve"> and experimental design. The strongest evidence supports targeted improvement of biologically well-</w:t>
      </w:r>
      <w:proofErr w:type="spellStart"/>
      <w:r>
        <w:t>characterised</w:t>
      </w:r>
      <w:proofErr w:type="spellEnd"/>
      <w:r>
        <w:t xml:space="preserve"> traits and AI-assisted ranking tasks with appropriate validation. Evidence is weaker for direct prediction of complex field phenotypes from sequence and for fully autonomous, closed-loop crop design. Molecular targeting does not remove uncertainty in causal biology, genetic background, pleiotropy, transformation, regeneration or genotype-by-environment interaction. The emerging design-build-test-learn framework is therefore credible only when prediction is coupled to prospective plant experiments and multi-environment breeding evaluation. Progress should be judged by reproducible recovery of useful alleles, stable field performance, transparent uncertainty and equitable access rather than by model complexity or editing efficiency alone. With plant-specific datasets, outcome-complete validation, interoperable infrastructure and proportionate governance, the integration of CRISPR and AI can accelerate crop improvement. It will not eliminate the need for biological understanding, field testing or breeder judgement; it can make those activities more focused and informative.</w:t>
      </w:r>
    </w:p>
    <w:p w14:paraId="4DC8390A" w14:textId="77777777" w:rsidR="00532AA9" w:rsidRDefault="00000000" w:rsidP="00001303">
      <w:pPr>
        <w:pStyle w:val="Heading1"/>
      </w:pPr>
      <w:r>
        <w:t>13. Limitations</w:t>
      </w:r>
    </w:p>
    <w:p w14:paraId="154124E1" w14:textId="77777777" w:rsidR="00532AA9" w:rsidRDefault="00000000" w:rsidP="00001303">
      <w:r>
        <w:t xml:space="preserve">As a critical narrative review, this synthesis remains susceptible to selection and interpretive bias despite a transparent search, explicit eligibility criteria and reference verification. Direct access to complete subscription-database exports was unavailable, so the review does not claim exhaustive retrieval and may underrepresent studies indexed only in restricted resources or languages other than English. The evidence base is heterogeneous, combining computational benchmarks, molecular studies, greenhouse experiments, field trials and policy analyses that cannot be quantitatively pooled. Rapid development means that tools and regulatory positions may change after the search end date. Direct breeding-scale studies that prospectively integrate AI with CRISPR remain limited, requiring cautious inference from adjacent literatures. Publication bias towards successful edits and </w:t>
      </w:r>
      <w:proofErr w:type="spellStart"/>
      <w:r>
        <w:t>favourable</w:t>
      </w:r>
      <w:proofErr w:type="spellEnd"/>
      <w:r>
        <w:t xml:space="preserve"> model performance may also exaggerate maturity, while uneven representation of crops, germplasm and regions constrains </w:t>
      </w:r>
      <w:proofErr w:type="spellStart"/>
      <w:r>
        <w:t>generalisability</w:t>
      </w:r>
      <w:proofErr w:type="spellEnd"/>
      <w:r>
        <w:t>.</w:t>
      </w:r>
    </w:p>
    <w:p w14:paraId="7F3082F5" w14:textId="77777777" w:rsidR="00AD2FDD" w:rsidRPr="000839CE" w:rsidRDefault="00AD2FDD" w:rsidP="00001303">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31CEC31" w14:textId="77777777" w:rsidR="00AD2FDD" w:rsidRPr="000839CE" w:rsidRDefault="00AD2FDD" w:rsidP="00001303">
      <w:pPr>
        <w:spacing w:after="0" w:line="240" w:lineRule="auto"/>
        <w:rPr>
          <w:rFonts w:ascii="Times New Roman" w:hAnsi="Times New Roman" w:cs="Times New Roman"/>
        </w:rPr>
      </w:pPr>
    </w:p>
    <w:p w14:paraId="079DB898" w14:textId="77777777" w:rsidR="00AD2FDD" w:rsidRPr="000839CE" w:rsidRDefault="00AD2FDD" w:rsidP="00001303">
      <w:pPr>
        <w:spacing w:after="0" w:line="240" w:lineRule="auto"/>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8BF59D1" w14:textId="77777777" w:rsidR="00AD2FDD" w:rsidRDefault="00AD2FDD" w:rsidP="00001303"/>
    <w:p w14:paraId="6FE5730A" w14:textId="77777777" w:rsidR="00AD2FDD" w:rsidRDefault="00AD2FDD" w:rsidP="00001303"/>
    <w:p w14:paraId="507B4C87" w14:textId="77777777" w:rsidR="00532AA9" w:rsidRDefault="00000000" w:rsidP="00001303">
      <w:r>
        <w:br w:type="page"/>
      </w:r>
    </w:p>
    <w:p w14:paraId="2533C7AA" w14:textId="77777777" w:rsidR="00532AA9" w:rsidRDefault="00000000" w:rsidP="00001303">
      <w:pPr>
        <w:pStyle w:val="Heading1"/>
      </w:pPr>
      <w:r>
        <w:lastRenderedPageBreak/>
        <w:t>References</w:t>
      </w:r>
    </w:p>
    <w:p w14:paraId="27501305" w14:textId="77777777" w:rsidR="00D67783" w:rsidRDefault="00D67783" w:rsidP="00D67783">
      <w:pPr>
        <w:pStyle w:val="isselectedend"/>
      </w:pPr>
      <w:r>
        <w:t xml:space="preserve">Abbasi, A. F., Asim, M. N., &amp; Dengel, A. (2025). Transitioning from wet lab to artificial intelligence: A systematic review of AI predictors in CRISPR. </w:t>
      </w:r>
      <w:r>
        <w:rPr>
          <w:rStyle w:val="Emphasis"/>
        </w:rPr>
        <w:t>Journal of Translational Medicine, 23</w:t>
      </w:r>
      <w:r>
        <w:t xml:space="preserve">(1), Article 153. </w:t>
      </w:r>
      <w:hyperlink r:id="rId8" w:history="1">
        <w:r>
          <w:rPr>
            <w:rStyle w:val="Hyperlink"/>
          </w:rPr>
          <w:t>https://doi.org/10.1186/s12967-024-06013-w</w:t>
        </w:r>
      </w:hyperlink>
    </w:p>
    <w:p w14:paraId="45F668E7" w14:textId="77777777" w:rsidR="00D67783" w:rsidRDefault="00D67783" w:rsidP="00D67783">
      <w:pPr>
        <w:pStyle w:val="isselectedend"/>
      </w:pPr>
      <w:r>
        <w:t xml:space="preserve">Altpeter, F., Springer, N. M., Bartley, L. E., Blechl, A. E., </w:t>
      </w:r>
      <w:proofErr w:type="spellStart"/>
      <w:r>
        <w:t>Brutnell</w:t>
      </w:r>
      <w:proofErr w:type="spellEnd"/>
      <w:r>
        <w:t xml:space="preserve">, T. P., </w:t>
      </w:r>
      <w:proofErr w:type="spellStart"/>
      <w:r>
        <w:t>Citovsky</w:t>
      </w:r>
      <w:proofErr w:type="spellEnd"/>
      <w:r>
        <w:t xml:space="preserve">, V., Conrad, L. J., Gelvin, S. B., Jackson, D. P., Kausch, A. P., Lemaux, P. G., Medford, J. I., Orozco-Cárdenas, M. L., Tricoli, D. M., Van Eck, J., </w:t>
      </w:r>
      <w:proofErr w:type="spellStart"/>
      <w:r>
        <w:t>Voytas</w:t>
      </w:r>
      <w:proofErr w:type="spellEnd"/>
      <w:r>
        <w:t xml:space="preserve">, D. F., </w:t>
      </w:r>
      <w:proofErr w:type="spellStart"/>
      <w:r>
        <w:t>Walbot</w:t>
      </w:r>
      <w:proofErr w:type="spellEnd"/>
      <w:r>
        <w:t xml:space="preserve">, V., Wang, K., Zhang, Z. J., &amp; Stewart, C. N., Jr. (2016). Advancing crop transformation in the era of genome editing. </w:t>
      </w:r>
      <w:r>
        <w:rPr>
          <w:rStyle w:val="Emphasis"/>
        </w:rPr>
        <w:t>The Plant Cell, 28</w:t>
      </w:r>
      <w:r>
        <w:t xml:space="preserve">(7), 1510–1520. </w:t>
      </w:r>
      <w:hyperlink r:id="rId9" w:history="1">
        <w:r>
          <w:rPr>
            <w:rStyle w:val="Hyperlink"/>
          </w:rPr>
          <w:t>https://doi.org/10.1105/tpc.16.00196</w:t>
        </w:r>
      </w:hyperlink>
    </w:p>
    <w:p w14:paraId="192347B4" w14:textId="77777777" w:rsidR="00D67783" w:rsidRDefault="00D67783" w:rsidP="00D67783">
      <w:pPr>
        <w:pStyle w:val="isselectedend"/>
      </w:pPr>
      <w:proofErr w:type="spellStart"/>
      <w:r>
        <w:t>Azodi</w:t>
      </w:r>
      <w:proofErr w:type="spellEnd"/>
      <w:r>
        <w:t xml:space="preserve">, C. B., Bolger, E., McCarren, A., Roantree, M., de Los Campos, G., &amp; Shiu, S.-H. (2019). Benchmarking parametric and machine learning models for genomic prediction of complex traits. </w:t>
      </w:r>
      <w:r>
        <w:rPr>
          <w:rStyle w:val="Emphasis"/>
        </w:rPr>
        <w:t xml:space="preserve">G3: </w:t>
      </w:r>
      <w:proofErr w:type="spellStart"/>
      <w:r>
        <w:rPr>
          <w:rStyle w:val="Emphasis"/>
        </w:rPr>
        <w:t>Genes|Genomes|Genetics</w:t>
      </w:r>
      <w:proofErr w:type="spellEnd"/>
      <w:r>
        <w:rPr>
          <w:rStyle w:val="Emphasis"/>
        </w:rPr>
        <w:t>, 9</w:t>
      </w:r>
      <w:r>
        <w:t xml:space="preserve">(11), 3691–3702. </w:t>
      </w:r>
      <w:hyperlink r:id="rId10" w:history="1">
        <w:r>
          <w:rPr>
            <w:rStyle w:val="Hyperlink"/>
          </w:rPr>
          <w:t>https://doi.org/10.1534/g3.119.400498</w:t>
        </w:r>
      </w:hyperlink>
    </w:p>
    <w:p w14:paraId="79827970" w14:textId="77777777" w:rsidR="00D67783" w:rsidRDefault="00D67783" w:rsidP="00D67783">
      <w:pPr>
        <w:pStyle w:val="isselectedend"/>
      </w:pPr>
      <w:proofErr w:type="spellStart"/>
      <w:r>
        <w:t>Baethge</w:t>
      </w:r>
      <w:proofErr w:type="spellEnd"/>
      <w:r>
        <w:t xml:space="preserve">, C., Goldbeck-Wood, S., &amp; Mertens, S. (2019). SANRA—A scale for the quality assessment of narrative review articles. </w:t>
      </w:r>
      <w:r>
        <w:rPr>
          <w:rStyle w:val="Emphasis"/>
        </w:rPr>
        <w:t>Research Integrity and Peer Review, 4</w:t>
      </w:r>
      <w:r>
        <w:t xml:space="preserve">, Article 5. </w:t>
      </w:r>
      <w:hyperlink r:id="rId11" w:history="1">
        <w:r>
          <w:rPr>
            <w:rStyle w:val="Hyperlink"/>
          </w:rPr>
          <w:t>https://doi.org/10.1186/s41073-019-0064-8</w:t>
        </w:r>
      </w:hyperlink>
    </w:p>
    <w:p w14:paraId="1D79AE9B" w14:textId="77777777" w:rsidR="00D67783" w:rsidRDefault="00D67783" w:rsidP="00D67783">
      <w:pPr>
        <w:pStyle w:val="isselectedend"/>
      </w:pPr>
      <w:r>
        <w:t xml:space="preserve">Chen, K., Wang, Y., Zhang, R., Zhang, H., &amp; Gao, C. (2019). CRISPR/Cas genome editing and precision plant breeding in agriculture. </w:t>
      </w:r>
      <w:r>
        <w:rPr>
          <w:rStyle w:val="Emphasis"/>
        </w:rPr>
        <w:t>Annual Review of Plant Biology, 70</w:t>
      </w:r>
      <w:r>
        <w:t xml:space="preserve">, 667–697. </w:t>
      </w:r>
      <w:hyperlink r:id="rId12" w:history="1">
        <w:r>
          <w:rPr>
            <w:rStyle w:val="Hyperlink"/>
          </w:rPr>
          <w:t>https://doi.org/10.1146/annurev-arplant-050718-100049</w:t>
        </w:r>
      </w:hyperlink>
    </w:p>
    <w:p w14:paraId="602C3FF5" w14:textId="77777777" w:rsidR="00D67783" w:rsidRDefault="00D67783" w:rsidP="00D67783">
      <w:pPr>
        <w:pStyle w:val="isselectedend"/>
      </w:pPr>
      <w:r>
        <w:t xml:space="preserve">Chen, L., Liu, G., &amp; Zhang, T. (2024). Integrating machine learning and genome editing for crop improvement. </w:t>
      </w:r>
      <w:proofErr w:type="spellStart"/>
      <w:r>
        <w:rPr>
          <w:rStyle w:val="Emphasis"/>
        </w:rPr>
        <w:t>aBIOTECH</w:t>
      </w:r>
      <w:proofErr w:type="spellEnd"/>
      <w:r>
        <w:rPr>
          <w:rStyle w:val="Emphasis"/>
        </w:rPr>
        <w:t>, 5</w:t>
      </w:r>
      <w:r>
        <w:t xml:space="preserve">(2), 262–277. </w:t>
      </w:r>
      <w:hyperlink r:id="rId13" w:history="1">
        <w:r>
          <w:rPr>
            <w:rStyle w:val="Hyperlink"/>
          </w:rPr>
          <w:t>https://doi.org/10.1007/s42994-023-00133-5</w:t>
        </w:r>
      </w:hyperlink>
    </w:p>
    <w:p w14:paraId="1C9E7711" w14:textId="77777777" w:rsidR="00D67783" w:rsidRDefault="00D67783" w:rsidP="00D67783">
      <w:pPr>
        <w:pStyle w:val="isselectedend"/>
      </w:pPr>
      <w:proofErr w:type="spellStart"/>
      <w:r>
        <w:t>Chuai</w:t>
      </w:r>
      <w:proofErr w:type="spellEnd"/>
      <w:r>
        <w:t xml:space="preserve">, G., Ma, H., Yan, J., Chen, M., Hong, N., Xue, D., Zhou, C., Zhu, C., Chen, K., Duan, B., Gu, F., Qu, S., Huang, D., Wei, J., &amp; Liu, Q. (2018). </w:t>
      </w:r>
      <w:proofErr w:type="spellStart"/>
      <w:r>
        <w:t>DeepCRISPR</w:t>
      </w:r>
      <w:proofErr w:type="spellEnd"/>
      <w:r>
        <w:t xml:space="preserve">: Optimized CRISPR guide RNA design by deep learning. </w:t>
      </w:r>
      <w:r>
        <w:rPr>
          <w:rStyle w:val="Emphasis"/>
        </w:rPr>
        <w:t>Genome Biology, 19</w:t>
      </w:r>
      <w:r>
        <w:t xml:space="preserve">, Article 80. </w:t>
      </w:r>
      <w:hyperlink r:id="rId14" w:history="1">
        <w:r>
          <w:rPr>
            <w:rStyle w:val="Hyperlink"/>
          </w:rPr>
          <w:t>https://doi.org/10.1186/s13059-018-1459-4</w:t>
        </w:r>
      </w:hyperlink>
    </w:p>
    <w:p w14:paraId="064A9195" w14:textId="77777777" w:rsidR="00D67783" w:rsidRDefault="00D67783" w:rsidP="00D67783">
      <w:pPr>
        <w:pStyle w:val="isselectedend"/>
      </w:pPr>
      <w:r>
        <w:t xml:space="preserve">Crossa, J., Montesinos-López, O. A., Costa-Neto, G., Vitale, P., Martini, J. W. R., Runcie, D., Fritsche-Neto, R., Montesinos-López, A., Pérez-Rodríguez, P., Gerard, G., </w:t>
      </w:r>
      <w:proofErr w:type="spellStart"/>
      <w:r>
        <w:t>Dreisigacker</w:t>
      </w:r>
      <w:proofErr w:type="spellEnd"/>
      <w:r>
        <w:t xml:space="preserve">, S., Crespo-Herrera, L., Saint Pierre, C., Lillemo, M., Cuevas, J., Bentley, A., &amp; Ortiz, R. (2025). Machine learning algorithms translate big data into predictive breeding accuracy. </w:t>
      </w:r>
      <w:r>
        <w:rPr>
          <w:rStyle w:val="Emphasis"/>
        </w:rPr>
        <w:t>Trends in Plant Science, 30</w:t>
      </w:r>
      <w:r>
        <w:t xml:space="preserve">(2), 167–184. </w:t>
      </w:r>
      <w:hyperlink r:id="rId15" w:history="1">
        <w:r>
          <w:rPr>
            <w:rStyle w:val="Hyperlink"/>
          </w:rPr>
          <w:t>https://doi.org/10.1016/j.tplants.2024.09.011</w:t>
        </w:r>
      </w:hyperlink>
    </w:p>
    <w:p w14:paraId="75BFC2C3" w14:textId="77777777" w:rsidR="00D67783" w:rsidRDefault="00D67783" w:rsidP="00D67783">
      <w:pPr>
        <w:pStyle w:val="isselectedend"/>
      </w:pPr>
      <w:r>
        <w:t xml:space="preserve">Danilevicz, M. F., Gill, M., Anderson, R., Batley, J., </w:t>
      </w:r>
      <w:proofErr w:type="spellStart"/>
      <w:r>
        <w:t>Bennamoun</w:t>
      </w:r>
      <w:proofErr w:type="spellEnd"/>
      <w:r>
        <w:t xml:space="preserve">, M., Bayer, P. E., &amp; Edwards, D. (2022). Plant genotype to phenotype prediction using machine learning. </w:t>
      </w:r>
      <w:r>
        <w:rPr>
          <w:rStyle w:val="Emphasis"/>
        </w:rPr>
        <w:t>Frontiers in Genetics, 13</w:t>
      </w:r>
      <w:r>
        <w:t xml:space="preserve">, Article 822173. </w:t>
      </w:r>
      <w:hyperlink r:id="rId16" w:history="1">
        <w:r>
          <w:rPr>
            <w:rStyle w:val="Hyperlink"/>
          </w:rPr>
          <w:t>https://doi.org/10.3389/fgene.2022.822173</w:t>
        </w:r>
      </w:hyperlink>
    </w:p>
    <w:p w14:paraId="589FB789" w14:textId="77777777" w:rsidR="00D67783" w:rsidRDefault="00D67783" w:rsidP="00D67783">
      <w:pPr>
        <w:pStyle w:val="isselectedend"/>
      </w:pPr>
      <w:r>
        <w:t xml:space="preserve">Debernardi, J. M., Tricoli, D. M., Ercoli, M. F., </w:t>
      </w:r>
      <w:proofErr w:type="spellStart"/>
      <w:r>
        <w:t>Hayta</w:t>
      </w:r>
      <w:proofErr w:type="spellEnd"/>
      <w:r>
        <w:t xml:space="preserve">, S., Ronald, P., Palatnik, J. F., &amp; </w:t>
      </w:r>
      <w:proofErr w:type="spellStart"/>
      <w:r>
        <w:t>Dubcovsky</w:t>
      </w:r>
      <w:proofErr w:type="spellEnd"/>
      <w:r>
        <w:t xml:space="preserve">, J. (2020). A GRF-GIF chimeric protein improves the regeneration efficiency of transgenic plants. </w:t>
      </w:r>
      <w:r>
        <w:rPr>
          <w:rStyle w:val="Emphasis"/>
        </w:rPr>
        <w:t>Nature Biotechnology, 38</w:t>
      </w:r>
      <w:r>
        <w:t xml:space="preserve">(11), 1274–1279. </w:t>
      </w:r>
      <w:hyperlink r:id="rId17" w:history="1">
        <w:r>
          <w:rPr>
            <w:rStyle w:val="Hyperlink"/>
          </w:rPr>
          <w:t>https://doi.org/10.1038/s41587-020-0703-0</w:t>
        </w:r>
      </w:hyperlink>
    </w:p>
    <w:p w14:paraId="0250F6FD" w14:textId="77777777" w:rsidR="00D67783" w:rsidRDefault="00D67783" w:rsidP="00D67783">
      <w:pPr>
        <w:pStyle w:val="isselectedend"/>
      </w:pPr>
      <w:r>
        <w:t xml:space="preserve">Dixit, S., Kumar, A., Srinivasan, K., Vincent, P. M. D. R., &amp; Ramu Krishnan, N. (2024). Advancing genome editing with artificial intelligence: Opportunities, challenges, and future directions. </w:t>
      </w:r>
      <w:r>
        <w:rPr>
          <w:rStyle w:val="Emphasis"/>
        </w:rPr>
        <w:lastRenderedPageBreak/>
        <w:t>Frontiers in Bioengineering and Biotechnology, 11</w:t>
      </w:r>
      <w:r>
        <w:t xml:space="preserve">, Article 1335901. </w:t>
      </w:r>
      <w:hyperlink r:id="rId18" w:history="1">
        <w:r>
          <w:rPr>
            <w:rStyle w:val="Hyperlink"/>
          </w:rPr>
          <w:t>https://doi.org/10.3389/fbioe.2023.1335901</w:t>
        </w:r>
      </w:hyperlink>
    </w:p>
    <w:p w14:paraId="771FF0D1" w14:textId="77777777" w:rsidR="00D67783" w:rsidRDefault="00D67783" w:rsidP="00D67783">
      <w:pPr>
        <w:pStyle w:val="isselectedend"/>
      </w:pPr>
      <w:r>
        <w:t xml:space="preserve">Doench, J. G., Fusi, N., Sullender, M., Hegde, M., </w:t>
      </w:r>
      <w:proofErr w:type="spellStart"/>
      <w:r>
        <w:t>Vaimberg</w:t>
      </w:r>
      <w:proofErr w:type="spellEnd"/>
      <w:r>
        <w:t xml:space="preserve">, E. W., Donovan, K. F., Smith, I., </w:t>
      </w:r>
      <w:proofErr w:type="spellStart"/>
      <w:r>
        <w:t>Tothova</w:t>
      </w:r>
      <w:proofErr w:type="spellEnd"/>
      <w:r>
        <w:t xml:space="preserve">, Z., Wilen, C., Orchard, R., Virgin, H. W., </w:t>
      </w:r>
      <w:proofErr w:type="spellStart"/>
      <w:r>
        <w:t>Listgarten</w:t>
      </w:r>
      <w:proofErr w:type="spellEnd"/>
      <w:r>
        <w:t xml:space="preserve">, J., &amp; Root, D. E. (2016). Optimized sgRNA design to maximize activity and minimize off-target effects of CRISPR-Cas9. </w:t>
      </w:r>
      <w:r>
        <w:rPr>
          <w:rStyle w:val="Emphasis"/>
        </w:rPr>
        <w:t>Nature Biotechnology, 34</w:t>
      </w:r>
      <w:r>
        <w:t xml:space="preserve">(2), 184–191. </w:t>
      </w:r>
      <w:hyperlink r:id="rId19" w:history="1">
        <w:r>
          <w:rPr>
            <w:rStyle w:val="Hyperlink"/>
          </w:rPr>
          <w:t>https://doi.org/10.1038/nbt.3437</w:t>
        </w:r>
      </w:hyperlink>
    </w:p>
    <w:p w14:paraId="1F6688E0" w14:textId="77777777" w:rsidR="00D67783" w:rsidRDefault="00D67783" w:rsidP="00D67783">
      <w:pPr>
        <w:pStyle w:val="isselectedend"/>
      </w:pPr>
      <w:r>
        <w:t xml:space="preserve">Farooq, M. A., Gao, S., Hassan, M. A., Huang, Z., Rasheed, A., Hearne, S., Prasanna, B. M., Li, X., &amp; Li, H. (2024). Artificial intelligence in plant breeding. </w:t>
      </w:r>
      <w:r>
        <w:rPr>
          <w:rStyle w:val="Emphasis"/>
        </w:rPr>
        <w:t>Trends in Genetics, 40</w:t>
      </w:r>
      <w:r>
        <w:t xml:space="preserve">(10), 891–908. </w:t>
      </w:r>
      <w:hyperlink r:id="rId20" w:history="1">
        <w:r>
          <w:rPr>
            <w:rStyle w:val="Hyperlink"/>
          </w:rPr>
          <w:t>https://doi.org/10.1016/j.tig.2024.07.001</w:t>
        </w:r>
      </w:hyperlink>
    </w:p>
    <w:p w14:paraId="3B9DC906" w14:textId="77777777" w:rsidR="00D67783" w:rsidRDefault="00D67783" w:rsidP="00D67783">
      <w:pPr>
        <w:pStyle w:val="isselectedend"/>
      </w:pPr>
      <w:r>
        <w:t xml:space="preserve">Gao, Z., Zhu, J., &amp; Xie, C. (2026). Synergizing genome editing and artificial intelligence for predictive crop design. </w:t>
      </w:r>
      <w:r>
        <w:rPr>
          <w:rStyle w:val="Emphasis"/>
        </w:rPr>
        <w:t>Molecular Plant, 19</w:t>
      </w:r>
      <w:r>
        <w:t xml:space="preserve">(6), 1156–1171. </w:t>
      </w:r>
      <w:hyperlink r:id="rId21" w:history="1">
        <w:r>
          <w:rPr>
            <w:rStyle w:val="Hyperlink"/>
          </w:rPr>
          <w:t>https://doi.org/10.1016/j.molp.2026.04.007</w:t>
        </w:r>
      </w:hyperlink>
    </w:p>
    <w:p w14:paraId="2F35C83E" w14:textId="77777777" w:rsidR="00D67783" w:rsidRDefault="00D67783" w:rsidP="00D67783">
      <w:pPr>
        <w:pStyle w:val="isselectedend"/>
      </w:pPr>
      <w:r>
        <w:t xml:space="preserve">Gao, C. (2021). Genome engineering for crop improvement and future agriculture. </w:t>
      </w:r>
      <w:r>
        <w:rPr>
          <w:rStyle w:val="Emphasis"/>
        </w:rPr>
        <w:t>Cell, 184</w:t>
      </w:r>
      <w:r>
        <w:t xml:space="preserve">(6), 1621–1635. </w:t>
      </w:r>
      <w:hyperlink r:id="rId22" w:history="1">
        <w:r>
          <w:rPr>
            <w:rStyle w:val="Hyperlink"/>
          </w:rPr>
          <w:t>https://doi.org/10.1016/j.cell.2021.01.005</w:t>
        </w:r>
      </w:hyperlink>
    </w:p>
    <w:p w14:paraId="3D4FBCED" w14:textId="77777777" w:rsidR="00D67783" w:rsidRDefault="00D67783" w:rsidP="00D67783">
      <w:pPr>
        <w:pStyle w:val="isselectedend"/>
      </w:pPr>
      <w:r>
        <w:t xml:space="preserve">Haeussler, M., Schönig, K., Eckert, H., </w:t>
      </w:r>
      <w:proofErr w:type="spellStart"/>
      <w:r>
        <w:t>Eschstruth</w:t>
      </w:r>
      <w:proofErr w:type="spellEnd"/>
      <w:r>
        <w:t xml:space="preserve">, A., </w:t>
      </w:r>
      <w:proofErr w:type="spellStart"/>
      <w:r>
        <w:t>Mianné</w:t>
      </w:r>
      <w:proofErr w:type="spellEnd"/>
      <w:r>
        <w:t xml:space="preserve">, J., Renaud, J.-B., Schneider-Maunoury, S., </w:t>
      </w:r>
      <w:proofErr w:type="spellStart"/>
      <w:r>
        <w:t>Shkumatava</w:t>
      </w:r>
      <w:proofErr w:type="spellEnd"/>
      <w:r>
        <w:t xml:space="preserve">, A., Teboul, L., Kent, J., Joly, J.-S., &amp; </w:t>
      </w:r>
      <w:proofErr w:type="spellStart"/>
      <w:r>
        <w:t>Concordet</w:t>
      </w:r>
      <w:proofErr w:type="spellEnd"/>
      <w:r>
        <w:t xml:space="preserve">, J.-P. (2016). Evaluation of off-target and on-target scoring algorithms and integration into the guide RNA selection tool CRISPOR. </w:t>
      </w:r>
      <w:r>
        <w:rPr>
          <w:rStyle w:val="Emphasis"/>
        </w:rPr>
        <w:t>Genome Biology, 17</w:t>
      </w:r>
      <w:r>
        <w:t xml:space="preserve">, Article 148. </w:t>
      </w:r>
      <w:hyperlink r:id="rId23" w:history="1">
        <w:r>
          <w:rPr>
            <w:rStyle w:val="Hyperlink"/>
          </w:rPr>
          <w:t>https://doi.org/10.1186/s13059-016-1012-2</w:t>
        </w:r>
      </w:hyperlink>
    </w:p>
    <w:p w14:paraId="370FB819" w14:textId="77777777" w:rsidR="00D67783" w:rsidRDefault="00D67783" w:rsidP="00D67783">
      <w:pPr>
        <w:pStyle w:val="isselectedend"/>
      </w:pPr>
      <w:proofErr w:type="spellStart"/>
      <w:r>
        <w:t>Harfouche</w:t>
      </w:r>
      <w:proofErr w:type="spellEnd"/>
      <w:r>
        <w:t xml:space="preserve">, A. L., Jacobson, D. A., Kainer, D., Romero, J. C., </w:t>
      </w:r>
      <w:proofErr w:type="spellStart"/>
      <w:r>
        <w:t>Harfouche</w:t>
      </w:r>
      <w:proofErr w:type="spellEnd"/>
      <w:r>
        <w:t xml:space="preserve">, A. H., </w:t>
      </w:r>
      <w:proofErr w:type="spellStart"/>
      <w:r>
        <w:t>Scarascia</w:t>
      </w:r>
      <w:proofErr w:type="spellEnd"/>
      <w:r>
        <w:t xml:space="preserve"> Mugnozza, G., </w:t>
      </w:r>
      <w:proofErr w:type="spellStart"/>
      <w:r>
        <w:t>Moshelion</w:t>
      </w:r>
      <w:proofErr w:type="spellEnd"/>
      <w:r>
        <w:t xml:space="preserve">, M., Tuskan, G. A., </w:t>
      </w:r>
      <w:proofErr w:type="spellStart"/>
      <w:r>
        <w:t>Keurentjes</w:t>
      </w:r>
      <w:proofErr w:type="spellEnd"/>
      <w:r>
        <w:t xml:space="preserve">, J. J. B., &amp; Altman, A. (2019). Accelerating climate resilient plant breeding by applying next-generation artificial intelligence. </w:t>
      </w:r>
      <w:r>
        <w:rPr>
          <w:rStyle w:val="Emphasis"/>
        </w:rPr>
        <w:t>Trends in Biotechnology, 37</w:t>
      </w:r>
      <w:r>
        <w:t xml:space="preserve">(11), 1217–1235. </w:t>
      </w:r>
      <w:hyperlink r:id="rId24" w:history="1">
        <w:r>
          <w:rPr>
            <w:rStyle w:val="Hyperlink"/>
          </w:rPr>
          <w:t>https://doi.org/10.1016/j.tibtech.2019.05.007</w:t>
        </w:r>
      </w:hyperlink>
    </w:p>
    <w:p w14:paraId="7116756A" w14:textId="77777777" w:rsidR="00D67783" w:rsidRDefault="00D67783" w:rsidP="00D67783">
      <w:pPr>
        <w:pStyle w:val="isselectedend"/>
      </w:pPr>
      <w:r>
        <w:t xml:space="preserve">Hua, K., Han, P., &amp; Zhu, J.-K. (2022). Improvement of base editors and prime editors advances precision genome engineering in plants. </w:t>
      </w:r>
      <w:r>
        <w:rPr>
          <w:rStyle w:val="Emphasis"/>
        </w:rPr>
        <w:t>Plant Physiology, 188</w:t>
      </w:r>
      <w:r>
        <w:t xml:space="preserve">(4), 1795–1810. </w:t>
      </w:r>
      <w:hyperlink r:id="rId25" w:history="1">
        <w:r>
          <w:rPr>
            <w:rStyle w:val="Hyperlink"/>
          </w:rPr>
          <w:t>https://doi.org/10.1093/plphys/kiab591</w:t>
        </w:r>
      </w:hyperlink>
    </w:p>
    <w:p w14:paraId="05A357A7" w14:textId="77777777" w:rsidR="00D67783" w:rsidRDefault="00D67783" w:rsidP="00D67783">
      <w:pPr>
        <w:pStyle w:val="isselectedend"/>
      </w:pPr>
      <w:proofErr w:type="spellStart"/>
      <w:r>
        <w:t>Hwarari</w:t>
      </w:r>
      <w:proofErr w:type="spellEnd"/>
      <w:r>
        <w:t xml:space="preserve">, D., </w:t>
      </w:r>
      <w:proofErr w:type="spellStart"/>
      <w:r>
        <w:t>Radani</w:t>
      </w:r>
      <w:proofErr w:type="spellEnd"/>
      <w:r>
        <w:t xml:space="preserve">, Y., Ke, Y., Chen, J., &amp; Yang, L. (2024). CRISPR/Cas genome editing in plants: Mechanisms, applications, and overcoming bottlenecks. </w:t>
      </w:r>
      <w:r>
        <w:rPr>
          <w:rStyle w:val="Emphasis"/>
        </w:rPr>
        <w:t>Functional &amp; Integrative Genomics, 24</w:t>
      </w:r>
      <w:r>
        <w:t xml:space="preserve">, Article 50. </w:t>
      </w:r>
      <w:hyperlink r:id="rId26" w:history="1">
        <w:r>
          <w:rPr>
            <w:rStyle w:val="Hyperlink"/>
          </w:rPr>
          <w:t>https://doi.org/10.1007/s10142-024-01314-1</w:t>
        </w:r>
      </w:hyperlink>
    </w:p>
    <w:p w14:paraId="666643C2" w14:textId="77777777" w:rsidR="00D67783" w:rsidRDefault="00D67783" w:rsidP="00D67783">
      <w:pPr>
        <w:pStyle w:val="isselectedend"/>
      </w:pPr>
      <w:r>
        <w:t xml:space="preserve">Jiang, B., An, Z., Niu, L., &amp; Qin, D. (2025). Precise genome editing process and its applications in plants driven by AI. </w:t>
      </w:r>
      <w:r>
        <w:rPr>
          <w:rStyle w:val="Emphasis"/>
        </w:rPr>
        <w:t>Functional &amp; Integrative Genomics, 25</w:t>
      </w:r>
      <w:r>
        <w:t xml:space="preserve">(1), Article 109. </w:t>
      </w:r>
      <w:hyperlink r:id="rId27" w:history="1">
        <w:r>
          <w:rPr>
            <w:rStyle w:val="Hyperlink"/>
          </w:rPr>
          <w:t>https://doi.org/10.1007/s10142-025-01619-9</w:t>
        </w:r>
      </w:hyperlink>
    </w:p>
    <w:p w14:paraId="7C425C1D" w14:textId="77777777" w:rsidR="00D67783" w:rsidRDefault="00D67783" w:rsidP="00D67783">
      <w:pPr>
        <w:pStyle w:val="isselectedend"/>
      </w:pPr>
      <w:r>
        <w:t xml:space="preserve">Jin, S., Zong, Y., Gao, Q., Zhu, Z., Wang, Y., Qin, P., Liang, C., Wang, D., Qiu, J.-L., Zhang, F., &amp; Gao, C. (2019). Cytosine, but not adenine, base editors induce genome-wide off-target mutations in rice. </w:t>
      </w:r>
      <w:r>
        <w:rPr>
          <w:rStyle w:val="Emphasis"/>
        </w:rPr>
        <w:t>Science, 364</w:t>
      </w:r>
      <w:r>
        <w:t xml:space="preserve">(6437), 292–295. </w:t>
      </w:r>
      <w:hyperlink r:id="rId28" w:history="1">
        <w:r>
          <w:rPr>
            <w:rStyle w:val="Hyperlink"/>
          </w:rPr>
          <w:t>https://doi.org/10.1126/science.aaw7166</w:t>
        </w:r>
      </w:hyperlink>
    </w:p>
    <w:p w14:paraId="18D4C14B" w14:textId="77777777" w:rsidR="00D67783" w:rsidRDefault="00D67783" w:rsidP="00D67783">
      <w:pPr>
        <w:pStyle w:val="isselectedend"/>
      </w:pPr>
      <w:proofErr w:type="spellStart"/>
      <w:r>
        <w:t>Jinek</w:t>
      </w:r>
      <w:proofErr w:type="spellEnd"/>
      <w:r>
        <w:t xml:space="preserve">, M., Chylinski, K., Fonfara, I., Hauer, M., Doudna, J. A., &amp; Charpentier, E. (2012). A programmable dual-RNA-guided DNA endonuclease in adaptive bacterial immunity. </w:t>
      </w:r>
      <w:r>
        <w:rPr>
          <w:rStyle w:val="Emphasis"/>
        </w:rPr>
        <w:t>Science, 337</w:t>
      </w:r>
      <w:r>
        <w:t xml:space="preserve">(6096), 816–821. </w:t>
      </w:r>
      <w:hyperlink r:id="rId29" w:history="1">
        <w:r>
          <w:rPr>
            <w:rStyle w:val="Hyperlink"/>
          </w:rPr>
          <w:t>https://doi.org/10.1126/science.1225829</w:t>
        </w:r>
      </w:hyperlink>
    </w:p>
    <w:p w14:paraId="35081E5B" w14:textId="77777777" w:rsidR="00D67783" w:rsidRDefault="00D67783" w:rsidP="00D67783">
      <w:pPr>
        <w:pStyle w:val="isselectedend"/>
      </w:pPr>
      <w:r>
        <w:lastRenderedPageBreak/>
        <w:t xml:space="preserve">Kim, M.-G., Go, M.-J., Kang, S.-H., Jeong, S.-H., &amp; Lim, K. (2025). Revolutionizing CRISPR technology with artificial intelligence. </w:t>
      </w:r>
      <w:r>
        <w:rPr>
          <w:rStyle w:val="Emphasis"/>
        </w:rPr>
        <w:t>Experimental &amp; Molecular Medicine, 57</w:t>
      </w:r>
      <w:r>
        <w:t xml:space="preserve">(7), 1419–1431. </w:t>
      </w:r>
      <w:hyperlink r:id="rId30" w:history="1">
        <w:r>
          <w:rPr>
            <w:rStyle w:val="Hyperlink"/>
          </w:rPr>
          <w:t>https://doi.org/10.1038/s12276-025-01462-9</w:t>
        </w:r>
      </w:hyperlink>
    </w:p>
    <w:p w14:paraId="1381672C" w14:textId="77777777" w:rsidR="00D67783" w:rsidRDefault="00D67783" w:rsidP="00D67783">
      <w:pPr>
        <w:pStyle w:val="isselectedend"/>
      </w:pPr>
      <w:r>
        <w:t xml:space="preserve">Lemmon, Z. H., Reem, N. T., Dalrymple, J., Soyk, S., Swartwood, K. E., Rodriguez-Leal, D., Van Eck, J., &amp; Lippman, Z. B. (2018). Rapid improvement of domestication traits in an orphan crop by genome editing. </w:t>
      </w:r>
      <w:r>
        <w:rPr>
          <w:rStyle w:val="Emphasis"/>
        </w:rPr>
        <w:t>Nature Plants, 4</w:t>
      </w:r>
      <w:r>
        <w:t xml:space="preserve">, 766–770. </w:t>
      </w:r>
      <w:hyperlink r:id="rId31" w:history="1">
        <w:r>
          <w:rPr>
            <w:rStyle w:val="Hyperlink"/>
          </w:rPr>
          <w:t>https://doi.org/10.1038/s41477-018-0259-x</w:t>
        </w:r>
      </w:hyperlink>
    </w:p>
    <w:p w14:paraId="665FBBDA" w14:textId="77777777" w:rsidR="00D67783" w:rsidRDefault="00D67783" w:rsidP="00D67783">
      <w:pPr>
        <w:pStyle w:val="isselectedend"/>
      </w:pPr>
      <w:r>
        <w:t xml:space="preserve">Li, B., Sun, C., Li, J., &amp; Gao, C. (2024). Targeted genome-modification tools and their advanced applications in crop breeding. </w:t>
      </w:r>
      <w:r>
        <w:rPr>
          <w:rStyle w:val="Emphasis"/>
        </w:rPr>
        <w:t>Nature Reviews Genetics, 25</w:t>
      </w:r>
      <w:r>
        <w:t xml:space="preserve">(9), 603–622. </w:t>
      </w:r>
      <w:hyperlink r:id="rId32" w:history="1">
        <w:r>
          <w:rPr>
            <w:rStyle w:val="Hyperlink"/>
          </w:rPr>
          <w:t>https://doi.org/10.1038/s41576-024-00720-2</w:t>
        </w:r>
      </w:hyperlink>
    </w:p>
    <w:p w14:paraId="01B6953B" w14:textId="77777777" w:rsidR="00D67783" w:rsidRDefault="00D67783" w:rsidP="00D67783">
      <w:pPr>
        <w:pStyle w:val="isselectedend"/>
      </w:pPr>
      <w:r>
        <w:t xml:space="preserve">Li, C., Li, W., Zhou, Z., Chen, H., Xie, C., &amp; Lin, Y. (2020). A new rice breeding method: CRISPR/Cas9 system editing of the Xa13 promoter to cultivate transgene-free bacterial blight-resistant rice. </w:t>
      </w:r>
      <w:r>
        <w:rPr>
          <w:rStyle w:val="Emphasis"/>
        </w:rPr>
        <w:t>Plant Biotechnology Journal, 18</w:t>
      </w:r>
      <w:r>
        <w:t xml:space="preserve">(2), 313–315. </w:t>
      </w:r>
      <w:hyperlink r:id="rId33" w:history="1">
        <w:r>
          <w:rPr>
            <w:rStyle w:val="Hyperlink"/>
          </w:rPr>
          <w:t>https://doi.org/10.1111/pbi.13217</w:t>
        </w:r>
      </w:hyperlink>
    </w:p>
    <w:p w14:paraId="5487B5A6" w14:textId="77777777" w:rsidR="00D67783" w:rsidRDefault="00D67783" w:rsidP="00D67783">
      <w:pPr>
        <w:pStyle w:val="isselectedend"/>
      </w:pPr>
      <w:r>
        <w:t xml:space="preserve">Li, J., Wu, P., Cao, Z., Huang, G., Lu, Z., Yan, J., Zhang, H., Zhou, Y., Liu, R., Chen, H., Ma, L., &amp; Luo, M. (2024). Machine learning-based prediction models to guide the selection of Cas9 variants for efficient gene editing. </w:t>
      </w:r>
      <w:r>
        <w:rPr>
          <w:rStyle w:val="Emphasis"/>
        </w:rPr>
        <w:t>Cell Reports, 43</w:t>
      </w:r>
      <w:r>
        <w:t xml:space="preserve">(2), Article 113765. </w:t>
      </w:r>
      <w:hyperlink r:id="rId34" w:history="1">
        <w:r>
          <w:rPr>
            <w:rStyle w:val="Hyperlink"/>
          </w:rPr>
          <w:t>https://doi.org/10.1016/j.celrep.2024.113765</w:t>
        </w:r>
      </w:hyperlink>
    </w:p>
    <w:p w14:paraId="75508A81" w14:textId="77777777" w:rsidR="00D67783" w:rsidRDefault="00D67783" w:rsidP="00D67783">
      <w:pPr>
        <w:pStyle w:val="isselectedend"/>
      </w:pPr>
      <w:r>
        <w:t xml:space="preserve">Li, T., Yang, X., Yu, Y., Si, X., Zhai, X., Zhang, H., Dong, W., Gao, C., &amp; Xu, C. (2018). Domestication of wild tomato is accelerated by genome editing. </w:t>
      </w:r>
      <w:r>
        <w:rPr>
          <w:rStyle w:val="Emphasis"/>
        </w:rPr>
        <w:t>Nature Biotechnology, 36</w:t>
      </w:r>
      <w:r>
        <w:t xml:space="preserve">(12), 1160–1163. </w:t>
      </w:r>
      <w:hyperlink r:id="rId35" w:history="1">
        <w:r>
          <w:rPr>
            <w:rStyle w:val="Hyperlink"/>
          </w:rPr>
          <w:t>https://doi.org/10.1038/nbt.4273</w:t>
        </w:r>
      </w:hyperlink>
    </w:p>
    <w:p w14:paraId="2DDE689B" w14:textId="77777777" w:rsidR="00D67783" w:rsidRDefault="00D67783" w:rsidP="00D67783">
      <w:pPr>
        <w:pStyle w:val="isselectedend"/>
      </w:pPr>
      <w:r>
        <w:t xml:space="preserve">Liang, Z., Chen, K., Li, T., Zhang, Y., Wang, Y., Zhao, Q., Liu, J., Zhang, H., Liu, C., Ran, Y., &amp; Gao, C. (2017). Efficient DNA-free genome editing of bread wheat using CRISPR/Cas9 ribonucleoprotein complexes. </w:t>
      </w:r>
      <w:r>
        <w:rPr>
          <w:rStyle w:val="Emphasis"/>
        </w:rPr>
        <w:t>Nature Communications, 8</w:t>
      </w:r>
      <w:r>
        <w:t xml:space="preserve">, Article 14261. </w:t>
      </w:r>
      <w:hyperlink r:id="rId36" w:history="1">
        <w:r>
          <w:rPr>
            <w:rStyle w:val="Hyperlink"/>
          </w:rPr>
          <w:t>https://doi.org/10.1038/ncomms14261</w:t>
        </w:r>
      </w:hyperlink>
    </w:p>
    <w:p w14:paraId="485FD1F5" w14:textId="77777777" w:rsidR="00D67783" w:rsidRDefault="00D67783" w:rsidP="00D67783">
      <w:pPr>
        <w:pStyle w:val="isselectedend"/>
      </w:pPr>
      <w:proofErr w:type="spellStart"/>
      <w:r>
        <w:t>Listgarten</w:t>
      </w:r>
      <w:proofErr w:type="spellEnd"/>
      <w:r>
        <w:t xml:space="preserve">, J., Weinstein, M., </w:t>
      </w:r>
      <w:proofErr w:type="spellStart"/>
      <w:r>
        <w:t>Kleinstiver</w:t>
      </w:r>
      <w:proofErr w:type="spellEnd"/>
      <w:r>
        <w:t xml:space="preserve">, B. P., Sousa, A. A., Joung, J. K., Crawford, J., Gao, K., Hoang, L., Elibol, M., Doench, J. G., &amp; Fusi, N. (2018). Prediction of off-target activities for the end-to-end design of CRISPR guide RNAs. </w:t>
      </w:r>
      <w:r>
        <w:rPr>
          <w:rStyle w:val="Emphasis"/>
        </w:rPr>
        <w:t>Nature Biomedical Engineering, 2</w:t>
      </w:r>
      <w:r>
        <w:t xml:space="preserve">(1), 38–47. </w:t>
      </w:r>
      <w:hyperlink r:id="rId37" w:history="1">
        <w:r>
          <w:rPr>
            <w:rStyle w:val="Hyperlink"/>
          </w:rPr>
          <w:t>https://doi.org/10.1038/s41551-017-0178-6</w:t>
        </w:r>
      </w:hyperlink>
    </w:p>
    <w:p w14:paraId="1F068111" w14:textId="77777777" w:rsidR="00D67783" w:rsidRDefault="00D67783" w:rsidP="00D67783">
      <w:pPr>
        <w:pStyle w:val="isselectedend"/>
      </w:pPr>
      <w:r>
        <w:t xml:space="preserve">Maher, M. F., Nasti, R. A., Vollbrecht, M., Starker, C. G., Clark, M. D., &amp; </w:t>
      </w:r>
      <w:proofErr w:type="spellStart"/>
      <w:r>
        <w:t>Voytas</w:t>
      </w:r>
      <w:proofErr w:type="spellEnd"/>
      <w:r>
        <w:t xml:space="preserve">, D. F. (2020). Plant gene editing through de novo induction of meristems. </w:t>
      </w:r>
      <w:r>
        <w:rPr>
          <w:rStyle w:val="Emphasis"/>
        </w:rPr>
        <w:t>Nature Biotechnology, 38</w:t>
      </w:r>
      <w:r>
        <w:t xml:space="preserve">(1), 84–89. </w:t>
      </w:r>
      <w:hyperlink r:id="rId38" w:history="1">
        <w:r>
          <w:rPr>
            <w:rStyle w:val="Hyperlink"/>
          </w:rPr>
          <w:t>https://doi.org/10.1038/s41587-019-0337-2</w:t>
        </w:r>
      </w:hyperlink>
    </w:p>
    <w:p w14:paraId="57923394" w14:textId="77777777" w:rsidR="00D67783" w:rsidRDefault="00D67783" w:rsidP="00D67783">
      <w:pPr>
        <w:pStyle w:val="isselectedend"/>
      </w:pPr>
      <w:r>
        <w:t xml:space="preserve">Molla, K. A., </w:t>
      </w:r>
      <w:proofErr w:type="spellStart"/>
      <w:r>
        <w:t>Sretenovic</w:t>
      </w:r>
      <w:proofErr w:type="spellEnd"/>
      <w:r>
        <w:t xml:space="preserve">, S., Bansal, K. C., &amp; Qi, Y. (2021). Precise plant genome editing using base editors and prime editors. </w:t>
      </w:r>
      <w:r>
        <w:rPr>
          <w:rStyle w:val="Emphasis"/>
        </w:rPr>
        <w:t>Nature Plants, 7</w:t>
      </w:r>
      <w:r>
        <w:t xml:space="preserve">(9), 1166–1187. </w:t>
      </w:r>
      <w:hyperlink r:id="rId39" w:history="1">
        <w:r>
          <w:rPr>
            <w:rStyle w:val="Hyperlink"/>
          </w:rPr>
          <w:t>https://doi.org/10.1038/s41477-021-00991-1</w:t>
        </w:r>
      </w:hyperlink>
    </w:p>
    <w:p w14:paraId="1ED19CC5" w14:textId="77777777" w:rsidR="00D67783" w:rsidRDefault="00D67783" w:rsidP="00D67783">
      <w:pPr>
        <w:pStyle w:val="isselectedend"/>
      </w:pPr>
      <w:r>
        <w:t xml:space="preserve">Ninomiya, S. (2022). High-throughput field crop phenotyping: Current status and challenges. </w:t>
      </w:r>
      <w:r>
        <w:rPr>
          <w:rStyle w:val="Emphasis"/>
        </w:rPr>
        <w:t>Breeding Science, 72</w:t>
      </w:r>
      <w:r>
        <w:t xml:space="preserve">(1), 3–18. </w:t>
      </w:r>
      <w:hyperlink r:id="rId40" w:history="1">
        <w:r>
          <w:rPr>
            <w:rStyle w:val="Hyperlink"/>
          </w:rPr>
          <w:t>https://doi.org/10.1270/jsbbs.21069</w:t>
        </w:r>
      </w:hyperlink>
    </w:p>
    <w:p w14:paraId="6A77E989" w14:textId="77777777" w:rsidR="00D67783" w:rsidRDefault="00D67783" w:rsidP="00D67783">
      <w:pPr>
        <w:pStyle w:val="isselectedend"/>
      </w:pPr>
      <w:r>
        <w:t xml:space="preserve">Nonaka, S., Arai, C., Takayama, M., </w:t>
      </w:r>
      <w:proofErr w:type="spellStart"/>
      <w:r>
        <w:t>Matsukura</w:t>
      </w:r>
      <w:proofErr w:type="spellEnd"/>
      <w:r>
        <w:t xml:space="preserve">, C., &amp; Ezura, H. (2017). Efficient increase of γ-aminobutyric acid (GABA) content in tomato fruits by targeted mutagenesis. </w:t>
      </w:r>
      <w:r>
        <w:rPr>
          <w:rStyle w:val="Emphasis"/>
        </w:rPr>
        <w:t>Scientific Reports, 7</w:t>
      </w:r>
      <w:r>
        <w:t xml:space="preserve">, Article 7057. </w:t>
      </w:r>
      <w:hyperlink r:id="rId41" w:history="1">
        <w:r>
          <w:rPr>
            <w:rStyle w:val="Hyperlink"/>
          </w:rPr>
          <w:t>https://doi.org/10.1038/s41598-017-06400-y</w:t>
        </w:r>
      </w:hyperlink>
    </w:p>
    <w:p w14:paraId="154720E9" w14:textId="77777777" w:rsidR="00D67783" w:rsidRDefault="00D67783" w:rsidP="00D67783">
      <w:pPr>
        <w:pStyle w:val="isselectedend"/>
      </w:pPr>
      <w:r>
        <w:lastRenderedPageBreak/>
        <w:t xml:space="preserve">Oliva, R., Ji, C., Atienza-Grande, G., Huguet-Tapia, J. C., Perez-Quintero, A., Li, T., Eom, J.-S., Li, C., Nguyen, H., Liu, B., Auguy, F., </w:t>
      </w:r>
      <w:proofErr w:type="spellStart"/>
      <w:r>
        <w:t>Sciallano</w:t>
      </w:r>
      <w:proofErr w:type="spellEnd"/>
      <w:r>
        <w:t xml:space="preserve">, C., Luu, V. T., Dossa, G. S., </w:t>
      </w:r>
      <w:proofErr w:type="spellStart"/>
      <w:r>
        <w:t>Cunnac</w:t>
      </w:r>
      <w:proofErr w:type="spellEnd"/>
      <w:r>
        <w:t xml:space="preserve">, S., Schmidt, S. M., Slamet-Loedin, I. H., Vera Cruz, C., Szurek, B., … Yang, B. (2019). Broad-spectrum resistance to bacterial blight in rice using genome editing. </w:t>
      </w:r>
      <w:r>
        <w:rPr>
          <w:rStyle w:val="Emphasis"/>
        </w:rPr>
        <w:t>Nature Biotechnology, 37</w:t>
      </w:r>
      <w:r>
        <w:t xml:space="preserve">(11), 1344–1350. </w:t>
      </w:r>
      <w:hyperlink r:id="rId42" w:history="1">
        <w:r>
          <w:rPr>
            <w:rStyle w:val="Hyperlink"/>
          </w:rPr>
          <w:t>https://doi.org/10.1038/s41587-019-0267-z</w:t>
        </w:r>
      </w:hyperlink>
    </w:p>
    <w:p w14:paraId="64C652F3" w14:textId="77777777" w:rsidR="00D67783" w:rsidRDefault="00D67783" w:rsidP="00D67783">
      <w:pPr>
        <w:pStyle w:val="isselectedend"/>
      </w:pPr>
      <w:r>
        <w:t xml:space="preserve">Rodríguez-Leal, D., Lemmon, Z. H., Man, J., Bartlett, M. E., &amp; Lippman, Z. B. (2017). Engineering quantitative trait variation for crop improvement by genome editing. </w:t>
      </w:r>
      <w:r>
        <w:rPr>
          <w:rStyle w:val="Emphasis"/>
        </w:rPr>
        <w:t>Cell, 171</w:t>
      </w:r>
      <w:r>
        <w:t xml:space="preserve">(2), 470–480.e8. </w:t>
      </w:r>
      <w:hyperlink r:id="rId43" w:history="1">
        <w:r>
          <w:rPr>
            <w:rStyle w:val="Hyperlink"/>
          </w:rPr>
          <w:t>https://doi.org/10.1016/j.cell.2017.08.030</w:t>
        </w:r>
      </w:hyperlink>
    </w:p>
    <w:p w14:paraId="276918FC" w14:textId="77777777" w:rsidR="00D67783" w:rsidRDefault="00D67783" w:rsidP="00D67783">
      <w:pPr>
        <w:pStyle w:val="isselectedend"/>
      </w:pPr>
      <w:r>
        <w:t xml:space="preserve">Shan, Q., Wang, Y., Li, J., Zhang, Y., Chen, K., Liang, Z., Zhang, K., Liu, J., Xi, J. J., Qiu, J.-L., &amp; Gao, C. (2013). Targeted genome modification of crop plants using a CRISPR-Cas system. </w:t>
      </w:r>
      <w:r>
        <w:rPr>
          <w:rStyle w:val="Emphasis"/>
        </w:rPr>
        <w:t>Nature Biotechnology, 31</w:t>
      </w:r>
      <w:r>
        <w:t xml:space="preserve">(8), 686–688. </w:t>
      </w:r>
      <w:hyperlink r:id="rId44" w:history="1">
        <w:r>
          <w:rPr>
            <w:rStyle w:val="Hyperlink"/>
          </w:rPr>
          <w:t>https://doi.org/10.1038/nbt.2650</w:t>
        </w:r>
      </w:hyperlink>
    </w:p>
    <w:p w14:paraId="05F033D2" w14:textId="77777777" w:rsidR="00D67783" w:rsidRDefault="00D67783" w:rsidP="00D67783">
      <w:pPr>
        <w:pStyle w:val="isselectedend"/>
      </w:pPr>
      <w:r>
        <w:t xml:space="preserve">Shi, J., Gao, H., Wang, H., Lafitte, H. R., Archibald, R. L., Yang, M., Hakimi, S. M., Mo, H., &amp; Habben, J. E. (2017). ARGOS8 variants generated by CRISPR-Cas9 improve maize grain yield under field drought stress conditions. </w:t>
      </w:r>
      <w:r>
        <w:rPr>
          <w:rStyle w:val="Emphasis"/>
        </w:rPr>
        <w:t>Plant Biotechnology Journal, 15</w:t>
      </w:r>
      <w:r>
        <w:t xml:space="preserve">(2), 207–216. </w:t>
      </w:r>
      <w:hyperlink r:id="rId45" w:history="1">
        <w:r>
          <w:rPr>
            <w:rStyle w:val="Hyperlink"/>
          </w:rPr>
          <w:t>https://doi.org/10.1111/pbi.12603</w:t>
        </w:r>
      </w:hyperlink>
    </w:p>
    <w:p w14:paraId="6B00C293" w14:textId="77777777" w:rsidR="00D67783" w:rsidRDefault="00D67783" w:rsidP="00D67783">
      <w:pPr>
        <w:pStyle w:val="isselectedend"/>
      </w:pPr>
      <w:r>
        <w:t xml:space="preserve">Singh, A., </w:t>
      </w:r>
      <w:proofErr w:type="spellStart"/>
      <w:r>
        <w:t>Ganapathysubramanian</w:t>
      </w:r>
      <w:proofErr w:type="spellEnd"/>
      <w:r>
        <w:t xml:space="preserve">, B., Singh, A. K., &amp; Sarkar, S. (2016). Machine learning for high-throughput stress phenotyping in plants. </w:t>
      </w:r>
      <w:r>
        <w:rPr>
          <w:rStyle w:val="Emphasis"/>
        </w:rPr>
        <w:t>Trends in Plant Science, 21</w:t>
      </w:r>
      <w:r>
        <w:t xml:space="preserve">(2), 110–124. </w:t>
      </w:r>
      <w:hyperlink r:id="rId46" w:history="1">
        <w:r>
          <w:rPr>
            <w:rStyle w:val="Hyperlink"/>
          </w:rPr>
          <w:t>https://doi.org/10.1016/j.tplants.2015.10.015</w:t>
        </w:r>
      </w:hyperlink>
    </w:p>
    <w:p w14:paraId="17355F97" w14:textId="77777777" w:rsidR="00D67783" w:rsidRDefault="00D67783" w:rsidP="00D67783">
      <w:pPr>
        <w:pStyle w:val="isselectedend"/>
      </w:pPr>
      <w:proofErr w:type="spellStart"/>
      <w:r>
        <w:t>Sprink</w:t>
      </w:r>
      <w:proofErr w:type="spellEnd"/>
      <w:r>
        <w:t xml:space="preserve">, T., Wilhelm, R., &amp; Hartung, F. (2022). Genome editing around the globe: An update on policies and perceptions. </w:t>
      </w:r>
      <w:r>
        <w:rPr>
          <w:rStyle w:val="Emphasis"/>
        </w:rPr>
        <w:t>Plant Physiology, 190</w:t>
      </w:r>
      <w:r>
        <w:t xml:space="preserve">(3), 1579–1587. </w:t>
      </w:r>
      <w:hyperlink r:id="rId47" w:history="1">
        <w:r>
          <w:rPr>
            <w:rStyle w:val="Hyperlink"/>
          </w:rPr>
          <w:t>https://doi.org/10.1093/plphys/kiac359</w:t>
        </w:r>
      </w:hyperlink>
    </w:p>
    <w:p w14:paraId="75A0E3C4" w14:textId="77777777" w:rsidR="00D67783" w:rsidRDefault="00D67783" w:rsidP="00D67783">
      <w:pPr>
        <w:pStyle w:val="isselectedend"/>
      </w:pPr>
      <w:r>
        <w:t xml:space="preserve">Tang, X., Liu, G., Zhou, J., Ren, Q., You, Q., Tian, L., Xin, X., Zhong, Z., Liu, B., Zheng, X., Zhang, D., Malzahn, A., Gong, Z., Qi, Y., Zhang, T., &amp; Zhang, Y. (2018). A large-scale whole-genome sequencing analysis reveals highly specific genome editing by both Cas9 and Cpf1 (Cas12a) nucleases in rice. </w:t>
      </w:r>
      <w:r>
        <w:rPr>
          <w:rStyle w:val="Emphasis"/>
        </w:rPr>
        <w:t>Genome Biology, 19</w:t>
      </w:r>
      <w:r>
        <w:t xml:space="preserve">, Article 84. </w:t>
      </w:r>
      <w:hyperlink r:id="rId48" w:history="1">
        <w:r>
          <w:rPr>
            <w:rStyle w:val="Hyperlink"/>
          </w:rPr>
          <w:t>https://doi.org/10.1186/s13059-018-1458-5</w:t>
        </w:r>
      </w:hyperlink>
    </w:p>
    <w:p w14:paraId="384ED415" w14:textId="77777777" w:rsidR="00D67783" w:rsidRDefault="00D67783" w:rsidP="00D67783">
      <w:pPr>
        <w:pStyle w:val="isselectedend"/>
      </w:pPr>
      <w:r>
        <w:t xml:space="preserve">Thomson, T., Li, G., Strilchuk, A., Cui, H., Wang, B., &amp; Li, B. (2026). Harnessing artificial intelligence to advance CRISPR-based genome editing technologies. </w:t>
      </w:r>
      <w:r>
        <w:rPr>
          <w:rStyle w:val="Emphasis"/>
        </w:rPr>
        <w:t>Nature Reviews Genetics, 27</w:t>
      </w:r>
      <w:r>
        <w:t xml:space="preserve">(3), 212–230. </w:t>
      </w:r>
      <w:hyperlink r:id="rId49" w:history="1">
        <w:r>
          <w:rPr>
            <w:rStyle w:val="Hyperlink"/>
          </w:rPr>
          <w:t>https://doi.org/10.1038/s41576-025-00907-1</w:t>
        </w:r>
      </w:hyperlink>
    </w:p>
    <w:p w14:paraId="432B0976" w14:textId="77777777" w:rsidR="00D67783" w:rsidRDefault="00D67783" w:rsidP="00D67783">
      <w:pPr>
        <w:pStyle w:val="isselectedend"/>
      </w:pPr>
      <w:r>
        <w:t xml:space="preserve">Tong, H., &amp; </w:t>
      </w:r>
      <w:proofErr w:type="spellStart"/>
      <w:r>
        <w:t>Nikoloski</w:t>
      </w:r>
      <w:proofErr w:type="spellEnd"/>
      <w:r>
        <w:t xml:space="preserve">, Z. (2021). Machine learning approaches for crop improvement: Leveraging phenotypic and genotypic big data. </w:t>
      </w:r>
      <w:r>
        <w:rPr>
          <w:rStyle w:val="Emphasis"/>
        </w:rPr>
        <w:t>Journal of Plant Physiology, 257</w:t>
      </w:r>
      <w:r>
        <w:t xml:space="preserve">, Article 153354. </w:t>
      </w:r>
      <w:hyperlink r:id="rId50" w:history="1">
        <w:r>
          <w:rPr>
            <w:rStyle w:val="Hyperlink"/>
          </w:rPr>
          <w:t>https://doi.org/10.1016/j.jplph.2020.153354</w:t>
        </w:r>
      </w:hyperlink>
    </w:p>
    <w:p w14:paraId="6516D9EB" w14:textId="77777777" w:rsidR="00D67783" w:rsidRDefault="00D67783" w:rsidP="00D67783">
      <w:pPr>
        <w:pStyle w:val="isselectedend"/>
      </w:pPr>
      <w:r>
        <w:t xml:space="preserve">Wang, Y., Cheng, X., Shan, Q., Zhang, Y., Liu, J., Gao, C., &amp; Qiu, J.-L. (2014). Simultaneous editing of three </w:t>
      </w:r>
      <w:proofErr w:type="spellStart"/>
      <w:r>
        <w:t>homoeoalleles</w:t>
      </w:r>
      <w:proofErr w:type="spellEnd"/>
      <w:r>
        <w:t xml:space="preserve"> in </w:t>
      </w:r>
      <w:proofErr w:type="spellStart"/>
      <w:r>
        <w:t>hexaploid</w:t>
      </w:r>
      <w:proofErr w:type="spellEnd"/>
      <w:r>
        <w:t xml:space="preserve"> bread wheat confers heritable resistance to powdery mildew. </w:t>
      </w:r>
      <w:r>
        <w:rPr>
          <w:rStyle w:val="Emphasis"/>
        </w:rPr>
        <w:t>Nature Biotechnology, 32</w:t>
      </w:r>
      <w:r>
        <w:t xml:space="preserve">(9), 947–951. </w:t>
      </w:r>
      <w:hyperlink r:id="rId51" w:history="1">
        <w:r>
          <w:rPr>
            <w:rStyle w:val="Hyperlink"/>
          </w:rPr>
          <w:t>https://doi.org/10.1038/nbt.2969</w:t>
        </w:r>
      </w:hyperlink>
    </w:p>
    <w:p w14:paraId="38B2F559" w14:textId="77777777" w:rsidR="00D67783" w:rsidRDefault="00D67783" w:rsidP="00D67783">
      <w:pPr>
        <w:pStyle w:val="isselectedend"/>
      </w:pPr>
      <w:r>
        <w:t xml:space="preserve">Wolt, J. D., Wang, K., &amp; Yang, B. (2016). The regulatory status of genome-edited crops. </w:t>
      </w:r>
      <w:r>
        <w:rPr>
          <w:rStyle w:val="Emphasis"/>
        </w:rPr>
        <w:t>Plant Biotechnology Journal, 14</w:t>
      </w:r>
      <w:r>
        <w:t xml:space="preserve">(2), 510–518. </w:t>
      </w:r>
      <w:hyperlink r:id="rId52" w:history="1">
        <w:r>
          <w:rPr>
            <w:rStyle w:val="Hyperlink"/>
          </w:rPr>
          <w:t>https://doi.org/10.1111/pbi.12444</w:t>
        </w:r>
      </w:hyperlink>
    </w:p>
    <w:p w14:paraId="447B1D2A" w14:textId="77777777" w:rsidR="00D67783" w:rsidRDefault="00D67783" w:rsidP="00D67783">
      <w:pPr>
        <w:pStyle w:val="isselectedend"/>
      </w:pPr>
      <w:r>
        <w:lastRenderedPageBreak/>
        <w:t xml:space="preserve">Woo, J. W., Kim, J., Kwon, S. I., Corvalán, C., Cho, S. W., Kim, H., Kim, S.-G., Kim, S.-T., Choe, S., &amp; Kim, J.-S. (2015). DNA-free genome editing in plants with preassembled CRISPR-Cas9 ribonucleoproteins. </w:t>
      </w:r>
      <w:r>
        <w:rPr>
          <w:rStyle w:val="Emphasis"/>
        </w:rPr>
        <w:t>Nature Biotechnology, 33</w:t>
      </w:r>
      <w:r>
        <w:t xml:space="preserve">(11), 1162–1164. </w:t>
      </w:r>
      <w:hyperlink r:id="rId53" w:history="1">
        <w:r>
          <w:rPr>
            <w:rStyle w:val="Hyperlink"/>
          </w:rPr>
          <w:t>https://doi.org/10.1038/nbt.3389</w:t>
        </w:r>
      </w:hyperlink>
    </w:p>
    <w:p w14:paraId="421AB930" w14:textId="77777777" w:rsidR="00D67783" w:rsidRDefault="00D67783" w:rsidP="00D67783">
      <w:pPr>
        <w:pStyle w:val="isselectedend"/>
      </w:pPr>
      <w:r>
        <w:t xml:space="preserve">Xu, Z., Xu, X., Gong, Q., Li, Z., Li, Y., Wang, S., Yang, Y., Ma, W., Liu, L., Zhu, B., Zou, L., &amp; Chen, G. (2019). Engineering broad-spectrum bacterial blight resistance by simultaneously disrupting variable TALE-binding elements of multiple susceptibility genes in rice. </w:t>
      </w:r>
      <w:r>
        <w:rPr>
          <w:rStyle w:val="Emphasis"/>
        </w:rPr>
        <w:t>Molecular Plant, 12</w:t>
      </w:r>
      <w:r>
        <w:t xml:space="preserve">(11), 1434–1446. </w:t>
      </w:r>
      <w:hyperlink r:id="rId54" w:history="1">
        <w:r>
          <w:rPr>
            <w:rStyle w:val="Hyperlink"/>
          </w:rPr>
          <w:t>https://doi.org/10.1016/j.molp.2019.08.006</w:t>
        </w:r>
      </w:hyperlink>
    </w:p>
    <w:p w14:paraId="163F339E" w14:textId="77777777" w:rsidR="00D67783" w:rsidRDefault="00D67783" w:rsidP="00D67783">
      <w:pPr>
        <w:pStyle w:val="isselectedend"/>
      </w:pPr>
      <w:r>
        <w:t xml:space="preserve">Yang, W., Feng, H., Zhang, X., Zhang, J., Doonan, J. H., Batchelor, W. D., Xiong, L., &amp; Yan, J. (2020). Crop phenomics and high-throughput phenotyping: Past decades, current challenges, and future perspectives. </w:t>
      </w:r>
      <w:r>
        <w:rPr>
          <w:rStyle w:val="Emphasis"/>
        </w:rPr>
        <w:t>Molecular Plant, 13</w:t>
      </w:r>
      <w:r>
        <w:t xml:space="preserve">(2), 187–214. </w:t>
      </w:r>
      <w:hyperlink r:id="rId55" w:history="1">
        <w:r>
          <w:rPr>
            <w:rStyle w:val="Hyperlink"/>
          </w:rPr>
          <w:t>https://doi.org/10.1016/j.molp.2020.01.008</w:t>
        </w:r>
      </w:hyperlink>
    </w:p>
    <w:p w14:paraId="11ABEB53" w14:textId="77777777" w:rsidR="00D67783" w:rsidRDefault="00D67783" w:rsidP="00D67783">
      <w:pPr>
        <w:pStyle w:val="isselectedend"/>
      </w:pPr>
      <w:r>
        <w:t xml:space="preserve">Zhang, D., Xu, F., Wang, F., Le, L., &amp; Pu, L. (2025). Synthetic biology and artificial intelligence in crop improvement. </w:t>
      </w:r>
      <w:r>
        <w:rPr>
          <w:rStyle w:val="Emphasis"/>
        </w:rPr>
        <w:t>Plant Communications, 6</w:t>
      </w:r>
      <w:r>
        <w:t xml:space="preserve">(2), Article 101220. </w:t>
      </w:r>
      <w:hyperlink r:id="rId56" w:history="1">
        <w:r>
          <w:rPr>
            <w:rStyle w:val="Hyperlink"/>
          </w:rPr>
          <w:t>https://doi.org/10.1016/j.xplc.2024.101220</w:t>
        </w:r>
      </w:hyperlink>
    </w:p>
    <w:p w14:paraId="0B6F881A" w14:textId="77777777" w:rsidR="00D67783" w:rsidRDefault="00D67783" w:rsidP="00D67783">
      <w:pPr>
        <w:pStyle w:val="isselectedend"/>
      </w:pPr>
      <w:r>
        <w:t xml:space="preserve">Zhang, Y., Liang, Z., Zong, Y., Wang, Y., Liu, J., Chen, K., Qiu, J.-L., &amp; Gao, C. (2016). Efficient and transgene-free genome editing in wheat through transient expression of CRISPR/Cas9 DNA or RNA. </w:t>
      </w:r>
      <w:r>
        <w:rPr>
          <w:rStyle w:val="Emphasis"/>
        </w:rPr>
        <w:t>Nature Communications, 7</w:t>
      </w:r>
      <w:r>
        <w:t xml:space="preserve">, Article 12617. </w:t>
      </w:r>
      <w:hyperlink r:id="rId57" w:history="1">
        <w:r>
          <w:rPr>
            <w:rStyle w:val="Hyperlink"/>
          </w:rPr>
          <w:t>https://doi.org/10.1038/ncomms12617</w:t>
        </w:r>
      </w:hyperlink>
    </w:p>
    <w:p w14:paraId="50C502B8" w14:textId="77777777" w:rsidR="00D67783" w:rsidRDefault="00D67783" w:rsidP="00D67783">
      <w:pPr>
        <w:pStyle w:val="isselectedend"/>
      </w:pPr>
      <w:r>
        <w:t xml:space="preserve">Zhu, H., Li, C., &amp; Gao, C. (2020). Applications of CRISPR-Cas in agriculture and plant biotechnology. </w:t>
      </w:r>
      <w:r>
        <w:rPr>
          <w:rStyle w:val="Emphasis"/>
        </w:rPr>
        <w:t>Nature Reviews Molecular Cell Biology, 21</w:t>
      </w:r>
      <w:r>
        <w:t xml:space="preserve">(11), 661–677. </w:t>
      </w:r>
      <w:hyperlink r:id="rId58" w:history="1">
        <w:r>
          <w:rPr>
            <w:rStyle w:val="Hyperlink"/>
          </w:rPr>
          <w:t>https://doi.org/10.1038/s41580-020-00288-9</w:t>
        </w:r>
      </w:hyperlink>
    </w:p>
    <w:p w14:paraId="31062C4E" w14:textId="77777777" w:rsidR="00D67783" w:rsidRDefault="00D67783" w:rsidP="00D67783">
      <w:pPr>
        <w:pStyle w:val="NormalWeb"/>
      </w:pPr>
      <w:proofErr w:type="spellStart"/>
      <w:r>
        <w:t>Zsögön</w:t>
      </w:r>
      <w:proofErr w:type="spellEnd"/>
      <w:r>
        <w:t xml:space="preserve">, A., Čermák, T., Naves, E. R., </w:t>
      </w:r>
      <w:proofErr w:type="spellStart"/>
      <w:r>
        <w:t>Notini</w:t>
      </w:r>
      <w:proofErr w:type="spellEnd"/>
      <w:r>
        <w:t xml:space="preserve">, M. M., Edel, K. H., </w:t>
      </w:r>
      <w:proofErr w:type="spellStart"/>
      <w:r>
        <w:t>Weinl</w:t>
      </w:r>
      <w:proofErr w:type="spellEnd"/>
      <w:r>
        <w:t xml:space="preserve">, S., Freschi, L., </w:t>
      </w:r>
      <w:proofErr w:type="spellStart"/>
      <w:r>
        <w:t>Voytas</w:t>
      </w:r>
      <w:proofErr w:type="spellEnd"/>
      <w:r>
        <w:t xml:space="preserve">, D. F., Kudla, J., &amp; Peres, L. E. P. (2018). De novo domestication of wild tomato using genome editing. </w:t>
      </w:r>
      <w:r>
        <w:rPr>
          <w:rStyle w:val="Emphasis"/>
        </w:rPr>
        <w:t>Nature Biotechnology, 36</w:t>
      </w:r>
      <w:r>
        <w:t xml:space="preserve">(12), 1211–1216. </w:t>
      </w:r>
      <w:hyperlink r:id="rId59" w:history="1">
        <w:r>
          <w:rPr>
            <w:rStyle w:val="Hyperlink"/>
          </w:rPr>
          <w:t>https://doi.org/10.1038/nbt.4272</w:t>
        </w:r>
      </w:hyperlink>
    </w:p>
    <w:p w14:paraId="04827AE3" w14:textId="77777777" w:rsidR="00D67783" w:rsidRPr="00D67783" w:rsidRDefault="00D67783" w:rsidP="00D67783"/>
    <w:sectPr w:rsidR="00D67783" w:rsidRPr="00D67783" w:rsidSect="00034616">
      <w:headerReference w:type="even" r:id="rId60"/>
      <w:headerReference w:type="default" r:id="rId61"/>
      <w:footerReference w:type="even" r:id="rId62"/>
      <w:footerReference w:type="default" r:id="rId63"/>
      <w:headerReference w:type="first" r:id="rId64"/>
      <w:footerReference w:type="first" r:id="rId65"/>
      <w:pgSz w:w="12240" w:h="15840"/>
      <w:pgMar w:top="1152" w:right="1296" w:bottom="108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132A3" w14:textId="77777777" w:rsidR="002D676C" w:rsidRDefault="002D676C">
      <w:pPr>
        <w:spacing w:after="0" w:line="240" w:lineRule="auto"/>
      </w:pPr>
      <w:r>
        <w:separator/>
      </w:r>
    </w:p>
  </w:endnote>
  <w:endnote w:type="continuationSeparator" w:id="0">
    <w:p w14:paraId="37430535" w14:textId="77777777" w:rsidR="002D676C" w:rsidRDefault="002D6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77E4" w14:textId="77777777" w:rsidR="00062B12" w:rsidRDefault="00062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91D6" w14:textId="77777777" w:rsidR="00532AA9" w:rsidRDefault="00000000">
    <w:pPr>
      <w:pStyle w:val="Footer"/>
      <w:jc w:val="center"/>
    </w:pPr>
    <w:r>
      <w:rPr>
        <w:color w:val="595959"/>
        <w:sz w:val="18"/>
      </w:rPr>
      <w:fldChar w:fldCharType="begin"/>
    </w:r>
    <w:r>
      <w:rPr>
        <w:color w:val="595959"/>
        <w:sz w:val="18"/>
      </w:rPr>
      <w:instrText xml:space="preserve"> PAGE </w:instrText>
    </w:r>
    <w:r>
      <w:rPr>
        <w:color w:val="595959"/>
        <w:sz w:val="18"/>
      </w:rPr>
      <w:fldChar w:fldCharType="separate"/>
    </w:r>
    <w:r w:rsidR="004400CE">
      <w:rPr>
        <w:noProof/>
        <w:color w:val="595959"/>
        <w:sz w:val="18"/>
      </w:rPr>
      <w:t>1</w:t>
    </w:r>
    <w:r>
      <w:rPr>
        <w:color w:val="595959"/>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1E79" w14:textId="77777777" w:rsidR="00062B12" w:rsidRDefault="00062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F9748" w14:textId="77777777" w:rsidR="002D676C" w:rsidRDefault="002D676C">
      <w:pPr>
        <w:spacing w:after="0" w:line="240" w:lineRule="auto"/>
      </w:pPr>
      <w:r>
        <w:separator/>
      </w:r>
    </w:p>
  </w:footnote>
  <w:footnote w:type="continuationSeparator" w:id="0">
    <w:p w14:paraId="3AFD4BB9" w14:textId="77777777" w:rsidR="002D676C" w:rsidRDefault="002D67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7075E" w14:textId="77777777" w:rsidR="00062B12" w:rsidRDefault="00000000">
    <w:pPr>
      <w:pStyle w:val="Header"/>
    </w:pPr>
    <w:r>
      <w:rPr>
        <w:noProof/>
      </w:rPr>
      <w:pict w14:anchorId="79DFD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79" o:spid="_x0000_s1026" type="#_x0000_t136" style="position:absolute;left:0;text-align:left;margin-left:0;margin-top:0;width:604.55pt;height:75.5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997C" w14:textId="77777777" w:rsidR="00062B12" w:rsidRDefault="00000000">
    <w:pPr>
      <w:pStyle w:val="Header"/>
    </w:pPr>
    <w:r>
      <w:rPr>
        <w:noProof/>
      </w:rPr>
      <w:pict w14:anchorId="763F66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80" o:spid="_x0000_s1027" type="#_x0000_t136" style="position:absolute;left:0;text-align:left;margin-left:0;margin-top:0;width:604.55pt;height:75.5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323C" w14:textId="77777777" w:rsidR="00062B12" w:rsidRDefault="00000000">
    <w:pPr>
      <w:pStyle w:val="Header"/>
    </w:pPr>
    <w:r>
      <w:rPr>
        <w:noProof/>
      </w:rPr>
      <w:pict w14:anchorId="1C82D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2953578" o:spid="_x0000_s1025" type="#_x0000_t136" style="position:absolute;left:0;text-align:left;margin-left:0;margin-top:0;width:604.55pt;height:75.5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8910244">
    <w:abstractNumId w:val="8"/>
  </w:num>
  <w:num w:numId="2" w16cid:durableId="1898204372">
    <w:abstractNumId w:val="6"/>
  </w:num>
  <w:num w:numId="3" w16cid:durableId="1481537691">
    <w:abstractNumId w:val="5"/>
  </w:num>
  <w:num w:numId="4" w16cid:durableId="369573930">
    <w:abstractNumId w:val="4"/>
  </w:num>
  <w:num w:numId="5" w16cid:durableId="2122528984">
    <w:abstractNumId w:val="7"/>
  </w:num>
  <w:num w:numId="6" w16cid:durableId="720637286">
    <w:abstractNumId w:val="3"/>
  </w:num>
  <w:num w:numId="7" w16cid:durableId="51736325">
    <w:abstractNumId w:val="2"/>
  </w:num>
  <w:num w:numId="8" w16cid:durableId="609430910">
    <w:abstractNumId w:val="1"/>
  </w:num>
  <w:num w:numId="9" w16cid:durableId="117310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303"/>
    <w:rsid w:val="00034616"/>
    <w:rsid w:val="0006063C"/>
    <w:rsid w:val="00062B12"/>
    <w:rsid w:val="0008506E"/>
    <w:rsid w:val="00143003"/>
    <w:rsid w:val="0015074B"/>
    <w:rsid w:val="002864A5"/>
    <w:rsid w:val="0029639D"/>
    <w:rsid w:val="002B55AC"/>
    <w:rsid w:val="002B77BA"/>
    <w:rsid w:val="002D676C"/>
    <w:rsid w:val="00326F90"/>
    <w:rsid w:val="00413759"/>
    <w:rsid w:val="004400CE"/>
    <w:rsid w:val="00532AA9"/>
    <w:rsid w:val="00867B91"/>
    <w:rsid w:val="00884AE0"/>
    <w:rsid w:val="00A60D5B"/>
    <w:rsid w:val="00AA1D8D"/>
    <w:rsid w:val="00AD2FDD"/>
    <w:rsid w:val="00B47730"/>
    <w:rsid w:val="00B70D6D"/>
    <w:rsid w:val="00CB0664"/>
    <w:rsid w:val="00D67783"/>
    <w:rsid w:val="00DB3860"/>
    <w:rsid w:val="00DD1D37"/>
    <w:rsid w:val="00E3176B"/>
    <w:rsid w:val="00E66B05"/>
    <w:rsid w:val="00F8645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07F2C7"/>
  <w14:defaultImageDpi w14:val="300"/>
  <w15:docId w15:val="{393AF591-F800-4AD4-B28D-EBD2501A1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jc w:val="both"/>
    </w:pPr>
    <w:rPr>
      <w:rFonts w:ascii="Cambria" w:hAnsi="Cambria"/>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F559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line="240" w:lineRule="auto"/>
      <w:contextualSpacing/>
    </w:pPr>
    <w:rPr>
      <w:rFonts w:asciiTheme="majorHAnsi" w:eastAsiaTheme="majorEastAsia" w:hAnsiTheme="majorHAnsi" w:cstheme="majorBidi"/>
      <w:b/>
      <w:color w:val="1F4E79"/>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bstractText">
    <w:name w:val="AbstractText"/>
    <w:basedOn w:val="Normal"/>
    <w:pPr>
      <w:spacing w:line="269" w:lineRule="auto"/>
    </w:pPr>
    <w:rPr>
      <w:sz w:val="21"/>
    </w:rPr>
  </w:style>
  <w:style w:type="paragraph" w:customStyle="1" w:styleId="TableNote">
    <w:name w:val="TableNote"/>
    <w:basedOn w:val="Normal"/>
    <w:pPr>
      <w:spacing w:before="60" w:after="160"/>
    </w:pPr>
    <w:rPr>
      <w:i/>
      <w:sz w:val="17"/>
    </w:rPr>
  </w:style>
  <w:style w:type="paragraph" w:customStyle="1" w:styleId="Reference">
    <w:name w:val="Reference"/>
    <w:basedOn w:val="Normal"/>
    <w:pPr>
      <w:spacing w:after="80" w:line="252" w:lineRule="auto"/>
      <w:ind w:left="360" w:hanging="360"/>
      <w:jc w:val="left"/>
    </w:pPr>
    <w:rPr>
      <w:sz w:val="20"/>
    </w:rPr>
  </w:style>
  <w:style w:type="paragraph" w:customStyle="1" w:styleId="isselectedend">
    <w:name w:val="isselectedend"/>
    <w:basedOn w:val="Normal"/>
    <w:rsid w:val="00D67783"/>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67783"/>
    <w:rPr>
      <w:color w:val="0000FF"/>
      <w:u w:val="single"/>
    </w:rPr>
  </w:style>
  <w:style w:type="paragraph" w:styleId="NormalWeb">
    <w:name w:val="Normal (Web)"/>
    <w:basedOn w:val="Normal"/>
    <w:uiPriority w:val="99"/>
    <w:semiHidden/>
    <w:unhideWhenUsed/>
    <w:rsid w:val="00D67783"/>
    <w:pPr>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142-024-01314-1" TargetMode="External"/><Relationship Id="rId21" Type="http://schemas.openxmlformats.org/officeDocument/2006/relationships/hyperlink" Target="https://doi.org/10.1016/j.molp.2026.04.007" TargetMode="External"/><Relationship Id="rId34" Type="http://schemas.openxmlformats.org/officeDocument/2006/relationships/hyperlink" Target="https://doi.org/10.1016/j.celrep.2024.113765" TargetMode="External"/><Relationship Id="rId42" Type="http://schemas.openxmlformats.org/officeDocument/2006/relationships/hyperlink" Target="https://doi.org/10.1038/s41587-019-0267-z" TargetMode="External"/><Relationship Id="rId47" Type="http://schemas.openxmlformats.org/officeDocument/2006/relationships/hyperlink" Target="https://doi.org/10.1093/plphys/kiac359" TargetMode="External"/><Relationship Id="rId50" Type="http://schemas.openxmlformats.org/officeDocument/2006/relationships/hyperlink" Target="https://doi.org/10.1016/j.jplph.2020.153354" TargetMode="External"/><Relationship Id="rId55" Type="http://schemas.openxmlformats.org/officeDocument/2006/relationships/hyperlink" Target="https://doi.org/10.1016/j.molp.2020.01.008"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89/fgene.2022.822173" TargetMode="External"/><Relationship Id="rId29" Type="http://schemas.openxmlformats.org/officeDocument/2006/relationships/hyperlink" Target="https://doi.org/10.1126/science.1225829" TargetMode="External"/><Relationship Id="rId11" Type="http://schemas.openxmlformats.org/officeDocument/2006/relationships/hyperlink" Target="https://doi.org/10.1186/s41073-019-0064-8" TargetMode="External"/><Relationship Id="rId24" Type="http://schemas.openxmlformats.org/officeDocument/2006/relationships/hyperlink" Target="https://doi.org/10.1016/j.tibtech.2019.05.007" TargetMode="External"/><Relationship Id="rId32" Type="http://schemas.openxmlformats.org/officeDocument/2006/relationships/hyperlink" Target="https://doi.org/10.1038/s41576-024-00720-2" TargetMode="External"/><Relationship Id="rId37" Type="http://schemas.openxmlformats.org/officeDocument/2006/relationships/hyperlink" Target="https://doi.org/10.1038/s41551-017-0178-6" TargetMode="External"/><Relationship Id="rId40" Type="http://schemas.openxmlformats.org/officeDocument/2006/relationships/hyperlink" Target="https://doi.org/10.1270/jsbbs.21069" TargetMode="External"/><Relationship Id="rId45" Type="http://schemas.openxmlformats.org/officeDocument/2006/relationships/hyperlink" Target="https://doi.org/10.1111/pbi.12603" TargetMode="External"/><Relationship Id="rId53" Type="http://schemas.openxmlformats.org/officeDocument/2006/relationships/hyperlink" Target="https://doi.org/10.1038/nbt.3389" TargetMode="External"/><Relationship Id="rId58" Type="http://schemas.openxmlformats.org/officeDocument/2006/relationships/hyperlink" Target="https://doi.org/10.1038/s41580-020-00288-9"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doi.org/10.1038/nbt.3437" TargetMode="External"/><Relationship Id="rId14" Type="http://schemas.openxmlformats.org/officeDocument/2006/relationships/hyperlink" Target="https://doi.org/10.1186/s13059-018-1459-4" TargetMode="External"/><Relationship Id="rId22" Type="http://schemas.openxmlformats.org/officeDocument/2006/relationships/hyperlink" Target="https://doi.org/10.1016/j.cell.2021.01.005" TargetMode="External"/><Relationship Id="rId27" Type="http://schemas.openxmlformats.org/officeDocument/2006/relationships/hyperlink" Target="https://doi.org/10.1007/s10142-025-01619-9" TargetMode="External"/><Relationship Id="rId30" Type="http://schemas.openxmlformats.org/officeDocument/2006/relationships/hyperlink" Target="https://doi.org/10.1038/s12276-025-01462-9" TargetMode="External"/><Relationship Id="rId35" Type="http://schemas.openxmlformats.org/officeDocument/2006/relationships/hyperlink" Target="https://doi.org/10.1038/nbt.4273" TargetMode="External"/><Relationship Id="rId43" Type="http://schemas.openxmlformats.org/officeDocument/2006/relationships/hyperlink" Target="https://doi.org/10.1016/j.cell.2017.08.030" TargetMode="External"/><Relationship Id="rId48" Type="http://schemas.openxmlformats.org/officeDocument/2006/relationships/hyperlink" Target="https://doi.org/10.1186/s13059-018-1458-5" TargetMode="External"/><Relationship Id="rId56" Type="http://schemas.openxmlformats.org/officeDocument/2006/relationships/hyperlink" Target="https://doi.org/10.1016/j.xplc.2024.101220" TargetMode="External"/><Relationship Id="rId64" Type="http://schemas.openxmlformats.org/officeDocument/2006/relationships/header" Target="header3.xml"/><Relationship Id="rId8" Type="http://schemas.openxmlformats.org/officeDocument/2006/relationships/hyperlink" Target="https://doi.org/10.1186/s12967-024-06013-w" TargetMode="External"/><Relationship Id="rId51" Type="http://schemas.openxmlformats.org/officeDocument/2006/relationships/hyperlink" Target="https://doi.org/10.1038/nbt.2969" TargetMode="External"/><Relationship Id="rId3" Type="http://schemas.openxmlformats.org/officeDocument/2006/relationships/styles" Target="styles.xml"/><Relationship Id="rId12" Type="http://schemas.openxmlformats.org/officeDocument/2006/relationships/hyperlink" Target="https://doi.org/10.1146/annurev-arplant-050718-100049" TargetMode="External"/><Relationship Id="rId17" Type="http://schemas.openxmlformats.org/officeDocument/2006/relationships/hyperlink" Target="https://doi.org/10.1038/s41587-020-0703-0" TargetMode="External"/><Relationship Id="rId25" Type="http://schemas.openxmlformats.org/officeDocument/2006/relationships/hyperlink" Target="https://doi.org/10.1093/plphys/kiab591" TargetMode="External"/><Relationship Id="rId33" Type="http://schemas.openxmlformats.org/officeDocument/2006/relationships/hyperlink" Target="https://doi.org/10.1111/pbi.13217" TargetMode="External"/><Relationship Id="rId38" Type="http://schemas.openxmlformats.org/officeDocument/2006/relationships/hyperlink" Target="https://doi.org/10.1038/s41587-019-0337-2" TargetMode="External"/><Relationship Id="rId46" Type="http://schemas.openxmlformats.org/officeDocument/2006/relationships/hyperlink" Target="https://doi.org/10.1016/j.tplants.2015.10.015" TargetMode="External"/><Relationship Id="rId59" Type="http://schemas.openxmlformats.org/officeDocument/2006/relationships/hyperlink" Target="https://doi.org/10.1038/nbt.4272" TargetMode="External"/><Relationship Id="rId67" Type="http://schemas.openxmlformats.org/officeDocument/2006/relationships/theme" Target="theme/theme1.xml"/><Relationship Id="rId20" Type="http://schemas.openxmlformats.org/officeDocument/2006/relationships/hyperlink" Target="https://doi.org/10.1016/j.tig.2024.07.001" TargetMode="External"/><Relationship Id="rId41" Type="http://schemas.openxmlformats.org/officeDocument/2006/relationships/hyperlink" Target="https://doi.org/10.1038/s41598-017-06400-y" TargetMode="External"/><Relationship Id="rId54" Type="http://schemas.openxmlformats.org/officeDocument/2006/relationships/hyperlink" Target="https://doi.org/10.1016/j.molp.2019.08.006"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tplants.2024.09.011" TargetMode="External"/><Relationship Id="rId23" Type="http://schemas.openxmlformats.org/officeDocument/2006/relationships/hyperlink" Target="https://doi.org/10.1186/s13059-016-1012-2" TargetMode="External"/><Relationship Id="rId28" Type="http://schemas.openxmlformats.org/officeDocument/2006/relationships/hyperlink" Target="https://doi.org/10.1126/science.aaw7166" TargetMode="External"/><Relationship Id="rId36" Type="http://schemas.openxmlformats.org/officeDocument/2006/relationships/hyperlink" Target="https://doi.org/10.1038/ncomms14261" TargetMode="External"/><Relationship Id="rId49" Type="http://schemas.openxmlformats.org/officeDocument/2006/relationships/hyperlink" Target="https://doi.org/10.1038/s41576-025-00907-1" TargetMode="External"/><Relationship Id="rId57" Type="http://schemas.openxmlformats.org/officeDocument/2006/relationships/hyperlink" Target="https://doi.org/10.1038/ncomms12617" TargetMode="External"/><Relationship Id="rId10" Type="http://schemas.openxmlformats.org/officeDocument/2006/relationships/hyperlink" Target="https://doi.org/10.1534/g3.119.400498" TargetMode="External"/><Relationship Id="rId31" Type="http://schemas.openxmlformats.org/officeDocument/2006/relationships/hyperlink" Target="https://doi.org/10.1038/s41477-018-0259-x" TargetMode="External"/><Relationship Id="rId44" Type="http://schemas.openxmlformats.org/officeDocument/2006/relationships/hyperlink" Target="https://doi.org/10.1038/nbt.2650" TargetMode="External"/><Relationship Id="rId52" Type="http://schemas.openxmlformats.org/officeDocument/2006/relationships/hyperlink" Target="https://doi.org/10.1111/pbi.12444" TargetMode="External"/><Relationship Id="rId60" Type="http://schemas.openxmlformats.org/officeDocument/2006/relationships/header" Target="header1.xm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1105/tpc.16.00196" TargetMode="External"/><Relationship Id="rId13" Type="http://schemas.openxmlformats.org/officeDocument/2006/relationships/hyperlink" Target="https://doi.org/10.1007/s42994-023-00133-5" TargetMode="External"/><Relationship Id="rId18" Type="http://schemas.openxmlformats.org/officeDocument/2006/relationships/hyperlink" Target="https://doi.org/10.3389/fbioe.2023.1335901" TargetMode="External"/><Relationship Id="rId39" Type="http://schemas.openxmlformats.org/officeDocument/2006/relationships/hyperlink" Target="https://doi.org/10.1038/s41477-021-009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14270</Words>
  <Characters>81344</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CRISPR and Artificial Intelligence in Crop Improvement: A Critical Synthesis for Precision Plant Breeding</dc:title>
  <dc:subject>Critical narrative review of CRISPR and artificial intelligence in crop improvement</dc:subject>
  <dc:creator/>
  <cp:keywords>genome editing, machine learning, genomic prediction, high-throughput phenotyping, guide RNA design, base editing, genotype-by-environment interaction</cp:keywords>
  <dc:description/>
  <cp:lastModifiedBy>SDI 1087</cp:lastModifiedBy>
  <cp:revision>9</cp:revision>
  <dcterms:created xsi:type="dcterms:W3CDTF">2013-12-23T23:15:00Z</dcterms:created>
  <dcterms:modified xsi:type="dcterms:W3CDTF">2026-08-07T08:55:00Z</dcterms:modified>
  <cp:category/>
</cp:coreProperties>
</file>