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61618" w14:textId="404D3059" w:rsidR="00554105" w:rsidRDefault="00554105" w:rsidP="00554105">
      <w:pPr>
        <w:spacing w:after="0" w:line="240" w:lineRule="auto"/>
        <w:jc w:val="both"/>
        <w:rPr>
          <w:rFonts w:ascii="Times New Roman" w:hAnsi="Times New Roman" w:cs="Times New Roman"/>
          <w:b/>
          <w:bCs/>
          <w:sz w:val="24"/>
          <w:szCs w:val="24"/>
        </w:rPr>
      </w:pPr>
      <w:r w:rsidRPr="00554105">
        <w:rPr>
          <w:rFonts w:ascii="Times New Roman" w:hAnsi="Times New Roman" w:cs="Times New Roman"/>
          <w:b/>
          <w:bCs/>
          <w:sz w:val="24"/>
          <w:szCs w:val="24"/>
        </w:rPr>
        <w:t>Methodology of Nutritional and Yield Evaluation of Advanced Potato Clones for Eastern Indo-Gangetic Plains</w:t>
      </w:r>
      <w:r w:rsidR="00264BCC">
        <w:rPr>
          <w:rFonts w:ascii="Times New Roman" w:hAnsi="Times New Roman" w:cs="Times New Roman"/>
          <w:b/>
          <w:bCs/>
          <w:sz w:val="24"/>
          <w:szCs w:val="24"/>
        </w:rPr>
        <w:t xml:space="preserve"> of India</w:t>
      </w:r>
    </w:p>
    <w:p w14:paraId="4C8D9A5E" w14:textId="77777777" w:rsidR="001473D5" w:rsidRDefault="001473D5" w:rsidP="00554105">
      <w:pPr>
        <w:spacing w:after="0" w:line="240" w:lineRule="auto"/>
        <w:jc w:val="both"/>
        <w:rPr>
          <w:rFonts w:ascii="Times New Roman" w:hAnsi="Times New Roman" w:cs="Times New Roman"/>
          <w:b/>
          <w:bCs/>
          <w:sz w:val="24"/>
          <w:szCs w:val="24"/>
        </w:rPr>
      </w:pPr>
    </w:p>
    <w:p w14:paraId="6469F866" w14:textId="77777777" w:rsidR="001473D5" w:rsidRDefault="001473D5" w:rsidP="00554105">
      <w:pPr>
        <w:spacing w:after="0" w:line="240" w:lineRule="auto"/>
        <w:jc w:val="both"/>
        <w:rPr>
          <w:rFonts w:ascii="Times New Roman" w:hAnsi="Times New Roman" w:cs="Times New Roman"/>
          <w:b/>
          <w:bCs/>
          <w:sz w:val="24"/>
          <w:szCs w:val="24"/>
        </w:rPr>
      </w:pPr>
    </w:p>
    <w:p w14:paraId="695CC532" w14:textId="77777777" w:rsidR="00A619CF" w:rsidRPr="00554105" w:rsidRDefault="00A619CF" w:rsidP="00554105">
      <w:pPr>
        <w:spacing w:after="0" w:line="240" w:lineRule="auto"/>
        <w:jc w:val="both"/>
        <w:rPr>
          <w:rFonts w:ascii="Times New Roman" w:hAnsi="Times New Roman" w:cs="Times New Roman"/>
          <w:b/>
          <w:bCs/>
          <w:sz w:val="24"/>
          <w:szCs w:val="24"/>
        </w:rPr>
      </w:pPr>
    </w:p>
    <w:p w14:paraId="49DA8F5A" w14:textId="77777777" w:rsidR="00554105" w:rsidRDefault="00554105" w:rsidP="00554105">
      <w:pPr>
        <w:spacing w:after="0" w:line="240" w:lineRule="auto"/>
        <w:jc w:val="both"/>
        <w:rPr>
          <w:rFonts w:ascii="Times New Roman" w:hAnsi="Times New Roman" w:cs="Times New Roman"/>
          <w:sz w:val="24"/>
          <w:szCs w:val="24"/>
        </w:rPr>
      </w:pPr>
    </w:p>
    <w:p w14:paraId="60BA5A77" w14:textId="77777777" w:rsidR="00554105" w:rsidRPr="00554105" w:rsidRDefault="00554105" w:rsidP="00742102">
      <w:pPr>
        <w:pStyle w:val="Heading2"/>
      </w:pPr>
      <w:r w:rsidRPr="00554105">
        <w:t>Abstract</w:t>
      </w:r>
    </w:p>
    <w:p w14:paraId="682D8136" w14:textId="77777777" w:rsidR="00554105" w:rsidRDefault="00554105" w:rsidP="00554105">
      <w:pPr>
        <w:spacing w:after="0" w:line="240" w:lineRule="auto"/>
        <w:jc w:val="both"/>
        <w:rPr>
          <w:rFonts w:ascii="Times New Roman" w:hAnsi="Times New Roman" w:cs="Times New Roman"/>
          <w:sz w:val="24"/>
          <w:szCs w:val="24"/>
        </w:rPr>
      </w:pPr>
    </w:p>
    <w:p w14:paraId="79511F64" w14:textId="07BF8661" w:rsidR="00655954" w:rsidRDefault="0046284B" w:rsidP="00655954">
      <w:pPr>
        <w:pStyle w:val="NormalWeb"/>
        <w:jc w:val="both"/>
      </w:pPr>
      <w:r>
        <w:rPr>
          <w:highlight w:val="yellow"/>
        </w:rPr>
        <w:t>Potato (</w:t>
      </w:r>
      <w:r>
        <w:rPr>
          <w:i/>
          <w:highlight w:val="yellow"/>
        </w:rPr>
        <w:t>Solanum tuberosum</w:t>
      </w:r>
      <w:r>
        <w:rPr>
          <w:highlight w:val="yellow"/>
        </w:rPr>
        <w:t xml:space="preserve"> L.) is a modified stem crop of global significance and is recognised as one of the most important vegetable commodities worldwide. This study evaluated ten advanced potato clones (PS/19-02, PS/19-04, PS/19-12, PS/19-24, PS/19-26, PS/19-31, PS/19-41, PS/19-43, PS/19-44, and PS/19-50), together with five control varieties (Kufri Lohit, Kufri Manik, Kufri Lalit, Kufri Lalima, and Kufri Neelkanth), for yield, quality, and nutritional traits relevant to breeding red-skinned varieties suitable for the Eastern Indo-Gangetic Plains of India. Field experiments were conducted at the ICAR-Central Potato Research Institute, Regional Centre, Patna, Bihar, and laboratory analyses were conducted at ICAR-CPRI, Shimla, during 2023–2024 and 2024–2025. The trials were laid out in a randomised block design (RBD) with three replications. Potato tubers were planted on ridges at a spacing of 20 cm (plant-to-plant) × 60 cm (row-to-row) and a depth of 4–5 cm. Two crop durations, 75 and 90 days, were tested. The measured parameters included total tuber yield (t/ha), marketable yield (t/ha), dry matter content (%), and nutritional composition (Fe, Zn, carotenoids, ascorbic acid, and anthocyanins). Superior performance was observed in clone PS/19-50, which recorded a marketable yield of 32.51 t/ha at 75 days, and in PS/19-41, which achieved 36.88 t/ha at 90 days. Both clones exhibited low storage losses under ambient conditions (7.37% for PS/19-50 and 17.4% for PS/19-41). Nutritional profiling revealed high mineral contents, with Fe at 34.65 ppm in PS/19-24 and Zn at 25.31 ppm in PS/19-50. Key selection traits included ovoid-to-round tuber shape, red skin colour, pigmented flesh ranging from dark to light red, shallow eyes, and desirable organoleptic qualities. The primary objective was to assess the agronomic and nutritional performance of advanced potato clones to support the breeding of red-skinned varieties adapted to the Eastern Indo-Gangetic Plains of India.</w:t>
      </w:r>
    </w:p>
    <w:p w14:paraId="339E97F1" w14:textId="44398EDF" w:rsidR="00554105" w:rsidRPr="00554105" w:rsidRDefault="00554105" w:rsidP="00554105">
      <w:pPr>
        <w:spacing w:after="0" w:line="240" w:lineRule="auto"/>
        <w:jc w:val="both"/>
        <w:rPr>
          <w:rFonts w:ascii="Times New Roman" w:hAnsi="Times New Roman" w:cs="Times New Roman"/>
          <w:sz w:val="24"/>
          <w:szCs w:val="24"/>
        </w:rPr>
      </w:pPr>
      <w:r>
        <w:rPr>
          <w:rFonts w:ascii="Times New Roman" w:eastAsia="Times New Roman" w:hAnsi="Times New Roman"/>
          <w:sz w:val="24"/>
          <w:highlight w:val="yellow"/>
        </w:rPr>
        <w:t>KEYWORDS: Potato; advanced clones; control varieties; tuber yield; dry matter; plant emergence.</w:t>
      </w:r>
    </w:p>
    <w:p w14:paraId="6637B5B1" w14:textId="77777777" w:rsidR="00554105" w:rsidRPr="00554105" w:rsidRDefault="00554105" w:rsidP="00554105">
      <w:pPr>
        <w:spacing w:after="0" w:line="240" w:lineRule="auto"/>
        <w:jc w:val="both"/>
        <w:rPr>
          <w:rFonts w:ascii="Times New Roman" w:hAnsi="Times New Roman" w:cs="Times New Roman"/>
          <w:sz w:val="24"/>
          <w:szCs w:val="24"/>
        </w:rPr>
      </w:pPr>
    </w:p>
    <w:p w14:paraId="02422989" w14:textId="77777777" w:rsidR="00554105" w:rsidRPr="00554105" w:rsidRDefault="00554105" w:rsidP="00554105">
      <w:pPr>
        <w:spacing w:after="0" w:line="240" w:lineRule="auto"/>
        <w:jc w:val="both"/>
        <w:rPr>
          <w:rFonts w:ascii="Times New Roman" w:hAnsi="Times New Roman" w:cs="Times New Roman"/>
          <w:b/>
          <w:bCs/>
          <w:sz w:val="24"/>
          <w:szCs w:val="24"/>
        </w:rPr>
      </w:pPr>
      <w:r w:rsidRPr="00554105">
        <w:rPr>
          <w:rFonts w:ascii="Times New Roman" w:hAnsi="Times New Roman" w:cs="Times New Roman"/>
          <w:b/>
          <w:bCs/>
          <w:sz w:val="24"/>
          <w:szCs w:val="24"/>
        </w:rPr>
        <w:t>Introduction</w:t>
      </w:r>
    </w:p>
    <w:p w14:paraId="3F402544" w14:textId="77777777" w:rsidR="00554105" w:rsidRDefault="00554105" w:rsidP="00554105">
      <w:pPr>
        <w:spacing w:after="0" w:line="240" w:lineRule="auto"/>
        <w:jc w:val="both"/>
        <w:rPr>
          <w:rFonts w:ascii="Times New Roman" w:hAnsi="Times New Roman" w:cs="Times New Roman"/>
          <w:sz w:val="24"/>
          <w:szCs w:val="24"/>
        </w:rPr>
      </w:pPr>
    </w:p>
    <w:p w14:paraId="13F78AB7" w14:textId="5D4B45D6" w:rsidR="00554105" w:rsidRPr="00554105" w:rsidRDefault="00554105" w:rsidP="00554105">
      <w:pPr>
        <w:spacing w:after="0" w:line="240" w:lineRule="auto"/>
        <w:jc w:val="both"/>
        <w:rPr>
          <w:rFonts w:ascii="Times New Roman" w:hAnsi="Times New Roman" w:cs="Times New Roman"/>
          <w:sz w:val="24"/>
          <w:szCs w:val="24"/>
        </w:rPr>
      </w:pPr>
      <w:r>
        <w:rPr>
          <w:rFonts w:ascii="Times New Roman" w:eastAsia="Times New Roman" w:hAnsi="Times New Roman"/>
          <w:sz w:val="24"/>
          <w:highlight w:val="yellow"/>
        </w:rPr>
        <w:t>Potato (</w:t>
      </w:r>
      <w:r>
        <w:rPr>
          <w:rFonts w:ascii="Times New Roman" w:eastAsia="Times New Roman" w:hAnsi="Times New Roman"/>
          <w:i/>
          <w:sz w:val="24"/>
          <w:highlight w:val="yellow"/>
        </w:rPr>
        <w:t>Solanum tuberosum</w:t>
      </w:r>
      <w:r>
        <w:rPr>
          <w:rFonts w:ascii="Times New Roman" w:eastAsia="Times New Roman" w:hAnsi="Times New Roman"/>
          <w:sz w:val="24"/>
          <w:highlight w:val="yellow"/>
        </w:rPr>
        <w:t xml:space="preserve"> L.) is an important tuberous vegetable crop and ranks after wheat, rice, and maize among global food crops (Food and Agriculture Organization of the United Nations [FAO], 2019–2022; Lutaladio &amp; Castaldi, 2009; Rukundo, 2019)</w:t>
      </w:r>
      <w:proofErr w:type="spellStart"/>
      <w:r>
        <w:rPr>
          <w:rFonts w:ascii="Times New Roman" w:eastAsia="Times New Roman" w:hAnsi="Times New Roman"/>
          <w:sz w:val="24"/>
          <w:highlight w:val="yellow"/>
        </w:rPr>
      </w:r>
      <w:proofErr w:type="spellEnd"/>
      <w:r>
        <w:rPr>
          <w:rFonts w:ascii="Times New Roman" w:eastAsia="Times New Roman" w:hAnsi="Times New Roman"/>
          <w:sz w:val="24"/>
          <w:highlight w:val="yellow"/>
        </w:rPr>
        <w:t xml:space="preserve">. Global potato tuber production was estimated at 390 million metric tonnes in 2025. China, with approximately 95 million tonnes, led global production, followed by India with 60 million tonnes, accounting for nearly 15% of global output in 2025. In terms of potato area, India ranked third after China and Russia (FAO, 2025). Potato is a starchy vegetable crop with multiple uses. In the future, potato is expected to play an important role in global food and nutritional security, particularly in Asian countries, including India (Burgos et al., 2020; Horton, 1987). The major potato-growing states in India are Uttar Pradesh, West Bengal, Bihar, Gujarat, Madhya Pradesh, Punjab, Assam, and Haryana (Saxena &amp; Mathur, 2013). Per capita potato consumption in India is comparatively lower (28 kg/annum) than the global average (33 kg/annum). Potato is a popular vegetable among people of different age groups and is an integral component of foods and traditional dishes, such as chips and </w:t>
      </w:r>
      <w:proofErr w:type="spellStart"/>
      <w:r>
        <w:rPr>
          <w:rFonts w:ascii="Times New Roman" w:eastAsia="Times New Roman" w:hAnsi="Times New Roman"/>
          <w:sz w:val="24"/>
          <w:highlight w:val="yellow"/>
        </w:rPr>
        <w:t>papad</w:t>
      </w:r>
      <w:proofErr w:type="spellEnd"/>
      <w:r>
        <w:rPr>
          <w:rFonts w:ascii="Times New Roman" w:eastAsia="Times New Roman" w:hAnsi="Times New Roman"/>
          <w:sz w:val="24"/>
          <w:highlight w:val="yellow"/>
        </w:rPr>
        <w:t xml:space="preserve"> prepared during Indian festivals, including Holi and Makar Sankranti. It is now likely to occupy a more prominent place in dietary patterns </w:t>
      </w:r>
      <w:r>
        <w:rPr>
          <w:rFonts w:ascii="Times New Roman" w:eastAsia="Times New Roman" w:hAnsi="Times New Roman"/>
          <w:sz w:val="24"/>
          <w:highlight w:val="yellow"/>
        </w:rPr>
        <w:t>across Indian states. Since 1958, the ICAR–Central Potato Research Institute (CPRI), Shimla, has developed more than 66 potato varieties for cultivation across diverse agroclimatic regions of India (Singh et al., 2023; Tiwari et al., 2019)</w:t>
      </w:r>
      <w:proofErr w:type="spellStart"/>
      <w:r>
        <w:rPr>
          <w:rFonts w:ascii="Times New Roman" w:eastAsia="Times New Roman" w:hAnsi="Times New Roman"/>
          <w:sz w:val="24"/>
          <w:highlight w:val="yellow"/>
        </w:rPr>
      </w:r>
      <w:proofErr w:type="spellEnd"/>
      <w:r>
        <w:rPr>
          <w:rFonts w:ascii="Times New Roman" w:eastAsia="Times New Roman" w:hAnsi="Times New Roman"/>
          <w:sz w:val="24"/>
          <w:highlight w:val="yellow"/>
        </w:rPr>
        <w:t>. In Bihar, several local varieties, such as Kala Aloo, Lal Gulab, and C-40, together with unreleased hybrids and exotic types such as ‘Holland’, have been cultivated for decades. Many of these exotic varieties were introduced by the British before independence, whereas some processing-specific types were later introduced by industry stakeholders for commercial purposes (Hardigan et al., 2017; Hawkes &amp; Francisco-Ortega, 1993; Singh &amp; Rana, 2014). Although local varieties lack an organised seed potato production programme, they persist in limited areas because of specific preferences (Context Network, 2016; Muhinyuza et al., 2012)</w:t>
      </w:r>
      <w:proofErr w:type="spellStart"/>
      <w:r>
        <w:rPr>
          <w:rFonts w:ascii="Times New Roman" w:eastAsia="Times New Roman" w:hAnsi="Times New Roman"/>
          <w:sz w:val="24"/>
          <w:highlight w:val="yellow"/>
        </w:rPr>
      </w:r>
      <w:proofErr w:type="spellEnd"/>
      <w:r>
        <w:rPr>
          <w:rFonts w:ascii="Times New Roman" w:eastAsia="Times New Roman" w:hAnsi="Times New Roman"/>
          <w:sz w:val="24"/>
          <w:highlight w:val="yellow"/>
        </w:rPr>
        <w:t>. These varieties are valued for distinctive traits, including skin and flesh colour, taste, and suitability for traditional dishes. However, potato quality and storage life are often compromised by moisture loss, decay, and physiological breakdown (Kibar, 2012; Luthra, 2001). Therefore, efficient post-harvest technologies and robust marketing systems are important for the production–consumption chain because of the crop’s bulkiness and semi-perishable nature (Yadav, Luthra, Kapoor, et al., 2024; Yadav, Luthra, Singh, et al., 2024). An evaluation of advanced potato clones under Eastern Indo-Gangetic Plain conditions reported significant differences in plant emergence, total and marketable tuber yields, and dry matter content and identified several promising clones for multilocation testing (Yadav et al., 2025). Recent field evaluations indicate that potato varieties can differ in total and marketable tuber yields, dry matter content, and related quality traits, supporting careful comparative assessment before advancement (Hassanpanah, 2010; Patel et al., 2006; Siano et al., 2024; Tsagaye et al., 2025)</w:t>
      </w:r>
      <w:proofErr w:type="spellStart"/>
      <w:r>
        <w:rPr>
          <w:rFonts w:ascii="Times New Roman" w:eastAsia="Times New Roman" w:hAnsi="Times New Roman"/>
          <w:sz w:val="24"/>
          <w:highlight w:val="yellow"/>
        </w:rPr>
      </w:r>
      <w:proofErr w:type="spellEnd"/>
      <w:r>
        <w:rPr>
          <w:rFonts w:ascii="Times New Roman" w:eastAsia="Times New Roman" w:hAnsi="Times New Roman"/>
          <w:sz w:val="24"/>
          <w:highlight w:val="yellow"/>
        </w:rPr>
      </w:r>
      <w:proofErr w:type="spellStart"/>
      <w:r>
        <w:rPr>
          <w:rFonts w:ascii="Times New Roman" w:eastAsia="Times New Roman" w:hAnsi="Times New Roman"/>
          <w:sz w:val="24"/>
          <w:highlight w:val="yellow"/>
        </w:rPr>
      </w:r>
      <w:proofErr w:type="spellEnd"/>
      <w:r>
        <w:rPr>
          <w:rFonts w:ascii="Times New Roman" w:eastAsia="Times New Roman" w:hAnsi="Times New Roman"/>
          <w:sz w:val="24"/>
          <w:highlight w:val="yellow"/>
        </w:rPr>
      </w:r>
      <w:proofErr w:type="spellStart"/>
      <w:r>
        <w:rPr>
          <w:rFonts w:ascii="Times New Roman" w:eastAsia="Times New Roman" w:hAnsi="Times New Roman"/>
          <w:sz w:val="24"/>
          <w:highlight w:val="yellow"/>
        </w:rPr>
      </w:r>
      <w:proofErr w:type="spellEnd"/>
      <w:r>
        <w:rPr>
          <w:rFonts w:ascii="Times New Roman" w:eastAsia="Times New Roman" w:hAnsi="Times New Roman"/>
          <w:sz w:val="24"/>
          <w:highlight w:val="yellow"/>
        </w:rPr>
        <w:t>. Zinc nutrition may contribute to tuber productivity and biofortification, whereas growing temperature can influence yield and anthocyanin accumulation in pigmented potatoes (Chen et al., 2024; Singh et al., 2025). However, comparative information on the combined agronomic, storability, and nutritional performance of advanced red-skinned clones under the Eastern Indo-Gangetic Plains across two crop durations remains limited. In the present study, the advanced clones were evaluated for plant emergence, yield, dry matter, storability, and nutritional quality. Outstanding advanced clones were introduced into ‘All India Coordinated Multi-</w:t>
      </w:r>
      <w:proofErr w:type="gramStart"/>
      <w:r>
        <w:rPr>
          <w:rFonts w:ascii="Times New Roman" w:eastAsia="Times New Roman" w:hAnsi="Times New Roman"/>
          <w:sz w:val="24"/>
          <w:highlight w:val="yellow"/>
        </w:rPr>
        <w:t>location</w:t>
      </w:r>
      <w:proofErr w:type="gramEnd"/>
      <w:r>
        <w:rPr>
          <w:rFonts w:ascii="Times New Roman" w:eastAsia="Times New Roman" w:hAnsi="Times New Roman"/>
          <w:sz w:val="24"/>
          <w:highlight w:val="yellow"/>
        </w:rPr>
        <w:t xml:space="preserve"> Testing’, a preliminary step towards the release of a promising variety.</w:t>
      </w:r>
    </w:p>
    <w:p w14:paraId="1A915571" w14:textId="77777777" w:rsidR="00554105" w:rsidRPr="00554105" w:rsidRDefault="00554105" w:rsidP="00554105">
      <w:pPr>
        <w:spacing w:after="0" w:line="240" w:lineRule="auto"/>
        <w:jc w:val="both"/>
        <w:rPr>
          <w:rFonts w:ascii="Times New Roman" w:hAnsi="Times New Roman" w:cs="Times New Roman"/>
          <w:sz w:val="24"/>
          <w:szCs w:val="24"/>
        </w:rPr>
      </w:pPr>
    </w:p>
    <w:p w14:paraId="5487840D" w14:textId="6EB89C06" w:rsidR="00554105" w:rsidRPr="00554105" w:rsidRDefault="004819DD" w:rsidP="00554105">
      <w:pPr>
        <w:spacing w:after="0" w:line="240" w:lineRule="auto"/>
        <w:jc w:val="both"/>
        <w:rPr>
          <w:rFonts w:ascii="Times New Roman" w:hAnsi="Times New Roman" w:cs="Times New Roman"/>
          <w:b/>
          <w:bCs/>
          <w:sz w:val="24"/>
          <w:szCs w:val="24"/>
        </w:rPr>
      </w:pPr>
      <w:r w:rsidRPr="00554105">
        <w:rPr>
          <w:rFonts w:ascii="Times New Roman" w:hAnsi="Times New Roman" w:cs="Times New Roman"/>
          <w:b/>
          <w:bCs/>
          <w:sz w:val="24"/>
          <w:szCs w:val="24"/>
        </w:rPr>
        <w:t xml:space="preserve">2. Materials and </w:t>
      </w:r>
      <w:r>
        <w:rPr>
          <w:rFonts w:ascii="Times New Roman" w:hAnsi="Times New Roman" w:cs="Times New Roman"/>
          <w:b/>
          <w:bCs/>
          <w:sz w:val="24"/>
          <w:szCs w:val="24"/>
        </w:rPr>
        <w:t>M</w:t>
      </w:r>
      <w:r w:rsidRPr="00554105">
        <w:rPr>
          <w:rFonts w:ascii="Times New Roman" w:hAnsi="Times New Roman" w:cs="Times New Roman"/>
          <w:b/>
          <w:bCs/>
          <w:sz w:val="24"/>
          <w:szCs w:val="24"/>
        </w:rPr>
        <w:t xml:space="preserve">ethods </w:t>
      </w:r>
    </w:p>
    <w:p w14:paraId="6DE1C2CF" w14:textId="77777777" w:rsidR="00554105" w:rsidRPr="00554105" w:rsidRDefault="00554105" w:rsidP="00554105">
      <w:pPr>
        <w:spacing w:after="0" w:line="240" w:lineRule="auto"/>
        <w:jc w:val="both"/>
        <w:rPr>
          <w:rFonts w:ascii="Times New Roman" w:hAnsi="Times New Roman" w:cs="Times New Roman"/>
          <w:sz w:val="24"/>
          <w:szCs w:val="24"/>
        </w:rPr>
      </w:pPr>
    </w:p>
    <w:p w14:paraId="08FB621C" w14:textId="057AF19A" w:rsidR="00554105" w:rsidRDefault="00554105" w:rsidP="00436180">
      <w:pPr>
        <w:pStyle w:val="BodyText"/>
      </w:pPr>
      <w:r>
        <w:rPr>
          <w:rFonts w:eastAsia="Times New Roman"/>
          <w:highlight w:val="yellow"/>
        </w:rPr>
        <w:t xml:space="preserve">Potato is recognised as a cool-season tuberous vegetable crop that grows best under moderate temperatures, adequate moisture, and fertile soils (Cutter, 1978). For successful experimentation and cultivation, a well-prepared and well-drained field is essential. The crop performs optimally when soil temperatures remain between 17 and 19 °C, as this range supports both vegetative growth and tuber initiation (Amador et al., 2001; Haverkort et al., 1990). Potatoes can be grown in a wide range of soils, including sandy loam, clay loam, silt loam, and clayey soils, provided that drainage is sufficient. Soil acidity also plays an important role, with a pH range of 5.0–6.5 being most suitable for crop germination, growth, development, </w:t>
      </w:r>
      <w:proofErr w:type="spellStart"/>
      <w:r>
        <w:rPr>
          <w:rFonts w:eastAsia="Times New Roman"/>
          <w:highlight w:val="yellow"/>
        </w:rPr>
        <w:t>tuberisation</w:t>
      </w:r>
      <w:proofErr w:type="spellEnd"/>
      <w:r>
        <w:rPr>
          <w:rFonts w:eastAsia="Times New Roman"/>
          <w:highlight w:val="yellow"/>
        </w:rPr>
        <w:t>, and stolon development. A cool climate, proper soil preparation, and balanced soil conditions promote favourable growth and productivity of the potato crop.</w:t>
      </w:r>
    </w:p>
    <w:p w14:paraId="2EEF76A8" w14:textId="77777777" w:rsidR="00A462E7" w:rsidRPr="00554105" w:rsidRDefault="00A462E7" w:rsidP="00554105">
      <w:pPr>
        <w:spacing w:after="0" w:line="240" w:lineRule="auto"/>
        <w:jc w:val="both"/>
        <w:rPr>
          <w:rFonts w:ascii="Times New Roman" w:hAnsi="Times New Roman" w:cs="Times New Roman"/>
          <w:sz w:val="24"/>
          <w:szCs w:val="24"/>
        </w:rPr>
      </w:pPr>
    </w:p>
    <w:p w14:paraId="33A7E47F" w14:textId="57BFA783" w:rsidR="00554105" w:rsidRPr="00A462E7" w:rsidRDefault="00554105" w:rsidP="00554105">
      <w:pPr>
        <w:spacing w:after="0" w:line="240" w:lineRule="auto"/>
        <w:jc w:val="both"/>
        <w:rPr>
          <w:rFonts w:ascii="Times New Roman" w:hAnsi="Times New Roman" w:cs="Times New Roman"/>
          <w:b/>
          <w:bCs/>
          <w:sz w:val="24"/>
          <w:szCs w:val="24"/>
        </w:rPr>
      </w:pPr>
      <w:r w:rsidRPr="00A462E7">
        <w:rPr>
          <w:rFonts w:ascii="Times New Roman" w:hAnsi="Times New Roman" w:cs="Times New Roman"/>
          <w:b/>
          <w:bCs/>
          <w:sz w:val="24"/>
          <w:szCs w:val="24"/>
        </w:rPr>
        <w:t xml:space="preserve">2.1 </w:t>
      </w:r>
      <w:r w:rsidR="006132F2">
        <w:rPr>
          <w:rFonts w:ascii="Times New Roman" w:hAnsi="Times New Roman" w:cs="Times New Roman"/>
          <w:b/>
          <w:bCs/>
          <w:sz w:val="24"/>
          <w:szCs w:val="24"/>
        </w:rPr>
        <w:t xml:space="preserve">Experimental </w:t>
      </w:r>
      <w:r w:rsidRPr="00A462E7">
        <w:rPr>
          <w:rFonts w:ascii="Times New Roman" w:hAnsi="Times New Roman" w:cs="Times New Roman"/>
          <w:b/>
          <w:bCs/>
          <w:sz w:val="24"/>
          <w:szCs w:val="24"/>
        </w:rPr>
        <w:t xml:space="preserve">Materials </w:t>
      </w:r>
    </w:p>
    <w:p w14:paraId="4AF5B154" w14:textId="77777777" w:rsidR="00554105" w:rsidRPr="00554105" w:rsidRDefault="00554105" w:rsidP="00554105">
      <w:pPr>
        <w:spacing w:after="0" w:line="240" w:lineRule="auto"/>
        <w:jc w:val="both"/>
        <w:rPr>
          <w:rFonts w:ascii="Times New Roman" w:hAnsi="Times New Roman" w:cs="Times New Roman"/>
          <w:sz w:val="24"/>
          <w:szCs w:val="24"/>
        </w:rPr>
      </w:pPr>
    </w:p>
    <w:p w14:paraId="4EA0D183" w14:textId="3ACCF91B" w:rsidR="00554105" w:rsidRPr="00554105" w:rsidRDefault="00554105" w:rsidP="00554105">
      <w:pPr>
        <w:spacing w:after="0" w:line="240" w:lineRule="auto"/>
        <w:jc w:val="both"/>
        <w:rPr>
          <w:rFonts w:ascii="Times New Roman" w:hAnsi="Times New Roman" w:cs="Times New Roman"/>
          <w:sz w:val="24"/>
          <w:szCs w:val="24"/>
        </w:rPr>
      </w:pPr>
      <w:r>
        <w:rPr>
          <w:rFonts w:ascii="Times New Roman" w:eastAsia="Times New Roman" w:hAnsi="Times New Roman"/>
          <w:sz w:val="24"/>
          <w:highlight w:val="yellow"/>
        </w:rPr>
        <w:t>The experimental materials planted in this study comprised ten advanced potato clones: PS/19-02, PS/19-04, PS/19-12, PS/19-24, PS/19-26, PS/19-31, PS/19-41, PS/19-43, PS/19-44, and PS/19-50. These clones were compared with five controls, namely the popular potato varieties Kufri Neelkanth, Kufri Manik, Kufri Lohit, Kufri Lalima, and Kufri Lalit.</w:t>
      </w:r>
    </w:p>
    <w:p w14:paraId="0A925AF2" w14:textId="77777777" w:rsidR="00554105" w:rsidRPr="00554105" w:rsidRDefault="00554105" w:rsidP="00554105">
      <w:pPr>
        <w:spacing w:after="0" w:line="240" w:lineRule="auto"/>
        <w:jc w:val="both"/>
        <w:rPr>
          <w:rFonts w:ascii="Times New Roman" w:hAnsi="Times New Roman" w:cs="Times New Roman"/>
          <w:sz w:val="24"/>
          <w:szCs w:val="24"/>
        </w:rPr>
      </w:pPr>
    </w:p>
    <w:p w14:paraId="2BB7ACEA" w14:textId="79CC5947" w:rsidR="00554105" w:rsidRPr="00A462E7" w:rsidRDefault="00554105" w:rsidP="00554105">
      <w:pPr>
        <w:spacing w:after="0" w:line="240" w:lineRule="auto"/>
        <w:jc w:val="both"/>
        <w:rPr>
          <w:rFonts w:ascii="Times New Roman" w:hAnsi="Times New Roman" w:cs="Times New Roman"/>
          <w:b/>
          <w:bCs/>
          <w:sz w:val="24"/>
          <w:szCs w:val="24"/>
        </w:rPr>
      </w:pPr>
      <w:r>
        <w:rPr>
          <w:rFonts w:ascii="Times New Roman" w:eastAsia="Times New Roman" w:hAnsi="Times New Roman"/>
          <w:b/>
          <w:sz w:val="24"/>
          <w:highlight w:val="yellow"/>
        </w:rPr>
        <w:t>2.2 Location of Experimental Trials</w:t>
      </w:r>
    </w:p>
    <w:p w14:paraId="40714CEC" w14:textId="77777777" w:rsidR="00554105" w:rsidRPr="00554105" w:rsidRDefault="00554105" w:rsidP="00554105">
      <w:pPr>
        <w:spacing w:after="0" w:line="240" w:lineRule="auto"/>
        <w:jc w:val="both"/>
        <w:rPr>
          <w:rFonts w:ascii="Times New Roman" w:hAnsi="Times New Roman" w:cs="Times New Roman"/>
          <w:sz w:val="24"/>
          <w:szCs w:val="24"/>
        </w:rPr>
      </w:pPr>
    </w:p>
    <w:p w14:paraId="55A0D140" w14:textId="424D8613" w:rsidR="00554105" w:rsidRPr="00397D04" w:rsidRDefault="00554105" w:rsidP="00554105">
      <w:pPr>
        <w:spacing w:after="0" w:line="240" w:lineRule="auto"/>
        <w:jc w:val="both"/>
        <w:rPr>
          <w:rFonts w:ascii="Times New Roman" w:hAnsi="Times New Roman" w:cs="Times New Roman"/>
          <w:sz w:val="24"/>
          <w:szCs w:val="24"/>
        </w:rPr>
      </w:pPr>
      <w:r>
        <w:rPr>
          <w:rFonts w:ascii="Times New Roman" w:eastAsia="Times New Roman" w:hAnsi="Times New Roman"/>
          <w:sz w:val="24"/>
          <w:highlight w:val="yellow"/>
        </w:rPr>
        <w:lastRenderedPageBreak/>
        <w:t>The experimental trials were conducted at the Crop Improvement Experimental Field of ICAR-CPRI Regional Station, Patna, during the 2023–24 and 2024–25 agricultural seasons to evaluate advanced potato clones under the Institute Research Programme “Breeding for Table Potatoes”. The work was undertaken as part of the project “Breeding Medium-Maturing Red-Skinned Potato Varieties for the Eastern Plains”. Patna is located at approximately 25.6°N latitude and 85.1°E longitude and receives an average annual rainfall of 997–1329 mm. Rainfall is generally concentrated during the monsoon months from June to September, with July being the wettest month.</w:t>
      </w:r>
    </w:p>
    <w:p w14:paraId="15886416" w14:textId="77777777" w:rsidR="00554105" w:rsidRPr="00554105" w:rsidRDefault="00554105" w:rsidP="00554105">
      <w:pPr>
        <w:spacing w:after="0" w:line="240" w:lineRule="auto"/>
        <w:jc w:val="both"/>
        <w:rPr>
          <w:rFonts w:ascii="Times New Roman" w:hAnsi="Times New Roman" w:cs="Times New Roman"/>
          <w:sz w:val="24"/>
          <w:szCs w:val="24"/>
        </w:rPr>
      </w:pPr>
    </w:p>
    <w:p w14:paraId="2C745FAF" w14:textId="77777777" w:rsidR="00554105" w:rsidRPr="00A462E7" w:rsidRDefault="00554105" w:rsidP="00554105">
      <w:pPr>
        <w:spacing w:after="0" w:line="240" w:lineRule="auto"/>
        <w:jc w:val="both"/>
        <w:rPr>
          <w:rFonts w:ascii="Times New Roman" w:hAnsi="Times New Roman" w:cs="Times New Roman"/>
          <w:b/>
          <w:bCs/>
          <w:sz w:val="24"/>
          <w:szCs w:val="24"/>
        </w:rPr>
      </w:pPr>
      <w:r w:rsidRPr="00A462E7">
        <w:rPr>
          <w:rFonts w:ascii="Times New Roman" w:hAnsi="Times New Roman" w:cs="Times New Roman"/>
          <w:b/>
          <w:bCs/>
          <w:sz w:val="24"/>
          <w:szCs w:val="24"/>
        </w:rPr>
        <w:t>2.3 Experimental Design</w:t>
      </w:r>
    </w:p>
    <w:p w14:paraId="07877F30" w14:textId="77777777" w:rsidR="00554105" w:rsidRPr="00554105" w:rsidRDefault="00554105" w:rsidP="00554105">
      <w:pPr>
        <w:spacing w:after="0" w:line="240" w:lineRule="auto"/>
        <w:jc w:val="both"/>
        <w:rPr>
          <w:rFonts w:ascii="Times New Roman" w:hAnsi="Times New Roman" w:cs="Times New Roman"/>
          <w:sz w:val="24"/>
          <w:szCs w:val="24"/>
        </w:rPr>
      </w:pPr>
    </w:p>
    <w:p w14:paraId="66887E12" w14:textId="07845701" w:rsidR="00824CA3" w:rsidRDefault="00EE5ECC" w:rsidP="000B3C3E">
      <w:pPr>
        <w:spacing w:after="120" w:line="240" w:lineRule="auto"/>
        <w:jc w:val="both"/>
        <w:rPr>
          <w:rStyle w:val="Emphasis"/>
        </w:rPr>
      </w:pPr>
      <w:r>
        <w:rPr>
          <w:rFonts w:ascii="Times New Roman" w:eastAsia="Times New Roman" w:hAnsi="Times New Roman"/>
          <w:sz w:val="24"/>
          <w:highlight w:val="yellow"/>
        </w:rPr>
        <w:t>The experiment was conducted using a Completely Randomised Block Design (CRBD) with three replications to ensure statistical reliability and minimise experimental error (Chaudhary Charan Singh Haryana Agricultural University [CCS HAU], 2023). Two sets of trials, differing in crop duration, were established: one was harvested at 75 days after planting and the other at 90 days, enabling the assessment of advanced clones under contrasting maturity periods (Bonierbale et al., 2007)</w:t>
      </w:r>
      <w:proofErr w:type="spellStart"/>
      <w:r>
        <w:rPr>
          <w:rFonts w:ascii="Times New Roman" w:eastAsia="Times New Roman" w:hAnsi="Times New Roman"/>
          <w:sz w:val="24"/>
          <w:highlight w:val="yellow"/>
        </w:rPr>
      </w:r>
      <w:proofErr w:type="spellEnd"/>
      <w:r>
        <w:rPr>
          <w:rFonts w:ascii="Times New Roman" w:eastAsia="Times New Roman" w:hAnsi="Times New Roman"/>
          <w:sz w:val="24"/>
          <w:highlight w:val="yellow"/>
        </w:rPr>
        <w:t>. Each clone, together with the control varieties, was planted in five rows of 12 tubers per plot, with a plot size of 3.0 m × 2.4 m (7.8 m²). This design provided a framework for evaluating yield potential, maturity behaviour, and adaptability traits within the breeding programme for developing medium-maturing, red-skinned potato varieties suited to the Eastern Plains.</w:t>
      </w:r>
    </w:p>
    <w:p w14:paraId="44F6E1EF" w14:textId="4C3A689C" w:rsidR="00FE061A" w:rsidRDefault="00742102" w:rsidP="000B3C3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Photos:</w:t>
      </w:r>
      <w:r w:rsidR="00FE061A">
        <w:rPr>
          <w:rFonts w:ascii="Times New Roman" w:hAnsi="Times New Roman" w:cs="Times New Roman"/>
          <w:sz w:val="24"/>
          <w:szCs w:val="24"/>
        </w:rPr>
        <w:t xml:space="preserve"> </w:t>
      </w:r>
      <w:r w:rsidR="009577D0">
        <w:rPr>
          <w:rFonts w:ascii="Times New Roman" w:hAnsi="Times New Roman" w:cs="Times New Roman"/>
          <w:sz w:val="24"/>
          <w:szCs w:val="24"/>
        </w:rPr>
        <w:t>B</w:t>
      </w:r>
      <w:r w:rsidR="009577D0" w:rsidRPr="00554105">
        <w:rPr>
          <w:rFonts w:ascii="Times New Roman" w:hAnsi="Times New Roman" w:cs="Times New Roman"/>
          <w:sz w:val="24"/>
          <w:szCs w:val="24"/>
        </w:rPr>
        <w:t>reeding programme</w:t>
      </w:r>
      <w:r w:rsidR="009577D0">
        <w:rPr>
          <w:rFonts w:ascii="Times New Roman" w:hAnsi="Times New Roman" w:cs="Times New Roman"/>
          <w:sz w:val="24"/>
          <w:szCs w:val="24"/>
        </w:rPr>
        <w:t xml:space="preserve"> of Potato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0"/>
        <w:gridCol w:w="2241"/>
        <w:gridCol w:w="2240"/>
        <w:gridCol w:w="2241"/>
      </w:tblGrid>
      <w:tr w:rsidR="00E26ED9" w14:paraId="278478EC" w14:textId="77777777" w:rsidTr="000B3C3E">
        <w:tc>
          <w:tcPr>
            <w:tcW w:w="2293" w:type="dxa"/>
          </w:tcPr>
          <w:p w14:paraId="1B27ADFF" w14:textId="7FB45226" w:rsidR="00E26ED9" w:rsidRDefault="008A1AB0" w:rsidP="00554105">
            <w:pPr>
              <w:jc w:val="both"/>
              <w:rPr>
                <w:rFonts w:ascii="Times New Roman" w:hAnsi="Times New Roman" w:cs="Times New Roman"/>
                <w:sz w:val="24"/>
                <w:szCs w:val="24"/>
              </w:rPr>
            </w:pPr>
            <w:r>
              <w:rPr>
                <w:rFonts w:ascii="Times New Roman" w:hAnsi="Times New Roman" w:cs="Times New Roman"/>
                <w:b/>
                <w:bCs/>
                <w:noProof/>
                <w:sz w:val="24"/>
                <w:szCs w:val="24"/>
                <w:lang w:eastAsia="en-IN"/>
              </w:rPr>
              <w:drawing>
                <wp:inline distT="0" distB="0" distL="0" distR="0" wp14:anchorId="43C06E25" wp14:editId="484E6279">
                  <wp:extent cx="1397000" cy="18605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2 at 10.09.44 AM.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6365" cy="1859704"/>
                          </a:xfrm>
                          <a:prstGeom prst="rect">
                            <a:avLst/>
                          </a:prstGeom>
                        </pic:spPr>
                      </pic:pic>
                    </a:graphicData>
                  </a:graphic>
                </wp:inline>
              </w:drawing>
            </w:r>
          </w:p>
        </w:tc>
        <w:tc>
          <w:tcPr>
            <w:tcW w:w="2295" w:type="dxa"/>
          </w:tcPr>
          <w:p w14:paraId="5C4ADCE3" w14:textId="77777777" w:rsidR="00E26ED9" w:rsidRDefault="000B3C3E" w:rsidP="00554105">
            <w:pPr>
              <w:jc w:val="both"/>
              <w:rPr>
                <w:rFonts w:ascii="Times New Roman" w:hAnsi="Times New Roman" w:cs="Times New Roman"/>
                <w:sz w:val="24"/>
                <w:szCs w:val="24"/>
              </w:rPr>
            </w:pPr>
            <w:r>
              <w:rPr>
                <w:rFonts w:ascii="Times New Roman" w:hAnsi="Times New Roman" w:cs="Times New Roman"/>
                <w:b/>
                <w:bCs/>
                <w:noProof/>
                <w:sz w:val="24"/>
                <w:szCs w:val="24"/>
                <w:lang w:eastAsia="en-IN"/>
              </w:rPr>
              <w:drawing>
                <wp:inline distT="0" distB="0" distL="0" distR="0" wp14:anchorId="5EEDDA6C" wp14:editId="65E13AB2">
                  <wp:extent cx="1397000" cy="18605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2 at 10.12.49 A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7000" cy="1860550"/>
                          </a:xfrm>
                          <a:prstGeom prst="rect">
                            <a:avLst/>
                          </a:prstGeom>
                        </pic:spPr>
                      </pic:pic>
                    </a:graphicData>
                  </a:graphic>
                </wp:inline>
              </w:drawing>
            </w:r>
          </w:p>
        </w:tc>
        <w:tc>
          <w:tcPr>
            <w:tcW w:w="2295" w:type="dxa"/>
          </w:tcPr>
          <w:p w14:paraId="3F08D4B8" w14:textId="21D8D4E6" w:rsidR="00E26ED9" w:rsidRDefault="008A1AB0" w:rsidP="00554105">
            <w:pPr>
              <w:jc w:val="both"/>
              <w:rPr>
                <w:rFonts w:ascii="Times New Roman" w:hAnsi="Times New Roman" w:cs="Times New Roman"/>
                <w:sz w:val="24"/>
                <w:szCs w:val="24"/>
              </w:rPr>
            </w:pPr>
            <w:r>
              <w:rPr>
                <w:rFonts w:ascii="Times New Roman" w:hAnsi="Times New Roman" w:cs="Times New Roman"/>
                <w:b/>
                <w:bCs/>
                <w:noProof/>
                <w:sz w:val="24"/>
                <w:szCs w:val="24"/>
                <w:lang w:eastAsia="en-IN"/>
              </w:rPr>
              <w:drawing>
                <wp:inline distT="0" distB="0" distL="0" distR="0" wp14:anchorId="166C4703" wp14:editId="52ECEE31">
                  <wp:extent cx="1396365" cy="18618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2 at 10.09.19 A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6365" cy="1861820"/>
                          </a:xfrm>
                          <a:prstGeom prst="rect">
                            <a:avLst/>
                          </a:prstGeom>
                        </pic:spPr>
                      </pic:pic>
                    </a:graphicData>
                  </a:graphic>
                </wp:inline>
              </w:drawing>
            </w:r>
          </w:p>
        </w:tc>
        <w:tc>
          <w:tcPr>
            <w:tcW w:w="2295" w:type="dxa"/>
          </w:tcPr>
          <w:p w14:paraId="50D57208" w14:textId="77777777" w:rsidR="00E26ED9" w:rsidRDefault="000B3C3E" w:rsidP="00554105">
            <w:pPr>
              <w:jc w:val="both"/>
              <w:rPr>
                <w:rFonts w:ascii="Times New Roman" w:hAnsi="Times New Roman" w:cs="Times New Roman"/>
                <w:sz w:val="24"/>
                <w:szCs w:val="24"/>
              </w:rPr>
            </w:pPr>
            <w:r>
              <w:rPr>
                <w:rFonts w:ascii="Times New Roman" w:hAnsi="Times New Roman" w:cs="Times New Roman"/>
                <w:b/>
                <w:bCs/>
                <w:noProof/>
                <w:sz w:val="24"/>
                <w:szCs w:val="24"/>
                <w:lang w:eastAsia="en-IN"/>
              </w:rPr>
              <w:drawing>
                <wp:inline distT="0" distB="0" distL="0" distR="0" wp14:anchorId="4DE5A9F5" wp14:editId="7EB5F95C">
                  <wp:extent cx="1397000" cy="18605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2 at 10.10.21 AM.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7000" cy="1860550"/>
                          </a:xfrm>
                          <a:prstGeom prst="rect">
                            <a:avLst/>
                          </a:prstGeom>
                        </pic:spPr>
                      </pic:pic>
                    </a:graphicData>
                  </a:graphic>
                </wp:inline>
              </w:drawing>
            </w:r>
          </w:p>
        </w:tc>
      </w:tr>
      <w:tr w:rsidR="00E26ED9" w14:paraId="229C9BFD" w14:textId="77777777" w:rsidTr="000B3C3E">
        <w:tc>
          <w:tcPr>
            <w:tcW w:w="2268" w:type="dxa"/>
          </w:tcPr>
          <w:p w14:paraId="201FAB4F" w14:textId="2A3D203F" w:rsidR="00E26ED9" w:rsidRPr="00E544E2" w:rsidRDefault="00742102" w:rsidP="008A1AB0">
            <w:pPr>
              <w:rPr>
                <w:rFonts w:ascii="Times New Roman" w:hAnsi="Times New Roman" w:cs="Times New Roman"/>
                <w:b/>
                <w:bCs/>
                <w:noProof/>
                <w:sz w:val="24"/>
                <w:szCs w:val="24"/>
                <w:lang w:eastAsia="en-IN"/>
              </w:rPr>
            </w:pPr>
            <w:r>
              <w:rPr>
                <w:rFonts w:ascii="Times New Roman" w:hAnsi="Times New Roman" w:cs="Times New Roman"/>
                <w:b/>
                <w:bCs/>
                <w:noProof/>
                <w:sz w:val="24"/>
                <w:szCs w:val="24"/>
                <w:lang w:eastAsia="en-IN"/>
              </w:rPr>
              <w:t>R</w:t>
            </w:r>
            <w:r w:rsidR="008A1AB0">
              <w:rPr>
                <w:rFonts w:ascii="Times New Roman" w:hAnsi="Times New Roman" w:cs="Times New Roman"/>
                <w:b/>
                <w:bCs/>
                <w:noProof/>
                <w:sz w:val="24"/>
                <w:szCs w:val="24"/>
                <w:lang w:eastAsia="en-IN"/>
              </w:rPr>
              <w:t>idge planting</w:t>
            </w:r>
          </w:p>
        </w:tc>
        <w:tc>
          <w:tcPr>
            <w:tcW w:w="2268" w:type="dxa"/>
          </w:tcPr>
          <w:p w14:paraId="79FBCAAA" w14:textId="67972A65" w:rsidR="00E26ED9" w:rsidRPr="00E544E2" w:rsidRDefault="008A1AB0" w:rsidP="008A1AB0">
            <w:pPr>
              <w:rPr>
                <w:rFonts w:ascii="Times New Roman" w:hAnsi="Times New Roman" w:cs="Times New Roman"/>
                <w:b/>
                <w:bCs/>
                <w:noProof/>
                <w:sz w:val="24"/>
                <w:szCs w:val="24"/>
                <w:lang w:eastAsia="en-IN"/>
              </w:rPr>
            </w:pPr>
            <w:r>
              <w:rPr>
                <w:rFonts w:ascii="Times New Roman" w:hAnsi="Times New Roman" w:cs="Times New Roman"/>
                <w:b/>
                <w:bCs/>
                <w:noProof/>
                <w:sz w:val="24"/>
                <w:szCs w:val="24"/>
                <w:lang w:eastAsia="en-IN"/>
              </w:rPr>
              <w:t>Potato hybridization block</w:t>
            </w:r>
          </w:p>
        </w:tc>
        <w:tc>
          <w:tcPr>
            <w:tcW w:w="2268" w:type="dxa"/>
          </w:tcPr>
          <w:p w14:paraId="4B9ADB36" w14:textId="2DD6ADA2" w:rsidR="00E26ED9" w:rsidRPr="00E544E2" w:rsidRDefault="000B3C3E" w:rsidP="002C2F49">
            <w:pPr>
              <w:jc w:val="center"/>
              <w:rPr>
                <w:rFonts w:ascii="Times New Roman" w:hAnsi="Times New Roman" w:cs="Times New Roman"/>
                <w:b/>
                <w:bCs/>
                <w:noProof/>
                <w:sz w:val="24"/>
                <w:szCs w:val="24"/>
                <w:lang w:eastAsia="en-IN"/>
              </w:rPr>
            </w:pPr>
            <w:r>
              <w:rPr>
                <w:rFonts w:ascii="Times New Roman" w:hAnsi="Times New Roman" w:cs="Times New Roman"/>
                <w:b/>
                <w:bCs/>
                <w:noProof/>
                <w:sz w:val="24"/>
                <w:szCs w:val="24"/>
                <w:lang w:eastAsia="en-IN"/>
              </w:rPr>
              <w:t>P</w:t>
            </w:r>
            <w:r w:rsidR="008A1AB0">
              <w:rPr>
                <w:rFonts w:ascii="Times New Roman" w:hAnsi="Times New Roman" w:cs="Times New Roman"/>
                <w:b/>
                <w:bCs/>
                <w:noProof/>
                <w:sz w:val="24"/>
                <w:szCs w:val="24"/>
                <w:lang w:eastAsia="en-IN"/>
              </w:rPr>
              <w:t>otato flower</w:t>
            </w:r>
          </w:p>
        </w:tc>
        <w:tc>
          <w:tcPr>
            <w:tcW w:w="2268" w:type="dxa"/>
          </w:tcPr>
          <w:p w14:paraId="0ED87F69" w14:textId="1A51B3E7" w:rsidR="00E26ED9" w:rsidRPr="00E544E2" w:rsidRDefault="008A1AB0" w:rsidP="002C2F49">
            <w:pPr>
              <w:jc w:val="center"/>
              <w:rPr>
                <w:rFonts w:ascii="Times New Roman" w:hAnsi="Times New Roman" w:cs="Times New Roman"/>
                <w:b/>
                <w:bCs/>
                <w:noProof/>
                <w:sz w:val="24"/>
                <w:szCs w:val="24"/>
                <w:lang w:eastAsia="en-IN"/>
              </w:rPr>
            </w:pPr>
            <w:r>
              <w:rPr>
                <w:rFonts w:ascii="Times New Roman" w:hAnsi="Times New Roman" w:cs="Times New Roman"/>
                <w:b/>
                <w:bCs/>
                <w:noProof/>
                <w:sz w:val="24"/>
                <w:szCs w:val="24"/>
                <w:lang w:eastAsia="en-IN"/>
              </w:rPr>
              <w:t>Harvesting</w:t>
            </w:r>
          </w:p>
        </w:tc>
      </w:tr>
      <w:tr w:rsidR="000B3C3E" w14:paraId="7305C30B" w14:textId="77777777" w:rsidTr="000B3C3E">
        <w:tc>
          <w:tcPr>
            <w:tcW w:w="9178" w:type="dxa"/>
            <w:gridSpan w:val="4"/>
          </w:tcPr>
          <w:p w14:paraId="6D18FF44" w14:textId="3441035D" w:rsidR="000B3C3E" w:rsidRDefault="000B3C3E" w:rsidP="008A1AB0">
            <w:pPr>
              <w:rPr>
                <w:rFonts w:ascii="Times New Roman" w:hAnsi="Times New Roman" w:cs="Times New Roman"/>
                <w:sz w:val="24"/>
                <w:szCs w:val="24"/>
              </w:rPr>
            </w:pPr>
          </w:p>
        </w:tc>
      </w:tr>
    </w:tbl>
    <w:p w14:paraId="3F187A34" w14:textId="77777777" w:rsidR="00A462E7" w:rsidRDefault="00A462E7" w:rsidP="00554105">
      <w:pPr>
        <w:spacing w:after="0" w:line="240" w:lineRule="auto"/>
        <w:jc w:val="both"/>
        <w:rPr>
          <w:rFonts w:ascii="Times New Roman" w:hAnsi="Times New Roman" w:cs="Times New Roman"/>
          <w:sz w:val="24"/>
          <w:szCs w:val="24"/>
        </w:rPr>
      </w:pPr>
    </w:p>
    <w:p w14:paraId="2914E473" w14:textId="311FCCD4" w:rsidR="00A06A7F" w:rsidRPr="00A06A7F" w:rsidRDefault="000B3C3E" w:rsidP="00A06A7F">
      <w:pPr>
        <w:spacing w:after="0" w:line="240" w:lineRule="auto"/>
        <w:jc w:val="both"/>
        <w:rPr>
          <w:rFonts w:ascii="Times New Roman" w:hAnsi="Times New Roman" w:cs="Times New Roman"/>
          <w:b/>
          <w:bCs/>
          <w:sz w:val="24"/>
          <w:szCs w:val="24"/>
        </w:rPr>
      </w:pPr>
      <w:r w:rsidRPr="00A06A7F">
        <w:rPr>
          <w:rFonts w:ascii="Times New Roman" w:hAnsi="Times New Roman" w:cs="Times New Roman"/>
          <w:b/>
          <w:bCs/>
          <w:sz w:val="24"/>
          <w:szCs w:val="24"/>
        </w:rPr>
        <w:t xml:space="preserve">2.4 </w:t>
      </w:r>
      <w:r w:rsidR="00824CA3" w:rsidRPr="00824CA3">
        <w:rPr>
          <w:rFonts w:ascii="Times New Roman" w:hAnsi="Times New Roman" w:cs="Times New Roman"/>
          <w:b/>
          <w:bCs/>
          <w:sz w:val="24"/>
          <w:szCs w:val="24"/>
        </w:rPr>
        <w:t>Land Preparation</w:t>
      </w:r>
      <w:r w:rsidR="00824CA3">
        <w:t xml:space="preserve"> </w:t>
      </w:r>
    </w:p>
    <w:p w14:paraId="218CD52A" w14:textId="77777777" w:rsidR="00A06A7F" w:rsidRPr="00A06A7F" w:rsidRDefault="00A06A7F" w:rsidP="00A06A7F">
      <w:pPr>
        <w:spacing w:after="0" w:line="240" w:lineRule="auto"/>
        <w:jc w:val="both"/>
        <w:rPr>
          <w:rFonts w:ascii="Times New Roman" w:hAnsi="Times New Roman" w:cs="Times New Roman"/>
          <w:sz w:val="24"/>
          <w:szCs w:val="24"/>
        </w:rPr>
      </w:pPr>
    </w:p>
    <w:p w14:paraId="7FBCB3C6" w14:textId="0BA7DBAC" w:rsidR="00A06A7F" w:rsidRDefault="00824CA3" w:rsidP="00A06A7F">
      <w:pPr>
        <w:spacing w:after="0" w:line="240" w:lineRule="auto"/>
        <w:jc w:val="both"/>
        <w:rPr>
          <w:rFonts w:ascii="Times New Roman" w:hAnsi="Times New Roman" w:cs="Times New Roman"/>
          <w:sz w:val="24"/>
          <w:szCs w:val="24"/>
        </w:rPr>
      </w:pPr>
      <w:r>
        <w:rPr>
          <w:rFonts w:ascii="Times New Roman" w:eastAsia="Times New Roman" w:hAnsi="Times New Roman"/>
          <w:sz w:val="24"/>
          <w:highlight w:val="yellow"/>
        </w:rPr>
        <w:t xml:space="preserve">Proper field preparation is essential for optimal crop growth and development. The experiment evaluated medium-maturing, red- and purple-skinned advanced potato clones. The field was prepared by deep ploughing to 20–25 cm using a soil-turning plough, followed by 2–3 cross-harrowing operations and 2–3 shallow ploughings, and was finally levelled to achieve a fine tilth. Effective </w:t>
      </w:r>
      <w:proofErr w:type="spellStart"/>
      <w:r>
        <w:rPr>
          <w:rFonts w:ascii="Times New Roman" w:eastAsia="Times New Roman" w:hAnsi="Times New Roman"/>
          <w:sz w:val="24"/>
          <w:highlight w:val="yellow"/>
        </w:rPr>
        <w:t>tuberisation</w:t>
      </w:r>
      <w:proofErr w:type="spellEnd"/>
      <w:r>
        <w:rPr>
          <w:rFonts w:ascii="Times New Roman" w:eastAsia="Times New Roman" w:hAnsi="Times New Roman"/>
          <w:sz w:val="24"/>
          <w:highlight w:val="yellow"/>
        </w:rPr>
        <w:t xml:space="preserve"> requires a well-prepared field. Planking was performed as an important cultural practice to conserve soil moisture at sowing and promote uniform crop germination.</w:t>
      </w:r>
    </w:p>
    <w:p w14:paraId="70F1330E" w14:textId="77777777" w:rsidR="00CB27E7" w:rsidRDefault="00CB27E7" w:rsidP="00A06A7F">
      <w:pPr>
        <w:spacing w:after="0" w:line="240" w:lineRule="auto"/>
        <w:jc w:val="both"/>
        <w:rPr>
          <w:rFonts w:ascii="Times New Roman" w:hAnsi="Times New Roman" w:cs="Times New Roman"/>
          <w:sz w:val="24"/>
          <w:szCs w:val="24"/>
        </w:rPr>
      </w:pPr>
    </w:p>
    <w:p w14:paraId="0549B456" w14:textId="0D35D429" w:rsidR="00A06A7F" w:rsidRPr="00A06A7F" w:rsidRDefault="000B3C3E" w:rsidP="00A06A7F">
      <w:pPr>
        <w:spacing w:after="0" w:line="240" w:lineRule="auto"/>
        <w:jc w:val="both"/>
        <w:rPr>
          <w:rFonts w:ascii="Times New Roman" w:hAnsi="Times New Roman" w:cs="Times New Roman"/>
          <w:b/>
          <w:bCs/>
          <w:sz w:val="24"/>
          <w:szCs w:val="24"/>
        </w:rPr>
      </w:pPr>
      <w:r>
        <w:rPr>
          <w:rFonts w:ascii="Times New Roman" w:eastAsia="Times New Roman" w:hAnsi="Times New Roman"/>
          <w:b/>
          <w:sz w:val="24"/>
          <w:highlight w:val="yellow"/>
        </w:rPr>
        <w:t>2.5 Planting Material Standards</w:t>
      </w:r>
    </w:p>
    <w:p w14:paraId="7797EF07" w14:textId="77777777" w:rsidR="00A06A7F" w:rsidRPr="00A06A7F" w:rsidRDefault="00A06A7F" w:rsidP="00A06A7F">
      <w:pPr>
        <w:spacing w:after="0" w:line="240" w:lineRule="auto"/>
        <w:jc w:val="both"/>
        <w:rPr>
          <w:rFonts w:ascii="Times New Roman" w:hAnsi="Times New Roman" w:cs="Times New Roman"/>
          <w:sz w:val="24"/>
          <w:szCs w:val="24"/>
        </w:rPr>
      </w:pPr>
    </w:p>
    <w:p w14:paraId="64A1B88C" w14:textId="0A64C520" w:rsidR="00A06A7F" w:rsidRDefault="00CB27E7" w:rsidP="00CB27E7">
      <w:pPr>
        <w:pStyle w:val="BodyText"/>
        <w:rPr>
          <w:rStyle w:val="Emphasis"/>
          <w:i w:val="0"/>
          <w:iCs w:val="0"/>
        </w:rPr>
      </w:pPr>
      <w:r>
        <w:rPr>
          <w:rFonts w:eastAsia="Times New Roman"/>
          <w:highlight w:val="yellow"/>
        </w:rPr>
        <w:t>Tubers weighing 30–50 g are considered standard and suitable for planting (Bist et al., 2023; Kumar et al., 2023; Mulatu et al., 2005)</w:t>
      </w:r>
      <w:proofErr w:type="spellStart"/>
      <w:r>
        <w:rPr>
          <w:rFonts w:eastAsia="Times New Roman"/>
          <w:highlight w:val="yellow"/>
        </w:rPr>
      </w:r>
      <w:proofErr w:type="spellEnd"/>
      <w:r>
        <w:rPr>
          <w:rFonts w:eastAsia="Times New Roman"/>
          <w:highlight w:val="yellow"/>
        </w:rPr>
        <w:t xml:space="preserve">. In this experiment, whole tubers of standard size were planted on ridges at a spacing of 20 cm between plants and 60 cm between rows. </w:t>
      </w:r>
      <w:r>
        <w:rPr>
          <w:rFonts w:eastAsia="Times New Roman"/>
          <w:highlight w:val="yellow"/>
        </w:rPr>
        <w:lastRenderedPageBreak/>
        <w:t>Immediately after planting, light irrigation was applied to ensure adequate soil moisture, thereby promoting uniform sprouting and crop establishment.</w:t>
      </w:r>
    </w:p>
    <w:p w14:paraId="20DCD26A" w14:textId="77777777" w:rsidR="00CB27E7" w:rsidRPr="00CB27E7" w:rsidRDefault="00CB27E7" w:rsidP="00CB27E7">
      <w:pPr>
        <w:pStyle w:val="BodyText"/>
        <w:rPr>
          <w:i/>
          <w:iCs/>
        </w:rPr>
      </w:pPr>
    </w:p>
    <w:p w14:paraId="2ED19D23" w14:textId="6F69EC91" w:rsidR="00A06A7F" w:rsidRDefault="00A06A7F" w:rsidP="00A06A7F">
      <w:pPr>
        <w:spacing w:after="0" w:line="240" w:lineRule="auto"/>
        <w:jc w:val="both"/>
        <w:rPr>
          <w:rFonts w:ascii="Times New Roman" w:hAnsi="Times New Roman" w:cs="Times New Roman"/>
          <w:b/>
          <w:bCs/>
          <w:sz w:val="24"/>
          <w:szCs w:val="24"/>
        </w:rPr>
      </w:pPr>
      <w:r w:rsidRPr="00A06A7F">
        <w:rPr>
          <w:rFonts w:ascii="Times New Roman" w:hAnsi="Times New Roman" w:cs="Times New Roman"/>
          <w:b/>
          <w:bCs/>
          <w:sz w:val="24"/>
          <w:szCs w:val="24"/>
        </w:rPr>
        <w:t>2.</w:t>
      </w:r>
      <w:r w:rsidRPr="00CB27E7">
        <w:rPr>
          <w:rFonts w:ascii="Times New Roman" w:hAnsi="Times New Roman" w:cs="Times New Roman"/>
          <w:b/>
          <w:bCs/>
          <w:sz w:val="24"/>
          <w:szCs w:val="24"/>
        </w:rPr>
        <w:t xml:space="preserve">6 </w:t>
      </w:r>
      <w:r w:rsidR="00CB27E7" w:rsidRPr="00CB27E7">
        <w:rPr>
          <w:rFonts w:ascii="Times New Roman" w:hAnsi="Times New Roman" w:cs="Times New Roman"/>
          <w:b/>
          <w:bCs/>
          <w:sz w:val="24"/>
          <w:szCs w:val="24"/>
        </w:rPr>
        <w:t>Nutrient Management Practices</w:t>
      </w:r>
    </w:p>
    <w:p w14:paraId="0C9CA8D2" w14:textId="77777777" w:rsidR="00CB27E7" w:rsidRPr="00CB27E7" w:rsidRDefault="00CB27E7" w:rsidP="00A06A7F">
      <w:pPr>
        <w:spacing w:after="0" w:line="240" w:lineRule="auto"/>
        <w:jc w:val="both"/>
        <w:rPr>
          <w:rFonts w:ascii="Times New Roman" w:hAnsi="Times New Roman" w:cs="Times New Roman"/>
          <w:b/>
          <w:bCs/>
          <w:sz w:val="24"/>
          <w:szCs w:val="24"/>
        </w:rPr>
      </w:pPr>
    </w:p>
    <w:p w14:paraId="4A02230D" w14:textId="7DCB8462" w:rsidR="00CB27E7" w:rsidRDefault="00CB27E7" w:rsidP="00A06A7F">
      <w:pPr>
        <w:spacing w:after="0" w:line="240" w:lineRule="auto"/>
        <w:jc w:val="both"/>
        <w:rPr>
          <w:rStyle w:val="Emphasis"/>
        </w:rPr>
      </w:pPr>
      <w:r>
        <w:rPr>
          <w:rFonts w:ascii="Times New Roman" w:eastAsia="Times New Roman" w:hAnsi="Times New Roman"/>
          <w:sz w:val="24"/>
          <w:highlight w:val="yellow"/>
        </w:rPr>
        <w:t>Potato is a heavy feeder and requires substantial nutrient inputs, typically 180:80:100 kg/ha of N</w:t>
      </w:r>
      <w:proofErr w:type="gramStart"/>
      <w:r>
        <w:rPr>
          <w:rFonts w:ascii="Times New Roman" w:eastAsia="Times New Roman" w:hAnsi="Times New Roman"/>
          <w:sz w:val="24"/>
          <w:highlight w:val="yellow"/>
        </w:rPr>
        <w:t>:P:K</w:t>
      </w:r>
      <w:proofErr w:type="gramEnd"/>
      <w:r>
        <w:rPr>
          <w:rFonts w:ascii="Times New Roman" w:eastAsia="Times New Roman" w:hAnsi="Times New Roman"/>
          <w:sz w:val="24"/>
          <w:highlight w:val="yellow"/>
        </w:rPr>
        <w:t xml:space="preserve"> (Yadav et al., 2021). In addition to chemical fertilisers, farmyard manure (FYM) plays an important role in maintaining soil structure and supporting beneficial microflora and fauna. In this experiment, 25–30 t/ha of well-decomposed FYM was incorporated during land preparation to allow thorough mixing with the soil. Chemical fertilisers were applied as follows: nitrogen as urea, phosphorus as diammonium phosphate (DAP), and potassium as muriate of potash (MOP). Half of the recommended N</w:t>
      </w:r>
      <w:proofErr w:type="gramStart"/>
      <w:r>
        <w:rPr>
          <w:rFonts w:ascii="Times New Roman" w:eastAsia="Times New Roman" w:hAnsi="Times New Roman"/>
          <w:sz w:val="24"/>
          <w:highlight w:val="yellow"/>
        </w:rPr>
        <w:t>:P:K</w:t>
      </w:r>
      <w:proofErr w:type="gramEnd"/>
      <w:r>
        <w:rPr>
          <w:rFonts w:ascii="Times New Roman" w:eastAsia="Times New Roman" w:hAnsi="Times New Roman"/>
          <w:sz w:val="24"/>
          <w:highlight w:val="yellow"/>
        </w:rPr>
        <w:t xml:space="preserve"> dose was applied as a basal treatment, while the remaining nitrogen was top-dressed after earthing-up, 25–30 days after planting.</w:t>
      </w:r>
    </w:p>
    <w:p w14:paraId="708263A2" w14:textId="77777777" w:rsidR="00CB27E7" w:rsidRDefault="00CB27E7" w:rsidP="00A06A7F">
      <w:pPr>
        <w:spacing w:after="0" w:line="240" w:lineRule="auto"/>
        <w:jc w:val="both"/>
        <w:rPr>
          <w:rStyle w:val="Emphasis"/>
        </w:rPr>
      </w:pPr>
    </w:p>
    <w:p w14:paraId="3705AC4F" w14:textId="490EC533" w:rsidR="00A06A7F" w:rsidRPr="00A06A7F" w:rsidRDefault="00F04F29" w:rsidP="00A06A7F">
      <w:pPr>
        <w:spacing w:after="0" w:line="240" w:lineRule="auto"/>
        <w:jc w:val="both"/>
        <w:rPr>
          <w:rFonts w:ascii="Times New Roman" w:hAnsi="Times New Roman" w:cs="Times New Roman"/>
          <w:b/>
          <w:bCs/>
          <w:sz w:val="24"/>
          <w:szCs w:val="24"/>
        </w:rPr>
      </w:pPr>
      <w:r>
        <w:rPr>
          <w:rFonts w:ascii="Times New Roman" w:eastAsia="Times New Roman" w:hAnsi="Times New Roman"/>
          <w:b/>
          <w:sz w:val="24"/>
          <w:highlight w:val="yellow"/>
        </w:rPr>
        <w:t>2.7 Sowing Methodology and Crop Establishment</w:t>
      </w:r>
    </w:p>
    <w:p w14:paraId="6FB029FD" w14:textId="77777777" w:rsidR="00A06A7F" w:rsidRPr="00A06A7F" w:rsidRDefault="00A06A7F" w:rsidP="00A06A7F">
      <w:pPr>
        <w:spacing w:after="0" w:line="240" w:lineRule="auto"/>
        <w:jc w:val="both"/>
        <w:rPr>
          <w:rFonts w:ascii="Times New Roman" w:hAnsi="Times New Roman" w:cs="Times New Roman"/>
          <w:sz w:val="24"/>
          <w:szCs w:val="24"/>
        </w:rPr>
      </w:pPr>
    </w:p>
    <w:p w14:paraId="5DD82819" w14:textId="642603A6" w:rsidR="00900D3D" w:rsidRPr="00900D3D" w:rsidRDefault="00900D3D" w:rsidP="00900D3D">
      <w:pPr>
        <w:pStyle w:val="BodyText"/>
        <w:rPr>
          <w:rStyle w:val="Emphasis"/>
          <w:i w:val="0"/>
          <w:iCs w:val="0"/>
        </w:rPr>
      </w:pPr>
      <w:r>
        <w:rPr>
          <w:rFonts w:eastAsia="Times New Roman"/>
          <w:highlight w:val="yellow"/>
        </w:rPr>
        <w:t xml:space="preserve">Potato tubers were planted on ridges prepared after land preparation using either a tractor-driven ridge maker or manual spade operations. Experimental beds were laid out according to the design, with each bed measuring 3 m in length × 60 cm in width and containing five rows. The tubers were planted using a </w:t>
      </w:r>
      <w:proofErr w:type="spellStart"/>
      <w:r>
        <w:rPr>
          <w:rFonts w:eastAsia="Times New Roman"/>
          <w:highlight w:val="yellow"/>
        </w:rPr>
        <w:t>khurpi</w:t>
      </w:r>
      <w:proofErr w:type="spellEnd"/>
      <w:r>
        <w:rPr>
          <w:rFonts w:eastAsia="Times New Roman"/>
          <w:highlight w:val="yellow"/>
        </w:rPr>
        <w:t xml:space="preserve"> (a local tool) at a depth of 7–8 cm and were subsequently covered with the surrounding soil. Immediately after planting, light irrigation was applied to ensure adequate soil moisture and promote uniform germination of the experimental material.</w:t>
      </w:r>
    </w:p>
    <w:p w14:paraId="04D2BAB8" w14:textId="77777777" w:rsidR="00900D3D" w:rsidRDefault="00900D3D" w:rsidP="00A06A7F">
      <w:pPr>
        <w:spacing w:after="0" w:line="240" w:lineRule="auto"/>
        <w:jc w:val="both"/>
        <w:rPr>
          <w:rStyle w:val="Emphasis"/>
          <w:rFonts w:ascii="Times New Roman" w:hAnsi="Times New Roman" w:cs="Times New Roman"/>
          <w:sz w:val="24"/>
          <w:szCs w:val="24"/>
        </w:rPr>
      </w:pPr>
    </w:p>
    <w:p w14:paraId="65054366" w14:textId="1832571D" w:rsidR="00A06A7F" w:rsidRPr="00503ECF" w:rsidRDefault="00503ECF" w:rsidP="00A06A7F">
      <w:pPr>
        <w:spacing w:after="0" w:line="240" w:lineRule="auto"/>
        <w:jc w:val="both"/>
        <w:rPr>
          <w:rFonts w:ascii="Times New Roman" w:hAnsi="Times New Roman" w:cs="Times New Roman"/>
          <w:b/>
          <w:bCs/>
          <w:sz w:val="24"/>
          <w:szCs w:val="24"/>
        </w:rPr>
      </w:pPr>
      <w:r>
        <w:rPr>
          <w:rFonts w:ascii="Times New Roman" w:eastAsia="Times New Roman" w:hAnsi="Times New Roman"/>
          <w:b/>
          <w:sz w:val="24"/>
          <w:highlight w:val="yellow"/>
        </w:rPr>
        <w:t>2.8 Intercultural Operations and Management Techniques</w:t>
      </w:r>
    </w:p>
    <w:p w14:paraId="15F796D2" w14:textId="77777777" w:rsidR="00A06A7F" w:rsidRPr="00A06A7F" w:rsidRDefault="00A06A7F" w:rsidP="00A06A7F">
      <w:pPr>
        <w:spacing w:after="0" w:line="240" w:lineRule="auto"/>
        <w:jc w:val="both"/>
        <w:rPr>
          <w:rFonts w:ascii="Times New Roman" w:hAnsi="Times New Roman" w:cs="Times New Roman"/>
          <w:sz w:val="24"/>
          <w:szCs w:val="24"/>
        </w:rPr>
      </w:pPr>
    </w:p>
    <w:p w14:paraId="7B27FC78" w14:textId="3058A28E" w:rsidR="00A462E7" w:rsidRDefault="00503ECF" w:rsidP="00554105">
      <w:pPr>
        <w:spacing w:after="0" w:line="240" w:lineRule="auto"/>
        <w:jc w:val="both"/>
        <w:rPr>
          <w:rStyle w:val="Emphasis"/>
          <w:rFonts w:ascii="Times New Roman" w:hAnsi="Times New Roman" w:cs="Times New Roman"/>
          <w:i w:val="0"/>
          <w:iCs w:val="0"/>
          <w:sz w:val="24"/>
          <w:szCs w:val="24"/>
        </w:rPr>
      </w:pPr>
      <w:r>
        <w:rPr>
          <w:rFonts w:ascii="Times New Roman" w:eastAsia="Times New Roman" w:hAnsi="Times New Roman"/>
          <w:sz w:val="24"/>
          <w:highlight w:val="yellow"/>
        </w:rPr>
        <w:t xml:space="preserve">Intercultural operations play an important role in determining yield and yield-attributing traits in potato. Weed infestation is a major constraint, with common weed species including moth grass, </w:t>
      </w:r>
      <w:proofErr w:type="spellStart"/>
      <w:r>
        <w:rPr>
          <w:rFonts w:ascii="Times New Roman" w:eastAsia="Times New Roman" w:hAnsi="Times New Roman"/>
          <w:sz w:val="24"/>
          <w:highlight w:val="yellow"/>
        </w:rPr>
        <w:t>Gajar</w:t>
      </w:r>
      <w:proofErr w:type="spellEnd"/>
      <w:r>
        <w:rPr>
          <w:rFonts w:ascii="Times New Roman" w:eastAsia="Times New Roman" w:hAnsi="Times New Roman"/>
          <w:sz w:val="24"/>
          <w:highlight w:val="yellow"/>
        </w:rPr>
        <w:t xml:space="preserve"> grass, palak grass, and </w:t>
      </w:r>
      <w:r>
        <w:rPr>
          <w:rFonts w:ascii="Times New Roman" w:eastAsia="Times New Roman" w:hAnsi="Times New Roman"/>
          <w:i/>
          <w:sz w:val="24"/>
          <w:highlight w:val="yellow"/>
        </w:rPr>
        <w:t>Trifolium</w:t>
      </w:r>
      <w:r>
        <w:rPr>
          <w:rFonts w:ascii="Times New Roman" w:eastAsia="Times New Roman" w:hAnsi="Times New Roman"/>
          <w:sz w:val="24"/>
          <w:highlight w:val="yellow"/>
        </w:rPr>
        <w:t xml:space="preserve"> spp. To suppress weed emergence, Oxyfluorfen 23.5% SC was applied at 500 ml/ha as a pre-emergence spray. Subsequent intercultural practices, including manual weeding and earthing-up, were carried out 25–30 days after planting. Following hoeing, the remaining half dose of nitrogen, supplied as urea, was applied in furrows and incorporated during earthing-up to enhance nutrient availability for </w:t>
      </w:r>
      <w:proofErr w:type="spellStart"/>
      <w:r>
        <w:rPr>
          <w:rFonts w:ascii="Times New Roman" w:eastAsia="Times New Roman" w:hAnsi="Times New Roman"/>
          <w:sz w:val="24"/>
          <w:highlight w:val="yellow"/>
        </w:rPr>
        <w:t>tuberisation</w:t>
      </w:r>
      <w:proofErr w:type="spellEnd"/>
      <w:r>
        <w:rPr>
          <w:rFonts w:ascii="Times New Roman" w:eastAsia="Times New Roman" w:hAnsi="Times New Roman"/>
          <w:sz w:val="24"/>
          <w:highlight w:val="yellow"/>
        </w:rPr>
        <w:t>. The crop received 4–5 irrigations at intervals of 10–15 days, adjusted according to soil moisture status. Late blight (</w:t>
      </w:r>
      <w:r>
        <w:rPr>
          <w:rFonts w:ascii="Times New Roman" w:eastAsia="Times New Roman" w:hAnsi="Times New Roman"/>
          <w:i/>
          <w:sz w:val="24"/>
          <w:highlight w:val="yellow"/>
        </w:rPr>
        <w:t>Phytophthora infestans</w:t>
      </w:r>
      <w:r>
        <w:rPr>
          <w:rFonts w:ascii="Times New Roman" w:eastAsia="Times New Roman" w:hAnsi="Times New Roman"/>
          <w:sz w:val="24"/>
          <w:highlight w:val="yellow"/>
        </w:rPr>
        <w:t>) posed a significant threat to leaves, stems, and tubers and was managed with one prophylactic spray of Mancozeb 75 WP, followed by two sprays of Cymoxanil 8% + Mancozeb 64% WP at 15-day intervals (</w:t>
      </w:r>
      <w:proofErr w:type="spellStart"/>
      <w:r>
        <w:rPr>
          <w:rFonts w:ascii="Times New Roman" w:eastAsia="Times New Roman" w:hAnsi="Times New Roman"/>
          <w:sz w:val="24"/>
          <w:highlight w:val="yellow"/>
        </w:rPr>
        <w:t>Haverkort</w:t>
      </w:r>
      <w:proofErr w:type="spellEnd"/>
      <w:r>
        <w:rPr>
          <w:rFonts w:ascii="Times New Roman" w:eastAsia="Times New Roman" w:hAnsi="Times New Roman"/>
          <w:sz w:val="24"/>
          <w:highlight w:val="yellow"/>
        </w:rPr>
        <w:t xml:space="preserve"> et al., 2009). Insect pests, such as aphids, leaf cutters, and cutworms, were controlled by spraying Imidacloprid 17.8% SL at 45 days after planting.</w:t>
      </w:r>
    </w:p>
    <w:p w14:paraId="7E38D7F3" w14:textId="77777777" w:rsidR="00503ECF" w:rsidRPr="00503ECF" w:rsidRDefault="00503ECF" w:rsidP="00554105">
      <w:pPr>
        <w:spacing w:after="0" w:line="240" w:lineRule="auto"/>
        <w:jc w:val="both"/>
        <w:rPr>
          <w:rFonts w:ascii="Times New Roman" w:hAnsi="Times New Roman" w:cs="Times New Roman"/>
          <w:i/>
          <w:iCs/>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0"/>
        <w:gridCol w:w="1892"/>
        <w:gridCol w:w="1743"/>
        <w:gridCol w:w="1724"/>
        <w:gridCol w:w="1823"/>
      </w:tblGrid>
      <w:tr w:rsidR="002C2F49" w14:paraId="7278D224" w14:textId="77777777" w:rsidTr="002C2F49">
        <w:tc>
          <w:tcPr>
            <w:tcW w:w="1818" w:type="dxa"/>
          </w:tcPr>
          <w:p w14:paraId="480D7357"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3B53C1E4" wp14:editId="17422B43">
                  <wp:extent cx="934854" cy="972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2-13 at 11.55.30 (1).jpeg"/>
                          <pic:cNvPicPr/>
                        </pic:nvPicPr>
                        <pic:blipFill rotWithShape="1">
                          <a:blip r:embed="rId11" cstate="print">
                            <a:extLst>
                              <a:ext uri="{28A0092B-C50C-407E-A947-70E740481C1C}">
                                <a14:useLocalDpi xmlns:a14="http://schemas.microsoft.com/office/drawing/2010/main" val="0"/>
                              </a:ext>
                            </a:extLst>
                          </a:blip>
                          <a:srcRect l="7231" t="15030" r="8778" b="24013"/>
                          <a:stretch/>
                        </pic:blipFill>
                        <pic:spPr bwMode="auto">
                          <a:xfrm>
                            <a:off x="0" y="0"/>
                            <a:ext cx="934854"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978" w:type="dxa"/>
          </w:tcPr>
          <w:p w14:paraId="470EB23D"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60825E3D" wp14:editId="04662D25">
                  <wp:extent cx="936000" cy="97200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9 (1).jpeg"/>
                          <pic:cNvPicPr preferRelativeResize="0"/>
                        </pic:nvPicPr>
                        <pic:blipFill rotWithShape="1">
                          <a:blip r:embed="rId12" cstate="print">
                            <a:extLst>
                              <a:ext uri="{28A0092B-C50C-407E-A947-70E740481C1C}">
                                <a14:useLocalDpi xmlns:a14="http://schemas.microsoft.com/office/drawing/2010/main" val="0"/>
                              </a:ext>
                            </a:extLst>
                          </a:blip>
                          <a:srcRect l="4576" t="9544" r="13545" b="30525"/>
                          <a:stretch/>
                        </pic:blipFill>
                        <pic:spPr bwMode="auto">
                          <a:xfrm>
                            <a:off x="0" y="0"/>
                            <a:ext cx="936000"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765" w:type="dxa"/>
          </w:tcPr>
          <w:p w14:paraId="19D89BA3"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5EDE95E4" wp14:editId="1C29478A">
                  <wp:extent cx="937286" cy="972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2-13 at 11.55.27.jpeg"/>
                          <pic:cNvPicPr/>
                        </pic:nvPicPr>
                        <pic:blipFill rotWithShape="1">
                          <a:blip r:embed="rId13" cstate="print">
                            <a:extLst>
                              <a:ext uri="{28A0092B-C50C-407E-A947-70E740481C1C}">
                                <a14:useLocalDpi xmlns:a14="http://schemas.microsoft.com/office/drawing/2010/main" val="0"/>
                              </a:ext>
                            </a:extLst>
                          </a:blip>
                          <a:srcRect l="13226" t="13379" r="9148" b="26196"/>
                          <a:stretch/>
                        </pic:blipFill>
                        <pic:spPr bwMode="auto">
                          <a:xfrm>
                            <a:off x="0" y="0"/>
                            <a:ext cx="937286"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738" w:type="dxa"/>
          </w:tcPr>
          <w:p w14:paraId="25D78F03"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76AA2856" wp14:editId="78DA55B6">
                  <wp:extent cx="972000" cy="936000"/>
                  <wp:effectExtent l="0" t="127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8.jpeg"/>
                          <pic:cNvPicPr preferRelativeResize="0"/>
                        </pic:nvPicPr>
                        <pic:blipFill rotWithShape="1">
                          <a:blip r:embed="rId14" cstate="print">
                            <a:extLst>
                              <a:ext uri="{28A0092B-C50C-407E-A947-70E740481C1C}">
                                <a14:useLocalDpi xmlns:a14="http://schemas.microsoft.com/office/drawing/2010/main" val="0"/>
                              </a:ext>
                            </a:extLst>
                          </a:blip>
                          <a:srcRect l="22903" t="10762" r="16860" b="11922"/>
                          <a:stretch/>
                        </pic:blipFill>
                        <pic:spPr bwMode="auto">
                          <a:xfrm rot="16200000">
                            <a:off x="0" y="0"/>
                            <a:ext cx="972000" cy="936000"/>
                          </a:xfrm>
                          <a:prstGeom prst="rect">
                            <a:avLst/>
                          </a:prstGeom>
                          <a:ln>
                            <a:noFill/>
                          </a:ln>
                          <a:extLst>
                            <a:ext uri="{53640926-AAD7-44D8-BBD7-CCE9431645EC}">
                              <a14:shadowObscured xmlns:a14="http://schemas.microsoft.com/office/drawing/2010/main"/>
                            </a:ext>
                          </a:extLst>
                        </pic:spPr>
                      </pic:pic>
                    </a:graphicData>
                  </a:graphic>
                </wp:inline>
              </w:drawing>
            </w:r>
          </w:p>
        </w:tc>
        <w:tc>
          <w:tcPr>
            <w:tcW w:w="1879" w:type="dxa"/>
          </w:tcPr>
          <w:p w14:paraId="599634EA"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6B172BAA" wp14:editId="72F2FF08">
                  <wp:extent cx="972000" cy="936000"/>
                  <wp:effectExtent l="0" t="127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8 (1).jpeg"/>
                          <pic:cNvPicPr preferRelativeResize="0"/>
                        </pic:nvPicPr>
                        <pic:blipFill rotWithShape="1">
                          <a:blip r:embed="rId15" cstate="print">
                            <a:extLst>
                              <a:ext uri="{28A0092B-C50C-407E-A947-70E740481C1C}">
                                <a14:useLocalDpi xmlns:a14="http://schemas.microsoft.com/office/drawing/2010/main" val="0"/>
                              </a:ext>
                            </a:extLst>
                          </a:blip>
                          <a:srcRect l="29609" t="13034" r="16694" b="12860"/>
                          <a:stretch/>
                        </pic:blipFill>
                        <pic:spPr bwMode="auto">
                          <a:xfrm rot="16200000">
                            <a:off x="0" y="0"/>
                            <a:ext cx="972000" cy="936000"/>
                          </a:xfrm>
                          <a:prstGeom prst="rect">
                            <a:avLst/>
                          </a:prstGeom>
                          <a:ln>
                            <a:noFill/>
                          </a:ln>
                          <a:extLst>
                            <a:ext uri="{53640926-AAD7-44D8-BBD7-CCE9431645EC}">
                              <a14:shadowObscured xmlns:a14="http://schemas.microsoft.com/office/drawing/2010/main"/>
                            </a:ext>
                          </a:extLst>
                        </pic:spPr>
                      </pic:pic>
                    </a:graphicData>
                  </a:graphic>
                </wp:inline>
              </w:drawing>
            </w:r>
          </w:p>
        </w:tc>
      </w:tr>
      <w:tr w:rsidR="002C2F49" w14:paraId="75CC14C0" w14:textId="77777777" w:rsidTr="002C2F49">
        <w:tc>
          <w:tcPr>
            <w:tcW w:w="1818" w:type="dxa"/>
          </w:tcPr>
          <w:p w14:paraId="2022A6D1"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PS/19-02</w:t>
            </w:r>
          </w:p>
        </w:tc>
        <w:tc>
          <w:tcPr>
            <w:tcW w:w="1978" w:type="dxa"/>
          </w:tcPr>
          <w:p w14:paraId="6C665D97"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PS/19-04</w:t>
            </w:r>
          </w:p>
        </w:tc>
        <w:tc>
          <w:tcPr>
            <w:tcW w:w="1765" w:type="dxa"/>
          </w:tcPr>
          <w:p w14:paraId="2E215681"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PS/19-12</w:t>
            </w:r>
          </w:p>
        </w:tc>
        <w:tc>
          <w:tcPr>
            <w:tcW w:w="1738" w:type="dxa"/>
          </w:tcPr>
          <w:p w14:paraId="50005506"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PS/19-24</w:t>
            </w:r>
          </w:p>
        </w:tc>
        <w:tc>
          <w:tcPr>
            <w:tcW w:w="1879" w:type="dxa"/>
          </w:tcPr>
          <w:p w14:paraId="37CAAFEE"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PS/19-26</w:t>
            </w:r>
          </w:p>
        </w:tc>
      </w:tr>
      <w:tr w:rsidR="002C2F49" w14:paraId="1DF23963" w14:textId="77777777" w:rsidTr="002C2F49">
        <w:tc>
          <w:tcPr>
            <w:tcW w:w="1818" w:type="dxa"/>
          </w:tcPr>
          <w:p w14:paraId="3144FB0B"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26FE7B4C" wp14:editId="243360F6">
                  <wp:extent cx="936000" cy="97200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5 (1).jpeg"/>
                          <pic:cNvPicPr preferRelativeResize="0"/>
                        </pic:nvPicPr>
                        <pic:blipFill rotWithShape="1">
                          <a:blip r:embed="rId16" cstate="print">
                            <a:extLst>
                              <a:ext uri="{28A0092B-C50C-407E-A947-70E740481C1C}">
                                <a14:useLocalDpi xmlns:a14="http://schemas.microsoft.com/office/drawing/2010/main" val="0"/>
                              </a:ext>
                            </a:extLst>
                          </a:blip>
                          <a:srcRect l="5314" t="11241" r="13044" b="25302"/>
                          <a:stretch/>
                        </pic:blipFill>
                        <pic:spPr bwMode="auto">
                          <a:xfrm>
                            <a:off x="0" y="0"/>
                            <a:ext cx="936000"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978" w:type="dxa"/>
          </w:tcPr>
          <w:p w14:paraId="3E5FA10C"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4D7E41A2" wp14:editId="7FA8C09C">
                  <wp:extent cx="936000" cy="9720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2 (3).jpeg"/>
                          <pic:cNvPicPr preferRelativeResize="0"/>
                        </pic:nvPicPr>
                        <pic:blipFill rotWithShape="1">
                          <a:blip r:embed="rId17" cstate="print">
                            <a:extLst>
                              <a:ext uri="{28A0092B-C50C-407E-A947-70E740481C1C}">
                                <a14:useLocalDpi xmlns:a14="http://schemas.microsoft.com/office/drawing/2010/main" val="0"/>
                              </a:ext>
                            </a:extLst>
                          </a:blip>
                          <a:srcRect l="8683" t="18635" r="11605" b="22243"/>
                          <a:stretch/>
                        </pic:blipFill>
                        <pic:spPr bwMode="auto">
                          <a:xfrm>
                            <a:off x="0" y="0"/>
                            <a:ext cx="936000"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765" w:type="dxa"/>
          </w:tcPr>
          <w:p w14:paraId="75B23135"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07F21BEF" wp14:editId="6E264BA8">
                  <wp:extent cx="972000" cy="936000"/>
                  <wp:effectExtent l="0" t="127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1.jpeg"/>
                          <pic:cNvPicPr preferRelativeResize="0"/>
                        </pic:nvPicPr>
                        <pic:blipFill rotWithShape="1">
                          <a:blip r:embed="rId18" cstate="print">
                            <a:extLst>
                              <a:ext uri="{28A0092B-C50C-407E-A947-70E740481C1C}">
                                <a14:useLocalDpi xmlns:a14="http://schemas.microsoft.com/office/drawing/2010/main" val="0"/>
                              </a:ext>
                            </a:extLst>
                          </a:blip>
                          <a:srcRect l="32127" t="17696" r="12541" b="15344"/>
                          <a:stretch/>
                        </pic:blipFill>
                        <pic:spPr bwMode="auto">
                          <a:xfrm rot="16200000">
                            <a:off x="0" y="0"/>
                            <a:ext cx="972000" cy="936000"/>
                          </a:xfrm>
                          <a:prstGeom prst="rect">
                            <a:avLst/>
                          </a:prstGeom>
                          <a:ln>
                            <a:noFill/>
                          </a:ln>
                          <a:extLst>
                            <a:ext uri="{53640926-AAD7-44D8-BBD7-CCE9431645EC}">
                              <a14:shadowObscured xmlns:a14="http://schemas.microsoft.com/office/drawing/2010/main"/>
                            </a:ext>
                          </a:extLst>
                        </pic:spPr>
                      </pic:pic>
                    </a:graphicData>
                  </a:graphic>
                </wp:inline>
              </w:drawing>
            </w:r>
          </w:p>
        </w:tc>
        <w:tc>
          <w:tcPr>
            <w:tcW w:w="1738" w:type="dxa"/>
          </w:tcPr>
          <w:p w14:paraId="5016B504"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4E314FD6" wp14:editId="54D09C7B">
                  <wp:extent cx="936000" cy="972000"/>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3.jpeg"/>
                          <pic:cNvPicPr preferRelativeResize="0"/>
                        </pic:nvPicPr>
                        <pic:blipFill rotWithShape="1">
                          <a:blip r:embed="rId19" cstate="print">
                            <a:extLst>
                              <a:ext uri="{28A0092B-C50C-407E-A947-70E740481C1C}">
                                <a14:useLocalDpi xmlns:a14="http://schemas.microsoft.com/office/drawing/2010/main" val="0"/>
                              </a:ext>
                            </a:extLst>
                          </a:blip>
                          <a:srcRect l="10110" t="16329" r="10445" b="24809"/>
                          <a:stretch/>
                        </pic:blipFill>
                        <pic:spPr bwMode="auto">
                          <a:xfrm>
                            <a:off x="0" y="0"/>
                            <a:ext cx="936000"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879" w:type="dxa"/>
          </w:tcPr>
          <w:p w14:paraId="122B308D"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62100F6C" wp14:editId="1D2C7BED">
                  <wp:extent cx="936000" cy="97200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2 (1).jpeg"/>
                          <pic:cNvPicPr preferRelativeResize="0"/>
                        </pic:nvPicPr>
                        <pic:blipFill rotWithShape="1">
                          <a:blip r:embed="rId20" cstate="print">
                            <a:extLst>
                              <a:ext uri="{28A0092B-C50C-407E-A947-70E740481C1C}">
                                <a14:useLocalDpi xmlns:a14="http://schemas.microsoft.com/office/drawing/2010/main" val="0"/>
                              </a:ext>
                            </a:extLst>
                          </a:blip>
                          <a:srcRect l="15188" t="18140" r="13193" b="27350"/>
                          <a:stretch/>
                        </pic:blipFill>
                        <pic:spPr bwMode="auto">
                          <a:xfrm>
                            <a:off x="0" y="0"/>
                            <a:ext cx="936000" cy="972000"/>
                          </a:xfrm>
                          <a:prstGeom prst="rect">
                            <a:avLst/>
                          </a:prstGeom>
                          <a:ln>
                            <a:noFill/>
                          </a:ln>
                          <a:extLst>
                            <a:ext uri="{53640926-AAD7-44D8-BBD7-CCE9431645EC}">
                              <a14:shadowObscured xmlns:a14="http://schemas.microsoft.com/office/drawing/2010/main"/>
                            </a:ext>
                          </a:extLst>
                        </pic:spPr>
                      </pic:pic>
                    </a:graphicData>
                  </a:graphic>
                </wp:inline>
              </w:drawing>
            </w:r>
          </w:p>
        </w:tc>
      </w:tr>
      <w:tr w:rsidR="002C2F49" w14:paraId="20EDE0B4" w14:textId="77777777" w:rsidTr="002C2F49">
        <w:tc>
          <w:tcPr>
            <w:tcW w:w="1818" w:type="dxa"/>
          </w:tcPr>
          <w:p w14:paraId="70904C3A"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PS/19-31</w:t>
            </w:r>
          </w:p>
        </w:tc>
        <w:tc>
          <w:tcPr>
            <w:tcW w:w="1978" w:type="dxa"/>
          </w:tcPr>
          <w:p w14:paraId="6AC92EED"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PS/19-41</w:t>
            </w:r>
          </w:p>
        </w:tc>
        <w:tc>
          <w:tcPr>
            <w:tcW w:w="1765" w:type="dxa"/>
          </w:tcPr>
          <w:p w14:paraId="431A1CA1"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PS/19-43</w:t>
            </w:r>
          </w:p>
        </w:tc>
        <w:tc>
          <w:tcPr>
            <w:tcW w:w="1738" w:type="dxa"/>
          </w:tcPr>
          <w:p w14:paraId="5BC920EE"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PS/19-44</w:t>
            </w:r>
          </w:p>
        </w:tc>
        <w:tc>
          <w:tcPr>
            <w:tcW w:w="1879" w:type="dxa"/>
          </w:tcPr>
          <w:p w14:paraId="4E013F80"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PS/19-50</w:t>
            </w:r>
          </w:p>
        </w:tc>
      </w:tr>
      <w:tr w:rsidR="002C2F49" w14:paraId="753BD2B5" w14:textId="77777777" w:rsidTr="002C2F49">
        <w:tc>
          <w:tcPr>
            <w:tcW w:w="9178" w:type="dxa"/>
            <w:gridSpan w:val="5"/>
          </w:tcPr>
          <w:p w14:paraId="500305FB" w14:textId="77777777" w:rsidR="00D34DC1" w:rsidRDefault="00D34DC1" w:rsidP="00D34DC1">
            <w:pPr>
              <w:rPr>
                <w:rFonts w:ascii="Times New Roman" w:hAnsi="Times New Roman" w:cs="Times New Roman"/>
                <w:b/>
                <w:bCs/>
                <w:sz w:val="24"/>
                <w:szCs w:val="24"/>
              </w:rPr>
            </w:pPr>
          </w:p>
          <w:p w14:paraId="60D20CA4" w14:textId="1BF7F73A" w:rsidR="002C2F49" w:rsidRDefault="0050345D" w:rsidP="00D34DC1">
            <w:pPr>
              <w:rPr>
                <w:rFonts w:ascii="Times New Roman" w:hAnsi="Times New Roman" w:cs="Times New Roman"/>
                <w:sz w:val="24"/>
                <w:szCs w:val="24"/>
              </w:rPr>
            </w:pPr>
            <w:r>
              <w:rPr>
                <w:rFonts w:ascii="Times New Roman" w:hAnsi="Times New Roman" w:cs="Times New Roman"/>
                <w:b/>
                <w:bCs/>
                <w:sz w:val="24"/>
                <w:szCs w:val="24"/>
              </w:rPr>
              <w:t xml:space="preserve">Plate </w:t>
            </w:r>
            <w:r w:rsidR="002C2F49" w:rsidRPr="00E544E2">
              <w:rPr>
                <w:rFonts w:ascii="Times New Roman" w:hAnsi="Times New Roman" w:cs="Times New Roman"/>
                <w:b/>
                <w:bCs/>
                <w:sz w:val="24"/>
                <w:szCs w:val="24"/>
              </w:rPr>
              <w:t xml:space="preserve">2: </w:t>
            </w:r>
            <w:r w:rsidR="00D34DC1">
              <w:rPr>
                <w:rFonts w:ascii="Times New Roman" w:hAnsi="Times New Roman" w:cs="Times New Roman" w:hint="cs"/>
                <w:b/>
                <w:bCs/>
                <w:sz w:val="24"/>
                <w:szCs w:val="24"/>
                <w:cs/>
              </w:rPr>
              <w:t xml:space="preserve">Tuber colour variation in </w:t>
            </w:r>
            <w:r w:rsidR="002A25E5" w:rsidRPr="00E544E2">
              <w:rPr>
                <w:rFonts w:ascii="Times New Roman" w:hAnsi="Times New Roman" w:cs="Times New Roman"/>
                <w:b/>
                <w:bCs/>
                <w:sz w:val="24"/>
                <w:szCs w:val="24"/>
              </w:rPr>
              <w:t>sprouted</w:t>
            </w:r>
            <w:r w:rsidR="002C2F49" w:rsidRPr="00E544E2">
              <w:rPr>
                <w:rFonts w:ascii="Times New Roman" w:hAnsi="Times New Roman" w:cs="Times New Roman"/>
                <w:b/>
                <w:bCs/>
                <w:sz w:val="24"/>
                <w:szCs w:val="24"/>
              </w:rPr>
              <w:t xml:space="preserve"> tubers of advance</w:t>
            </w:r>
            <w:r w:rsidR="00D34DC1">
              <w:rPr>
                <w:rFonts w:ascii="Times New Roman" w:hAnsi="Times New Roman" w:cs="Times New Roman" w:hint="cs"/>
                <w:b/>
                <w:bCs/>
                <w:sz w:val="24"/>
                <w:szCs w:val="24"/>
                <w:cs/>
              </w:rPr>
              <w:t>d</w:t>
            </w:r>
            <w:r w:rsidR="002C2F49" w:rsidRPr="00E544E2">
              <w:rPr>
                <w:rFonts w:ascii="Times New Roman" w:hAnsi="Times New Roman" w:cs="Times New Roman"/>
                <w:b/>
                <w:bCs/>
                <w:sz w:val="24"/>
                <w:szCs w:val="24"/>
              </w:rPr>
              <w:t xml:space="preserve"> clones</w:t>
            </w:r>
          </w:p>
        </w:tc>
      </w:tr>
    </w:tbl>
    <w:p w14:paraId="130F4F82" w14:textId="77777777" w:rsidR="00A462E7" w:rsidRDefault="00A462E7" w:rsidP="00554105">
      <w:pPr>
        <w:spacing w:after="0" w:line="240" w:lineRule="auto"/>
        <w:jc w:val="both"/>
        <w:rPr>
          <w:rFonts w:ascii="Times New Roman" w:hAnsi="Times New Roman" w:cs="Times New Roman"/>
          <w:sz w:val="24"/>
          <w:szCs w:val="24"/>
        </w:rPr>
      </w:pPr>
    </w:p>
    <w:p w14:paraId="6B765435" w14:textId="5E44A8F5" w:rsidR="002C2F49" w:rsidRPr="00E544E2" w:rsidRDefault="002C2F49" w:rsidP="002C2F49">
      <w:pPr>
        <w:jc w:val="both"/>
        <w:rPr>
          <w:rFonts w:ascii="Times New Roman" w:hAnsi="Times New Roman" w:cs="Times New Roman"/>
          <w:b/>
          <w:bCs/>
          <w:sz w:val="24"/>
          <w:szCs w:val="24"/>
        </w:rPr>
      </w:pPr>
      <w:r w:rsidRPr="00E544E2">
        <w:rPr>
          <w:rFonts w:ascii="Times New Roman" w:hAnsi="Times New Roman" w:cs="Times New Roman"/>
          <w:b/>
          <w:bCs/>
          <w:sz w:val="24"/>
          <w:szCs w:val="24"/>
        </w:rPr>
        <w:t xml:space="preserve">2.9 </w:t>
      </w:r>
      <w:r w:rsidR="00CB4705" w:rsidRPr="00CB4705">
        <w:rPr>
          <w:rFonts w:ascii="Times New Roman" w:hAnsi="Times New Roman" w:cs="Times New Roman"/>
          <w:b/>
          <w:bCs/>
          <w:sz w:val="24"/>
          <w:szCs w:val="24"/>
        </w:rPr>
        <w:t>Observation</w:t>
      </w:r>
      <w:r w:rsidR="00742102">
        <w:rPr>
          <w:rFonts w:ascii="Times New Roman" w:hAnsi="Times New Roman" w:cs="Times New Roman"/>
          <w:b/>
          <w:bCs/>
          <w:sz w:val="24"/>
          <w:szCs w:val="24"/>
        </w:rPr>
        <w:t>s</w:t>
      </w:r>
      <w:r w:rsidR="00CB4705" w:rsidRPr="00CB4705">
        <w:rPr>
          <w:rFonts w:ascii="Times New Roman" w:hAnsi="Times New Roman" w:cs="Times New Roman"/>
          <w:b/>
          <w:bCs/>
          <w:sz w:val="24"/>
          <w:szCs w:val="24"/>
        </w:rPr>
        <w:t xml:space="preserve"> and Data Recording Protocols</w:t>
      </w:r>
    </w:p>
    <w:p w14:paraId="4F295C3F" w14:textId="2D7E78EF" w:rsidR="00CB4705" w:rsidRPr="00CB4705" w:rsidRDefault="00CB4705" w:rsidP="00CB4705">
      <w:pPr>
        <w:pStyle w:val="NormalWeb"/>
        <w:jc w:val="both"/>
        <w:rPr>
          <w:i/>
          <w:iCs/>
        </w:rPr>
      </w:pPr>
      <w:r>
        <w:rPr>
          <w:highlight w:val="yellow"/>
        </w:rPr>
        <w:t>The principal observations recorded were plant emergence (%), total tuber yield (t/ha), marketable tuber yield (t/ha), dry matter content (%), and biochemical components (Abong et al., 2010). Plant emergence was assessed 30 days after planting by counting emerged plants and calculating the percentage relative to the total number of tubers planted per plot. Total tuber yield was determined by weighing the entire harvest from each plot, whereas marketable yield was calculated by excluding undersized tubers and expressing the remaining weight as marketable yield per plot. Dry matter content (%) was estimated by collecting 200 g of fresh tubers from each replication at harvest, cutting them into small pieces, and drying them in a hot-air oven for 72 h. The dried samples were weighed using an electronic balance, and dry matter percentage was calculated for each clone and variety. Biochemical parameters, including zinc (Zn) and iron (Fe), were analysed using standard protocols in the CPB&amp;PHT Division laboratory, ICAR-CPRI, Shimla. Carotenoids, anthocyanins, and ascorbic acid were similarly quantified using established procedures in the Post-Harvest Technology Laboratory, ICAR-CPRI, Shimla.</w:t>
      </w:r>
    </w:p>
    <w:p w14:paraId="73B12F2A" w14:textId="0B12AC67" w:rsidR="002C2F49" w:rsidRPr="007E4B21" w:rsidRDefault="002C2F49" w:rsidP="002C2F49">
      <w:pPr>
        <w:jc w:val="both"/>
        <w:rPr>
          <w:rFonts w:ascii="Times New Roman" w:hAnsi="Times New Roman" w:cs="Times New Roman"/>
          <w:b/>
          <w:bCs/>
          <w:sz w:val="24"/>
          <w:szCs w:val="24"/>
        </w:rPr>
      </w:pPr>
      <w:r w:rsidRPr="007E4B21">
        <w:rPr>
          <w:rFonts w:ascii="Times New Roman" w:hAnsi="Times New Roman" w:cs="Times New Roman"/>
          <w:b/>
          <w:bCs/>
          <w:sz w:val="24"/>
          <w:szCs w:val="24"/>
        </w:rPr>
        <w:t>Formula</w:t>
      </w:r>
      <w:r w:rsidR="00742102">
        <w:rPr>
          <w:rFonts w:ascii="Times New Roman" w:hAnsi="Times New Roman" w:cs="Times New Roman"/>
          <w:b/>
          <w:bCs/>
          <w:sz w:val="24"/>
          <w:szCs w:val="24"/>
        </w:rPr>
        <w: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7"/>
        <w:gridCol w:w="423"/>
        <w:gridCol w:w="3970"/>
        <w:gridCol w:w="336"/>
        <w:gridCol w:w="1314"/>
      </w:tblGrid>
      <w:tr w:rsidR="002C2F49" w:rsidRPr="00E544E2" w14:paraId="77E8F533" w14:textId="77777777" w:rsidTr="002C2F49">
        <w:tc>
          <w:tcPr>
            <w:tcW w:w="3085" w:type="dxa"/>
            <w:vMerge w:val="restart"/>
            <w:vAlign w:val="center"/>
          </w:tcPr>
          <w:p w14:paraId="6F6B5371"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Plant Emergence (%)</w:t>
            </w:r>
          </w:p>
        </w:tc>
        <w:tc>
          <w:tcPr>
            <w:tcW w:w="425" w:type="dxa"/>
            <w:vMerge w:val="restart"/>
            <w:vAlign w:val="center"/>
          </w:tcPr>
          <w:p w14:paraId="036D198E"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w:t>
            </w:r>
          </w:p>
        </w:tc>
        <w:tc>
          <w:tcPr>
            <w:tcW w:w="4059" w:type="dxa"/>
            <w:tcBorders>
              <w:bottom w:val="single" w:sz="4" w:space="0" w:color="auto"/>
            </w:tcBorders>
          </w:tcPr>
          <w:p w14:paraId="0B7A07AC"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No. of plants germinated (30 DAP)</w:t>
            </w:r>
          </w:p>
        </w:tc>
        <w:tc>
          <w:tcPr>
            <w:tcW w:w="336" w:type="dxa"/>
            <w:vMerge w:val="restart"/>
            <w:vAlign w:val="center"/>
          </w:tcPr>
          <w:p w14:paraId="638515F8"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x</w:t>
            </w:r>
          </w:p>
        </w:tc>
        <w:tc>
          <w:tcPr>
            <w:tcW w:w="1338" w:type="dxa"/>
            <w:vMerge w:val="restart"/>
            <w:vAlign w:val="center"/>
          </w:tcPr>
          <w:p w14:paraId="03A8A5B0"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100</w:t>
            </w:r>
          </w:p>
        </w:tc>
      </w:tr>
      <w:tr w:rsidR="002C2F49" w:rsidRPr="00E544E2" w14:paraId="41F5E265" w14:textId="77777777" w:rsidTr="002C2F49">
        <w:tc>
          <w:tcPr>
            <w:tcW w:w="3085" w:type="dxa"/>
            <w:vMerge/>
          </w:tcPr>
          <w:p w14:paraId="3F13A26F" w14:textId="77777777" w:rsidR="002C2F49" w:rsidRPr="00E544E2" w:rsidRDefault="002C2F49" w:rsidP="002C2F49">
            <w:pPr>
              <w:jc w:val="both"/>
              <w:rPr>
                <w:rFonts w:ascii="Times New Roman" w:hAnsi="Times New Roman" w:cs="Times New Roman"/>
                <w:sz w:val="24"/>
                <w:szCs w:val="24"/>
              </w:rPr>
            </w:pPr>
          </w:p>
        </w:tc>
        <w:tc>
          <w:tcPr>
            <w:tcW w:w="425" w:type="dxa"/>
            <w:vMerge/>
          </w:tcPr>
          <w:p w14:paraId="6F4B4E5E" w14:textId="77777777" w:rsidR="002C2F49" w:rsidRPr="00E544E2" w:rsidRDefault="002C2F49" w:rsidP="002C2F49">
            <w:pPr>
              <w:jc w:val="both"/>
              <w:rPr>
                <w:rFonts w:ascii="Times New Roman" w:hAnsi="Times New Roman" w:cs="Times New Roman"/>
                <w:sz w:val="24"/>
                <w:szCs w:val="24"/>
              </w:rPr>
            </w:pPr>
          </w:p>
        </w:tc>
        <w:tc>
          <w:tcPr>
            <w:tcW w:w="4059" w:type="dxa"/>
            <w:tcBorders>
              <w:top w:val="single" w:sz="4" w:space="0" w:color="auto"/>
            </w:tcBorders>
          </w:tcPr>
          <w:p w14:paraId="370A6861"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No. of total tubers planted per plot</w:t>
            </w:r>
          </w:p>
        </w:tc>
        <w:tc>
          <w:tcPr>
            <w:tcW w:w="336" w:type="dxa"/>
            <w:vMerge/>
          </w:tcPr>
          <w:p w14:paraId="25533160" w14:textId="77777777" w:rsidR="002C2F49" w:rsidRPr="00E544E2" w:rsidRDefault="002C2F49" w:rsidP="002C2F49">
            <w:pPr>
              <w:jc w:val="both"/>
              <w:rPr>
                <w:rFonts w:ascii="Times New Roman" w:hAnsi="Times New Roman" w:cs="Times New Roman"/>
                <w:sz w:val="24"/>
                <w:szCs w:val="24"/>
              </w:rPr>
            </w:pPr>
          </w:p>
        </w:tc>
        <w:tc>
          <w:tcPr>
            <w:tcW w:w="1338" w:type="dxa"/>
            <w:vMerge/>
          </w:tcPr>
          <w:p w14:paraId="0399E514" w14:textId="77777777" w:rsidR="002C2F49" w:rsidRPr="00E544E2" w:rsidRDefault="002C2F49" w:rsidP="002C2F49">
            <w:pPr>
              <w:jc w:val="both"/>
              <w:rPr>
                <w:rFonts w:ascii="Times New Roman" w:hAnsi="Times New Roman" w:cs="Times New Roman"/>
                <w:sz w:val="24"/>
                <w:szCs w:val="24"/>
              </w:rPr>
            </w:pPr>
          </w:p>
        </w:tc>
      </w:tr>
    </w:tbl>
    <w:p w14:paraId="10FB0407" w14:textId="77777777" w:rsidR="002C2F49" w:rsidRPr="00E544E2" w:rsidRDefault="002C2F49" w:rsidP="002C2F49">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7"/>
        <w:gridCol w:w="423"/>
        <w:gridCol w:w="3972"/>
        <w:gridCol w:w="336"/>
        <w:gridCol w:w="1322"/>
      </w:tblGrid>
      <w:tr w:rsidR="002C2F49" w:rsidRPr="00E544E2" w14:paraId="2A495574" w14:textId="77777777" w:rsidTr="002C2F49">
        <w:tc>
          <w:tcPr>
            <w:tcW w:w="3085" w:type="dxa"/>
            <w:vMerge w:val="restart"/>
            <w:vAlign w:val="center"/>
          </w:tcPr>
          <w:p w14:paraId="08D63106"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Total Tuber yield (t/ha)</w:t>
            </w:r>
          </w:p>
        </w:tc>
        <w:tc>
          <w:tcPr>
            <w:tcW w:w="425" w:type="dxa"/>
            <w:vMerge w:val="restart"/>
            <w:vAlign w:val="center"/>
          </w:tcPr>
          <w:p w14:paraId="1C237AAA"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w:t>
            </w:r>
          </w:p>
        </w:tc>
        <w:tc>
          <w:tcPr>
            <w:tcW w:w="4059" w:type="dxa"/>
            <w:tcBorders>
              <w:bottom w:val="single" w:sz="4" w:space="0" w:color="auto"/>
            </w:tcBorders>
          </w:tcPr>
          <w:p w14:paraId="18258A2D" w14:textId="59C636C9"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 xml:space="preserve">Weight of the </w:t>
            </w:r>
            <w:r w:rsidR="00117EDB">
              <w:rPr>
                <w:rFonts w:ascii="Times New Roman" w:hAnsi="Times New Roman" w:cs="Times New Roman"/>
                <w:sz w:val="24"/>
                <w:szCs w:val="24"/>
              </w:rPr>
              <w:t xml:space="preserve">harvested </w:t>
            </w:r>
            <w:r w:rsidRPr="00E544E2">
              <w:rPr>
                <w:rFonts w:ascii="Times New Roman" w:hAnsi="Times New Roman" w:cs="Times New Roman"/>
                <w:sz w:val="24"/>
                <w:szCs w:val="24"/>
              </w:rPr>
              <w:t>total tubers per plot (kg)</w:t>
            </w:r>
          </w:p>
        </w:tc>
        <w:tc>
          <w:tcPr>
            <w:tcW w:w="336" w:type="dxa"/>
            <w:vMerge w:val="restart"/>
            <w:vAlign w:val="center"/>
          </w:tcPr>
          <w:p w14:paraId="73329F96"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x</w:t>
            </w:r>
          </w:p>
        </w:tc>
        <w:tc>
          <w:tcPr>
            <w:tcW w:w="1338" w:type="dxa"/>
            <w:vMerge w:val="restart"/>
            <w:vAlign w:val="center"/>
          </w:tcPr>
          <w:p w14:paraId="78212304"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10000</w:t>
            </w:r>
          </w:p>
        </w:tc>
      </w:tr>
      <w:tr w:rsidR="002C2F49" w:rsidRPr="00E544E2" w14:paraId="3362B585" w14:textId="77777777" w:rsidTr="002C2F49">
        <w:tc>
          <w:tcPr>
            <w:tcW w:w="3085" w:type="dxa"/>
            <w:vMerge/>
          </w:tcPr>
          <w:p w14:paraId="5A600680" w14:textId="77777777" w:rsidR="002C2F49" w:rsidRPr="00E544E2" w:rsidRDefault="002C2F49" w:rsidP="002C2F49">
            <w:pPr>
              <w:jc w:val="both"/>
              <w:rPr>
                <w:rFonts w:ascii="Times New Roman" w:hAnsi="Times New Roman" w:cs="Times New Roman"/>
                <w:sz w:val="24"/>
                <w:szCs w:val="24"/>
              </w:rPr>
            </w:pPr>
          </w:p>
        </w:tc>
        <w:tc>
          <w:tcPr>
            <w:tcW w:w="425" w:type="dxa"/>
            <w:vMerge/>
          </w:tcPr>
          <w:p w14:paraId="30E641A8" w14:textId="77777777" w:rsidR="002C2F49" w:rsidRPr="00E544E2" w:rsidRDefault="002C2F49" w:rsidP="002C2F49">
            <w:pPr>
              <w:jc w:val="both"/>
              <w:rPr>
                <w:rFonts w:ascii="Times New Roman" w:hAnsi="Times New Roman" w:cs="Times New Roman"/>
                <w:sz w:val="24"/>
                <w:szCs w:val="24"/>
              </w:rPr>
            </w:pPr>
          </w:p>
        </w:tc>
        <w:tc>
          <w:tcPr>
            <w:tcW w:w="4059" w:type="dxa"/>
            <w:tcBorders>
              <w:top w:val="single" w:sz="4" w:space="0" w:color="auto"/>
            </w:tcBorders>
          </w:tcPr>
          <w:p w14:paraId="0C7185C1"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Area of the plot (m</w:t>
            </w:r>
            <w:r w:rsidRPr="00E544E2">
              <w:rPr>
                <w:rFonts w:ascii="Times New Roman" w:hAnsi="Times New Roman" w:cs="Times New Roman"/>
                <w:sz w:val="24"/>
                <w:szCs w:val="24"/>
                <w:vertAlign w:val="superscript"/>
              </w:rPr>
              <w:t>2</w:t>
            </w:r>
            <w:r w:rsidRPr="00E544E2">
              <w:rPr>
                <w:rFonts w:ascii="Times New Roman" w:hAnsi="Times New Roman" w:cs="Times New Roman"/>
                <w:sz w:val="24"/>
                <w:szCs w:val="24"/>
              </w:rPr>
              <w:t>)</w:t>
            </w:r>
          </w:p>
        </w:tc>
        <w:tc>
          <w:tcPr>
            <w:tcW w:w="336" w:type="dxa"/>
            <w:vMerge/>
          </w:tcPr>
          <w:p w14:paraId="7A24E7AB" w14:textId="77777777" w:rsidR="002C2F49" w:rsidRPr="00E544E2" w:rsidRDefault="002C2F49" w:rsidP="002C2F49">
            <w:pPr>
              <w:jc w:val="both"/>
              <w:rPr>
                <w:rFonts w:ascii="Times New Roman" w:hAnsi="Times New Roman" w:cs="Times New Roman"/>
                <w:sz w:val="24"/>
                <w:szCs w:val="24"/>
              </w:rPr>
            </w:pPr>
          </w:p>
        </w:tc>
        <w:tc>
          <w:tcPr>
            <w:tcW w:w="1338" w:type="dxa"/>
            <w:vMerge/>
          </w:tcPr>
          <w:p w14:paraId="74D891EA" w14:textId="77777777" w:rsidR="002C2F49" w:rsidRPr="00E544E2" w:rsidRDefault="002C2F49" w:rsidP="002C2F49">
            <w:pPr>
              <w:jc w:val="both"/>
              <w:rPr>
                <w:rFonts w:ascii="Times New Roman" w:hAnsi="Times New Roman" w:cs="Times New Roman"/>
                <w:sz w:val="24"/>
                <w:szCs w:val="24"/>
              </w:rPr>
            </w:pPr>
          </w:p>
        </w:tc>
      </w:tr>
    </w:tbl>
    <w:p w14:paraId="6CDA7E5D" w14:textId="77777777" w:rsidR="002C2F49" w:rsidRPr="00E544E2" w:rsidRDefault="002C2F49" w:rsidP="002C2F49">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425"/>
        <w:gridCol w:w="4045"/>
        <w:gridCol w:w="350"/>
        <w:gridCol w:w="1338"/>
      </w:tblGrid>
      <w:tr w:rsidR="002C2F49" w:rsidRPr="00E544E2" w14:paraId="4FF885A6" w14:textId="77777777" w:rsidTr="002C2F49">
        <w:tc>
          <w:tcPr>
            <w:tcW w:w="3085" w:type="dxa"/>
            <w:vAlign w:val="center"/>
          </w:tcPr>
          <w:p w14:paraId="152EA7D4" w14:textId="77777777" w:rsidR="002C2F49" w:rsidRPr="00E544E2" w:rsidRDefault="002C2F49" w:rsidP="002C2F49">
            <w:pPr>
              <w:jc w:val="both"/>
              <w:rPr>
                <w:rFonts w:ascii="Times New Roman" w:hAnsi="Times New Roman" w:cs="Times New Roman"/>
                <w:sz w:val="24"/>
                <w:szCs w:val="24"/>
              </w:rPr>
            </w:pPr>
          </w:p>
        </w:tc>
        <w:tc>
          <w:tcPr>
            <w:tcW w:w="425" w:type="dxa"/>
            <w:vAlign w:val="center"/>
          </w:tcPr>
          <w:p w14:paraId="39E9352D" w14:textId="77777777" w:rsidR="002C2F49" w:rsidRPr="00E544E2" w:rsidRDefault="002C2F49" w:rsidP="002C2F49">
            <w:pPr>
              <w:jc w:val="both"/>
              <w:rPr>
                <w:rFonts w:ascii="Times New Roman" w:hAnsi="Times New Roman" w:cs="Times New Roman"/>
                <w:sz w:val="24"/>
                <w:szCs w:val="24"/>
              </w:rPr>
            </w:pPr>
          </w:p>
        </w:tc>
        <w:tc>
          <w:tcPr>
            <w:tcW w:w="4045" w:type="dxa"/>
          </w:tcPr>
          <w:p w14:paraId="42A9CBED" w14:textId="38346E3D"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 xml:space="preserve">Total </w:t>
            </w:r>
            <w:r w:rsidR="001245AF">
              <w:rPr>
                <w:rFonts w:ascii="Times New Roman" w:hAnsi="Times New Roman" w:cs="Times New Roman"/>
                <w:sz w:val="24"/>
                <w:szCs w:val="24"/>
              </w:rPr>
              <w:t xml:space="preserve">tuber </w:t>
            </w:r>
            <w:r w:rsidRPr="00E544E2">
              <w:rPr>
                <w:rFonts w:ascii="Times New Roman" w:hAnsi="Times New Roman" w:cs="Times New Roman"/>
                <w:sz w:val="24"/>
                <w:szCs w:val="24"/>
              </w:rPr>
              <w:t>wt. (kg)</w:t>
            </w:r>
            <w:r w:rsidR="001245AF">
              <w:rPr>
                <w:rFonts w:ascii="Times New Roman" w:hAnsi="Times New Roman" w:cs="Times New Roman"/>
                <w:sz w:val="24"/>
                <w:szCs w:val="24"/>
              </w:rPr>
              <w:t xml:space="preserve"> per plot</w:t>
            </w:r>
            <w:r w:rsidRPr="00E544E2">
              <w:rPr>
                <w:rFonts w:ascii="Times New Roman" w:hAnsi="Times New Roman" w:cs="Times New Roman"/>
                <w:sz w:val="24"/>
                <w:szCs w:val="24"/>
              </w:rPr>
              <w:t xml:space="preserve"> –</w:t>
            </w:r>
          </w:p>
        </w:tc>
        <w:tc>
          <w:tcPr>
            <w:tcW w:w="350" w:type="dxa"/>
            <w:vAlign w:val="center"/>
          </w:tcPr>
          <w:p w14:paraId="07010F01" w14:textId="77777777" w:rsidR="002C2F49" w:rsidRPr="00E544E2" w:rsidRDefault="002C2F49" w:rsidP="002C2F49">
            <w:pPr>
              <w:jc w:val="both"/>
              <w:rPr>
                <w:rFonts w:ascii="Times New Roman" w:hAnsi="Times New Roman" w:cs="Times New Roman"/>
                <w:sz w:val="24"/>
                <w:szCs w:val="24"/>
              </w:rPr>
            </w:pPr>
          </w:p>
        </w:tc>
        <w:tc>
          <w:tcPr>
            <w:tcW w:w="1338" w:type="dxa"/>
            <w:vAlign w:val="center"/>
          </w:tcPr>
          <w:p w14:paraId="4EA94CEA" w14:textId="77777777" w:rsidR="002C2F49" w:rsidRPr="00E544E2" w:rsidRDefault="002C2F49" w:rsidP="002C2F49">
            <w:pPr>
              <w:jc w:val="both"/>
              <w:rPr>
                <w:rFonts w:ascii="Times New Roman" w:hAnsi="Times New Roman" w:cs="Times New Roman"/>
                <w:sz w:val="24"/>
                <w:szCs w:val="24"/>
              </w:rPr>
            </w:pPr>
          </w:p>
        </w:tc>
      </w:tr>
      <w:tr w:rsidR="002C2F49" w:rsidRPr="00E544E2" w14:paraId="321980F8" w14:textId="77777777" w:rsidTr="002C2F49">
        <w:tc>
          <w:tcPr>
            <w:tcW w:w="3085" w:type="dxa"/>
            <w:vMerge w:val="restart"/>
            <w:vAlign w:val="center"/>
          </w:tcPr>
          <w:p w14:paraId="0C2C0694"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Marketable Tuber yield (t/ha)</w:t>
            </w:r>
          </w:p>
        </w:tc>
        <w:tc>
          <w:tcPr>
            <w:tcW w:w="425" w:type="dxa"/>
            <w:vMerge w:val="restart"/>
            <w:vAlign w:val="center"/>
          </w:tcPr>
          <w:p w14:paraId="10050401"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w:t>
            </w:r>
          </w:p>
        </w:tc>
        <w:tc>
          <w:tcPr>
            <w:tcW w:w="4045" w:type="dxa"/>
            <w:tcBorders>
              <w:bottom w:val="single" w:sz="4" w:space="0" w:color="auto"/>
            </w:tcBorders>
          </w:tcPr>
          <w:p w14:paraId="2B776299" w14:textId="66BCBDB6"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 xml:space="preserve">wt. of </w:t>
            </w:r>
            <w:r w:rsidR="001245AF">
              <w:rPr>
                <w:rFonts w:ascii="Times New Roman" w:hAnsi="Times New Roman" w:cs="Times New Roman"/>
                <w:sz w:val="24"/>
                <w:szCs w:val="24"/>
              </w:rPr>
              <w:t>mini</w:t>
            </w:r>
            <w:r w:rsidRPr="00E544E2">
              <w:rPr>
                <w:rFonts w:ascii="Times New Roman" w:hAnsi="Times New Roman" w:cs="Times New Roman"/>
                <w:sz w:val="24"/>
                <w:szCs w:val="24"/>
              </w:rPr>
              <w:t xml:space="preserve"> tubers per plot (kg)</w:t>
            </w:r>
          </w:p>
        </w:tc>
        <w:tc>
          <w:tcPr>
            <w:tcW w:w="350" w:type="dxa"/>
            <w:vMerge w:val="restart"/>
            <w:vAlign w:val="center"/>
          </w:tcPr>
          <w:p w14:paraId="1E0E3EF5"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x</w:t>
            </w:r>
          </w:p>
        </w:tc>
        <w:tc>
          <w:tcPr>
            <w:tcW w:w="1338" w:type="dxa"/>
            <w:vMerge w:val="restart"/>
            <w:vAlign w:val="center"/>
          </w:tcPr>
          <w:p w14:paraId="2391F966"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10000</w:t>
            </w:r>
          </w:p>
        </w:tc>
      </w:tr>
      <w:tr w:rsidR="002C2F49" w:rsidRPr="00E544E2" w14:paraId="22E83E59" w14:textId="77777777" w:rsidTr="002C2F49">
        <w:tc>
          <w:tcPr>
            <w:tcW w:w="3085" w:type="dxa"/>
            <w:vMerge/>
          </w:tcPr>
          <w:p w14:paraId="17756571" w14:textId="77777777" w:rsidR="002C2F49" w:rsidRPr="00E544E2" w:rsidRDefault="002C2F49" w:rsidP="002C2F49">
            <w:pPr>
              <w:jc w:val="both"/>
              <w:rPr>
                <w:rFonts w:ascii="Times New Roman" w:hAnsi="Times New Roman" w:cs="Times New Roman"/>
                <w:sz w:val="24"/>
                <w:szCs w:val="24"/>
              </w:rPr>
            </w:pPr>
          </w:p>
        </w:tc>
        <w:tc>
          <w:tcPr>
            <w:tcW w:w="425" w:type="dxa"/>
            <w:vMerge/>
          </w:tcPr>
          <w:p w14:paraId="0DC14E23" w14:textId="77777777" w:rsidR="002C2F49" w:rsidRPr="00E544E2" w:rsidRDefault="002C2F49" w:rsidP="002C2F49">
            <w:pPr>
              <w:jc w:val="both"/>
              <w:rPr>
                <w:rFonts w:ascii="Times New Roman" w:hAnsi="Times New Roman" w:cs="Times New Roman"/>
                <w:sz w:val="24"/>
                <w:szCs w:val="24"/>
              </w:rPr>
            </w:pPr>
          </w:p>
        </w:tc>
        <w:tc>
          <w:tcPr>
            <w:tcW w:w="4045" w:type="dxa"/>
            <w:tcBorders>
              <w:top w:val="single" w:sz="4" w:space="0" w:color="auto"/>
            </w:tcBorders>
          </w:tcPr>
          <w:p w14:paraId="4BDF3D07"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Area of the plot (m</w:t>
            </w:r>
            <w:r w:rsidRPr="00E544E2">
              <w:rPr>
                <w:rFonts w:ascii="Times New Roman" w:hAnsi="Times New Roman" w:cs="Times New Roman"/>
                <w:sz w:val="24"/>
                <w:szCs w:val="24"/>
                <w:vertAlign w:val="superscript"/>
              </w:rPr>
              <w:t>2</w:t>
            </w:r>
            <w:r w:rsidRPr="00E544E2">
              <w:rPr>
                <w:rFonts w:ascii="Times New Roman" w:hAnsi="Times New Roman" w:cs="Times New Roman"/>
                <w:sz w:val="24"/>
                <w:szCs w:val="24"/>
              </w:rPr>
              <w:t>)</w:t>
            </w:r>
          </w:p>
        </w:tc>
        <w:tc>
          <w:tcPr>
            <w:tcW w:w="350" w:type="dxa"/>
            <w:vMerge/>
          </w:tcPr>
          <w:p w14:paraId="4E3504BE" w14:textId="77777777" w:rsidR="002C2F49" w:rsidRPr="00E544E2" w:rsidRDefault="002C2F49" w:rsidP="002C2F49">
            <w:pPr>
              <w:jc w:val="both"/>
              <w:rPr>
                <w:rFonts w:ascii="Times New Roman" w:hAnsi="Times New Roman" w:cs="Times New Roman"/>
                <w:sz w:val="24"/>
                <w:szCs w:val="24"/>
              </w:rPr>
            </w:pPr>
          </w:p>
        </w:tc>
        <w:tc>
          <w:tcPr>
            <w:tcW w:w="1338" w:type="dxa"/>
            <w:vMerge/>
          </w:tcPr>
          <w:p w14:paraId="6303C6A3" w14:textId="77777777" w:rsidR="002C2F49" w:rsidRPr="00E544E2" w:rsidRDefault="002C2F49" w:rsidP="002C2F49">
            <w:pPr>
              <w:jc w:val="both"/>
              <w:rPr>
                <w:rFonts w:ascii="Times New Roman" w:hAnsi="Times New Roman" w:cs="Times New Roman"/>
                <w:sz w:val="24"/>
                <w:szCs w:val="24"/>
              </w:rPr>
            </w:pPr>
          </w:p>
        </w:tc>
      </w:tr>
    </w:tbl>
    <w:p w14:paraId="42AC9BB9" w14:textId="77777777" w:rsidR="002C2F49" w:rsidRPr="00E544E2" w:rsidRDefault="002C2F49" w:rsidP="002C2F49">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423"/>
        <w:gridCol w:w="3972"/>
        <w:gridCol w:w="336"/>
        <w:gridCol w:w="1317"/>
      </w:tblGrid>
      <w:tr w:rsidR="002C2F49" w:rsidRPr="00E544E2" w14:paraId="7FF39C04" w14:textId="77777777" w:rsidTr="002C2F49">
        <w:tc>
          <w:tcPr>
            <w:tcW w:w="3085" w:type="dxa"/>
            <w:vMerge w:val="restart"/>
            <w:vAlign w:val="center"/>
          </w:tcPr>
          <w:p w14:paraId="72DED54E"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Dry matter (%)</w:t>
            </w:r>
          </w:p>
        </w:tc>
        <w:tc>
          <w:tcPr>
            <w:tcW w:w="425" w:type="dxa"/>
            <w:vMerge w:val="restart"/>
            <w:vAlign w:val="center"/>
          </w:tcPr>
          <w:p w14:paraId="69AA0E04"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w:t>
            </w:r>
          </w:p>
        </w:tc>
        <w:tc>
          <w:tcPr>
            <w:tcW w:w="4059" w:type="dxa"/>
            <w:tcBorders>
              <w:bottom w:val="single" w:sz="4" w:space="0" w:color="auto"/>
            </w:tcBorders>
          </w:tcPr>
          <w:p w14:paraId="3BE892E2" w14:textId="5802EEDD"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 xml:space="preserve">Weight of the </w:t>
            </w:r>
            <w:r w:rsidR="001245AF">
              <w:rPr>
                <w:rFonts w:ascii="Times New Roman" w:hAnsi="Times New Roman" w:cs="Times New Roman"/>
                <w:sz w:val="24"/>
                <w:szCs w:val="24"/>
              </w:rPr>
              <w:t>sliced</w:t>
            </w:r>
            <w:r w:rsidR="00117EDB">
              <w:rPr>
                <w:rFonts w:ascii="Times New Roman" w:hAnsi="Times New Roman" w:cs="Times New Roman"/>
                <w:sz w:val="24"/>
                <w:szCs w:val="24"/>
              </w:rPr>
              <w:t>,</w:t>
            </w:r>
            <w:r w:rsidRPr="00E544E2">
              <w:rPr>
                <w:rFonts w:ascii="Times New Roman" w:hAnsi="Times New Roman" w:cs="Times New Roman"/>
                <w:sz w:val="24"/>
                <w:szCs w:val="24"/>
              </w:rPr>
              <w:t xml:space="preserve"> oven</w:t>
            </w:r>
            <w:r w:rsidR="001245AF">
              <w:rPr>
                <w:rFonts w:ascii="Times New Roman" w:hAnsi="Times New Roman" w:cs="Times New Roman"/>
                <w:sz w:val="24"/>
                <w:szCs w:val="24"/>
              </w:rPr>
              <w:t xml:space="preserve"> and shade </w:t>
            </w:r>
            <w:r w:rsidRPr="00E544E2">
              <w:rPr>
                <w:rFonts w:ascii="Times New Roman" w:hAnsi="Times New Roman" w:cs="Times New Roman"/>
                <w:sz w:val="24"/>
                <w:szCs w:val="24"/>
              </w:rPr>
              <w:t xml:space="preserve">dried potato   </w:t>
            </w:r>
          </w:p>
        </w:tc>
        <w:tc>
          <w:tcPr>
            <w:tcW w:w="336" w:type="dxa"/>
            <w:vMerge w:val="restart"/>
            <w:vAlign w:val="center"/>
          </w:tcPr>
          <w:p w14:paraId="6457C35D"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x</w:t>
            </w:r>
          </w:p>
        </w:tc>
        <w:tc>
          <w:tcPr>
            <w:tcW w:w="1338" w:type="dxa"/>
            <w:vMerge w:val="restart"/>
            <w:vAlign w:val="center"/>
          </w:tcPr>
          <w:p w14:paraId="15EEA9C5"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100</w:t>
            </w:r>
          </w:p>
        </w:tc>
      </w:tr>
      <w:tr w:rsidR="002C2F49" w:rsidRPr="00E544E2" w14:paraId="062DFA86" w14:textId="77777777" w:rsidTr="002C2F49">
        <w:tc>
          <w:tcPr>
            <w:tcW w:w="3085" w:type="dxa"/>
            <w:vMerge/>
          </w:tcPr>
          <w:p w14:paraId="3FB54129" w14:textId="77777777" w:rsidR="002C2F49" w:rsidRPr="00E544E2" w:rsidRDefault="002C2F49" w:rsidP="002C2F49">
            <w:pPr>
              <w:jc w:val="both"/>
              <w:rPr>
                <w:rFonts w:ascii="Times New Roman" w:hAnsi="Times New Roman" w:cs="Times New Roman"/>
                <w:sz w:val="24"/>
                <w:szCs w:val="24"/>
              </w:rPr>
            </w:pPr>
          </w:p>
        </w:tc>
        <w:tc>
          <w:tcPr>
            <w:tcW w:w="425" w:type="dxa"/>
            <w:vMerge/>
          </w:tcPr>
          <w:p w14:paraId="2791978A" w14:textId="77777777" w:rsidR="002C2F49" w:rsidRPr="00E544E2" w:rsidRDefault="002C2F49" w:rsidP="002C2F49">
            <w:pPr>
              <w:jc w:val="both"/>
              <w:rPr>
                <w:rFonts w:ascii="Times New Roman" w:hAnsi="Times New Roman" w:cs="Times New Roman"/>
                <w:sz w:val="24"/>
                <w:szCs w:val="24"/>
              </w:rPr>
            </w:pPr>
          </w:p>
        </w:tc>
        <w:tc>
          <w:tcPr>
            <w:tcW w:w="4059" w:type="dxa"/>
            <w:tcBorders>
              <w:top w:val="single" w:sz="4" w:space="0" w:color="auto"/>
            </w:tcBorders>
          </w:tcPr>
          <w:p w14:paraId="176F5437"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fresh weight of the potato</w:t>
            </w:r>
          </w:p>
        </w:tc>
        <w:tc>
          <w:tcPr>
            <w:tcW w:w="336" w:type="dxa"/>
            <w:vMerge/>
          </w:tcPr>
          <w:p w14:paraId="24FE759C" w14:textId="77777777" w:rsidR="002C2F49" w:rsidRPr="00E544E2" w:rsidRDefault="002C2F49" w:rsidP="002C2F49">
            <w:pPr>
              <w:jc w:val="both"/>
              <w:rPr>
                <w:rFonts w:ascii="Times New Roman" w:hAnsi="Times New Roman" w:cs="Times New Roman"/>
                <w:sz w:val="24"/>
                <w:szCs w:val="24"/>
              </w:rPr>
            </w:pPr>
          </w:p>
        </w:tc>
        <w:tc>
          <w:tcPr>
            <w:tcW w:w="1338" w:type="dxa"/>
            <w:vMerge/>
          </w:tcPr>
          <w:p w14:paraId="50F29AEB" w14:textId="77777777" w:rsidR="002C2F49" w:rsidRPr="00E544E2" w:rsidRDefault="002C2F49" w:rsidP="002C2F49">
            <w:pPr>
              <w:jc w:val="both"/>
              <w:rPr>
                <w:rFonts w:ascii="Times New Roman" w:hAnsi="Times New Roman" w:cs="Times New Roman"/>
                <w:sz w:val="24"/>
                <w:szCs w:val="24"/>
              </w:rPr>
            </w:pPr>
          </w:p>
        </w:tc>
      </w:tr>
    </w:tbl>
    <w:p w14:paraId="23B5F4F5" w14:textId="77777777" w:rsidR="007E4B21" w:rsidRDefault="007E4B21" w:rsidP="008A1AB0">
      <w:pPr>
        <w:spacing w:after="0" w:line="240" w:lineRule="auto"/>
        <w:jc w:val="both"/>
        <w:rPr>
          <w:rFonts w:ascii="Times New Roman" w:hAnsi="Times New Roman" w:cs="Times New Roman"/>
          <w:b/>
          <w:bCs/>
          <w:sz w:val="24"/>
          <w:szCs w:val="24"/>
          <w:u w:val="single"/>
        </w:rPr>
      </w:pPr>
    </w:p>
    <w:p w14:paraId="16832423" w14:textId="65FD6353" w:rsidR="002C2F49" w:rsidRPr="001245AF" w:rsidRDefault="002C2F49" w:rsidP="007E4B21">
      <w:pPr>
        <w:spacing w:after="0" w:line="240" w:lineRule="auto"/>
        <w:ind w:left="851" w:hanging="851"/>
        <w:jc w:val="both"/>
        <w:rPr>
          <w:rFonts w:ascii="Times New Roman" w:hAnsi="Times New Roman" w:cs="Times New Roman"/>
          <w:b/>
          <w:bCs/>
          <w:sz w:val="24"/>
          <w:szCs w:val="24"/>
        </w:rPr>
      </w:pPr>
      <w:r>
        <w:rPr>
          <w:rFonts w:ascii="Times New Roman" w:eastAsia="Times New Roman" w:hAnsi="Times New Roman"/>
          <w:b/>
          <w:sz w:val="24"/>
          <w:highlight w:val="yellow"/>
        </w:rPr>
        <w:t>Results and Discussion</w:t>
      </w:r>
    </w:p>
    <w:p w14:paraId="400E10FB" w14:textId="77777777" w:rsidR="007E4B21" w:rsidRPr="00E544E2" w:rsidRDefault="007E4B21" w:rsidP="007E4B21">
      <w:pPr>
        <w:spacing w:after="0" w:line="240" w:lineRule="auto"/>
        <w:ind w:left="851" w:hanging="851"/>
        <w:jc w:val="both"/>
        <w:rPr>
          <w:rFonts w:ascii="Times New Roman" w:hAnsi="Times New Roman" w:cs="Times New Roman"/>
          <w:b/>
          <w:bCs/>
          <w:sz w:val="24"/>
          <w:szCs w:val="24"/>
          <w:u w:val="single"/>
        </w:rPr>
      </w:pPr>
    </w:p>
    <w:p w14:paraId="76AE44D9" w14:textId="1DE426EE" w:rsidR="002C2F49" w:rsidRDefault="001245AF" w:rsidP="007E4B21">
      <w:pPr>
        <w:spacing w:after="0" w:line="240" w:lineRule="auto"/>
        <w:ind w:left="851" w:hanging="851"/>
        <w:jc w:val="both"/>
        <w:rPr>
          <w:rFonts w:ascii="Times New Roman" w:hAnsi="Times New Roman" w:cs="Times New Roman"/>
          <w:b/>
          <w:bCs/>
          <w:sz w:val="24"/>
          <w:szCs w:val="24"/>
        </w:rPr>
      </w:pPr>
      <w:r>
        <w:rPr>
          <w:rFonts w:ascii="Times New Roman" w:hAnsi="Times New Roman" w:cs="Times New Roman"/>
          <w:b/>
          <w:bCs/>
          <w:sz w:val="24"/>
          <w:szCs w:val="24"/>
        </w:rPr>
        <w:t xml:space="preserve">3.1 </w:t>
      </w:r>
      <w:r w:rsidRPr="001245AF">
        <w:rPr>
          <w:rFonts w:ascii="Times New Roman" w:hAnsi="Times New Roman" w:cs="Times New Roman"/>
          <w:b/>
          <w:bCs/>
          <w:sz w:val="24"/>
          <w:szCs w:val="24"/>
        </w:rPr>
        <w:t>Statistical Analysis and Interpretation of Results</w:t>
      </w:r>
    </w:p>
    <w:p w14:paraId="36C9F967" w14:textId="77777777" w:rsidR="00CC6D18" w:rsidRDefault="00CC6D18" w:rsidP="007E4B21">
      <w:pPr>
        <w:spacing w:after="0" w:line="240" w:lineRule="auto"/>
        <w:ind w:left="851" w:hanging="851"/>
        <w:jc w:val="both"/>
        <w:rPr>
          <w:rFonts w:ascii="Times New Roman" w:hAnsi="Times New Roman" w:cs="Times New Roman"/>
          <w:b/>
          <w:bCs/>
          <w:sz w:val="24"/>
          <w:szCs w:val="24"/>
        </w:rPr>
      </w:pPr>
    </w:p>
    <w:p w14:paraId="21FFA82B" w14:textId="7137FBEE" w:rsidR="001245AF" w:rsidRPr="00E544E2" w:rsidRDefault="00CC6D18" w:rsidP="00CC6D18">
      <w:pPr>
        <w:spacing w:after="0" w:line="240" w:lineRule="auto"/>
        <w:ind w:left="851" w:hanging="851"/>
        <w:jc w:val="both"/>
        <w:rPr>
          <w:rFonts w:ascii="Times New Roman" w:hAnsi="Times New Roman" w:cs="Times New Roman"/>
          <w:b/>
          <w:bCs/>
          <w:sz w:val="24"/>
          <w:szCs w:val="24"/>
        </w:rPr>
      </w:pPr>
      <w:r>
        <w:rPr>
          <w:rFonts w:ascii="Times New Roman" w:eastAsia="Times New Roman" w:hAnsi="Times New Roman"/>
          <w:b/>
          <w:sz w:val="24"/>
          <w:highlight w:val="yellow"/>
        </w:rPr>
        <w:t>1. Plant Emergence (%)</w:t>
      </w:r>
    </w:p>
    <w:p w14:paraId="44FDB8C9" w14:textId="63289F6A" w:rsidR="002C2F49" w:rsidRDefault="001245AF" w:rsidP="00E57160">
      <w:pPr>
        <w:pStyle w:val="BodyTextIndent"/>
        <w:rPr>
          <w:rFonts w:eastAsia="Times New Roman"/>
        </w:rPr>
      </w:pPr>
      <w:r>
        <w:rPr>
          <w:rFonts w:eastAsia="Times New Roman"/>
          <w:highlight w:val="yellow"/>
        </w:rPr>
        <w:t>Plant emergence was assessed 30 days after planting (Table 1). In the 75-day crop, emergence ranged from 72.22% in clone PS/19-43 to 85.56% in clone PS/19-12. In the 90-day crop, emergence ranged from 65.0% in PS/19-26 to 85.0% in PS/19-50, indicating variation in establishment among the evaluated clones.</w:t>
      </w:r>
    </w:p>
    <w:p w14:paraId="346C2BF7" w14:textId="77777777" w:rsidR="00E57160" w:rsidRPr="00E544E2" w:rsidRDefault="00E57160" w:rsidP="00E57160">
      <w:pPr>
        <w:pStyle w:val="BodyTextIndent"/>
        <w:rPr>
          <w:b/>
          <w:bCs/>
        </w:rPr>
      </w:pPr>
    </w:p>
    <w:tbl>
      <w:tblPr>
        <w:tblpPr w:leftFromText="180" w:rightFromText="180" w:vertAnchor="text" w:tblpX="324" w:tblpY="1"/>
        <w:tblOverlap w:val="neve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105"/>
        <w:gridCol w:w="1021"/>
        <w:gridCol w:w="255"/>
        <w:gridCol w:w="5488"/>
      </w:tblGrid>
      <w:tr w:rsidR="002C2F49" w:rsidRPr="00E544E2" w14:paraId="7E4E15BD" w14:textId="77777777" w:rsidTr="00CC6D18">
        <w:trPr>
          <w:trHeight w:val="245"/>
        </w:trPr>
        <w:tc>
          <w:tcPr>
            <w:tcW w:w="1271" w:type="dxa"/>
            <w:vMerge w:val="restart"/>
            <w:noWrap/>
            <w:vAlign w:val="center"/>
            <w:hideMark/>
          </w:tcPr>
          <w:p w14:paraId="54A6D979" w14:textId="77777777" w:rsidR="002C2F49" w:rsidRPr="00E544E2" w:rsidRDefault="002C2F49" w:rsidP="007E4B21">
            <w:pPr>
              <w:spacing w:after="0" w:line="240" w:lineRule="auto"/>
              <w:jc w:val="both"/>
              <w:rPr>
                <w:rFonts w:ascii="Times New Roman" w:hAnsi="Times New Roman" w:cs="Times New Roman"/>
                <w:b/>
                <w:bCs/>
                <w:sz w:val="24"/>
                <w:szCs w:val="24"/>
              </w:rPr>
            </w:pPr>
            <w:r w:rsidRPr="00E544E2">
              <w:rPr>
                <w:rFonts w:ascii="Times New Roman" w:hAnsi="Times New Roman" w:cs="Times New Roman"/>
                <w:sz w:val="24"/>
                <w:szCs w:val="24"/>
              </w:rPr>
              <w:t>Advanced clones /Varieties</w:t>
            </w:r>
          </w:p>
        </w:tc>
        <w:tc>
          <w:tcPr>
            <w:tcW w:w="2126" w:type="dxa"/>
            <w:gridSpan w:val="2"/>
            <w:noWrap/>
            <w:vAlign w:val="bottom"/>
            <w:hideMark/>
          </w:tcPr>
          <w:p w14:paraId="1FF1EAB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Emergence (%)</w:t>
            </w:r>
          </w:p>
        </w:tc>
        <w:tc>
          <w:tcPr>
            <w:tcW w:w="255" w:type="dxa"/>
            <w:vMerge w:val="restart"/>
            <w:tcBorders>
              <w:top w:val="nil"/>
              <w:bottom w:val="nil"/>
            </w:tcBorders>
            <w:vAlign w:val="bottom"/>
          </w:tcPr>
          <w:p w14:paraId="1EC68709" w14:textId="77777777" w:rsidR="002C2F49" w:rsidRPr="00E544E2" w:rsidRDefault="002C2F49" w:rsidP="007E4B21">
            <w:pPr>
              <w:spacing w:after="0" w:line="240" w:lineRule="auto"/>
              <w:jc w:val="both"/>
              <w:rPr>
                <w:rFonts w:ascii="Times New Roman" w:hAnsi="Times New Roman" w:cs="Times New Roman"/>
                <w:sz w:val="24"/>
                <w:szCs w:val="24"/>
              </w:rPr>
            </w:pPr>
          </w:p>
        </w:tc>
        <w:tc>
          <w:tcPr>
            <w:tcW w:w="5488" w:type="dxa"/>
            <w:vMerge w:val="restart"/>
            <w:vAlign w:val="center"/>
          </w:tcPr>
          <w:p w14:paraId="41373737" w14:textId="77777777" w:rsidR="002C2F49" w:rsidRPr="00E544E2" w:rsidRDefault="002C2F49" w:rsidP="007E4B21">
            <w:pPr>
              <w:spacing w:after="0" w:line="240" w:lineRule="auto"/>
              <w:ind w:left="-47"/>
              <w:jc w:val="both"/>
              <w:rPr>
                <w:rFonts w:ascii="Times New Roman" w:hAnsi="Times New Roman" w:cs="Times New Roman"/>
                <w:sz w:val="24"/>
                <w:szCs w:val="24"/>
              </w:rPr>
            </w:pPr>
            <w:r w:rsidRPr="00E544E2">
              <w:rPr>
                <w:rFonts w:ascii="Times New Roman" w:hAnsi="Times New Roman" w:cs="Times New Roman"/>
                <w:noProof/>
                <w:sz w:val="24"/>
                <w:szCs w:val="24"/>
                <w:lang w:eastAsia="en-IN"/>
              </w:rPr>
              <w:drawing>
                <wp:inline distT="0" distB="0" distL="0" distR="0" wp14:anchorId="570DF66A" wp14:editId="54579202">
                  <wp:extent cx="3413125" cy="3002280"/>
                  <wp:effectExtent l="0" t="0" r="0" b="762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2C2F49" w:rsidRPr="00E544E2" w14:paraId="56A19C25" w14:textId="77777777" w:rsidTr="00CC6D18">
        <w:trPr>
          <w:trHeight w:val="245"/>
        </w:trPr>
        <w:tc>
          <w:tcPr>
            <w:tcW w:w="1271" w:type="dxa"/>
            <w:vMerge/>
            <w:noWrap/>
            <w:vAlign w:val="bottom"/>
            <w:hideMark/>
          </w:tcPr>
          <w:p w14:paraId="14A4EEEC" w14:textId="77777777" w:rsidR="002C2F49" w:rsidRPr="00E544E2" w:rsidRDefault="002C2F49" w:rsidP="007E4B21">
            <w:pPr>
              <w:spacing w:after="0" w:line="240" w:lineRule="auto"/>
              <w:jc w:val="both"/>
              <w:rPr>
                <w:rFonts w:ascii="Times New Roman" w:hAnsi="Times New Roman" w:cs="Times New Roman"/>
                <w:b/>
                <w:bCs/>
                <w:sz w:val="24"/>
                <w:szCs w:val="24"/>
              </w:rPr>
            </w:pPr>
          </w:p>
        </w:tc>
        <w:tc>
          <w:tcPr>
            <w:tcW w:w="1105" w:type="dxa"/>
            <w:noWrap/>
            <w:vAlign w:val="center"/>
            <w:hideMark/>
          </w:tcPr>
          <w:p w14:paraId="166E7F92" w14:textId="1B3F4C1F"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75</w:t>
            </w:r>
            <w:r w:rsidR="00CC6D18">
              <w:rPr>
                <w:rFonts w:ascii="Times New Roman" w:hAnsi="Times New Roman" w:cs="Times New Roman"/>
                <w:sz w:val="24"/>
                <w:szCs w:val="24"/>
              </w:rPr>
              <w:t>-</w:t>
            </w:r>
            <w:r w:rsidRPr="00E544E2">
              <w:rPr>
                <w:rFonts w:ascii="Times New Roman" w:hAnsi="Times New Roman" w:cs="Times New Roman"/>
                <w:sz w:val="24"/>
                <w:szCs w:val="24"/>
              </w:rPr>
              <w:t>days</w:t>
            </w:r>
            <w:r w:rsidR="00CC6D18">
              <w:rPr>
                <w:rFonts w:ascii="Times New Roman" w:hAnsi="Times New Roman" w:cs="Times New Roman"/>
                <w:sz w:val="24"/>
                <w:szCs w:val="24"/>
              </w:rPr>
              <w:t xml:space="preserve"> crop</w:t>
            </w:r>
          </w:p>
        </w:tc>
        <w:tc>
          <w:tcPr>
            <w:tcW w:w="1021" w:type="dxa"/>
            <w:noWrap/>
            <w:vAlign w:val="center"/>
            <w:hideMark/>
          </w:tcPr>
          <w:p w14:paraId="2820C17B" w14:textId="5DA5768B"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90</w:t>
            </w:r>
            <w:r w:rsidR="00CC6D18">
              <w:rPr>
                <w:rFonts w:ascii="Times New Roman" w:hAnsi="Times New Roman" w:cs="Times New Roman"/>
                <w:sz w:val="24"/>
                <w:szCs w:val="24"/>
              </w:rPr>
              <w:t>-</w:t>
            </w:r>
            <w:r w:rsidRPr="00E544E2">
              <w:rPr>
                <w:rFonts w:ascii="Times New Roman" w:hAnsi="Times New Roman" w:cs="Times New Roman"/>
                <w:sz w:val="24"/>
                <w:szCs w:val="24"/>
              </w:rPr>
              <w:t xml:space="preserve"> days</w:t>
            </w:r>
            <w:r w:rsidR="00CC6D18">
              <w:rPr>
                <w:rFonts w:ascii="Times New Roman" w:hAnsi="Times New Roman" w:cs="Times New Roman"/>
                <w:sz w:val="24"/>
                <w:szCs w:val="24"/>
              </w:rPr>
              <w:t xml:space="preserve"> crop</w:t>
            </w:r>
          </w:p>
        </w:tc>
        <w:tc>
          <w:tcPr>
            <w:tcW w:w="255" w:type="dxa"/>
            <w:vMerge/>
            <w:tcBorders>
              <w:bottom w:val="nil"/>
            </w:tcBorders>
            <w:vAlign w:val="center"/>
          </w:tcPr>
          <w:p w14:paraId="0BAB636E" w14:textId="77777777" w:rsidR="002C2F49" w:rsidRPr="00E544E2" w:rsidRDefault="002C2F49" w:rsidP="007E4B21">
            <w:pPr>
              <w:spacing w:after="0" w:line="240" w:lineRule="auto"/>
              <w:jc w:val="both"/>
              <w:rPr>
                <w:rFonts w:ascii="Times New Roman" w:hAnsi="Times New Roman" w:cs="Times New Roman"/>
                <w:sz w:val="24"/>
                <w:szCs w:val="24"/>
              </w:rPr>
            </w:pPr>
          </w:p>
        </w:tc>
        <w:tc>
          <w:tcPr>
            <w:tcW w:w="5488" w:type="dxa"/>
            <w:vMerge/>
          </w:tcPr>
          <w:p w14:paraId="49121AF9" w14:textId="77777777" w:rsidR="002C2F49" w:rsidRPr="00E544E2" w:rsidRDefault="002C2F49" w:rsidP="007E4B21">
            <w:pPr>
              <w:spacing w:after="0" w:line="240" w:lineRule="auto"/>
              <w:jc w:val="both"/>
              <w:rPr>
                <w:rFonts w:ascii="Times New Roman" w:hAnsi="Times New Roman" w:cs="Times New Roman"/>
                <w:sz w:val="24"/>
                <w:szCs w:val="24"/>
              </w:rPr>
            </w:pPr>
          </w:p>
        </w:tc>
      </w:tr>
      <w:tr w:rsidR="002C2F49" w:rsidRPr="00E544E2" w14:paraId="3DEB8B5C" w14:textId="77777777" w:rsidTr="00CC6D18">
        <w:trPr>
          <w:trHeight w:val="245"/>
        </w:trPr>
        <w:tc>
          <w:tcPr>
            <w:tcW w:w="1271" w:type="dxa"/>
            <w:noWrap/>
            <w:vAlign w:val="center"/>
          </w:tcPr>
          <w:p w14:paraId="10F0218B"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PS/19-02</w:t>
            </w:r>
          </w:p>
        </w:tc>
        <w:tc>
          <w:tcPr>
            <w:tcW w:w="1105" w:type="dxa"/>
            <w:noWrap/>
            <w:vAlign w:val="center"/>
          </w:tcPr>
          <w:p w14:paraId="67438CC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81.11</w:t>
            </w:r>
          </w:p>
        </w:tc>
        <w:tc>
          <w:tcPr>
            <w:tcW w:w="1021" w:type="dxa"/>
            <w:noWrap/>
            <w:vAlign w:val="center"/>
          </w:tcPr>
          <w:p w14:paraId="257C08A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70.00</w:t>
            </w:r>
          </w:p>
        </w:tc>
        <w:tc>
          <w:tcPr>
            <w:tcW w:w="255" w:type="dxa"/>
            <w:vMerge/>
            <w:tcBorders>
              <w:bottom w:val="nil"/>
            </w:tcBorders>
            <w:vAlign w:val="bottom"/>
          </w:tcPr>
          <w:p w14:paraId="2265CE0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69CF18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E41589B" w14:textId="77777777" w:rsidTr="00CC6D18">
        <w:trPr>
          <w:trHeight w:val="234"/>
        </w:trPr>
        <w:tc>
          <w:tcPr>
            <w:tcW w:w="1271" w:type="dxa"/>
            <w:noWrap/>
            <w:vAlign w:val="center"/>
          </w:tcPr>
          <w:p w14:paraId="104E19CC"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PS/19-04</w:t>
            </w:r>
          </w:p>
        </w:tc>
        <w:tc>
          <w:tcPr>
            <w:tcW w:w="1105" w:type="dxa"/>
            <w:noWrap/>
            <w:vAlign w:val="center"/>
          </w:tcPr>
          <w:p w14:paraId="1F4064A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77.78</w:t>
            </w:r>
          </w:p>
        </w:tc>
        <w:tc>
          <w:tcPr>
            <w:tcW w:w="1021" w:type="dxa"/>
            <w:noWrap/>
            <w:vAlign w:val="center"/>
          </w:tcPr>
          <w:p w14:paraId="04612CD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71.11</w:t>
            </w:r>
          </w:p>
        </w:tc>
        <w:tc>
          <w:tcPr>
            <w:tcW w:w="255" w:type="dxa"/>
            <w:vMerge/>
            <w:tcBorders>
              <w:bottom w:val="nil"/>
            </w:tcBorders>
            <w:vAlign w:val="bottom"/>
          </w:tcPr>
          <w:p w14:paraId="1F01D80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4C82BB4"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BF56B2F" w14:textId="77777777" w:rsidTr="00CC6D18">
        <w:trPr>
          <w:trHeight w:val="234"/>
        </w:trPr>
        <w:tc>
          <w:tcPr>
            <w:tcW w:w="1271" w:type="dxa"/>
            <w:noWrap/>
            <w:vAlign w:val="center"/>
          </w:tcPr>
          <w:p w14:paraId="1BF0FF56"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PS/19-12</w:t>
            </w:r>
          </w:p>
        </w:tc>
        <w:tc>
          <w:tcPr>
            <w:tcW w:w="1105" w:type="dxa"/>
            <w:noWrap/>
            <w:vAlign w:val="center"/>
          </w:tcPr>
          <w:p w14:paraId="0780559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85.56</w:t>
            </w:r>
          </w:p>
        </w:tc>
        <w:tc>
          <w:tcPr>
            <w:tcW w:w="1021" w:type="dxa"/>
            <w:noWrap/>
            <w:vAlign w:val="center"/>
          </w:tcPr>
          <w:p w14:paraId="6160696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84.45</w:t>
            </w:r>
          </w:p>
        </w:tc>
        <w:tc>
          <w:tcPr>
            <w:tcW w:w="255" w:type="dxa"/>
            <w:vMerge/>
            <w:tcBorders>
              <w:bottom w:val="nil"/>
            </w:tcBorders>
            <w:vAlign w:val="bottom"/>
          </w:tcPr>
          <w:p w14:paraId="4AB895A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652A7A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6AE4D575" w14:textId="77777777" w:rsidTr="00CC6D18">
        <w:trPr>
          <w:trHeight w:val="234"/>
        </w:trPr>
        <w:tc>
          <w:tcPr>
            <w:tcW w:w="1271" w:type="dxa"/>
            <w:noWrap/>
            <w:vAlign w:val="center"/>
          </w:tcPr>
          <w:p w14:paraId="211DBD8C"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PS/19-24</w:t>
            </w:r>
          </w:p>
        </w:tc>
        <w:tc>
          <w:tcPr>
            <w:tcW w:w="1105" w:type="dxa"/>
            <w:noWrap/>
            <w:vAlign w:val="center"/>
          </w:tcPr>
          <w:p w14:paraId="0CFD64A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80.00</w:t>
            </w:r>
          </w:p>
        </w:tc>
        <w:tc>
          <w:tcPr>
            <w:tcW w:w="1021" w:type="dxa"/>
            <w:noWrap/>
            <w:vAlign w:val="center"/>
          </w:tcPr>
          <w:p w14:paraId="700BF8E4"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77.78</w:t>
            </w:r>
          </w:p>
        </w:tc>
        <w:tc>
          <w:tcPr>
            <w:tcW w:w="255" w:type="dxa"/>
            <w:vMerge/>
            <w:tcBorders>
              <w:bottom w:val="nil"/>
            </w:tcBorders>
            <w:vAlign w:val="bottom"/>
          </w:tcPr>
          <w:p w14:paraId="16583DF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524CE47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2E72680" w14:textId="77777777" w:rsidTr="00CC6D18">
        <w:trPr>
          <w:trHeight w:val="234"/>
        </w:trPr>
        <w:tc>
          <w:tcPr>
            <w:tcW w:w="1271" w:type="dxa"/>
            <w:noWrap/>
            <w:vAlign w:val="center"/>
          </w:tcPr>
          <w:p w14:paraId="67DDE6DB"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PS/19-26</w:t>
            </w:r>
          </w:p>
        </w:tc>
        <w:tc>
          <w:tcPr>
            <w:tcW w:w="1105" w:type="dxa"/>
            <w:noWrap/>
            <w:vAlign w:val="center"/>
          </w:tcPr>
          <w:p w14:paraId="46EE5B6A"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73.33</w:t>
            </w:r>
          </w:p>
        </w:tc>
        <w:tc>
          <w:tcPr>
            <w:tcW w:w="1021" w:type="dxa"/>
            <w:noWrap/>
            <w:vAlign w:val="center"/>
          </w:tcPr>
          <w:p w14:paraId="4135D50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65.00</w:t>
            </w:r>
          </w:p>
        </w:tc>
        <w:tc>
          <w:tcPr>
            <w:tcW w:w="255" w:type="dxa"/>
            <w:vMerge/>
            <w:tcBorders>
              <w:bottom w:val="nil"/>
            </w:tcBorders>
            <w:vAlign w:val="bottom"/>
          </w:tcPr>
          <w:p w14:paraId="4939B65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61446A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8748077" w14:textId="77777777" w:rsidTr="00CC6D18">
        <w:trPr>
          <w:trHeight w:val="234"/>
        </w:trPr>
        <w:tc>
          <w:tcPr>
            <w:tcW w:w="1271" w:type="dxa"/>
            <w:noWrap/>
            <w:vAlign w:val="center"/>
          </w:tcPr>
          <w:p w14:paraId="48BCA7F5"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PS/19-31</w:t>
            </w:r>
          </w:p>
        </w:tc>
        <w:tc>
          <w:tcPr>
            <w:tcW w:w="1105" w:type="dxa"/>
            <w:noWrap/>
            <w:vAlign w:val="center"/>
          </w:tcPr>
          <w:p w14:paraId="0884495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78.89</w:t>
            </w:r>
          </w:p>
        </w:tc>
        <w:tc>
          <w:tcPr>
            <w:tcW w:w="1021" w:type="dxa"/>
            <w:noWrap/>
            <w:vAlign w:val="center"/>
          </w:tcPr>
          <w:p w14:paraId="55FE07D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77.78</w:t>
            </w:r>
          </w:p>
        </w:tc>
        <w:tc>
          <w:tcPr>
            <w:tcW w:w="255" w:type="dxa"/>
            <w:vMerge/>
            <w:tcBorders>
              <w:bottom w:val="nil"/>
            </w:tcBorders>
            <w:vAlign w:val="bottom"/>
          </w:tcPr>
          <w:p w14:paraId="0D8075C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4338B5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600873AF" w14:textId="77777777" w:rsidTr="00CC6D18">
        <w:trPr>
          <w:trHeight w:val="234"/>
        </w:trPr>
        <w:tc>
          <w:tcPr>
            <w:tcW w:w="1271" w:type="dxa"/>
            <w:noWrap/>
            <w:vAlign w:val="center"/>
          </w:tcPr>
          <w:p w14:paraId="48710722"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PS/19-41</w:t>
            </w:r>
          </w:p>
        </w:tc>
        <w:tc>
          <w:tcPr>
            <w:tcW w:w="1105" w:type="dxa"/>
            <w:noWrap/>
            <w:vAlign w:val="center"/>
          </w:tcPr>
          <w:p w14:paraId="332B7C2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81.11</w:t>
            </w:r>
          </w:p>
        </w:tc>
        <w:tc>
          <w:tcPr>
            <w:tcW w:w="1021" w:type="dxa"/>
            <w:noWrap/>
            <w:vAlign w:val="center"/>
          </w:tcPr>
          <w:p w14:paraId="2646544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78.33</w:t>
            </w:r>
          </w:p>
        </w:tc>
        <w:tc>
          <w:tcPr>
            <w:tcW w:w="255" w:type="dxa"/>
            <w:vMerge/>
            <w:tcBorders>
              <w:bottom w:val="nil"/>
            </w:tcBorders>
            <w:vAlign w:val="bottom"/>
          </w:tcPr>
          <w:p w14:paraId="731C3AE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D0B92B9"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EC1C94E" w14:textId="77777777" w:rsidTr="00CC6D18">
        <w:trPr>
          <w:trHeight w:val="234"/>
        </w:trPr>
        <w:tc>
          <w:tcPr>
            <w:tcW w:w="1271" w:type="dxa"/>
            <w:noWrap/>
            <w:vAlign w:val="center"/>
          </w:tcPr>
          <w:p w14:paraId="3F4AEE6B"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PS/19-43</w:t>
            </w:r>
          </w:p>
        </w:tc>
        <w:tc>
          <w:tcPr>
            <w:tcW w:w="1105" w:type="dxa"/>
            <w:noWrap/>
            <w:vAlign w:val="center"/>
          </w:tcPr>
          <w:p w14:paraId="38A963A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72.22</w:t>
            </w:r>
          </w:p>
        </w:tc>
        <w:tc>
          <w:tcPr>
            <w:tcW w:w="1021" w:type="dxa"/>
            <w:noWrap/>
            <w:vAlign w:val="center"/>
          </w:tcPr>
          <w:p w14:paraId="5560BCE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70.56</w:t>
            </w:r>
          </w:p>
        </w:tc>
        <w:tc>
          <w:tcPr>
            <w:tcW w:w="255" w:type="dxa"/>
            <w:vMerge/>
            <w:tcBorders>
              <w:bottom w:val="nil"/>
            </w:tcBorders>
            <w:vAlign w:val="bottom"/>
          </w:tcPr>
          <w:p w14:paraId="7B3BF5C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651E4C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62626CC8" w14:textId="77777777" w:rsidTr="00CC6D18">
        <w:trPr>
          <w:trHeight w:val="234"/>
        </w:trPr>
        <w:tc>
          <w:tcPr>
            <w:tcW w:w="1271" w:type="dxa"/>
            <w:noWrap/>
            <w:vAlign w:val="center"/>
          </w:tcPr>
          <w:p w14:paraId="7B54A593"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PS/19-44</w:t>
            </w:r>
          </w:p>
        </w:tc>
        <w:tc>
          <w:tcPr>
            <w:tcW w:w="1105" w:type="dxa"/>
            <w:noWrap/>
            <w:vAlign w:val="center"/>
          </w:tcPr>
          <w:p w14:paraId="7960FC5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76.67</w:t>
            </w:r>
          </w:p>
        </w:tc>
        <w:tc>
          <w:tcPr>
            <w:tcW w:w="1021" w:type="dxa"/>
            <w:noWrap/>
            <w:vAlign w:val="center"/>
          </w:tcPr>
          <w:p w14:paraId="18BDDD9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70.00</w:t>
            </w:r>
          </w:p>
        </w:tc>
        <w:tc>
          <w:tcPr>
            <w:tcW w:w="255" w:type="dxa"/>
            <w:vMerge/>
            <w:tcBorders>
              <w:bottom w:val="nil"/>
            </w:tcBorders>
            <w:vAlign w:val="bottom"/>
          </w:tcPr>
          <w:p w14:paraId="46EABC0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63D228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01F8C833" w14:textId="77777777" w:rsidTr="00CC6D18">
        <w:trPr>
          <w:trHeight w:val="234"/>
        </w:trPr>
        <w:tc>
          <w:tcPr>
            <w:tcW w:w="1271" w:type="dxa"/>
            <w:noWrap/>
            <w:vAlign w:val="center"/>
          </w:tcPr>
          <w:p w14:paraId="74F42964"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PS/19-50</w:t>
            </w:r>
          </w:p>
        </w:tc>
        <w:tc>
          <w:tcPr>
            <w:tcW w:w="1105" w:type="dxa"/>
            <w:noWrap/>
            <w:vAlign w:val="center"/>
          </w:tcPr>
          <w:p w14:paraId="55E4E16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73.33</w:t>
            </w:r>
          </w:p>
        </w:tc>
        <w:tc>
          <w:tcPr>
            <w:tcW w:w="1021" w:type="dxa"/>
            <w:noWrap/>
            <w:vAlign w:val="center"/>
          </w:tcPr>
          <w:p w14:paraId="48A7306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85.00</w:t>
            </w:r>
          </w:p>
        </w:tc>
        <w:tc>
          <w:tcPr>
            <w:tcW w:w="255" w:type="dxa"/>
            <w:vMerge/>
            <w:tcBorders>
              <w:bottom w:val="nil"/>
            </w:tcBorders>
            <w:vAlign w:val="bottom"/>
          </w:tcPr>
          <w:p w14:paraId="50F914B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7E9DACB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51DB224" w14:textId="77777777" w:rsidTr="00CC6D18">
        <w:trPr>
          <w:trHeight w:val="234"/>
        </w:trPr>
        <w:tc>
          <w:tcPr>
            <w:tcW w:w="1271" w:type="dxa"/>
            <w:noWrap/>
            <w:vAlign w:val="center"/>
          </w:tcPr>
          <w:p w14:paraId="4024F19E" w14:textId="77777777" w:rsidR="002C2F49" w:rsidRPr="00E544E2" w:rsidRDefault="002C2F49" w:rsidP="007E4B21">
            <w:pPr>
              <w:spacing w:after="0" w:line="240" w:lineRule="auto"/>
              <w:jc w:val="both"/>
              <w:rPr>
                <w:rFonts w:ascii="Times New Roman" w:eastAsia="Calibri" w:hAnsi="Times New Roman" w:cs="Times New Roman"/>
                <w:sz w:val="24"/>
                <w:szCs w:val="24"/>
              </w:rPr>
            </w:pPr>
            <w:proofErr w:type="spellStart"/>
            <w:proofErr w:type="gramStart"/>
            <w:r w:rsidRPr="00E544E2">
              <w:rPr>
                <w:rFonts w:ascii="Times New Roman" w:eastAsia="Calibri" w:hAnsi="Times New Roman" w:cs="Times New Roman"/>
                <w:sz w:val="24"/>
                <w:szCs w:val="24"/>
              </w:rPr>
              <w:t>K.Lalima</w:t>
            </w:r>
            <w:proofErr w:type="spellEnd"/>
            <w:proofErr w:type="gramEnd"/>
          </w:p>
        </w:tc>
        <w:tc>
          <w:tcPr>
            <w:tcW w:w="1105" w:type="dxa"/>
            <w:noWrap/>
            <w:vAlign w:val="center"/>
          </w:tcPr>
          <w:p w14:paraId="645610D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84.44</w:t>
            </w:r>
          </w:p>
        </w:tc>
        <w:tc>
          <w:tcPr>
            <w:tcW w:w="1021" w:type="dxa"/>
            <w:noWrap/>
            <w:vAlign w:val="center"/>
          </w:tcPr>
          <w:p w14:paraId="54D1F6A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82.22</w:t>
            </w:r>
          </w:p>
        </w:tc>
        <w:tc>
          <w:tcPr>
            <w:tcW w:w="255" w:type="dxa"/>
            <w:vMerge/>
            <w:tcBorders>
              <w:bottom w:val="nil"/>
            </w:tcBorders>
            <w:vAlign w:val="bottom"/>
          </w:tcPr>
          <w:p w14:paraId="15F054F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FF92C1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8411F79" w14:textId="77777777" w:rsidTr="00CC6D18">
        <w:trPr>
          <w:trHeight w:val="234"/>
        </w:trPr>
        <w:tc>
          <w:tcPr>
            <w:tcW w:w="1271" w:type="dxa"/>
            <w:noWrap/>
            <w:vAlign w:val="center"/>
          </w:tcPr>
          <w:p w14:paraId="6F4800F7" w14:textId="77777777" w:rsidR="002C2F49" w:rsidRPr="00E544E2" w:rsidRDefault="002C2F49" w:rsidP="007E4B21">
            <w:pPr>
              <w:spacing w:after="0" w:line="240" w:lineRule="auto"/>
              <w:jc w:val="both"/>
              <w:rPr>
                <w:rFonts w:ascii="Times New Roman" w:eastAsia="Calibri" w:hAnsi="Times New Roman" w:cs="Times New Roman"/>
                <w:sz w:val="24"/>
                <w:szCs w:val="24"/>
              </w:rPr>
            </w:pPr>
            <w:proofErr w:type="spellStart"/>
            <w:proofErr w:type="gramStart"/>
            <w:r w:rsidRPr="00E544E2">
              <w:rPr>
                <w:rFonts w:ascii="Times New Roman" w:eastAsia="Calibri" w:hAnsi="Times New Roman" w:cs="Times New Roman"/>
                <w:sz w:val="24"/>
                <w:szCs w:val="24"/>
              </w:rPr>
              <w:t>K.Lalit</w:t>
            </w:r>
            <w:proofErr w:type="spellEnd"/>
            <w:proofErr w:type="gramEnd"/>
          </w:p>
        </w:tc>
        <w:tc>
          <w:tcPr>
            <w:tcW w:w="1105" w:type="dxa"/>
            <w:noWrap/>
            <w:vAlign w:val="center"/>
          </w:tcPr>
          <w:p w14:paraId="385A078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81.11</w:t>
            </w:r>
          </w:p>
        </w:tc>
        <w:tc>
          <w:tcPr>
            <w:tcW w:w="1021" w:type="dxa"/>
            <w:noWrap/>
            <w:vAlign w:val="center"/>
          </w:tcPr>
          <w:p w14:paraId="70DFB35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79.44</w:t>
            </w:r>
          </w:p>
        </w:tc>
        <w:tc>
          <w:tcPr>
            <w:tcW w:w="255" w:type="dxa"/>
            <w:vMerge/>
            <w:tcBorders>
              <w:bottom w:val="nil"/>
            </w:tcBorders>
            <w:vAlign w:val="bottom"/>
          </w:tcPr>
          <w:p w14:paraId="50F0D12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1947B0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7BBC321" w14:textId="77777777" w:rsidTr="00CC6D18">
        <w:trPr>
          <w:trHeight w:val="234"/>
        </w:trPr>
        <w:tc>
          <w:tcPr>
            <w:tcW w:w="1271" w:type="dxa"/>
            <w:noWrap/>
            <w:vAlign w:val="center"/>
          </w:tcPr>
          <w:p w14:paraId="756153EC" w14:textId="77777777" w:rsidR="002C2F49" w:rsidRPr="00E544E2" w:rsidRDefault="002C2F49" w:rsidP="007E4B21">
            <w:pPr>
              <w:spacing w:after="0" w:line="240" w:lineRule="auto"/>
              <w:jc w:val="both"/>
              <w:rPr>
                <w:rFonts w:ascii="Times New Roman" w:eastAsia="Calibri" w:hAnsi="Times New Roman" w:cs="Times New Roman"/>
                <w:sz w:val="24"/>
                <w:szCs w:val="24"/>
              </w:rPr>
            </w:pPr>
            <w:proofErr w:type="spellStart"/>
            <w:proofErr w:type="gramStart"/>
            <w:r w:rsidRPr="00E544E2">
              <w:rPr>
                <w:rFonts w:ascii="Times New Roman" w:eastAsia="Calibri" w:hAnsi="Times New Roman" w:cs="Times New Roman"/>
                <w:sz w:val="24"/>
                <w:szCs w:val="24"/>
              </w:rPr>
              <w:t>K.Lohit</w:t>
            </w:r>
            <w:proofErr w:type="spellEnd"/>
            <w:proofErr w:type="gramEnd"/>
          </w:p>
        </w:tc>
        <w:tc>
          <w:tcPr>
            <w:tcW w:w="1105" w:type="dxa"/>
            <w:noWrap/>
            <w:vAlign w:val="center"/>
          </w:tcPr>
          <w:p w14:paraId="31DD856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74.44</w:t>
            </w:r>
          </w:p>
        </w:tc>
        <w:tc>
          <w:tcPr>
            <w:tcW w:w="1021" w:type="dxa"/>
            <w:noWrap/>
            <w:vAlign w:val="center"/>
          </w:tcPr>
          <w:p w14:paraId="1A52FC2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72.22</w:t>
            </w:r>
          </w:p>
        </w:tc>
        <w:tc>
          <w:tcPr>
            <w:tcW w:w="255" w:type="dxa"/>
            <w:vMerge/>
            <w:tcBorders>
              <w:bottom w:val="nil"/>
            </w:tcBorders>
            <w:vAlign w:val="bottom"/>
          </w:tcPr>
          <w:p w14:paraId="7CA0788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33C9F6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E5623D0" w14:textId="77777777" w:rsidTr="00CC6D18">
        <w:trPr>
          <w:trHeight w:val="234"/>
        </w:trPr>
        <w:tc>
          <w:tcPr>
            <w:tcW w:w="1271" w:type="dxa"/>
            <w:noWrap/>
            <w:vAlign w:val="center"/>
          </w:tcPr>
          <w:p w14:paraId="39398FDF" w14:textId="77777777" w:rsidR="002C2F49" w:rsidRPr="00E544E2" w:rsidRDefault="002C2F49" w:rsidP="007E4B21">
            <w:pPr>
              <w:spacing w:after="0" w:line="240" w:lineRule="auto"/>
              <w:jc w:val="both"/>
              <w:rPr>
                <w:rFonts w:ascii="Times New Roman" w:eastAsia="Calibri" w:hAnsi="Times New Roman" w:cs="Times New Roman"/>
                <w:sz w:val="24"/>
                <w:szCs w:val="24"/>
              </w:rPr>
            </w:pPr>
            <w:proofErr w:type="spellStart"/>
            <w:proofErr w:type="gramStart"/>
            <w:r w:rsidRPr="00E544E2">
              <w:rPr>
                <w:rFonts w:ascii="Times New Roman" w:eastAsia="Calibri" w:hAnsi="Times New Roman" w:cs="Times New Roman"/>
                <w:sz w:val="24"/>
                <w:szCs w:val="24"/>
              </w:rPr>
              <w:t>K.Manik</w:t>
            </w:r>
            <w:proofErr w:type="spellEnd"/>
            <w:proofErr w:type="gramEnd"/>
          </w:p>
        </w:tc>
        <w:tc>
          <w:tcPr>
            <w:tcW w:w="1105" w:type="dxa"/>
            <w:noWrap/>
            <w:vAlign w:val="center"/>
          </w:tcPr>
          <w:p w14:paraId="7051316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73.34</w:t>
            </w:r>
          </w:p>
        </w:tc>
        <w:tc>
          <w:tcPr>
            <w:tcW w:w="1021" w:type="dxa"/>
            <w:noWrap/>
            <w:vAlign w:val="center"/>
          </w:tcPr>
          <w:p w14:paraId="75E142F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68.89</w:t>
            </w:r>
          </w:p>
        </w:tc>
        <w:tc>
          <w:tcPr>
            <w:tcW w:w="255" w:type="dxa"/>
            <w:vMerge/>
            <w:tcBorders>
              <w:bottom w:val="nil"/>
            </w:tcBorders>
            <w:vAlign w:val="bottom"/>
          </w:tcPr>
          <w:p w14:paraId="5DD3C67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070B17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536E7A6" w14:textId="77777777" w:rsidTr="00CC6D18">
        <w:trPr>
          <w:trHeight w:val="234"/>
        </w:trPr>
        <w:tc>
          <w:tcPr>
            <w:tcW w:w="1271" w:type="dxa"/>
            <w:noWrap/>
            <w:vAlign w:val="center"/>
          </w:tcPr>
          <w:p w14:paraId="69A8B1C2" w14:textId="77777777" w:rsidR="002C2F49" w:rsidRPr="00E544E2" w:rsidRDefault="002C2F49" w:rsidP="007E4B21">
            <w:pPr>
              <w:spacing w:after="0" w:line="240" w:lineRule="auto"/>
              <w:jc w:val="both"/>
              <w:rPr>
                <w:rFonts w:ascii="Times New Roman" w:eastAsia="Calibri" w:hAnsi="Times New Roman" w:cs="Times New Roman"/>
                <w:sz w:val="24"/>
                <w:szCs w:val="24"/>
              </w:rPr>
            </w:pPr>
            <w:proofErr w:type="spellStart"/>
            <w:proofErr w:type="gramStart"/>
            <w:r w:rsidRPr="00E544E2">
              <w:rPr>
                <w:rFonts w:ascii="Times New Roman" w:eastAsia="Calibri" w:hAnsi="Times New Roman" w:cs="Times New Roman"/>
                <w:sz w:val="24"/>
                <w:szCs w:val="24"/>
              </w:rPr>
              <w:t>K.Neelkanth</w:t>
            </w:r>
            <w:proofErr w:type="spellEnd"/>
            <w:proofErr w:type="gramEnd"/>
          </w:p>
        </w:tc>
        <w:tc>
          <w:tcPr>
            <w:tcW w:w="1105" w:type="dxa"/>
            <w:noWrap/>
            <w:vAlign w:val="center"/>
          </w:tcPr>
          <w:p w14:paraId="07B85F7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82.22</w:t>
            </w:r>
          </w:p>
        </w:tc>
        <w:tc>
          <w:tcPr>
            <w:tcW w:w="1021" w:type="dxa"/>
            <w:noWrap/>
            <w:vAlign w:val="center"/>
          </w:tcPr>
          <w:p w14:paraId="4732C84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78.89</w:t>
            </w:r>
          </w:p>
        </w:tc>
        <w:tc>
          <w:tcPr>
            <w:tcW w:w="255" w:type="dxa"/>
            <w:vMerge/>
            <w:tcBorders>
              <w:bottom w:val="nil"/>
            </w:tcBorders>
            <w:vAlign w:val="bottom"/>
          </w:tcPr>
          <w:p w14:paraId="0239E4D3"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020C196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2AB37C5" w14:textId="77777777" w:rsidTr="00CC6D18">
        <w:trPr>
          <w:trHeight w:val="234"/>
        </w:trPr>
        <w:tc>
          <w:tcPr>
            <w:tcW w:w="1271" w:type="dxa"/>
            <w:noWrap/>
            <w:vAlign w:val="center"/>
          </w:tcPr>
          <w:p w14:paraId="46619F5F"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CD (0.05</w:t>
            </w:r>
            <w:proofErr w:type="gramStart"/>
            <w:r w:rsidRPr="00E544E2">
              <w:rPr>
                <w:rFonts w:ascii="Times New Roman" w:eastAsia="Calibri" w:hAnsi="Times New Roman" w:cs="Times New Roman"/>
                <w:sz w:val="24"/>
                <w:szCs w:val="24"/>
              </w:rPr>
              <w:t>) :</w:t>
            </w:r>
            <w:proofErr w:type="gramEnd"/>
          </w:p>
        </w:tc>
        <w:tc>
          <w:tcPr>
            <w:tcW w:w="1105" w:type="dxa"/>
            <w:noWrap/>
            <w:vAlign w:val="center"/>
          </w:tcPr>
          <w:p w14:paraId="2A2BCA1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12.88</w:t>
            </w:r>
          </w:p>
        </w:tc>
        <w:tc>
          <w:tcPr>
            <w:tcW w:w="1021" w:type="dxa"/>
            <w:noWrap/>
            <w:vAlign w:val="center"/>
          </w:tcPr>
          <w:p w14:paraId="6CF3BDB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12.99</w:t>
            </w:r>
          </w:p>
        </w:tc>
        <w:tc>
          <w:tcPr>
            <w:tcW w:w="255" w:type="dxa"/>
            <w:vMerge/>
            <w:tcBorders>
              <w:bottom w:val="nil"/>
            </w:tcBorders>
            <w:vAlign w:val="bottom"/>
          </w:tcPr>
          <w:p w14:paraId="5DC344D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734E11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E63A8B8" w14:textId="77777777" w:rsidTr="00CC6D18">
        <w:trPr>
          <w:trHeight w:val="58"/>
        </w:trPr>
        <w:tc>
          <w:tcPr>
            <w:tcW w:w="1271" w:type="dxa"/>
            <w:tcBorders>
              <w:bottom w:val="single" w:sz="4" w:space="0" w:color="auto"/>
            </w:tcBorders>
            <w:noWrap/>
            <w:vAlign w:val="center"/>
            <w:hideMark/>
          </w:tcPr>
          <w:p w14:paraId="6D875E4D"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CV (%</w:t>
            </w:r>
            <w:proofErr w:type="gramStart"/>
            <w:r w:rsidRPr="00E544E2">
              <w:rPr>
                <w:rFonts w:ascii="Times New Roman" w:eastAsia="Calibri" w:hAnsi="Times New Roman" w:cs="Times New Roman"/>
                <w:sz w:val="24"/>
                <w:szCs w:val="24"/>
              </w:rPr>
              <w:t>) :</w:t>
            </w:r>
            <w:proofErr w:type="gramEnd"/>
          </w:p>
        </w:tc>
        <w:tc>
          <w:tcPr>
            <w:tcW w:w="1105" w:type="dxa"/>
            <w:tcBorders>
              <w:bottom w:val="single" w:sz="4" w:space="0" w:color="auto"/>
            </w:tcBorders>
            <w:noWrap/>
            <w:vAlign w:val="center"/>
            <w:hideMark/>
          </w:tcPr>
          <w:p w14:paraId="7D3992BA"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10.54</w:t>
            </w:r>
          </w:p>
        </w:tc>
        <w:tc>
          <w:tcPr>
            <w:tcW w:w="1021" w:type="dxa"/>
            <w:tcBorders>
              <w:bottom w:val="single" w:sz="4" w:space="0" w:color="auto"/>
            </w:tcBorders>
            <w:noWrap/>
            <w:vAlign w:val="center"/>
            <w:hideMark/>
          </w:tcPr>
          <w:p w14:paraId="24BED2F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11.01</w:t>
            </w:r>
          </w:p>
        </w:tc>
        <w:tc>
          <w:tcPr>
            <w:tcW w:w="255" w:type="dxa"/>
            <w:vMerge/>
            <w:tcBorders>
              <w:bottom w:val="nil"/>
            </w:tcBorders>
            <w:vAlign w:val="bottom"/>
          </w:tcPr>
          <w:p w14:paraId="47B149F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Borders>
              <w:bottom w:val="single" w:sz="4" w:space="0" w:color="auto"/>
            </w:tcBorders>
          </w:tcPr>
          <w:p w14:paraId="7770687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A4F3A6D" w14:textId="77777777" w:rsidTr="002C2F49">
        <w:trPr>
          <w:trHeight w:val="46"/>
        </w:trPr>
        <w:tc>
          <w:tcPr>
            <w:tcW w:w="9140" w:type="dxa"/>
            <w:gridSpan w:val="5"/>
            <w:tcBorders>
              <w:top w:val="nil"/>
              <w:left w:val="nil"/>
              <w:bottom w:val="nil"/>
              <w:right w:val="nil"/>
            </w:tcBorders>
            <w:noWrap/>
            <w:vAlign w:val="center"/>
            <w:hideMark/>
          </w:tcPr>
          <w:p w14:paraId="591EE149" w14:textId="2097D4C4" w:rsidR="00675A91" w:rsidRDefault="00675A91" w:rsidP="00675A91">
            <w:pPr>
              <w:tabs>
                <w:tab w:val="decimal" w:pos="459"/>
              </w:tabs>
              <w:spacing w:after="0" w:line="240" w:lineRule="auto"/>
              <w:ind w:right="2120"/>
              <w:jc w:val="both"/>
              <w:rPr>
                <w:rFonts w:ascii="Times New Roman" w:hAnsi="Times New Roman" w:cs="Times New Roman"/>
                <w:b/>
                <w:bCs/>
                <w:sz w:val="24"/>
                <w:szCs w:val="24"/>
              </w:rPr>
            </w:pPr>
            <w:r w:rsidRPr="00E544E2">
              <w:rPr>
                <w:rFonts w:ascii="Times New Roman" w:hAnsi="Times New Roman" w:cs="Times New Roman"/>
                <w:b/>
                <w:bCs/>
                <w:sz w:val="24"/>
                <w:szCs w:val="24"/>
              </w:rPr>
              <w:t>Table &amp; Fig. 1</w:t>
            </w:r>
            <w:r>
              <w:rPr>
                <w:rFonts w:ascii="Times New Roman" w:hAnsi="Times New Roman" w:cs="Times New Roman"/>
                <w:b/>
                <w:bCs/>
                <w:sz w:val="24"/>
                <w:szCs w:val="24"/>
              </w:rPr>
              <w:t xml:space="preserve">: </w:t>
            </w:r>
            <w:r w:rsidRPr="00E544E2">
              <w:rPr>
                <w:rFonts w:ascii="Times New Roman" w:hAnsi="Times New Roman" w:cs="Times New Roman"/>
                <w:b/>
                <w:bCs/>
                <w:sz w:val="24"/>
                <w:szCs w:val="24"/>
              </w:rPr>
              <w:t xml:space="preserve"> Plant Emergence</w:t>
            </w:r>
            <w:r>
              <w:rPr>
                <w:rFonts w:ascii="Times New Roman" w:hAnsi="Times New Roman" w:cs="Times New Roman"/>
                <w:b/>
                <w:bCs/>
                <w:sz w:val="24"/>
                <w:szCs w:val="24"/>
              </w:rPr>
              <w:t xml:space="preserve"> (pooled data) </w:t>
            </w:r>
            <w:r w:rsidRPr="00E544E2">
              <w:rPr>
                <w:rFonts w:ascii="Times New Roman" w:hAnsi="Times New Roman" w:cs="Times New Roman"/>
                <w:b/>
                <w:bCs/>
                <w:sz w:val="24"/>
                <w:szCs w:val="24"/>
              </w:rPr>
              <w:t>of advanced clones</w:t>
            </w:r>
            <w:r>
              <w:rPr>
                <w:rFonts w:ascii="Times New Roman" w:hAnsi="Times New Roman" w:cs="Times New Roman"/>
                <w:b/>
                <w:bCs/>
                <w:sz w:val="24"/>
                <w:szCs w:val="24"/>
              </w:rPr>
              <w:t xml:space="preserve"> </w:t>
            </w:r>
            <w:r w:rsidRPr="00E544E2">
              <w:rPr>
                <w:rFonts w:ascii="Times New Roman" w:hAnsi="Times New Roman" w:cs="Times New Roman"/>
                <w:b/>
                <w:bCs/>
                <w:sz w:val="24"/>
                <w:szCs w:val="24"/>
              </w:rPr>
              <w:t>(2023-2</w:t>
            </w:r>
            <w:r>
              <w:rPr>
                <w:rFonts w:ascii="Times New Roman" w:hAnsi="Times New Roman" w:cs="Times New Roman"/>
                <w:b/>
                <w:bCs/>
                <w:sz w:val="24"/>
                <w:szCs w:val="24"/>
              </w:rPr>
              <w:t>5</w:t>
            </w:r>
            <w:r w:rsidRPr="00E544E2">
              <w:rPr>
                <w:rFonts w:ascii="Times New Roman" w:hAnsi="Times New Roman" w:cs="Times New Roman"/>
                <w:b/>
                <w:bCs/>
                <w:sz w:val="24"/>
                <w:szCs w:val="24"/>
              </w:rPr>
              <w:t>)</w:t>
            </w:r>
          </w:p>
          <w:p w14:paraId="6025A1F8" w14:textId="77777777" w:rsidR="008A1AB0" w:rsidRDefault="008A1AB0" w:rsidP="00675A91">
            <w:pPr>
              <w:tabs>
                <w:tab w:val="decimal" w:pos="459"/>
              </w:tabs>
              <w:spacing w:after="0" w:line="240" w:lineRule="auto"/>
              <w:ind w:right="2120"/>
              <w:jc w:val="both"/>
              <w:rPr>
                <w:rFonts w:ascii="Times New Roman" w:hAnsi="Times New Roman" w:cs="Times New Roman"/>
                <w:b/>
                <w:bCs/>
                <w:sz w:val="24"/>
                <w:szCs w:val="24"/>
              </w:rPr>
            </w:pPr>
          </w:p>
          <w:p w14:paraId="4D900CFE" w14:textId="77777777" w:rsidR="007E4B21" w:rsidRPr="00E544E2" w:rsidRDefault="007E4B21" w:rsidP="007E4B21">
            <w:pPr>
              <w:tabs>
                <w:tab w:val="decimal" w:pos="459"/>
              </w:tabs>
              <w:spacing w:after="0" w:line="240" w:lineRule="auto"/>
              <w:ind w:right="2120"/>
              <w:jc w:val="center"/>
              <w:rPr>
                <w:rFonts w:ascii="Times New Roman" w:hAnsi="Times New Roman" w:cs="Times New Roman"/>
                <w:b/>
                <w:bCs/>
                <w:sz w:val="24"/>
                <w:szCs w:val="24"/>
              </w:rPr>
            </w:pPr>
          </w:p>
        </w:tc>
      </w:tr>
    </w:tbl>
    <w:p w14:paraId="572656E2" w14:textId="4F79C78B" w:rsidR="00CC6D18" w:rsidRPr="00CC6D18" w:rsidRDefault="00CC6D18" w:rsidP="00CC6D18">
      <w:pPr>
        <w:jc w:val="both"/>
        <w:rPr>
          <w:rFonts w:ascii="Times New Roman" w:hAnsi="Times New Roman" w:cs="Times New Roman"/>
          <w:b/>
          <w:bCs/>
          <w:sz w:val="24"/>
          <w:szCs w:val="24"/>
        </w:rPr>
      </w:pPr>
      <w:r>
        <w:rPr>
          <w:rFonts w:ascii="Times New Roman" w:eastAsia="Times New Roman" w:hAnsi="Times New Roman"/>
          <w:b/>
          <w:sz w:val="24"/>
          <w:highlight w:val="yellow"/>
        </w:rPr>
        <w:t>2. Total Tuber Yield (t/ha)</w:t>
      </w:r>
    </w:p>
    <w:p w14:paraId="42907BB3" w14:textId="23515CBE" w:rsidR="002C2F49" w:rsidRPr="00BC5072" w:rsidRDefault="002C2F49" w:rsidP="00742102">
      <w:pPr>
        <w:pStyle w:val="BodyTextIndent2"/>
        <w:ind w:left="142"/>
      </w:pPr>
      <w:r>
        <w:rPr>
          <w:rFonts w:eastAsia="Times New Roman"/>
          <w:highlight w:val="yellow"/>
        </w:rPr>
        <w:t>Total tuber yield is an important economic parameter in potato cultivation (Rukundo et al., 2019; Yadav et al., 2020). In the 75-day crop experiment, the maximum total tuber yield was recorded in PS/19-12 (24.67 t/ha), followed by PS/19-41 (24.66 t/ha). In the 90-day crop experiment, the highest total tuber yield was recorded in PS/19-12 (37.47 t/ha), followed by PS/19-24 (36.56 t/ha); these clones performed better than or were comparable to the controls (Table 2).</w:t>
      </w:r>
    </w:p>
    <w:tbl>
      <w:tblPr>
        <w:tblpPr w:leftFromText="180" w:rightFromText="180" w:vertAnchor="text" w:tblpX="35" w:tblpY="1"/>
        <w:tblOverlap w:val="never"/>
        <w:tblW w:w="9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05"/>
        <w:gridCol w:w="1021"/>
        <w:gridCol w:w="255"/>
        <w:gridCol w:w="5488"/>
      </w:tblGrid>
      <w:tr w:rsidR="002C2F49" w:rsidRPr="00E544E2" w14:paraId="3F0680C8" w14:textId="77777777" w:rsidTr="00675A91">
        <w:trPr>
          <w:trHeight w:val="245"/>
        </w:trPr>
        <w:tc>
          <w:tcPr>
            <w:tcW w:w="1560" w:type="dxa"/>
            <w:vMerge w:val="restart"/>
            <w:noWrap/>
            <w:vAlign w:val="center"/>
            <w:hideMark/>
          </w:tcPr>
          <w:p w14:paraId="3BE66289" w14:textId="77777777" w:rsidR="002C2F49" w:rsidRPr="00E544E2" w:rsidRDefault="002C2F49" w:rsidP="00675A91">
            <w:pPr>
              <w:spacing w:after="0" w:line="240" w:lineRule="auto"/>
              <w:jc w:val="both"/>
              <w:rPr>
                <w:rFonts w:ascii="Times New Roman" w:hAnsi="Times New Roman" w:cs="Times New Roman"/>
                <w:b/>
                <w:bCs/>
                <w:sz w:val="24"/>
                <w:szCs w:val="24"/>
              </w:rPr>
            </w:pPr>
            <w:r w:rsidRPr="00E544E2">
              <w:rPr>
                <w:rFonts w:ascii="Times New Roman" w:hAnsi="Times New Roman" w:cs="Times New Roman"/>
                <w:sz w:val="24"/>
                <w:szCs w:val="24"/>
              </w:rPr>
              <w:t>Advanced clones /Varieties</w:t>
            </w:r>
          </w:p>
        </w:tc>
        <w:tc>
          <w:tcPr>
            <w:tcW w:w="2126" w:type="dxa"/>
            <w:gridSpan w:val="2"/>
            <w:noWrap/>
            <w:vAlign w:val="bottom"/>
            <w:hideMark/>
          </w:tcPr>
          <w:p w14:paraId="105EF9D0"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Total tuber Yield (t/ha)</w:t>
            </w:r>
          </w:p>
        </w:tc>
        <w:tc>
          <w:tcPr>
            <w:tcW w:w="255" w:type="dxa"/>
            <w:vMerge w:val="restart"/>
            <w:tcBorders>
              <w:top w:val="nil"/>
              <w:bottom w:val="nil"/>
            </w:tcBorders>
            <w:vAlign w:val="bottom"/>
          </w:tcPr>
          <w:p w14:paraId="26A26473" w14:textId="77777777" w:rsidR="002C2F49" w:rsidRPr="00E544E2" w:rsidRDefault="002C2F49" w:rsidP="00675A91">
            <w:pPr>
              <w:spacing w:after="0" w:line="240" w:lineRule="auto"/>
              <w:jc w:val="both"/>
              <w:rPr>
                <w:rFonts w:ascii="Times New Roman" w:hAnsi="Times New Roman" w:cs="Times New Roman"/>
                <w:sz w:val="24"/>
                <w:szCs w:val="24"/>
              </w:rPr>
            </w:pPr>
          </w:p>
        </w:tc>
        <w:tc>
          <w:tcPr>
            <w:tcW w:w="5488" w:type="dxa"/>
            <w:vMerge w:val="restart"/>
            <w:vAlign w:val="center"/>
          </w:tcPr>
          <w:p w14:paraId="3EF458FC" w14:textId="77777777" w:rsidR="002C2F49" w:rsidRPr="00E544E2" w:rsidRDefault="002C2F49" w:rsidP="00675A91">
            <w:pPr>
              <w:spacing w:after="0" w:line="240" w:lineRule="auto"/>
              <w:ind w:left="-47"/>
              <w:jc w:val="both"/>
              <w:rPr>
                <w:rFonts w:ascii="Times New Roman" w:hAnsi="Times New Roman" w:cs="Times New Roman"/>
                <w:sz w:val="24"/>
                <w:szCs w:val="24"/>
              </w:rPr>
            </w:pPr>
            <w:r w:rsidRPr="00E544E2">
              <w:rPr>
                <w:rFonts w:ascii="Times New Roman" w:hAnsi="Times New Roman" w:cs="Times New Roman"/>
                <w:noProof/>
                <w:sz w:val="24"/>
                <w:szCs w:val="24"/>
                <w:lang w:eastAsia="en-IN"/>
              </w:rPr>
              <w:drawing>
                <wp:inline distT="0" distB="0" distL="0" distR="0" wp14:anchorId="6DAFDB5A" wp14:editId="34DF8483">
                  <wp:extent cx="3413125" cy="3794760"/>
                  <wp:effectExtent l="0" t="0" r="0" b="0"/>
                  <wp:docPr id="1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2C2F49" w:rsidRPr="00E544E2" w14:paraId="7C9B0495" w14:textId="77777777" w:rsidTr="00675A91">
        <w:trPr>
          <w:trHeight w:val="415"/>
        </w:trPr>
        <w:tc>
          <w:tcPr>
            <w:tcW w:w="1560" w:type="dxa"/>
            <w:vMerge/>
            <w:noWrap/>
            <w:vAlign w:val="bottom"/>
            <w:hideMark/>
          </w:tcPr>
          <w:p w14:paraId="77874C33" w14:textId="77777777" w:rsidR="002C2F49" w:rsidRPr="00E544E2" w:rsidRDefault="002C2F49" w:rsidP="00675A91">
            <w:pPr>
              <w:spacing w:after="0" w:line="240" w:lineRule="auto"/>
              <w:jc w:val="both"/>
              <w:rPr>
                <w:rFonts w:ascii="Times New Roman" w:hAnsi="Times New Roman" w:cs="Times New Roman"/>
                <w:b/>
                <w:bCs/>
                <w:sz w:val="24"/>
                <w:szCs w:val="24"/>
              </w:rPr>
            </w:pPr>
          </w:p>
        </w:tc>
        <w:tc>
          <w:tcPr>
            <w:tcW w:w="1105" w:type="dxa"/>
            <w:noWrap/>
            <w:vAlign w:val="center"/>
            <w:hideMark/>
          </w:tcPr>
          <w:p w14:paraId="1C832EAD" w14:textId="1CE461E4" w:rsidR="002C2F49" w:rsidRPr="00E544E2" w:rsidRDefault="00CC6D18"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75</w:t>
            </w:r>
            <w:r>
              <w:rPr>
                <w:rFonts w:ascii="Times New Roman" w:hAnsi="Times New Roman" w:cs="Times New Roman"/>
                <w:sz w:val="24"/>
                <w:szCs w:val="24"/>
              </w:rPr>
              <w:t>-</w:t>
            </w:r>
            <w:r w:rsidRPr="00E544E2">
              <w:rPr>
                <w:rFonts w:ascii="Times New Roman" w:hAnsi="Times New Roman" w:cs="Times New Roman"/>
                <w:sz w:val="24"/>
                <w:szCs w:val="24"/>
              </w:rPr>
              <w:t>days</w:t>
            </w:r>
            <w:r>
              <w:rPr>
                <w:rFonts w:ascii="Times New Roman" w:hAnsi="Times New Roman" w:cs="Times New Roman"/>
                <w:sz w:val="24"/>
                <w:szCs w:val="24"/>
              </w:rPr>
              <w:t xml:space="preserve"> crop</w:t>
            </w:r>
          </w:p>
        </w:tc>
        <w:tc>
          <w:tcPr>
            <w:tcW w:w="1021" w:type="dxa"/>
            <w:noWrap/>
            <w:vAlign w:val="center"/>
            <w:hideMark/>
          </w:tcPr>
          <w:p w14:paraId="6FA256EC" w14:textId="2622F404"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90</w:t>
            </w:r>
            <w:r w:rsidR="00CC6D18">
              <w:rPr>
                <w:rFonts w:ascii="Times New Roman" w:hAnsi="Times New Roman" w:cs="Times New Roman"/>
                <w:sz w:val="24"/>
                <w:szCs w:val="24"/>
              </w:rPr>
              <w:t>-</w:t>
            </w:r>
            <w:r w:rsidRPr="00E544E2">
              <w:rPr>
                <w:rFonts w:ascii="Times New Roman" w:hAnsi="Times New Roman" w:cs="Times New Roman"/>
                <w:sz w:val="24"/>
                <w:szCs w:val="24"/>
              </w:rPr>
              <w:t>days</w:t>
            </w:r>
            <w:r w:rsidR="00CC6D18">
              <w:rPr>
                <w:rFonts w:ascii="Times New Roman" w:hAnsi="Times New Roman" w:cs="Times New Roman"/>
                <w:sz w:val="24"/>
                <w:szCs w:val="24"/>
              </w:rPr>
              <w:t xml:space="preserve"> crop</w:t>
            </w:r>
          </w:p>
        </w:tc>
        <w:tc>
          <w:tcPr>
            <w:tcW w:w="255" w:type="dxa"/>
            <w:vMerge/>
            <w:tcBorders>
              <w:bottom w:val="nil"/>
            </w:tcBorders>
            <w:vAlign w:val="center"/>
          </w:tcPr>
          <w:p w14:paraId="41ED7ECA" w14:textId="77777777" w:rsidR="002C2F49" w:rsidRPr="00E544E2" w:rsidRDefault="002C2F49" w:rsidP="00675A91">
            <w:pPr>
              <w:spacing w:after="0" w:line="240" w:lineRule="auto"/>
              <w:jc w:val="both"/>
              <w:rPr>
                <w:rFonts w:ascii="Times New Roman" w:hAnsi="Times New Roman" w:cs="Times New Roman"/>
                <w:sz w:val="24"/>
                <w:szCs w:val="24"/>
              </w:rPr>
            </w:pPr>
          </w:p>
        </w:tc>
        <w:tc>
          <w:tcPr>
            <w:tcW w:w="5488" w:type="dxa"/>
            <w:vMerge/>
          </w:tcPr>
          <w:p w14:paraId="4F25EA51" w14:textId="77777777" w:rsidR="002C2F49" w:rsidRPr="00E544E2" w:rsidRDefault="002C2F49" w:rsidP="00675A91">
            <w:pPr>
              <w:spacing w:after="0" w:line="240" w:lineRule="auto"/>
              <w:jc w:val="both"/>
              <w:rPr>
                <w:rFonts w:ascii="Times New Roman" w:hAnsi="Times New Roman" w:cs="Times New Roman"/>
                <w:sz w:val="24"/>
                <w:szCs w:val="24"/>
              </w:rPr>
            </w:pPr>
          </w:p>
        </w:tc>
      </w:tr>
      <w:tr w:rsidR="002C2F49" w:rsidRPr="00E544E2" w14:paraId="3E135839" w14:textId="77777777" w:rsidTr="00675A91">
        <w:trPr>
          <w:trHeight w:val="245"/>
        </w:trPr>
        <w:tc>
          <w:tcPr>
            <w:tcW w:w="1560" w:type="dxa"/>
            <w:noWrap/>
            <w:vAlign w:val="center"/>
          </w:tcPr>
          <w:p w14:paraId="620BBC31"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PS/19-02</w:t>
            </w:r>
          </w:p>
        </w:tc>
        <w:tc>
          <w:tcPr>
            <w:tcW w:w="1105" w:type="dxa"/>
            <w:noWrap/>
            <w:vAlign w:val="center"/>
          </w:tcPr>
          <w:p w14:paraId="773F8B93"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23.55</w:t>
            </w:r>
          </w:p>
        </w:tc>
        <w:tc>
          <w:tcPr>
            <w:tcW w:w="1021" w:type="dxa"/>
            <w:noWrap/>
            <w:vAlign w:val="center"/>
          </w:tcPr>
          <w:p w14:paraId="5BDA7632"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33.00</w:t>
            </w:r>
          </w:p>
        </w:tc>
        <w:tc>
          <w:tcPr>
            <w:tcW w:w="255" w:type="dxa"/>
            <w:vMerge/>
            <w:tcBorders>
              <w:bottom w:val="nil"/>
            </w:tcBorders>
            <w:vAlign w:val="bottom"/>
          </w:tcPr>
          <w:p w14:paraId="66F5364D"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c>
          <w:tcPr>
            <w:tcW w:w="5488" w:type="dxa"/>
            <w:vMerge/>
          </w:tcPr>
          <w:p w14:paraId="68311584"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r>
      <w:tr w:rsidR="002C2F49" w:rsidRPr="00E544E2" w14:paraId="5A9F2A3E" w14:textId="77777777" w:rsidTr="00675A91">
        <w:trPr>
          <w:trHeight w:val="234"/>
        </w:trPr>
        <w:tc>
          <w:tcPr>
            <w:tcW w:w="1560" w:type="dxa"/>
            <w:noWrap/>
            <w:vAlign w:val="center"/>
          </w:tcPr>
          <w:p w14:paraId="072C526F"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PS/19-04</w:t>
            </w:r>
          </w:p>
        </w:tc>
        <w:tc>
          <w:tcPr>
            <w:tcW w:w="1105" w:type="dxa"/>
            <w:noWrap/>
            <w:vAlign w:val="center"/>
          </w:tcPr>
          <w:p w14:paraId="4A6329FD"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22.16</w:t>
            </w:r>
          </w:p>
        </w:tc>
        <w:tc>
          <w:tcPr>
            <w:tcW w:w="1021" w:type="dxa"/>
            <w:noWrap/>
            <w:vAlign w:val="center"/>
          </w:tcPr>
          <w:p w14:paraId="594EBB8E"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32.25</w:t>
            </w:r>
          </w:p>
        </w:tc>
        <w:tc>
          <w:tcPr>
            <w:tcW w:w="255" w:type="dxa"/>
            <w:vMerge/>
            <w:tcBorders>
              <w:bottom w:val="nil"/>
            </w:tcBorders>
            <w:vAlign w:val="bottom"/>
          </w:tcPr>
          <w:p w14:paraId="3C7E1EF6"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c>
          <w:tcPr>
            <w:tcW w:w="5488" w:type="dxa"/>
            <w:vMerge/>
          </w:tcPr>
          <w:p w14:paraId="4D769E2E"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r>
      <w:tr w:rsidR="002C2F49" w:rsidRPr="00E544E2" w14:paraId="367A35C1" w14:textId="77777777" w:rsidTr="00675A91">
        <w:trPr>
          <w:trHeight w:val="234"/>
        </w:trPr>
        <w:tc>
          <w:tcPr>
            <w:tcW w:w="1560" w:type="dxa"/>
            <w:noWrap/>
            <w:vAlign w:val="center"/>
          </w:tcPr>
          <w:p w14:paraId="27247D11"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PS/19-12</w:t>
            </w:r>
          </w:p>
        </w:tc>
        <w:tc>
          <w:tcPr>
            <w:tcW w:w="1105" w:type="dxa"/>
            <w:noWrap/>
            <w:vAlign w:val="center"/>
          </w:tcPr>
          <w:p w14:paraId="3DDEC846"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24.67</w:t>
            </w:r>
          </w:p>
        </w:tc>
        <w:tc>
          <w:tcPr>
            <w:tcW w:w="1021" w:type="dxa"/>
            <w:noWrap/>
            <w:vAlign w:val="center"/>
          </w:tcPr>
          <w:p w14:paraId="26B5E9C4"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37.47</w:t>
            </w:r>
          </w:p>
        </w:tc>
        <w:tc>
          <w:tcPr>
            <w:tcW w:w="255" w:type="dxa"/>
            <w:vMerge/>
            <w:tcBorders>
              <w:bottom w:val="nil"/>
            </w:tcBorders>
            <w:vAlign w:val="bottom"/>
          </w:tcPr>
          <w:p w14:paraId="2BD5D0DB"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c>
          <w:tcPr>
            <w:tcW w:w="5488" w:type="dxa"/>
            <w:vMerge/>
          </w:tcPr>
          <w:p w14:paraId="44BA346E"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r>
      <w:tr w:rsidR="002C2F49" w:rsidRPr="00E544E2" w14:paraId="39DC94CC" w14:textId="77777777" w:rsidTr="00675A91">
        <w:trPr>
          <w:trHeight w:val="234"/>
        </w:trPr>
        <w:tc>
          <w:tcPr>
            <w:tcW w:w="1560" w:type="dxa"/>
            <w:noWrap/>
            <w:vAlign w:val="center"/>
          </w:tcPr>
          <w:p w14:paraId="096D0622"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PS/19-24</w:t>
            </w:r>
          </w:p>
        </w:tc>
        <w:tc>
          <w:tcPr>
            <w:tcW w:w="1105" w:type="dxa"/>
            <w:noWrap/>
            <w:vAlign w:val="center"/>
          </w:tcPr>
          <w:p w14:paraId="3690F1BC"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22.69</w:t>
            </w:r>
          </w:p>
        </w:tc>
        <w:tc>
          <w:tcPr>
            <w:tcW w:w="1021" w:type="dxa"/>
            <w:noWrap/>
            <w:vAlign w:val="center"/>
          </w:tcPr>
          <w:p w14:paraId="719699A7"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36.56</w:t>
            </w:r>
          </w:p>
        </w:tc>
        <w:tc>
          <w:tcPr>
            <w:tcW w:w="255" w:type="dxa"/>
            <w:vMerge/>
            <w:tcBorders>
              <w:bottom w:val="nil"/>
            </w:tcBorders>
            <w:vAlign w:val="bottom"/>
          </w:tcPr>
          <w:p w14:paraId="39918C23"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c>
          <w:tcPr>
            <w:tcW w:w="5488" w:type="dxa"/>
            <w:vMerge/>
          </w:tcPr>
          <w:p w14:paraId="1FB9E6EB"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r>
      <w:tr w:rsidR="002C2F49" w:rsidRPr="00E544E2" w14:paraId="7E841F0C" w14:textId="77777777" w:rsidTr="00675A91">
        <w:trPr>
          <w:trHeight w:val="234"/>
        </w:trPr>
        <w:tc>
          <w:tcPr>
            <w:tcW w:w="1560" w:type="dxa"/>
            <w:noWrap/>
            <w:vAlign w:val="center"/>
          </w:tcPr>
          <w:p w14:paraId="5E451E44"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PS/19-26</w:t>
            </w:r>
          </w:p>
        </w:tc>
        <w:tc>
          <w:tcPr>
            <w:tcW w:w="1105" w:type="dxa"/>
            <w:noWrap/>
            <w:vAlign w:val="center"/>
          </w:tcPr>
          <w:p w14:paraId="1CA6ED79"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14.72</w:t>
            </w:r>
          </w:p>
        </w:tc>
        <w:tc>
          <w:tcPr>
            <w:tcW w:w="1021" w:type="dxa"/>
            <w:noWrap/>
            <w:vAlign w:val="center"/>
          </w:tcPr>
          <w:p w14:paraId="4AF0FB78"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23.87</w:t>
            </w:r>
          </w:p>
        </w:tc>
        <w:tc>
          <w:tcPr>
            <w:tcW w:w="255" w:type="dxa"/>
            <w:vMerge/>
            <w:tcBorders>
              <w:bottom w:val="nil"/>
            </w:tcBorders>
            <w:vAlign w:val="bottom"/>
          </w:tcPr>
          <w:p w14:paraId="19EC137F"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c>
          <w:tcPr>
            <w:tcW w:w="5488" w:type="dxa"/>
            <w:vMerge/>
          </w:tcPr>
          <w:p w14:paraId="10B4AE01"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r>
      <w:tr w:rsidR="002C2F49" w:rsidRPr="00E544E2" w14:paraId="025F7AF8" w14:textId="77777777" w:rsidTr="00675A91">
        <w:trPr>
          <w:trHeight w:val="234"/>
        </w:trPr>
        <w:tc>
          <w:tcPr>
            <w:tcW w:w="1560" w:type="dxa"/>
            <w:noWrap/>
            <w:vAlign w:val="center"/>
          </w:tcPr>
          <w:p w14:paraId="2DA80287"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PS/19-31</w:t>
            </w:r>
          </w:p>
        </w:tc>
        <w:tc>
          <w:tcPr>
            <w:tcW w:w="1105" w:type="dxa"/>
            <w:noWrap/>
            <w:vAlign w:val="center"/>
          </w:tcPr>
          <w:p w14:paraId="2175AF90"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18.26</w:t>
            </w:r>
          </w:p>
        </w:tc>
        <w:tc>
          <w:tcPr>
            <w:tcW w:w="1021" w:type="dxa"/>
            <w:noWrap/>
            <w:vAlign w:val="center"/>
          </w:tcPr>
          <w:p w14:paraId="3ADCFBD5"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26.80</w:t>
            </w:r>
          </w:p>
        </w:tc>
        <w:tc>
          <w:tcPr>
            <w:tcW w:w="255" w:type="dxa"/>
            <w:vMerge/>
            <w:tcBorders>
              <w:bottom w:val="nil"/>
            </w:tcBorders>
            <w:vAlign w:val="bottom"/>
          </w:tcPr>
          <w:p w14:paraId="4AB5F006"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c>
          <w:tcPr>
            <w:tcW w:w="5488" w:type="dxa"/>
            <w:vMerge/>
          </w:tcPr>
          <w:p w14:paraId="40C5E142"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r>
      <w:tr w:rsidR="002C2F49" w:rsidRPr="00E544E2" w14:paraId="40328537" w14:textId="77777777" w:rsidTr="00675A91">
        <w:trPr>
          <w:trHeight w:val="234"/>
        </w:trPr>
        <w:tc>
          <w:tcPr>
            <w:tcW w:w="1560" w:type="dxa"/>
            <w:noWrap/>
            <w:vAlign w:val="center"/>
          </w:tcPr>
          <w:p w14:paraId="23FD3557"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PS/19-41</w:t>
            </w:r>
          </w:p>
        </w:tc>
        <w:tc>
          <w:tcPr>
            <w:tcW w:w="1105" w:type="dxa"/>
            <w:noWrap/>
            <w:vAlign w:val="center"/>
          </w:tcPr>
          <w:p w14:paraId="43F41BC1"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24.66</w:t>
            </w:r>
          </w:p>
        </w:tc>
        <w:tc>
          <w:tcPr>
            <w:tcW w:w="1021" w:type="dxa"/>
            <w:noWrap/>
            <w:vAlign w:val="center"/>
          </w:tcPr>
          <w:p w14:paraId="06D9A118"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33.17</w:t>
            </w:r>
          </w:p>
        </w:tc>
        <w:tc>
          <w:tcPr>
            <w:tcW w:w="255" w:type="dxa"/>
            <w:vMerge/>
            <w:tcBorders>
              <w:bottom w:val="nil"/>
            </w:tcBorders>
            <w:vAlign w:val="bottom"/>
          </w:tcPr>
          <w:p w14:paraId="6605D15C"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c>
          <w:tcPr>
            <w:tcW w:w="5488" w:type="dxa"/>
            <w:vMerge/>
          </w:tcPr>
          <w:p w14:paraId="083DA6BE"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r>
      <w:tr w:rsidR="002C2F49" w:rsidRPr="00E544E2" w14:paraId="5B18210B" w14:textId="77777777" w:rsidTr="00675A91">
        <w:trPr>
          <w:trHeight w:val="234"/>
        </w:trPr>
        <w:tc>
          <w:tcPr>
            <w:tcW w:w="1560" w:type="dxa"/>
            <w:noWrap/>
            <w:vAlign w:val="center"/>
          </w:tcPr>
          <w:p w14:paraId="6D2D5FAD"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PS/19-43</w:t>
            </w:r>
          </w:p>
        </w:tc>
        <w:tc>
          <w:tcPr>
            <w:tcW w:w="1105" w:type="dxa"/>
            <w:noWrap/>
            <w:vAlign w:val="center"/>
          </w:tcPr>
          <w:p w14:paraId="00BC61BE"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22.67</w:t>
            </w:r>
          </w:p>
        </w:tc>
        <w:tc>
          <w:tcPr>
            <w:tcW w:w="1021" w:type="dxa"/>
            <w:noWrap/>
            <w:vAlign w:val="center"/>
          </w:tcPr>
          <w:p w14:paraId="55FE6D18"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28.59</w:t>
            </w:r>
          </w:p>
        </w:tc>
        <w:tc>
          <w:tcPr>
            <w:tcW w:w="255" w:type="dxa"/>
            <w:vMerge/>
            <w:tcBorders>
              <w:bottom w:val="nil"/>
            </w:tcBorders>
            <w:vAlign w:val="bottom"/>
          </w:tcPr>
          <w:p w14:paraId="1CAC1EF8"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c>
          <w:tcPr>
            <w:tcW w:w="5488" w:type="dxa"/>
            <w:vMerge/>
          </w:tcPr>
          <w:p w14:paraId="122CC898"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r>
      <w:tr w:rsidR="002C2F49" w:rsidRPr="00E544E2" w14:paraId="7810883B" w14:textId="77777777" w:rsidTr="00675A91">
        <w:trPr>
          <w:trHeight w:val="234"/>
        </w:trPr>
        <w:tc>
          <w:tcPr>
            <w:tcW w:w="1560" w:type="dxa"/>
            <w:noWrap/>
            <w:vAlign w:val="center"/>
          </w:tcPr>
          <w:p w14:paraId="47B89B2E" w14:textId="77777777" w:rsidR="002C2F49" w:rsidRPr="00E544E2" w:rsidRDefault="002C2F49" w:rsidP="00675A9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PS/19-44</w:t>
            </w:r>
          </w:p>
        </w:tc>
        <w:tc>
          <w:tcPr>
            <w:tcW w:w="1105" w:type="dxa"/>
            <w:noWrap/>
            <w:vAlign w:val="center"/>
          </w:tcPr>
          <w:p w14:paraId="10261B0A"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22.33</w:t>
            </w:r>
          </w:p>
        </w:tc>
        <w:tc>
          <w:tcPr>
            <w:tcW w:w="1021" w:type="dxa"/>
            <w:noWrap/>
            <w:vAlign w:val="center"/>
          </w:tcPr>
          <w:p w14:paraId="20E8149E"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30.45</w:t>
            </w:r>
          </w:p>
        </w:tc>
        <w:tc>
          <w:tcPr>
            <w:tcW w:w="255" w:type="dxa"/>
            <w:vMerge/>
            <w:tcBorders>
              <w:bottom w:val="nil"/>
            </w:tcBorders>
            <w:vAlign w:val="bottom"/>
          </w:tcPr>
          <w:p w14:paraId="026BBDE8"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c>
          <w:tcPr>
            <w:tcW w:w="5488" w:type="dxa"/>
            <w:vMerge/>
          </w:tcPr>
          <w:p w14:paraId="7A610BD9"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r>
      <w:tr w:rsidR="002C2F49" w:rsidRPr="00E544E2" w14:paraId="5B315992" w14:textId="77777777" w:rsidTr="00675A91">
        <w:trPr>
          <w:trHeight w:val="234"/>
        </w:trPr>
        <w:tc>
          <w:tcPr>
            <w:tcW w:w="1560" w:type="dxa"/>
            <w:noWrap/>
            <w:vAlign w:val="center"/>
          </w:tcPr>
          <w:p w14:paraId="2D472EB4" w14:textId="77777777" w:rsidR="002C2F49" w:rsidRPr="00E544E2" w:rsidRDefault="002C2F49" w:rsidP="00675A9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PS/19-50</w:t>
            </w:r>
          </w:p>
        </w:tc>
        <w:tc>
          <w:tcPr>
            <w:tcW w:w="1105" w:type="dxa"/>
            <w:noWrap/>
            <w:vAlign w:val="center"/>
          </w:tcPr>
          <w:p w14:paraId="1ED77F31"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24.54</w:t>
            </w:r>
          </w:p>
        </w:tc>
        <w:tc>
          <w:tcPr>
            <w:tcW w:w="1021" w:type="dxa"/>
            <w:noWrap/>
            <w:vAlign w:val="center"/>
          </w:tcPr>
          <w:p w14:paraId="4C373F6F"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25.71</w:t>
            </w:r>
          </w:p>
        </w:tc>
        <w:tc>
          <w:tcPr>
            <w:tcW w:w="255" w:type="dxa"/>
            <w:vMerge/>
            <w:tcBorders>
              <w:bottom w:val="nil"/>
            </w:tcBorders>
            <w:vAlign w:val="bottom"/>
          </w:tcPr>
          <w:p w14:paraId="7E896DD8"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c>
          <w:tcPr>
            <w:tcW w:w="5488" w:type="dxa"/>
            <w:vMerge/>
          </w:tcPr>
          <w:p w14:paraId="79480694"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r>
      <w:tr w:rsidR="002C2F49" w:rsidRPr="00E544E2" w14:paraId="7C04C16D" w14:textId="77777777" w:rsidTr="00675A91">
        <w:trPr>
          <w:trHeight w:val="234"/>
        </w:trPr>
        <w:tc>
          <w:tcPr>
            <w:tcW w:w="1560" w:type="dxa"/>
            <w:noWrap/>
            <w:vAlign w:val="center"/>
          </w:tcPr>
          <w:p w14:paraId="0F460EFB" w14:textId="4270F74F" w:rsidR="002C2F49" w:rsidRPr="00E544E2" w:rsidRDefault="002C2F49" w:rsidP="00675A9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K.</w:t>
            </w:r>
            <w:r w:rsidR="00675A91">
              <w:rPr>
                <w:rFonts w:ascii="Times New Roman" w:eastAsia="Calibri" w:hAnsi="Times New Roman" w:cs="Times New Roman"/>
                <w:sz w:val="24"/>
                <w:szCs w:val="24"/>
              </w:rPr>
              <w:t xml:space="preserve"> </w:t>
            </w:r>
            <w:r w:rsidRPr="00E544E2">
              <w:rPr>
                <w:rFonts w:ascii="Times New Roman" w:eastAsia="Calibri" w:hAnsi="Times New Roman" w:cs="Times New Roman"/>
                <w:sz w:val="24"/>
                <w:szCs w:val="24"/>
              </w:rPr>
              <w:t>Lalima</w:t>
            </w:r>
          </w:p>
        </w:tc>
        <w:tc>
          <w:tcPr>
            <w:tcW w:w="1105" w:type="dxa"/>
            <w:noWrap/>
            <w:vAlign w:val="center"/>
          </w:tcPr>
          <w:p w14:paraId="0DB97DF7"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15.68</w:t>
            </w:r>
          </w:p>
        </w:tc>
        <w:tc>
          <w:tcPr>
            <w:tcW w:w="1021" w:type="dxa"/>
            <w:noWrap/>
            <w:vAlign w:val="center"/>
          </w:tcPr>
          <w:p w14:paraId="20222AD9"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21.18</w:t>
            </w:r>
          </w:p>
        </w:tc>
        <w:tc>
          <w:tcPr>
            <w:tcW w:w="255" w:type="dxa"/>
            <w:vMerge/>
            <w:tcBorders>
              <w:bottom w:val="nil"/>
            </w:tcBorders>
            <w:vAlign w:val="bottom"/>
          </w:tcPr>
          <w:p w14:paraId="59D2908F"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c>
          <w:tcPr>
            <w:tcW w:w="5488" w:type="dxa"/>
            <w:vMerge/>
          </w:tcPr>
          <w:p w14:paraId="7E00B3F5"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r>
      <w:tr w:rsidR="002C2F49" w:rsidRPr="00E544E2" w14:paraId="74474F3E" w14:textId="77777777" w:rsidTr="00675A91">
        <w:trPr>
          <w:trHeight w:val="234"/>
        </w:trPr>
        <w:tc>
          <w:tcPr>
            <w:tcW w:w="1560" w:type="dxa"/>
            <w:noWrap/>
            <w:vAlign w:val="center"/>
          </w:tcPr>
          <w:p w14:paraId="5D7D6383" w14:textId="02CC5A29" w:rsidR="002C2F49" w:rsidRPr="00E544E2" w:rsidRDefault="002C2F49" w:rsidP="00675A9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K.</w:t>
            </w:r>
            <w:r w:rsidR="00675A91">
              <w:rPr>
                <w:rFonts w:ascii="Times New Roman" w:eastAsia="Calibri" w:hAnsi="Times New Roman" w:cs="Times New Roman"/>
                <w:sz w:val="24"/>
                <w:szCs w:val="24"/>
              </w:rPr>
              <w:t xml:space="preserve"> </w:t>
            </w:r>
            <w:r w:rsidRPr="00E544E2">
              <w:rPr>
                <w:rFonts w:ascii="Times New Roman" w:eastAsia="Calibri" w:hAnsi="Times New Roman" w:cs="Times New Roman"/>
                <w:sz w:val="24"/>
                <w:szCs w:val="24"/>
              </w:rPr>
              <w:t>Lalit</w:t>
            </w:r>
          </w:p>
        </w:tc>
        <w:tc>
          <w:tcPr>
            <w:tcW w:w="1105" w:type="dxa"/>
            <w:noWrap/>
            <w:vAlign w:val="center"/>
          </w:tcPr>
          <w:p w14:paraId="2E5F8E9A"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22.73</w:t>
            </w:r>
          </w:p>
        </w:tc>
        <w:tc>
          <w:tcPr>
            <w:tcW w:w="1021" w:type="dxa"/>
            <w:noWrap/>
            <w:vAlign w:val="center"/>
          </w:tcPr>
          <w:p w14:paraId="22EE8702"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29.48</w:t>
            </w:r>
          </w:p>
        </w:tc>
        <w:tc>
          <w:tcPr>
            <w:tcW w:w="255" w:type="dxa"/>
            <w:vMerge/>
            <w:tcBorders>
              <w:bottom w:val="nil"/>
            </w:tcBorders>
            <w:vAlign w:val="bottom"/>
          </w:tcPr>
          <w:p w14:paraId="33BE2222"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c>
          <w:tcPr>
            <w:tcW w:w="5488" w:type="dxa"/>
            <w:vMerge/>
          </w:tcPr>
          <w:p w14:paraId="203033FE"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r>
      <w:tr w:rsidR="002C2F49" w:rsidRPr="00E544E2" w14:paraId="32B05D34" w14:textId="77777777" w:rsidTr="00675A91">
        <w:trPr>
          <w:trHeight w:val="234"/>
        </w:trPr>
        <w:tc>
          <w:tcPr>
            <w:tcW w:w="1560" w:type="dxa"/>
            <w:noWrap/>
            <w:vAlign w:val="center"/>
          </w:tcPr>
          <w:p w14:paraId="6EB7F1A9" w14:textId="74AB7CCE"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lastRenderedPageBreak/>
              <w:t>K.</w:t>
            </w:r>
            <w:r w:rsidR="00675A91">
              <w:rPr>
                <w:rFonts w:ascii="Times New Roman" w:eastAsia="Calibri" w:hAnsi="Times New Roman" w:cs="Times New Roman"/>
                <w:sz w:val="24"/>
                <w:szCs w:val="24"/>
              </w:rPr>
              <w:t xml:space="preserve"> </w:t>
            </w:r>
            <w:r w:rsidRPr="00E544E2">
              <w:rPr>
                <w:rFonts w:ascii="Times New Roman" w:eastAsia="Calibri" w:hAnsi="Times New Roman" w:cs="Times New Roman"/>
                <w:sz w:val="24"/>
                <w:szCs w:val="24"/>
              </w:rPr>
              <w:t>Lohit</w:t>
            </w:r>
          </w:p>
        </w:tc>
        <w:tc>
          <w:tcPr>
            <w:tcW w:w="1105" w:type="dxa"/>
            <w:noWrap/>
            <w:vAlign w:val="center"/>
          </w:tcPr>
          <w:p w14:paraId="21BECF37"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21.13</w:t>
            </w:r>
          </w:p>
        </w:tc>
        <w:tc>
          <w:tcPr>
            <w:tcW w:w="1021" w:type="dxa"/>
            <w:noWrap/>
            <w:vAlign w:val="center"/>
          </w:tcPr>
          <w:p w14:paraId="30203D55"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29.92</w:t>
            </w:r>
          </w:p>
        </w:tc>
        <w:tc>
          <w:tcPr>
            <w:tcW w:w="255" w:type="dxa"/>
            <w:vMerge/>
            <w:tcBorders>
              <w:bottom w:val="nil"/>
            </w:tcBorders>
            <w:vAlign w:val="bottom"/>
          </w:tcPr>
          <w:p w14:paraId="5FDDC33D"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c>
          <w:tcPr>
            <w:tcW w:w="5488" w:type="dxa"/>
            <w:vMerge/>
          </w:tcPr>
          <w:p w14:paraId="5997E170"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r>
      <w:tr w:rsidR="002C2F49" w:rsidRPr="00E544E2" w14:paraId="3A49C7A4" w14:textId="77777777" w:rsidTr="00675A91">
        <w:trPr>
          <w:trHeight w:val="234"/>
        </w:trPr>
        <w:tc>
          <w:tcPr>
            <w:tcW w:w="1560" w:type="dxa"/>
            <w:noWrap/>
            <w:vAlign w:val="center"/>
          </w:tcPr>
          <w:p w14:paraId="32F473BA" w14:textId="71DFE79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K.</w:t>
            </w:r>
            <w:r w:rsidR="00675A91">
              <w:rPr>
                <w:rFonts w:ascii="Times New Roman" w:eastAsia="Calibri" w:hAnsi="Times New Roman" w:cs="Times New Roman"/>
                <w:sz w:val="24"/>
                <w:szCs w:val="24"/>
              </w:rPr>
              <w:t xml:space="preserve"> </w:t>
            </w:r>
            <w:r w:rsidRPr="00E544E2">
              <w:rPr>
                <w:rFonts w:ascii="Times New Roman" w:eastAsia="Calibri" w:hAnsi="Times New Roman" w:cs="Times New Roman"/>
                <w:sz w:val="24"/>
                <w:szCs w:val="24"/>
              </w:rPr>
              <w:t>Manik</w:t>
            </w:r>
          </w:p>
        </w:tc>
        <w:tc>
          <w:tcPr>
            <w:tcW w:w="1105" w:type="dxa"/>
            <w:noWrap/>
            <w:vAlign w:val="center"/>
          </w:tcPr>
          <w:p w14:paraId="67086642"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13.33</w:t>
            </w:r>
          </w:p>
        </w:tc>
        <w:tc>
          <w:tcPr>
            <w:tcW w:w="1021" w:type="dxa"/>
            <w:noWrap/>
            <w:vAlign w:val="center"/>
          </w:tcPr>
          <w:p w14:paraId="4847DAF3"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19.12</w:t>
            </w:r>
          </w:p>
        </w:tc>
        <w:tc>
          <w:tcPr>
            <w:tcW w:w="255" w:type="dxa"/>
            <w:vMerge/>
            <w:tcBorders>
              <w:bottom w:val="nil"/>
            </w:tcBorders>
            <w:vAlign w:val="bottom"/>
          </w:tcPr>
          <w:p w14:paraId="07A7887A"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c>
          <w:tcPr>
            <w:tcW w:w="5488" w:type="dxa"/>
            <w:vMerge/>
          </w:tcPr>
          <w:p w14:paraId="412B6EE3"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r>
      <w:tr w:rsidR="002C2F49" w:rsidRPr="00E544E2" w14:paraId="0D5B49C3" w14:textId="77777777" w:rsidTr="00675A91">
        <w:trPr>
          <w:trHeight w:val="234"/>
        </w:trPr>
        <w:tc>
          <w:tcPr>
            <w:tcW w:w="1560" w:type="dxa"/>
            <w:noWrap/>
            <w:vAlign w:val="center"/>
          </w:tcPr>
          <w:p w14:paraId="3B7CBBDD" w14:textId="506BEB20" w:rsidR="002C2F49" w:rsidRPr="00E544E2" w:rsidRDefault="002C2F49" w:rsidP="00675A91">
            <w:pPr>
              <w:spacing w:after="0" w:line="240" w:lineRule="auto"/>
              <w:jc w:val="both"/>
              <w:rPr>
                <w:rFonts w:ascii="Times New Roman" w:hAnsi="Times New Roman" w:cs="Times New Roman"/>
                <w:sz w:val="24"/>
                <w:szCs w:val="24"/>
              </w:rPr>
            </w:pPr>
            <w:proofErr w:type="spellStart"/>
            <w:proofErr w:type="gramStart"/>
            <w:r w:rsidRPr="00E544E2">
              <w:rPr>
                <w:rFonts w:ascii="Times New Roman" w:eastAsia="Calibri" w:hAnsi="Times New Roman" w:cs="Times New Roman"/>
                <w:sz w:val="24"/>
                <w:szCs w:val="24"/>
              </w:rPr>
              <w:t>K.Neelkanth</w:t>
            </w:r>
            <w:proofErr w:type="spellEnd"/>
            <w:proofErr w:type="gramEnd"/>
          </w:p>
        </w:tc>
        <w:tc>
          <w:tcPr>
            <w:tcW w:w="1105" w:type="dxa"/>
            <w:noWrap/>
            <w:vAlign w:val="center"/>
          </w:tcPr>
          <w:p w14:paraId="3B3FEC98"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14.74</w:t>
            </w:r>
          </w:p>
        </w:tc>
        <w:tc>
          <w:tcPr>
            <w:tcW w:w="1021" w:type="dxa"/>
            <w:noWrap/>
            <w:vAlign w:val="center"/>
          </w:tcPr>
          <w:p w14:paraId="1E645EDC"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37.57</w:t>
            </w:r>
          </w:p>
        </w:tc>
        <w:tc>
          <w:tcPr>
            <w:tcW w:w="255" w:type="dxa"/>
            <w:vMerge/>
            <w:tcBorders>
              <w:bottom w:val="nil"/>
            </w:tcBorders>
            <w:vAlign w:val="bottom"/>
          </w:tcPr>
          <w:p w14:paraId="0B97D705"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c>
          <w:tcPr>
            <w:tcW w:w="5488" w:type="dxa"/>
            <w:vMerge/>
          </w:tcPr>
          <w:p w14:paraId="5B209E07"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r>
      <w:tr w:rsidR="002C2F49" w:rsidRPr="00E544E2" w14:paraId="5951D4D8" w14:textId="77777777" w:rsidTr="00675A91">
        <w:trPr>
          <w:trHeight w:val="46"/>
        </w:trPr>
        <w:tc>
          <w:tcPr>
            <w:tcW w:w="1560" w:type="dxa"/>
            <w:tcBorders>
              <w:bottom w:val="single" w:sz="4" w:space="0" w:color="auto"/>
            </w:tcBorders>
            <w:noWrap/>
            <w:vAlign w:val="center"/>
          </w:tcPr>
          <w:p w14:paraId="022981CE" w14:textId="035F9C1A" w:rsidR="002C2F49" w:rsidRPr="00E544E2" w:rsidRDefault="002C2F49" w:rsidP="00675A9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 xml:space="preserve">CD (0.05) </w:t>
            </w:r>
          </w:p>
        </w:tc>
        <w:tc>
          <w:tcPr>
            <w:tcW w:w="1105" w:type="dxa"/>
            <w:tcBorders>
              <w:bottom w:val="single" w:sz="4" w:space="0" w:color="auto"/>
            </w:tcBorders>
            <w:noWrap/>
            <w:vAlign w:val="center"/>
          </w:tcPr>
          <w:p w14:paraId="0D6565A6"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10.25</w:t>
            </w:r>
          </w:p>
        </w:tc>
        <w:tc>
          <w:tcPr>
            <w:tcW w:w="1021" w:type="dxa"/>
            <w:tcBorders>
              <w:bottom w:val="single" w:sz="4" w:space="0" w:color="auto"/>
            </w:tcBorders>
            <w:noWrap/>
            <w:vAlign w:val="center"/>
          </w:tcPr>
          <w:p w14:paraId="05F9526C"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11.29</w:t>
            </w:r>
          </w:p>
        </w:tc>
        <w:tc>
          <w:tcPr>
            <w:tcW w:w="255" w:type="dxa"/>
            <w:vMerge/>
            <w:tcBorders>
              <w:bottom w:val="nil"/>
            </w:tcBorders>
            <w:vAlign w:val="bottom"/>
          </w:tcPr>
          <w:p w14:paraId="48DBBDCB"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c>
          <w:tcPr>
            <w:tcW w:w="5488" w:type="dxa"/>
            <w:vMerge/>
          </w:tcPr>
          <w:p w14:paraId="310CF64E"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r>
      <w:tr w:rsidR="002C2F49" w:rsidRPr="00E544E2" w14:paraId="61EE9CCA" w14:textId="77777777" w:rsidTr="00742102">
        <w:trPr>
          <w:trHeight w:val="383"/>
        </w:trPr>
        <w:tc>
          <w:tcPr>
            <w:tcW w:w="1560" w:type="dxa"/>
            <w:tcBorders>
              <w:bottom w:val="single" w:sz="4" w:space="0" w:color="auto"/>
            </w:tcBorders>
            <w:noWrap/>
            <w:vAlign w:val="center"/>
          </w:tcPr>
          <w:p w14:paraId="335F3963" w14:textId="37D81D07" w:rsidR="002C2F49" w:rsidRPr="00E544E2" w:rsidRDefault="002C2F49" w:rsidP="00675A9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CV (%</w:t>
            </w:r>
            <w:r w:rsidR="00675A91" w:rsidRPr="00E544E2">
              <w:rPr>
                <w:rFonts w:ascii="Times New Roman" w:eastAsia="Calibri" w:hAnsi="Times New Roman" w:cs="Times New Roman"/>
                <w:sz w:val="24"/>
                <w:szCs w:val="24"/>
              </w:rPr>
              <w:t>):</w:t>
            </w:r>
          </w:p>
        </w:tc>
        <w:tc>
          <w:tcPr>
            <w:tcW w:w="1105" w:type="dxa"/>
            <w:tcBorders>
              <w:bottom w:val="single" w:sz="4" w:space="0" w:color="auto"/>
            </w:tcBorders>
            <w:noWrap/>
            <w:vAlign w:val="center"/>
          </w:tcPr>
          <w:p w14:paraId="6729596A"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34.12</w:t>
            </w:r>
          </w:p>
        </w:tc>
        <w:tc>
          <w:tcPr>
            <w:tcW w:w="1021" w:type="dxa"/>
            <w:tcBorders>
              <w:bottom w:val="single" w:sz="4" w:space="0" w:color="auto"/>
            </w:tcBorders>
            <w:noWrap/>
            <w:vAlign w:val="center"/>
          </w:tcPr>
          <w:p w14:paraId="3858182B" w14:textId="77777777" w:rsidR="002C2F49" w:rsidRPr="00E544E2" w:rsidRDefault="002C2F49" w:rsidP="00675A9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24.77</w:t>
            </w:r>
          </w:p>
        </w:tc>
        <w:tc>
          <w:tcPr>
            <w:tcW w:w="255" w:type="dxa"/>
            <w:vMerge/>
            <w:tcBorders>
              <w:bottom w:val="nil"/>
            </w:tcBorders>
            <w:vAlign w:val="bottom"/>
          </w:tcPr>
          <w:p w14:paraId="26A3E93D"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c>
          <w:tcPr>
            <w:tcW w:w="5488" w:type="dxa"/>
            <w:vMerge/>
          </w:tcPr>
          <w:p w14:paraId="793784CD" w14:textId="77777777" w:rsidR="002C2F49" w:rsidRPr="00E544E2" w:rsidRDefault="002C2F49" w:rsidP="00675A91">
            <w:pPr>
              <w:tabs>
                <w:tab w:val="decimal" w:pos="459"/>
              </w:tabs>
              <w:spacing w:after="0" w:line="240" w:lineRule="auto"/>
              <w:jc w:val="both"/>
              <w:rPr>
                <w:rFonts w:ascii="Times New Roman" w:hAnsi="Times New Roman" w:cs="Times New Roman"/>
                <w:sz w:val="24"/>
                <w:szCs w:val="24"/>
              </w:rPr>
            </w:pPr>
          </w:p>
        </w:tc>
      </w:tr>
      <w:tr w:rsidR="002C2F49" w:rsidRPr="00E544E2" w14:paraId="5868C1E2" w14:textId="77777777" w:rsidTr="00675A91">
        <w:trPr>
          <w:trHeight w:val="46"/>
        </w:trPr>
        <w:tc>
          <w:tcPr>
            <w:tcW w:w="9429" w:type="dxa"/>
            <w:gridSpan w:val="5"/>
            <w:tcBorders>
              <w:top w:val="nil"/>
              <w:left w:val="nil"/>
              <w:bottom w:val="nil"/>
              <w:right w:val="nil"/>
            </w:tcBorders>
            <w:noWrap/>
            <w:vAlign w:val="center"/>
            <w:hideMark/>
          </w:tcPr>
          <w:p w14:paraId="5A9B1D74" w14:textId="06A4FF1B" w:rsidR="00117EDB" w:rsidRPr="00E544E2" w:rsidRDefault="002C2F49" w:rsidP="00675A91">
            <w:pPr>
              <w:pStyle w:val="BodyText2"/>
              <w:framePr w:hSpace="0" w:wrap="auto" w:vAnchor="margin" w:xAlign="left" w:yAlign="inline"/>
              <w:suppressOverlap w:val="0"/>
            </w:pPr>
            <w:r w:rsidRPr="00E544E2">
              <w:t>Table &amp; Fig. 2</w:t>
            </w:r>
            <w:r w:rsidR="003866B6">
              <w:t xml:space="preserve">: </w:t>
            </w:r>
            <w:r w:rsidR="003866B6" w:rsidRPr="00E544E2">
              <w:t xml:space="preserve"> Total tuber Yield (t/ha) of advanced clones (202</w:t>
            </w:r>
            <w:r w:rsidR="00675A91">
              <w:t>3-25)</w:t>
            </w:r>
          </w:p>
          <w:p w14:paraId="537C08C1" w14:textId="77777777" w:rsidR="002C2F49" w:rsidRPr="00E544E2" w:rsidRDefault="002C2F49" w:rsidP="00675A91">
            <w:pPr>
              <w:tabs>
                <w:tab w:val="decimal" w:pos="459"/>
              </w:tabs>
              <w:spacing w:after="0" w:line="240" w:lineRule="auto"/>
              <w:ind w:right="2120"/>
              <w:jc w:val="center"/>
              <w:rPr>
                <w:rFonts w:ascii="Times New Roman" w:hAnsi="Times New Roman" w:cs="Times New Roman"/>
                <w:b/>
                <w:bCs/>
                <w:sz w:val="24"/>
                <w:szCs w:val="24"/>
              </w:rPr>
            </w:pPr>
          </w:p>
        </w:tc>
      </w:tr>
    </w:tbl>
    <w:p w14:paraId="1F12DC58" w14:textId="77777777" w:rsidR="00675A91" w:rsidRPr="00675A91" w:rsidRDefault="00675A91" w:rsidP="00675A91">
      <w:pPr>
        <w:spacing w:after="120"/>
        <w:jc w:val="both"/>
        <w:rPr>
          <w:rFonts w:ascii="Times New Roman" w:hAnsi="Times New Roman" w:cs="Times New Roman"/>
          <w:sz w:val="24"/>
          <w:szCs w:val="24"/>
        </w:rPr>
      </w:pPr>
    </w:p>
    <w:p w14:paraId="7CDD138A" w14:textId="2C429318" w:rsidR="00BC5072" w:rsidRDefault="002C2F49" w:rsidP="00BC5072">
      <w:pPr>
        <w:pStyle w:val="ListParagraph"/>
        <w:numPr>
          <w:ilvl w:val="0"/>
          <w:numId w:val="5"/>
        </w:numPr>
        <w:spacing w:after="120"/>
        <w:jc w:val="both"/>
        <w:rPr>
          <w:rFonts w:ascii="Times New Roman" w:hAnsi="Times New Roman" w:cs="Times New Roman"/>
          <w:sz w:val="24"/>
          <w:szCs w:val="24"/>
        </w:rPr>
      </w:pPr>
      <w:r>
        <w:rPr>
          <w:rFonts w:ascii="Times New Roman" w:eastAsia="Times New Roman" w:hAnsi="Times New Roman"/>
          <w:b/>
          <w:sz w:val="24"/>
          <w:highlight w:val="yellow"/>
        </w:rPr>
        <w:t>Marketable Tuber Yield (t/ha)</w:t>
      </w:r>
    </w:p>
    <w:p w14:paraId="2AA84C5F" w14:textId="026C3E09" w:rsidR="002C2F49" w:rsidRDefault="00675A91" w:rsidP="00675A91">
      <w:pPr>
        <w:pStyle w:val="BodyTextIndent3"/>
      </w:pPr>
      <w:r>
        <w:rPr>
          <w:rFonts w:eastAsia="Times New Roman"/>
          <w:highlight w:val="yellow"/>
        </w:rPr>
        <w:t>Marketable tuber yield was calculated by subtracting the weight of undersized tubers from the total tuber yield. In the 75-day crop, clone PS/19-50 recorded the highest marketable yield (24.31 t/ha), which was significantly superior to the control varieties. In the 90-day crop, the maximum marketable yield was observed in PS/19-12 (34.99 t/ha), closely followed by PS/19-24 (34.91 t/ha); both were statistically comparable to most control varieties (Table 3).</w:t>
      </w:r>
    </w:p>
    <w:p w14:paraId="3C5396FE" w14:textId="77777777" w:rsidR="00675A91" w:rsidRPr="00675A91" w:rsidRDefault="00675A91" w:rsidP="007E4B21">
      <w:pPr>
        <w:spacing w:after="0" w:line="240" w:lineRule="auto"/>
        <w:ind w:left="238"/>
        <w:jc w:val="both"/>
        <w:rPr>
          <w:rFonts w:ascii="Times New Roman" w:hAnsi="Times New Roman" w:cs="Times New Roman"/>
          <w:b/>
          <w:bCs/>
          <w:sz w:val="24"/>
          <w:szCs w:val="24"/>
        </w:rPr>
      </w:pPr>
    </w:p>
    <w:tbl>
      <w:tblPr>
        <w:tblpPr w:leftFromText="180" w:rightFromText="180" w:vertAnchor="text" w:tblpX="177" w:tblpY="1"/>
        <w:tblOverlap w:val="neve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63"/>
        <w:gridCol w:w="993"/>
        <w:gridCol w:w="283"/>
        <w:gridCol w:w="5488"/>
      </w:tblGrid>
      <w:tr w:rsidR="002C2F49" w:rsidRPr="00E544E2" w14:paraId="747E6BF7" w14:textId="77777777" w:rsidTr="00150C83">
        <w:trPr>
          <w:trHeight w:val="245"/>
        </w:trPr>
        <w:tc>
          <w:tcPr>
            <w:tcW w:w="1560" w:type="dxa"/>
            <w:vMerge w:val="restart"/>
            <w:noWrap/>
            <w:vAlign w:val="center"/>
            <w:hideMark/>
          </w:tcPr>
          <w:p w14:paraId="1586974E" w14:textId="77777777" w:rsidR="002C2F49" w:rsidRPr="00E544E2" w:rsidRDefault="002C2F49" w:rsidP="00150C83">
            <w:pPr>
              <w:spacing w:after="0" w:line="240" w:lineRule="auto"/>
              <w:jc w:val="both"/>
              <w:rPr>
                <w:rFonts w:ascii="Times New Roman" w:hAnsi="Times New Roman" w:cs="Times New Roman"/>
                <w:b/>
                <w:bCs/>
                <w:sz w:val="24"/>
                <w:szCs w:val="24"/>
              </w:rPr>
            </w:pPr>
            <w:r w:rsidRPr="00E544E2">
              <w:rPr>
                <w:rFonts w:ascii="Times New Roman" w:hAnsi="Times New Roman" w:cs="Times New Roman"/>
                <w:sz w:val="24"/>
                <w:szCs w:val="24"/>
              </w:rPr>
              <w:t>Advanced clones /Varieties</w:t>
            </w:r>
          </w:p>
        </w:tc>
        <w:tc>
          <w:tcPr>
            <w:tcW w:w="1956" w:type="dxa"/>
            <w:gridSpan w:val="2"/>
            <w:noWrap/>
            <w:vAlign w:val="bottom"/>
            <w:hideMark/>
          </w:tcPr>
          <w:p w14:paraId="6767470D" w14:textId="77777777" w:rsidR="002C2F49" w:rsidRPr="00E544E2" w:rsidRDefault="002C2F49" w:rsidP="00150C83">
            <w:pPr>
              <w:spacing w:after="0" w:line="240" w:lineRule="auto"/>
              <w:jc w:val="both"/>
              <w:rPr>
                <w:rFonts w:ascii="Times New Roman" w:hAnsi="Times New Roman" w:cs="Times New Roman"/>
                <w:sz w:val="24"/>
                <w:szCs w:val="24"/>
                <w:lang w:val="sv-SE"/>
              </w:rPr>
            </w:pPr>
            <w:r w:rsidRPr="00E544E2">
              <w:rPr>
                <w:rFonts w:ascii="Times New Roman" w:hAnsi="Times New Roman" w:cs="Times New Roman"/>
                <w:sz w:val="24"/>
                <w:szCs w:val="24"/>
                <w:lang w:val="sv-SE"/>
              </w:rPr>
              <w:t>Mkt. tuber Yield (t/ha)</w:t>
            </w:r>
          </w:p>
        </w:tc>
        <w:tc>
          <w:tcPr>
            <w:tcW w:w="283" w:type="dxa"/>
            <w:vMerge w:val="restart"/>
            <w:tcBorders>
              <w:top w:val="nil"/>
              <w:bottom w:val="nil"/>
            </w:tcBorders>
            <w:vAlign w:val="bottom"/>
          </w:tcPr>
          <w:p w14:paraId="001DB503" w14:textId="77777777" w:rsidR="002C2F49" w:rsidRPr="00E544E2" w:rsidRDefault="002C2F49" w:rsidP="00150C83">
            <w:pPr>
              <w:spacing w:after="0" w:line="240" w:lineRule="auto"/>
              <w:jc w:val="both"/>
              <w:rPr>
                <w:rFonts w:ascii="Times New Roman" w:hAnsi="Times New Roman" w:cs="Times New Roman"/>
                <w:sz w:val="24"/>
                <w:szCs w:val="24"/>
                <w:lang w:val="sv-SE"/>
              </w:rPr>
            </w:pPr>
          </w:p>
        </w:tc>
        <w:tc>
          <w:tcPr>
            <w:tcW w:w="5488" w:type="dxa"/>
            <w:vMerge w:val="restart"/>
            <w:vAlign w:val="center"/>
          </w:tcPr>
          <w:p w14:paraId="0EB5EE2A" w14:textId="77777777" w:rsidR="002C2F49" w:rsidRPr="00E544E2" w:rsidRDefault="002C2F49" w:rsidP="00150C83">
            <w:pPr>
              <w:spacing w:after="0" w:line="240" w:lineRule="auto"/>
              <w:ind w:left="-47"/>
              <w:jc w:val="both"/>
              <w:rPr>
                <w:rFonts w:ascii="Times New Roman" w:hAnsi="Times New Roman" w:cs="Times New Roman"/>
                <w:sz w:val="24"/>
                <w:szCs w:val="24"/>
              </w:rPr>
            </w:pPr>
            <w:r w:rsidRPr="00E544E2">
              <w:rPr>
                <w:rFonts w:ascii="Times New Roman" w:hAnsi="Times New Roman" w:cs="Times New Roman"/>
                <w:noProof/>
                <w:sz w:val="24"/>
                <w:szCs w:val="24"/>
                <w:lang w:eastAsia="en-IN"/>
              </w:rPr>
              <w:drawing>
                <wp:inline distT="0" distB="0" distL="0" distR="0" wp14:anchorId="38438765" wp14:editId="318C0AF3">
                  <wp:extent cx="3413125" cy="2987040"/>
                  <wp:effectExtent l="0" t="0" r="0" b="3810"/>
                  <wp:docPr id="16"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2C2F49" w:rsidRPr="00E544E2" w14:paraId="3C762FB0" w14:textId="77777777" w:rsidTr="00150C83">
        <w:trPr>
          <w:trHeight w:val="245"/>
        </w:trPr>
        <w:tc>
          <w:tcPr>
            <w:tcW w:w="1560" w:type="dxa"/>
            <w:vMerge/>
            <w:noWrap/>
            <w:vAlign w:val="bottom"/>
            <w:hideMark/>
          </w:tcPr>
          <w:p w14:paraId="3100DF78" w14:textId="77777777" w:rsidR="002C2F49" w:rsidRPr="00E544E2" w:rsidRDefault="002C2F49" w:rsidP="00150C83">
            <w:pPr>
              <w:spacing w:after="0" w:line="240" w:lineRule="auto"/>
              <w:jc w:val="both"/>
              <w:rPr>
                <w:rFonts w:ascii="Times New Roman" w:hAnsi="Times New Roman" w:cs="Times New Roman"/>
                <w:b/>
                <w:bCs/>
                <w:sz w:val="24"/>
                <w:szCs w:val="24"/>
              </w:rPr>
            </w:pPr>
          </w:p>
        </w:tc>
        <w:tc>
          <w:tcPr>
            <w:tcW w:w="963" w:type="dxa"/>
            <w:noWrap/>
            <w:vAlign w:val="center"/>
            <w:hideMark/>
          </w:tcPr>
          <w:p w14:paraId="0989CA80" w14:textId="1975CA2F"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75 days</w:t>
            </w:r>
            <w:r w:rsidR="00675A91">
              <w:rPr>
                <w:rFonts w:ascii="Times New Roman" w:hAnsi="Times New Roman" w:cs="Times New Roman"/>
                <w:sz w:val="24"/>
                <w:szCs w:val="24"/>
              </w:rPr>
              <w:t xml:space="preserve"> crop</w:t>
            </w:r>
          </w:p>
        </w:tc>
        <w:tc>
          <w:tcPr>
            <w:tcW w:w="993" w:type="dxa"/>
            <w:noWrap/>
            <w:vAlign w:val="center"/>
            <w:hideMark/>
          </w:tcPr>
          <w:p w14:paraId="062A440E" w14:textId="41C1764F"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90 day</w:t>
            </w:r>
            <w:r w:rsidR="00150C83">
              <w:rPr>
                <w:rFonts w:ascii="Times New Roman" w:hAnsi="Times New Roman" w:cs="Times New Roman"/>
                <w:sz w:val="24"/>
                <w:szCs w:val="24"/>
              </w:rPr>
              <w:t>s</w:t>
            </w:r>
            <w:r w:rsidR="00675A91">
              <w:rPr>
                <w:rFonts w:ascii="Times New Roman" w:hAnsi="Times New Roman" w:cs="Times New Roman"/>
                <w:sz w:val="24"/>
                <w:szCs w:val="24"/>
              </w:rPr>
              <w:t xml:space="preserve"> crop</w:t>
            </w:r>
          </w:p>
        </w:tc>
        <w:tc>
          <w:tcPr>
            <w:tcW w:w="283" w:type="dxa"/>
            <w:vMerge/>
            <w:tcBorders>
              <w:bottom w:val="nil"/>
            </w:tcBorders>
            <w:vAlign w:val="center"/>
          </w:tcPr>
          <w:p w14:paraId="1E817F5D" w14:textId="77777777" w:rsidR="002C2F49" w:rsidRPr="00E544E2" w:rsidRDefault="002C2F49" w:rsidP="00150C83">
            <w:pPr>
              <w:spacing w:after="0" w:line="240" w:lineRule="auto"/>
              <w:jc w:val="both"/>
              <w:rPr>
                <w:rFonts w:ascii="Times New Roman" w:hAnsi="Times New Roman" w:cs="Times New Roman"/>
                <w:sz w:val="24"/>
                <w:szCs w:val="24"/>
              </w:rPr>
            </w:pPr>
          </w:p>
        </w:tc>
        <w:tc>
          <w:tcPr>
            <w:tcW w:w="5488" w:type="dxa"/>
            <w:vMerge/>
          </w:tcPr>
          <w:p w14:paraId="68FFE80D" w14:textId="77777777" w:rsidR="002C2F49" w:rsidRPr="00E544E2" w:rsidRDefault="002C2F49" w:rsidP="00150C83">
            <w:pPr>
              <w:spacing w:after="0" w:line="240" w:lineRule="auto"/>
              <w:jc w:val="both"/>
              <w:rPr>
                <w:rFonts w:ascii="Times New Roman" w:hAnsi="Times New Roman" w:cs="Times New Roman"/>
                <w:sz w:val="24"/>
                <w:szCs w:val="24"/>
              </w:rPr>
            </w:pPr>
          </w:p>
        </w:tc>
      </w:tr>
      <w:tr w:rsidR="002C2F49" w:rsidRPr="00E544E2" w14:paraId="7E37C238" w14:textId="77777777" w:rsidTr="00150C83">
        <w:trPr>
          <w:trHeight w:val="245"/>
        </w:trPr>
        <w:tc>
          <w:tcPr>
            <w:tcW w:w="1560" w:type="dxa"/>
            <w:noWrap/>
            <w:vAlign w:val="center"/>
          </w:tcPr>
          <w:p w14:paraId="1D103B2C"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PS/19-02</w:t>
            </w:r>
          </w:p>
        </w:tc>
        <w:tc>
          <w:tcPr>
            <w:tcW w:w="963" w:type="dxa"/>
            <w:noWrap/>
            <w:vAlign w:val="center"/>
          </w:tcPr>
          <w:p w14:paraId="12BABE5C"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22.30</w:t>
            </w:r>
          </w:p>
        </w:tc>
        <w:tc>
          <w:tcPr>
            <w:tcW w:w="993" w:type="dxa"/>
            <w:noWrap/>
            <w:vAlign w:val="center"/>
          </w:tcPr>
          <w:p w14:paraId="21258BD1"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31.07</w:t>
            </w:r>
          </w:p>
        </w:tc>
        <w:tc>
          <w:tcPr>
            <w:tcW w:w="283" w:type="dxa"/>
            <w:vMerge/>
            <w:tcBorders>
              <w:bottom w:val="nil"/>
            </w:tcBorders>
            <w:vAlign w:val="bottom"/>
          </w:tcPr>
          <w:p w14:paraId="387193D6"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c>
          <w:tcPr>
            <w:tcW w:w="5488" w:type="dxa"/>
            <w:vMerge/>
          </w:tcPr>
          <w:p w14:paraId="78415A72"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r>
      <w:tr w:rsidR="002C2F49" w:rsidRPr="00E544E2" w14:paraId="1FBCF5D5" w14:textId="77777777" w:rsidTr="00150C83">
        <w:trPr>
          <w:trHeight w:val="234"/>
        </w:trPr>
        <w:tc>
          <w:tcPr>
            <w:tcW w:w="1560" w:type="dxa"/>
            <w:noWrap/>
            <w:vAlign w:val="center"/>
          </w:tcPr>
          <w:p w14:paraId="3C22D375"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PS/19-04</w:t>
            </w:r>
          </w:p>
        </w:tc>
        <w:tc>
          <w:tcPr>
            <w:tcW w:w="963" w:type="dxa"/>
            <w:noWrap/>
            <w:vAlign w:val="center"/>
          </w:tcPr>
          <w:p w14:paraId="1F1705C0"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22.00</w:t>
            </w:r>
          </w:p>
        </w:tc>
        <w:tc>
          <w:tcPr>
            <w:tcW w:w="993" w:type="dxa"/>
            <w:noWrap/>
            <w:vAlign w:val="center"/>
          </w:tcPr>
          <w:p w14:paraId="51444CD9"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31.12</w:t>
            </w:r>
          </w:p>
        </w:tc>
        <w:tc>
          <w:tcPr>
            <w:tcW w:w="283" w:type="dxa"/>
            <w:vMerge/>
            <w:tcBorders>
              <w:bottom w:val="nil"/>
            </w:tcBorders>
            <w:vAlign w:val="bottom"/>
          </w:tcPr>
          <w:p w14:paraId="44450037"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c>
          <w:tcPr>
            <w:tcW w:w="5488" w:type="dxa"/>
            <w:vMerge/>
          </w:tcPr>
          <w:p w14:paraId="26262097"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r>
      <w:tr w:rsidR="002C2F49" w:rsidRPr="00E544E2" w14:paraId="1593F7A3" w14:textId="77777777" w:rsidTr="00150C83">
        <w:trPr>
          <w:trHeight w:val="234"/>
        </w:trPr>
        <w:tc>
          <w:tcPr>
            <w:tcW w:w="1560" w:type="dxa"/>
            <w:noWrap/>
            <w:vAlign w:val="center"/>
          </w:tcPr>
          <w:p w14:paraId="2F2FAFF7"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PS/19-12</w:t>
            </w:r>
          </w:p>
        </w:tc>
        <w:tc>
          <w:tcPr>
            <w:tcW w:w="963" w:type="dxa"/>
            <w:noWrap/>
            <w:vAlign w:val="center"/>
          </w:tcPr>
          <w:p w14:paraId="537E6A6D"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23.85</w:t>
            </w:r>
          </w:p>
        </w:tc>
        <w:tc>
          <w:tcPr>
            <w:tcW w:w="993" w:type="dxa"/>
            <w:noWrap/>
            <w:vAlign w:val="center"/>
          </w:tcPr>
          <w:p w14:paraId="33C5AD51"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34.99</w:t>
            </w:r>
          </w:p>
        </w:tc>
        <w:tc>
          <w:tcPr>
            <w:tcW w:w="283" w:type="dxa"/>
            <w:vMerge/>
            <w:tcBorders>
              <w:bottom w:val="nil"/>
            </w:tcBorders>
            <w:vAlign w:val="bottom"/>
          </w:tcPr>
          <w:p w14:paraId="4196CE79"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c>
          <w:tcPr>
            <w:tcW w:w="5488" w:type="dxa"/>
            <w:vMerge/>
          </w:tcPr>
          <w:p w14:paraId="517BCDD3"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r>
      <w:tr w:rsidR="002C2F49" w:rsidRPr="00E544E2" w14:paraId="23245E00" w14:textId="77777777" w:rsidTr="00150C83">
        <w:trPr>
          <w:trHeight w:val="234"/>
        </w:trPr>
        <w:tc>
          <w:tcPr>
            <w:tcW w:w="1560" w:type="dxa"/>
            <w:noWrap/>
            <w:vAlign w:val="center"/>
          </w:tcPr>
          <w:p w14:paraId="688FF5D7"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PS/19-24</w:t>
            </w:r>
          </w:p>
        </w:tc>
        <w:tc>
          <w:tcPr>
            <w:tcW w:w="963" w:type="dxa"/>
            <w:noWrap/>
            <w:vAlign w:val="center"/>
          </w:tcPr>
          <w:p w14:paraId="75D719D6"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22.19</w:t>
            </w:r>
          </w:p>
        </w:tc>
        <w:tc>
          <w:tcPr>
            <w:tcW w:w="993" w:type="dxa"/>
            <w:noWrap/>
            <w:vAlign w:val="center"/>
          </w:tcPr>
          <w:p w14:paraId="580713B0"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34.91</w:t>
            </w:r>
          </w:p>
        </w:tc>
        <w:tc>
          <w:tcPr>
            <w:tcW w:w="283" w:type="dxa"/>
            <w:vMerge/>
            <w:tcBorders>
              <w:bottom w:val="nil"/>
            </w:tcBorders>
            <w:vAlign w:val="bottom"/>
          </w:tcPr>
          <w:p w14:paraId="228B24FA"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c>
          <w:tcPr>
            <w:tcW w:w="5488" w:type="dxa"/>
            <w:vMerge/>
          </w:tcPr>
          <w:p w14:paraId="4F163CB9"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r>
      <w:tr w:rsidR="002C2F49" w:rsidRPr="00E544E2" w14:paraId="5DB38E41" w14:textId="77777777" w:rsidTr="00150C83">
        <w:trPr>
          <w:trHeight w:val="234"/>
        </w:trPr>
        <w:tc>
          <w:tcPr>
            <w:tcW w:w="1560" w:type="dxa"/>
            <w:noWrap/>
            <w:vAlign w:val="center"/>
          </w:tcPr>
          <w:p w14:paraId="4536E2D7"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PS/19-26</w:t>
            </w:r>
          </w:p>
        </w:tc>
        <w:tc>
          <w:tcPr>
            <w:tcW w:w="963" w:type="dxa"/>
            <w:noWrap/>
            <w:vAlign w:val="center"/>
          </w:tcPr>
          <w:p w14:paraId="65A93ED3"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14.64</w:t>
            </w:r>
          </w:p>
        </w:tc>
        <w:tc>
          <w:tcPr>
            <w:tcW w:w="993" w:type="dxa"/>
            <w:noWrap/>
            <w:vAlign w:val="center"/>
          </w:tcPr>
          <w:p w14:paraId="28DC13FF"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23.03</w:t>
            </w:r>
          </w:p>
        </w:tc>
        <w:tc>
          <w:tcPr>
            <w:tcW w:w="283" w:type="dxa"/>
            <w:vMerge/>
            <w:tcBorders>
              <w:bottom w:val="nil"/>
            </w:tcBorders>
            <w:vAlign w:val="bottom"/>
          </w:tcPr>
          <w:p w14:paraId="1DF7F455"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c>
          <w:tcPr>
            <w:tcW w:w="5488" w:type="dxa"/>
            <w:vMerge/>
          </w:tcPr>
          <w:p w14:paraId="4C651A6C"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r>
      <w:tr w:rsidR="002C2F49" w:rsidRPr="00E544E2" w14:paraId="4FF8A4A4" w14:textId="77777777" w:rsidTr="00150C83">
        <w:trPr>
          <w:trHeight w:val="234"/>
        </w:trPr>
        <w:tc>
          <w:tcPr>
            <w:tcW w:w="1560" w:type="dxa"/>
            <w:noWrap/>
            <w:vAlign w:val="center"/>
          </w:tcPr>
          <w:p w14:paraId="4C653877"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PS/19-31</w:t>
            </w:r>
          </w:p>
        </w:tc>
        <w:tc>
          <w:tcPr>
            <w:tcW w:w="963" w:type="dxa"/>
            <w:noWrap/>
            <w:vAlign w:val="center"/>
          </w:tcPr>
          <w:p w14:paraId="623419CD"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17.86</w:t>
            </w:r>
          </w:p>
        </w:tc>
        <w:tc>
          <w:tcPr>
            <w:tcW w:w="993" w:type="dxa"/>
            <w:noWrap/>
            <w:vAlign w:val="center"/>
          </w:tcPr>
          <w:p w14:paraId="03CEAEE2"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25.30</w:t>
            </w:r>
          </w:p>
        </w:tc>
        <w:tc>
          <w:tcPr>
            <w:tcW w:w="283" w:type="dxa"/>
            <w:vMerge/>
            <w:tcBorders>
              <w:bottom w:val="nil"/>
            </w:tcBorders>
            <w:vAlign w:val="bottom"/>
          </w:tcPr>
          <w:p w14:paraId="2B17CCAD"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c>
          <w:tcPr>
            <w:tcW w:w="5488" w:type="dxa"/>
            <w:vMerge/>
          </w:tcPr>
          <w:p w14:paraId="4B13C1A5"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r>
      <w:tr w:rsidR="002C2F49" w:rsidRPr="00E544E2" w14:paraId="5F8532C1" w14:textId="77777777" w:rsidTr="00150C83">
        <w:trPr>
          <w:trHeight w:val="234"/>
        </w:trPr>
        <w:tc>
          <w:tcPr>
            <w:tcW w:w="1560" w:type="dxa"/>
            <w:noWrap/>
            <w:vAlign w:val="center"/>
          </w:tcPr>
          <w:p w14:paraId="10D10F48"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PS/19-41</w:t>
            </w:r>
          </w:p>
        </w:tc>
        <w:tc>
          <w:tcPr>
            <w:tcW w:w="963" w:type="dxa"/>
            <w:noWrap/>
            <w:vAlign w:val="center"/>
          </w:tcPr>
          <w:p w14:paraId="3F43FF9E"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23.87</w:t>
            </w:r>
          </w:p>
        </w:tc>
        <w:tc>
          <w:tcPr>
            <w:tcW w:w="993" w:type="dxa"/>
            <w:noWrap/>
            <w:vAlign w:val="center"/>
          </w:tcPr>
          <w:p w14:paraId="2EB22EA9"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31.50</w:t>
            </w:r>
          </w:p>
        </w:tc>
        <w:tc>
          <w:tcPr>
            <w:tcW w:w="283" w:type="dxa"/>
            <w:vMerge/>
            <w:tcBorders>
              <w:bottom w:val="nil"/>
            </w:tcBorders>
            <w:vAlign w:val="bottom"/>
          </w:tcPr>
          <w:p w14:paraId="04B4D035"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c>
          <w:tcPr>
            <w:tcW w:w="5488" w:type="dxa"/>
            <w:vMerge/>
          </w:tcPr>
          <w:p w14:paraId="27A42752"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r>
      <w:tr w:rsidR="002C2F49" w:rsidRPr="00E544E2" w14:paraId="1B384C83" w14:textId="77777777" w:rsidTr="00150C83">
        <w:trPr>
          <w:trHeight w:val="234"/>
        </w:trPr>
        <w:tc>
          <w:tcPr>
            <w:tcW w:w="1560" w:type="dxa"/>
            <w:noWrap/>
            <w:vAlign w:val="center"/>
            <w:hideMark/>
          </w:tcPr>
          <w:p w14:paraId="13F8F846"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PS/19-43</w:t>
            </w:r>
          </w:p>
        </w:tc>
        <w:tc>
          <w:tcPr>
            <w:tcW w:w="963" w:type="dxa"/>
            <w:noWrap/>
            <w:vAlign w:val="center"/>
          </w:tcPr>
          <w:p w14:paraId="515946F5"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22.20</w:t>
            </w:r>
          </w:p>
        </w:tc>
        <w:tc>
          <w:tcPr>
            <w:tcW w:w="993" w:type="dxa"/>
            <w:noWrap/>
            <w:vAlign w:val="center"/>
          </w:tcPr>
          <w:p w14:paraId="69040150"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26.99</w:t>
            </w:r>
          </w:p>
        </w:tc>
        <w:tc>
          <w:tcPr>
            <w:tcW w:w="283" w:type="dxa"/>
            <w:vMerge/>
            <w:tcBorders>
              <w:bottom w:val="nil"/>
            </w:tcBorders>
            <w:vAlign w:val="bottom"/>
          </w:tcPr>
          <w:p w14:paraId="59B351DF"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c>
          <w:tcPr>
            <w:tcW w:w="5488" w:type="dxa"/>
            <w:vMerge/>
          </w:tcPr>
          <w:p w14:paraId="4F58C2DC"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r>
      <w:tr w:rsidR="002C2F49" w:rsidRPr="00E544E2" w14:paraId="20FF5FD6" w14:textId="77777777" w:rsidTr="00150C83">
        <w:trPr>
          <w:trHeight w:val="234"/>
        </w:trPr>
        <w:tc>
          <w:tcPr>
            <w:tcW w:w="1560" w:type="dxa"/>
            <w:noWrap/>
            <w:vAlign w:val="center"/>
            <w:hideMark/>
          </w:tcPr>
          <w:p w14:paraId="59DC0838"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PS/19-44</w:t>
            </w:r>
          </w:p>
        </w:tc>
        <w:tc>
          <w:tcPr>
            <w:tcW w:w="963" w:type="dxa"/>
            <w:noWrap/>
            <w:vAlign w:val="center"/>
          </w:tcPr>
          <w:p w14:paraId="693422E2"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21.58</w:t>
            </w:r>
          </w:p>
        </w:tc>
        <w:tc>
          <w:tcPr>
            <w:tcW w:w="993" w:type="dxa"/>
            <w:noWrap/>
            <w:vAlign w:val="center"/>
          </w:tcPr>
          <w:p w14:paraId="102B3071"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29.13</w:t>
            </w:r>
          </w:p>
        </w:tc>
        <w:tc>
          <w:tcPr>
            <w:tcW w:w="283" w:type="dxa"/>
            <w:vMerge/>
            <w:tcBorders>
              <w:bottom w:val="nil"/>
            </w:tcBorders>
            <w:vAlign w:val="bottom"/>
          </w:tcPr>
          <w:p w14:paraId="63EE0796"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c>
          <w:tcPr>
            <w:tcW w:w="5488" w:type="dxa"/>
            <w:vMerge/>
          </w:tcPr>
          <w:p w14:paraId="3DA5E999"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r>
      <w:tr w:rsidR="002C2F49" w:rsidRPr="00E544E2" w14:paraId="4DF660BA" w14:textId="77777777" w:rsidTr="00150C83">
        <w:trPr>
          <w:trHeight w:val="234"/>
        </w:trPr>
        <w:tc>
          <w:tcPr>
            <w:tcW w:w="1560" w:type="dxa"/>
            <w:noWrap/>
            <w:vAlign w:val="center"/>
          </w:tcPr>
          <w:p w14:paraId="000C52A3" w14:textId="77777777" w:rsidR="002C2F49" w:rsidRPr="00E544E2" w:rsidRDefault="002C2F49" w:rsidP="00150C83">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PS/19-50</w:t>
            </w:r>
          </w:p>
        </w:tc>
        <w:tc>
          <w:tcPr>
            <w:tcW w:w="963" w:type="dxa"/>
            <w:noWrap/>
            <w:vAlign w:val="center"/>
          </w:tcPr>
          <w:p w14:paraId="73CAEC09"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24.31</w:t>
            </w:r>
          </w:p>
        </w:tc>
        <w:tc>
          <w:tcPr>
            <w:tcW w:w="993" w:type="dxa"/>
            <w:noWrap/>
            <w:vAlign w:val="center"/>
          </w:tcPr>
          <w:p w14:paraId="4ACE17A5"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24.20</w:t>
            </w:r>
          </w:p>
        </w:tc>
        <w:tc>
          <w:tcPr>
            <w:tcW w:w="283" w:type="dxa"/>
            <w:vMerge/>
            <w:tcBorders>
              <w:bottom w:val="nil"/>
            </w:tcBorders>
            <w:vAlign w:val="bottom"/>
          </w:tcPr>
          <w:p w14:paraId="5F6DFEAA"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c>
          <w:tcPr>
            <w:tcW w:w="5488" w:type="dxa"/>
            <w:vMerge/>
          </w:tcPr>
          <w:p w14:paraId="19CFA4EA"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r>
      <w:tr w:rsidR="002C2F49" w:rsidRPr="00E544E2" w14:paraId="1F6F0D4B" w14:textId="77777777" w:rsidTr="00150C83">
        <w:trPr>
          <w:trHeight w:val="234"/>
        </w:trPr>
        <w:tc>
          <w:tcPr>
            <w:tcW w:w="1560" w:type="dxa"/>
            <w:noWrap/>
            <w:vAlign w:val="center"/>
          </w:tcPr>
          <w:p w14:paraId="7FE9907D" w14:textId="52A62EE6" w:rsidR="002C2F49" w:rsidRPr="00E544E2" w:rsidRDefault="002C2F49" w:rsidP="00150C83">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K.</w:t>
            </w:r>
            <w:r w:rsidR="00150C83">
              <w:rPr>
                <w:rFonts w:ascii="Times New Roman" w:eastAsia="Calibri" w:hAnsi="Times New Roman" w:cs="Times New Roman"/>
                <w:sz w:val="24"/>
                <w:szCs w:val="24"/>
              </w:rPr>
              <w:t xml:space="preserve"> </w:t>
            </w:r>
            <w:r w:rsidRPr="00E544E2">
              <w:rPr>
                <w:rFonts w:ascii="Times New Roman" w:eastAsia="Calibri" w:hAnsi="Times New Roman" w:cs="Times New Roman"/>
                <w:sz w:val="24"/>
                <w:szCs w:val="24"/>
              </w:rPr>
              <w:t>Lalima</w:t>
            </w:r>
          </w:p>
        </w:tc>
        <w:tc>
          <w:tcPr>
            <w:tcW w:w="963" w:type="dxa"/>
            <w:noWrap/>
            <w:vAlign w:val="center"/>
          </w:tcPr>
          <w:p w14:paraId="3E591235"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15.15</w:t>
            </w:r>
          </w:p>
        </w:tc>
        <w:tc>
          <w:tcPr>
            <w:tcW w:w="993" w:type="dxa"/>
            <w:noWrap/>
            <w:vAlign w:val="center"/>
          </w:tcPr>
          <w:p w14:paraId="7A1C4C66"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20.21</w:t>
            </w:r>
          </w:p>
        </w:tc>
        <w:tc>
          <w:tcPr>
            <w:tcW w:w="283" w:type="dxa"/>
            <w:vMerge/>
            <w:tcBorders>
              <w:bottom w:val="nil"/>
            </w:tcBorders>
            <w:vAlign w:val="bottom"/>
          </w:tcPr>
          <w:p w14:paraId="2AABDA65"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c>
          <w:tcPr>
            <w:tcW w:w="5488" w:type="dxa"/>
            <w:vMerge/>
          </w:tcPr>
          <w:p w14:paraId="1DE6198E"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r>
      <w:tr w:rsidR="002C2F49" w:rsidRPr="00E544E2" w14:paraId="0779D088" w14:textId="77777777" w:rsidTr="00150C83">
        <w:trPr>
          <w:trHeight w:val="234"/>
        </w:trPr>
        <w:tc>
          <w:tcPr>
            <w:tcW w:w="1560" w:type="dxa"/>
            <w:noWrap/>
            <w:vAlign w:val="center"/>
          </w:tcPr>
          <w:p w14:paraId="025DAC46" w14:textId="4C621016" w:rsidR="002C2F49" w:rsidRPr="00E544E2" w:rsidRDefault="002C2F49" w:rsidP="00150C83">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K.</w:t>
            </w:r>
            <w:r w:rsidR="00150C83">
              <w:rPr>
                <w:rFonts w:ascii="Times New Roman" w:eastAsia="Calibri" w:hAnsi="Times New Roman" w:cs="Times New Roman"/>
                <w:sz w:val="24"/>
                <w:szCs w:val="24"/>
              </w:rPr>
              <w:t xml:space="preserve"> </w:t>
            </w:r>
            <w:r w:rsidRPr="00E544E2">
              <w:rPr>
                <w:rFonts w:ascii="Times New Roman" w:eastAsia="Calibri" w:hAnsi="Times New Roman" w:cs="Times New Roman"/>
                <w:sz w:val="24"/>
                <w:szCs w:val="24"/>
              </w:rPr>
              <w:t>Lalit</w:t>
            </w:r>
          </w:p>
        </w:tc>
        <w:tc>
          <w:tcPr>
            <w:tcW w:w="963" w:type="dxa"/>
            <w:noWrap/>
            <w:vAlign w:val="center"/>
          </w:tcPr>
          <w:p w14:paraId="5EA6AB7B"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22.25</w:t>
            </w:r>
          </w:p>
        </w:tc>
        <w:tc>
          <w:tcPr>
            <w:tcW w:w="993" w:type="dxa"/>
            <w:noWrap/>
            <w:vAlign w:val="center"/>
          </w:tcPr>
          <w:p w14:paraId="3B0D746A"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28.20</w:t>
            </w:r>
          </w:p>
        </w:tc>
        <w:tc>
          <w:tcPr>
            <w:tcW w:w="283" w:type="dxa"/>
            <w:vMerge/>
            <w:tcBorders>
              <w:bottom w:val="nil"/>
            </w:tcBorders>
            <w:vAlign w:val="bottom"/>
          </w:tcPr>
          <w:p w14:paraId="0E37D21D"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c>
          <w:tcPr>
            <w:tcW w:w="5488" w:type="dxa"/>
            <w:vMerge/>
          </w:tcPr>
          <w:p w14:paraId="0E846094"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r>
      <w:tr w:rsidR="002C2F49" w:rsidRPr="00E544E2" w14:paraId="357866CF" w14:textId="77777777" w:rsidTr="00150C83">
        <w:trPr>
          <w:trHeight w:val="234"/>
        </w:trPr>
        <w:tc>
          <w:tcPr>
            <w:tcW w:w="1560" w:type="dxa"/>
            <w:noWrap/>
            <w:vAlign w:val="center"/>
            <w:hideMark/>
          </w:tcPr>
          <w:p w14:paraId="67419ED0" w14:textId="690FF05C"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K.</w:t>
            </w:r>
            <w:r w:rsidR="00150C83">
              <w:rPr>
                <w:rFonts w:ascii="Times New Roman" w:eastAsia="Calibri" w:hAnsi="Times New Roman" w:cs="Times New Roman"/>
                <w:sz w:val="24"/>
                <w:szCs w:val="24"/>
              </w:rPr>
              <w:t xml:space="preserve"> </w:t>
            </w:r>
            <w:r w:rsidRPr="00E544E2">
              <w:rPr>
                <w:rFonts w:ascii="Times New Roman" w:eastAsia="Calibri" w:hAnsi="Times New Roman" w:cs="Times New Roman"/>
                <w:sz w:val="24"/>
                <w:szCs w:val="24"/>
              </w:rPr>
              <w:t>Lohit</w:t>
            </w:r>
          </w:p>
        </w:tc>
        <w:tc>
          <w:tcPr>
            <w:tcW w:w="963" w:type="dxa"/>
            <w:noWrap/>
            <w:vAlign w:val="center"/>
          </w:tcPr>
          <w:p w14:paraId="5B766E3F"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20.85</w:t>
            </w:r>
          </w:p>
        </w:tc>
        <w:tc>
          <w:tcPr>
            <w:tcW w:w="993" w:type="dxa"/>
            <w:noWrap/>
            <w:vAlign w:val="center"/>
          </w:tcPr>
          <w:p w14:paraId="69705B2C"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28.11</w:t>
            </w:r>
          </w:p>
        </w:tc>
        <w:tc>
          <w:tcPr>
            <w:tcW w:w="283" w:type="dxa"/>
            <w:vMerge/>
            <w:tcBorders>
              <w:bottom w:val="nil"/>
            </w:tcBorders>
            <w:vAlign w:val="bottom"/>
          </w:tcPr>
          <w:p w14:paraId="1666A398"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c>
          <w:tcPr>
            <w:tcW w:w="5488" w:type="dxa"/>
            <w:vMerge/>
          </w:tcPr>
          <w:p w14:paraId="7A9EB450"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r>
      <w:tr w:rsidR="002C2F49" w:rsidRPr="00E544E2" w14:paraId="369C001D" w14:textId="77777777" w:rsidTr="00150C83">
        <w:trPr>
          <w:trHeight w:val="234"/>
        </w:trPr>
        <w:tc>
          <w:tcPr>
            <w:tcW w:w="1560" w:type="dxa"/>
            <w:noWrap/>
            <w:vAlign w:val="center"/>
            <w:hideMark/>
          </w:tcPr>
          <w:p w14:paraId="670CF5E1" w14:textId="2384E77E"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K.</w:t>
            </w:r>
            <w:r w:rsidR="00150C83">
              <w:rPr>
                <w:rFonts w:ascii="Times New Roman" w:eastAsia="Calibri" w:hAnsi="Times New Roman" w:cs="Times New Roman"/>
                <w:sz w:val="24"/>
                <w:szCs w:val="24"/>
              </w:rPr>
              <w:t xml:space="preserve"> </w:t>
            </w:r>
            <w:r w:rsidRPr="00E544E2">
              <w:rPr>
                <w:rFonts w:ascii="Times New Roman" w:eastAsia="Calibri" w:hAnsi="Times New Roman" w:cs="Times New Roman"/>
                <w:sz w:val="24"/>
                <w:szCs w:val="24"/>
              </w:rPr>
              <w:t>Manik</w:t>
            </w:r>
          </w:p>
        </w:tc>
        <w:tc>
          <w:tcPr>
            <w:tcW w:w="963" w:type="dxa"/>
            <w:noWrap/>
            <w:vAlign w:val="center"/>
          </w:tcPr>
          <w:p w14:paraId="77419B0B"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12.79</w:t>
            </w:r>
          </w:p>
        </w:tc>
        <w:tc>
          <w:tcPr>
            <w:tcW w:w="993" w:type="dxa"/>
            <w:noWrap/>
            <w:vAlign w:val="center"/>
          </w:tcPr>
          <w:p w14:paraId="2AE5DAD3"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18.11</w:t>
            </w:r>
          </w:p>
        </w:tc>
        <w:tc>
          <w:tcPr>
            <w:tcW w:w="283" w:type="dxa"/>
            <w:vMerge/>
            <w:tcBorders>
              <w:bottom w:val="nil"/>
            </w:tcBorders>
            <w:vAlign w:val="bottom"/>
          </w:tcPr>
          <w:p w14:paraId="4F08A4CC"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c>
          <w:tcPr>
            <w:tcW w:w="5488" w:type="dxa"/>
            <w:vMerge/>
          </w:tcPr>
          <w:p w14:paraId="19A6FF47"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r>
      <w:tr w:rsidR="002C2F49" w:rsidRPr="00E544E2" w14:paraId="3E921508" w14:textId="77777777" w:rsidTr="00150C83">
        <w:trPr>
          <w:trHeight w:val="234"/>
        </w:trPr>
        <w:tc>
          <w:tcPr>
            <w:tcW w:w="1560" w:type="dxa"/>
            <w:noWrap/>
            <w:vAlign w:val="center"/>
            <w:hideMark/>
          </w:tcPr>
          <w:p w14:paraId="19BD30A7" w14:textId="77777777" w:rsidR="002C2F49" w:rsidRPr="00E544E2" w:rsidRDefault="002C2F49" w:rsidP="00150C83">
            <w:pPr>
              <w:spacing w:after="0" w:line="240" w:lineRule="auto"/>
              <w:jc w:val="both"/>
              <w:rPr>
                <w:rFonts w:ascii="Times New Roman" w:hAnsi="Times New Roman" w:cs="Times New Roman"/>
                <w:sz w:val="24"/>
                <w:szCs w:val="24"/>
              </w:rPr>
            </w:pPr>
            <w:proofErr w:type="spellStart"/>
            <w:proofErr w:type="gramStart"/>
            <w:r w:rsidRPr="00E544E2">
              <w:rPr>
                <w:rFonts w:ascii="Times New Roman" w:eastAsia="Calibri" w:hAnsi="Times New Roman" w:cs="Times New Roman"/>
                <w:sz w:val="24"/>
                <w:szCs w:val="24"/>
              </w:rPr>
              <w:lastRenderedPageBreak/>
              <w:t>K.Neelkanth</w:t>
            </w:r>
            <w:proofErr w:type="spellEnd"/>
            <w:proofErr w:type="gramEnd"/>
          </w:p>
        </w:tc>
        <w:tc>
          <w:tcPr>
            <w:tcW w:w="963" w:type="dxa"/>
            <w:noWrap/>
            <w:vAlign w:val="center"/>
          </w:tcPr>
          <w:p w14:paraId="0A004186"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14.20</w:t>
            </w:r>
          </w:p>
        </w:tc>
        <w:tc>
          <w:tcPr>
            <w:tcW w:w="993" w:type="dxa"/>
            <w:noWrap/>
            <w:vAlign w:val="center"/>
          </w:tcPr>
          <w:p w14:paraId="46DE76C3"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34.36</w:t>
            </w:r>
          </w:p>
        </w:tc>
        <w:tc>
          <w:tcPr>
            <w:tcW w:w="283" w:type="dxa"/>
            <w:vMerge/>
            <w:tcBorders>
              <w:bottom w:val="nil"/>
            </w:tcBorders>
            <w:vAlign w:val="bottom"/>
          </w:tcPr>
          <w:p w14:paraId="5F7F02CF"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c>
          <w:tcPr>
            <w:tcW w:w="5488" w:type="dxa"/>
            <w:vMerge/>
          </w:tcPr>
          <w:p w14:paraId="269BB596"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r>
      <w:tr w:rsidR="002C2F49" w:rsidRPr="00E544E2" w14:paraId="5E422CED" w14:textId="77777777" w:rsidTr="00150C83">
        <w:trPr>
          <w:trHeight w:val="46"/>
        </w:trPr>
        <w:tc>
          <w:tcPr>
            <w:tcW w:w="1560" w:type="dxa"/>
            <w:tcBorders>
              <w:bottom w:val="single" w:sz="4" w:space="0" w:color="auto"/>
            </w:tcBorders>
            <w:noWrap/>
            <w:vAlign w:val="center"/>
            <w:hideMark/>
          </w:tcPr>
          <w:p w14:paraId="053DB012" w14:textId="77777777" w:rsidR="002C2F49" w:rsidRPr="00E544E2" w:rsidRDefault="002C2F49" w:rsidP="00150C83">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CD (0.05</w:t>
            </w:r>
            <w:proofErr w:type="gramStart"/>
            <w:r w:rsidRPr="00E544E2">
              <w:rPr>
                <w:rFonts w:ascii="Times New Roman" w:eastAsia="Calibri" w:hAnsi="Times New Roman" w:cs="Times New Roman"/>
                <w:sz w:val="24"/>
                <w:szCs w:val="24"/>
              </w:rPr>
              <w:t>) :</w:t>
            </w:r>
            <w:proofErr w:type="gramEnd"/>
          </w:p>
        </w:tc>
        <w:tc>
          <w:tcPr>
            <w:tcW w:w="963" w:type="dxa"/>
            <w:tcBorders>
              <w:bottom w:val="single" w:sz="4" w:space="0" w:color="auto"/>
            </w:tcBorders>
            <w:noWrap/>
            <w:vAlign w:val="center"/>
          </w:tcPr>
          <w:p w14:paraId="2A98660D"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10.03</w:t>
            </w:r>
          </w:p>
        </w:tc>
        <w:tc>
          <w:tcPr>
            <w:tcW w:w="993" w:type="dxa"/>
            <w:tcBorders>
              <w:bottom w:val="single" w:sz="4" w:space="0" w:color="auto"/>
            </w:tcBorders>
            <w:noWrap/>
            <w:vAlign w:val="center"/>
          </w:tcPr>
          <w:p w14:paraId="338FCD73"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11.01</w:t>
            </w:r>
          </w:p>
        </w:tc>
        <w:tc>
          <w:tcPr>
            <w:tcW w:w="283" w:type="dxa"/>
            <w:vMerge/>
            <w:tcBorders>
              <w:bottom w:val="nil"/>
            </w:tcBorders>
            <w:vAlign w:val="bottom"/>
          </w:tcPr>
          <w:p w14:paraId="2EC98E9E"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c>
          <w:tcPr>
            <w:tcW w:w="5488" w:type="dxa"/>
            <w:vMerge/>
          </w:tcPr>
          <w:p w14:paraId="05711513"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r>
      <w:tr w:rsidR="002C2F49" w:rsidRPr="00E544E2" w14:paraId="2210C5CB" w14:textId="77777777" w:rsidTr="00150C83">
        <w:trPr>
          <w:trHeight w:val="46"/>
        </w:trPr>
        <w:tc>
          <w:tcPr>
            <w:tcW w:w="1560" w:type="dxa"/>
            <w:tcBorders>
              <w:bottom w:val="single" w:sz="4" w:space="0" w:color="auto"/>
            </w:tcBorders>
            <w:noWrap/>
            <w:vAlign w:val="center"/>
            <w:hideMark/>
          </w:tcPr>
          <w:p w14:paraId="2BC274B0" w14:textId="77777777" w:rsidR="002C2F49" w:rsidRPr="00E544E2" w:rsidRDefault="002C2F49" w:rsidP="00150C83">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CV (%</w:t>
            </w:r>
            <w:proofErr w:type="gramStart"/>
            <w:r w:rsidRPr="00E544E2">
              <w:rPr>
                <w:rFonts w:ascii="Times New Roman" w:eastAsia="Calibri" w:hAnsi="Times New Roman" w:cs="Times New Roman"/>
                <w:sz w:val="24"/>
                <w:szCs w:val="24"/>
              </w:rPr>
              <w:t>) :</w:t>
            </w:r>
            <w:proofErr w:type="gramEnd"/>
          </w:p>
        </w:tc>
        <w:tc>
          <w:tcPr>
            <w:tcW w:w="963" w:type="dxa"/>
            <w:tcBorders>
              <w:bottom w:val="single" w:sz="4" w:space="0" w:color="auto"/>
            </w:tcBorders>
            <w:noWrap/>
            <w:vAlign w:val="center"/>
          </w:tcPr>
          <w:p w14:paraId="5E034FB0"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34.23</w:t>
            </w:r>
          </w:p>
        </w:tc>
        <w:tc>
          <w:tcPr>
            <w:tcW w:w="993" w:type="dxa"/>
            <w:tcBorders>
              <w:bottom w:val="single" w:sz="4" w:space="0" w:color="auto"/>
            </w:tcBorders>
            <w:noWrap/>
            <w:vAlign w:val="center"/>
          </w:tcPr>
          <w:p w14:paraId="40150547" w14:textId="77777777" w:rsidR="002C2F49" w:rsidRPr="00E544E2" w:rsidRDefault="002C2F49" w:rsidP="00150C83">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25.55</w:t>
            </w:r>
          </w:p>
        </w:tc>
        <w:tc>
          <w:tcPr>
            <w:tcW w:w="283" w:type="dxa"/>
            <w:vMerge/>
            <w:tcBorders>
              <w:bottom w:val="nil"/>
            </w:tcBorders>
            <w:vAlign w:val="bottom"/>
          </w:tcPr>
          <w:p w14:paraId="017855AE"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c>
          <w:tcPr>
            <w:tcW w:w="5488" w:type="dxa"/>
            <w:vMerge/>
            <w:tcBorders>
              <w:bottom w:val="single" w:sz="4" w:space="0" w:color="auto"/>
            </w:tcBorders>
          </w:tcPr>
          <w:p w14:paraId="007BA25F" w14:textId="77777777" w:rsidR="002C2F49" w:rsidRPr="00E544E2" w:rsidRDefault="002C2F49" w:rsidP="00150C83">
            <w:pPr>
              <w:tabs>
                <w:tab w:val="decimal" w:pos="459"/>
              </w:tabs>
              <w:spacing w:after="0" w:line="240" w:lineRule="auto"/>
              <w:jc w:val="both"/>
              <w:rPr>
                <w:rFonts w:ascii="Times New Roman" w:hAnsi="Times New Roman" w:cs="Times New Roman"/>
                <w:sz w:val="24"/>
                <w:szCs w:val="24"/>
              </w:rPr>
            </w:pPr>
          </w:p>
        </w:tc>
      </w:tr>
      <w:tr w:rsidR="002C2F49" w:rsidRPr="00E544E2" w14:paraId="0137E8CA" w14:textId="77777777" w:rsidTr="00150C83">
        <w:trPr>
          <w:trHeight w:val="46"/>
        </w:trPr>
        <w:tc>
          <w:tcPr>
            <w:tcW w:w="9287" w:type="dxa"/>
            <w:gridSpan w:val="5"/>
            <w:tcBorders>
              <w:top w:val="nil"/>
              <w:left w:val="nil"/>
              <w:bottom w:val="nil"/>
              <w:right w:val="nil"/>
            </w:tcBorders>
            <w:noWrap/>
            <w:vAlign w:val="center"/>
            <w:hideMark/>
          </w:tcPr>
          <w:p w14:paraId="7880D352" w14:textId="0CB27B15" w:rsidR="002C2F49" w:rsidRPr="00E544E2" w:rsidRDefault="002C2F49" w:rsidP="00150C83">
            <w:pPr>
              <w:tabs>
                <w:tab w:val="decimal" w:pos="459"/>
              </w:tabs>
              <w:spacing w:after="0" w:line="240" w:lineRule="auto"/>
              <w:ind w:right="2120"/>
              <w:jc w:val="center"/>
              <w:rPr>
                <w:rFonts w:ascii="Times New Roman" w:hAnsi="Times New Roman" w:cs="Times New Roman"/>
                <w:b/>
                <w:bCs/>
                <w:sz w:val="24"/>
                <w:szCs w:val="24"/>
              </w:rPr>
            </w:pPr>
            <w:r w:rsidRPr="00E544E2">
              <w:rPr>
                <w:rFonts w:ascii="Times New Roman" w:hAnsi="Times New Roman" w:cs="Times New Roman"/>
                <w:b/>
                <w:bCs/>
                <w:sz w:val="24"/>
                <w:szCs w:val="24"/>
              </w:rPr>
              <w:t>Table &amp; Fig. 3</w:t>
            </w:r>
            <w:r w:rsidR="003866B6">
              <w:rPr>
                <w:rFonts w:ascii="Times New Roman" w:hAnsi="Times New Roman" w:cs="Times New Roman"/>
                <w:b/>
                <w:bCs/>
                <w:sz w:val="24"/>
                <w:szCs w:val="24"/>
              </w:rPr>
              <w:t xml:space="preserve">: </w:t>
            </w:r>
            <w:r w:rsidR="003866B6" w:rsidRPr="00E544E2">
              <w:rPr>
                <w:rFonts w:ascii="Times New Roman" w:hAnsi="Times New Roman" w:cs="Times New Roman"/>
                <w:b/>
                <w:bCs/>
                <w:sz w:val="24"/>
                <w:szCs w:val="24"/>
              </w:rPr>
              <w:t xml:space="preserve"> Marketable tuber Yield (t/ha) of advanced clones (202</w:t>
            </w:r>
            <w:r w:rsidR="0087657F">
              <w:rPr>
                <w:rFonts w:ascii="Times New Roman" w:hAnsi="Times New Roman" w:cs="Times New Roman"/>
                <w:b/>
                <w:bCs/>
                <w:sz w:val="24"/>
                <w:szCs w:val="24"/>
              </w:rPr>
              <w:t>3</w:t>
            </w:r>
            <w:r w:rsidR="003866B6" w:rsidRPr="00E544E2">
              <w:rPr>
                <w:rFonts w:ascii="Times New Roman" w:hAnsi="Times New Roman" w:cs="Times New Roman"/>
                <w:b/>
                <w:bCs/>
                <w:sz w:val="24"/>
                <w:szCs w:val="24"/>
              </w:rPr>
              <w:t>-25)</w:t>
            </w:r>
          </w:p>
        </w:tc>
      </w:tr>
    </w:tbl>
    <w:p w14:paraId="58EA5025" w14:textId="77777777" w:rsidR="002C2F49" w:rsidRPr="00E544E2" w:rsidRDefault="002C2F49" w:rsidP="007E4B21">
      <w:pPr>
        <w:spacing w:after="0" w:line="240" w:lineRule="auto"/>
        <w:jc w:val="both"/>
        <w:rPr>
          <w:rFonts w:ascii="Times New Roman" w:hAnsi="Times New Roman" w:cs="Times New Roman"/>
          <w:sz w:val="24"/>
          <w:szCs w:val="24"/>
        </w:rPr>
      </w:pPr>
    </w:p>
    <w:p w14:paraId="30116F37" w14:textId="77777777" w:rsidR="002C2F49" w:rsidRPr="00E544E2" w:rsidRDefault="002C2F49" w:rsidP="007E4B21">
      <w:pPr>
        <w:spacing w:after="0" w:line="240" w:lineRule="auto"/>
        <w:jc w:val="both"/>
        <w:rPr>
          <w:rFonts w:ascii="Times New Roman" w:hAnsi="Times New Roman" w:cs="Times New Roman"/>
          <w:sz w:val="24"/>
          <w:szCs w:val="24"/>
        </w:rPr>
      </w:pPr>
    </w:p>
    <w:tbl>
      <w:tblPr>
        <w:tblStyle w:val="TableGrid"/>
        <w:tblW w:w="9141"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5"/>
        <w:gridCol w:w="2285"/>
        <w:gridCol w:w="2285"/>
        <w:gridCol w:w="2286"/>
      </w:tblGrid>
      <w:tr w:rsidR="002C2F49" w:rsidRPr="00E544E2" w14:paraId="3C5BF4B2" w14:textId="77777777" w:rsidTr="002C2F49">
        <w:tc>
          <w:tcPr>
            <w:tcW w:w="2285" w:type="dxa"/>
          </w:tcPr>
          <w:p w14:paraId="27E452C5" w14:textId="77777777" w:rsidR="002C2F49" w:rsidRPr="00E544E2" w:rsidRDefault="002C2F49" w:rsidP="007E4B21">
            <w:pPr>
              <w:ind w:left="-56"/>
              <w:jc w:val="both"/>
              <w:rPr>
                <w:rFonts w:ascii="Times New Roman" w:hAnsi="Times New Roman" w:cs="Times New Roman"/>
                <w:b/>
                <w:bCs/>
                <w:sz w:val="24"/>
                <w:szCs w:val="24"/>
              </w:rPr>
            </w:pPr>
            <w:r w:rsidRPr="00E544E2">
              <w:rPr>
                <w:rFonts w:ascii="Times New Roman" w:hAnsi="Times New Roman" w:cs="Times New Roman"/>
                <w:b/>
                <w:bCs/>
                <w:noProof/>
                <w:sz w:val="24"/>
                <w:szCs w:val="24"/>
                <w:lang w:eastAsia="en-IN"/>
              </w:rPr>
              <w:drawing>
                <wp:inline distT="0" distB="0" distL="0" distR="0" wp14:anchorId="464CAA16" wp14:editId="6F194A41">
                  <wp:extent cx="1403680" cy="2042160"/>
                  <wp:effectExtent l="0" t="0" r="6350" b="0"/>
                  <wp:docPr id="22" name="Picture 3" descr="PS 19-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S 19-24.jpg"/>
                          <pic:cNvPicPr preferRelativeResize="0"/>
                        </pic:nvPicPr>
                        <pic:blipFill>
                          <a:blip r:embed="rId24" cstate="print">
                            <a:lum contrast="20000"/>
                          </a:blip>
                          <a:stretch>
                            <a:fillRect/>
                          </a:stretch>
                        </pic:blipFill>
                        <pic:spPr>
                          <a:xfrm>
                            <a:off x="0" y="0"/>
                            <a:ext cx="1410285" cy="2051769"/>
                          </a:xfrm>
                          <a:prstGeom prst="rect">
                            <a:avLst/>
                          </a:prstGeom>
                        </pic:spPr>
                      </pic:pic>
                    </a:graphicData>
                  </a:graphic>
                </wp:inline>
              </w:drawing>
            </w:r>
          </w:p>
        </w:tc>
        <w:tc>
          <w:tcPr>
            <w:tcW w:w="2285" w:type="dxa"/>
          </w:tcPr>
          <w:p w14:paraId="7D481579" w14:textId="77777777" w:rsidR="002C2F49" w:rsidRPr="00E544E2" w:rsidRDefault="002C2F49" w:rsidP="007E4B21">
            <w:pPr>
              <w:ind w:left="-56"/>
              <w:jc w:val="both"/>
              <w:rPr>
                <w:rFonts w:ascii="Times New Roman" w:hAnsi="Times New Roman" w:cs="Times New Roman"/>
                <w:b/>
                <w:bCs/>
                <w:sz w:val="24"/>
                <w:szCs w:val="24"/>
              </w:rPr>
            </w:pPr>
            <w:r w:rsidRPr="00E544E2">
              <w:rPr>
                <w:rFonts w:ascii="Times New Roman" w:hAnsi="Times New Roman" w:cs="Times New Roman"/>
                <w:b/>
                <w:bCs/>
                <w:noProof/>
                <w:sz w:val="24"/>
                <w:szCs w:val="24"/>
                <w:lang w:eastAsia="en-IN"/>
              </w:rPr>
              <w:drawing>
                <wp:inline distT="0" distB="0" distL="0" distR="0" wp14:anchorId="785846B5" wp14:editId="074F0CC7">
                  <wp:extent cx="1403350" cy="2026920"/>
                  <wp:effectExtent l="0" t="0" r="6350" b="0"/>
                  <wp:docPr id="23" name="Picture 2" descr="PS 19-2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S 19-26.jpg"/>
                          <pic:cNvPicPr preferRelativeResize="0"/>
                        </pic:nvPicPr>
                        <pic:blipFill>
                          <a:blip r:embed="rId25" cstate="print">
                            <a:lum contrast="20000"/>
                          </a:blip>
                          <a:srcRect t="5541" b="1583"/>
                          <a:stretch>
                            <a:fillRect/>
                          </a:stretch>
                        </pic:blipFill>
                        <pic:spPr>
                          <a:xfrm>
                            <a:off x="0" y="0"/>
                            <a:ext cx="1408964" cy="2035028"/>
                          </a:xfrm>
                          <a:prstGeom prst="rect">
                            <a:avLst/>
                          </a:prstGeom>
                        </pic:spPr>
                      </pic:pic>
                    </a:graphicData>
                  </a:graphic>
                </wp:inline>
              </w:drawing>
            </w:r>
          </w:p>
        </w:tc>
        <w:tc>
          <w:tcPr>
            <w:tcW w:w="2285" w:type="dxa"/>
          </w:tcPr>
          <w:p w14:paraId="516CAEDA" w14:textId="77777777" w:rsidR="002C2F49" w:rsidRPr="00E544E2" w:rsidRDefault="002C2F49" w:rsidP="007E4B21">
            <w:pPr>
              <w:ind w:left="-56"/>
              <w:jc w:val="both"/>
              <w:rPr>
                <w:rFonts w:ascii="Times New Roman" w:hAnsi="Times New Roman" w:cs="Times New Roman"/>
                <w:b/>
                <w:bCs/>
                <w:sz w:val="24"/>
                <w:szCs w:val="24"/>
              </w:rPr>
            </w:pPr>
            <w:r w:rsidRPr="00E544E2">
              <w:rPr>
                <w:rFonts w:ascii="Times New Roman" w:hAnsi="Times New Roman" w:cs="Times New Roman"/>
                <w:b/>
                <w:bCs/>
                <w:noProof/>
                <w:sz w:val="24"/>
                <w:szCs w:val="24"/>
                <w:lang w:eastAsia="en-IN"/>
              </w:rPr>
              <w:drawing>
                <wp:inline distT="0" distB="0" distL="0" distR="0" wp14:anchorId="5130782E" wp14:editId="196FDCA1">
                  <wp:extent cx="1403680" cy="2034540"/>
                  <wp:effectExtent l="0" t="0" r="6350" b="3810"/>
                  <wp:docPr id="24" name="Picture 9" descr="PS 19-4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S 19-41.jpg"/>
                          <pic:cNvPicPr preferRelativeResize="0"/>
                        </pic:nvPicPr>
                        <pic:blipFill>
                          <a:blip r:embed="rId26" cstate="print">
                            <a:lum contrast="20000"/>
                          </a:blip>
                          <a:stretch>
                            <a:fillRect/>
                          </a:stretch>
                        </pic:blipFill>
                        <pic:spPr>
                          <a:xfrm>
                            <a:off x="0" y="0"/>
                            <a:ext cx="1410949" cy="2045076"/>
                          </a:xfrm>
                          <a:prstGeom prst="rect">
                            <a:avLst/>
                          </a:prstGeom>
                        </pic:spPr>
                      </pic:pic>
                    </a:graphicData>
                  </a:graphic>
                </wp:inline>
              </w:drawing>
            </w:r>
          </w:p>
        </w:tc>
        <w:tc>
          <w:tcPr>
            <w:tcW w:w="2286" w:type="dxa"/>
          </w:tcPr>
          <w:p w14:paraId="517CD09D" w14:textId="77777777" w:rsidR="002C2F49" w:rsidRPr="00E544E2" w:rsidRDefault="002C2F49" w:rsidP="007E4B21">
            <w:pPr>
              <w:ind w:left="-56"/>
              <w:jc w:val="both"/>
              <w:rPr>
                <w:rFonts w:ascii="Times New Roman" w:hAnsi="Times New Roman" w:cs="Times New Roman"/>
                <w:b/>
                <w:bCs/>
                <w:sz w:val="24"/>
                <w:szCs w:val="24"/>
              </w:rPr>
            </w:pPr>
            <w:r w:rsidRPr="00E544E2">
              <w:rPr>
                <w:rFonts w:ascii="Times New Roman" w:hAnsi="Times New Roman" w:cs="Times New Roman"/>
                <w:b/>
                <w:bCs/>
                <w:noProof/>
                <w:sz w:val="24"/>
                <w:szCs w:val="24"/>
                <w:lang w:eastAsia="en-IN"/>
              </w:rPr>
              <w:drawing>
                <wp:inline distT="0" distB="0" distL="0" distR="0" wp14:anchorId="706FE226" wp14:editId="257276B4">
                  <wp:extent cx="1402080" cy="2042160"/>
                  <wp:effectExtent l="0" t="0" r="7620" b="0"/>
                  <wp:docPr id="25" name="Picture 10" descr="PS 1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 19-50.jpg"/>
                          <pic:cNvPicPr/>
                        </pic:nvPicPr>
                        <pic:blipFill>
                          <a:blip r:embed="rId27" cstate="print">
                            <a:lum contrast="20000"/>
                          </a:blip>
                          <a:stretch>
                            <a:fillRect/>
                          </a:stretch>
                        </pic:blipFill>
                        <pic:spPr>
                          <a:xfrm>
                            <a:off x="0" y="0"/>
                            <a:ext cx="1402611" cy="2042933"/>
                          </a:xfrm>
                          <a:prstGeom prst="rect">
                            <a:avLst/>
                          </a:prstGeom>
                        </pic:spPr>
                      </pic:pic>
                    </a:graphicData>
                  </a:graphic>
                </wp:inline>
              </w:drawing>
            </w:r>
          </w:p>
        </w:tc>
      </w:tr>
      <w:tr w:rsidR="002C2F49" w:rsidRPr="00E544E2" w14:paraId="47FDC89C" w14:textId="77777777" w:rsidTr="002C2F49">
        <w:tc>
          <w:tcPr>
            <w:tcW w:w="2285" w:type="dxa"/>
          </w:tcPr>
          <w:p w14:paraId="2EC72C74" w14:textId="77777777" w:rsidR="002C2F49" w:rsidRPr="00E544E2" w:rsidRDefault="002C2F49" w:rsidP="007E4B21">
            <w:pPr>
              <w:jc w:val="both"/>
              <w:rPr>
                <w:rFonts w:ascii="Times New Roman" w:eastAsia="Calibri" w:hAnsi="Times New Roman" w:cs="Times New Roman"/>
                <w:b/>
                <w:bCs/>
                <w:sz w:val="24"/>
                <w:szCs w:val="24"/>
              </w:rPr>
            </w:pPr>
            <w:r w:rsidRPr="00E544E2">
              <w:rPr>
                <w:rFonts w:ascii="Times New Roman" w:eastAsia="Calibri" w:hAnsi="Times New Roman" w:cs="Times New Roman"/>
                <w:b/>
                <w:bCs/>
                <w:sz w:val="24"/>
                <w:szCs w:val="24"/>
              </w:rPr>
              <w:t>PS/19-24</w:t>
            </w:r>
          </w:p>
        </w:tc>
        <w:tc>
          <w:tcPr>
            <w:tcW w:w="2285" w:type="dxa"/>
          </w:tcPr>
          <w:p w14:paraId="2A01252D" w14:textId="77777777" w:rsidR="002C2F49" w:rsidRPr="00E544E2" w:rsidRDefault="002C2F49" w:rsidP="007E4B21">
            <w:pPr>
              <w:ind w:left="-56"/>
              <w:jc w:val="both"/>
              <w:rPr>
                <w:rFonts w:ascii="Times New Roman" w:hAnsi="Times New Roman" w:cs="Times New Roman"/>
                <w:b/>
                <w:bCs/>
                <w:noProof/>
                <w:sz w:val="24"/>
                <w:szCs w:val="24"/>
                <w:lang w:val="en-IN" w:eastAsia="en-IN"/>
              </w:rPr>
            </w:pPr>
            <w:r w:rsidRPr="00E544E2">
              <w:rPr>
                <w:rFonts w:ascii="Times New Roman" w:eastAsia="Calibri" w:hAnsi="Times New Roman" w:cs="Times New Roman"/>
                <w:b/>
                <w:bCs/>
                <w:sz w:val="24"/>
                <w:szCs w:val="24"/>
              </w:rPr>
              <w:t>PS/19-26</w:t>
            </w:r>
          </w:p>
        </w:tc>
        <w:tc>
          <w:tcPr>
            <w:tcW w:w="2285" w:type="dxa"/>
          </w:tcPr>
          <w:p w14:paraId="08FBEA52" w14:textId="77777777" w:rsidR="002C2F49" w:rsidRPr="00E544E2" w:rsidRDefault="002C2F49" w:rsidP="007E4B21">
            <w:pPr>
              <w:ind w:left="-56"/>
              <w:jc w:val="both"/>
              <w:rPr>
                <w:rFonts w:ascii="Times New Roman" w:hAnsi="Times New Roman" w:cs="Times New Roman"/>
                <w:b/>
                <w:bCs/>
                <w:noProof/>
                <w:sz w:val="24"/>
                <w:szCs w:val="24"/>
                <w:lang w:val="en-IN" w:eastAsia="en-IN"/>
              </w:rPr>
            </w:pPr>
            <w:r w:rsidRPr="00E544E2">
              <w:rPr>
                <w:rFonts w:ascii="Times New Roman" w:eastAsia="Calibri" w:hAnsi="Times New Roman" w:cs="Times New Roman"/>
                <w:b/>
                <w:bCs/>
                <w:sz w:val="24"/>
                <w:szCs w:val="24"/>
              </w:rPr>
              <w:t>PS/19-41</w:t>
            </w:r>
          </w:p>
        </w:tc>
        <w:tc>
          <w:tcPr>
            <w:tcW w:w="2286" w:type="dxa"/>
          </w:tcPr>
          <w:p w14:paraId="4358FD64" w14:textId="77777777" w:rsidR="002C2F49" w:rsidRPr="00E544E2" w:rsidRDefault="002C2F49" w:rsidP="007E4B21">
            <w:pPr>
              <w:ind w:left="-56"/>
              <w:jc w:val="both"/>
              <w:rPr>
                <w:rFonts w:ascii="Times New Roman" w:hAnsi="Times New Roman" w:cs="Times New Roman"/>
                <w:b/>
                <w:bCs/>
                <w:noProof/>
                <w:sz w:val="24"/>
                <w:szCs w:val="24"/>
                <w:lang w:val="en-IN" w:eastAsia="en-IN"/>
              </w:rPr>
            </w:pPr>
            <w:r w:rsidRPr="00E544E2">
              <w:rPr>
                <w:rFonts w:ascii="Times New Roman" w:eastAsia="Calibri" w:hAnsi="Times New Roman" w:cs="Times New Roman"/>
                <w:b/>
                <w:bCs/>
                <w:sz w:val="24"/>
                <w:szCs w:val="24"/>
              </w:rPr>
              <w:t>PS/19-50</w:t>
            </w:r>
          </w:p>
        </w:tc>
      </w:tr>
      <w:tr w:rsidR="007E4B21" w:rsidRPr="00E544E2" w14:paraId="2F7C0911" w14:textId="77777777" w:rsidTr="002617D4">
        <w:tc>
          <w:tcPr>
            <w:tcW w:w="9141" w:type="dxa"/>
            <w:gridSpan w:val="4"/>
          </w:tcPr>
          <w:p w14:paraId="54DA04A9" w14:textId="77777777" w:rsidR="00117EDB" w:rsidRDefault="00117EDB" w:rsidP="007E4B21">
            <w:pPr>
              <w:jc w:val="center"/>
              <w:rPr>
                <w:rFonts w:ascii="Times New Roman" w:hAnsi="Times New Roman" w:cs="Times New Roman"/>
                <w:b/>
                <w:bCs/>
                <w:sz w:val="24"/>
                <w:szCs w:val="24"/>
              </w:rPr>
            </w:pPr>
          </w:p>
          <w:p w14:paraId="6E05D5FF" w14:textId="208476DD" w:rsidR="007E4B21" w:rsidRPr="00E544E2" w:rsidRDefault="00742102" w:rsidP="00742102">
            <w:pPr>
              <w:rPr>
                <w:rFonts w:ascii="Times New Roman" w:hAnsi="Times New Roman" w:cs="Times New Roman"/>
                <w:b/>
                <w:bCs/>
                <w:sz w:val="24"/>
                <w:szCs w:val="24"/>
              </w:rPr>
            </w:pPr>
            <w:r>
              <w:rPr>
                <w:rFonts w:ascii="Times New Roman" w:hAnsi="Times New Roman" w:cs="Times New Roman"/>
                <w:b/>
                <w:bCs/>
                <w:sz w:val="24"/>
                <w:szCs w:val="24"/>
              </w:rPr>
              <w:t>photos</w:t>
            </w:r>
            <w:r w:rsidR="007E4B21" w:rsidRPr="00E544E2">
              <w:rPr>
                <w:rFonts w:ascii="Times New Roman" w:hAnsi="Times New Roman" w:cs="Times New Roman"/>
                <w:b/>
                <w:bCs/>
                <w:sz w:val="24"/>
                <w:szCs w:val="24"/>
              </w:rPr>
              <w:t xml:space="preserve"> 3: Tubers of promising advanced clones</w:t>
            </w:r>
          </w:p>
          <w:p w14:paraId="70EF82DB" w14:textId="77777777" w:rsidR="007E4B21" w:rsidRPr="00E544E2" w:rsidRDefault="007E4B21" w:rsidP="007E4B21">
            <w:pPr>
              <w:ind w:left="-56"/>
              <w:jc w:val="both"/>
              <w:rPr>
                <w:rFonts w:ascii="Times New Roman" w:eastAsia="Calibri" w:hAnsi="Times New Roman" w:cs="Times New Roman"/>
                <w:b/>
                <w:bCs/>
                <w:sz w:val="24"/>
                <w:szCs w:val="24"/>
              </w:rPr>
            </w:pPr>
          </w:p>
        </w:tc>
      </w:tr>
    </w:tbl>
    <w:p w14:paraId="44748E3E" w14:textId="77777777" w:rsidR="002C2F49" w:rsidRPr="00E544E2" w:rsidRDefault="002C2F49" w:rsidP="007E4B21">
      <w:pPr>
        <w:spacing w:after="0" w:line="240" w:lineRule="auto"/>
        <w:jc w:val="both"/>
        <w:rPr>
          <w:rFonts w:ascii="Times New Roman" w:hAnsi="Times New Roman" w:cs="Times New Roman"/>
          <w:b/>
          <w:bCs/>
          <w:sz w:val="24"/>
          <w:szCs w:val="24"/>
        </w:rPr>
      </w:pPr>
    </w:p>
    <w:p w14:paraId="42382716" w14:textId="77777777" w:rsidR="0087657F" w:rsidRDefault="002C2F49" w:rsidP="0087657F">
      <w:pPr>
        <w:pStyle w:val="ListParagraph"/>
        <w:numPr>
          <w:ilvl w:val="0"/>
          <w:numId w:val="5"/>
        </w:numPr>
        <w:spacing w:after="120"/>
        <w:jc w:val="both"/>
        <w:rPr>
          <w:rFonts w:ascii="Times New Roman" w:hAnsi="Times New Roman" w:cs="Times New Roman"/>
          <w:b/>
          <w:bCs/>
          <w:sz w:val="24"/>
          <w:szCs w:val="24"/>
        </w:rPr>
      </w:pPr>
      <w:r>
        <w:rPr>
          <w:rFonts w:ascii="Times New Roman" w:eastAsia="Times New Roman" w:hAnsi="Times New Roman"/>
          <w:b/>
          <w:sz w:val="24"/>
          <w:highlight w:val="yellow"/>
        </w:rPr>
        <w:t>Dry Matter (%)</w:t>
      </w:r>
    </w:p>
    <w:p w14:paraId="71B3B0CB" w14:textId="77777777" w:rsidR="0087657F" w:rsidRPr="0087657F" w:rsidRDefault="0087657F" w:rsidP="0087657F">
      <w:pPr>
        <w:pStyle w:val="NormalWeb"/>
        <w:ind w:left="360"/>
        <w:rPr>
          <w:i/>
          <w:iCs/>
        </w:rPr>
      </w:pPr>
      <w:r>
        <w:rPr>
          <w:highlight w:val="yellow"/>
        </w:rPr>
        <w:t>Dry matter content is an important criterion for selecting potato clones. During 2023–24, values ranged from 24.83% in clone PS/19-02 to 14.17% in PS/19-04. In 2024–25, the values ranged from 19.67% in PS/19-50 to 12.17% in the control variety K. Lohit, indicating notable variation among genotypes and years.</w:t>
      </w:r>
    </w:p>
    <w:p w14:paraId="7A0DF0FF" w14:textId="00856348" w:rsidR="002C2F49" w:rsidRPr="007E4B21" w:rsidRDefault="00742102" w:rsidP="007E4B21">
      <w:pPr>
        <w:spacing w:after="0" w:line="240" w:lineRule="auto"/>
        <w:ind w:left="284"/>
        <w:jc w:val="both"/>
        <w:rPr>
          <w:rFonts w:ascii="Times New Roman" w:hAnsi="Times New Roman" w:cs="Times New Roman"/>
          <w:b/>
          <w:bCs/>
          <w:sz w:val="24"/>
          <w:szCs w:val="24"/>
        </w:rPr>
      </w:pPr>
      <w:r>
        <w:rPr>
          <w:rFonts w:ascii="Times New Roman" w:hAnsi="Times New Roman" w:cs="Times New Roman"/>
          <w:b/>
          <w:bCs/>
          <w:sz w:val="24"/>
          <w:szCs w:val="24"/>
        </w:rPr>
        <w:t xml:space="preserve">Fig 4 (a): </w:t>
      </w:r>
      <w:r w:rsidR="002C2F49" w:rsidRPr="007E4B21">
        <w:rPr>
          <w:rFonts w:ascii="Times New Roman" w:hAnsi="Times New Roman" w:cs="Times New Roman"/>
          <w:b/>
          <w:bCs/>
          <w:sz w:val="24"/>
          <w:szCs w:val="24"/>
        </w:rPr>
        <w:t>Dry Matter (%) of advanced clones (2023-24)</w:t>
      </w:r>
    </w:p>
    <w:tbl>
      <w:tblPr>
        <w:tblpPr w:leftFromText="180" w:rightFromText="180" w:vertAnchor="text" w:tblpX="324" w:tblpY="1"/>
        <w:tblOverlap w:val="never"/>
        <w:tblW w:w="9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4"/>
        <w:gridCol w:w="1820"/>
        <w:gridCol w:w="252"/>
        <w:gridCol w:w="5501"/>
      </w:tblGrid>
      <w:tr w:rsidR="002C2F49" w:rsidRPr="00E544E2" w14:paraId="06C50E44" w14:textId="77777777" w:rsidTr="002C2F49">
        <w:trPr>
          <w:trHeight w:val="565"/>
        </w:trPr>
        <w:tc>
          <w:tcPr>
            <w:tcW w:w="1564" w:type="dxa"/>
            <w:noWrap/>
            <w:vAlign w:val="center"/>
            <w:hideMark/>
          </w:tcPr>
          <w:p w14:paraId="03E364D2" w14:textId="77777777" w:rsidR="002C2F49" w:rsidRPr="00E544E2" w:rsidRDefault="002C2F49" w:rsidP="007E4B21">
            <w:pPr>
              <w:spacing w:after="0" w:line="240" w:lineRule="auto"/>
              <w:jc w:val="both"/>
              <w:rPr>
                <w:rFonts w:ascii="Times New Roman" w:hAnsi="Times New Roman" w:cs="Times New Roman"/>
                <w:b/>
                <w:bCs/>
                <w:sz w:val="24"/>
                <w:szCs w:val="24"/>
              </w:rPr>
            </w:pPr>
            <w:r w:rsidRPr="00E544E2">
              <w:rPr>
                <w:rFonts w:ascii="Times New Roman" w:hAnsi="Times New Roman" w:cs="Times New Roman"/>
                <w:sz w:val="24"/>
                <w:szCs w:val="24"/>
              </w:rPr>
              <w:t>Advanced clones /Varieties</w:t>
            </w:r>
          </w:p>
        </w:tc>
        <w:tc>
          <w:tcPr>
            <w:tcW w:w="1820" w:type="dxa"/>
            <w:vAlign w:val="center"/>
          </w:tcPr>
          <w:p w14:paraId="459F7B45" w14:textId="77777777" w:rsidR="002C2F49" w:rsidRPr="00E544E2" w:rsidRDefault="002C2F49" w:rsidP="007E4B21">
            <w:pPr>
              <w:spacing w:after="0" w:line="240" w:lineRule="auto"/>
              <w:jc w:val="both"/>
              <w:rPr>
                <w:rFonts w:ascii="Times New Roman" w:hAnsi="Times New Roman" w:cs="Times New Roman"/>
                <w:sz w:val="24"/>
                <w:szCs w:val="24"/>
                <w:lang w:val="sv-SE"/>
              </w:rPr>
            </w:pPr>
            <w:r w:rsidRPr="00E544E2">
              <w:rPr>
                <w:rFonts w:ascii="Times New Roman" w:hAnsi="Times New Roman" w:cs="Times New Roman"/>
                <w:sz w:val="24"/>
                <w:szCs w:val="24"/>
                <w:lang w:val="sv-SE"/>
              </w:rPr>
              <w:t>Dry Matter % at</w:t>
            </w:r>
            <w:r w:rsidRPr="00E544E2">
              <w:rPr>
                <w:rFonts w:ascii="Times New Roman" w:hAnsi="Times New Roman" w:cs="Times New Roman"/>
                <w:sz w:val="24"/>
                <w:szCs w:val="24"/>
              </w:rPr>
              <w:t xml:space="preserve"> 90 days</w:t>
            </w:r>
          </w:p>
        </w:tc>
        <w:tc>
          <w:tcPr>
            <w:tcW w:w="252" w:type="dxa"/>
            <w:vMerge w:val="restart"/>
            <w:tcBorders>
              <w:top w:val="nil"/>
              <w:bottom w:val="nil"/>
            </w:tcBorders>
            <w:vAlign w:val="bottom"/>
          </w:tcPr>
          <w:p w14:paraId="1248DBA3" w14:textId="77777777" w:rsidR="002C2F49" w:rsidRPr="00E544E2" w:rsidRDefault="002C2F49" w:rsidP="007E4B21">
            <w:pPr>
              <w:spacing w:after="0" w:line="240" w:lineRule="auto"/>
              <w:jc w:val="both"/>
              <w:rPr>
                <w:rFonts w:ascii="Times New Roman" w:hAnsi="Times New Roman" w:cs="Times New Roman"/>
                <w:sz w:val="24"/>
                <w:szCs w:val="24"/>
                <w:lang w:val="sv-SE"/>
              </w:rPr>
            </w:pPr>
          </w:p>
        </w:tc>
        <w:tc>
          <w:tcPr>
            <w:tcW w:w="5501" w:type="dxa"/>
            <w:vMerge w:val="restart"/>
            <w:vAlign w:val="center"/>
          </w:tcPr>
          <w:p w14:paraId="101EC054" w14:textId="77777777" w:rsidR="002C2F49" w:rsidRPr="00E544E2" w:rsidRDefault="002C2F49" w:rsidP="007E4B21">
            <w:pPr>
              <w:spacing w:after="0" w:line="240" w:lineRule="auto"/>
              <w:ind w:left="-47"/>
              <w:jc w:val="both"/>
              <w:rPr>
                <w:rFonts w:ascii="Times New Roman" w:hAnsi="Times New Roman" w:cs="Times New Roman"/>
                <w:sz w:val="24"/>
                <w:szCs w:val="24"/>
              </w:rPr>
            </w:pPr>
            <w:r w:rsidRPr="00E544E2">
              <w:rPr>
                <w:rFonts w:ascii="Times New Roman" w:hAnsi="Times New Roman" w:cs="Times New Roman"/>
                <w:noProof/>
                <w:sz w:val="24"/>
                <w:szCs w:val="24"/>
                <w:lang w:eastAsia="en-IN"/>
              </w:rPr>
              <w:drawing>
                <wp:inline distT="0" distB="0" distL="0" distR="0" wp14:anchorId="12517022" wp14:editId="1B5A3F45">
                  <wp:extent cx="3231715" cy="3162822"/>
                  <wp:effectExtent l="0" t="0" r="6985" b="0"/>
                  <wp:docPr id="1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2C2F49" w:rsidRPr="00E544E2" w14:paraId="3C85A2D2" w14:textId="77777777" w:rsidTr="002C2F49">
        <w:trPr>
          <w:trHeight w:val="245"/>
        </w:trPr>
        <w:tc>
          <w:tcPr>
            <w:tcW w:w="1564" w:type="dxa"/>
            <w:noWrap/>
            <w:vAlign w:val="center"/>
          </w:tcPr>
          <w:p w14:paraId="50C0FF9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PS/19-02</w:t>
            </w:r>
          </w:p>
        </w:tc>
        <w:tc>
          <w:tcPr>
            <w:tcW w:w="1820" w:type="dxa"/>
            <w:noWrap/>
            <w:vAlign w:val="center"/>
          </w:tcPr>
          <w:p w14:paraId="17197F1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24.83</w:t>
            </w:r>
          </w:p>
        </w:tc>
        <w:tc>
          <w:tcPr>
            <w:tcW w:w="252" w:type="dxa"/>
            <w:vMerge/>
            <w:tcBorders>
              <w:bottom w:val="nil"/>
            </w:tcBorders>
            <w:vAlign w:val="bottom"/>
          </w:tcPr>
          <w:p w14:paraId="482CB91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76C69D18"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A5CFA84" w14:textId="77777777" w:rsidTr="002C2F49">
        <w:trPr>
          <w:trHeight w:val="234"/>
        </w:trPr>
        <w:tc>
          <w:tcPr>
            <w:tcW w:w="1564" w:type="dxa"/>
            <w:noWrap/>
            <w:vAlign w:val="center"/>
          </w:tcPr>
          <w:p w14:paraId="6DC42AE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PS/19-04</w:t>
            </w:r>
          </w:p>
        </w:tc>
        <w:tc>
          <w:tcPr>
            <w:tcW w:w="1820" w:type="dxa"/>
            <w:noWrap/>
            <w:vAlign w:val="center"/>
          </w:tcPr>
          <w:p w14:paraId="19AFC1B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14.17</w:t>
            </w:r>
          </w:p>
        </w:tc>
        <w:tc>
          <w:tcPr>
            <w:tcW w:w="252" w:type="dxa"/>
            <w:vMerge/>
            <w:tcBorders>
              <w:bottom w:val="nil"/>
            </w:tcBorders>
            <w:vAlign w:val="bottom"/>
          </w:tcPr>
          <w:p w14:paraId="06A7F1B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73EF9CB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749E265" w14:textId="77777777" w:rsidTr="002C2F49">
        <w:trPr>
          <w:trHeight w:val="234"/>
        </w:trPr>
        <w:tc>
          <w:tcPr>
            <w:tcW w:w="1564" w:type="dxa"/>
            <w:noWrap/>
            <w:vAlign w:val="center"/>
          </w:tcPr>
          <w:p w14:paraId="6C037D8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PS/19-12</w:t>
            </w:r>
          </w:p>
        </w:tc>
        <w:tc>
          <w:tcPr>
            <w:tcW w:w="1820" w:type="dxa"/>
            <w:noWrap/>
            <w:vAlign w:val="center"/>
          </w:tcPr>
          <w:p w14:paraId="5CF3B39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17.83</w:t>
            </w:r>
          </w:p>
        </w:tc>
        <w:tc>
          <w:tcPr>
            <w:tcW w:w="252" w:type="dxa"/>
            <w:vMerge/>
            <w:tcBorders>
              <w:bottom w:val="nil"/>
            </w:tcBorders>
            <w:vAlign w:val="bottom"/>
          </w:tcPr>
          <w:p w14:paraId="0C3E1C0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45C6D0E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32AFC58" w14:textId="77777777" w:rsidTr="002C2F49">
        <w:trPr>
          <w:trHeight w:val="234"/>
        </w:trPr>
        <w:tc>
          <w:tcPr>
            <w:tcW w:w="1564" w:type="dxa"/>
            <w:noWrap/>
            <w:vAlign w:val="center"/>
          </w:tcPr>
          <w:p w14:paraId="687F35C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PS/19-24</w:t>
            </w:r>
          </w:p>
        </w:tc>
        <w:tc>
          <w:tcPr>
            <w:tcW w:w="1820" w:type="dxa"/>
            <w:noWrap/>
            <w:vAlign w:val="center"/>
          </w:tcPr>
          <w:p w14:paraId="733EDB2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17.83</w:t>
            </w:r>
          </w:p>
        </w:tc>
        <w:tc>
          <w:tcPr>
            <w:tcW w:w="252" w:type="dxa"/>
            <w:vMerge/>
            <w:tcBorders>
              <w:bottom w:val="nil"/>
            </w:tcBorders>
            <w:vAlign w:val="bottom"/>
          </w:tcPr>
          <w:p w14:paraId="4D6A221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7BA990F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BD85660" w14:textId="77777777" w:rsidTr="002C2F49">
        <w:trPr>
          <w:trHeight w:val="234"/>
        </w:trPr>
        <w:tc>
          <w:tcPr>
            <w:tcW w:w="1564" w:type="dxa"/>
            <w:noWrap/>
            <w:vAlign w:val="center"/>
          </w:tcPr>
          <w:p w14:paraId="131F80D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PS/19-26</w:t>
            </w:r>
          </w:p>
        </w:tc>
        <w:tc>
          <w:tcPr>
            <w:tcW w:w="1820" w:type="dxa"/>
            <w:noWrap/>
            <w:vAlign w:val="center"/>
          </w:tcPr>
          <w:p w14:paraId="3A9E1C1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14.83</w:t>
            </w:r>
          </w:p>
        </w:tc>
        <w:tc>
          <w:tcPr>
            <w:tcW w:w="252" w:type="dxa"/>
            <w:vMerge/>
            <w:tcBorders>
              <w:bottom w:val="nil"/>
            </w:tcBorders>
            <w:vAlign w:val="bottom"/>
          </w:tcPr>
          <w:p w14:paraId="5EA82E04"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74FA27D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26868C9" w14:textId="77777777" w:rsidTr="002C2F49">
        <w:trPr>
          <w:trHeight w:val="234"/>
        </w:trPr>
        <w:tc>
          <w:tcPr>
            <w:tcW w:w="1564" w:type="dxa"/>
            <w:noWrap/>
            <w:vAlign w:val="center"/>
          </w:tcPr>
          <w:p w14:paraId="75767BE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PS/19-31</w:t>
            </w:r>
          </w:p>
        </w:tc>
        <w:tc>
          <w:tcPr>
            <w:tcW w:w="1820" w:type="dxa"/>
            <w:noWrap/>
            <w:vAlign w:val="center"/>
          </w:tcPr>
          <w:p w14:paraId="5D7C8E1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17.50</w:t>
            </w:r>
          </w:p>
        </w:tc>
        <w:tc>
          <w:tcPr>
            <w:tcW w:w="252" w:type="dxa"/>
            <w:vMerge/>
            <w:tcBorders>
              <w:bottom w:val="nil"/>
            </w:tcBorders>
            <w:vAlign w:val="bottom"/>
          </w:tcPr>
          <w:p w14:paraId="0E639FF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1EFC5C2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3CE098F" w14:textId="77777777" w:rsidTr="002C2F49">
        <w:trPr>
          <w:trHeight w:val="234"/>
        </w:trPr>
        <w:tc>
          <w:tcPr>
            <w:tcW w:w="1564" w:type="dxa"/>
            <w:noWrap/>
            <w:vAlign w:val="center"/>
          </w:tcPr>
          <w:p w14:paraId="0A88C35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PS/19-41</w:t>
            </w:r>
          </w:p>
        </w:tc>
        <w:tc>
          <w:tcPr>
            <w:tcW w:w="1820" w:type="dxa"/>
            <w:noWrap/>
            <w:vAlign w:val="center"/>
          </w:tcPr>
          <w:p w14:paraId="3BBA6554"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17.33</w:t>
            </w:r>
          </w:p>
        </w:tc>
        <w:tc>
          <w:tcPr>
            <w:tcW w:w="252" w:type="dxa"/>
            <w:vMerge/>
            <w:tcBorders>
              <w:bottom w:val="nil"/>
            </w:tcBorders>
            <w:vAlign w:val="bottom"/>
          </w:tcPr>
          <w:p w14:paraId="78CE0BF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13AF369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796BEB1" w14:textId="77777777" w:rsidTr="002C2F49">
        <w:trPr>
          <w:trHeight w:val="234"/>
        </w:trPr>
        <w:tc>
          <w:tcPr>
            <w:tcW w:w="1564" w:type="dxa"/>
            <w:noWrap/>
            <w:vAlign w:val="center"/>
            <w:hideMark/>
          </w:tcPr>
          <w:p w14:paraId="5251907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PS/19-43</w:t>
            </w:r>
          </w:p>
        </w:tc>
        <w:tc>
          <w:tcPr>
            <w:tcW w:w="1820" w:type="dxa"/>
            <w:noWrap/>
            <w:vAlign w:val="center"/>
          </w:tcPr>
          <w:p w14:paraId="1E1FCCB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17.17</w:t>
            </w:r>
          </w:p>
        </w:tc>
        <w:tc>
          <w:tcPr>
            <w:tcW w:w="252" w:type="dxa"/>
            <w:vMerge/>
            <w:tcBorders>
              <w:bottom w:val="nil"/>
            </w:tcBorders>
            <w:vAlign w:val="bottom"/>
          </w:tcPr>
          <w:p w14:paraId="44FD7E1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4BDC257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6C8269B" w14:textId="77777777" w:rsidTr="002C2F49">
        <w:trPr>
          <w:trHeight w:val="234"/>
        </w:trPr>
        <w:tc>
          <w:tcPr>
            <w:tcW w:w="1564" w:type="dxa"/>
            <w:noWrap/>
            <w:vAlign w:val="center"/>
            <w:hideMark/>
          </w:tcPr>
          <w:p w14:paraId="4D1E726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PS/19-44</w:t>
            </w:r>
          </w:p>
        </w:tc>
        <w:tc>
          <w:tcPr>
            <w:tcW w:w="1820" w:type="dxa"/>
            <w:noWrap/>
            <w:vAlign w:val="center"/>
          </w:tcPr>
          <w:p w14:paraId="2418AF8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14.83</w:t>
            </w:r>
          </w:p>
        </w:tc>
        <w:tc>
          <w:tcPr>
            <w:tcW w:w="252" w:type="dxa"/>
            <w:vMerge/>
            <w:tcBorders>
              <w:bottom w:val="nil"/>
            </w:tcBorders>
            <w:vAlign w:val="bottom"/>
          </w:tcPr>
          <w:p w14:paraId="6213293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1420BB8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DF69DD5" w14:textId="77777777" w:rsidTr="002C2F49">
        <w:trPr>
          <w:trHeight w:val="234"/>
        </w:trPr>
        <w:tc>
          <w:tcPr>
            <w:tcW w:w="1564" w:type="dxa"/>
            <w:noWrap/>
            <w:vAlign w:val="center"/>
          </w:tcPr>
          <w:p w14:paraId="077DD0FE"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PS/19-50</w:t>
            </w:r>
          </w:p>
        </w:tc>
        <w:tc>
          <w:tcPr>
            <w:tcW w:w="1820" w:type="dxa"/>
            <w:noWrap/>
            <w:vAlign w:val="center"/>
          </w:tcPr>
          <w:p w14:paraId="00C75B1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18.50</w:t>
            </w:r>
          </w:p>
        </w:tc>
        <w:tc>
          <w:tcPr>
            <w:tcW w:w="252" w:type="dxa"/>
            <w:vMerge/>
            <w:tcBorders>
              <w:bottom w:val="nil"/>
            </w:tcBorders>
            <w:vAlign w:val="bottom"/>
          </w:tcPr>
          <w:p w14:paraId="7AFE71B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0E5E97E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14AEADD" w14:textId="77777777" w:rsidTr="002C2F49">
        <w:trPr>
          <w:trHeight w:val="234"/>
        </w:trPr>
        <w:tc>
          <w:tcPr>
            <w:tcW w:w="1564" w:type="dxa"/>
            <w:noWrap/>
            <w:vAlign w:val="center"/>
          </w:tcPr>
          <w:p w14:paraId="5911EC90" w14:textId="77777777" w:rsidR="002C2F49" w:rsidRPr="00E544E2" w:rsidRDefault="002C2F49" w:rsidP="007E4B21">
            <w:pPr>
              <w:spacing w:after="0" w:line="240" w:lineRule="auto"/>
              <w:jc w:val="both"/>
              <w:rPr>
                <w:rFonts w:ascii="Times New Roman" w:eastAsia="Calibri" w:hAnsi="Times New Roman" w:cs="Times New Roman"/>
                <w:sz w:val="24"/>
                <w:szCs w:val="24"/>
              </w:rPr>
            </w:pPr>
            <w:proofErr w:type="spellStart"/>
            <w:proofErr w:type="gramStart"/>
            <w:r w:rsidRPr="00E544E2">
              <w:rPr>
                <w:rFonts w:ascii="Times New Roman" w:eastAsia="Calibri" w:hAnsi="Times New Roman" w:cs="Times New Roman"/>
                <w:sz w:val="24"/>
                <w:szCs w:val="24"/>
              </w:rPr>
              <w:t>K.Lalima</w:t>
            </w:r>
            <w:proofErr w:type="spellEnd"/>
            <w:proofErr w:type="gramEnd"/>
          </w:p>
        </w:tc>
        <w:tc>
          <w:tcPr>
            <w:tcW w:w="1820" w:type="dxa"/>
            <w:noWrap/>
            <w:vAlign w:val="center"/>
          </w:tcPr>
          <w:p w14:paraId="1FAD37A4"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15.67</w:t>
            </w:r>
          </w:p>
        </w:tc>
        <w:tc>
          <w:tcPr>
            <w:tcW w:w="252" w:type="dxa"/>
            <w:vMerge/>
            <w:tcBorders>
              <w:bottom w:val="nil"/>
            </w:tcBorders>
            <w:vAlign w:val="bottom"/>
          </w:tcPr>
          <w:p w14:paraId="533C548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4C84E4D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763C28F" w14:textId="77777777" w:rsidTr="002C2F49">
        <w:trPr>
          <w:trHeight w:val="234"/>
        </w:trPr>
        <w:tc>
          <w:tcPr>
            <w:tcW w:w="1564" w:type="dxa"/>
            <w:noWrap/>
            <w:vAlign w:val="center"/>
          </w:tcPr>
          <w:p w14:paraId="5220D7F5" w14:textId="77777777" w:rsidR="002C2F49" w:rsidRPr="00E544E2" w:rsidRDefault="002C2F49" w:rsidP="007E4B21">
            <w:pPr>
              <w:spacing w:after="0" w:line="240" w:lineRule="auto"/>
              <w:jc w:val="both"/>
              <w:rPr>
                <w:rFonts w:ascii="Times New Roman" w:eastAsia="Calibri" w:hAnsi="Times New Roman" w:cs="Times New Roman"/>
                <w:sz w:val="24"/>
                <w:szCs w:val="24"/>
              </w:rPr>
            </w:pPr>
            <w:proofErr w:type="spellStart"/>
            <w:proofErr w:type="gramStart"/>
            <w:r w:rsidRPr="00E544E2">
              <w:rPr>
                <w:rFonts w:ascii="Times New Roman" w:eastAsia="Calibri" w:hAnsi="Times New Roman" w:cs="Times New Roman"/>
                <w:sz w:val="24"/>
                <w:szCs w:val="24"/>
              </w:rPr>
              <w:t>K.Lalit</w:t>
            </w:r>
            <w:proofErr w:type="spellEnd"/>
            <w:proofErr w:type="gramEnd"/>
          </w:p>
        </w:tc>
        <w:tc>
          <w:tcPr>
            <w:tcW w:w="1820" w:type="dxa"/>
            <w:noWrap/>
            <w:vAlign w:val="center"/>
          </w:tcPr>
          <w:p w14:paraId="5109AA4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15.17</w:t>
            </w:r>
          </w:p>
        </w:tc>
        <w:tc>
          <w:tcPr>
            <w:tcW w:w="252" w:type="dxa"/>
            <w:vMerge/>
            <w:tcBorders>
              <w:bottom w:val="nil"/>
            </w:tcBorders>
            <w:vAlign w:val="bottom"/>
          </w:tcPr>
          <w:p w14:paraId="7AD5F1D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7CAC41C3"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E846515" w14:textId="77777777" w:rsidTr="002C2F49">
        <w:trPr>
          <w:trHeight w:val="234"/>
        </w:trPr>
        <w:tc>
          <w:tcPr>
            <w:tcW w:w="1564" w:type="dxa"/>
            <w:noWrap/>
            <w:vAlign w:val="center"/>
            <w:hideMark/>
          </w:tcPr>
          <w:p w14:paraId="492BD75E" w14:textId="77777777" w:rsidR="002C2F49" w:rsidRPr="00E544E2" w:rsidRDefault="002C2F49" w:rsidP="007E4B21">
            <w:pPr>
              <w:spacing w:after="0" w:line="240" w:lineRule="auto"/>
              <w:jc w:val="both"/>
              <w:rPr>
                <w:rFonts w:ascii="Times New Roman" w:hAnsi="Times New Roman" w:cs="Times New Roman"/>
                <w:sz w:val="24"/>
                <w:szCs w:val="24"/>
              </w:rPr>
            </w:pPr>
            <w:proofErr w:type="spellStart"/>
            <w:proofErr w:type="gramStart"/>
            <w:r w:rsidRPr="00E544E2">
              <w:rPr>
                <w:rFonts w:ascii="Times New Roman" w:eastAsia="Calibri" w:hAnsi="Times New Roman" w:cs="Times New Roman"/>
                <w:sz w:val="24"/>
                <w:szCs w:val="24"/>
              </w:rPr>
              <w:t>K.Lohit</w:t>
            </w:r>
            <w:proofErr w:type="spellEnd"/>
            <w:proofErr w:type="gramEnd"/>
          </w:p>
        </w:tc>
        <w:tc>
          <w:tcPr>
            <w:tcW w:w="1820" w:type="dxa"/>
            <w:noWrap/>
            <w:vAlign w:val="center"/>
          </w:tcPr>
          <w:p w14:paraId="31F20EE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14.83</w:t>
            </w:r>
          </w:p>
        </w:tc>
        <w:tc>
          <w:tcPr>
            <w:tcW w:w="252" w:type="dxa"/>
            <w:vMerge/>
            <w:tcBorders>
              <w:bottom w:val="nil"/>
            </w:tcBorders>
            <w:vAlign w:val="bottom"/>
          </w:tcPr>
          <w:p w14:paraId="2E31D6D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490C78D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BA92339" w14:textId="77777777" w:rsidTr="002C2F49">
        <w:trPr>
          <w:trHeight w:val="234"/>
        </w:trPr>
        <w:tc>
          <w:tcPr>
            <w:tcW w:w="1564" w:type="dxa"/>
            <w:noWrap/>
            <w:vAlign w:val="center"/>
            <w:hideMark/>
          </w:tcPr>
          <w:p w14:paraId="3826D170" w14:textId="77777777" w:rsidR="002C2F49" w:rsidRPr="00E544E2" w:rsidRDefault="002C2F49" w:rsidP="007E4B21">
            <w:pPr>
              <w:spacing w:after="0" w:line="240" w:lineRule="auto"/>
              <w:jc w:val="both"/>
              <w:rPr>
                <w:rFonts w:ascii="Times New Roman" w:hAnsi="Times New Roman" w:cs="Times New Roman"/>
                <w:sz w:val="24"/>
                <w:szCs w:val="24"/>
              </w:rPr>
            </w:pPr>
            <w:proofErr w:type="spellStart"/>
            <w:proofErr w:type="gramStart"/>
            <w:r w:rsidRPr="00E544E2">
              <w:rPr>
                <w:rFonts w:ascii="Times New Roman" w:eastAsia="Calibri" w:hAnsi="Times New Roman" w:cs="Times New Roman"/>
                <w:sz w:val="24"/>
                <w:szCs w:val="24"/>
              </w:rPr>
              <w:t>K.Manik</w:t>
            </w:r>
            <w:proofErr w:type="spellEnd"/>
            <w:proofErr w:type="gramEnd"/>
          </w:p>
        </w:tc>
        <w:tc>
          <w:tcPr>
            <w:tcW w:w="1820" w:type="dxa"/>
            <w:noWrap/>
            <w:vAlign w:val="center"/>
          </w:tcPr>
          <w:p w14:paraId="443D847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17.67</w:t>
            </w:r>
          </w:p>
        </w:tc>
        <w:tc>
          <w:tcPr>
            <w:tcW w:w="252" w:type="dxa"/>
            <w:vMerge/>
            <w:tcBorders>
              <w:bottom w:val="nil"/>
            </w:tcBorders>
            <w:vAlign w:val="bottom"/>
          </w:tcPr>
          <w:p w14:paraId="070E92D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5524B10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6626673" w14:textId="77777777" w:rsidTr="002C2F49">
        <w:trPr>
          <w:trHeight w:val="234"/>
        </w:trPr>
        <w:tc>
          <w:tcPr>
            <w:tcW w:w="1564" w:type="dxa"/>
            <w:noWrap/>
            <w:vAlign w:val="center"/>
            <w:hideMark/>
          </w:tcPr>
          <w:p w14:paraId="22B94A4E" w14:textId="77777777" w:rsidR="002C2F49" w:rsidRPr="00E544E2" w:rsidRDefault="002C2F49" w:rsidP="007E4B21">
            <w:pPr>
              <w:spacing w:after="0" w:line="240" w:lineRule="auto"/>
              <w:jc w:val="both"/>
              <w:rPr>
                <w:rFonts w:ascii="Times New Roman" w:hAnsi="Times New Roman" w:cs="Times New Roman"/>
                <w:sz w:val="24"/>
                <w:szCs w:val="24"/>
              </w:rPr>
            </w:pPr>
            <w:proofErr w:type="spellStart"/>
            <w:proofErr w:type="gramStart"/>
            <w:r w:rsidRPr="00E544E2">
              <w:rPr>
                <w:rFonts w:ascii="Times New Roman" w:eastAsia="Calibri" w:hAnsi="Times New Roman" w:cs="Times New Roman"/>
                <w:sz w:val="24"/>
                <w:szCs w:val="24"/>
              </w:rPr>
              <w:t>K.Neelkanth</w:t>
            </w:r>
            <w:proofErr w:type="spellEnd"/>
            <w:proofErr w:type="gramEnd"/>
          </w:p>
        </w:tc>
        <w:tc>
          <w:tcPr>
            <w:tcW w:w="1820" w:type="dxa"/>
            <w:noWrap/>
            <w:vAlign w:val="center"/>
          </w:tcPr>
          <w:p w14:paraId="39644AE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17.33</w:t>
            </w:r>
          </w:p>
        </w:tc>
        <w:tc>
          <w:tcPr>
            <w:tcW w:w="252" w:type="dxa"/>
            <w:vMerge/>
            <w:tcBorders>
              <w:bottom w:val="nil"/>
            </w:tcBorders>
            <w:vAlign w:val="bottom"/>
          </w:tcPr>
          <w:p w14:paraId="579A857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5DFE0DC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24B86C5" w14:textId="77777777" w:rsidTr="002C2F49">
        <w:trPr>
          <w:trHeight w:val="46"/>
        </w:trPr>
        <w:tc>
          <w:tcPr>
            <w:tcW w:w="1564" w:type="dxa"/>
            <w:tcBorders>
              <w:bottom w:val="single" w:sz="4" w:space="0" w:color="auto"/>
            </w:tcBorders>
            <w:noWrap/>
            <w:vAlign w:val="center"/>
            <w:hideMark/>
          </w:tcPr>
          <w:p w14:paraId="3801329A"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CD (0.05</w:t>
            </w:r>
            <w:proofErr w:type="gramStart"/>
            <w:r w:rsidRPr="00E544E2">
              <w:rPr>
                <w:rFonts w:ascii="Times New Roman" w:eastAsia="Calibri" w:hAnsi="Times New Roman" w:cs="Times New Roman"/>
                <w:sz w:val="24"/>
                <w:szCs w:val="24"/>
              </w:rPr>
              <w:t>) :</w:t>
            </w:r>
            <w:proofErr w:type="gramEnd"/>
          </w:p>
        </w:tc>
        <w:tc>
          <w:tcPr>
            <w:tcW w:w="1820" w:type="dxa"/>
            <w:tcBorders>
              <w:bottom w:val="single" w:sz="4" w:space="0" w:color="auto"/>
            </w:tcBorders>
            <w:noWrap/>
            <w:vAlign w:val="center"/>
          </w:tcPr>
          <w:p w14:paraId="20FF1C4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1.27</w:t>
            </w:r>
          </w:p>
        </w:tc>
        <w:tc>
          <w:tcPr>
            <w:tcW w:w="252" w:type="dxa"/>
            <w:vMerge/>
            <w:tcBorders>
              <w:bottom w:val="nil"/>
            </w:tcBorders>
            <w:vAlign w:val="bottom"/>
          </w:tcPr>
          <w:p w14:paraId="75ECC3E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1725702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2DDDA80" w14:textId="77777777" w:rsidTr="002C2F49">
        <w:trPr>
          <w:trHeight w:val="46"/>
        </w:trPr>
        <w:tc>
          <w:tcPr>
            <w:tcW w:w="1564" w:type="dxa"/>
            <w:tcBorders>
              <w:bottom w:val="single" w:sz="4" w:space="0" w:color="auto"/>
            </w:tcBorders>
            <w:noWrap/>
            <w:vAlign w:val="center"/>
            <w:hideMark/>
          </w:tcPr>
          <w:p w14:paraId="767DF2CE"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lastRenderedPageBreak/>
              <w:t>CV (%</w:t>
            </w:r>
            <w:proofErr w:type="gramStart"/>
            <w:r w:rsidRPr="00E544E2">
              <w:rPr>
                <w:rFonts w:ascii="Times New Roman" w:eastAsia="Calibri" w:hAnsi="Times New Roman" w:cs="Times New Roman"/>
                <w:sz w:val="24"/>
                <w:szCs w:val="24"/>
              </w:rPr>
              <w:t>) :</w:t>
            </w:r>
            <w:proofErr w:type="gramEnd"/>
          </w:p>
        </w:tc>
        <w:tc>
          <w:tcPr>
            <w:tcW w:w="1820" w:type="dxa"/>
            <w:tcBorders>
              <w:bottom w:val="single" w:sz="4" w:space="0" w:color="auto"/>
            </w:tcBorders>
            <w:noWrap/>
            <w:vAlign w:val="center"/>
          </w:tcPr>
          <w:p w14:paraId="58D8AE5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4.60</w:t>
            </w:r>
          </w:p>
        </w:tc>
        <w:tc>
          <w:tcPr>
            <w:tcW w:w="252" w:type="dxa"/>
            <w:vMerge/>
            <w:tcBorders>
              <w:bottom w:val="nil"/>
            </w:tcBorders>
            <w:vAlign w:val="bottom"/>
          </w:tcPr>
          <w:p w14:paraId="0BA6046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Borders>
              <w:bottom w:val="single" w:sz="4" w:space="0" w:color="auto"/>
            </w:tcBorders>
          </w:tcPr>
          <w:p w14:paraId="7B046684"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bl>
    <w:p w14:paraId="441446C7" w14:textId="77777777" w:rsidR="002C2F49" w:rsidRPr="00E544E2" w:rsidRDefault="002C2F49" w:rsidP="007E4B21">
      <w:pPr>
        <w:spacing w:after="0" w:line="240" w:lineRule="auto"/>
        <w:ind w:left="238"/>
        <w:jc w:val="both"/>
        <w:rPr>
          <w:rFonts w:ascii="Times New Roman" w:hAnsi="Times New Roman" w:cs="Times New Roman"/>
          <w:b/>
          <w:bCs/>
          <w:sz w:val="24"/>
          <w:szCs w:val="24"/>
        </w:rPr>
      </w:pPr>
    </w:p>
    <w:p w14:paraId="58EC17E2" w14:textId="77777777" w:rsidR="002C2F49" w:rsidRPr="00E544E2" w:rsidRDefault="002C2F49" w:rsidP="007E4B21">
      <w:pPr>
        <w:spacing w:after="0" w:line="240" w:lineRule="auto"/>
        <w:ind w:left="238"/>
        <w:jc w:val="both"/>
        <w:rPr>
          <w:rFonts w:ascii="Times New Roman" w:hAnsi="Times New Roman" w:cs="Times New Roman"/>
          <w:b/>
          <w:bCs/>
          <w:sz w:val="24"/>
          <w:szCs w:val="24"/>
        </w:rPr>
      </w:pPr>
    </w:p>
    <w:p w14:paraId="745D1FE6" w14:textId="39945390" w:rsidR="002C2F49" w:rsidRPr="00E544E2" w:rsidRDefault="002C2F49" w:rsidP="007E4B21">
      <w:pPr>
        <w:spacing w:after="0" w:line="240" w:lineRule="auto"/>
        <w:ind w:left="238"/>
        <w:jc w:val="both"/>
        <w:rPr>
          <w:rFonts w:ascii="Times New Roman" w:hAnsi="Times New Roman" w:cs="Times New Roman"/>
          <w:b/>
          <w:bCs/>
          <w:sz w:val="24"/>
          <w:szCs w:val="24"/>
        </w:rPr>
      </w:pPr>
    </w:p>
    <w:tbl>
      <w:tblPr>
        <w:tblpPr w:leftFromText="180" w:rightFromText="180" w:vertAnchor="text" w:tblpX="324" w:tblpY="1"/>
        <w:tblOverlap w:val="neve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21"/>
        <w:gridCol w:w="993"/>
        <w:gridCol w:w="283"/>
        <w:gridCol w:w="5488"/>
      </w:tblGrid>
      <w:tr w:rsidR="002C2F49" w:rsidRPr="00E544E2" w14:paraId="72A50135" w14:textId="77777777" w:rsidTr="002C2F49">
        <w:trPr>
          <w:trHeight w:val="245"/>
        </w:trPr>
        <w:tc>
          <w:tcPr>
            <w:tcW w:w="1555" w:type="dxa"/>
            <w:vMerge w:val="restart"/>
            <w:noWrap/>
            <w:vAlign w:val="center"/>
            <w:hideMark/>
          </w:tcPr>
          <w:p w14:paraId="339DC2DA" w14:textId="77777777" w:rsidR="002C2F49" w:rsidRPr="00E544E2" w:rsidRDefault="002C2F49" w:rsidP="007E4B21">
            <w:pPr>
              <w:spacing w:after="0" w:line="240" w:lineRule="auto"/>
              <w:jc w:val="both"/>
              <w:rPr>
                <w:rFonts w:ascii="Times New Roman" w:hAnsi="Times New Roman" w:cs="Times New Roman"/>
                <w:b/>
                <w:bCs/>
                <w:sz w:val="24"/>
                <w:szCs w:val="24"/>
              </w:rPr>
            </w:pPr>
            <w:r w:rsidRPr="00E544E2">
              <w:rPr>
                <w:rFonts w:ascii="Times New Roman" w:hAnsi="Times New Roman" w:cs="Times New Roman"/>
                <w:sz w:val="24"/>
                <w:szCs w:val="24"/>
              </w:rPr>
              <w:t>Advanced clones /Varieties</w:t>
            </w:r>
          </w:p>
        </w:tc>
        <w:tc>
          <w:tcPr>
            <w:tcW w:w="1814" w:type="dxa"/>
            <w:gridSpan w:val="2"/>
            <w:noWrap/>
            <w:vAlign w:val="bottom"/>
            <w:hideMark/>
          </w:tcPr>
          <w:p w14:paraId="4648E842" w14:textId="77777777" w:rsidR="002C2F49" w:rsidRPr="00E544E2" w:rsidRDefault="002C2F49" w:rsidP="007E4B21">
            <w:pPr>
              <w:spacing w:after="0" w:line="240" w:lineRule="auto"/>
              <w:jc w:val="both"/>
              <w:rPr>
                <w:rFonts w:ascii="Times New Roman" w:hAnsi="Times New Roman" w:cs="Times New Roman"/>
                <w:sz w:val="24"/>
                <w:szCs w:val="24"/>
                <w:lang w:val="sv-SE"/>
              </w:rPr>
            </w:pPr>
            <w:r w:rsidRPr="00E544E2">
              <w:rPr>
                <w:rFonts w:ascii="Times New Roman" w:hAnsi="Times New Roman" w:cs="Times New Roman"/>
                <w:sz w:val="24"/>
                <w:szCs w:val="24"/>
                <w:lang w:val="sv-SE"/>
              </w:rPr>
              <w:t>Dry Matter %</w:t>
            </w:r>
          </w:p>
        </w:tc>
        <w:tc>
          <w:tcPr>
            <w:tcW w:w="283" w:type="dxa"/>
            <w:vMerge w:val="restart"/>
            <w:tcBorders>
              <w:top w:val="nil"/>
              <w:bottom w:val="nil"/>
            </w:tcBorders>
            <w:vAlign w:val="bottom"/>
          </w:tcPr>
          <w:p w14:paraId="7602F541" w14:textId="77777777" w:rsidR="002C2F49" w:rsidRPr="00E544E2" w:rsidRDefault="002C2F49" w:rsidP="007E4B21">
            <w:pPr>
              <w:spacing w:after="0" w:line="240" w:lineRule="auto"/>
              <w:jc w:val="both"/>
              <w:rPr>
                <w:rFonts w:ascii="Times New Roman" w:hAnsi="Times New Roman" w:cs="Times New Roman"/>
                <w:sz w:val="24"/>
                <w:szCs w:val="24"/>
                <w:lang w:val="sv-SE"/>
              </w:rPr>
            </w:pPr>
          </w:p>
        </w:tc>
        <w:tc>
          <w:tcPr>
            <w:tcW w:w="5488" w:type="dxa"/>
            <w:vMerge w:val="restart"/>
            <w:vAlign w:val="center"/>
          </w:tcPr>
          <w:p w14:paraId="6A87B12D" w14:textId="77777777" w:rsidR="002C2F49" w:rsidRPr="00E544E2" w:rsidRDefault="002C2F49" w:rsidP="007E4B21">
            <w:pPr>
              <w:spacing w:after="0" w:line="240" w:lineRule="auto"/>
              <w:ind w:left="-47"/>
              <w:jc w:val="both"/>
              <w:rPr>
                <w:rFonts w:ascii="Times New Roman" w:hAnsi="Times New Roman" w:cs="Times New Roman"/>
                <w:sz w:val="24"/>
                <w:szCs w:val="24"/>
              </w:rPr>
            </w:pPr>
            <w:r w:rsidRPr="00E544E2">
              <w:rPr>
                <w:rFonts w:ascii="Times New Roman" w:hAnsi="Times New Roman" w:cs="Times New Roman"/>
                <w:noProof/>
                <w:sz w:val="24"/>
                <w:szCs w:val="24"/>
                <w:lang w:eastAsia="en-IN"/>
              </w:rPr>
              <w:drawing>
                <wp:inline distT="0" distB="0" distL="0" distR="0" wp14:anchorId="29C49EE4" wp14:editId="23FA98D9">
                  <wp:extent cx="3413343" cy="2968668"/>
                  <wp:effectExtent l="0" t="0" r="0" b="3175"/>
                  <wp:docPr id="2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2C2F49" w:rsidRPr="00E544E2" w14:paraId="7A6523B2" w14:textId="77777777" w:rsidTr="002C2F49">
        <w:trPr>
          <w:trHeight w:val="245"/>
        </w:trPr>
        <w:tc>
          <w:tcPr>
            <w:tcW w:w="1555" w:type="dxa"/>
            <w:vMerge/>
            <w:noWrap/>
            <w:vAlign w:val="bottom"/>
            <w:hideMark/>
          </w:tcPr>
          <w:p w14:paraId="3F2C43BE" w14:textId="77777777" w:rsidR="002C2F49" w:rsidRPr="00E544E2" w:rsidRDefault="002C2F49" w:rsidP="007E4B21">
            <w:pPr>
              <w:spacing w:after="0" w:line="240" w:lineRule="auto"/>
              <w:jc w:val="both"/>
              <w:rPr>
                <w:rFonts w:ascii="Times New Roman" w:hAnsi="Times New Roman" w:cs="Times New Roman"/>
                <w:b/>
                <w:bCs/>
                <w:sz w:val="24"/>
                <w:szCs w:val="24"/>
              </w:rPr>
            </w:pPr>
          </w:p>
        </w:tc>
        <w:tc>
          <w:tcPr>
            <w:tcW w:w="821" w:type="dxa"/>
            <w:noWrap/>
            <w:vAlign w:val="center"/>
            <w:hideMark/>
          </w:tcPr>
          <w:p w14:paraId="202FA2A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At 75 days</w:t>
            </w:r>
          </w:p>
        </w:tc>
        <w:tc>
          <w:tcPr>
            <w:tcW w:w="993" w:type="dxa"/>
            <w:noWrap/>
            <w:vAlign w:val="center"/>
            <w:hideMark/>
          </w:tcPr>
          <w:p w14:paraId="5E80615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At 90 days</w:t>
            </w:r>
          </w:p>
        </w:tc>
        <w:tc>
          <w:tcPr>
            <w:tcW w:w="283" w:type="dxa"/>
            <w:vMerge/>
            <w:tcBorders>
              <w:bottom w:val="nil"/>
            </w:tcBorders>
            <w:vAlign w:val="center"/>
          </w:tcPr>
          <w:p w14:paraId="7E245EE3" w14:textId="77777777" w:rsidR="002C2F49" w:rsidRPr="00E544E2" w:rsidRDefault="002C2F49" w:rsidP="007E4B21">
            <w:pPr>
              <w:spacing w:after="0" w:line="240" w:lineRule="auto"/>
              <w:jc w:val="both"/>
              <w:rPr>
                <w:rFonts w:ascii="Times New Roman" w:hAnsi="Times New Roman" w:cs="Times New Roman"/>
                <w:sz w:val="24"/>
                <w:szCs w:val="24"/>
              </w:rPr>
            </w:pPr>
          </w:p>
        </w:tc>
        <w:tc>
          <w:tcPr>
            <w:tcW w:w="5488" w:type="dxa"/>
            <w:vMerge/>
          </w:tcPr>
          <w:p w14:paraId="54592173" w14:textId="77777777" w:rsidR="002C2F49" w:rsidRPr="00E544E2" w:rsidRDefault="002C2F49" w:rsidP="007E4B21">
            <w:pPr>
              <w:spacing w:after="0" w:line="240" w:lineRule="auto"/>
              <w:jc w:val="both"/>
              <w:rPr>
                <w:rFonts w:ascii="Times New Roman" w:hAnsi="Times New Roman" w:cs="Times New Roman"/>
                <w:sz w:val="24"/>
                <w:szCs w:val="24"/>
              </w:rPr>
            </w:pPr>
          </w:p>
        </w:tc>
      </w:tr>
      <w:tr w:rsidR="002C2F49" w:rsidRPr="00E544E2" w14:paraId="7EA50BA0" w14:textId="77777777" w:rsidTr="002C2F49">
        <w:trPr>
          <w:trHeight w:val="245"/>
        </w:trPr>
        <w:tc>
          <w:tcPr>
            <w:tcW w:w="1555" w:type="dxa"/>
            <w:noWrap/>
            <w:vAlign w:val="center"/>
          </w:tcPr>
          <w:p w14:paraId="15176B9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PS/19-02</w:t>
            </w:r>
          </w:p>
        </w:tc>
        <w:tc>
          <w:tcPr>
            <w:tcW w:w="821" w:type="dxa"/>
            <w:noWrap/>
            <w:vAlign w:val="center"/>
          </w:tcPr>
          <w:p w14:paraId="3E87202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15.67</w:t>
            </w:r>
          </w:p>
        </w:tc>
        <w:tc>
          <w:tcPr>
            <w:tcW w:w="993" w:type="dxa"/>
            <w:noWrap/>
            <w:vAlign w:val="center"/>
          </w:tcPr>
          <w:p w14:paraId="60E936A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18.67</w:t>
            </w:r>
          </w:p>
        </w:tc>
        <w:tc>
          <w:tcPr>
            <w:tcW w:w="283" w:type="dxa"/>
            <w:vMerge/>
            <w:tcBorders>
              <w:bottom w:val="nil"/>
            </w:tcBorders>
            <w:vAlign w:val="bottom"/>
          </w:tcPr>
          <w:p w14:paraId="6DE2B79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DAA705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BC16898" w14:textId="77777777" w:rsidTr="002C2F49">
        <w:trPr>
          <w:trHeight w:val="234"/>
        </w:trPr>
        <w:tc>
          <w:tcPr>
            <w:tcW w:w="1555" w:type="dxa"/>
            <w:noWrap/>
            <w:vAlign w:val="center"/>
          </w:tcPr>
          <w:p w14:paraId="1CBBFEA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PS/19-04</w:t>
            </w:r>
          </w:p>
        </w:tc>
        <w:tc>
          <w:tcPr>
            <w:tcW w:w="821" w:type="dxa"/>
            <w:noWrap/>
            <w:vAlign w:val="center"/>
          </w:tcPr>
          <w:p w14:paraId="7324F42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15.00</w:t>
            </w:r>
          </w:p>
        </w:tc>
        <w:tc>
          <w:tcPr>
            <w:tcW w:w="993" w:type="dxa"/>
            <w:noWrap/>
            <w:vAlign w:val="center"/>
          </w:tcPr>
          <w:p w14:paraId="6BB771C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16.17</w:t>
            </w:r>
          </w:p>
        </w:tc>
        <w:tc>
          <w:tcPr>
            <w:tcW w:w="283" w:type="dxa"/>
            <w:vMerge/>
            <w:tcBorders>
              <w:bottom w:val="nil"/>
            </w:tcBorders>
            <w:vAlign w:val="bottom"/>
          </w:tcPr>
          <w:p w14:paraId="7795CC9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8D5C3B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5B210B4" w14:textId="77777777" w:rsidTr="002C2F49">
        <w:trPr>
          <w:trHeight w:val="234"/>
        </w:trPr>
        <w:tc>
          <w:tcPr>
            <w:tcW w:w="1555" w:type="dxa"/>
            <w:noWrap/>
            <w:vAlign w:val="center"/>
          </w:tcPr>
          <w:p w14:paraId="55D65C6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PS/19-12</w:t>
            </w:r>
          </w:p>
        </w:tc>
        <w:tc>
          <w:tcPr>
            <w:tcW w:w="821" w:type="dxa"/>
            <w:noWrap/>
            <w:vAlign w:val="center"/>
          </w:tcPr>
          <w:p w14:paraId="1BA36BF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15.83</w:t>
            </w:r>
          </w:p>
        </w:tc>
        <w:tc>
          <w:tcPr>
            <w:tcW w:w="993" w:type="dxa"/>
            <w:noWrap/>
            <w:vAlign w:val="center"/>
          </w:tcPr>
          <w:p w14:paraId="6772352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17.50</w:t>
            </w:r>
          </w:p>
        </w:tc>
        <w:tc>
          <w:tcPr>
            <w:tcW w:w="283" w:type="dxa"/>
            <w:vMerge/>
            <w:tcBorders>
              <w:bottom w:val="nil"/>
            </w:tcBorders>
            <w:vAlign w:val="bottom"/>
          </w:tcPr>
          <w:p w14:paraId="236D0EA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9D6EF9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F6914AE" w14:textId="77777777" w:rsidTr="002C2F49">
        <w:trPr>
          <w:trHeight w:val="234"/>
        </w:trPr>
        <w:tc>
          <w:tcPr>
            <w:tcW w:w="1555" w:type="dxa"/>
            <w:noWrap/>
            <w:vAlign w:val="center"/>
          </w:tcPr>
          <w:p w14:paraId="0B37A09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PS/19-24</w:t>
            </w:r>
          </w:p>
        </w:tc>
        <w:tc>
          <w:tcPr>
            <w:tcW w:w="821" w:type="dxa"/>
            <w:noWrap/>
            <w:vAlign w:val="center"/>
          </w:tcPr>
          <w:p w14:paraId="701944A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18.67</w:t>
            </w:r>
          </w:p>
        </w:tc>
        <w:tc>
          <w:tcPr>
            <w:tcW w:w="993" w:type="dxa"/>
            <w:noWrap/>
            <w:vAlign w:val="center"/>
          </w:tcPr>
          <w:p w14:paraId="146ACB0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20.50</w:t>
            </w:r>
          </w:p>
        </w:tc>
        <w:tc>
          <w:tcPr>
            <w:tcW w:w="283" w:type="dxa"/>
            <w:vMerge/>
            <w:tcBorders>
              <w:bottom w:val="nil"/>
            </w:tcBorders>
            <w:vAlign w:val="bottom"/>
          </w:tcPr>
          <w:p w14:paraId="5FFB8CC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50559CB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8305992" w14:textId="77777777" w:rsidTr="002C2F49">
        <w:trPr>
          <w:trHeight w:val="234"/>
        </w:trPr>
        <w:tc>
          <w:tcPr>
            <w:tcW w:w="1555" w:type="dxa"/>
            <w:noWrap/>
            <w:vAlign w:val="center"/>
          </w:tcPr>
          <w:p w14:paraId="7D4B440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PS/19-26</w:t>
            </w:r>
          </w:p>
        </w:tc>
        <w:tc>
          <w:tcPr>
            <w:tcW w:w="821" w:type="dxa"/>
            <w:noWrap/>
            <w:vAlign w:val="center"/>
          </w:tcPr>
          <w:p w14:paraId="4B7CD0A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16.17</w:t>
            </w:r>
          </w:p>
        </w:tc>
        <w:tc>
          <w:tcPr>
            <w:tcW w:w="993" w:type="dxa"/>
            <w:noWrap/>
            <w:vAlign w:val="center"/>
          </w:tcPr>
          <w:p w14:paraId="0E5E4F7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20.00</w:t>
            </w:r>
          </w:p>
        </w:tc>
        <w:tc>
          <w:tcPr>
            <w:tcW w:w="283" w:type="dxa"/>
            <w:vMerge/>
            <w:tcBorders>
              <w:bottom w:val="nil"/>
            </w:tcBorders>
            <w:vAlign w:val="bottom"/>
          </w:tcPr>
          <w:p w14:paraId="531C7C0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06CED79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6F3B7768" w14:textId="77777777" w:rsidTr="002C2F49">
        <w:trPr>
          <w:trHeight w:val="234"/>
        </w:trPr>
        <w:tc>
          <w:tcPr>
            <w:tcW w:w="1555" w:type="dxa"/>
            <w:noWrap/>
            <w:vAlign w:val="center"/>
          </w:tcPr>
          <w:p w14:paraId="01E920F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PS/19-31</w:t>
            </w:r>
          </w:p>
        </w:tc>
        <w:tc>
          <w:tcPr>
            <w:tcW w:w="821" w:type="dxa"/>
            <w:noWrap/>
            <w:vAlign w:val="center"/>
          </w:tcPr>
          <w:p w14:paraId="67A25EE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15.50</w:t>
            </w:r>
          </w:p>
        </w:tc>
        <w:tc>
          <w:tcPr>
            <w:tcW w:w="993" w:type="dxa"/>
            <w:noWrap/>
            <w:vAlign w:val="center"/>
          </w:tcPr>
          <w:p w14:paraId="5B20709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20.00</w:t>
            </w:r>
          </w:p>
        </w:tc>
        <w:tc>
          <w:tcPr>
            <w:tcW w:w="283" w:type="dxa"/>
            <w:vMerge/>
            <w:tcBorders>
              <w:bottom w:val="nil"/>
            </w:tcBorders>
            <w:vAlign w:val="bottom"/>
          </w:tcPr>
          <w:p w14:paraId="068CD83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645014D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E88C225" w14:textId="77777777" w:rsidTr="002C2F49">
        <w:trPr>
          <w:trHeight w:val="234"/>
        </w:trPr>
        <w:tc>
          <w:tcPr>
            <w:tcW w:w="1555" w:type="dxa"/>
            <w:noWrap/>
            <w:vAlign w:val="center"/>
          </w:tcPr>
          <w:p w14:paraId="5760B6A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PS/19-41</w:t>
            </w:r>
          </w:p>
        </w:tc>
        <w:tc>
          <w:tcPr>
            <w:tcW w:w="821" w:type="dxa"/>
            <w:noWrap/>
            <w:vAlign w:val="center"/>
          </w:tcPr>
          <w:p w14:paraId="344D329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17.17</w:t>
            </w:r>
          </w:p>
        </w:tc>
        <w:tc>
          <w:tcPr>
            <w:tcW w:w="993" w:type="dxa"/>
            <w:noWrap/>
            <w:vAlign w:val="center"/>
          </w:tcPr>
          <w:p w14:paraId="109B7F1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21.33</w:t>
            </w:r>
          </w:p>
        </w:tc>
        <w:tc>
          <w:tcPr>
            <w:tcW w:w="283" w:type="dxa"/>
            <w:vMerge/>
            <w:tcBorders>
              <w:bottom w:val="nil"/>
            </w:tcBorders>
            <w:vAlign w:val="bottom"/>
          </w:tcPr>
          <w:p w14:paraId="3868395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16D05E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9A60DB1" w14:textId="77777777" w:rsidTr="002C2F49">
        <w:trPr>
          <w:trHeight w:val="234"/>
        </w:trPr>
        <w:tc>
          <w:tcPr>
            <w:tcW w:w="1555" w:type="dxa"/>
            <w:noWrap/>
            <w:vAlign w:val="center"/>
            <w:hideMark/>
          </w:tcPr>
          <w:p w14:paraId="7F8CBAA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PS/19-44</w:t>
            </w:r>
          </w:p>
        </w:tc>
        <w:tc>
          <w:tcPr>
            <w:tcW w:w="821" w:type="dxa"/>
            <w:noWrap/>
            <w:vAlign w:val="center"/>
          </w:tcPr>
          <w:p w14:paraId="54E0FE1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17.83</w:t>
            </w:r>
          </w:p>
        </w:tc>
        <w:tc>
          <w:tcPr>
            <w:tcW w:w="993" w:type="dxa"/>
            <w:noWrap/>
            <w:vAlign w:val="center"/>
          </w:tcPr>
          <w:p w14:paraId="567FBFF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18.83</w:t>
            </w:r>
          </w:p>
        </w:tc>
        <w:tc>
          <w:tcPr>
            <w:tcW w:w="283" w:type="dxa"/>
            <w:vMerge/>
            <w:tcBorders>
              <w:bottom w:val="nil"/>
            </w:tcBorders>
            <w:vAlign w:val="bottom"/>
          </w:tcPr>
          <w:p w14:paraId="7DF384B9"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023796E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41D2F86" w14:textId="77777777" w:rsidTr="002C2F49">
        <w:trPr>
          <w:trHeight w:val="234"/>
        </w:trPr>
        <w:tc>
          <w:tcPr>
            <w:tcW w:w="1555" w:type="dxa"/>
            <w:noWrap/>
            <w:vAlign w:val="center"/>
            <w:hideMark/>
          </w:tcPr>
          <w:p w14:paraId="626801F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PS/19-50</w:t>
            </w:r>
          </w:p>
        </w:tc>
        <w:tc>
          <w:tcPr>
            <w:tcW w:w="821" w:type="dxa"/>
            <w:noWrap/>
            <w:vAlign w:val="center"/>
          </w:tcPr>
          <w:p w14:paraId="4B212AB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19.67</w:t>
            </w:r>
          </w:p>
        </w:tc>
        <w:tc>
          <w:tcPr>
            <w:tcW w:w="993" w:type="dxa"/>
            <w:noWrap/>
            <w:vAlign w:val="center"/>
          </w:tcPr>
          <w:p w14:paraId="5270863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21.17</w:t>
            </w:r>
          </w:p>
        </w:tc>
        <w:tc>
          <w:tcPr>
            <w:tcW w:w="283" w:type="dxa"/>
            <w:vMerge/>
            <w:tcBorders>
              <w:bottom w:val="nil"/>
            </w:tcBorders>
            <w:vAlign w:val="bottom"/>
          </w:tcPr>
          <w:p w14:paraId="41DA071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644E8A5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EFD377B" w14:textId="77777777" w:rsidTr="002C2F49">
        <w:trPr>
          <w:trHeight w:val="234"/>
        </w:trPr>
        <w:tc>
          <w:tcPr>
            <w:tcW w:w="1555" w:type="dxa"/>
            <w:noWrap/>
            <w:vAlign w:val="center"/>
            <w:hideMark/>
          </w:tcPr>
          <w:p w14:paraId="5EB5094F" w14:textId="77777777" w:rsidR="002C2F49" w:rsidRPr="00E544E2" w:rsidRDefault="002C2F49" w:rsidP="007E4B21">
            <w:pPr>
              <w:spacing w:after="0" w:line="240" w:lineRule="auto"/>
              <w:jc w:val="both"/>
              <w:rPr>
                <w:rFonts w:ascii="Times New Roman" w:hAnsi="Times New Roman" w:cs="Times New Roman"/>
                <w:sz w:val="24"/>
                <w:szCs w:val="24"/>
              </w:rPr>
            </w:pPr>
            <w:proofErr w:type="spellStart"/>
            <w:proofErr w:type="gramStart"/>
            <w:r w:rsidRPr="00E544E2">
              <w:rPr>
                <w:rFonts w:ascii="Times New Roman" w:eastAsia="Calibri" w:hAnsi="Times New Roman" w:cs="Times New Roman"/>
                <w:sz w:val="24"/>
                <w:szCs w:val="24"/>
              </w:rPr>
              <w:t>K.Lalit</w:t>
            </w:r>
            <w:proofErr w:type="spellEnd"/>
            <w:proofErr w:type="gramEnd"/>
          </w:p>
        </w:tc>
        <w:tc>
          <w:tcPr>
            <w:tcW w:w="821" w:type="dxa"/>
            <w:noWrap/>
            <w:vAlign w:val="center"/>
          </w:tcPr>
          <w:p w14:paraId="62330F8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18.33</w:t>
            </w:r>
          </w:p>
        </w:tc>
        <w:tc>
          <w:tcPr>
            <w:tcW w:w="993" w:type="dxa"/>
            <w:noWrap/>
            <w:vAlign w:val="center"/>
          </w:tcPr>
          <w:p w14:paraId="5BE7F3E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23.17</w:t>
            </w:r>
          </w:p>
        </w:tc>
        <w:tc>
          <w:tcPr>
            <w:tcW w:w="283" w:type="dxa"/>
            <w:vMerge/>
            <w:tcBorders>
              <w:bottom w:val="nil"/>
            </w:tcBorders>
            <w:vAlign w:val="bottom"/>
          </w:tcPr>
          <w:p w14:paraId="6C85C048"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622E8DA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03A63BA" w14:textId="77777777" w:rsidTr="002C2F49">
        <w:trPr>
          <w:trHeight w:val="234"/>
        </w:trPr>
        <w:tc>
          <w:tcPr>
            <w:tcW w:w="1555" w:type="dxa"/>
            <w:noWrap/>
            <w:vAlign w:val="center"/>
            <w:hideMark/>
          </w:tcPr>
          <w:p w14:paraId="43462E2B" w14:textId="77777777" w:rsidR="002C2F49" w:rsidRPr="00E544E2" w:rsidRDefault="002C2F49" w:rsidP="007E4B21">
            <w:pPr>
              <w:spacing w:after="0" w:line="240" w:lineRule="auto"/>
              <w:jc w:val="both"/>
              <w:rPr>
                <w:rFonts w:ascii="Times New Roman" w:hAnsi="Times New Roman" w:cs="Times New Roman"/>
                <w:sz w:val="24"/>
                <w:szCs w:val="24"/>
              </w:rPr>
            </w:pPr>
            <w:proofErr w:type="spellStart"/>
            <w:proofErr w:type="gramStart"/>
            <w:r w:rsidRPr="00E544E2">
              <w:rPr>
                <w:rFonts w:ascii="Times New Roman" w:eastAsia="Calibri" w:hAnsi="Times New Roman" w:cs="Times New Roman"/>
                <w:sz w:val="24"/>
                <w:szCs w:val="24"/>
              </w:rPr>
              <w:t>K.Lohit</w:t>
            </w:r>
            <w:proofErr w:type="spellEnd"/>
            <w:proofErr w:type="gramEnd"/>
          </w:p>
        </w:tc>
        <w:tc>
          <w:tcPr>
            <w:tcW w:w="821" w:type="dxa"/>
            <w:noWrap/>
            <w:vAlign w:val="center"/>
          </w:tcPr>
          <w:p w14:paraId="7666023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12.17</w:t>
            </w:r>
          </w:p>
        </w:tc>
        <w:tc>
          <w:tcPr>
            <w:tcW w:w="993" w:type="dxa"/>
            <w:noWrap/>
            <w:vAlign w:val="center"/>
          </w:tcPr>
          <w:p w14:paraId="426F9C3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17.67</w:t>
            </w:r>
          </w:p>
        </w:tc>
        <w:tc>
          <w:tcPr>
            <w:tcW w:w="283" w:type="dxa"/>
            <w:vMerge/>
            <w:tcBorders>
              <w:bottom w:val="nil"/>
            </w:tcBorders>
            <w:vAlign w:val="bottom"/>
          </w:tcPr>
          <w:p w14:paraId="4EC9F36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48C94E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FEE604B" w14:textId="77777777" w:rsidTr="002C2F49">
        <w:trPr>
          <w:trHeight w:val="234"/>
        </w:trPr>
        <w:tc>
          <w:tcPr>
            <w:tcW w:w="1555" w:type="dxa"/>
            <w:noWrap/>
            <w:vAlign w:val="center"/>
            <w:hideMark/>
          </w:tcPr>
          <w:p w14:paraId="2B109450" w14:textId="77777777" w:rsidR="002C2F49" w:rsidRPr="00E544E2" w:rsidRDefault="002C2F49" w:rsidP="007E4B21">
            <w:pPr>
              <w:spacing w:after="0" w:line="240" w:lineRule="auto"/>
              <w:jc w:val="both"/>
              <w:rPr>
                <w:rFonts w:ascii="Times New Roman" w:hAnsi="Times New Roman" w:cs="Times New Roman"/>
                <w:sz w:val="24"/>
                <w:szCs w:val="24"/>
              </w:rPr>
            </w:pPr>
            <w:proofErr w:type="spellStart"/>
            <w:proofErr w:type="gramStart"/>
            <w:r w:rsidRPr="00E544E2">
              <w:rPr>
                <w:rFonts w:ascii="Times New Roman" w:eastAsia="Calibri" w:hAnsi="Times New Roman" w:cs="Times New Roman"/>
                <w:sz w:val="24"/>
                <w:szCs w:val="24"/>
              </w:rPr>
              <w:t>K.Manik</w:t>
            </w:r>
            <w:proofErr w:type="spellEnd"/>
            <w:proofErr w:type="gramEnd"/>
          </w:p>
        </w:tc>
        <w:tc>
          <w:tcPr>
            <w:tcW w:w="821" w:type="dxa"/>
            <w:noWrap/>
            <w:vAlign w:val="center"/>
          </w:tcPr>
          <w:p w14:paraId="36168E5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15.00</w:t>
            </w:r>
          </w:p>
        </w:tc>
        <w:tc>
          <w:tcPr>
            <w:tcW w:w="993" w:type="dxa"/>
            <w:noWrap/>
            <w:vAlign w:val="center"/>
          </w:tcPr>
          <w:p w14:paraId="1A5E775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16.67</w:t>
            </w:r>
          </w:p>
        </w:tc>
        <w:tc>
          <w:tcPr>
            <w:tcW w:w="283" w:type="dxa"/>
            <w:vMerge/>
            <w:tcBorders>
              <w:bottom w:val="nil"/>
            </w:tcBorders>
            <w:vAlign w:val="bottom"/>
          </w:tcPr>
          <w:p w14:paraId="3514399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63F3180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1FB6E3B" w14:textId="77777777" w:rsidTr="002C2F49">
        <w:trPr>
          <w:trHeight w:val="46"/>
        </w:trPr>
        <w:tc>
          <w:tcPr>
            <w:tcW w:w="1555" w:type="dxa"/>
            <w:tcBorders>
              <w:bottom w:val="single" w:sz="4" w:space="0" w:color="auto"/>
            </w:tcBorders>
            <w:noWrap/>
            <w:hideMark/>
          </w:tcPr>
          <w:p w14:paraId="76F11893"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CD (0.05)</w:t>
            </w:r>
          </w:p>
        </w:tc>
        <w:tc>
          <w:tcPr>
            <w:tcW w:w="821" w:type="dxa"/>
            <w:tcBorders>
              <w:bottom w:val="single" w:sz="4" w:space="0" w:color="auto"/>
            </w:tcBorders>
            <w:noWrap/>
            <w:vAlign w:val="center"/>
          </w:tcPr>
          <w:p w14:paraId="1A48BF0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2.02</w:t>
            </w:r>
          </w:p>
        </w:tc>
        <w:tc>
          <w:tcPr>
            <w:tcW w:w="993" w:type="dxa"/>
            <w:tcBorders>
              <w:bottom w:val="single" w:sz="4" w:space="0" w:color="auto"/>
            </w:tcBorders>
            <w:noWrap/>
            <w:vAlign w:val="center"/>
          </w:tcPr>
          <w:p w14:paraId="73D4701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2.76</w:t>
            </w:r>
          </w:p>
        </w:tc>
        <w:tc>
          <w:tcPr>
            <w:tcW w:w="283" w:type="dxa"/>
            <w:vMerge/>
            <w:tcBorders>
              <w:bottom w:val="nil"/>
            </w:tcBorders>
            <w:vAlign w:val="bottom"/>
          </w:tcPr>
          <w:p w14:paraId="37DCFD5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3EEFA0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A63380D" w14:textId="77777777" w:rsidTr="002C2F49">
        <w:trPr>
          <w:trHeight w:val="46"/>
        </w:trPr>
        <w:tc>
          <w:tcPr>
            <w:tcW w:w="1555" w:type="dxa"/>
            <w:tcBorders>
              <w:bottom w:val="single" w:sz="4" w:space="0" w:color="auto"/>
            </w:tcBorders>
            <w:noWrap/>
            <w:hideMark/>
          </w:tcPr>
          <w:p w14:paraId="55C0BF66"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CV (%)</w:t>
            </w:r>
          </w:p>
        </w:tc>
        <w:tc>
          <w:tcPr>
            <w:tcW w:w="821" w:type="dxa"/>
            <w:tcBorders>
              <w:bottom w:val="single" w:sz="4" w:space="0" w:color="auto"/>
            </w:tcBorders>
            <w:noWrap/>
            <w:vAlign w:val="center"/>
          </w:tcPr>
          <w:p w14:paraId="5E7B908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7.25</w:t>
            </w:r>
          </w:p>
        </w:tc>
        <w:tc>
          <w:tcPr>
            <w:tcW w:w="993" w:type="dxa"/>
            <w:tcBorders>
              <w:bottom w:val="single" w:sz="4" w:space="0" w:color="auto"/>
            </w:tcBorders>
            <w:noWrap/>
            <w:vAlign w:val="center"/>
          </w:tcPr>
          <w:p w14:paraId="4564A18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8.52</w:t>
            </w:r>
          </w:p>
        </w:tc>
        <w:tc>
          <w:tcPr>
            <w:tcW w:w="283" w:type="dxa"/>
            <w:vMerge/>
            <w:tcBorders>
              <w:bottom w:val="nil"/>
            </w:tcBorders>
            <w:vAlign w:val="bottom"/>
          </w:tcPr>
          <w:p w14:paraId="40947B2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Borders>
              <w:bottom w:val="single" w:sz="4" w:space="0" w:color="auto"/>
            </w:tcBorders>
          </w:tcPr>
          <w:p w14:paraId="1B453DD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428C18B" w14:textId="77777777" w:rsidTr="002C2F49">
        <w:trPr>
          <w:trHeight w:val="46"/>
        </w:trPr>
        <w:tc>
          <w:tcPr>
            <w:tcW w:w="9140" w:type="dxa"/>
            <w:gridSpan w:val="5"/>
            <w:tcBorders>
              <w:top w:val="nil"/>
              <w:left w:val="nil"/>
              <w:bottom w:val="nil"/>
              <w:right w:val="nil"/>
            </w:tcBorders>
            <w:noWrap/>
            <w:vAlign w:val="center"/>
            <w:hideMark/>
          </w:tcPr>
          <w:p w14:paraId="6697F1FD" w14:textId="77704806" w:rsidR="002C2F49" w:rsidRDefault="002C2F49" w:rsidP="007E4B21">
            <w:pPr>
              <w:tabs>
                <w:tab w:val="decimal" w:pos="459"/>
              </w:tabs>
              <w:spacing w:after="0" w:line="240" w:lineRule="auto"/>
              <w:ind w:right="2120"/>
              <w:jc w:val="both"/>
              <w:rPr>
                <w:rFonts w:ascii="Times New Roman" w:hAnsi="Times New Roman" w:cs="Times New Roman"/>
                <w:b/>
                <w:bCs/>
                <w:sz w:val="24"/>
                <w:szCs w:val="24"/>
              </w:rPr>
            </w:pPr>
            <w:r w:rsidRPr="00E544E2">
              <w:rPr>
                <w:rFonts w:ascii="Times New Roman" w:hAnsi="Times New Roman" w:cs="Times New Roman"/>
                <w:b/>
                <w:bCs/>
                <w:sz w:val="24"/>
                <w:szCs w:val="24"/>
              </w:rPr>
              <w:t>Table &amp; Fig. 4</w:t>
            </w:r>
            <w:r w:rsidR="00885944">
              <w:rPr>
                <w:rFonts w:ascii="Times New Roman" w:hAnsi="Times New Roman" w:cs="Times New Roman"/>
                <w:b/>
                <w:bCs/>
                <w:sz w:val="24"/>
                <w:szCs w:val="24"/>
              </w:rPr>
              <w:t xml:space="preserve"> (b)</w:t>
            </w:r>
            <w:r w:rsidR="00B8438D">
              <w:rPr>
                <w:rFonts w:ascii="Times New Roman" w:hAnsi="Times New Roman" w:cs="Times New Roman"/>
                <w:b/>
                <w:bCs/>
                <w:sz w:val="24"/>
                <w:szCs w:val="24"/>
              </w:rPr>
              <w:t xml:space="preserve">: </w:t>
            </w:r>
            <w:r w:rsidR="00B8438D" w:rsidRPr="00E544E2">
              <w:rPr>
                <w:rFonts w:ascii="Times New Roman" w:hAnsi="Times New Roman" w:cs="Times New Roman"/>
                <w:b/>
                <w:bCs/>
                <w:sz w:val="24"/>
                <w:szCs w:val="24"/>
              </w:rPr>
              <w:t xml:space="preserve"> Dry Matter (%) of advanced clones (2024-25)</w:t>
            </w:r>
          </w:p>
          <w:p w14:paraId="111570C6" w14:textId="77777777" w:rsidR="00B02977" w:rsidRDefault="00B02977" w:rsidP="007E4B21">
            <w:pPr>
              <w:tabs>
                <w:tab w:val="decimal" w:pos="459"/>
              </w:tabs>
              <w:spacing w:after="0" w:line="240" w:lineRule="auto"/>
              <w:ind w:right="2120"/>
              <w:jc w:val="both"/>
              <w:rPr>
                <w:rFonts w:ascii="Times New Roman" w:hAnsi="Times New Roman" w:cs="Times New Roman"/>
                <w:b/>
                <w:bCs/>
                <w:sz w:val="24"/>
                <w:szCs w:val="24"/>
              </w:rPr>
            </w:pPr>
          </w:p>
          <w:p w14:paraId="5B6A32B9" w14:textId="46DA2199" w:rsidR="00B02977" w:rsidRPr="00E544E2" w:rsidRDefault="00B02977" w:rsidP="007E4B21">
            <w:pPr>
              <w:tabs>
                <w:tab w:val="decimal" w:pos="459"/>
              </w:tabs>
              <w:spacing w:after="0" w:line="240" w:lineRule="auto"/>
              <w:ind w:right="2120"/>
              <w:jc w:val="both"/>
              <w:rPr>
                <w:rFonts w:ascii="Times New Roman" w:hAnsi="Times New Roman" w:cs="Times New Roman"/>
                <w:sz w:val="24"/>
                <w:szCs w:val="24"/>
              </w:rPr>
            </w:pPr>
          </w:p>
        </w:tc>
      </w:tr>
    </w:tbl>
    <w:p w14:paraId="7E9407E9" w14:textId="0FB65E11" w:rsidR="00B02977" w:rsidRPr="0087657F" w:rsidRDefault="00B02977" w:rsidP="0087657F">
      <w:pPr>
        <w:pStyle w:val="ListParagraph"/>
        <w:numPr>
          <w:ilvl w:val="0"/>
          <w:numId w:val="5"/>
        </w:numPr>
        <w:jc w:val="both"/>
        <w:rPr>
          <w:rFonts w:ascii="Times New Roman" w:hAnsi="Times New Roman" w:cs="Times New Roman"/>
          <w:b/>
          <w:bCs/>
          <w:sz w:val="24"/>
          <w:szCs w:val="24"/>
        </w:rPr>
      </w:pPr>
      <w:r>
        <w:rPr>
          <w:rFonts w:ascii="Times New Roman" w:eastAsia="Times New Roman" w:hAnsi="Times New Roman"/>
          <w:b/>
          <w:sz w:val="24"/>
          <w:highlight w:val="yellow"/>
        </w:rPr>
        <w:t>5. Nutritional Values and Clone Performance</w:t>
      </w:r>
    </w:p>
    <w:p w14:paraId="0A362C0C" w14:textId="3D7ACB43" w:rsidR="000F5595" w:rsidRPr="00264653" w:rsidRDefault="000F5595" w:rsidP="00264653">
      <w:pPr>
        <w:pStyle w:val="BodyText"/>
      </w:pPr>
      <w:r>
        <w:rPr>
          <w:rFonts w:eastAsia="Times New Roman"/>
          <w:highlight w:val="yellow"/>
        </w:rPr>
        <w:t>Potatoes are a rich source of carbohydrates and constitute a nutrient-rich staple food. A medium baked potato (150 g, with skin) provides approximately 110–133 calories, is naturally fat-free, and supplies substantial amounts of potassium, vitamin C, vitamin B6, fibre, and protein (Bártová et al., 2015; Beals, 2019; Kowalczewski et al., 2019). Potatoes of different colours, including white, purple, pink, red, and dark red, are now bred to develop varieties rich in anthocyanins and carotenoids (</w:t>
      </w:r>
      <w:proofErr w:type="spellStart"/>
      <w:r>
        <w:rPr>
          <w:rFonts w:eastAsia="Times New Roman"/>
          <w:highlight w:val="yellow"/>
        </w:rPr>
        <w:t>Dalamu</w:t>
      </w:r>
      <w:proofErr w:type="spellEnd"/>
      <w:r>
        <w:rPr>
          <w:rFonts w:eastAsia="Times New Roman"/>
          <w:highlight w:val="yellow"/>
        </w:rPr>
        <w:t xml:space="preserve"> et al., 2019). These coloured potatoes are used for preparing </w:t>
      </w:r>
      <w:proofErr w:type="spellStart"/>
      <w:r>
        <w:rPr>
          <w:rFonts w:eastAsia="Times New Roman"/>
          <w:highlight w:val="yellow"/>
        </w:rPr>
        <w:t>bhujia</w:t>
      </w:r>
      <w:proofErr w:type="spellEnd"/>
      <w:r>
        <w:rPr>
          <w:rFonts w:eastAsia="Times New Roman"/>
          <w:highlight w:val="yellow"/>
        </w:rPr>
        <w:t xml:space="preserve"> and chips and for boiling. Zinc and iron are important minerals for maintaining the health of women and children and are present in potato tubers in substantial amounts (Yadav, Luthra, Singh, et al., 2024). Zinc content was highest in the control variety Kufri Lohit (26.85 ppm). Iron and carotenoid contents were highest in PS/19-24 (34.65 ppm and 82.2 µg/100 g fresh weight, respectively), whereas anthocyanin content was highest in PS/19-50 (24.6 mg/100 g fresh weight). Vitamin C content was highest in the potato variety Kufri Manik (32.2 mg/100 g fresh weight) (Table 5 and Graph 1).</w:t>
      </w:r>
    </w:p>
    <w:p w14:paraId="13695C56" w14:textId="77777777" w:rsidR="00F04F29" w:rsidRDefault="00F04F29" w:rsidP="007E4B21">
      <w:pPr>
        <w:spacing w:after="0" w:line="240" w:lineRule="auto"/>
        <w:jc w:val="both"/>
        <w:rPr>
          <w:rFonts w:ascii="Times New Roman" w:hAnsi="Times New Roman" w:cs="Times New Roman"/>
          <w:b/>
          <w:bCs/>
          <w:sz w:val="24"/>
          <w:szCs w:val="24"/>
        </w:rPr>
      </w:pPr>
    </w:p>
    <w:p w14:paraId="20E64A03" w14:textId="3279107D" w:rsidR="00264653" w:rsidRDefault="00264653" w:rsidP="007E4B2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5: nutritional components of potato varieties and advanced clones</w:t>
      </w:r>
    </w:p>
    <w:p w14:paraId="2CF73953" w14:textId="77777777" w:rsidR="00264653" w:rsidRDefault="00264653" w:rsidP="007E4B21">
      <w:pPr>
        <w:spacing w:after="0" w:line="240" w:lineRule="auto"/>
        <w:jc w:val="both"/>
        <w:rPr>
          <w:rFonts w:ascii="Times New Roman" w:hAnsi="Times New Roman" w:cs="Times New Roman"/>
          <w:b/>
          <w:bCs/>
          <w:sz w:val="24"/>
          <w:szCs w:val="24"/>
        </w:rPr>
      </w:pPr>
    </w:p>
    <w:tbl>
      <w:tblPr>
        <w:tblStyle w:val="GridTable6Colorful-Accent4"/>
        <w:tblpPr w:leftFromText="180" w:rightFromText="180" w:vertAnchor="text" w:horzAnchor="margin" w:tblpXSpec="center" w:tblpY="53"/>
        <w:tblW w:w="9351" w:type="dxa"/>
        <w:tblLook w:val="0600" w:firstRow="0" w:lastRow="0" w:firstColumn="0" w:lastColumn="0" w:noHBand="1" w:noVBand="1"/>
      </w:tblPr>
      <w:tblGrid>
        <w:gridCol w:w="812"/>
        <w:gridCol w:w="1168"/>
        <w:gridCol w:w="850"/>
        <w:gridCol w:w="851"/>
        <w:gridCol w:w="1701"/>
        <w:gridCol w:w="1701"/>
        <w:gridCol w:w="2268"/>
      </w:tblGrid>
      <w:tr w:rsidR="00B02977" w:rsidRPr="00B02977" w14:paraId="3C3D5937" w14:textId="77777777" w:rsidTr="000F5595">
        <w:trPr>
          <w:trHeight w:val="859"/>
        </w:trPr>
        <w:tc>
          <w:tcPr>
            <w:tcW w:w="812" w:type="dxa"/>
            <w:hideMark/>
          </w:tcPr>
          <w:p w14:paraId="771B59CE"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rPr>
              <w:t>S. No.</w:t>
            </w:r>
          </w:p>
        </w:tc>
        <w:tc>
          <w:tcPr>
            <w:tcW w:w="1168" w:type="dxa"/>
            <w:hideMark/>
          </w:tcPr>
          <w:p w14:paraId="6F511E88"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14:shadow w14:blurRad="38100" w14:dist="38100" w14:dir="2700000" w14:sx="100000" w14:sy="100000" w14:kx="0" w14:ky="0" w14:algn="tl">
                  <w14:srgbClr w14:val="000000">
                    <w14:alpha w14:val="57000"/>
                  </w14:srgbClr>
                </w14:shadow>
              </w:rPr>
              <w:t>Sample</w:t>
            </w:r>
          </w:p>
        </w:tc>
        <w:tc>
          <w:tcPr>
            <w:tcW w:w="850" w:type="dxa"/>
            <w:hideMark/>
          </w:tcPr>
          <w:p w14:paraId="160D3A6D"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14:shadow w14:blurRad="38100" w14:dist="38100" w14:dir="2700000" w14:sx="100000" w14:sy="100000" w14:kx="0" w14:ky="0" w14:algn="tl">
                  <w14:srgbClr w14:val="000000">
                    <w14:alpha w14:val="57000"/>
                  </w14:srgbClr>
                </w14:shadow>
              </w:rPr>
              <w:t>Zn</w:t>
            </w:r>
          </w:p>
          <w:p w14:paraId="1487142F"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rPr>
              <w:t>(ppm)</w:t>
            </w:r>
          </w:p>
        </w:tc>
        <w:tc>
          <w:tcPr>
            <w:tcW w:w="851" w:type="dxa"/>
            <w:hideMark/>
          </w:tcPr>
          <w:p w14:paraId="1D1E057A"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14:shadow w14:blurRad="38100" w14:dist="38100" w14:dir="2700000" w14:sx="100000" w14:sy="100000" w14:kx="0" w14:ky="0" w14:algn="tl">
                  <w14:srgbClr w14:val="000000">
                    <w14:alpha w14:val="57000"/>
                  </w14:srgbClr>
                </w14:shadow>
              </w:rPr>
              <w:t>Fe</w:t>
            </w:r>
          </w:p>
          <w:p w14:paraId="23C4C7DA"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rPr>
              <w:t>(ppm)</w:t>
            </w:r>
          </w:p>
        </w:tc>
        <w:tc>
          <w:tcPr>
            <w:tcW w:w="1701" w:type="dxa"/>
            <w:hideMark/>
          </w:tcPr>
          <w:p w14:paraId="4F33C851"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14:shadow w14:blurRad="38100" w14:dist="38100" w14:dir="2700000" w14:sx="100000" w14:sy="100000" w14:kx="0" w14:ky="0" w14:algn="tl">
                  <w14:srgbClr w14:val="000000">
                    <w14:alpha w14:val="57000"/>
                  </w14:srgbClr>
                </w14:shadow>
              </w:rPr>
              <w:t>Carotenoid</w:t>
            </w:r>
          </w:p>
          <w:p w14:paraId="1098A844" w14:textId="274F70B5"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rPr>
              <w:t>(µg/</w:t>
            </w:r>
            <w:r w:rsidR="000A2806" w:rsidRPr="00B02977">
              <w:rPr>
                <w:rFonts w:ascii="Times New Roman" w:hAnsi="Times New Roman" w:cs="Times New Roman"/>
                <w:b/>
                <w:bCs/>
                <w:color w:val="auto"/>
                <w:sz w:val="24"/>
                <w:szCs w:val="24"/>
                <w:lang w:eastAsia="en-IN"/>
              </w:rPr>
              <w:t>100-gram</w:t>
            </w:r>
            <w:r w:rsidRPr="00B02977">
              <w:rPr>
                <w:rFonts w:ascii="Times New Roman" w:hAnsi="Times New Roman" w:cs="Times New Roman"/>
                <w:b/>
                <w:bCs/>
                <w:color w:val="auto"/>
                <w:sz w:val="24"/>
                <w:szCs w:val="24"/>
                <w:lang w:eastAsia="en-IN"/>
              </w:rPr>
              <w:t xml:space="preserve">                fresh weight)</w:t>
            </w:r>
          </w:p>
        </w:tc>
        <w:tc>
          <w:tcPr>
            <w:tcW w:w="1701" w:type="dxa"/>
            <w:hideMark/>
          </w:tcPr>
          <w:p w14:paraId="4B7BEE34" w14:textId="77777777" w:rsidR="00B02977" w:rsidRPr="00B02977" w:rsidRDefault="00B02977" w:rsidP="00B02977">
            <w:pPr>
              <w:pStyle w:val="NoSpacing"/>
              <w:rPr>
                <w:rFonts w:ascii="Times New Roman" w:hAnsi="Times New Roman" w:cs="Times New Roman"/>
                <w:b/>
                <w:bCs/>
                <w:color w:val="auto"/>
                <w:sz w:val="24"/>
                <w:szCs w:val="24"/>
              </w:rPr>
            </w:pPr>
            <w:r w:rsidRPr="00B02977">
              <w:rPr>
                <w:rFonts w:ascii="Times New Roman" w:hAnsi="Times New Roman" w:cs="Times New Roman"/>
                <w:b/>
                <w:bCs/>
                <w:color w:val="auto"/>
                <w:sz w:val="24"/>
                <w:szCs w:val="24"/>
              </w:rPr>
              <w:t>Anthocyanin</w:t>
            </w:r>
          </w:p>
          <w:p w14:paraId="6C6E0EE3" w14:textId="697EF9D6" w:rsidR="00B02977" w:rsidRPr="00B02977" w:rsidRDefault="00B02977" w:rsidP="00B02977">
            <w:pPr>
              <w:pStyle w:val="NoSpacing"/>
              <w:rPr>
                <w:rFonts w:ascii="Times New Roman" w:hAnsi="Times New Roman" w:cs="Times New Roman"/>
                <w:b/>
                <w:bCs/>
                <w:color w:val="auto"/>
                <w:sz w:val="24"/>
                <w:szCs w:val="24"/>
              </w:rPr>
            </w:pPr>
            <w:r w:rsidRPr="00B02977">
              <w:rPr>
                <w:rFonts w:ascii="Times New Roman" w:hAnsi="Times New Roman" w:cs="Times New Roman"/>
                <w:b/>
                <w:bCs/>
                <w:color w:val="auto"/>
                <w:sz w:val="24"/>
                <w:szCs w:val="24"/>
              </w:rPr>
              <w:t>(mg/</w:t>
            </w:r>
            <w:r w:rsidR="000A2806" w:rsidRPr="00B02977">
              <w:rPr>
                <w:rFonts w:ascii="Times New Roman" w:hAnsi="Times New Roman" w:cs="Times New Roman"/>
                <w:b/>
                <w:bCs/>
                <w:color w:val="auto"/>
                <w:sz w:val="24"/>
                <w:szCs w:val="24"/>
              </w:rPr>
              <w:t>100-gram</w:t>
            </w:r>
            <w:r w:rsidRPr="00B02977">
              <w:rPr>
                <w:rFonts w:ascii="Times New Roman" w:hAnsi="Times New Roman" w:cs="Times New Roman"/>
                <w:b/>
                <w:bCs/>
                <w:color w:val="auto"/>
                <w:sz w:val="24"/>
                <w:szCs w:val="24"/>
              </w:rPr>
              <w:t xml:space="preserve">                 fresh weight)</w:t>
            </w:r>
          </w:p>
        </w:tc>
        <w:tc>
          <w:tcPr>
            <w:tcW w:w="2268" w:type="dxa"/>
            <w:hideMark/>
          </w:tcPr>
          <w:p w14:paraId="553E1E0A"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14:shadow w14:blurRad="38100" w14:dist="38100" w14:dir="2700000" w14:sx="100000" w14:sy="100000" w14:kx="0" w14:ky="0" w14:algn="tl">
                  <w14:srgbClr w14:val="000000">
                    <w14:alpha w14:val="57000"/>
                  </w14:srgbClr>
                </w14:shadow>
              </w:rPr>
              <w:t>Vitamin C</w:t>
            </w:r>
          </w:p>
          <w:p w14:paraId="4B133DF9" w14:textId="021600B0"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rPr>
              <w:t>(mg/</w:t>
            </w:r>
            <w:r w:rsidR="000A2806" w:rsidRPr="00B02977">
              <w:rPr>
                <w:rFonts w:ascii="Times New Roman" w:hAnsi="Times New Roman" w:cs="Times New Roman"/>
                <w:b/>
                <w:bCs/>
                <w:color w:val="auto"/>
                <w:sz w:val="24"/>
                <w:szCs w:val="24"/>
                <w:lang w:eastAsia="en-IN"/>
              </w:rPr>
              <w:t>100-gram</w:t>
            </w:r>
            <w:r w:rsidRPr="00B02977">
              <w:rPr>
                <w:rFonts w:ascii="Times New Roman" w:hAnsi="Times New Roman" w:cs="Times New Roman"/>
                <w:b/>
                <w:bCs/>
                <w:color w:val="auto"/>
                <w:sz w:val="24"/>
                <w:szCs w:val="24"/>
                <w:lang w:eastAsia="en-IN"/>
              </w:rPr>
              <w:t xml:space="preserve"> fresh weight)</w:t>
            </w:r>
          </w:p>
        </w:tc>
      </w:tr>
      <w:tr w:rsidR="00B02977" w:rsidRPr="00B02977" w14:paraId="3CFB3140" w14:textId="77777777" w:rsidTr="000F5595">
        <w:trPr>
          <w:trHeight w:val="429"/>
        </w:trPr>
        <w:tc>
          <w:tcPr>
            <w:tcW w:w="812" w:type="dxa"/>
            <w:hideMark/>
          </w:tcPr>
          <w:p w14:paraId="18947211"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sz w:val="24"/>
                <w:szCs w:val="24"/>
                <w:lang w:eastAsia="en-IN"/>
              </w:rPr>
              <w:t>1.</w:t>
            </w:r>
          </w:p>
        </w:tc>
        <w:tc>
          <w:tcPr>
            <w:tcW w:w="1168" w:type="dxa"/>
            <w:hideMark/>
          </w:tcPr>
          <w:p w14:paraId="11E8BCE9"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color w:val="000000"/>
                <w:sz w:val="24"/>
                <w:szCs w:val="24"/>
                <w:lang w:eastAsia="en-IN"/>
              </w:rPr>
              <w:t>PS/19-24</w:t>
            </w:r>
          </w:p>
        </w:tc>
        <w:tc>
          <w:tcPr>
            <w:tcW w:w="850" w:type="dxa"/>
            <w:hideMark/>
          </w:tcPr>
          <w:p w14:paraId="28A3FC1B"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22.54</w:t>
            </w:r>
          </w:p>
        </w:tc>
        <w:tc>
          <w:tcPr>
            <w:tcW w:w="851" w:type="dxa"/>
            <w:hideMark/>
          </w:tcPr>
          <w:p w14:paraId="360B59E5"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34.65</w:t>
            </w:r>
          </w:p>
        </w:tc>
        <w:tc>
          <w:tcPr>
            <w:tcW w:w="1701" w:type="dxa"/>
            <w:hideMark/>
          </w:tcPr>
          <w:p w14:paraId="6C8487F8"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82.2</w:t>
            </w:r>
          </w:p>
        </w:tc>
        <w:tc>
          <w:tcPr>
            <w:tcW w:w="1701" w:type="dxa"/>
            <w:hideMark/>
          </w:tcPr>
          <w:p w14:paraId="336136DF" w14:textId="77777777" w:rsidR="00B02977" w:rsidRPr="00B02977" w:rsidRDefault="00B02977" w:rsidP="00B02977">
            <w:pPr>
              <w:pStyle w:val="NoSpacing"/>
            </w:pPr>
            <w:r w:rsidRPr="00B02977">
              <w:t>13.5</w:t>
            </w:r>
          </w:p>
        </w:tc>
        <w:tc>
          <w:tcPr>
            <w:tcW w:w="2268" w:type="dxa"/>
            <w:hideMark/>
          </w:tcPr>
          <w:p w14:paraId="3382D391"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27.4</w:t>
            </w:r>
          </w:p>
        </w:tc>
      </w:tr>
      <w:tr w:rsidR="00B02977" w:rsidRPr="00B02977" w14:paraId="656F9836" w14:textId="77777777" w:rsidTr="000F5595">
        <w:trPr>
          <w:trHeight w:val="414"/>
        </w:trPr>
        <w:tc>
          <w:tcPr>
            <w:tcW w:w="812" w:type="dxa"/>
            <w:hideMark/>
          </w:tcPr>
          <w:p w14:paraId="0B9D3A59"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sz w:val="24"/>
                <w:szCs w:val="24"/>
                <w:lang w:eastAsia="en-IN"/>
              </w:rPr>
              <w:t>2.</w:t>
            </w:r>
          </w:p>
        </w:tc>
        <w:tc>
          <w:tcPr>
            <w:tcW w:w="1168" w:type="dxa"/>
            <w:hideMark/>
          </w:tcPr>
          <w:p w14:paraId="29D4107F"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color w:val="000000"/>
                <w:sz w:val="24"/>
                <w:szCs w:val="24"/>
                <w:lang w:eastAsia="en-IN"/>
              </w:rPr>
              <w:t>PS/19-26</w:t>
            </w:r>
          </w:p>
        </w:tc>
        <w:tc>
          <w:tcPr>
            <w:tcW w:w="850" w:type="dxa"/>
            <w:hideMark/>
          </w:tcPr>
          <w:p w14:paraId="47899966"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21.37</w:t>
            </w:r>
          </w:p>
        </w:tc>
        <w:tc>
          <w:tcPr>
            <w:tcW w:w="851" w:type="dxa"/>
            <w:hideMark/>
          </w:tcPr>
          <w:p w14:paraId="04CEBFEA"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31.20</w:t>
            </w:r>
          </w:p>
        </w:tc>
        <w:tc>
          <w:tcPr>
            <w:tcW w:w="1701" w:type="dxa"/>
            <w:hideMark/>
          </w:tcPr>
          <w:p w14:paraId="0AA53007"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34.8</w:t>
            </w:r>
          </w:p>
        </w:tc>
        <w:tc>
          <w:tcPr>
            <w:tcW w:w="1701" w:type="dxa"/>
            <w:hideMark/>
          </w:tcPr>
          <w:p w14:paraId="7E3042F9" w14:textId="77777777" w:rsidR="00B02977" w:rsidRPr="00B02977" w:rsidRDefault="00B02977" w:rsidP="00B02977">
            <w:pPr>
              <w:pStyle w:val="NoSpacing"/>
            </w:pPr>
            <w:r w:rsidRPr="00B02977">
              <w:t>12.8</w:t>
            </w:r>
          </w:p>
        </w:tc>
        <w:tc>
          <w:tcPr>
            <w:tcW w:w="2268" w:type="dxa"/>
            <w:hideMark/>
          </w:tcPr>
          <w:p w14:paraId="1C8640C5"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23.3</w:t>
            </w:r>
          </w:p>
        </w:tc>
      </w:tr>
      <w:tr w:rsidR="00B02977" w:rsidRPr="00B02977" w14:paraId="480F983D" w14:textId="77777777" w:rsidTr="000F5595">
        <w:trPr>
          <w:trHeight w:val="291"/>
        </w:trPr>
        <w:tc>
          <w:tcPr>
            <w:tcW w:w="812" w:type="dxa"/>
            <w:hideMark/>
          </w:tcPr>
          <w:p w14:paraId="052F36DF"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sz w:val="24"/>
                <w:szCs w:val="24"/>
                <w:lang w:eastAsia="en-IN"/>
              </w:rPr>
              <w:t>3.</w:t>
            </w:r>
          </w:p>
        </w:tc>
        <w:tc>
          <w:tcPr>
            <w:tcW w:w="1168" w:type="dxa"/>
            <w:hideMark/>
          </w:tcPr>
          <w:p w14:paraId="7F58C806"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color w:val="000000"/>
                <w:sz w:val="24"/>
                <w:szCs w:val="24"/>
                <w:lang w:eastAsia="en-IN"/>
              </w:rPr>
              <w:t>PS/19-41</w:t>
            </w:r>
          </w:p>
        </w:tc>
        <w:tc>
          <w:tcPr>
            <w:tcW w:w="850" w:type="dxa"/>
            <w:hideMark/>
          </w:tcPr>
          <w:p w14:paraId="0BFE852B"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23.48</w:t>
            </w:r>
          </w:p>
        </w:tc>
        <w:tc>
          <w:tcPr>
            <w:tcW w:w="851" w:type="dxa"/>
            <w:hideMark/>
          </w:tcPr>
          <w:p w14:paraId="3E47872E"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34.24</w:t>
            </w:r>
          </w:p>
        </w:tc>
        <w:tc>
          <w:tcPr>
            <w:tcW w:w="1701" w:type="dxa"/>
            <w:hideMark/>
          </w:tcPr>
          <w:p w14:paraId="5919D144"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64.8</w:t>
            </w:r>
          </w:p>
        </w:tc>
        <w:tc>
          <w:tcPr>
            <w:tcW w:w="1701" w:type="dxa"/>
            <w:hideMark/>
          </w:tcPr>
          <w:p w14:paraId="4E7E0A93" w14:textId="77777777" w:rsidR="00B02977" w:rsidRPr="00B02977" w:rsidRDefault="00B02977" w:rsidP="00B02977">
            <w:pPr>
              <w:pStyle w:val="NoSpacing"/>
            </w:pPr>
            <w:r w:rsidRPr="00B02977">
              <w:t>2.4</w:t>
            </w:r>
          </w:p>
        </w:tc>
        <w:tc>
          <w:tcPr>
            <w:tcW w:w="2268" w:type="dxa"/>
            <w:hideMark/>
          </w:tcPr>
          <w:p w14:paraId="54688051"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18.5</w:t>
            </w:r>
          </w:p>
        </w:tc>
      </w:tr>
      <w:tr w:rsidR="00B02977" w:rsidRPr="00B02977" w14:paraId="5CC11368" w14:textId="77777777" w:rsidTr="000F5595">
        <w:trPr>
          <w:trHeight w:val="409"/>
        </w:trPr>
        <w:tc>
          <w:tcPr>
            <w:tcW w:w="812" w:type="dxa"/>
            <w:hideMark/>
          </w:tcPr>
          <w:p w14:paraId="19503CD2"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sz w:val="24"/>
                <w:szCs w:val="24"/>
                <w:lang w:eastAsia="en-IN"/>
              </w:rPr>
              <w:t>4.</w:t>
            </w:r>
          </w:p>
        </w:tc>
        <w:tc>
          <w:tcPr>
            <w:tcW w:w="1168" w:type="dxa"/>
            <w:hideMark/>
          </w:tcPr>
          <w:p w14:paraId="363A03E7"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color w:val="000000"/>
                <w:sz w:val="24"/>
                <w:szCs w:val="24"/>
                <w:lang w:eastAsia="en-IN"/>
              </w:rPr>
              <w:t>PS/19-50</w:t>
            </w:r>
          </w:p>
        </w:tc>
        <w:tc>
          <w:tcPr>
            <w:tcW w:w="850" w:type="dxa"/>
            <w:hideMark/>
          </w:tcPr>
          <w:p w14:paraId="6AB496EC"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25.31</w:t>
            </w:r>
          </w:p>
        </w:tc>
        <w:tc>
          <w:tcPr>
            <w:tcW w:w="851" w:type="dxa"/>
            <w:hideMark/>
          </w:tcPr>
          <w:p w14:paraId="2D0ECC0E"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32.07</w:t>
            </w:r>
          </w:p>
        </w:tc>
        <w:tc>
          <w:tcPr>
            <w:tcW w:w="1701" w:type="dxa"/>
            <w:hideMark/>
          </w:tcPr>
          <w:p w14:paraId="2BB6F347"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66.0</w:t>
            </w:r>
          </w:p>
        </w:tc>
        <w:tc>
          <w:tcPr>
            <w:tcW w:w="1701" w:type="dxa"/>
            <w:hideMark/>
          </w:tcPr>
          <w:p w14:paraId="249FBB7E" w14:textId="77777777" w:rsidR="00B02977" w:rsidRPr="00B02977" w:rsidRDefault="00B02977" w:rsidP="00B02977">
            <w:pPr>
              <w:pStyle w:val="NoSpacing"/>
            </w:pPr>
            <w:r w:rsidRPr="00B02977">
              <w:t>24.6</w:t>
            </w:r>
          </w:p>
        </w:tc>
        <w:tc>
          <w:tcPr>
            <w:tcW w:w="2268" w:type="dxa"/>
            <w:hideMark/>
          </w:tcPr>
          <w:p w14:paraId="1EE89C4E"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25.1</w:t>
            </w:r>
          </w:p>
        </w:tc>
      </w:tr>
      <w:tr w:rsidR="00B02977" w:rsidRPr="00B02977" w14:paraId="31EE8F71" w14:textId="77777777" w:rsidTr="000F5595">
        <w:trPr>
          <w:trHeight w:val="273"/>
        </w:trPr>
        <w:tc>
          <w:tcPr>
            <w:tcW w:w="812" w:type="dxa"/>
            <w:hideMark/>
          </w:tcPr>
          <w:p w14:paraId="76126A06"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sz w:val="24"/>
                <w:szCs w:val="24"/>
                <w:lang w:eastAsia="en-IN"/>
              </w:rPr>
              <w:t>5.</w:t>
            </w:r>
          </w:p>
        </w:tc>
        <w:tc>
          <w:tcPr>
            <w:tcW w:w="1168" w:type="dxa"/>
            <w:hideMark/>
          </w:tcPr>
          <w:p w14:paraId="3B7A61F0"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color w:val="000000"/>
                <w:sz w:val="24"/>
                <w:szCs w:val="24"/>
                <w:lang w:eastAsia="en-IN"/>
              </w:rPr>
              <w:t>K. Manik</w:t>
            </w:r>
          </w:p>
        </w:tc>
        <w:tc>
          <w:tcPr>
            <w:tcW w:w="850" w:type="dxa"/>
            <w:hideMark/>
          </w:tcPr>
          <w:p w14:paraId="610C1478"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26.31</w:t>
            </w:r>
          </w:p>
        </w:tc>
        <w:tc>
          <w:tcPr>
            <w:tcW w:w="851" w:type="dxa"/>
            <w:hideMark/>
          </w:tcPr>
          <w:p w14:paraId="277A2918"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33.24</w:t>
            </w:r>
          </w:p>
        </w:tc>
        <w:tc>
          <w:tcPr>
            <w:tcW w:w="1701" w:type="dxa"/>
            <w:hideMark/>
          </w:tcPr>
          <w:p w14:paraId="14874DF8"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77.0</w:t>
            </w:r>
          </w:p>
        </w:tc>
        <w:tc>
          <w:tcPr>
            <w:tcW w:w="1701" w:type="dxa"/>
            <w:hideMark/>
          </w:tcPr>
          <w:p w14:paraId="25C6EB2D" w14:textId="77777777" w:rsidR="00B02977" w:rsidRPr="00B02977" w:rsidRDefault="00B02977" w:rsidP="00B02977">
            <w:pPr>
              <w:pStyle w:val="NoSpacing"/>
            </w:pPr>
            <w:r w:rsidRPr="00B02977">
              <w:t>11.76</w:t>
            </w:r>
          </w:p>
        </w:tc>
        <w:tc>
          <w:tcPr>
            <w:tcW w:w="2268" w:type="dxa"/>
            <w:hideMark/>
          </w:tcPr>
          <w:p w14:paraId="5B38ED25"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32.2</w:t>
            </w:r>
          </w:p>
        </w:tc>
      </w:tr>
      <w:tr w:rsidR="00B02977" w:rsidRPr="00B02977" w14:paraId="67FCE94C" w14:textId="77777777" w:rsidTr="000F5595">
        <w:trPr>
          <w:trHeight w:val="213"/>
        </w:trPr>
        <w:tc>
          <w:tcPr>
            <w:tcW w:w="812" w:type="dxa"/>
            <w:hideMark/>
          </w:tcPr>
          <w:p w14:paraId="2801A437"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sz w:val="24"/>
                <w:szCs w:val="24"/>
                <w:lang w:eastAsia="en-IN"/>
              </w:rPr>
              <w:t>6.</w:t>
            </w:r>
          </w:p>
        </w:tc>
        <w:tc>
          <w:tcPr>
            <w:tcW w:w="1168" w:type="dxa"/>
            <w:hideMark/>
          </w:tcPr>
          <w:p w14:paraId="6205945D"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color w:val="000000"/>
                <w:sz w:val="24"/>
                <w:szCs w:val="24"/>
                <w:lang w:eastAsia="en-IN"/>
              </w:rPr>
              <w:t>K. Lohit</w:t>
            </w:r>
          </w:p>
        </w:tc>
        <w:tc>
          <w:tcPr>
            <w:tcW w:w="850" w:type="dxa"/>
            <w:hideMark/>
          </w:tcPr>
          <w:p w14:paraId="0B19B172"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26.85</w:t>
            </w:r>
          </w:p>
        </w:tc>
        <w:tc>
          <w:tcPr>
            <w:tcW w:w="851" w:type="dxa"/>
            <w:hideMark/>
          </w:tcPr>
          <w:p w14:paraId="73B906FA"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34.37</w:t>
            </w:r>
          </w:p>
        </w:tc>
        <w:tc>
          <w:tcPr>
            <w:tcW w:w="1701" w:type="dxa"/>
            <w:hideMark/>
          </w:tcPr>
          <w:p w14:paraId="1C4D973D"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73.5</w:t>
            </w:r>
          </w:p>
        </w:tc>
        <w:tc>
          <w:tcPr>
            <w:tcW w:w="1701" w:type="dxa"/>
            <w:hideMark/>
          </w:tcPr>
          <w:p w14:paraId="67AFC0B8" w14:textId="77777777" w:rsidR="00B02977" w:rsidRPr="00B02977" w:rsidRDefault="00B02977" w:rsidP="00B02977">
            <w:pPr>
              <w:pStyle w:val="NoSpacing"/>
            </w:pPr>
            <w:r w:rsidRPr="00B02977">
              <w:t>0.84</w:t>
            </w:r>
          </w:p>
        </w:tc>
        <w:tc>
          <w:tcPr>
            <w:tcW w:w="2268" w:type="dxa"/>
            <w:hideMark/>
          </w:tcPr>
          <w:p w14:paraId="5C815092"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29.8</w:t>
            </w:r>
          </w:p>
        </w:tc>
      </w:tr>
    </w:tbl>
    <w:p w14:paraId="1600E749" w14:textId="77777777" w:rsidR="00C2724D" w:rsidRDefault="00C2724D" w:rsidP="007E4B21">
      <w:pPr>
        <w:spacing w:after="0" w:line="240" w:lineRule="auto"/>
        <w:jc w:val="both"/>
        <w:rPr>
          <w:rFonts w:ascii="Times New Roman" w:hAnsi="Times New Roman" w:cs="Times New Roman"/>
          <w:b/>
          <w:bCs/>
          <w:sz w:val="24"/>
          <w:szCs w:val="24"/>
        </w:rPr>
      </w:pPr>
    </w:p>
    <w:p w14:paraId="669BDDE1" w14:textId="608FC8DA" w:rsidR="00264653" w:rsidRDefault="00264653" w:rsidP="007E4B21">
      <w:pPr>
        <w:spacing w:after="0" w:line="240" w:lineRule="auto"/>
        <w:jc w:val="both"/>
        <w:rPr>
          <w:rFonts w:ascii="Times New Roman" w:hAnsi="Times New Roman" w:cs="Times New Roman"/>
          <w:b/>
          <w:bCs/>
          <w:sz w:val="24"/>
          <w:szCs w:val="24"/>
        </w:rPr>
      </w:pPr>
      <w:r>
        <w:rPr>
          <w:noProof/>
        </w:rPr>
        <w:drawing>
          <wp:inline distT="0" distB="0" distL="0" distR="0" wp14:anchorId="07194B9C" wp14:editId="01900609">
            <wp:extent cx="5852160" cy="2743200"/>
            <wp:effectExtent l="0" t="0" r="15240" b="0"/>
            <wp:docPr id="407588248" name="Chart 1">
              <a:extLst xmlns:a="http://schemas.openxmlformats.org/drawingml/2006/main">
                <a:ext uri="{FF2B5EF4-FFF2-40B4-BE49-F238E27FC236}">
                  <a16:creationId xmlns:a16="http://schemas.microsoft.com/office/drawing/2014/main" id="{2CD4E3BB-EC0B-9417-2F45-020D96BEA2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AD2442D" w14:textId="77777777" w:rsidR="00A219B7" w:rsidRDefault="00A219B7" w:rsidP="007E4B21">
      <w:pPr>
        <w:spacing w:after="0" w:line="240" w:lineRule="auto"/>
        <w:jc w:val="both"/>
        <w:rPr>
          <w:rFonts w:ascii="Times New Roman" w:hAnsi="Times New Roman" w:cs="Times New Roman"/>
          <w:b/>
          <w:bCs/>
          <w:sz w:val="24"/>
          <w:szCs w:val="24"/>
        </w:rPr>
      </w:pPr>
    </w:p>
    <w:p w14:paraId="35711914" w14:textId="77777777" w:rsidR="007E4B21" w:rsidRPr="00E544E2" w:rsidRDefault="007E4B21" w:rsidP="007E4B21">
      <w:pPr>
        <w:spacing w:after="0" w:line="240" w:lineRule="auto"/>
        <w:jc w:val="both"/>
        <w:rPr>
          <w:rFonts w:ascii="Times New Roman" w:hAnsi="Times New Roman" w:cs="Times New Roman"/>
          <w:b/>
          <w:bCs/>
          <w:sz w:val="24"/>
          <w:szCs w:val="24"/>
        </w:rPr>
      </w:pPr>
    </w:p>
    <w:p w14:paraId="7A074563" w14:textId="320C9D73" w:rsidR="000A2806" w:rsidRPr="0087657F" w:rsidRDefault="0087657F" w:rsidP="0087657F">
      <w:pPr>
        <w:pStyle w:val="BodyText"/>
        <w:rPr>
          <w:b/>
          <w:bCs/>
        </w:rPr>
      </w:pPr>
      <w:r>
        <w:rPr>
          <w:rFonts w:eastAsia="Times New Roman"/>
          <w:highlight w:val="yellow"/>
        </w:rPr>
        <w:t>The medium-maturing, red-skinned advanced clones PS/19-41 and PS/19-50 were identified as suitable for table potato use. Among the evaluated genotypes, the highest total tuber yield was recorded in PS/19-12 (37.47 t/ha), followed by PS/19-24 (36.56 t/ha), PS/19-41 (33.17 t/ha), PS/19-02 (33.00 t/ha), and PS/19-50 (25.71 t/ha). Clones PS/19-24, PS/19-41, and PS/19-50 produced attractive red-skinned tubers with yellow or creamy flesh, which were preferred by consumers for their appearance and taste. The tubers were round, shallow-eyed, and exhibited desirable culinary qualities. Dry matter content, an important trait for processing suitability, was positively correlated with product quality in chips and French fries (Das et al., 2021). Organoleptic evaluation indicated that these clones had a mealy texture and pleasant flavour and cooked within 15–18 minutes. Boiled tubers remained free from discolouration after cooking. Furthermore, the clones exhibited no internal or external defects at harvest or during storage, indicating their potential for table and processing purposes.</w:t>
      </w:r>
    </w:p>
    <w:p w14:paraId="6E60C4A6" w14:textId="77777777" w:rsidR="0087657F" w:rsidRDefault="0087657F" w:rsidP="007E4B21">
      <w:pPr>
        <w:spacing w:after="0" w:line="240" w:lineRule="auto"/>
        <w:jc w:val="both"/>
        <w:rPr>
          <w:rFonts w:ascii="Times New Roman" w:hAnsi="Times New Roman" w:cs="Times New Roman"/>
          <w:b/>
          <w:bCs/>
          <w:sz w:val="24"/>
          <w:szCs w:val="24"/>
        </w:rPr>
      </w:pPr>
    </w:p>
    <w:p w14:paraId="60CC97E3" w14:textId="5927FEA4" w:rsidR="002C2F49" w:rsidRPr="00E544E2" w:rsidRDefault="002C2F49" w:rsidP="007E4B21">
      <w:pPr>
        <w:spacing w:after="0" w:line="240" w:lineRule="auto"/>
        <w:jc w:val="both"/>
        <w:rPr>
          <w:rFonts w:ascii="Times New Roman" w:hAnsi="Times New Roman" w:cs="Times New Roman"/>
          <w:b/>
          <w:bCs/>
          <w:sz w:val="24"/>
          <w:szCs w:val="24"/>
        </w:rPr>
      </w:pPr>
      <w:r w:rsidRPr="00E544E2">
        <w:rPr>
          <w:rFonts w:ascii="Times New Roman" w:hAnsi="Times New Roman" w:cs="Times New Roman"/>
          <w:b/>
          <w:bCs/>
          <w:sz w:val="24"/>
          <w:szCs w:val="24"/>
        </w:rPr>
        <w:t>Conclusion</w:t>
      </w:r>
    </w:p>
    <w:p w14:paraId="732EDAF2" w14:textId="7A892A5E" w:rsidR="00FE061A" w:rsidRDefault="00FE061A" w:rsidP="006A1604">
      <w:pPr>
        <w:spacing w:before="100" w:beforeAutospacing="1" w:after="100" w:afterAutospacing="1" w:line="240" w:lineRule="auto"/>
        <w:jc w:val="both"/>
        <w:rPr>
          <w:rFonts w:ascii="Times New Roman" w:eastAsia="Times New Roman" w:hAnsi="Times New Roman"/>
          <w:sz w:val="24"/>
        </w:rPr>
      </w:pPr>
      <w:r>
        <w:rPr>
          <w:rFonts w:ascii="Times New Roman" w:eastAsia="Times New Roman" w:hAnsi="Times New Roman"/>
          <w:sz w:val="24"/>
          <w:highlight w:val="yellow"/>
        </w:rPr>
        <w:t>The evaluated potato clones showed variability in emergence, total tuber yield, marketable yield, dry matter content, and nutritional quality traits under the Eastern Indo-Gangetic Plains conditions (Ortiz &amp; Golmirzaie, 2003; Roy &amp; Singh, 2006; Salehi Jozani et al., 2003)</w:t>
      </w:r>
      <w:proofErr w:type="spellStart"/>
      <w:r>
        <w:rPr>
          <w:rFonts w:ascii="Times New Roman" w:eastAsia="Times New Roman" w:hAnsi="Times New Roman"/>
          <w:sz w:val="24"/>
          <w:highlight w:val="yellow"/>
        </w:rPr>
      </w:r>
      <w:proofErr w:type="spellEnd"/>
      <w:r>
        <w:rPr>
          <w:rFonts w:ascii="Times New Roman" w:eastAsia="Times New Roman" w:hAnsi="Times New Roman"/>
          <w:sz w:val="24"/>
          <w:highlight w:val="yellow"/>
        </w:rPr>
        <w:t xml:space="preserve">. PS/19-12 and PS/19-24 performed well for marketable yield at 90 days, whereas PS/19-50 showed better marketable yield at 75 days and higher anthocyanin content among the tested clones. PS/19-24 had comparatively high iron and carotenoid contents. The findings suggest that selected advanced clones, particularly PS/19-24, PS/19-41, and PS/19-50, may be useful for further evaluation as red-skinned table potato materials (Gopal, 2015; Jansky, 2009; Muthoni et al., 2014). However, multilocation and </w:t>
      </w:r>
      <w:proofErr w:type="spellStart"/>
      <w:r>
        <w:rPr>
          <w:rFonts w:ascii="Times New Roman" w:eastAsia="Times New Roman" w:hAnsi="Times New Roman"/>
          <w:sz w:val="24"/>
          <w:highlight w:val="yellow"/>
        </w:rPr>
        <w:t>multiseason</w:t>
      </w:r>
      <w:proofErr w:type="spellEnd"/>
      <w:r>
        <w:rPr>
          <w:rFonts w:ascii="Times New Roman" w:eastAsia="Times New Roman" w:hAnsi="Times New Roman"/>
          <w:sz w:val="24"/>
          <w:highlight w:val="yellow"/>
        </w:rPr>
        <w:t xml:space="preserve"> testing with consistent quality assessment is necessary before any clone is recommended for wider cultivation or varietal release (</w:t>
      </w:r>
      <w:proofErr w:type="spellStart"/>
      <w:r>
        <w:rPr>
          <w:rFonts w:ascii="Times New Roman" w:eastAsia="Times New Roman" w:hAnsi="Times New Roman"/>
          <w:sz w:val="24"/>
          <w:highlight w:val="yellow"/>
        </w:rPr>
        <w:t>Mulema</w:t>
      </w:r>
      <w:proofErr w:type="spellEnd"/>
      <w:r>
        <w:rPr>
          <w:rFonts w:ascii="Times New Roman" w:eastAsia="Times New Roman" w:hAnsi="Times New Roman"/>
          <w:sz w:val="24"/>
          <w:highlight w:val="yellow"/>
        </w:rPr>
        <w:t xml:space="preserve"> et al., 2008).</w:t>
      </w:r>
    </w:p>
    <w:p w14:paraId="68705558" w14:textId="77777777" w:rsidR="00CF6214" w:rsidRDefault="00CF6214" w:rsidP="006A1604">
      <w:pPr>
        <w:spacing w:before="100" w:beforeAutospacing="1" w:after="100" w:afterAutospacing="1" w:line="240" w:lineRule="auto"/>
        <w:jc w:val="both"/>
        <w:rPr>
          <w:rFonts w:ascii="Times New Roman" w:eastAsia="Times New Roman" w:hAnsi="Times New Roman"/>
          <w:sz w:val="24"/>
        </w:rPr>
      </w:pPr>
    </w:p>
    <w:p w14:paraId="5D701BB7" w14:textId="2FF2D8D5" w:rsidR="00CF6214" w:rsidRPr="00CF6214" w:rsidRDefault="00CF6214" w:rsidP="00CF6214">
      <w:pPr>
        <w:spacing w:before="100" w:beforeAutospacing="1" w:after="100" w:afterAutospacing="1" w:line="240" w:lineRule="auto"/>
        <w:jc w:val="both"/>
        <w:rPr>
          <w:rFonts w:ascii="Times New Roman" w:eastAsia="Times New Roman" w:hAnsi="Times New Roman" w:cs="Times New Roman"/>
          <w:b/>
          <w:bCs/>
          <w:sz w:val="24"/>
          <w:szCs w:val="24"/>
          <w:lang w:eastAsia="en-GB"/>
        </w:rPr>
      </w:pPr>
      <w:r w:rsidRPr="00CF6214">
        <w:rPr>
          <w:rFonts w:ascii="Times New Roman" w:eastAsia="Times New Roman" w:hAnsi="Times New Roman" w:cs="Times New Roman"/>
          <w:b/>
          <w:bCs/>
          <w:sz w:val="24"/>
          <w:szCs w:val="24"/>
          <w:lang w:eastAsia="en-GB"/>
        </w:rPr>
        <w:t xml:space="preserve">Limitation </w:t>
      </w:r>
    </w:p>
    <w:p w14:paraId="30E42D99" w14:textId="77777777" w:rsidR="00CF6214" w:rsidRPr="00CF6214" w:rsidRDefault="00CF6214" w:rsidP="00CF6214">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2BDC4E02" w14:textId="127537E7" w:rsidR="00CF6214" w:rsidRDefault="00CF6214" w:rsidP="00CF621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F6214">
        <w:rPr>
          <w:rFonts w:ascii="Times New Roman" w:eastAsia="Times New Roman" w:hAnsi="Times New Roman" w:cs="Times New Roman"/>
          <w:sz w:val="24"/>
          <w:szCs w:val="24"/>
          <w:lang w:eastAsia="en-GB"/>
        </w:rPr>
        <w:lastRenderedPageBreak/>
        <w:t xml:space="preserve">The study was conducted at one experimental location over two agricultural seasons and assessed two crop durations. Consequently, the observed performance may not represent the full range of environments within the Eastern Indo-Gangetic Plains. Several quality and nutritional measurements were reported for selected genotypes rather than for every clone and control. Further multilocation, </w:t>
      </w:r>
      <w:proofErr w:type="spellStart"/>
      <w:r w:rsidRPr="00CF6214">
        <w:rPr>
          <w:rFonts w:ascii="Times New Roman" w:eastAsia="Times New Roman" w:hAnsi="Times New Roman" w:cs="Times New Roman"/>
          <w:sz w:val="24"/>
          <w:szCs w:val="24"/>
          <w:lang w:eastAsia="en-GB"/>
        </w:rPr>
        <w:t>multiseason</w:t>
      </w:r>
      <w:proofErr w:type="spellEnd"/>
      <w:r w:rsidRPr="00CF6214">
        <w:rPr>
          <w:rFonts w:ascii="Times New Roman" w:eastAsia="Times New Roman" w:hAnsi="Times New Roman" w:cs="Times New Roman"/>
          <w:sz w:val="24"/>
          <w:szCs w:val="24"/>
          <w:lang w:eastAsia="en-GB"/>
        </w:rPr>
        <w:t>, and consistently replicated quality assessments are therefore required to confirm the stability of yield, storability, and nutritional traits.</w:t>
      </w:r>
    </w:p>
    <w:p w14:paraId="0D1E0D16" w14:textId="77777777" w:rsidR="000B7ED6" w:rsidRDefault="000B7ED6" w:rsidP="000B7ED6">
      <w:pPr>
        <w:pStyle w:val="Heading1"/>
        <w:rPr>
          <w:rFonts w:eastAsiaTheme="minorHAnsi"/>
          <w:shd w:val="clear" w:color="auto" w:fill="FFFFFF"/>
          <w:lang w:eastAsia="en-US"/>
        </w:rPr>
      </w:pPr>
      <w:r w:rsidRPr="000B7ED6">
        <w:rPr>
          <w:rFonts w:eastAsiaTheme="minorHAnsi"/>
          <w:shd w:val="clear" w:color="auto" w:fill="FFFFFF"/>
          <w:lang w:eastAsia="en-US"/>
        </w:rPr>
        <w:t>Declaration of AI Use</w:t>
      </w:r>
    </w:p>
    <w:p w14:paraId="679D242A" w14:textId="77777777" w:rsidR="000B7ED6" w:rsidRPr="000B7ED6" w:rsidRDefault="000B7ED6" w:rsidP="000B7ED6"/>
    <w:p w14:paraId="287B78BA" w14:textId="77777777" w:rsidR="000B7ED6" w:rsidRPr="000B7ED6" w:rsidRDefault="000B7ED6" w:rsidP="000B7ED6">
      <w:pPr>
        <w:pStyle w:val="Heading1"/>
        <w:rPr>
          <w:rFonts w:eastAsiaTheme="minorHAnsi"/>
          <w:b w:val="0"/>
          <w:bCs w:val="0"/>
          <w:shd w:val="clear" w:color="auto" w:fill="FFFFFF"/>
          <w:lang w:eastAsia="en-US"/>
        </w:rPr>
      </w:pPr>
      <w:r>
        <w:rPr>
          <w:b w:val="0"/>
          <w:highlight w:val="yellow"/>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9189228" w14:textId="77777777" w:rsidR="000B7ED6" w:rsidRDefault="000B7ED6" w:rsidP="000B7ED6">
      <w:pPr>
        <w:pStyle w:val="Heading1"/>
        <w:rPr>
          <w:rFonts w:eastAsiaTheme="minorHAnsi"/>
          <w:shd w:val="clear" w:color="auto" w:fill="FFFFFF"/>
          <w:lang w:eastAsia="en-US"/>
        </w:rPr>
      </w:pPr>
    </w:p>
    <w:p w14:paraId="344A748E" w14:textId="23D33803" w:rsidR="000B1F92" w:rsidRDefault="000B1F92" w:rsidP="000B7ED6">
      <w:pPr>
        <w:pStyle w:val="Heading1"/>
      </w:pPr>
      <w:r w:rsidRPr="000B1F92">
        <w:t>Acknowledgements</w:t>
      </w:r>
    </w:p>
    <w:p w14:paraId="1923E708" w14:textId="77777777" w:rsidR="00C620F0" w:rsidRPr="00C620F0" w:rsidRDefault="00C620F0" w:rsidP="00C620F0">
      <w:pPr>
        <w:rPr>
          <w:lang w:eastAsia="en-GB"/>
        </w:rPr>
      </w:pPr>
    </w:p>
    <w:p w14:paraId="67BC59FA" w14:textId="4E62EAF3" w:rsidR="000B1F92" w:rsidRPr="000B1F92" w:rsidRDefault="000B1F92" w:rsidP="00FE061A">
      <w:pPr>
        <w:spacing w:after="0" w:line="240" w:lineRule="auto"/>
        <w:rPr>
          <w:rFonts w:ascii="Times New Roman" w:eastAsia="Times New Roman" w:hAnsi="Times New Roman" w:cs="Times New Roman"/>
          <w:sz w:val="24"/>
          <w:szCs w:val="24"/>
          <w:lang w:eastAsia="en-GB"/>
        </w:rPr>
      </w:pPr>
      <w:r w:rsidRPr="000B1F92">
        <w:rPr>
          <w:rFonts w:ascii="Times New Roman" w:eastAsia="Times New Roman" w:hAnsi="Times New Roman" w:cs="Times New Roman"/>
          <w:sz w:val="24"/>
          <w:szCs w:val="24"/>
          <w:lang w:eastAsia="en-GB"/>
        </w:rPr>
        <w:t xml:space="preserve">The authors are grateful to the </w:t>
      </w:r>
      <w:r>
        <w:rPr>
          <w:rFonts w:ascii="Times New Roman" w:eastAsia="Times New Roman" w:hAnsi="Times New Roman" w:cs="Times New Roman"/>
          <w:sz w:val="24"/>
          <w:szCs w:val="24"/>
          <w:lang w:eastAsia="en-GB"/>
        </w:rPr>
        <w:t xml:space="preserve">ICAR (Indian Council of Agricultural Research) </w:t>
      </w:r>
      <w:r w:rsidRPr="000B1F92">
        <w:rPr>
          <w:rFonts w:ascii="Times New Roman" w:eastAsia="Times New Roman" w:hAnsi="Times New Roman" w:cs="Times New Roman"/>
          <w:sz w:val="24"/>
          <w:szCs w:val="24"/>
          <w:lang w:eastAsia="en-GB"/>
        </w:rPr>
        <w:t>for providing laboratory and greenhouse facilities for this research.</w:t>
      </w:r>
    </w:p>
    <w:p w14:paraId="5F08F1DB" w14:textId="77777777" w:rsidR="000B1F92" w:rsidRPr="000B1F92" w:rsidRDefault="000B1F92" w:rsidP="00FE061A">
      <w:pPr>
        <w:spacing w:after="0" w:line="240" w:lineRule="auto"/>
        <w:rPr>
          <w:rFonts w:ascii="Times New Roman" w:eastAsia="Times New Roman" w:hAnsi="Times New Roman" w:cs="Times New Roman"/>
          <w:sz w:val="24"/>
          <w:szCs w:val="24"/>
          <w:lang w:eastAsia="en-GB"/>
        </w:rPr>
      </w:pPr>
    </w:p>
    <w:p w14:paraId="4970B989" w14:textId="77777777" w:rsidR="000B1F92" w:rsidRPr="000B1F92" w:rsidRDefault="000B1F92" w:rsidP="000B1F92">
      <w:pPr>
        <w:pStyle w:val="Heading1"/>
      </w:pPr>
      <w:r w:rsidRPr="000B1F92">
        <w:t>Competing Interests</w:t>
      </w:r>
    </w:p>
    <w:p w14:paraId="4D3B2F71" w14:textId="29CDF74F" w:rsidR="00FE061A" w:rsidRPr="000B1F92" w:rsidRDefault="000B1F92" w:rsidP="00FE061A">
      <w:pPr>
        <w:spacing w:after="0" w:line="240" w:lineRule="auto"/>
        <w:rPr>
          <w:rFonts w:ascii="Times New Roman" w:eastAsia="Times New Roman" w:hAnsi="Times New Roman" w:cs="Times New Roman"/>
          <w:sz w:val="24"/>
          <w:szCs w:val="24"/>
          <w:lang w:eastAsia="en-GB"/>
        </w:rPr>
      </w:pPr>
      <w:r w:rsidRPr="000B1F92">
        <w:rPr>
          <w:rFonts w:ascii="Times New Roman" w:eastAsia="Times New Roman" w:hAnsi="Times New Roman" w:cs="Times New Roman"/>
          <w:sz w:val="24"/>
          <w:szCs w:val="24"/>
          <w:lang w:eastAsia="en-GB"/>
        </w:rPr>
        <w:t>Authors have declared that they have no known competing financial interests or non-</w:t>
      </w:r>
      <w:r w:rsidR="006A1604" w:rsidRPr="000B1F92">
        <w:rPr>
          <w:rFonts w:ascii="Times New Roman" w:eastAsia="Times New Roman" w:hAnsi="Times New Roman" w:cs="Times New Roman"/>
          <w:sz w:val="24"/>
          <w:szCs w:val="24"/>
          <w:lang w:eastAsia="en-GB"/>
        </w:rPr>
        <w:t>financial interests or</w:t>
      </w:r>
      <w:r w:rsidRPr="000B1F92">
        <w:rPr>
          <w:rFonts w:ascii="Times New Roman" w:eastAsia="Times New Roman" w:hAnsi="Times New Roman" w:cs="Times New Roman"/>
          <w:sz w:val="24"/>
          <w:szCs w:val="24"/>
          <w:lang w:eastAsia="en-GB"/>
        </w:rPr>
        <w:t xml:space="preserve"> personal relationships that could have appeared to influence the work reported in this paper.</w:t>
      </w:r>
    </w:p>
    <w:p w14:paraId="7BB6C3DA" w14:textId="77777777" w:rsidR="00FE061A" w:rsidRPr="00117EDB" w:rsidRDefault="00FE061A" w:rsidP="00117EDB">
      <w:pPr>
        <w:pStyle w:val="NormalWeb"/>
        <w:jc w:val="both"/>
        <w:rPr>
          <w:lang w:eastAsia="en-GB" w:bidi="hi-IN"/>
        </w:rPr>
      </w:pPr>
    </w:p>
    <w:p w14:paraId="2D5E7037"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b/>
          <w:bCs/>
          <w:sz w:val="24"/>
          <w:szCs w:val="24"/>
        </w:rPr>
        <w:t>References</w:t>
      </w:r>
      <w:r w:rsidRPr="00E544E2">
        <w:rPr>
          <w:rFonts w:ascii="Times New Roman" w:hAnsi="Times New Roman" w:cs="Times New Roman"/>
          <w:sz w:val="24"/>
          <w:szCs w:val="24"/>
        </w:rPr>
        <w:t xml:space="preserve"> </w:t>
      </w:r>
    </w:p>
    <w:p w14:paraId="1B03C20D"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Abong, G. O., Okoth, M. W., Imungi, J. K., &amp; Kabira, J. N. (2010). Evaluation of selected Kenyan potato cultivars for processing into potato crisps. </w:t>
      </w:r>
      <w:r>
        <w:rPr>
          <w:rFonts w:ascii="Times New Roman" w:hAnsi="Times New Roman"/>
          <w:i/>
          <w:color w:val="000000"/>
          <w:sz w:val="20"/>
        </w:rPr>
        <w:t>Agriculture and Biology Journal of North America, 1</w:t>
      </w:r>
      <w:r>
        <w:rPr>
          <w:rFonts w:ascii="Times New Roman" w:hAnsi="Times New Roman"/>
          <w:color w:val="000000"/>
          <w:sz w:val="20"/>
        </w:rPr>
        <w:t xml:space="preserve">(5), 886–893. </w:t>
      </w:r>
      <w:hyperlink r:id="rId51">
        <w:r>
          <w:rPr>
            <w:rFonts w:ascii="Times New Roman" w:hAnsi="Times New Roman"/>
            <w:sz w:val="20"/>
            <w:color w:val="000000"/>
            <w:u w:val="none"/>
          </w:rPr>
          <w:t>https://doi.org/10.5251/abjna.2010.1.5.886.893</w:t>
        </w:r>
      </w:hyperlink>
    </w:p>
    <w:p w14:paraId="7A383EEA"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Amador, V., Bou, J., Martínez-García, J. F., Monte, E., Rodríguez-Falcón, M., Russo, E., &amp; Prat, S. (2001). Regulation of potato tuberization by daylength and gibberellins. </w:t>
      </w:r>
      <w:r>
        <w:rPr>
          <w:rFonts w:ascii="Times New Roman" w:hAnsi="Times New Roman"/>
          <w:i/>
          <w:color w:val="000000"/>
          <w:sz w:val="20"/>
        </w:rPr>
        <w:t>The International Journal of Developmental Biology, 45</w:t>
      </w:r>
      <w:r>
        <w:rPr>
          <w:rFonts w:ascii="Times New Roman" w:hAnsi="Times New Roman"/>
          <w:color w:val="000000"/>
          <w:sz w:val="20"/>
        </w:rPr>
        <w:t xml:space="preserve">(S1), S37–S38. </w:t>
      </w:r>
      <w:hyperlink r:id="rId52">
        <w:r>
          <w:rPr>
            <w:rFonts w:ascii="Times New Roman" w:hAnsi="Times New Roman"/>
            <w:sz w:val="20"/>
            <w:color w:val="000000"/>
            <w:u w:val="none"/>
          </w:rPr>
          <w:t>https://doi.org/10.1387/ijdb.01450037</w:t>
        </w:r>
      </w:hyperlink>
    </w:p>
    <w:p w14:paraId="5AD2A12D"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Bártová, V., Bárta, J., Brabcová, A., Zdráhal, Z., &amp; Horáčková, V. (2015). Amino acid composition and nutritional value of four cultivated South American potato species. </w:t>
      </w:r>
      <w:r>
        <w:rPr>
          <w:rFonts w:ascii="Times New Roman" w:hAnsi="Times New Roman"/>
          <w:i/>
          <w:color w:val="000000"/>
          <w:sz w:val="20"/>
        </w:rPr>
        <w:t>Journal of Food Composition and Analysis, 40</w:t>
      </w:r>
      <w:r>
        <w:rPr>
          <w:rFonts w:ascii="Times New Roman" w:hAnsi="Times New Roman"/>
          <w:color w:val="000000"/>
          <w:sz w:val="20"/>
        </w:rPr>
        <w:t xml:space="preserve">, 78–85. </w:t>
      </w:r>
      <w:hyperlink r:id="rId53">
        <w:r>
          <w:rPr>
            <w:rFonts w:ascii="Times New Roman" w:hAnsi="Times New Roman"/>
            <w:sz w:val="20"/>
            <w:color w:val="000000"/>
            <w:u w:val="none"/>
          </w:rPr>
          <w:t>https://doi.org/10.1016/j.jfca.2014.12.006</w:t>
        </w:r>
      </w:hyperlink>
    </w:p>
    <w:p w14:paraId="5D7E1316"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Beals, K. A. (2019). Potatoes, nutrition and health. </w:t>
      </w:r>
      <w:r>
        <w:rPr>
          <w:rFonts w:ascii="Times New Roman" w:hAnsi="Times New Roman"/>
          <w:i/>
          <w:color w:val="000000"/>
          <w:sz w:val="20"/>
        </w:rPr>
        <w:t>American Journal of Potato Research, 96</w:t>
      </w:r>
      <w:r>
        <w:rPr>
          <w:rFonts w:ascii="Times New Roman" w:hAnsi="Times New Roman"/>
          <w:color w:val="000000"/>
          <w:sz w:val="20"/>
        </w:rPr>
        <w:t xml:space="preserve">, 102–110. </w:t>
      </w:r>
      <w:hyperlink r:id="rId54">
        <w:r>
          <w:rPr>
            <w:rFonts w:ascii="Times New Roman" w:hAnsi="Times New Roman"/>
            <w:sz w:val="20"/>
            <w:color w:val="000000"/>
            <w:u w:val="none"/>
          </w:rPr>
          <w:t>https://doi.org/10.1007/s12230-018-09705-4</w:t>
        </w:r>
      </w:hyperlink>
    </w:p>
    <w:p w14:paraId="48AF27BB"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Bist, L., Sharma, R., &amp; Thakurathi, B. (2023). Effect of seed tuber size on growth and yield of potato (</w:t>
      </w:r>
      <w:r>
        <w:rPr>
          <w:rFonts w:ascii="Times New Roman" w:hAnsi="Times New Roman"/>
          <w:i/>
          <w:color w:val="000000"/>
          <w:sz w:val="20"/>
        </w:rPr>
        <w:t>Solanum tuberosum</w:t>
      </w:r>
      <w:r>
        <w:rPr>
          <w:rFonts w:ascii="Times New Roman" w:hAnsi="Times New Roman"/>
          <w:color w:val="000000"/>
          <w:sz w:val="20"/>
        </w:rPr>
        <w:t xml:space="preserve"> L.) variety Desiree in Dadeldhura. </w:t>
      </w:r>
      <w:r>
        <w:rPr>
          <w:rFonts w:ascii="Times New Roman" w:hAnsi="Times New Roman"/>
          <w:i/>
          <w:color w:val="000000"/>
          <w:sz w:val="20"/>
        </w:rPr>
        <w:t>Contemporary Research: An Interdisciplinary Academic Journal, 6</w:t>
      </w:r>
      <w:r>
        <w:rPr>
          <w:rFonts w:ascii="Times New Roman" w:hAnsi="Times New Roman"/>
          <w:color w:val="000000"/>
          <w:sz w:val="20"/>
        </w:rPr>
        <w:t xml:space="preserve">(2), 110–123. </w:t>
      </w:r>
      <w:hyperlink r:id="rId55">
        <w:r>
          <w:rPr>
            <w:rFonts w:ascii="Times New Roman" w:hAnsi="Times New Roman"/>
            <w:sz w:val="20"/>
            <w:color w:val="000000"/>
            <w:u w:val="none"/>
          </w:rPr>
          <w:t>https://doi.org/10.3126/craiaj.v6i2.60251</w:t>
        </w:r>
      </w:hyperlink>
    </w:p>
    <w:p w14:paraId="02940AA0"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Bonierbale, M., de Haan, S., &amp; Forbes, A. (Eds.). (2007). </w:t>
      </w:r>
      <w:r>
        <w:rPr>
          <w:rFonts w:ascii="Times New Roman" w:hAnsi="Times New Roman"/>
          <w:i/>
          <w:color w:val="000000"/>
          <w:sz w:val="20"/>
        </w:rPr>
        <w:t>Procedures for standard evaluation trials of advanced potato clones: An international cooperators’ guide</w:t>
      </w:r>
      <w:r>
        <w:rPr>
          <w:rFonts w:ascii="Times New Roman" w:hAnsi="Times New Roman"/>
          <w:color w:val="000000"/>
          <w:sz w:val="20"/>
        </w:rPr>
        <w:t xml:space="preserve">. International Potato Center. </w:t>
      </w:r>
      <w:hyperlink r:id="rId56">
        <w:r>
          <w:rPr>
            <w:rFonts w:ascii="Times New Roman" w:hAnsi="Times New Roman"/>
            <w:sz w:val="20"/>
            <w:color w:val="000000"/>
            <w:u w:val="none"/>
          </w:rPr>
          <w:t>https://agris.fao.org/search/en/providers/122619/records/647248dd53aa8c896304ef8a</w:t>
        </w:r>
      </w:hyperlink>
    </w:p>
    <w:p w14:paraId="0D337CAF" w14:textId="77777777" w:rsidR="002C2F49" w:rsidRPr="00E544E2" w:rsidRDefault="002C2F49" w:rsidP="002C2F49">
      <w:pPr>
        <w:keepLines/>
        <w:tabs>
          <w:tab w:val="left" w:pos="810"/>
        </w:tabs>
        <w:spacing w:after="0" w:line="240" w:lineRule="auto" w:before="0"/>
        <w:ind w:left="720" w:hanging="720"/>
        <w:jc w:val="left"/>
        <w:rPr>
          <w:rFonts w:ascii="Times New Roman" w:hAnsi="Times New Roman" w:cs="Times New Roman"/>
          <w:sz w:val="24"/>
          <w:szCs w:val="24"/>
        </w:rPr>
      </w:pPr>
      <w:r>
        <w:rPr>
          <w:rFonts w:ascii="Times New Roman" w:hAnsi="Times New Roman"/>
          <w:color w:val="000000"/>
          <w:sz w:val="20"/>
        </w:rPr>
        <w:t xml:space="preserve">Burgos, G., Zum Felde, T., André, C., &amp; Kubow, S. (2020). The potato and its contribution to the human diet and health. In H. Campos &amp; O. Ortiz (Eds.), </w:t>
      </w:r>
      <w:r>
        <w:rPr>
          <w:rFonts w:ascii="Times New Roman" w:hAnsi="Times New Roman"/>
          <w:i/>
          <w:color w:val="000000"/>
          <w:sz w:val="20"/>
        </w:rPr>
        <w:t>The potato crop: Its agricultural, nutritional and social contribution to humankind</w:t>
      </w:r>
      <w:r>
        <w:rPr>
          <w:rFonts w:ascii="Times New Roman" w:hAnsi="Times New Roman"/>
          <w:color w:val="000000"/>
          <w:sz w:val="20"/>
        </w:rPr>
        <w:t xml:space="preserve"> (pp. 37–74). Springer. </w:t>
      </w:r>
      <w:hyperlink r:id="rId57">
        <w:r>
          <w:rPr>
            <w:rFonts w:ascii="Times New Roman" w:hAnsi="Times New Roman"/>
            <w:sz w:val="20"/>
            <w:color w:val="000000"/>
            <w:u w:val="none"/>
          </w:rPr>
          <w:t>https://doi.org/10.1007/978-3-030-28683-5_2</w:t>
        </w:r>
      </w:hyperlink>
    </w:p>
    <w:p w14:paraId="2E15980F"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Chaudhary Charan Singh Haryana Agricultural University. (2023). </w:t>
      </w:r>
      <w:r>
        <w:rPr>
          <w:rFonts w:ascii="Times New Roman" w:hAnsi="Times New Roman"/>
          <w:i/>
          <w:color w:val="000000"/>
          <w:sz w:val="20"/>
        </w:rPr>
        <w:t>OPSTAT: Online statistical analysis tools</w:t>
      </w:r>
      <w:r>
        <w:rPr>
          <w:rFonts w:ascii="Times New Roman" w:hAnsi="Times New Roman"/>
          <w:color w:val="000000"/>
          <w:sz w:val="20"/>
        </w:rPr>
        <w:t xml:space="preserve"> [Computer software]. </w:t>
      </w:r>
      <w:hyperlink r:id="rId58">
        <w:r>
          <w:rPr>
            <w:rFonts w:ascii="Times New Roman" w:hAnsi="Times New Roman"/>
            <w:sz w:val="20"/>
            <w:color w:val="000000"/>
            <w:u w:val="none"/>
          </w:rPr>
          <w:t>https://hau.ac.in/page/o-p-stat</w:t>
        </w:r>
      </w:hyperlink>
    </w:p>
    <w:p w14:paraId="33325C8F"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Chen, B.-C., Wu, X.-J., Guo, H.-C., &amp; Xiao, J.-P. (2024). Effects of appropriate low-temperature treatment on the yield and quality of pigmented potato (</w:t>
      </w:r>
      <w:r>
        <w:rPr>
          <w:rFonts w:ascii="Times New Roman" w:hAnsi="Times New Roman"/>
          <w:i/>
          <w:color w:val="000000"/>
          <w:sz w:val="20"/>
        </w:rPr>
        <w:t>Solanum tuberosum</w:t>
      </w:r>
      <w:r>
        <w:rPr>
          <w:rFonts w:ascii="Times New Roman" w:hAnsi="Times New Roman"/>
          <w:color w:val="000000"/>
          <w:sz w:val="20"/>
        </w:rPr>
        <w:t xml:space="preserve"> L.) tubers. </w:t>
      </w:r>
      <w:r>
        <w:rPr>
          <w:rFonts w:ascii="Times New Roman" w:hAnsi="Times New Roman"/>
          <w:i/>
          <w:color w:val="000000"/>
          <w:sz w:val="20"/>
        </w:rPr>
        <w:t>BMC Plant Biology, 24</w:t>
      </w:r>
      <w:r>
        <w:rPr>
          <w:rFonts w:ascii="Times New Roman" w:hAnsi="Times New Roman"/>
          <w:color w:val="000000"/>
          <w:sz w:val="20"/>
        </w:rPr>
        <w:t xml:space="preserve">, Article 274. </w:t>
      </w:r>
      <w:hyperlink r:id="rId31">
        <w:r>
          <w:rPr>
            <w:rFonts w:ascii="Times New Roman" w:hAnsi="Times New Roman"/>
            <w:sz w:val="20"/>
            <w:color w:val="000000"/>
            <w:u w:val="none"/>
          </w:rPr>
          <w:t>https://doi.org/10.1186/s12870-024-04951-7</w:t>
        </w:r>
      </w:hyperlink>
    </w:p>
    <w:p w14:paraId="0D7731EF"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Context Network. (2016). </w:t>
      </w:r>
      <w:r>
        <w:rPr>
          <w:rFonts w:ascii="Times New Roman" w:hAnsi="Times New Roman"/>
          <w:i/>
          <w:color w:val="000000"/>
          <w:sz w:val="20"/>
        </w:rPr>
        <w:t>Rwanda early generation seed study: Country report</w:t>
      </w:r>
      <w:r>
        <w:rPr>
          <w:rFonts w:ascii="Times New Roman" w:hAnsi="Times New Roman"/>
          <w:color w:val="000000"/>
          <w:sz w:val="20"/>
        </w:rPr>
        <w:t xml:space="preserve">. United States Agency for International Development. </w:t>
      </w:r>
      <w:hyperlink r:id="rId59">
        <w:r>
          <w:rPr>
            <w:rFonts w:ascii="Times New Roman" w:hAnsi="Times New Roman"/>
            <w:sz w:val="20"/>
            <w:color w:val="000000"/>
            <w:u w:val="none"/>
          </w:rPr>
          <w:t>https://reliefweb.int/report/rwanda/rwanda-early-generation-seed-study-country-report</w:t>
        </w:r>
      </w:hyperlink>
    </w:p>
    <w:p w14:paraId="30C35BAE"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Cutter, E. G. (1978). Structure and development of the potato plant. In P. M. Harris (Ed.), </w:t>
      </w:r>
      <w:r>
        <w:rPr>
          <w:rFonts w:ascii="Times New Roman" w:hAnsi="Times New Roman"/>
          <w:i/>
          <w:color w:val="000000"/>
          <w:sz w:val="20"/>
        </w:rPr>
        <w:t>The potato crop: The scientific basis for improvement</w:t>
      </w:r>
      <w:r>
        <w:rPr>
          <w:rFonts w:ascii="Times New Roman" w:hAnsi="Times New Roman"/>
          <w:color w:val="000000"/>
          <w:sz w:val="20"/>
        </w:rPr>
        <w:t xml:space="preserve"> (pp. 70–152). Springer. </w:t>
      </w:r>
      <w:hyperlink r:id="rId60">
        <w:r>
          <w:rPr>
            <w:rFonts w:ascii="Times New Roman" w:hAnsi="Times New Roman"/>
            <w:sz w:val="20"/>
            <w:color w:val="000000"/>
            <w:u w:val="none"/>
          </w:rPr>
          <w:t>https://doi.org/10.1007/978-1-4899-7210-1_3</w:t>
        </w:r>
      </w:hyperlink>
    </w:p>
    <w:p w14:paraId="51A0E6BB"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Dalamu, Sharma, J., Kumar, S., Luthra, S. K., Sharma, A. K., Sharma, V., &amp; Dua, V. K. (2019). Mineral content of red-skinned potatoes of Eastern India. </w:t>
      </w:r>
      <w:r>
        <w:rPr>
          <w:rFonts w:ascii="Times New Roman" w:hAnsi="Times New Roman"/>
          <w:i/>
          <w:color w:val="000000"/>
          <w:sz w:val="20"/>
        </w:rPr>
        <w:t>Journal of Horticultural Sciences, 14</w:t>
      </w:r>
      <w:r>
        <w:rPr>
          <w:rFonts w:ascii="Times New Roman" w:hAnsi="Times New Roman"/>
          <w:color w:val="000000"/>
          <w:sz w:val="20"/>
        </w:rPr>
        <w:t xml:space="preserve">(1), 79–82. </w:t>
      </w:r>
      <w:hyperlink r:id="rId61">
        <w:r>
          <w:rPr>
            <w:rFonts w:ascii="Times New Roman" w:hAnsi="Times New Roman"/>
            <w:sz w:val="20"/>
            <w:color w:val="000000"/>
            <w:u w:val="none"/>
          </w:rPr>
          <w:t>https://doi.org/10.24154/jhs.v14i1.708</w:t>
        </w:r>
      </w:hyperlink>
    </w:p>
    <w:p w14:paraId="24C08531"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Das, S., Mitra, B., Saha, A., Mandal, S., Paul, P. K., El-Sharnouby, M., Hassan, M. M., Maitra, S., &amp; Hossain, A. (2021). Evaluation of quality parameters of seven processing-type potato (</w:t>
      </w:r>
      <w:r>
        <w:rPr>
          <w:rFonts w:ascii="Times New Roman" w:hAnsi="Times New Roman"/>
          <w:i/>
          <w:color w:val="000000"/>
          <w:sz w:val="20"/>
        </w:rPr>
        <w:t>Solanum tuberosum</w:t>
      </w:r>
      <w:r>
        <w:rPr>
          <w:rFonts w:ascii="Times New Roman" w:hAnsi="Times New Roman"/>
          <w:color w:val="000000"/>
          <w:sz w:val="20"/>
        </w:rPr>
        <w:t xml:space="preserve"> L.) cultivars in the Eastern Sub-Himalayan Plains. </w:t>
      </w:r>
      <w:r>
        <w:rPr>
          <w:rFonts w:ascii="Times New Roman" w:hAnsi="Times New Roman"/>
          <w:i/>
          <w:color w:val="000000"/>
          <w:sz w:val="20"/>
        </w:rPr>
        <w:t>Foods, 10</w:t>
      </w:r>
      <w:r>
        <w:rPr>
          <w:rFonts w:ascii="Times New Roman" w:hAnsi="Times New Roman"/>
          <w:color w:val="000000"/>
          <w:sz w:val="20"/>
        </w:rPr>
        <w:t xml:space="preserve">(5), Article 1138. </w:t>
      </w:r>
      <w:hyperlink r:id="rId62">
        <w:r>
          <w:rPr>
            <w:rFonts w:ascii="Times New Roman" w:hAnsi="Times New Roman"/>
            <w:sz w:val="20"/>
            <w:color w:val="000000"/>
            <w:u w:val="none"/>
          </w:rPr>
          <w:t>https://doi.org/10.3390/foods10051138</w:t>
        </w:r>
      </w:hyperlink>
    </w:p>
    <w:p w14:paraId="08C25E27"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Food and Agriculture Organization of the United Nations. (2019–2022). </w:t>
      </w:r>
      <w:r>
        <w:rPr>
          <w:rFonts w:ascii="Times New Roman" w:hAnsi="Times New Roman"/>
          <w:i/>
          <w:color w:val="000000"/>
          <w:sz w:val="20"/>
        </w:rPr>
        <w:t>FAOSTAT: Crops and livestock products</w:t>
      </w:r>
      <w:r>
        <w:rPr>
          <w:rFonts w:ascii="Times New Roman" w:hAnsi="Times New Roman"/>
          <w:color w:val="000000"/>
          <w:sz w:val="20"/>
        </w:rPr>
        <w:t xml:space="preserve"> [Data set]. </w:t>
      </w:r>
      <w:hyperlink r:id="rId63">
        <w:r>
          <w:rPr>
            <w:rFonts w:ascii="Times New Roman" w:hAnsi="Times New Roman"/>
            <w:sz w:val="20"/>
            <w:color w:val="000000"/>
            <w:u w:val="none"/>
          </w:rPr>
          <w:t>https://www.fao.org/faostat/en/#data/QCL</w:t>
        </w:r>
      </w:hyperlink>
    </w:p>
    <w:p w14:paraId="0B430D6F" w14:textId="77777777" w:rsidR="002C2F49" w:rsidRPr="00E544E2" w:rsidRDefault="002C2F49" w:rsidP="002C2F49">
      <w:pPr>
        <w:keepLines/>
        <w:tabs>
          <w:tab w:val="left" w:pos="810"/>
        </w:tabs>
        <w:spacing w:after="0" w:line="240" w:lineRule="auto" w:before="0"/>
        <w:ind w:left="720" w:hanging="720"/>
        <w:jc w:val="left"/>
        <w:rPr>
          <w:rFonts w:ascii="Times New Roman" w:hAnsi="Times New Roman" w:cs="Times New Roman"/>
          <w:sz w:val="24"/>
          <w:szCs w:val="24"/>
        </w:rPr>
      </w:pPr>
      <w:r>
        <w:rPr>
          <w:rFonts w:ascii="Times New Roman" w:hAnsi="Times New Roman"/>
          <w:color w:val="000000"/>
          <w:sz w:val="20"/>
        </w:rPr>
        <w:t xml:space="preserve">Food and Agriculture Organization of the United Nations. (2025). </w:t>
      </w:r>
      <w:r>
        <w:rPr>
          <w:rFonts w:ascii="Times New Roman" w:hAnsi="Times New Roman"/>
          <w:i/>
          <w:color w:val="000000"/>
          <w:sz w:val="20"/>
        </w:rPr>
        <w:t>FAOSTAT: Crops and livestock products</w:t>
      </w:r>
      <w:r>
        <w:rPr>
          <w:rFonts w:ascii="Times New Roman" w:hAnsi="Times New Roman"/>
          <w:color w:val="000000"/>
          <w:sz w:val="20"/>
        </w:rPr>
        <w:t xml:space="preserve"> [Data set]. </w:t>
      </w:r>
      <w:hyperlink r:id="rId63">
        <w:r>
          <w:rPr>
            <w:rFonts w:ascii="Times New Roman" w:hAnsi="Times New Roman"/>
            <w:sz w:val="20"/>
            <w:color w:val="000000"/>
            <w:u w:val="none"/>
          </w:rPr>
          <w:t>https://www.fao.org/faostat/en/#data/QCL</w:t>
        </w:r>
      </w:hyperlink>
    </w:p>
    <w:p w14:paraId="23A2BE3C"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Gopal, J. (2015). Challenges and way-forward in selection of superior parents, crosses and clones in potato breeding. </w:t>
      </w:r>
      <w:r>
        <w:rPr>
          <w:rFonts w:ascii="Times New Roman" w:hAnsi="Times New Roman"/>
          <w:i/>
          <w:color w:val="000000"/>
          <w:sz w:val="20"/>
        </w:rPr>
        <w:t>Potato Research, 58</w:t>
      </w:r>
      <w:r>
        <w:rPr>
          <w:rFonts w:ascii="Times New Roman" w:hAnsi="Times New Roman"/>
          <w:color w:val="000000"/>
          <w:sz w:val="20"/>
        </w:rPr>
        <w:t xml:space="preserve">, 165–188. </w:t>
      </w:r>
      <w:hyperlink r:id="rId64">
        <w:r>
          <w:rPr>
            <w:rFonts w:ascii="Times New Roman" w:hAnsi="Times New Roman"/>
            <w:sz w:val="20"/>
            <w:color w:val="000000"/>
            <w:u w:val="none"/>
          </w:rPr>
          <w:t>https://doi.org/10.1007/s11540-015-9292-6</w:t>
        </w:r>
      </w:hyperlink>
    </w:p>
    <w:p w14:paraId="3568C2E3"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Hardigan, M. A., Laimbeer, F. P. E., Newton, L., Crisovan, E., Hamilton, J. P., Vaillancourt, B., Wiegert-Rininger, K., Wood, J. C., Douches, D. S., Farré, E. M., Veilleux, R. E., &amp; Buell, C. R. (2017). Genome diversity of tuber-bearing </w:t>
      </w:r>
      <w:r>
        <w:rPr>
          <w:rFonts w:ascii="Times New Roman" w:hAnsi="Times New Roman"/>
          <w:i/>
          <w:color w:val="000000"/>
          <w:sz w:val="20"/>
        </w:rPr>
        <w:t>Solanum</w:t>
      </w:r>
      <w:r>
        <w:rPr>
          <w:rFonts w:ascii="Times New Roman" w:hAnsi="Times New Roman"/>
          <w:color w:val="000000"/>
          <w:sz w:val="20"/>
        </w:rPr>
        <w:t xml:space="preserve"> uncovers complex evolutionary history and targets of domestication in the cultivated potato. </w:t>
      </w:r>
      <w:r>
        <w:rPr>
          <w:rFonts w:ascii="Times New Roman" w:hAnsi="Times New Roman"/>
          <w:i/>
          <w:color w:val="000000"/>
          <w:sz w:val="20"/>
        </w:rPr>
        <w:t>Proceedings of the National Academy of Sciences of the United States of America, 114</w:t>
      </w:r>
      <w:r>
        <w:rPr>
          <w:rFonts w:ascii="Times New Roman" w:hAnsi="Times New Roman"/>
          <w:color w:val="000000"/>
          <w:sz w:val="20"/>
        </w:rPr>
        <w:t xml:space="preserve">(46), E9999–E10008. </w:t>
      </w:r>
      <w:hyperlink r:id="rId65">
        <w:r>
          <w:rPr>
            <w:rFonts w:ascii="Times New Roman" w:hAnsi="Times New Roman"/>
            <w:sz w:val="20"/>
            <w:color w:val="000000"/>
            <w:u w:val="none"/>
          </w:rPr>
          <w:t>https://doi.org/10.1073/pnas.1714380114</w:t>
        </w:r>
      </w:hyperlink>
    </w:p>
    <w:p w14:paraId="0F09560F"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Hassanpanah, D. (2010). Analysis of G × E interaction by using the additive main effects and multiplicative interaction in potato cultivars. </w:t>
      </w:r>
      <w:r>
        <w:rPr>
          <w:rFonts w:ascii="Times New Roman" w:hAnsi="Times New Roman"/>
          <w:i/>
          <w:color w:val="000000"/>
          <w:sz w:val="20"/>
        </w:rPr>
        <w:t>International Journal of Plant Breeding and Genetics, 4</w:t>
      </w:r>
      <w:r>
        <w:rPr>
          <w:rFonts w:ascii="Times New Roman" w:hAnsi="Times New Roman"/>
          <w:color w:val="000000"/>
          <w:sz w:val="20"/>
        </w:rPr>
        <w:t xml:space="preserve">(1), 23–29. </w:t>
      </w:r>
      <w:hyperlink r:id="rId66">
        <w:r>
          <w:rPr>
            <w:rFonts w:ascii="Times New Roman" w:hAnsi="Times New Roman"/>
            <w:sz w:val="20"/>
            <w:color w:val="000000"/>
            <w:u w:val="none"/>
          </w:rPr>
          <w:t>https://doi.org/10.3923/ijpbg.2010.23.29</w:t>
        </w:r>
      </w:hyperlink>
    </w:p>
    <w:p w14:paraId="74373DE2"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Haverkort, A. J., Struik, P. C., Visser, R. G. F., &amp; Jacobsen, E. (2009). Applied biotechnology to combat late blight in potato caused by </w:t>
      </w:r>
      <w:r>
        <w:rPr>
          <w:rFonts w:ascii="Times New Roman" w:hAnsi="Times New Roman"/>
          <w:i/>
          <w:color w:val="000000"/>
          <w:sz w:val="20"/>
        </w:rPr>
        <w:t>Phytophthora infestans</w:t>
      </w:r>
      <w:r>
        <w:rPr>
          <w:rFonts w:ascii="Times New Roman" w:hAnsi="Times New Roman"/>
          <w:color w:val="000000"/>
          <w:sz w:val="20"/>
        </w:rPr>
        <w:t xml:space="preserve">. </w:t>
      </w:r>
      <w:r>
        <w:rPr>
          <w:rFonts w:ascii="Times New Roman" w:hAnsi="Times New Roman"/>
          <w:i/>
          <w:color w:val="000000"/>
          <w:sz w:val="20"/>
        </w:rPr>
        <w:t>Potato Research, 52</w:t>
      </w:r>
      <w:r>
        <w:rPr>
          <w:rFonts w:ascii="Times New Roman" w:hAnsi="Times New Roman"/>
          <w:color w:val="000000"/>
          <w:sz w:val="20"/>
        </w:rPr>
        <w:t xml:space="preserve">, 249–264. </w:t>
      </w:r>
      <w:hyperlink r:id="rId67">
        <w:r>
          <w:rPr>
            <w:rFonts w:ascii="Times New Roman" w:hAnsi="Times New Roman"/>
            <w:sz w:val="20"/>
            <w:color w:val="000000"/>
            <w:u w:val="none"/>
          </w:rPr>
          <w:t>https://doi.org/10.1007/s11540-009-9136-3</w:t>
        </w:r>
      </w:hyperlink>
    </w:p>
    <w:p w14:paraId="064E0F66"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Haverkort, A. J., van de Waart, M., &amp; Bodlaender, K. B. A. (1990). Interrelationships of the number of initial sprouts, stems, stolons and tubers per potato plant. </w:t>
      </w:r>
      <w:r>
        <w:rPr>
          <w:rFonts w:ascii="Times New Roman" w:hAnsi="Times New Roman"/>
          <w:i/>
          <w:color w:val="000000"/>
          <w:sz w:val="20"/>
        </w:rPr>
        <w:t>Potato Research, 33</w:t>
      </w:r>
      <w:r>
        <w:rPr>
          <w:rFonts w:ascii="Times New Roman" w:hAnsi="Times New Roman"/>
          <w:color w:val="000000"/>
          <w:sz w:val="20"/>
        </w:rPr>
        <w:t xml:space="preserve">, 269–274. </w:t>
      </w:r>
      <w:hyperlink r:id="rId68">
        <w:r>
          <w:rPr>
            <w:rFonts w:ascii="Times New Roman" w:hAnsi="Times New Roman"/>
            <w:sz w:val="20"/>
            <w:color w:val="000000"/>
            <w:u w:val="none"/>
          </w:rPr>
          <w:t>https://doi.org/10.1007/BF02358456</w:t>
        </w:r>
      </w:hyperlink>
    </w:p>
    <w:p w14:paraId="63666B2D"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Hawkes, J. G., &amp; Francisco-Ortega, J. (1993). The early history of the potato in Europe. </w:t>
      </w:r>
      <w:r>
        <w:rPr>
          <w:rFonts w:ascii="Times New Roman" w:hAnsi="Times New Roman"/>
          <w:i/>
          <w:color w:val="000000"/>
          <w:sz w:val="20"/>
        </w:rPr>
        <w:t>Euphytica, 70</w:t>
      </w:r>
      <w:r>
        <w:rPr>
          <w:rFonts w:ascii="Times New Roman" w:hAnsi="Times New Roman"/>
          <w:color w:val="000000"/>
          <w:sz w:val="20"/>
        </w:rPr>
        <w:t xml:space="preserve">, 1–7. </w:t>
      </w:r>
      <w:hyperlink r:id="rId69">
        <w:r>
          <w:rPr>
            <w:rFonts w:ascii="Times New Roman" w:hAnsi="Times New Roman"/>
            <w:sz w:val="20"/>
            <w:color w:val="000000"/>
            <w:u w:val="none"/>
          </w:rPr>
          <w:t>https://doi.org/10.1007/BF00029633</w:t>
        </w:r>
      </w:hyperlink>
    </w:p>
    <w:p w14:paraId="6B2A9010"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Horton, D. (1987). </w:t>
      </w:r>
      <w:r>
        <w:rPr>
          <w:rFonts w:ascii="Times New Roman" w:hAnsi="Times New Roman"/>
          <w:i/>
          <w:color w:val="000000"/>
          <w:sz w:val="20"/>
        </w:rPr>
        <w:t>Potatoes: Production, marketing, and programs for developing countries</w:t>
      </w:r>
      <w:r>
        <w:rPr>
          <w:rFonts w:ascii="Times New Roman" w:hAnsi="Times New Roman"/>
          <w:color w:val="000000"/>
          <w:sz w:val="20"/>
        </w:rPr>
        <w:t xml:space="preserve">. Westview Press. </w:t>
      </w:r>
      <w:hyperlink r:id="rId70">
        <w:r>
          <w:rPr>
            <w:rFonts w:ascii="Times New Roman" w:hAnsi="Times New Roman"/>
            <w:sz w:val="20"/>
            <w:color w:val="000000"/>
            <w:u w:val="none"/>
          </w:rPr>
          <w:t>https://ifad.tind.io/record/1508?ln=en</w:t>
        </w:r>
      </w:hyperlink>
    </w:p>
    <w:p w14:paraId="5AE5932C"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Jansky, S. H. (2009). Breeding, genetics, and cultivar development. In J. Singh &amp; L. Kaur (Eds.), </w:t>
      </w:r>
      <w:r>
        <w:rPr>
          <w:rFonts w:ascii="Times New Roman" w:hAnsi="Times New Roman"/>
          <w:i/>
          <w:color w:val="000000"/>
          <w:sz w:val="20"/>
        </w:rPr>
        <w:t>Advances in potato chemistry and technology</w:t>
      </w:r>
      <w:r>
        <w:rPr>
          <w:rFonts w:ascii="Times New Roman" w:hAnsi="Times New Roman"/>
          <w:color w:val="000000"/>
          <w:sz w:val="20"/>
        </w:rPr>
        <w:t xml:space="preserve"> (pp. 27–62). Academic Press. </w:t>
      </w:r>
      <w:hyperlink r:id="rId71">
        <w:r>
          <w:rPr>
            <w:rFonts w:ascii="Times New Roman" w:hAnsi="Times New Roman"/>
            <w:sz w:val="20"/>
            <w:color w:val="000000"/>
            <w:u w:val="none"/>
          </w:rPr>
          <w:t>https://doi.org/10.1016/B978-0-12-374349-7.00002-7</w:t>
        </w:r>
      </w:hyperlink>
    </w:p>
    <w:p w14:paraId="344BE56A"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Kibar, H. (2012). Design and management of postharvest potato (</w:t>
      </w:r>
      <w:r>
        <w:rPr>
          <w:rFonts w:ascii="Times New Roman" w:hAnsi="Times New Roman"/>
          <w:i/>
          <w:color w:val="000000"/>
          <w:sz w:val="20"/>
        </w:rPr>
        <w:t>Solanum tuberosum</w:t>
      </w:r>
      <w:r>
        <w:rPr>
          <w:rFonts w:ascii="Times New Roman" w:hAnsi="Times New Roman"/>
          <w:color w:val="000000"/>
          <w:sz w:val="20"/>
        </w:rPr>
        <w:t xml:space="preserve"> L.) storage structures. </w:t>
      </w:r>
      <w:r>
        <w:rPr>
          <w:rFonts w:ascii="Times New Roman" w:hAnsi="Times New Roman"/>
          <w:i/>
          <w:color w:val="000000"/>
          <w:sz w:val="20"/>
        </w:rPr>
        <w:t>Ordu University Journal of Science and Technology, 2</w:t>
      </w:r>
      <w:r>
        <w:rPr>
          <w:rFonts w:ascii="Times New Roman" w:hAnsi="Times New Roman"/>
          <w:color w:val="000000"/>
          <w:sz w:val="20"/>
        </w:rPr>
        <w:t xml:space="preserve">(1), 23–48. </w:t>
      </w:r>
      <w:hyperlink r:id="rId72">
        <w:r>
          <w:rPr>
            <w:rFonts w:ascii="Times New Roman" w:hAnsi="Times New Roman"/>
            <w:sz w:val="20"/>
            <w:color w:val="000000"/>
            <w:u w:val="none"/>
          </w:rPr>
          <w:t>https://dergipark.org.tr/en/pub/ordubtd/issue/11063/132149</w:t>
        </w:r>
      </w:hyperlink>
    </w:p>
    <w:p w14:paraId="5EACD299"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Kowalczewski, P. Ł., Olejnik, A., Białas, W., Rybicka, I., Zielińska-Dawidziak, M., Siger, A., Kubiak, P., &amp; Lewandowicz, G. (2019). The nutritional value and biological activity of concentrated protein fraction of potato juice. </w:t>
      </w:r>
      <w:r>
        <w:rPr>
          <w:rFonts w:ascii="Times New Roman" w:hAnsi="Times New Roman"/>
          <w:i/>
          <w:color w:val="000000"/>
          <w:sz w:val="20"/>
        </w:rPr>
        <w:t>Nutrients, 11</w:t>
      </w:r>
      <w:r>
        <w:rPr>
          <w:rFonts w:ascii="Times New Roman" w:hAnsi="Times New Roman"/>
          <w:color w:val="000000"/>
          <w:sz w:val="20"/>
        </w:rPr>
        <w:t xml:space="preserve">(7), Article 1523. </w:t>
      </w:r>
      <w:hyperlink r:id="rId73">
        <w:r>
          <w:rPr>
            <w:rFonts w:ascii="Times New Roman" w:hAnsi="Times New Roman"/>
            <w:sz w:val="20"/>
            <w:color w:val="000000"/>
            <w:u w:val="none"/>
          </w:rPr>
          <w:t>https://doi.org/10.3390/nu11071523</w:t>
        </w:r>
      </w:hyperlink>
    </w:p>
    <w:p w14:paraId="27180F2D"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Kumar, H., Bajpai, R., Sadawarti, M. J., Tiwari, S., Singh, S. P., &amp; Samadhiya, R. K. (2023). Evaluation of potato (</w:t>
      </w:r>
      <w:r>
        <w:rPr>
          <w:rFonts w:ascii="Times New Roman" w:hAnsi="Times New Roman"/>
          <w:i/>
          <w:color w:val="000000"/>
          <w:sz w:val="20"/>
        </w:rPr>
        <w:t>Solanum tuberosum</w:t>
      </w:r>
      <w:r>
        <w:rPr>
          <w:rFonts w:ascii="Times New Roman" w:hAnsi="Times New Roman"/>
          <w:color w:val="000000"/>
          <w:sz w:val="20"/>
        </w:rPr>
        <w:t xml:space="preserve"> L.) hybrids and varieties for medium maturity and quality components for North-Central India. </w:t>
      </w:r>
      <w:r>
        <w:rPr>
          <w:rFonts w:ascii="Times New Roman" w:hAnsi="Times New Roman"/>
          <w:i/>
          <w:color w:val="000000"/>
          <w:sz w:val="20"/>
        </w:rPr>
        <w:t>Biological Forum—An International Journal, 15</w:t>
      </w:r>
      <w:r>
        <w:rPr>
          <w:rFonts w:ascii="Times New Roman" w:hAnsi="Times New Roman"/>
          <w:color w:val="000000"/>
          <w:sz w:val="20"/>
        </w:rPr>
        <w:t xml:space="preserve">(2), 1245–1250. </w:t>
      </w:r>
      <w:hyperlink r:id="rId33">
        <w:r>
          <w:rPr>
            <w:rFonts w:ascii="Times New Roman" w:hAnsi="Times New Roman"/>
            <w:sz w:val="20"/>
            <w:color w:val="000000"/>
            <w:u w:val="none"/>
          </w:rPr>
          <w:t>https://www.researchtrend.net/bfij/evaluation-of-potato-solanum-tuberosum-l-hybrids-and-varieties-for-medium-maturity-and-quality-components-for-north-central-india-6282</w:t>
        </w:r>
      </w:hyperlink>
    </w:p>
    <w:p w14:paraId="26671638" w14:textId="77777777" w:rsidR="002C2F49" w:rsidRPr="00E544E2" w:rsidRDefault="002C2F49" w:rsidP="002C2F49">
      <w:pPr>
        <w:keepLines/>
        <w:tabs>
          <w:tab w:val="left" w:pos="810"/>
        </w:tabs>
        <w:spacing w:after="0" w:line="240" w:lineRule="auto" w:before="0"/>
        <w:ind w:left="720" w:hanging="720"/>
        <w:jc w:val="left"/>
        <w:rPr>
          <w:rFonts w:ascii="Times New Roman" w:hAnsi="Times New Roman" w:cs="Times New Roman"/>
          <w:sz w:val="24"/>
          <w:szCs w:val="24"/>
        </w:rPr>
      </w:pPr>
      <w:r>
        <w:rPr>
          <w:rFonts w:ascii="Times New Roman" w:hAnsi="Times New Roman"/>
          <w:color w:val="000000"/>
          <w:sz w:val="20"/>
        </w:rPr>
        <w:t xml:space="preserve">Lutaladio, N., &amp; Castaldi, L. (2009). Potato: The hidden treasure. </w:t>
      </w:r>
      <w:r>
        <w:rPr>
          <w:rFonts w:ascii="Times New Roman" w:hAnsi="Times New Roman"/>
          <w:i/>
          <w:color w:val="000000"/>
          <w:sz w:val="20"/>
        </w:rPr>
        <w:t>Journal of Food Composition and Analysis, 22</w:t>
      </w:r>
      <w:r>
        <w:rPr>
          <w:rFonts w:ascii="Times New Roman" w:hAnsi="Times New Roman"/>
          <w:color w:val="000000"/>
          <w:sz w:val="20"/>
        </w:rPr>
        <w:t xml:space="preserve">(6), 491–493. </w:t>
      </w:r>
      <w:hyperlink r:id="rId74">
        <w:r>
          <w:rPr>
            <w:rFonts w:ascii="Times New Roman" w:hAnsi="Times New Roman"/>
            <w:sz w:val="20"/>
            <w:color w:val="000000"/>
            <w:u w:val="none"/>
          </w:rPr>
          <w:t>https://doi.org/10.1016/j.jfca.2009.05.002</w:t>
        </w:r>
      </w:hyperlink>
    </w:p>
    <w:p w14:paraId="610AF1C9"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Luthra, S. K. (2001). Heritability, genetic advance and character association in potato. </w:t>
      </w:r>
      <w:r>
        <w:rPr>
          <w:rFonts w:ascii="Times New Roman" w:hAnsi="Times New Roman"/>
          <w:i/>
          <w:color w:val="000000"/>
          <w:sz w:val="20"/>
        </w:rPr>
        <w:t>Journal of the Indian Potato Association, 28</w:t>
      </w:r>
      <w:r>
        <w:rPr>
          <w:rFonts w:ascii="Times New Roman" w:hAnsi="Times New Roman"/>
          <w:color w:val="000000"/>
          <w:sz w:val="20"/>
        </w:rPr>
        <w:t xml:space="preserve">(1), 1–3. </w:t>
      </w:r>
      <w:hyperlink r:id="rId34">
        <w:r>
          <w:rPr>
            <w:rFonts w:ascii="Times New Roman" w:hAnsi="Times New Roman"/>
            <w:sz w:val="20"/>
            <w:color w:val="000000"/>
            <w:u w:val="none"/>
          </w:rPr>
          <w:t>https://www.researchgate.net/publication/271479406_Heritability_genetic_advance_and_character_association_in_potato</w:t>
        </w:r>
      </w:hyperlink>
    </w:p>
    <w:p w14:paraId="5BCC3357" w14:textId="77777777" w:rsidR="002C2F49" w:rsidRPr="00E544E2" w:rsidRDefault="002C2F49" w:rsidP="002C2F49">
      <w:pPr>
        <w:keepLines/>
        <w:tabs>
          <w:tab w:val="left" w:pos="810"/>
        </w:tabs>
        <w:spacing w:after="0" w:line="240" w:lineRule="auto" w:before="0"/>
        <w:ind w:left="720" w:hanging="720"/>
        <w:jc w:val="left"/>
        <w:rPr>
          <w:rFonts w:ascii="Times New Roman" w:hAnsi="Times New Roman" w:cs="Times New Roman"/>
          <w:sz w:val="24"/>
          <w:szCs w:val="24"/>
        </w:rPr>
      </w:pPr>
      <w:r>
        <w:rPr>
          <w:rFonts w:ascii="Times New Roman" w:hAnsi="Times New Roman"/>
          <w:color w:val="000000"/>
          <w:sz w:val="20"/>
        </w:rPr>
        <w:t xml:space="preserve">Muhinyuza, J. B., Shimelis, H., Melis, R., Sibiya, J., &amp; Nzaramba, M. N. (2012). Participatory assessment of potato production constraints and trait preferences in potato cultivar development in Rwanda. </w:t>
      </w:r>
      <w:r>
        <w:rPr>
          <w:rFonts w:ascii="Times New Roman" w:hAnsi="Times New Roman"/>
          <w:i/>
          <w:color w:val="000000"/>
          <w:sz w:val="20"/>
        </w:rPr>
        <w:t>International Journal of Development and Sustainability, 1</w:t>
      </w:r>
      <w:r>
        <w:rPr>
          <w:rFonts w:ascii="Times New Roman" w:hAnsi="Times New Roman"/>
          <w:color w:val="000000"/>
          <w:sz w:val="20"/>
        </w:rPr>
        <w:t xml:space="preserve">(2), 358–380. </w:t>
      </w:r>
      <w:hyperlink r:id="rId75">
        <w:r>
          <w:rPr>
            <w:rFonts w:ascii="Times New Roman" w:hAnsi="Times New Roman"/>
            <w:sz w:val="20"/>
            <w:color w:val="000000"/>
            <w:u w:val="none"/>
          </w:rPr>
          <w:t>https://isdsnet.com/ijds-v1n2-23.pdf</w:t>
        </w:r>
      </w:hyperlink>
    </w:p>
    <w:p w14:paraId="70548CA0"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Mulatu, E., Ibrahim, O. E., &amp; Bekele, E. (2005). Improving potato seed tuber quality and producers’ livelihoods in Hararghe, Eastern Ethiopia. </w:t>
      </w:r>
      <w:r>
        <w:rPr>
          <w:rFonts w:ascii="Times New Roman" w:hAnsi="Times New Roman"/>
          <w:i/>
          <w:color w:val="000000"/>
          <w:sz w:val="20"/>
        </w:rPr>
        <w:t>Journal of New Seeds, 7</w:t>
      </w:r>
      <w:r>
        <w:rPr>
          <w:rFonts w:ascii="Times New Roman" w:hAnsi="Times New Roman"/>
          <w:color w:val="000000"/>
          <w:sz w:val="20"/>
        </w:rPr>
        <w:t xml:space="preserve">(3), 31–56. </w:t>
      </w:r>
      <w:hyperlink r:id="rId76">
        <w:r>
          <w:rPr>
            <w:rFonts w:ascii="Times New Roman" w:hAnsi="Times New Roman"/>
            <w:sz w:val="20"/>
            <w:color w:val="000000"/>
            <w:u w:val="none"/>
          </w:rPr>
          <w:t>https://doi.org/10.1300/J153v07n03_03</w:t>
        </w:r>
      </w:hyperlink>
    </w:p>
    <w:p w14:paraId="76A3BEF2"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Mulema, J. M. K., Adipala, E., Olanya, O. M., &amp; Wagoire, W. (2008). Yield stability analysis of late-blight-resistant potato selections. </w:t>
      </w:r>
      <w:r>
        <w:rPr>
          <w:rFonts w:ascii="Times New Roman" w:hAnsi="Times New Roman"/>
          <w:i/>
          <w:color w:val="000000"/>
          <w:sz w:val="20"/>
        </w:rPr>
        <w:t>Experimental Agriculture, 44</w:t>
      </w:r>
      <w:r>
        <w:rPr>
          <w:rFonts w:ascii="Times New Roman" w:hAnsi="Times New Roman"/>
          <w:color w:val="000000"/>
          <w:sz w:val="20"/>
        </w:rPr>
        <w:t xml:space="preserve">(2), 145–155. </w:t>
      </w:r>
      <w:hyperlink r:id="rId77">
        <w:r>
          <w:rPr>
            <w:rFonts w:ascii="Times New Roman" w:hAnsi="Times New Roman"/>
            <w:sz w:val="20"/>
            <w:color w:val="000000"/>
            <w:u w:val="none"/>
          </w:rPr>
          <w:t>https://doi.org/10.1017/S0014479708006133</w:t>
        </w:r>
      </w:hyperlink>
    </w:p>
    <w:p w14:paraId="02E14E9E"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Muthoni, J., Shimelis, H., &amp; Melis, R. (2014). Genetics and reproductive biology of cultivated potato (</w:t>
      </w:r>
      <w:r>
        <w:rPr>
          <w:rFonts w:ascii="Times New Roman" w:hAnsi="Times New Roman"/>
          <w:i/>
          <w:color w:val="000000"/>
          <w:sz w:val="20"/>
        </w:rPr>
        <w:t>Solanum tuberosum</w:t>
      </w:r>
      <w:r>
        <w:rPr>
          <w:rFonts w:ascii="Times New Roman" w:hAnsi="Times New Roman"/>
          <w:color w:val="000000"/>
          <w:sz w:val="20"/>
        </w:rPr>
        <w:t xml:space="preserve"> L.): Implications in breeding. In K. G. Ramawat, J.-M. Mérillon, &amp; K. R. Shivanna (Eds.), </w:t>
      </w:r>
      <w:r>
        <w:rPr>
          <w:rFonts w:ascii="Times New Roman" w:hAnsi="Times New Roman"/>
          <w:i/>
          <w:color w:val="000000"/>
          <w:sz w:val="20"/>
        </w:rPr>
        <w:t>Reproductive biology of plants</w:t>
      </w:r>
      <w:r>
        <w:rPr>
          <w:rFonts w:ascii="Times New Roman" w:hAnsi="Times New Roman"/>
          <w:color w:val="000000"/>
          <w:sz w:val="20"/>
        </w:rPr>
        <w:t xml:space="preserve"> (pp. 163–194). CRC Press. </w:t>
      </w:r>
      <w:hyperlink r:id="rId78">
        <w:r>
          <w:rPr>
            <w:rFonts w:ascii="Times New Roman" w:hAnsi="Times New Roman"/>
            <w:sz w:val="20"/>
            <w:color w:val="000000"/>
            <w:u w:val="none"/>
          </w:rPr>
          <w:t>https://doi.org/10.1201/b16535</w:t>
        </w:r>
      </w:hyperlink>
    </w:p>
    <w:p w14:paraId="1891AAE3"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Ortiz, R., &amp; Golmirzaie, A. M. (2003). Genetic parameters for agronomic characteristics. I. Early and intermediate breeding populations of true potato seed. </w:t>
      </w:r>
      <w:r>
        <w:rPr>
          <w:rFonts w:ascii="Times New Roman" w:hAnsi="Times New Roman"/>
          <w:i/>
          <w:color w:val="000000"/>
          <w:sz w:val="20"/>
        </w:rPr>
        <w:t>Hereditas, 139</w:t>
      </w:r>
      <w:r>
        <w:rPr>
          <w:rFonts w:ascii="Times New Roman" w:hAnsi="Times New Roman"/>
          <w:color w:val="000000"/>
          <w:sz w:val="20"/>
        </w:rPr>
        <w:t xml:space="preserve">(3), 212–216. </w:t>
      </w:r>
      <w:hyperlink r:id="rId79">
        <w:r>
          <w:rPr>
            <w:rFonts w:ascii="Times New Roman" w:hAnsi="Times New Roman"/>
            <w:sz w:val="20"/>
            <w:color w:val="000000"/>
            <w:u w:val="none"/>
          </w:rPr>
          <w:t>https://doi.org/10.1111/j.1601-5223.2003.01734.x</w:t>
        </w:r>
      </w:hyperlink>
    </w:p>
    <w:p w14:paraId="275595BE"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Patel, R. N., Patel, N. H., Pandey, S. K., Kanbi, V. H., &amp; Patel, C. K. (2006). Yield performance and shelf life of some advanced potato hybrids in Gujarat. </w:t>
      </w:r>
      <w:r>
        <w:rPr>
          <w:rFonts w:ascii="Times New Roman" w:hAnsi="Times New Roman"/>
          <w:i/>
          <w:color w:val="000000"/>
          <w:sz w:val="20"/>
        </w:rPr>
        <w:t>Potato Journal, 33</w:t>
      </w:r>
      <w:r>
        <w:rPr>
          <w:rFonts w:ascii="Times New Roman" w:hAnsi="Times New Roman"/>
          <w:color w:val="000000"/>
          <w:sz w:val="20"/>
        </w:rPr>
        <w:t xml:space="preserve">(3–4), 149–150. </w:t>
      </w:r>
      <w:hyperlink r:id="rId80">
        <w:r>
          <w:rPr>
            <w:rFonts w:ascii="Times New Roman" w:hAnsi="Times New Roman"/>
            <w:sz w:val="20"/>
            <w:color w:val="000000"/>
            <w:u w:val="none"/>
          </w:rPr>
          <w:t>https://epubs.icar.org.in/index.php/PotatoJ/article/view/33230</w:t>
        </w:r>
      </w:hyperlink>
    </w:p>
    <w:p w14:paraId="564525D4"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Roy, A. K., &amp; Singh, P. K. (2006). Genetic variability, heritability and genetic advance for yield in potato (</w:t>
      </w:r>
      <w:r>
        <w:rPr>
          <w:rFonts w:ascii="Times New Roman" w:hAnsi="Times New Roman"/>
          <w:i/>
          <w:color w:val="000000"/>
          <w:sz w:val="20"/>
        </w:rPr>
        <w:t>Solanum tuberosum</w:t>
      </w:r>
      <w:r>
        <w:rPr>
          <w:rFonts w:ascii="Times New Roman" w:hAnsi="Times New Roman"/>
          <w:color w:val="000000"/>
          <w:sz w:val="20"/>
        </w:rPr>
        <w:t xml:space="preserve"> L.). </w:t>
      </w:r>
      <w:r>
        <w:rPr>
          <w:rFonts w:ascii="Times New Roman" w:hAnsi="Times New Roman"/>
          <w:i/>
          <w:color w:val="000000"/>
          <w:sz w:val="20"/>
        </w:rPr>
        <w:t>International Journal of Plant Sciences, 1</w:t>
      </w:r>
      <w:r>
        <w:rPr>
          <w:rFonts w:ascii="Times New Roman" w:hAnsi="Times New Roman"/>
          <w:color w:val="000000"/>
          <w:sz w:val="20"/>
        </w:rPr>
        <w:t xml:space="preserve">(2), 282–285. </w:t>
      </w:r>
      <w:hyperlink r:id="rId81">
        <w:r>
          <w:rPr>
            <w:rFonts w:ascii="Times New Roman" w:hAnsi="Times New Roman"/>
            <w:sz w:val="20"/>
            <w:color w:val="000000"/>
            <w:u w:val="none"/>
          </w:rPr>
          <w:t>https://researchjournal.co.in/online/IJPS/IJPS%201%282%29/1_A-282-285.pdf</w:t>
        </w:r>
      </w:hyperlink>
    </w:p>
    <w:p w14:paraId="35C91CF8"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Rukundo, P. (2019, August 15). </w:t>
      </w:r>
      <w:r>
        <w:rPr>
          <w:rFonts w:ascii="Times New Roman" w:hAnsi="Times New Roman"/>
          <w:i/>
          <w:color w:val="000000"/>
          <w:sz w:val="20"/>
        </w:rPr>
        <w:t>Overview of the potato sector in Rwanda</w:t>
      </w:r>
      <w:r>
        <w:rPr>
          <w:rFonts w:ascii="Times New Roman" w:hAnsi="Times New Roman"/>
          <w:color w:val="000000"/>
          <w:sz w:val="20"/>
        </w:rPr>
        <w:t xml:space="preserve"> [Presentation]. Rwanda Agriculture and Animal Resources Development Board. </w:t>
      </w:r>
      <w:hyperlink r:id="rId82">
        <w:r>
          <w:rPr>
            <w:rFonts w:ascii="Times New Roman" w:hAnsi="Times New Roman"/>
            <w:sz w:val="20"/>
            <w:color w:val="000000"/>
            <w:u w:val="none"/>
          </w:rPr>
          <w:t>https://www.agroberichtenbuitenland.nl/documenten/presentaties/2019/08/20/overview-potato-sector-in-rwanda-2019</w:t>
        </w:r>
      </w:hyperlink>
    </w:p>
    <w:p w14:paraId="7F691F98"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Rukundo, P., Ndacyayisenga, T., Ntizo, S., Kirimi, S., &amp; Nshimiyimana, J. C. (2019). Yield and yield components of CIP advanced potato clones under Rwandan agro-ecologies. </w:t>
      </w:r>
      <w:r>
        <w:rPr>
          <w:rFonts w:ascii="Times New Roman" w:hAnsi="Times New Roman"/>
          <w:i/>
          <w:color w:val="000000"/>
          <w:sz w:val="20"/>
        </w:rPr>
        <w:t>Journal of Applied Biosciences, 136</w:t>
      </w:r>
      <w:r>
        <w:rPr>
          <w:rFonts w:ascii="Times New Roman" w:hAnsi="Times New Roman"/>
          <w:color w:val="000000"/>
          <w:sz w:val="20"/>
        </w:rPr>
        <w:t xml:space="preserve">, 13909–13920. </w:t>
      </w:r>
      <w:hyperlink r:id="rId83">
        <w:r>
          <w:rPr>
            <w:rFonts w:ascii="Times New Roman" w:hAnsi="Times New Roman"/>
            <w:sz w:val="20"/>
            <w:color w:val="000000"/>
            <w:u w:val="none"/>
          </w:rPr>
          <w:t>https://doi.org/10.4314/jab.v136i1.7</w:t>
        </w:r>
      </w:hyperlink>
    </w:p>
    <w:p w14:paraId="7EEE11B0"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Salehi Jozani, G. R., Abd-Mishani, S., Hoseinzadeh, A. H., &amp; Seied Tabatabaei, B. E. (2003). Genetic diversity analysis of commercial potato cultivars (</w:t>
      </w:r>
      <w:r>
        <w:rPr>
          <w:rFonts w:ascii="Times New Roman" w:hAnsi="Times New Roman"/>
          <w:i/>
          <w:color w:val="000000"/>
          <w:sz w:val="20"/>
        </w:rPr>
        <w:t>Solanum tuberosum</w:t>
      </w:r>
      <w:r>
        <w:rPr>
          <w:rFonts w:ascii="Times New Roman" w:hAnsi="Times New Roman"/>
          <w:color w:val="000000"/>
          <w:sz w:val="20"/>
        </w:rPr>
        <w:t xml:space="preserve">) in Iran using RAPD-PCR technique [Article in Persian with an English abstract]. </w:t>
      </w:r>
      <w:r>
        <w:rPr>
          <w:rFonts w:ascii="Times New Roman" w:hAnsi="Times New Roman"/>
          <w:i/>
          <w:color w:val="000000"/>
          <w:sz w:val="20"/>
        </w:rPr>
        <w:t>Iranian Journal of Agricultural Sciences, 34</w:t>
      </w:r>
      <w:r>
        <w:rPr>
          <w:rFonts w:ascii="Times New Roman" w:hAnsi="Times New Roman"/>
          <w:color w:val="000000"/>
          <w:sz w:val="20"/>
        </w:rPr>
        <w:t xml:space="preserve">(4), 1021–1029. </w:t>
      </w:r>
      <w:hyperlink r:id="rId84">
        <w:r>
          <w:rPr>
            <w:rFonts w:ascii="Times New Roman" w:hAnsi="Times New Roman"/>
            <w:sz w:val="20"/>
            <w:color w:val="000000"/>
            <w:u w:val="none"/>
          </w:rPr>
          <w:t>https://journals.ut.ac.ir/article_17568.html</w:t>
        </w:r>
      </w:hyperlink>
    </w:p>
    <w:p w14:paraId="0E29765D"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Saxena, R., &amp; Mathur, P. (2013). Analysis of potato production performance and yield variability in India. </w:t>
      </w:r>
      <w:r>
        <w:rPr>
          <w:rFonts w:ascii="Times New Roman" w:hAnsi="Times New Roman"/>
          <w:i/>
          <w:color w:val="000000"/>
          <w:sz w:val="20"/>
        </w:rPr>
        <w:t>Potato Journal, 40</w:t>
      </w:r>
      <w:r>
        <w:rPr>
          <w:rFonts w:ascii="Times New Roman" w:hAnsi="Times New Roman"/>
          <w:color w:val="000000"/>
          <w:sz w:val="20"/>
        </w:rPr>
        <w:t xml:space="preserve">(1), 38–44. </w:t>
      </w:r>
      <w:hyperlink r:id="rId85">
        <w:r>
          <w:rPr>
            <w:rFonts w:ascii="Times New Roman" w:hAnsi="Times New Roman"/>
            <w:sz w:val="20"/>
            <w:color w:val="000000"/>
            <w:u w:val="none"/>
          </w:rPr>
          <w:t>https://epubs.icar.org.in/index.php/PotatoJ/article/view/31805</w:t>
        </w:r>
      </w:hyperlink>
    </w:p>
    <w:p w14:paraId="43DA7802" w14:textId="77777777" w:rsidR="002C2F49" w:rsidRPr="00E544E2" w:rsidRDefault="002C2F49" w:rsidP="002C2F49">
      <w:pPr>
        <w:keepLines/>
        <w:tabs>
          <w:tab w:val="left" w:pos="810"/>
        </w:tabs>
        <w:spacing w:after="0" w:line="240" w:lineRule="auto" w:before="0"/>
        <w:ind w:left="720" w:hanging="720"/>
        <w:jc w:val="left"/>
        <w:rPr>
          <w:rFonts w:ascii="Times New Roman" w:hAnsi="Times New Roman" w:cs="Times New Roman"/>
          <w:sz w:val="24"/>
          <w:szCs w:val="24"/>
        </w:rPr>
      </w:pPr>
      <w:r>
        <w:rPr>
          <w:rFonts w:ascii="Times New Roman" w:hAnsi="Times New Roman"/>
          <w:color w:val="000000"/>
          <w:sz w:val="20"/>
        </w:rPr>
        <w:t xml:space="preserve">Siano, A. B., Roskruge, N., Kerckhoffs, H., &amp; Sofkova-Bobcheva, S. (2024). Effects of abiotic stress associated with climate change on potato yield and tuber quality under a multi-environment trial in New Zealand. </w:t>
      </w:r>
      <w:r>
        <w:rPr>
          <w:rFonts w:ascii="Times New Roman" w:hAnsi="Times New Roman"/>
          <w:i/>
          <w:color w:val="000000"/>
          <w:sz w:val="20"/>
        </w:rPr>
        <w:t>Potato Research, 67</w:t>
      </w:r>
      <w:r>
        <w:rPr>
          <w:rFonts w:ascii="Times New Roman" w:hAnsi="Times New Roman"/>
          <w:color w:val="000000"/>
          <w:sz w:val="20"/>
        </w:rPr>
        <w:t xml:space="preserve">, 1603–1624. </w:t>
      </w:r>
      <w:hyperlink r:id="rId35">
        <w:r>
          <w:rPr>
            <w:rFonts w:ascii="Times New Roman" w:hAnsi="Times New Roman"/>
            <w:sz w:val="20"/>
            <w:color w:val="000000"/>
            <w:u w:val="none"/>
          </w:rPr>
          <w:t>https://doi.org/10.1007/s11540-024-09695-3</w:t>
        </w:r>
      </w:hyperlink>
    </w:p>
    <w:p w14:paraId="2F3AB1AE" w14:textId="77777777" w:rsidR="002C2F49" w:rsidRPr="00E544E2" w:rsidRDefault="002C2F49" w:rsidP="002C2F49">
      <w:pPr>
        <w:keepLines/>
        <w:tabs>
          <w:tab w:val="left" w:pos="810"/>
        </w:tabs>
        <w:spacing w:after="0" w:line="240" w:lineRule="auto" w:before="0"/>
        <w:ind w:left="720" w:hanging="720"/>
        <w:jc w:val="left"/>
        <w:rPr>
          <w:rFonts w:ascii="Times New Roman" w:hAnsi="Times New Roman" w:cs="Times New Roman"/>
          <w:sz w:val="24"/>
          <w:szCs w:val="24"/>
        </w:rPr>
      </w:pPr>
      <w:r>
        <w:rPr>
          <w:rFonts w:ascii="Times New Roman" w:hAnsi="Times New Roman"/>
          <w:color w:val="000000"/>
          <w:sz w:val="20"/>
        </w:rPr>
        <w:t xml:space="preserve">Singh, B. P., &amp; Rana, R. K. (2014). History of potato and its emerging problems in India. In </w:t>
      </w:r>
      <w:r>
        <w:rPr>
          <w:rFonts w:ascii="Times New Roman" w:hAnsi="Times New Roman"/>
          <w:i/>
          <w:color w:val="000000"/>
          <w:sz w:val="20"/>
        </w:rPr>
        <w:t>Souvenir—National seminar on emerging problems in potato</w:t>
      </w:r>
      <w:r>
        <w:rPr>
          <w:rFonts w:ascii="Times New Roman" w:hAnsi="Times New Roman"/>
          <w:color w:val="000000"/>
          <w:sz w:val="20"/>
        </w:rPr>
        <w:t xml:space="preserve"> (pp. 7–21). Indian Potato Association. </w:t>
      </w:r>
      <w:hyperlink r:id="rId36">
        <w:r>
          <w:rPr>
            <w:rFonts w:ascii="Times New Roman" w:hAnsi="Times New Roman"/>
            <w:sz w:val="20"/>
            <w:color w:val="000000"/>
            <w:u w:val="none"/>
          </w:rPr>
          <w:t>https://www.researchgate.net/publication/272791459_History_of_Potato_and_its_Emerging_Problems_in_India</w:t>
        </w:r>
      </w:hyperlink>
    </w:p>
    <w:p w14:paraId="04685FDD" w14:textId="77777777" w:rsidR="002C2F49" w:rsidRPr="00E544E2" w:rsidRDefault="002C2F49" w:rsidP="002C2F49">
      <w:pPr>
        <w:keepLines/>
        <w:tabs>
          <w:tab w:val="left" w:pos="810"/>
        </w:tabs>
        <w:spacing w:after="0" w:line="240" w:lineRule="auto" w:before="0"/>
        <w:ind w:left="720" w:hanging="720"/>
        <w:jc w:val="left"/>
        <w:rPr>
          <w:rFonts w:ascii="Times New Roman" w:hAnsi="Times New Roman" w:cs="Times New Roman"/>
          <w:sz w:val="24"/>
          <w:szCs w:val="24"/>
        </w:rPr>
      </w:pPr>
      <w:r>
        <w:rPr>
          <w:rFonts w:ascii="Times New Roman" w:hAnsi="Times New Roman"/>
          <w:color w:val="000000"/>
          <w:sz w:val="20"/>
        </w:rPr>
        <w:t>Singh, M., Kumar, N., Singh, A., Nim, P., &amp; Gupta, S. P. (2025). Effect of zinc nutrition on productivity, quality and biofortification in potato (</w:t>
      </w:r>
      <w:r>
        <w:rPr>
          <w:rFonts w:ascii="Times New Roman" w:hAnsi="Times New Roman"/>
          <w:i/>
          <w:color w:val="000000"/>
          <w:sz w:val="20"/>
        </w:rPr>
        <w:t>Solanum tuberosum</w:t>
      </w:r>
      <w:r>
        <w:rPr>
          <w:rFonts w:ascii="Times New Roman" w:hAnsi="Times New Roman"/>
          <w:color w:val="000000"/>
          <w:sz w:val="20"/>
        </w:rPr>
        <w:t xml:space="preserve">). </w:t>
      </w:r>
      <w:r>
        <w:rPr>
          <w:rFonts w:ascii="Times New Roman" w:hAnsi="Times New Roman"/>
          <w:i/>
          <w:color w:val="000000"/>
          <w:sz w:val="20"/>
        </w:rPr>
        <w:t>Journal of Advances in Biology &amp; Biotechnology, 28</w:t>
      </w:r>
      <w:r>
        <w:rPr>
          <w:rFonts w:ascii="Times New Roman" w:hAnsi="Times New Roman"/>
          <w:color w:val="000000"/>
          <w:sz w:val="20"/>
        </w:rPr>
        <w:t xml:space="preserve">(7), 383–391. </w:t>
      </w:r>
      <w:hyperlink r:id="rId37">
        <w:r>
          <w:rPr>
            <w:rFonts w:ascii="Times New Roman" w:hAnsi="Times New Roman"/>
            <w:sz w:val="20"/>
            <w:color w:val="000000"/>
            <w:u w:val="none"/>
          </w:rPr>
          <w:t>https://doi.org/10.9734/jabb/2025/v28i72557</w:t>
        </w:r>
      </w:hyperlink>
    </w:p>
    <w:p w14:paraId="79BF2897" w14:textId="77777777" w:rsidR="002C2F49" w:rsidRPr="00E544E2" w:rsidRDefault="002C2F49" w:rsidP="002C2F49">
      <w:pPr>
        <w:keepLines/>
        <w:tabs>
          <w:tab w:val="left" w:pos="810"/>
        </w:tabs>
        <w:spacing w:after="0" w:line="240" w:lineRule="auto" w:before="0"/>
        <w:ind w:left="720" w:hanging="720"/>
        <w:jc w:val="left"/>
        <w:rPr>
          <w:rFonts w:ascii="Times New Roman" w:hAnsi="Times New Roman" w:cs="Times New Roman"/>
          <w:sz w:val="24"/>
          <w:szCs w:val="24"/>
        </w:rPr>
      </w:pPr>
      <w:r>
        <w:rPr>
          <w:rFonts w:ascii="Times New Roman" w:hAnsi="Times New Roman"/>
          <w:color w:val="000000"/>
          <w:sz w:val="20"/>
        </w:rPr>
        <w:t xml:space="preserve">Singh, R. K., Tiwari, J. K., Kumar, M., &amp; Singh, B. (2023). Potato varieties and impact of technologies: A boon for doubling farmers’ income. </w:t>
      </w:r>
      <w:r>
        <w:rPr>
          <w:rFonts w:ascii="Times New Roman" w:hAnsi="Times New Roman"/>
          <w:i/>
          <w:color w:val="000000"/>
          <w:sz w:val="20"/>
        </w:rPr>
        <w:t>Indian Horticulture, 68</w:t>
      </w:r>
      <w:r>
        <w:rPr>
          <w:rFonts w:ascii="Times New Roman" w:hAnsi="Times New Roman"/>
          <w:color w:val="000000"/>
          <w:sz w:val="20"/>
        </w:rPr>
        <w:t xml:space="preserve">(2), 56–61. </w:t>
      </w:r>
      <w:hyperlink r:id="rId86">
        <w:r>
          <w:rPr>
            <w:rFonts w:ascii="Times New Roman" w:hAnsi="Times New Roman"/>
            <w:sz w:val="20"/>
            <w:color w:val="000000"/>
            <w:u w:val="none"/>
          </w:rPr>
          <w:t>https://epubs.icar.org.in/index.php/IndHort/article/view/135849</w:t>
        </w:r>
      </w:hyperlink>
    </w:p>
    <w:p w14:paraId="1B94498E"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Tiwari, J. K., Kumar, V., Bhardwaj, V., Luthra, S. K., Singh, R. K., Pandey, N. K., &amp; Chakrabarti, S. K. (2019). Indian potato varieties. </w:t>
      </w:r>
      <w:r>
        <w:rPr>
          <w:rFonts w:ascii="Times New Roman" w:hAnsi="Times New Roman"/>
          <w:i/>
          <w:color w:val="000000"/>
          <w:sz w:val="20"/>
        </w:rPr>
        <w:t>Indian Horticulture, 64</w:t>
      </w:r>
      <w:r>
        <w:rPr>
          <w:rFonts w:ascii="Times New Roman" w:hAnsi="Times New Roman"/>
          <w:color w:val="000000"/>
          <w:sz w:val="20"/>
        </w:rPr>
        <w:t xml:space="preserve">(1). </w:t>
      </w:r>
      <w:hyperlink r:id="rId87">
        <w:r>
          <w:rPr>
            <w:rFonts w:ascii="Times New Roman" w:hAnsi="Times New Roman"/>
            <w:sz w:val="20"/>
            <w:color w:val="000000"/>
            <w:u w:val="none"/>
          </w:rPr>
          <w:t>https://epubs.icar.org.in/index.php/IndHort/article/view/87812</w:t>
        </w:r>
      </w:hyperlink>
    </w:p>
    <w:p w14:paraId="22D6951E"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Tsagaye, D., Fufa, N., Fikre, D., &amp; Wegayehu, G. (2025). Evaluation of potato (</w:t>
      </w:r>
      <w:r>
        <w:rPr>
          <w:rFonts w:ascii="Times New Roman" w:hAnsi="Times New Roman"/>
          <w:i/>
          <w:color w:val="000000"/>
          <w:sz w:val="20"/>
        </w:rPr>
        <w:t>Solanum tuberosum</w:t>
      </w:r>
      <w:r>
        <w:rPr>
          <w:rFonts w:ascii="Times New Roman" w:hAnsi="Times New Roman"/>
          <w:color w:val="000000"/>
          <w:sz w:val="20"/>
        </w:rPr>
        <w:t xml:space="preserve"> L.) varieties for growth and yield components at Bekoji, south-eastern Ethiopia. </w:t>
      </w:r>
      <w:r>
        <w:rPr>
          <w:rFonts w:ascii="Times New Roman" w:hAnsi="Times New Roman"/>
          <w:i/>
          <w:color w:val="000000"/>
          <w:sz w:val="20"/>
        </w:rPr>
        <w:t>Asian Journal of Agriculture and Allied Sciences, 8</w:t>
      </w:r>
      <w:r>
        <w:rPr>
          <w:rFonts w:ascii="Times New Roman" w:hAnsi="Times New Roman"/>
          <w:color w:val="000000"/>
          <w:sz w:val="20"/>
        </w:rPr>
        <w:t xml:space="preserve">(1), 90–98. </w:t>
      </w:r>
      <w:hyperlink r:id="rId38">
        <w:r>
          <w:rPr>
            <w:rFonts w:ascii="Times New Roman" w:hAnsi="Times New Roman"/>
            <w:sz w:val="20"/>
            <w:color w:val="000000"/>
            <w:u w:val="none"/>
          </w:rPr>
          <w:t>https://doi.org/10.56557/ajaas/2025/v8i155</w:t>
        </w:r>
      </w:hyperlink>
    </w:p>
    <w:p w14:paraId="668EBE50"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Yadav, S., Kumar, M., &amp; Singh, R. K. (2020). Screening and evaluation of initial clonal generations of potato hybrids for yield and yield-attributing characters. </w:t>
      </w:r>
      <w:r>
        <w:rPr>
          <w:rFonts w:ascii="Times New Roman" w:hAnsi="Times New Roman"/>
          <w:i/>
          <w:color w:val="000000"/>
          <w:sz w:val="20"/>
        </w:rPr>
        <w:t>Journal of AgriSearch, 7</w:t>
      </w:r>
      <w:r>
        <w:rPr>
          <w:rFonts w:ascii="Times New Roman" w:hAnsi="Times New Roman"/>
          <w:color w:val="000000"/>
          <w:sz w:val="20"/>
        </w:rPr>
        <w:t xml:space="preserve">(4), 198–201. </w:t>
      </w:r>
      <w:hyperlink r:id="rId88">
        <w:r>
          <w:rPr>
            <w:rFonts w:ascii="Times New Roman" w:hAnsi="Times New Roman"/>
            <w:sz w:val="20"/>
            <w:color w:val="000000"/>
            <w:u w:val="none"/>
          </w:rPr>
          <w:t>https://doi.org/10.21921/jas.v7i04.19389</w:t>
        </w:r>
      </w:hyperlink>
    </w:p>
    <w:p w14:paraId="2F85B286" w14:textId="77777777" w:rsidR="002C2F49" w:rsidRPr="00E544E2" w:rsidRDefault="002C2F49" w:rsidP="002C2F49">
      <w:pPr>
        <w:tabs>
          <w:tab w:val="left" w:pos="810"/>
        </w:tabs>
        <w:spacing w:after="0" w:line="240" w:lineRule="auto" w:before="0"/>
        <w:ind w:left="810" w:hanging="810"/>
        <w:jc w:val="left"/>
        <w:rPr>
          <w:rFonts w:ascii="Times New Roman" w:hAnsi="Times New Roman" w:cs="Times New Roman"/>
          <w:sz w:val="24"/>
          <w:szCs w:val="24"/>
        </w:rPr>
      </w:pPr>
      <w:r>
        <w:rPr>
          <w:rFonts w:ascii="Times New Roman" w:hAnsi="Times New Roman"/>
          <w:color w:val="000000"/>
          <w:sz w:val="20"/>
        </w:rPr>
        <w:t xml:space="preserve">Yadav, S., Kumar, M., &amp; Yadav, S. K. (2021). Optimization of phosphoric fertilizers for cultivation of potato under high-phosphorus soils of Eastern Indo-Gangetic Plains of Bihar. </w:t>
      </w:r>
      <w:r>
        <w:rPr>
          <w:rFonts w:ascii="Times New Roman" w:hAnsi="Times New Roman"/>
          <w:i/>
          <w:color w:val="000000"/>
          <w:sz w:val="20"/>
        </w:rPr>
        <w:t>Journal of AgriSearch, 8</w:t>
      </w:r>
      <w:r>
        <w:rPr>
          <w:rFonts w:ascii="Times New Roman" w:hAnsi="Times New Roman"/>
          <w:color w:val="000000"/>
          <w:sz w:val="20"/>
        </w:rPr>
        <w:t xml:space="preserve">(2), 79–82. </w:t>
      </w:r>
      <w:hyperlink r:id="rId89">
        <w:r>
          <w:rPr>
            <w:rFonts w:ascii="Times New Roman" w:hAnsi="Times New Roman"/>
            <w:sz w:val="20"/>
            <w:color w:val="000000"/>
            <w:u w:val="none"/>
          </w:rPr>
          <w:t>https://doi.org/10.21921/jas.v8i2.7287</w:t>
        </w:r>
      </w:hyperlink>
    </w:p>
    <w:p w14:paraId="35851487" w14:textId="77777777" w:rsidR="002C2F49" w:rsidRPr="00E544E2" w:rsidRDefault="002C2F49" w:rsidP="002C2F49">
      <w:pPr>
        <w:keepLines/>
        <w:tabs>
          <w:tab w:val="left" w:pos="810"/>
        </w:tabs>
        <w:spacing w:after="0" w:line="240" w:lineRule="auto" w:before="0"/>
        <w:ind w:left="720" w:hanging="720"/>
        <w:jc w:val="left"/>
        <w:rPr>
          <w:rFonts w:ascii="Times New Roman" w:hAnsi="Times New Roman" w:cs="Times New Roman"/>
          <w:sz w:val="24"/>
          <w:szCs w:val="24"/>
        </w:rPr>
      </w:pPr>
      <w:r>
        <w:rPr>
          <w:rFonts w:ascii="Times New Roman" w:hAnsi="Times New Roman"/>
          <w:color w:val="000000"/>
          <w:sz w:val="20"/>
        </w:rPr>
        <w:t>Yadav, S., Luthra, S. K., Kapoor, V., Gupta, V. K., &amp; Singh, B. (2024). Evaluation of red-skinned advanced potato (</w:t>
      </w:r>
      <w:r>
        <w:rPr>
          <w:rFonts w:ascii="Times New Roman" w:hAnsi="Times New Roman"/>
          <w:i/>
          <w:color w:val="000000"/>
          <w:sz w:val="20"/>
        </w:rPr>
        <w:t>Solanum tuberosum</w:t>
      </w:r>
      <w:r>
        <w:rPr>
          <w:rFonts w:ascii="Times New Roman" w:hAnsi="Times New Roman"/>
          <w:color w:val="000000"/>
          <w:sz w:val="20"/>
        </w:rPr>
        <w:t xml:space="preserve"> L.) clones for tuber yield and yield parameters in the Eastern Indo-Gangetic Plains of India. </w:t>
      </w:r>
      <w:r>
        <w:rPr>
          <w:rFonts w:ascii="Times New Roman" w:hAnsi="Times New Roman"/>
          <w:i/>
          <w:color w:val="000000"/>
          <w:sz w:val="20"/>
        </w:rPr>
        <w:t>Journal of Advances in Biology &amp; Biotechnology, 27</w:t>
      </w:r>
      <w:r>
        <w:rPr>
          <w:rFonts w:ascii="Times New Roman" w:hAnsi="Times New Roman"/>
          <w:color w:val="000000"/>
          <w:sz w:val="20"/>
        </w:rPr>
        <w:t xml:space="preserve">(10), 1222–1231. </w:t>
      </w:r>
      <w:hyperlink r:id="rId40">
        <w:r>
          <w:rPr>
            <w:rFonts w:ascii="Times New Roman" w:hAnsi="Times New Roman"/>
            <w:sz w:val="20"/>
            <w:color w:val="000000"/>
            <w:u w:val="none"/>
          </w:rPr>
          <w:t>https://doi.org/10.9734/jabb/2024/v27i101544</w:t>
        </w:r>
      </w:hyperlink>
    </w:p>
    <w:p w14:paraId="4D7159A1" w14:textId="77777777" w:rsidR="002C2F49" w:rsidRPr="00E544E2" w:rsidRDefault="002C2F49" w:rsidP="002C2F49">
      <w:pPr>
        <w:keepLines/>
        <w:tabs>
          <w:tab w:val="left" w:pos="810"/>
        </w:tabs>
        <w:spacing w:after="0" w:line="240" w:lineRule="auto" w:before="0"/>
        <w:ind w:left="720" w:hanging="720"/>
        <w:jc w:val="left"/>
        <w:rPr>
          <w:rFonts w:ascii="Times New Roman" w:hAnsi="Times New Roman" w:cs="Times New Roman"/>
          <w:sz w:val="24"/>
          <w:szCs w:val="24"/>
        </w:rPr>
      </w:pPr>
      <w:r>
        <w:rPr>
          <w:rFonts w:ascii="Times New Roman" w:hAnsi="Times New Roman"/>
          <w:color w:val="000000"/>
          <w:sz w:val="20"/>
        </w:rPr>
        <w:t>Yadav, S., Luthra, S. K., Kapoor, V., Singh, S. P., Singh, R. K., Sharma, J., Dutta, S., &amp; Singh, B. (2025). Evaluation of advanced clones of potato (</w:t>
      </w:r>
      <w:r>
        <w:rPr>
          <w:rFonts w:ascii="Times New Roman" w:hAnsi="Times New Roman"/>
          <w:i/>
          <w:color w:val="000000"/>
          <w:sz w:val="20"/>
        </w:rPr>
        <w:t>Solanum tuberosum</w:t>
      </w:r>
      <w:r>
        <w:rPr>
          <w:rFonts w:ascii="Times New Roman" w:hAnsi="Times New Roman"/>
          <w:color w:val="000000"/>
          <w:sz w:val="20"/>
        </w:rPr>
        <w:t xml:space="preserve"> L.) for tuber yield and dry matter content. </w:t>
      </w:r>
      <w:r>
        <w:rPr>
          <w:rFonts w:ascii="Times New Roman" w:hAnsi="Times New Roman"/>
          <w:i/>
          <w:color w:val="000000"/>
          <w:sz w:val="20"/>
        </w:rPr>
        <w:t>Plant Archives, 25</w:t>
      </w:r>
      <w:r>
        <w:rPr>
          <w:rFonts w:ascii="Times New Roman" w:hAnsi="Times New Roman"/>
          <w:color w:val="000000"/>
          <w:sz w:val="20"/>
        </w:rPr>
        <w:t xml:space="preserve">(Supplement 2), 2787–2794. </w:t>
      </w:r>
      <w:hyperlink r:id="rId41">
        <w:r>
          <w:rPr>
            <w:rFonts w:ascii="Times New Roman" w:hAnsi="Times New Roman"/>
            <w:sz w:val="20"/>
            <w:color w:val="000000"/>
            <w:u w:val="none"/>
          </w:rPr>
          <w:t>https://doi.org/10.51470/PLANTARCHIVES.2025.v25.supplement-2.356</w:t>
        </w:r>
      </w:hyperlink>
    </w:p>
    <w:p w14:paraId="1088667C" w14:textId="77777777" w:rsidR="002C2F49" w:rsidRPr="00E544E2" w:rsidRDefault="002C2F49" w:rsidP="002C2F49">
      <w:pPr>
        <w:keepLines/>
        <w:tabs>
          <w:tab w:val="left" w:pos="810"/>
        </w:tabs>
        <w:spacing w:after="0" w:line="240" w:lineRule="auto" w:before="0"/>
        <w:ind w:left="720" w:hanging="720"/>
        <w:jc w:val="left"/>
        <w:rPr>
          <w:rFonts w:ascii="Times New Roman" w:hAnsi="Times New Roman" w:cs="Times New Roman"/>
          <w:sz w:val="24"/>
          <w:szCs w:val="24"/>
        </w:rPr>
      </w:pPr>
      <w:r>
        <w:rPr>
          <w:rFonts w:ascii="Times New Roman" w:hAnsi="Times New Roman"/>
          <w:color w:val="000000"/>
          <w:sz w:val="20"/>
        </w:rPr>
        <w:t xml:space="preserve">Yadav, S., Luthra, S. K., Singh, R. K., &amp; Singh, S. P. (2024). Evaluation of red- and purple-skinned advanced clones suitable for the Eastern Indo-Gangetic Plains of India. </w:t>
      </w:r>
      <w:r>
        <w:rPr>
          <w:rFonts w:ascii="Times New Roman" w:hAnsi="Times New Roman"/>
          <w:i/>
          <w:color w:val="000000"/>
          <w:sz w:val="20"/>
        </w:rPr>
        <w:t>Journal of Advances in Biology &amp; Biotechnology, 27</w:t>
      </w:r>
      <w:r>
        <w:rPr>
          <w:rFonts w:ascii="Times New Roman" w:hAnsi="Times New Roman"/>
          <w:color w:val="000000"/>
          <w:sz w:val="20"/>
        </w:rPr>
        <w:t xml:space="preserve">(11), 23–32. </w:t>
      </w:r>
      <w:hyperlink r:id="rId42">
        <w:r>
          <w:rPr>
            <w:rFonts w:ascii="Times New Roman" w:hAnsi="Times New Roman"/>
            <w:sz w:val="20"/>
            <w:color w:val="000000"/>
            <w:u w:val="none"/>
          </w:rPr>
          <w:t>https://doi.org/10.9734/jabb/2024/v27i111588</w:t>
        </w:r>
      </w:hyperlink>
    </w:p>
    <w:sectPr w:rsidR="002C2F49" w:rsidRPr="00E544E2" w:rsidSect="00554105">
      <w:headerReference w:type="even" r:id="rId43"/>
      <w:headerReference w:type="default" r:id="rId44"/>
      <w:footerReference w:type="even" r:id="rId45"/>
      <w:footerReference w:type="default" r:id="rId46"/>
      <w:headerReference w:type="first" r:id="rId47"/>
      <w:footerReference w:type="first" r:id="rId48"/>
      <w:pgSz w:w="11906" w:h="16838"/>
      <w:pgMar w:top="1418"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77BD5" w14:textId="77777777" w:rsidR="003464AE" w:rsidRDefault="003464AE" w:rsidP="00A619CF">
      <w:pPr>
        <w:spacing w:after="0" w:line="240" w:lineRule="auto"/>
      </w:pPr>
      <w:r>
        <w:separator/>
      </w:r>
    </w:p>
  </w:endnote>
  <w:endnote w:type="continuationSeparator" w:id="0">
    <w:p w14:paraId="009A0C33" w14:textId="77777777" w:rsidR="003464AE" w:rsidRDefault="003464AE" w:rsidP="00A61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AD4F7" w14:textId="77777777" w:rsidR="00A619CF" w:rsidRDefault="00A619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4DA4" w14:textId="77777777" w:rsidR="00A619CF" w:rsidRDefault="00A619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ABC6" w14:textId="77777777" w:rsidR="00A619CF" w:rsidRDefault="00A619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A7694" w14:textId="77777777" w:rsidR="003464AE" w:rsidRDefault="003464AE" w:rsidP="00A619CF">
      <w:pPr>
        <w:spacing w:after="0" w:line="240" w:lineRule="auto"/>
      </w:pPr>
      <w:r>
        <w:separator/>
      </w:r>
    </w:p>
  </w:footnote>
  <w:footnote w:type="continuationSeparator" w:id="0">
    <w:p w14:paraId="608BF243" w14:textId="77777777" w:rsidR="003464AE" w:rsidRDefault="003464AE" w:rsidP="00A61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A9FB7" w14:textId="48A27594" w:rsidR="00A619CF" w:rsidRDefault="00000000">
    <w:pPr>
      <w:pStyle w:val="Header"/>
    </w:pPr>
    <w:r>
      <w:rPr>
        <w:noProof/>
      </w:rPr>
      <w:pict w14:anchorId="26B353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984454" o:spid="_x0000_s1026" type="#_x0000_t136" style="position:absolute;margin-left:0;margin-top:0;width:538.4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3CF64" w14:textId="5CD44F08" w:rsidR="00A619CF" w:rsidRDefault="00000000">
    <w:pPr>
      <w:pStyle w:val="Header"/>
    </w:pPr>
    <w:r>
      <w:rPr>
        <w:noProof/>
      </w:rPr>
      <w:pict w14:anchorId="06C208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984455" o:spid="_x0000_s1027" type="#_x0000_t136" style="position:absolute;margin-left:0;margin-top:0;width:538.4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2D305" w14:textId="73E54D5F" w:rsidR="00A619CF" w:rsidRDefault="00000000">
    <w:pPr>
      <w:pStyle w:val="Header"/>
    </w:pPr>
    <w:r>
      <w:rPr>
        <w:noProof/>
      </w:rPr>
      <w:pict w14:anchorId="37F2AD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984453" o:spid="_x0000_s1025" type="#_x0000_t136" style="position:absolute;margin-left:0;margin-top:0;width:538.4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76605"/>
    <w:multiLevelType w:val="hybridMultilevel"/>
    <w:tmpl w:val="805EFF8E"/>
    <w:lvl w:ilvl="0" w:tplc="4E4295A0">
      <w:start w:val="3"/>
      <w:numFmt w:val="decimal"/>
      <w:lvlText w:val="%1."/>
      <w:lvlJc w:val="left"/>
      <w:pPr>
        <w:ind w:left="927" w:hanging="360"/>
      </w:pPr>
      <w:rPr>
        <w:rFonts w:hint="default"/>
        <w:b/>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1" w15:restartNumberingAfterBreak="0">
    <w:nsid w:val="28F4589D"/>
    <w:multiLevelType w:val="hybridMultilevel"/>
    <w:tmpl w:val="D5F22502"/>
    <w:lvl w:ilvl="0" w:tplc="E9D2DBEE">
      <w:start w:val="2"/>
      <w:numFmt w:val="decimal"/>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4051307E"/>
    <w:multiLevelType w:val="hybridMultilevel"/>
    <w:tmpl w:val="D286DF4A"/>
    <w:lvl w:ilvl="0" w:tplc="BCD49B4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CC06CA"/>
    <w:multiLevelType w:val="hybridMultilevel"/>
    <w:tmpl w:val="A0F08E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AF04793"/>
    <w:multiLevelType w:val="hybridMultilevel"/>
    <w:tmpl w:val="3A6CC908"/>
    <w:lvl w:ilvl="0" w:tplc="F7E239E4">
      <w:start w:val="3"/>
      <w:numFmt w:val="decimal"/>
      <w:lvlText w:val="%1."/>
      <w:lvlJc w:val="left"/>
      <w:pPr>
        <w:ind w:left="360" w:hanging="360"/>
      </w:pPr>
      <w:rPr>
        <w:rFonts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16cid:durableId="1930193725">
    <w:abstractNumId w:val="2"/>
  </w:num>
  <w:num w:numId="2" w16cid:durableId="1420641689">
    <w:abstractNumId w:val="3"/>
  </w:num>
  <w:num w:numId="3" w16cid:durableId="780608503">
    <w:abstractNumId w:val="1"/>
  </w:num>
  <w:num w:numId="4" w16cid:durableId="1590505615">
    <w:abstractNumId w:val="0"/>
  </w:num>
  <w:num w:numId="5" w16cid:durableId="360252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05"/>
    <w:rsid w:val="000A2806"/>
    <w:rsid w:val="000B1F92"/>
    <w:rsid w:val="000B3C3E"/>
    <w:rsid w:val="000B7ED6"/>
    <w:rsid w:val="000D617B"/>
    <w:rsid w:val="000F5595"/>
    <w:rsid w:val="00105E9C"/>
    <w:rsid w:val="00117EDB"/>
    <w:rsid w:val="001245AF"/>
    <w:rsid w:val="001473D5"/>
    <w:rsid w:val="00150C83"/>
    <w:rsid w:val="00152642"/>
    <w:rsid w:val="001D1FE2"/>
    <w:rsid w:val="001F0D4D"/>
    <w:rsid w:val="001F7DF0"/>
    <w:rsid w:val="002259CC"/>
    <w:rsid w:val="00253667"/>
    <w:rsid w:val="00256961"/>
    <w:rsid w:val="00264653"/>
    <w:rsid w:val="00264BCC"/>
    <w:rsid w:val="00293947"/>
    <w:rsid w:val="00296C21"/>
    <w:rsid w:val="002A25E5"/>
    <w:rsid w:val="002C2F49"/>
    <w:rsid w:val="002F0130"/>
    <w:rsid w:val="0030762A"/>
    <w:rsid w:val="00345644"/>
    <w:rsid w:val="003464AE"/>
    <w:rsid w:val="003866B6"/>
    <w:rsid w:val="00397D04"/>
    <w:rsid w:val="00412DC8"/>
    <w:rsid w:val="0043308F"/>
    <w:rsid w:val="00436180"/>
    <w:rsid w:val="00456A8F"/>
    <w:rsid w:val="0046284B"/>
    <w:rsid w:val="004819DD"/>
    <w:rsid w:val="004C33BD"/>
    <w:rsid w:val="004C656A"/>
    <w:rsid w:val="004D0243"/>
    <w:rsid w:val="004F4325"/>
    <w:rsid w:val="0050345D"/>
    <w:rsid w:val="00503ACE"/>
    <w:rsid w:val="00503ECF"/>
    <w:rsid w:val="00526233"/>
    <w:rsid w:val="00554105"/>
    <w:rsid w:val="00611F44"/>
    <w:rsid w:val="006132F2"/>
    <w:rsid w:val="00655954"/>
    <w:rsid w:val="00675A91"/>
    <w:rsid w:val="006A1604"/>
    <w:rsid w:val="006B2213"/>
    <w:rsid w:val="00730BD0"/>
    <w:rsid w:val="00742102"/>
    <w:rsid w:val="007E4B21"/>
    <w:rsid w:val="00824CA3"/>
    <w:rsid w:val="00860997"/>
    <w:rsid w:val="0087657F"/>
    <w:rsid w:val="00885944"/>
    <w:rsid w:val="008A1AB0"/>
    <w:rsid w:val="008B39BC"/>
    <w:rsid w:val="008C28AE"/>
    <w:rsid w:val="008E7B9C"/>
    <w:rsid w:val="00900D3D"/>
    <w:rsid w:val="0095265D"/>
    <w:rsid w:val="009577D0"/>
    <w:rsid w:val="009720B0"/>
    <w:rsid w:val="00994C0F"/>
    <w:rsid w:val="00A06462"/>
    <w:rsid w:val="00A06A7F"/>
    <w:rsid w:val="00A219B7"/>
    <w:rsid w:val="00A462E7"/>
    <w:rsid w:val="00A619CF"/>
    <w:rsid w:val="00A67D88"/>
    <w:rsid w:val="00AE7401"/>
    <w:rsid w:val="00AF2C52"/>
    <w:rsid w:val="00B02977"/>
    <w:rsid w:val="00B37456"/>
    <w:rsid w:val="00B611EE"/>
    <w:rsid w:val="00B71F20"/>
    <w:rsid w:val="00B8438D"/>
    <w:rsid w:val="00B92C1F"/>
    <w:rsid w:val="00BB7C10"/>
    <w:rsid w:val="00BC5072"/>
    <w:rsid w:val="00C14F36"/>
    <w:rsid w:val="00C2724D"/>
    <w:rsid w:val="00C40C04"/>
    <w:rsid w:val="00C620F0"/>
    <w:rsid w:val="00CA5D9C"/>
    <w:rsid w:val="00CB27E7"/>
    <w:rsid w:val="00CB4705"/>
    <w:rsid w:val="00CC6D18"/>
    <w:rsid w:val="00CF6214"/>
    <w:rsid w:val="00D34DC1"/>
    <w:rsid w:val="00DA596F"/>
    <w:rsid w:val="00DD0E7A"/>
    <w:rsid w:val="00E21128"/>
    <w:rsid w:val="00E26ED9"/>
    <w:rsid w:val="00E57160"/>
    <w:rsid w:val="00E810CC"/>
    <w:rsid w:val="00E95C11"/>
    <w:rsid w:val="00EB0F71"/>
    <w:rsid w:val="00EB70EC"/>
    <w:rsid w:val="00ED2748"/>
    <w:rsid w:val="00EE2D58"/>
    <w:rsid w:val="00EE5ECC"/>
    <w:rsid w:val="00F0249B"/>
    <w:rsid w:val="00F04F29"/>
    <w:rsid w:val="00F423B2"/>
    <w:rsid w:val="00F57E52"/>
    <w:rsid w:val="00F661E2"/>
    <w:rsid w:val="00FE0231"/>
    <w:rsid w:val="00FE061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966EE"/>
  <w15:docId w15:val="{3ECFD293-C21E-4961-8D3C-5A5AD3EE804A}"/>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1F92"/>
    <w:pPr>
      <w:keepNext/>
      <w:spacing w:after="0" w:line="240" w:lineRule="auto"/>
      <w:outlineLvl w:val="0"/>
    </w:pPr>
    <w:rPr>
      <w:rFonts w:ascii="Times New Roman" w:eastAsia="Times New Roman" w:hAnsi="Times New Roman" w:cs="Times New Roman"/>
      <w:b/>
      <w:bCs/>
      <w:sz w:val="24"/>
      <w:szCs w:val="24"/>
      <w:lang w:eastAsia="en-GB"/>
    </w:rPr>
  </w:style>
  <w:style w:type="paragraph" w:styleId="Heading2">
    <w:name w:val="heading 2"/>
    <w:basedOn w:val="Normal"/>
    <w:next w:val="Normal"/>
    <w:link w:val="Heading2Char"/>
    <w:uiPriority w:val="9"/>
    <w:unhideWhenUsed/>
    <w:qFormat/>
    <w:rsid w:val="00742102"/>
    <w:pPr>
      <w:keepNext/>
      <w:spacing w:after="0" w:line="240" w:lineRule="auto"/>
      <w:jc w:val="both"/>
      <w:outlineLvl w:val="1"/>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6E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6ED9"/>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26ED9"/>
    <w:rPr>
      <w:rFonts w:ascii="Tahoma" w:hAnsi="Tahoma" w:cs="Mangal"/>
      <w:sz w:val="16"/>
      <w:szCs w:val="14"/>
    </w:rPr>
  </w:style>
  <w:style w:type="paragraph" w:styleId="ListParagraph">
    <w:name w:val="List Paragraph"/>
    <w:basedOn w:val="Normal"/>
    <w:uiPriority w:val="34"/>
    <w:qFormat/>
    <w:rsid w:val="002C2F49"/>
    <w:pPr>
      <w:spacing w:after="0" w:line="240" w:lineRule="auto"/>
      <w:ind w:left="720"/>
      <w:contextualSpacing/>
    </w:pPr>
    <w:rPr>
      <w:lang w:val="en-US"/>
    </w:rPr>
  </w:style>
  <w:style w:type="paragraph" w:styleId="NormalWeb">
    <w:name w:val="Normal (Web)"/>
    <w:basedOn w:val="Normal"/>
    <w:uiPriority w:val="99"/>
    <w:unhideWhenUsed/>
    <w:rsid w:val="00117EDB"/>
    <w:pPr>
      <w:spacing w:before="100" w:beforeAutospacing="1" w:after="100" w:afterAutospacing="1" w:line="240" w:lineRule="auto"/>
    </w:pPr>
    <w:rPr>
      <w:rFonts w:ascii="Times New Roman" w:eastAsia="Times New Roman" w:hAnsi="Times New Roman" w:cs="Times New Roman"/>
      <w:sz w:val="24"/>
      <w:szCs w:val="24"/>
      <w:lang w:eastAsia="en-IN" w:bidi="ar-SA"/>
    </w:rPr>
  </w:style>
  <w:style w:type="table" w:styleId="TableGridLight">
    <w:name w:val="Grid Table Light"/>
    <w:basedOn w:val="TableNormal"/>
    <w:uiPriority w:val="40"/>
    <w:rsid w:val="00B029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6Colorful-Accent4">
    <w:name w:val="Grid Table 6 Colorful Accent 4"/>
    <w:basedOn w:val="TableNormal"/>
    <w:uiPriority w:val="51"/>
    <w:rsid w:val="00B0297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NoSpacing">
    <w:name w:val="No Spacing"/>
    <w:uiPriority w:val="1"/>
    <w:qFormat/>
    <w:rsid w:val="00B02977"/>
    <w:pPr>
      <w:spacing w:after="0" w:line="240" w:lineRule="auto"/>
    </w:pPr>
  </w:style>
  <w:style w:type="paragraph" w:styleId="BodyText">
    <w:name w:val="Body Text"/>
    <w:basedOn w:val="Normal"/>
    <w:link w:val="BodyTextChar"/>
    <w:uiPriority w:val="99"/>
    <w:unhideWhenUsed/>
    <w:rsid w:val="00AF2C52"/>
    <w:pPr>
      <w:spacing w:after="0" w:line="240" w:lineRule="auto"/>
      <w:jc w:val="both"/>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AF2C52"/>
    <w:rPr>
      <w:rFonts w:ascii="Times New Roman" w:hAnsi="Times New Roman" w:cs="Times New Roman"/>
      <w:sz w:val="24"/>
      <w:szCs w:val="24"/>
    </w:rPr>
  </w:style>
  <w:style w:type="paragraph" w:styleId="Header">
    <w:name w:val="header"/>
    <w:basedOn w:val="Normal"/>
    <w:link w:val="HeaderChar"/>
    <w:uiPriority w:val="99"/>
    <w:unhideWhenUsed/>
    <w:rsid w:val="00A619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9CF"/>
  </w:style>
  <w:style w:type="paragraph" w:styleId="Footer">
    <w:name w:val="footer"/>
    <w:basedOn w:val="Normal"/>
    <w:link w:val="FooterChar"/>
    <w:uiPriority w:val="99"/>
    <w:unhideWhenUsed/>
    <w:rsid w:val="00A619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9CF"/>
  </w:style>
  <w:style w:type="character" w:styleId="Emphasis">
    <w:name w:val="Emphasis"/>
    <w:basedOn w:val="DefaultParagraphFont"/>
    <w:uiPriority w:val="20"/>
    <w:qFormat/>
    <w:rsid w:val="00655954"/>
    <w:rPr>
      <w:i/>
      <w:iCs/>
    </w:rPr>
  </w:style>
  <w:style w:type="character" w:styleId="Strong">
    <w:name w:val="Strong"/>
    <w:basedOn w:val="DefaultParagraphFont"/>
    <w:uiPriority w:val="22"/>
    <w:qFormat/>
    <w:rsid w:val="00397D04"/>
    <w:rPr>
      <w:b/>
      <w:bCs/>
    </w:rPr>
  </w:style>
  <w:style w:type="character" w:customStyle="1" w:styleId="Heading1Char">
    <w:name w:val="Heading 1 Char"/>
    <w:basedOn w:val="DefaultParagraphFont"/>
    <w:link w:val="Heading1"/>
    <w:uiPriority w:val="9"/>
    <w:rsid w:val="000B1F92"/>
    <w:rPr>
      <w:rFonts w:ascii="Times New Roman" w:eastAsia="Times New Roman" w:hAnsi="Times New Roman" w:cs="Times New Roman"/>
      <w:b/>
      <w:bCs/>
      <w:sz w:val="24"/>
      <w:szCs w:val="24"/>
      <w:lang w:eastAsia="en-GB"/>
    </w:rPr>
  </w:style>
  <w:style w:type="paragraph" w:styleId="BodyTextIndent">
    <w:name w:val="Body Text Indent"/>
    <w:basedOn w:val="Normal"/>
    <w:link w:val="BodyTextIndentChar"/>
    <w:uiPriority w:val="99"/>
    <w:unhideWhenUsed/>
    <w:rsid w:val="00CC6D18"/>
    <w:pPr>
      <w:spacing w:after="0" w:line="240" w:lineRule="auto"/>
      <w:ind w:left="284"/>
      <w:jc w:val="both"/>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rsid w:val="00CC6D18"/>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BC5072"/>
    <w:pPr>
      <w:ind w:left="426"/>
      <w:jc w:val="both"/>
    </w:pPr>
    <w:rPr>
      <w:rFonts w:ascii="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BC5072"/>
    <w:rPr>
      <w:rFonts w:ascii="Times New Roman" w:hAnsi="Times New Roman" w:cs="Times New Roman"/>
      <w:sz w:val="24"/>
      <w:szCs w:val="24"/>
    </w:rPr>
  </w:style>
  <w:style w:type="paragraph" w:styleId="BodyText2">
    <w:name w:val="Body Text 2"/>
    <w:basedOn w:val="Normal"/>
    <w:link w:val="BodyText2Char"/>
    <w:uiPriority w:val="99"/>
    <w:unhideWhenUsed/>
    <w:rsid w:val="00675A91"/>
    <w:pPr>
      <w:framePr w:hSpace="180" w:wrap="around" w:vAnchor="text" w:hAnchor="text" w:x="324" w:y="1"/>
      <w:tabs>
        <w:tab w:val="decimal" w:pos="459"/>
      </w:tabs>
      <w:spacing w:after="0" w:line="240" w:lineRule="auto"/>
      <w:ind w:right="2120"/>
      <w:suppressOverlap/>
      <w:jc w:val="both"/>
    </w:pPr>
    <w:rPr>
      <w:rFonts w:ascii="Times New Roman" w:hAnsi="Times New Roman" w:cs="Times New Roman"/>
      <w:b/>
      <w:bCs/>
      <w:sz w:val="24"/>
      <w:szCs w:val="24"/>
    </w:rPr>
  </w:style>
  <w:style w:type="character" w:customStyle="1" w:styleId="BodyText2Char">
    <w:name w:val="Body Text 2 Char"/>
    <w:basedOn w:val="DefaultParagraphFont"/>
    <w:link w:val="BodyText2"/>
    <w:uiPriority w:val="99"/>
    <w:rsid w:val="00675A91"/>
    <w:rPr>
      <w:rFonts w:ascii="Times New Roman" w:hAnsi="Times New Roman" w:cs="Times New Roman"/>
      <w:b/>
      <w:bCs/>
      <w:sz w:val="24"/>
      <w:szCs w:val="24"/>
    </w:rPr>
  </w:style>
  <w:style w:type="paragraph" w:styleId="BodyTextIndent3">
    <w:name w:val="Body Text Indent 3"/>
    <w:basedOn w:val="Normal"/>
    <w:link w:val="BodyTextIndent3Char"/>
    <w:uiPriority w:val="99"/>
    <w:unhideWhenUsed/>
    <w:rsid w:val="00675A91"/>
    <w:pPr>
      <w:spacing w:after="0" w:line="240" w:lineRule="auto"/>
      <w:ind w:left="238"/>
      <w:jc w:val="both"/>
    </w:pPr>
    <w:rPr>
      <w:rFonts w:ascii="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675A91"/>
    <w:rPr>
      <w:rFonts w:ascii="Times New Roman" w:hAnsi="Times New Roman" w:cs="Times New Roman"/>
      <w:sz w:val="24"/>
      <w:szCs w:val="24"/>
    </w:rPr>
  </w:style>
  <w:style w:type="character" w:customStyle="1" w:styleId="Heading2Char">
    <w:name w:val="Heading 2 Char"/>
    <w:basedOn w:val="DefaultParagraphFont"/>
    <w:link w:val="Heading2"/>
    <w:uiPriority w:val="9"/>
    <w:rsid w:val="00742102"/>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7.jpeg"/><Relationship Id="rId39" Type="http://schemas.openxmlformats.org/officeDocument/2006/relationships/hyperlink" Target="http://www.hau.gov.in" TargetMode="External"/><Relationship Id="rId3" Type="http://schemas.openxmlformats.org/officeDocument/2006/relationships/settings" Target="settings.xml"/><Relationship Id="rId21" Type="http://schemas.openxmlformats.org/officeDocument/2006/relationships/chart" Target="charts/chart1.xml"/><Relationship Id="rId34" Type="http://schemas.openxmlformats.org/officeDocument/2006/relationships/hyperlink" Target="https://www.researchgate.net/publication/271479406_Heritability_genetic_advance_and_character_association_in_potato" TargetMode="External"/><Relationship Id="rId42" Type="http://schemas.openxmlformats.org/officeDocument/2006/relationships/hyperlink" Target="https://doi.org/10.9734/jabb/2024/v27i111588"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6.jpeg"/><Relationship Id="rId33" Type="http://schemas.openxmlformats.org/officeDocument/2006/relationships/hyperlink" Target="https://www.researchtrend.net/bfij/evaluation-of-potato-solanum-tuberosum-l-hybrids-and-varieties-for-medium-maturity-and-quality-components-for-north-central-india-6282" TargetMode="External"/><Relationship Id="rId38" Type="http://schemas.openxmlformats.org/officeDocument/2006/relationships/hyperlink" Target="https://doi.org/10.56557/ajaas/2025/v8i155" TargetMode="External"/><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chart" Target="charts/chart5.xml"/><Relationship Id="rId41" Type="http://schemas.openxmlformats.org/officeDocument/2006/relationships/hyperlink" Target="https://doi.org/10.51470/PLANTARCHIVES.2025.v25.supplement-2.35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5.jpeg"/><Relationship Id="rId32" Type="http://schemas.openxmlformats.org/officeDocument/2006/relationships/hyperlink" Target="https://www.fao.org/faostat/" TargetMode="External"/><Relationship Id="rId37" Type="http://schemas.openxmlformats.org/officeDocument/2006/relationships/hyperlink" Target="https://doi.org/10.9734/jabb/2025/v28i72557" TargetMode="External"/><Relationship Id="rId40" Type="http://schemas.openxmlformats.org/officeDocument/2006/relationships/hyperlink" Target="https://doi.org/10.9734/jabb/2024/v27i101544"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chart" Target="charts/chart3.xml"/><Relationship Id="rId28" Type="http://schemas.openxmlformats.org/officeDocument/2006/relationships/chart" Target="charts/chart4.xml"/><Relationship Id="rId36" Type="http://schemas.openxmlformats.org/officeDocument/2006/relationships/hyperlink" Target="https://www.researchgate.net/publication/272791459_History_of_Potato_and_its_Emerging_Problems_in_India" TargetMode="External"/><Relationship Id="rId49"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yperlink" Target="https://doi.org/10.1186/s12870-024-04951-7"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chart" Target="charts/chart2.xml"/><Relationship Id="rId27" Type="http://schemas.openxmlformats.org/officeDocument/2006/relationships/image" Target="media/image18.jpeg"/><Relationship Id="rId30" Type="http://schemas.openxmlformats.org/officeDocument/2006/relationships/chart" Target="charts/chart6.xml"/><Relationship Id="rId35" Type="http://schemas.openxmlformats.org/officeDocument/2006/relationships/hyperlink" Target="https://doi.org/10.1007/s11540-024-09695-3"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2.jpeg"/><Relationship Id="rId51" Type="http://schemas.openxmlformats.org/officeDocument/2006/relationships/hyperlink" Target="https://doi.org/10.5251/abjna.2010.1.5.886.893" TargetMode="External"/><Relationship Id="rId52" Type="http://schemas.openxmlformats.org/officeDocument/2006/relationships/hyperlink" Target="https://doi.org/10.1387/ijdb.01450037" TargetMode="External"/><Relationship Id="rId53" Type="http://schemas.openxmlformats.org/officeDocument/2006/relationships/hyperlink" Target="https://doi.org/10.1016/j.jfca.2014.12.006" TargetMode="External"/><Relationship Id="rId54" Type="http://schemas.openxmlformats.org/officeDocument/2006/relationships/hyperlink" Target="https://doi.org/10.1007/s12230-018-09705-4" TargetMode="External"/><Relationship Id="rId55" Type="http://schemas.openxmlformats.org/officeDocument/2006/relationships/hyperlink" Target="https://doi.org/10.3126/craiaj.v6i2.60251" TargetMode="External"/><Relationship Id="rId56" Type="http://schemas.openxmlformats.org/officeDocument/2006/relationships/hyperlink" Target="https://agris.fao.org/search/en/providers/122619/records/647248dd53aa8c896304ef8a" TargetMode="External"/><Relationship Id="rId57" Type="http://schemas.openxmlformats.org/officeDocument/2006/relationships/hyperlink" Target="https://doi.org/10.1007/978-3-030-28683-5_2" TargetMode="External"/><Relationship Id="rId58" Type="http://schemas.openxmlformats.org/officeDocument/2006/relationships/hyperlink" Target="https://hau.ac.in/page/o-p-stat" TargetMode="External"/><Relationship Id="rId59" Type="http://schemas.openxmlformats.org/officeDocument/2006/relationships/hyperlink" Target="https://reliefweb.int/report/rwanda/rwanda-early-generation-seed-study-country-report" TargetMode="External"/><Relationship Id="rId60" Type="http://schemas.openxmlformats.org/officeDocument/2006/relationships/hyperlink" Target="https://doi.org/10.1007/978-1-4899-7210-1_3" TargetMode="External"/><Relationship Id="rId61" Type="http://schemas.openxmlformats.org/officeDocument/2006/relationships/hyperlink" Target="https://doi.org/10.24154/jhs.v14i1.708" TargetMode="External"/><Relationship Id="rId62" Type="http://schemas.openxmlformats.org/officeDocument/2006/relationships/hyperlink" Target="https://doi.org/10.3390/foods10051138" TargetMode="External"/><Relationship Id="rId63" Type="http://schemas.openxmlformats.org/officeDocument/2006/relationships/hyperlink" Target="https://www.fao.org/faostat/en/#data/QCL" TargetMode="External"/><Relationship Id="rId64" Type="http://schemas.openxmlformats.org/officeDocument/2006/relationships/hyperlink" Target="https://doi.org/10.1007/s11540-015-9292-6" TargetMode="External"/><Relationship Id="rId65" Type="http://schemas.openxmlformats.org/officeDocument/2006/relationships/hyperlink" Target="https://doi.org/10.1073/pnas.1714380114" TargetMode="External"/><Relationship Id="rId66" Type="http://schemas.openxmlformats.org/officeDocument/2006/relationships/hyperlink" Target="https://doi.org/10.3923/ijpbg.2010.23.29" TargetMode="External"/><Relationship Id="rId67" Type="http://schemas.openxmlformats.org/officeDocument/2006/relationships/hyperlink" Target="https://doi.org/10.1007/s11540-009-9136-3" TargetMode="External"/><Relationship Id="rId68" Type="http://schemas.openxmlformats.org/officeDocument/2006/relationships/hyperlink" Target="https://doi.org/10.1007/BF02358456" TargetMode="External"/><Relationship Id="rId69" Type="http://schemas.openxmlformats.org/officeDocument/2006/relationships/hyperlink" Target="https://doi.org/10.1007/BF00029633" TargetMode="External"/><Relationship Id="rId70" Type="http://schemas.openxmlformats.org/officeDocument/2006/relationships/hyperlink" Target="https://ifad.tind.io/record/1508?ln=en" TargetMode="External"/><Relationship Id="rId71" Type="http://schemas.openxmlformats.org/officeDocument/2006/relationships/hyperlink" Target="https://doi.org/10.1016/B978-0-12-374349-7.00002-7" TargetMode="External"/><Relationship Id="rId72" Type="http://schemas.openxmlformats.org/officeDocument/2006/relationships/hyperlink" Target="https://dergipark.org.tr/en/pub/ordubtd/issue/11063/132149" TargetMode="External"/><Relationship Id="rId73" Type="http://schemas.openxmlformats.org/officeDocument/2006/relationships/hyperlink" Target="https://doi.org/10.3390/nu11071523" TargetMode="External"/><Relationship Id="rId74" Type="http://schemas.openxmlformats.org/officeDocument/2006/relationships/hyperlink" Target="https://doi.org/10.1016/j.jfca.2009.05.002" TargetMode="External"/><Relationship Id="rId75" Type="http://schemas.openxmlformats.org/officeDocument/2006/relationships/hyperlink" Target="https://isdsnet.com/ijds-v1n2-23.pdf" TargetMode="External"/><Relationship Id="rId76" Type="http://schemas.openxmlformats.org/officeDocument/2006/relationships/hyperlink" Target="https://doi.org/10.1300/J153v07n03_03" TargetMode="External"/><Relationship Id="rId77" Type="http://schemas.openxmlformats.org/officeDocument/2006/relationships/hyperlink" Target="https://doi.org/10.1017/S0014479708006133" TargetMode="External"/><Relationship Id="rId78" Type="http://schemas.openxmlformats.org/officeDocument/2006/relationships/hyperlink" Target="https://doi.org/10.1201/b16535" TargetMode="External"/><Relationship Id="rId79" Type="http://schemas.openxmlformats.org/officeDocument/2006/relationships/hyperlink" Target="https://doi.org/10.1111/j.1601-5223.2003.01734.x" TargetMode="External"/><Relationship Id="rId80" Type="http://schemas.openxmlformats.org/officeDocument/2006/relationships/hyperlink" Target="https://epubs.icar.org.in/index.php/PotatoJ/article/view/33230" TargetMode="External"/><Relationship Id="rId81" Type="http://schemas.openxmlformats.org/officeDocument/2006/relationships/hyperlink" Target="https://researchjournal.co.in/online/IJPS/IJPS%201%282%29/1_A-282-285.pdf" TargetMode="External"/><Relationship Id="rId82" Type="http://schemas.openxmlformats.org/officeDocument/2006/relationships/hyperlink" Target="https://www.agroberichtenbuitenland.nl/documenten/presentaties/2019/08/20/overview-potato-sector-in-rwanda-2019" TargetMode="External"/><Relationship Id="rId83" Type="http://schemas.openxmlformats.org/officeDocument/2006/relationships/hyperlink" Target="https://doi.org/10.4314/jab.v136i1.7" TargetMode="External"/><Relationship Id="rId84" Type="http://schemas.openxmlformats.org/officeDocument/2006/relationships/hyperlink" Target="https://journals.ut.ac.ir/article_17568.html" TargetMode="External"/><Relationship Id="rId85" Type="http://schemas.openxmlformats.org/officeDocument/2006/relationships/hyperlink" Target="https://epubs.icar.org.in/index.php/PotatoJ/article/view/31805" TargetMode="External"/><Relationship Id="rId86" Type="http://schemas.openxmlformats.org/officeDocument/2006/relationships/hyperlink" Target="https://epubs.icar.org.in/index.php/IndHort/article/view/135849" TargetMode="External"/><Relationship Id="rId87" Type="http://schemas.openxmlformats.org/officeDocument/2006/relationships/hyperlink" Target="https://epubs.icar.org.in/index.php/IndHort/article/view/87812" TargetMode="External"/><Relationship Id="rId88" Type="http://schemas.openxmlformats.org/officeDocument/2006/relationships/hyperlink" Target="https://doi.org/10.21921/jas.v7i04.19389" TargetMode="External"/><Relationship Id="rId89" Type="http://schemas.openxmlformats.org/officeDocument/2006/relationships/hyperlink" Target="https://doi.org/10.21921/jas.v8i2.7287"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36341733016576"/>
          <c:y val="7.9679169243579942E-2"/>
          <c:w val="0.85443340047610328"/>
          <c:h val="0.69989660873750692"/>
        </c:manualLayout>
      </c:layout>
      <c:barChart>
        <c:barDir val="col"/>
        <c:grouping val="clustered"/>
        <c:varyColors val="0"/>
        <c:ser>
          <c:idx val="0"/>
          <c:order val="0"/>
          <c:tx>
            <c:strRef>
              <c:f>Sheet1!$B$1</c:f>
              <c:strCache>
                <c:ptCount val="1"/>
                <c:pt idx="0">
                  <c:v>At 75 days</c:v>
                </c:pt>
              </c:strCache>
            </c:strRef>
          </c:tx>
          <c:spPr>
            <a:solidFill>
              <a:schemeClr val="accent6"/>
            </a:solidFill>
            <a:ln>
              <a:noFill/>
            </a:ln>
            <a:effectLst>
              <a:outerShdw blurRad="50800" dist="38100" dir="2700000" algn="tl" rotWithShape="0">
                <a:prstClr val="black">
                  <a:alpha val="40000"/>
                </a:prstClr>
              </a:outerShdw>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Sheet1!$B$2:$B$16</c:f>
              <c:numCache>
                <c:formatCode>General</c:formatCode>
                <c:ptCount val="15"/>
                <c:pt idx="0">
                  <c:v>81.11</c:v>
                </c:pt>
                <c:pt idx="1">
                  <c:v>77.78</c:v>
                </c:pt>
                <c:pt idx="2">
                  <c:v>85.56</c:v>
                </c:pt>
                <c:pt idx="3">
                  <c:v>80</c:v>
                </c:pt>
                <c:pt idx="4">
                  <c:v>73.33</c:v>
                </c:pt>
                <c:pt idx="5">
                  <c:v>78.89</c:v>
                </c:pt>
                <c:pt idx="6">
                  <c:v>81.11</c:v>
                </c:pt>
                <c:pt idx="7">
                  <c:v>72.22</c:v>
                </c:pt>
                <c:pt idx="8">
                  <c:v>76.67</c:v>
                </c:pt>
                <c:pt idx="9">
                  <c:v>73.33</c:v>
                </c:pt>
                <c:pt idx="10">
                  <c:v>84.44</c:v>
                </c:pt>
                <c:pt idx="11">
                  <c:v>81.11</c:v>
                </c:pt>
                <c:pt idx="12">
                  <c:v>74.44</c:v>
                </c:pt>
                <c:pt idx="13">
                  <c:v>73.34</c:v>
                </c:pt>
                <c:pt idx="14">
                  <c:v>82.22</c:v>
                </c:pt>
              </c:numCache>
            </c:numRef>
          </c:val>
          <c:extLst>
            <c:ext xmlns:c16="http://schemas.microsoft.com/office/drawing/2014/chart" uri="{C3380CC4-5D6E-409C-BE32-E72D297353CC}">
              <c16:uniqueId val="{00000000-0E6C-48CF-B929-8C505B05A7FD}"/>
            </c:ext>
          </c:extLst>
        </c:ser>
        <c:ser>
          <c:idx val="1"/>
          <c:order val="1"/>
          <c:tx>
            <c:strRef>
              <c:f>Sheet1!$C$1</c:f>
              <c:strCache>
                <c:ptCount val="1"/>
                <c:pt idx="0">
                  <c:v>At 90 days</c:v>
                </c:pt>
              </c:strCache>
            </c:strRef>
          </c:tx>
          <c:spPr>
            <a:solidFill>
              <a:schemeClr val="accent5"/>
            </a:solidFill>
            <a:ln>
              <a:noFill/>
            </a:ln>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Sheet1!$C$2:$C$16</c:f>
              <c:numCache>
                <c:formatCode>General</c:formatCode>
                <c:ptCount val="15"/>
                <c:pt idx="0">
                  <c:v>70</c:v>
                </c:pt>
                <c:pt idx="1">
                  <c:v>71.11</c:v>
                </c:pt>
                <c:pt idx="2">
                  <c:v>84.45</c:v>
                </c:pt>
                <c:pt idx="3">
                  <c:v>77.78</c:v>
                </c:pt>
                <c:pt idx="4">
                  <c:v>65</c:v>
                </c:pt>
                <c:pt idx="5">
                  <c:v>77.78</c:v>
                </c:pt>
                <c:pt idx="6">
                  <c:v>78.33</c:v>
                </c:pt>
                <c:pt idx="7">
                  <c:v>70.56</c:v>
                </c:pt>
                <c:pt idx="8">
                  <c:v>70</c:v>
                </c:pt>
                <c:pt idx="9">
                  <c:v>85</c:v>
                </c:pt>
                <c:pt idx="10">
                  <c:v>82.22</c:v>
                </c:pt>
                <c:pt idx="11">
                  <c:v>79.44</c:v>
                </c:pt>
                <c:pt idx="12">
                  <c:v>72.22</c:v>
                </c:pt>
                <c:pt idx="13">
                  <c:v>68.89</c:v>
                </c:pt>
                <c:pt idx="14">
                  <c:v>78.89</c:v>
                </c:pt>
              </c:numCache>
            </c:numRef>
          </c:val>
          <c:extLst>
            <c:ext xmlns:c16="http://schemas.microsoft.com/office/drawing/2014/chart" uri="{C3380CC4-5D6E-409C-BE32-E72D297353CC}">
              <c16:uniqueId val="{00000001-0E6C-48CF-B929-8C505B05A7FD}"/>
            </c:ext>
          </c:extLst>
        </c:ser>
        <c:dLbls>
          <c:showLegendKey val="0"/>
          <c:showVal val="0"/>
          <c:showCatName val="0"/>
          <c:showSerName val="0"/>
          <c:showPercent val="0"/>
          <c:showBubbleSize val="0"/>
        </c:dLbls>
        <c:gapWidth val="100"/>
        <c:axId val="348620672"/>
        <c:axId val="348626944"/>
      </c:barChart>
      <c:catAx>
        <c:axId val="34862067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IN"/>
                  <a:t>Advanced Clones/Varieties</a:t>
                </a:r>
              </a:p>
            </c:rich>
          </c:tx>
          <c:layout>
            <c:manualLayout>
              <c:xMode val="edge"/>
              <c:yMode val="edge"/>
              <c:x val="0.22568672404321552"/>
              <c:y val="0.912312345039915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8626944"/>
        <c:crosses val="autoZero"/>
        <c:auto val="1"/>
        <c:lblAlgn val="ctr"/>
        <c:lblOffset val="100"/>
        <c:noMultiLvlLbl val="0"/>
      </c:catAx>
      <c:valAx>
        <c:axId val="348626944"/>
        <c:scaling>
          <c:orientation val="minMax"/>
          <c:max val="100"/>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N">
                    <a:latin typeface="Times New Roman" panose="02020603050405020304" pitchFamily="18" charset="0"/>
                    <a:cs typeface="Times New Roman" panose="02020603050405020304" pitchFamily="18" charset="0"/>
                  </a:rPr>
                  <a:t>Emergence %</a:t>
                </a:r>
              </a:p>
            </c:rich>
          </c:tx>
          <c:layout>
            <c:manualLayout>
              <c:xMode val="edge"/>
              <c:yMode val="edge"/>
              <c:x val="7.5002717277460832E-3"/>
              <c:y val="0.3191123836793127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8620672"/>
        <c:crosses val="autoZero"/>
        <c:crossBetween val="between"/>
      </c:valAx>
      <c:spPr>
        <a:solidFill>
          <a:schemeClr val="bg1"/>
        </a:solidFill>
        <a:ln>
          <a:noFill/>
        </a:ln>
        <a:effectLst/>
      </c:spPr>
    </c:plotArea>
    <c:legend>
      <c:legendPos val="r"/>
      <c:layout>
        <c:manualLayout>
          <c:xMode val="edge"/>
          <c:yMode val="edge"/>
          <c:x val="0.52818458157846548"/>
          <c:y val="3.46594803991747E-2"/>
          <c:w val="0.44834374980773978"/>
          <c:h val="8.0899374888067629E-2"/>
        </c:manualLayout>
      </c:layout>
      <c:overlay val="0"/>
      <c:spPr>
        <a:solidFill>
          <a:schemeClr val="bg1"/>
        </a:solid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56967588353782"/>
          <c:y val="0.1563395313537615"/>
          <c:w val="0.80280827687236767"/>
          <c:h val="0.64695211291359667"/>
        </c:manualLayout>
      </c:layout>
      <c:barChart>
        <c:barDir val="col"/>
        <c:grouping val="clustered"/>
        <c:varyColors val="0"/>
        <c:ser>
          <c:idx val="0"/>
          <c:order val="0"/>
          <c:tx>
            <c:strRef>
              <c:f>Sheet1!$B$1</c:f>
              <c:strCache>
                <c:ptCount val="1"/>
                <c:pt idx="0">
                  <c:v>At 75 days</c:v>
                </c:pt>
              </c:strCache>
            </c:strRef>
          </c:tx>
          <c:spPr>
            <a:solidFill>
              <a:srgbClr val="00B050"/>
            </a:solidFill>
            <a:ln>
              <a:solidFill>
                <a:sysClr val="window" lastClr="FFFFFF"/>
              </a:solidFill>
            </a:ln>
            <a:effectLst>
              <a:outerShdw blurRad="50800" dist="38100" dir="2700000" algn="tl" rotWithShape="0">
                <a:prstClr val="black">
                  <a:alpha val="40000"/>
                </a:prstClr>
              </a:outerShdw>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Sheet1!$B$2:$B$16</c:f>
              <c:numCache>
                <c:formatCode>General</c:formatCode>
                <c:ptCount val="15"/>
                <c:pt idx="0">
                  <c:v>23.55</c:v>
                </c:pt>
                <c:pt idx="1">
                  <c:v>22.16</c:v>
                </c:pt>
                <c:pt idx="2">
                  <c:v>24.67</c:v>
                </c:pt>
                <c:pt idx="3">
                  <c:v>22.69</c:v>
                </c:pt>
                <c:pt idx="4">
                  <c:v>14.72</c:v>
                </c:pt>
                <c:pt idx="5">
                  <c:v>18.260000000000002</c:v>
                </c:pt>
                <c:pt idx="6">
                  <c:v>24.66</c:v>
                </c:pt>
                <c:pt idx="7">
                  <c:v>22.67</c:v>
                </c:pt>
                <c:pt idx="8">
                  <c:v>22.33</c:v>
                </c:pt>
                <c:pt idx="9">
                  <c:v>24.54</c:v>
                </c:pt>
                <c:pt idx="10">
                  <c:v>15.68</c:v>
                </c:pt>
                <c:pt idx="11">
                  <c:v>22.73</c:v>
                </c:pt>
                <c:pt idx="12">
                  <c:v>21.13</c:v>
                </c:pt>
                <c:pt idx="13">
                  <c:v>13.33</c:v>
                </c:pt>
                <c:pt idx="14">
                  <c:v>14.74</c:v>
                </c:pt>
              </c:numCache>
            </c:numRef>
          </c:val>
          <c:extLst>
            <c:ext xmlns:c16="http://schemas.microsoft.com/office/drawing/2014/chart" uri="{C3380CC4-5D6E-409C-BE32-E72D297353CC}">
              <c16:uniqueId val="{00000000-9E8D-4C97-9202-BDA24B47F17E}"/>
            </c:ext>
          </c:extLst>
        </c:ser>
        <c:ser>
          <c:idx val="1"/>
          <c:order val="1"/>
          <c:tx>
            <c:strRef>
              <c:f>Sheet1!$C$1</c:f>
              <c:strCache>
                <c:ptCount val="1"/>
                <c:pt idx="0">
                  <c:v>At 90 days</c:v>
                </c:pt>
              </c:strCache>
            </c:strRef>
          </c:tx>
          <c:spPr>
            <a:solidFill>
              <a:srgbClr val="C00000"/>
            </a:solidFill>
            <a:ln>
              <a:solidFill>
                <a:schemeClr val="bg1"/>
              </a:solidFill>
            </a:ln>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Sheet1!$C$2:$C$16</c:f>
              <c:numCache>
                <c:formatCode>General</c:formatCode>
                <c:ptCount val="15"/>
                <c:pt idx="0">
                  <c:v>33</c:v>
                </c:pt>
                <c:pt idx="1">
                  <c:v>32.25</c:v>
                </c:pt>
                <c:pt idx="2">
                  <c:v>37.47</c:v>
                </c:pt>
                <c:pt idx="3">
                  <c:v>36.56</c:v>
                </c:pt>
                <c:pt idx="4">
                  <c:v>23.87</c:v>
                </c:pt>
                <c:pt idx="5">
                  <c:v>26.8</c:v>
                </c:pt>
                <c:pt idx="6">
                  <c:v>33.17</c:v>
                </c:pt>
                <c:pt idx="7">
                  <c:v>28.59</c:v>
                </c:pt>
                <c:pt idx="8">
                  <c:v>30.45</c:v>
                </c:pt>
                <c:pt idx="9">
                  <c:v>25.71</c:v>
                </c:pt>
                <c:pt idx="10">
                  <c:v>21.18</c:v>
                </c:pt>
                <c:pt idx="11">
                  <c:v>29.48</c:v>
                </c:pt>
                <c:pt idx="12">
                  <c:v>29.92</c:v>
                </c:pt>
                <c:pt idx="13">
                  <c:v>19.12</c:v>
                </c:pt>
                <c:pt idx="14">
                  <c:v>37.57</c:v>
                </c:pt>
              </c:numCache>
            </c:numRef>
          </c:val>
          <c:extLst>
            <c:ext xmlns:c16="http://schemas.microsoft.com/office/drawing/2014/chart" uri="{C3380CC4-5D6E-409C-BE32-E72D297353CC}">
              <c16:uniqueId val="{00000001-9E8D-4C97-9202-BDA24B47F17E}"/>
            </c:ext>
          </c:extLst>
        </c:ser>
        <c:dLbls>
          <c:showLegendKey val="0"/>
          <c:showVal val="0"/>
          <c:showCatName val="0"/>
          <c:showSerName val="0"/>
          <c:showPercent val="0"/>
          <c:showBubbleSize val="0"/>
        </c:dLbls>
        <c:gapWidth val="100"/>
        <c:axId val="348595712"/>
        <c:axId val="348597632"/>
      </c:barChart>
      <c:catAx>
        <c:axId val="348595712"/>
        <c:scaling>
          <c:orientation val="minMax"/>
        </c:scaling>
        <c:delete val="0"/>
        <c:axPos val="b"/>
        <c:title>
          <c:tx>
            <c:rich>
              <a:bodyPr/>
              <a:lstStyle/>
              <a:p>
                <a:pPr>
                  <a:defRPr/>
                </a:pPr>
                <a:r>
                  <a:rPr lang="en-IN"/>
                  <a:t>Advanced Clones/Varieties</a:t>
                </a:r>
              </a:p>
            </c:rich>
          </c:tx>
          <c:layout>
            <c:manualLayout>
              <c:xMode val="edge"/>
              <c:yMode val="edge"/>
              <c:x val="0.34475644551397266"/>
              <c:y val="0.93788132598533092"/>
            </c:manualLayout>
          </c:layout>
          <c:overlay val="0"/>
        </c:title>
        <c:numFmt formatCode="General" sourceLinked="0"/>
        <c:majorTickMark val="out"/>
        <c:minorTickMark val="none"/>
        <c:tickLblPos val="nextTo"/>
        <c:crossAx val="348597632"/>
        <c:crosses val="autoZero"/>
        <c:auto val="1"/>
        <c:lblAlgn val="ctr"/>
        <c:lblOffset val="100"/>
        <c:noMultiLvlLbl val="0"/>
      </c:catAx>
      <c:valAx>
        <c:axId val="348597632"/>
        <c:scaling>
          <c:orientation val="minMax"/>
        </c:scaling>
        <c:delete val="0"/>
        <c:axPos val="l"/>
        <c:majorGridlines/>
        <c:title>
          <c:tx>
            <c:rich>
              <a:bodyPr rot="-5400000" vert="horz"/>
              <a:lstStyle/>
              <a:p>
                <a:pPr>
                  <a:defRPr/>
                </a:pPr>
                <a:r>
                  <a:rPr lang="en-US"/>
                  <a:t>Total tuber yield (t/ha)</a:t>
                </a:r>
                <a:endParaRPr lang="en-IN"/>
              </a:p>
            </c:rich>
          </c:tx>
          <c:layout>
            <c:manualLayout>
              <c:xMode val="edge"/>
              <c:yMode val="edge"/>
              <c:x val="1.8662354958864362E-2"/>
              <c:y val="0.19077013769000797"/>
            </c:manualLayout>
          </c:layout>
          <c:overlay val="0"/>
        </c:title>
        <c:numFmt formatCode="General" sourceLinked="1"/>
        <c:majorTickMark val="out"/>
        <c:minorTickMark val="none"/>
        <c:tickLblPos val="nextTo"/>
        <c:crossAx val="348595712"/>
        <c:crosses val="autoZero"/>
        <c:crossBetween val="between"/>
      </c:valAx>
    </c:plotArea>
    <c:legend>
      <c:legendPos val="r"/>
      <c:layout>
        <c:manualLayout>
          <c:xMode val="edge"/>
          <c:yMode val="edge"/>
          <c:x val="0.55051090690590054"/>
          <c:y val="2.6103667522843071E-2"/>
          <c:w val="0.41485734508877226"/>
          <c:h val="8.0899374888067629E-2"/>
        </c:manualLayout>
      </c:layout>
      <c:overlay val="0"/>
      <c:spPr>
        <a:solidFill>
          <a:schemeClr val="bg1"/>
        </a:solidFill>
      </c:spPr>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38376365926306"/>
          <c:y val="7.9697232090592998E-2"/>
          <c:w val="0.80280827687236767"/>
          <c:h val="0.64459298800551501"/>
        </c:manualLayout>
      </c:layout>
      <c:barChart>
        <c:barDir val="col"/>
        <c:grouping val="clustered"/>
        <c:varyColors val="0"/>
        <c:ser>
          <c:idx val="0"/>
          <c:order val="0"/>
          <c:tx>
            <c:strRef>
              <c:f>Sheet1!$B$1</c:f>
              <c:strCache>
                <c:ptCount val="1"/>
                <c:pt idx="0">
                  <c:v>At 75 days</c:v>
                </c:pt>
              </c:strCache>
            </c:strRef>
          </c:tx>
          <c:spPr>
            <a:solidFill>
              <a:schemeClr val="accent1"/>
            </a:solidFill>
            <a:ln>
              <a:noFill/>
            </a:ln>
            <a:effectLst>
              <a:outerShdw blurRad="50800" dist="38100" dir="2700000" algn="tl" rotWithShape="0">
                <a:prstClr val="black">
                  <a:alpha val="40000"/>
                </a:prstClr>
              </a:outerShdw>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Sheet1!$B$2:$B$16</c:f>
              <c:numCache>
                <c:formatCode>General</c:formatCode>
                <c:ptCount val="15"/>
                <c:pt idx="0">
                  <c:v>22.3</c:v>
                </c:pt>
                <c:pt idx="1">
                  <c:v>22</c:v>
                </c:pt>
                <c:pt idx="2">
                  <c:v>23.85</c:v>
                </c:pt>
                <c:pt idx="3">
                  <c:v>22.19</c:v>
                </c:pt>
                <c:pt idx="4">
                  <c:v>14.64</c:v>
                </c:pt>
                <c:pt idx="5">
                  <c:v>17.86</c:v>
                </c:pt>
                <c:pt idx="6">
                  <c:v>23.87</c:v>
                </c:pt>
                <c:pt idx="7">
                  <c:v>22.2</c:v>
                </c:pt>
                <c:pt idx="8">
                  <c:v>21.58</c:v>
                </c:pt>
                <c:pt idx="9">
                  <c:v>24.31</c:v>
                </c:pt>
                <c:pt idx="10">
                  <c:v>15.15</c:v>
                </c:pt>
                <c:pt idx="11">
                  <c:v>22.25</c:v>
                </c:pt>
                <c:pt idx="12">
                  <c:v>20.85</c:v>
                </c:pt>
                <c:pt idx="13">
                  <c:v>12.79</c:v>
                </c:pt>
                <c:pt idx="14">
                  <c:v>14.2</c:v>
                </c:pt>
              </c:numCache>
            </c:numRef>
          </c:val>
          <c:extLst>
            <c:ext xmlns:c16="http://schemas.microsoft.com/office/drawing/2014/chart" uri="{C3380CC4-5D6E-409C-BE32-E72D297353CC}">
              <c16:uniqueId val="{00000000-5440-46C5-A05A-29195FB72160}"/>
            </c:ext>
          </c:extLst>
        </c:ser>
        <c:ser>
          <c:idx val="1"/>
          <c:order val="1"/>
          <c:tx>
            <c:strRef>
              <c:f>Sheet1!$C$1</c:f>
              <c:strCache>
                <c:ptCount val="1"/>
                <c:pt idx="0">
                  <c:v>At 90 days</c:v>
                </c:pt>
              </c:strCache>
            </c:strRef>
          </c:tx>
          <c:spPr>
            <a:solidFill>
              <a:schemeClr val="accent3"/>
            </a:solidFill>
            <a:ln>
              <a:noFill/>
            </a:ln>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Sheet1!$C$2:$C$16</c:f>
              <c:numCache>
                <c:formatCode>General</c:formatCode>
                <c:ptCount val="15"/>
                <c:pt idx="0">
                  <c:v>31.07</c:v>
                </c:pt>
                <c:pt idx="1">
                  <c:v>31.12</c:v>
                </c:pt>
                <c:pt idx="2">
                  <c:v>34.99</c:v>
                </c:pt>
                <c:pt idx="3">
                  <c:v>34.909999999999997</c:v>
                </c:pt>
                <c:pt idx="4">
                  <c:v>23.03</c:v>
                </c:pt>
                <c:pt idx="5">
                  <c:v>25.3</c:v>
                </c:pt>
                <c:pt idx="6">
                  <c:v>31.5</c:v>
                </c:pt>
                <c:pt idx="7">
                  <c:v>26.99</c:v>
                </c:pt>
                <c:pt idx="8">
                  <c:v>29.13</c:v>
                </c:pt>
                <c:pt idx="9">
                  <c:v>24.2</c:v>
                </c:pt>
                <c:pt idx="10">
                  <c:v>20.21</c:v>
                </c:pt>
                <c:pt idx="11">
                  <c:v>28.2</c:v>
                </c:pt>
                <c:pt idx="12">
                  <c:v>28.11</c:v>
                </c:pt>
                <c:pt idx="13">
                  <c:v>18.11</c:v>
                </c:pt>
                <c:pt idx="14">
                  <c:v>34.36</c:v>
                </c:pt>
              </c:numCache>
            </c:numRef>
          </c:val>
          <c:extLst>
            <c:ext xmlns:c16="http://schemas.microsoft.com/office/drawing/2014/chart" uri="{C3380CC4-5D6E-409C-BE32-E72D297353CC}">
              <c16:uniqueId val="{00000001-5440-46C5-A05A-29195FB72160}"/>
            </c:ext>
          </c:extLst>
        </c:ser>
        <c:dLbls>
          <c:showLegendKey val="0"/>
          <c:showVal val="0"/>
          <c:showCatName val="0"/>
          <c:showSerName val="0"/>
          <c:showPercent val="0"/>
          <c:showBubbleSize val="0"/>
        </c:dLbls>
        <c:gapWidth val="100"/>
        <c:axId val="348824704"/>
        <c:axId val="348826624"/>
      </c:barChart>
      <c:catAx>
        <c:axId val="34882470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N">
                    <a:latin typeface="Times New Roman" panose="02020603050405020304" pitchFamily="18" charset="0"/>
                    <a:cs typeface="Times New Roman" panose="02020603050405020304" pitchFamily="18" charset="0"/>
                  </a:rPr>
                  <a:t>Advanced Clones/Varieties</a:t>
                </a:r>
              </a:p>
            </c:rich>
          </c:tx>
          <c:layout>
            <c:manualLayout>
              <c:xMode val="edge"/>
              <c:yMode val="edge"/>
              <c:x val="0.31499099709317147"/>
              <c:y val="0.9112141142784959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8826624"/>
        <c:crosses val="autoZero"/>
        <c:auto val="1"/>
        <c:lblAlgn val="ctr"/>
        <c:lblOffset val="100"/>
        <c:noMultiLvlLbl val="0"/>
      </c:catAx>
      <c:valAx>
        <c:axId val="348826624"/>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1" i="0" u="none" strike="noStrike" baseline="0">
                    <a:effectLst/>
                    <a:latin typeface="Times New Roman" panose="02020603050405020304" pitchFamily="18" charset="0"/>
                    <a:cs typeface="Times New Roman" panose="02020603050405020304" pitchFamily="18" charset="0"/>
                  </a:rPr>
                  <a:t>Marketable</a:t>
                </a:r>
                <a:r>
                  <a:rPr lang="en-US" sz="1000" b="1" i="0" baseline="0">
                    <a:effectLst/>
                    <a:latin typeface="Times New Roman" panose="02020603050405020304" pitchFamily="18" charset="0"/>
                    <a:cs typeface="Times New Roman" panose="02020603050405020304" pitchFamily="18" charset="0"/>
                  </a:rPr>
                  <a:t> tuber yield (t/ha)</a:t>
                </a:r>
                <a:endParaRPr lang="en-IN" sz="1000">
                  <a:effectLst/>
                  <a:latin typeface="Times New Roman" panose="02020603050405020304" pitchFamily="18" charset="0"/>
                  <a:cs typeface="Times New Roman" panose="02020603050405020304" pitchFamily="18" charset="0"/>
                </a:endParaRPr>
              </a:p>
            </c:rich>
          </c:tx>
          <c:layout>
            <c:manualLayout>
              <c:xMode val="edge"/>
              <c:yMode val="edge"/>
              <c:x val="1.8662354958864362E-2"/>
              <c:y val="0.1394359341445955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IN"/>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8824704"/>
        <c:crosses val="autoZero"/>
        <c:crossBetween val="between"/>
      </c:valAx>
      <c:spPr>
        <a:solidFill>
          <a:schemeClr val="bg1"/>
        </a:solidFill>
        <a:ln>
          <a:noFill/>
        </a:ln>
        <a:effectLst/>
      </c:spPr>
    </c:plotArea>
    <c:legend>
      <c:legendPos val="r"/>
      <c:layout>
        <c:manualLayout>
          <c:xMode val="edge"/>
          <c:yMode val="edge"/>
          <c:x val="0.55051090690590054"/>
          <c:y val="2.6103667522843071E-2"/>
          <c:w val="0.41485734508877226"/>
          <c:h val="8.0899374888067629E-2"/>
        </c:manualLayout>
      </c:layout>
      <c:overlay val="0"/>
      <c:spPr>
        <a:solidFill>
          <a:schemeClr val="bg1"/>
        </a:solid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87526437201302"/>
          <c:y val="4.7569860080649493E-2"/>
          <c:w val="0.83041916871807808"/>
          <c:h val="0.66468204660268582"/>
        </c:manualLayout>
      </c:layout>
      <c:barChart>
        <c:barDir val="col"/>
        <c:grouping val="clustered"/>
        <c:varyColors val="0"/>
        <c:ser>
          <c:idx val="0"/>
          <c:order val="0"/>
          <c:tx>
            <c:strRef>
              <c:f>Sheet1!$B$1</c:f>
              <c:strCache>
                <c:ptCount val="1"/>
                <c:pt idx="0">
                  <c:v>At 90 days</c:v>
                </c:pt>
              </c:strCache>
            </c:strRef>
          </c:tx>
          <c:spPr>
            <a:solidFill>
              <a:schemeClr val="accent6"/>
            </a:solidFill>
            <a:ln>
              <a:noFill/>
            </a:ln>
            <a:effectLst>
              <a:outerShdw blurRad="50800" dist="38100" dir="2700000" algn="tl" rotWithShape="0">
                <a:prstClr val="black">
                  <a:alpha val="40000"/>
                </a:prstClr>
              </a:outerShdw>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Sheet1!$B$2:$B$16</c:f>
              <c:numCache>
                <c:formatCode>General</c:formatCode>
                <c:ptCount val="15"/>
                <c:pt idx="0">
                  <c:v>24.83</c:v>
                </c:pt>
                <c:pt idx="1">
                  <c:v>14.17</c:v>
                </c:pt>
                <c:pt idx="2">
                  <c:v>17.829999999999998</c:v>
                </c:pt>
                <c:pt idx="3">
                  <c:v>17.829999999999998</c:v>
                </c:pt>
                <c:pt idx="4">
                  <c:v>14.83</c:v>
                </c:pt>
                <c:pt idx="5">
                  <c:v>17.5</c:v>
                </c:pt>
                <c:pt idx="6">
                  <c:v>17.329999999999998</c:v>
                </c:pt>
                <c:pt idx="7">
                  <c:v>17.170000000000002</c:v>
                </c:pt>
                <c:pt idx="8">
                  <c:v>14.83</c:v>
                </c:pt>
                <c:pt idx="9">
                  <c:v>18.5</c:v>
                </c:pt>
                <c:pt idx="10">
                  <c:v>15.67</c:v>
                </c:pt>
                <c:pt idx="11">
                  <c:v>15.17</c:v>
                </c:pt>
                <c:pt idx="12">
                  <c:v>14.83</c:v>
                </c:pt>
                <c:pt idx="13">
                  <c:v>17.670000000000002</c:v>
                </c:pt>
                <c:pt idx="14">
                  <c:v>17.329999999999998</c:v>
                </c:pt>
              </c:numCache>
            </c:numRef>
          </c:val>
          <c:extLst>
            <c:ext xmlns:c16="http://schemas.microsoft.com/office/drawing/2014/chart" uri="{C3380CC4-5D6E-409C-BE32-E72D297353CC}">
              <c16:uniqueId val="{00000000-5533-44FB-BE24-34BB8F4A17FD}"/>
            </c:ext>
          </c:extLst>
        </c:ser>
        <c:dLbls>
          <c:showLegendKey val="0"/>
          <c:showVal val="0"/>
          <c:showCatName val="0"/>
          <c:showSerName val="0"/>
          <c:showPercent val="0"/>
          <c:showBubbleSize val="0"/>
        </c:dLbls>
        <c:gapWidth val="100"/>
        <c:axId val="341630976"/>
        <c:axId val="341632896"/>
      </c:barChart>
      <c:catAx>
        <c:axId val="34163097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N">
                    <a:latin typeface="Times New Roman" panose="02020603050405020304" pitchFamily="18" charset="0"/>
                    <a:cs typeface="Times New Roman" panose="02020603050405020304" pitchFamily="18" charset="0"/>
                  </a:rPr>
                  <a:t>Advanced Clones/Varieties</a:t>
                </a:r>
              </a:p>
            </c:rich>
          </c:tx>
          <c:layout>
            <c:manualLayout>
              <c:xMode val="edge"/>
              <c:yMode val="edge"/>
              <c:x val="0.31499099709317147"/>
              <c:y val="0.9112141142784959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1632896"/>
        <c:crosses val="autoZero"/>
        <c:auto val="1"/>
        <c:lblAlgn val="ctr"/>
        <c:lblOffset val="100"/>
        <c:noMultiLvlLbl val="0"/>
      </c:catAx>
      <c:valAx>
        <c:axId val="34163289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1" i="0" u="none" strike="noStrike" baseline="0">
                    <a:effectLst/>
                    <a:latin typeface="Times New Roman" panose="02020603050405020304" pitchFamily="18" charset="0"/>
                    <a:cs typeface="Times New Roman" panose="02020603050405020304" pitchFamily="18" charset="0"/>
                  </a:rPr>
                  <a:t>Dry Matter </a:t>
                </a:r>
                <a:r>
                  <a:rPr lang="en-US" sz="1000" b="1" i="0" baseline="0">
                    <a:effectLst/>
                    <a:latin typeface="Times New Roman" panose="02020603050405020304" pitchFamily="18" charset="0"/>
                    <a:cs typeface="Times New Roman" panose="02020603050405020304" pitchFamily="18" charset="0"/>
                  </a:rPr>
                  <a:t>(%)</a:t>
                </a:r>
                <a:endParaRPr lang="en-IN" sz="1000">
                  <a:effectLst/>
                  <a:latin typeface="Times New Roman" panose="02020603050405020304" pitchFamily="18" charset="0"/>
                  <a:cs typeface="Times New Roman" panose="02020603050405020304" pitchFamily="18" charset="0"/>
                </a:endParaRPr>
              </a:p>
            </c:rich>
          </c:tx>
          <c:layout>
            <c:manualLayout>
              <c:xMode val="edge"/>
              <c:yMode val="edge"/>
              <c:x val="1.4732425353101991E-2"/>
              <c:y val="0.3683746007652657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IN"/>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1630976"/>
        <c:crosses val="autoZero"/>
        <c:crossBetween val="between"/>
      </c:valAx>
      <c:spPr>
        <a:solidFill>
          <a:schemeClr val="bg1"/>
        </a:solidFill>
        <a:ln>
          <a:noFill/>
        </a:ln>
        <a:effectLst/>
      </c:spPr>
    </c:plotArea>
    <c:legend>
      <c:legendPos val="r"/>
      <c:layout>
        <c:manualLayout>
          <c:xMode val="edge"/>
          <c:yMode val="edge"/>
          <c:x val="0.55051079689886018"/>
          <c:y val="3.0123960408563386E-2"/>
          <c:w val="0.41485734508877226"/>
          <c:h val="8.0899374888067629E-2"/>
        </c:manualLayout>
      </c:layout>
      <c:overlay val="0"/>
      <c:spPr>
        <a:solidFill>
          <a:schemeClr val="bg1"/>
        </a:solid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38376365926306"/>
          <c:y val="7.9679169243579942E-2"/>
          <c:w val="0.80280827687236767"/>
          <c:h val="0.64449274893656006"/>
        </c:manualLayout>
      </c:layout>
      <c:barChart>
        <c:barDir val="col"/>
        <c:grouping val="clustered"/>
        <c:varyColors val="0"/>
        <c:ser>
          <c:idx val="0"/>
          <c:order val="0"/>
          <c:tx>
            <c:strRef>
              <c:f>Sheet1!$B$1</c:f>
              <c:strCache>
                <c:ptCount val="1"/>
                <c:pt idx="0">
                  <c:v>At 75 days</c:v>
                </c:pt>
              </c:strCache>
            </c:strRef>
          </c:tx>
          <c:spPr>
            <a:solidFill>
              <a:schemeClr val="accent6"/>
            </a:solidFill>
            <a:ln>
              <a:noFill/>
            </a:ln>
            <a:effectLst>
              <a:outerShdw blurRad="50800" dist="38100" dir="2700000" algn="tl" rotWithShape="0">
                <a:prstClr val="black">
                  <a:alpha val="40000"/>
                </a:prstClr>
              </a:outerShdw>
            </a:effectLst>
          </c:spPr>
          <c:invertIfNegative val="0"/>
          <c:cat>
            <c:strRef>
              <c:f>Sheet1!$A$2:$A$13</c:f>
              <c:strCache>
                <c:ptCount val="12"/>
                <c:pt idx="0">
                  <c:v>PS/19-02</c:v>
                </c:pt>
                <c:pt idx="1">
                  <c:v>PS/19-04</c:v>
                </c:pt>
                <c:pt idx="2">
                  <c:v>PS/19-12</c:v>
                </c:pt>
                <c:pt idx="3">
                  <c:v>PS/19-24</c:v>
                </c:pt>
                <c:pt idx="4">
                  <c:v>PS/19-26</c:v>
                </c:pt>
                <c:pt idx="5">
                  <c:v>PS/19-31</c:v>
                </c:pt>
                <c:pt idx="6">
                  <c:v>PS/19-41</c:v>
                </c:pt>
                <c:pt idx="7">
                  <c:v>PS/19-44</c:v>
                </c:pt>
                <c:pt idx="8">
                  <c:v>PS/19-50</c:v>
                </c:pt>
                <c:pt idx="9">
                  <c:v>K.Lalit</c:v>
                </c:pt>
                <c:pt idx="10">
                  <c:v>K.Lohit</c:v>
                </c:pt>
                <c:pt idx="11">
                  <c:v>K.Manik</c:v>
                </c:pt>
              </c:strCache>
            </c:strRef>
          </c:cat>
          <c:val>
            <c:numRef>
              <c:f>Sheet1!$B$2:$B$13</c:f>
              <c:numCache>
                <c:formatCode>0.00</c:formatCode>
                <c:ptCount val="12"/>
                <c:pt idx="0">
                  <c:v>15.67</c:v>
                </c:pt>
                <c:pt idx="1">
                  <c:v>15</c:v>
                </c:pt>
                <c:pt idx="2">
                  <c:v>15.83</c:v>
                </c:pt>
                <c:pt idx="3">
                  <c:v>18.670000000000002</c:v>
                </c:pt>
                <c:pt idx="4">
                  <c:v>16.170000000000002</c:v>
                </c:pt>
                <c:pt idx="5">
                  <c:v>15.5</c:v>
                </c:pt>
                <c:pt idx="6">
                  <c:v>17.170000000000002</c:v>
                </c:pt>
                <c:pt idx="7">
                  <c:v>17.829999999999998</c:v>
                </c:pt>
                <c:pt idx="8">
                  <c:v>19.670000000000002</c:v>
                </c:pt>
                <c:pt idx="9">
                  <c:v>18.329999999999998</c:v>
                </c:pt>
                <c:pt idx="10">
                  <c:v>12.17</c:v>
                </c:pt>
                <c:pt idx="11">
                  <c:v>15</c:v>
                </c:pt>
              </c:numCache>
            </c:numRef>
          </c:val>
          <c:extLst>
            <c:ext xmlns:c16="http://schemas.microsoft.com/office/drawing/2014/chart" uri="{C3380CC4-5D6E-409C-BE32-E72D297353CC}">
              <c16:uniqueId val="{00000000-8CC6-4BD7-A313-3AFE768AFD22}"/>
            </c:ext>
          </c:extLst>
        </c:ser>
        <c:ser>
          <c:idx val="1"/>
          <c:order val="1"/>
          <c:tx>
            <c:strRef>
              <c:f>Sheet1!$C$1</c:f>
              <c:strCache>
                <c:ptCount val="1"/>
                <c:pt idx="0">
                  <c:v>At 90 days</c:v>
                </c:pt>
              </c:strCache>
            </c:strRef>
          </c:tx>
          <c:spPr>
            <a:solidFill>
              <a:schemeClr val="accent5"/>
            </a:solidFill>
            <a:ln>
              <a:noFill/>
            </a:ln>
            <a:effectLst/>
          </c:spPr>
          <c:invertIfNegative val="0"/>
          <c:cat>
            <c:strRef>
              <c:f>Sheet1!$A$2:$A$13</c:f>
              <c:strCache>
                <c:ptCount val="12"/>
                <c:pt idx="0">
                  <c:v>PS/19-02</c:v>
                </c:pt>
                <c:pt idx="1">
                  <c:v>PS/19-04</c:v>
                </c:pt>
                <c:pt idx="2">
                  <c:v>PS/19-12</c:v>
                </c:pt>
                <c:pt idx="3">
                  <c:v>PS/19-24</c:v>
                </c:pt>
                <c:pt idx="4">
                  <c:v>PS/19-26</c:v>
                </c:pt>
                <c:pt idx="5">
                  <c:v>PS/19-31</c:v>
                </c:pt>
                <c:pt idx="6">
                  <c:v>PS/19-41</c:v>
                </c:pt>
                <c:pt idx="7">
                  <c:v>PS/19-44</c:v>
                </c:pt>
                <c:pt idx="8">
                  <c:v>PS/19-50</c:v>
                </c:pt>
                <c:pt idx="9">
                  <c:v>K.Lalit</c:v>
                </c:pt>
                <c:pt idx="10">
                  <c:v>K.Lohit</c:v>
                </c:pt>
                <c:pt idx="11">
                  <c:v>K.Manik</c:v>
                </c:pt>
              </c:strCache>
            </c:strRef>
          </c:cat>
          <c:val>
            <c:numRef>
              <c:f>Sheet1!$C$2:$C$13</c:f>
              <c:numCache>
                <c:formatCode>0.00</c:formatCode>
                <c:ptCount val="12"/>
                <c:pt idx="0">
                  <c:v>18.670000000000002</c:v>
                </c:pt>
                <c:pt idx="1">
                  <c:v>16.170000000000002</c:v>
                </c:pt>
                <c:pt idx="2">
                  <c:v>17.5</c:v>
                </c:pt>
                <c:pt idx="3">
                  <c:v>20.5</c:v>
                </c:pt>
                <c:pt idx="4">
                  <c:v>20</c:v>
                </c:pt>
                <c:pt idx="5">
                  <c:v>20</c:v>
                </c:pt>
                <c:pt idx="6">
                  <c:v>21.33</c:v>
                </c:pt>
                <c:pt idx="7">
                  <c:v>18.829999999999998</c:v>
                </c:pt>
                <c:pt idx="8">
                  <c:v>21.17</c:v>
                </c:pt>
                <c:pt idx="9">
                  <c:v>23.17</c:v>
                </c:pt>
                <c:pt idx="10">
                  <c:v>17.670000000000002</c:v>
                </c:pt>
                <c:pt idx="11">
                  <c:v>16.670000000000002</c:v>
                </c:pt>
              </c:numCache>
            </c:numRef>
          </c:val>
          <c:extLst>
            <c:ext xmlns:c16="http://schemas.microsoft.com/office/drawing/2014/chart" uri="{C3380CC4-5D6E-409C-BE32-E72D297353CC}">
              <c16:uniqueId val="{00000001-8CC6-4BD7-A313-3AFE768AFD22}"/>
            </c:ext>
          </c:extLst>
        </c:ser>
        <c:dLbls>
          <c:showLegendKey val="0"/>
          <c:showVal val="0"/>
          <c:showCatName val="0"/>
          <c:showSerName val="0"/>
          <c:showPercent val="0"/>
          <c:showBubbleSize val="0"/>
        </c:dLbls>
        <c:gapWidth val="100"/>
        <c:axId val="348986752"/>
        <c:axId val="349042176"/>
      </c:barChart>
      <c:catAx>
        <c:axId val="34898675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IN">
                    <a:latin typeface="Times New Roman" panose="02020603050405020304" pitchFamily="18" charset="0"/>
                    <a:cs typeface="Times New Roman" panose="02020603050405020304" pitchFamily="18" charset="0"/>
                  </a:rPr>
                  <a:t>Advanced Clones/Varieties</a:t>
                </a:r>
              </a:p>
            </c:rich>
          </c:tx>
          <c:layout>
            <c:manualLayout>
              <c:xMode val="edge"/>
              <c:yMode val="edge"/>
              <c:x val="0.34475644551397266"/>
              <c:y val="0.9240348646258790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9042176"/>
        <c:crosses val="autoZero"/>
        <c:auto val="1"/>
        <c:lblAlgn val="ctr"/>
        <c:lblOffset val="100"/>
        <c:noMultiLvlLbl val="0"/>
      </c:catAx>
      <c:valAx>
        <c:axId val="34904217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1" i="0" u="none" strike="noStrike" baseline="0">
                    <a:effectLst/>
                    <a:latin typeface="Times New Roman" panose="02020603050405020304" pitchFamily="18" charset="0"/>
                    <a:cs typeface="Times New Roman" panose="02020603050405020304" pitchFamily="18" charset="0"/>
                  </a:rPr>
                  <a:t>Dry Matter</a:t>
                </a:r>
                <a:r>
                  <a:rPr lang="en-IN">
                    <a:latin typeface="Times New Roman" panose="02020603050405020304" pitchFamily="18" charset="0"/>
                    <a:cs typeface="Times New Roman" panose="02020603050405020304" pitchFamily="18" charset="0"/>
                  </a:rPr>
                  <a:t> %</a:t>
                </a:r>
              </a:p>
            </c:rich>
          </c:tx>
          <c:layout>
            <c:manualLayout>
              <c:xMode val="edge"/>
              <c:yMode val="edge"/>
              <c:x val="1.1220964315628404E-2"/>
              <c:y val="0.3191076676912711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8986752"/>
        <c:crosses val="autoZero"/>
        <c:crossBetween val="between"/>
      </c:valAx>
      <c:spPr>
        <a:solidFill>
          <a:schemeClr val="bg1"/>
        </a:solidFill>
        <a:ln>
          <a:noFill/>
        </a:ln>
        <a:effectLst/>
      </c:spPr>
    </c:plotArea>
    <c:legend>
      <c:legendPos val="r"/>
      <c:layout>
        <c:manualLayout>
          <c:xMode val="edge"/>
          <c:yMode val="edge"/>
          <c:x val="0.52818458157846548"/>
          <c:y val="3.46594803991747E-2"/>
          <c:w val="0.44834374980773978"/>
          <c:h val="8.0899374888067629E-2"/>
        </c:manualLayout>
      </c:layout>
      <c:overlay val="0"/>
      <c:spPr>
        <a:solidFill>
          <a:schemeClr val="bg1"/>
        </a:solid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IN"/>
              <a:t>Graph 1 : Nutritional values of different advanced clones</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IN"/>
        </a:p>
      </c:txPr>
    </c:title>
    <c:autoTitleDeleted val="0"/>
    <c:plotArea>
      <c:layout/>
      <c:lineChart>
        <c:grouping val="stacked"/>
        <c:varyColors val="0"/>
        <c:ser>
          <c:idx val="0"/>
          <c:order val="0"/>
          <c:tx>
            <c:strRef>
              <c:f>Sheet1!$A$3:$B$3</c:f>
              <c:strCache>
                <c:ptCount val="2"/>
                <c:pt idx="0">
                  <c:v>1</c:v>
                </c:pt>
                <c:pt idx="1">
                  <c:v>PS/19-24</c:v>
                </c:pt>
              </c:strCache>
            </c:strRef>
          </c:tx>
          <c:spPr>
            <a:ln w="28575" cap="rnd">
              <a:solidFill>
                <a:schemeClr val="accent1"/>
              </a:solidFill>
              <a:round/>
            </a:ln>
            <a:effectLst/>
          </c:spPr>
          <c:marker>
            <c:symbol val="none"/>
          </c:marker>
          <c:cat>
            <c:strRef>
              <c:f>Sheet1!$C$1:$G$1</c:f>
              <c:strCache>
                <c:ptCount val="5"/>
                <c:pt idx="0">
                  <c:v>Zn</c:v>
                </c:pt>
                <c:pt idx="1">
                  <c:v>Fe</c:v>
                </c:pt>
                <c:pt idx="2">
                  <c:v>Carotenoid</c:v>
                </c:pt>
                <c:pt idx="3">
                  <c:v>Anthocyanin</c:v>
                </c:pt>
                <c:pt idx="4">
                  <c:v>Vitamin C</c:v>
                </c:pt>
              </c:strCache>
              <c:extLst/>
            </c:strRef>
          </c:cat>
          <c:val>
            <c:numRef>
              <c:f>Sheet1!$C$3:$G$3</c:f>
              <c:numCache>
                <c:formatCode>General</c:formatCode>
                <c:ptCount val="5"/>
                <c:pt idx="0">
                  <c:v>22.54</c:v>
                </c:pt>
                <c:pt idx="1">
                  <c:v>34.65</c:v>
                </c:pt>
                <c:pt idx="2">
                  <c:v>82.2</c:v>
                </c:pt>
                <c:pt idx="3">
                  <c:v>13.5</c:v>
                </c:pt>
                <c:pt idx="4">
                  <c:v>27.4</c:v>
                </c:pt>
              </c:numCache>
            </c:numRef>
          </c:val>
          <c:smooth val="0"/>
          <c:extLst>
            <c:ext xmlns:c16="http://schemas.microsoft.com/office/drawing/2014/chart" uri="{C3380CC4-5D6E-409C-BE32-E72D297353CC}">
              <c16:uniqueId val="{00000000-42BC-4E45-BB43-47150DFD7161}"/>
            </c:ext>
          </c:extLst>
        </c:ser>
        <c:ser>
          <c:idx val="1"/>
          <c:order val="1"/>
          <c:tx>
            <c:strRef>
              <c:f>Sheet1!$A$4:$B$4</c:f>
              <c:strCache>
                <c:ptCount val="2"/>
                <c:pt idx="0">
                  <c:v>2</c:v>
                </c:pt>
                <c:pt idx="1">
                  <c:v>PS/19-26</c:v>
                </c:pt>
              </c:strCache>
            </c:strRef>
          </c:tx>
          <c:spPr>
            <a:ln w="28575" cap="rnd">
              <a:solidFill>
                <a:schemeClr val="accent2"/>
              </a:solidFill>
              <a:round/>
            </a:ln>
            <a:effectLst/>
          </c:spPr>
          <c:marker>
            <c:symbol val="none"/>
          </c:marker>
          <c:cat>
            <c:strRef>
              <c:f>Sheet1!$C$1:$G$1</c:f>
              <c:strCache>
                <c:ptCount val="5"/>
                <c:pt idx="0">
                  <c:v>Zn</c:v>
                </c:pt>
                <c:pt idx="1">
                  <c:v>Fe</c:v>
                </c:pt>
                <c:pt idx="2">
                  <c:v>Carotenoid</c:v>
                </c:pt>
                <c:pt idx="3">
                  <c:v>Anthocyanin</c:v>
                </c:pt>
                <c:pt idx="4">
                  <c:v>Vitamin C</c:v>
                </c:pt>
              </c:strCache>
              <c:extLst/>
            </c:strRef>
          </c:cat>
          <c:val>
            <c:numRef>
              <c:f>Sheet1!$C$4:$G$4</c:f>
              <c:numCache>
                <c:formatCode>General</c:formatCode>
                <c:ptCount val="5"/>
                <c:pt idx="0">
                  <c:v>21.37</c:v>
                </c:pt>
                <c:pt idx="1">
                  <c:v>31.2</c:v>
                </c:pt>
                <c:pt idx="2">
                  <c:v>34.799999999999997</c:v>
                </c:pt>
                <c:pt idx="3">
                  <c:v>12.8</c:v>
                </c:pt>
                <c:pt idx="4">
                  <c:v>23.3</c:v>
                </c:pt>
              </c:numCache>
            </c:numRef>
          </c:val>
          <c:smooth val="0"/>
          <c:extLst>
            <c:ext xmlns:c16="http://schemas.microsoft.com/office/drawing/2014/chart" uri="{C3380CC4-5D6E-409C-BE32-E72D297353CC}">
              <c16:uniqueId val="{00000001-42BC-4E45-BB43-47150DFD7161}"/>
            </c:ext>
          </c:extLst>
        </c:ser>
        <c:ser>
          <c:idx val="2"/>
          <c:order val="2"/>
          <c:tx>
            <c:strRef>
              <c:f>Sheet1!$A$5:$B$5</c:f>
              <c:strCache>
                <c:ptCount val="2"/>
                <c:pt idx="0">
                  <c:v>3</c:v>
                </c:pt>
                <c:pt idx="1">
                  <c:v>PS/19-41</c:v>
                </c:pt>
              </c:strCache>
            </c:strRef>
          </c:tx>
          <c:spPr>
            <a:ln w="28575" cap="rnd">
              <a:solidFill>
                <a:schemeClr val="accent3"/>
              </a:solidFill>
              <a:round/>
            </a:ln>
            <a:effectLst/>
          </c:spPr>
          <c:marker>
            <c:symbol val="none"/>
          </c:marker>
          <c:cat>
            <c:strRef>
              <c:f>Sheet1!$C$1:$G$1</c:f>
              <c:strCache>
                <c:ptCount val="5"/>
                <c:pt idx="0">
                  <c:v>Zn</c:v>
                </c:pt>
                <c:pt idx="1">
                  <c:v>Fe</c:v>
                </c:pt>
                <c:pt idx="2">
                  <c:v>Carotenoid</c:v>
                </c:pt>
                <c:pt idx="3">
                  <c:v>Anthocyanin</c:v>
                </c:pt>
                <c:pt idx="4">
                  <c:v>Vitamin C</c:v>
                </c:pt>
              </c:strCache>
              <c:extLst/>
            </c:strRef>
          </c:cat>
          <c:val>
            <c:numRef>
              <c:f>Sheet1!$C$5:$G$5</c:f>
              <c:numCache>
                <c:formatCode>General</c:formatCode>
                <c:ptCount val="5"/>
                <c:pt idx="0">
                  <c:v>23.48</c:v>
                </c:pt>
                <c:pt idx="1">
                  <c:v>34.24</c:v>
                </c:pt>
                <c:pt idx="2">
                  <c:v>64.8</c:v>
                </c:pt>
                <c:pt idx="3">
                  <c:v>2.4</c:v>
                </c:pt>
                <c:pt idx="4">
                  <c:v>18.5</c:v>
                </c:pt>
              </c:numCache>
            </c:numRef>
          </c:val>
          <c:smooth val="0"/>
          <c:extLst>
            <c:ext xmlns:c16="http://schemas.microsoft.com/office/drawing/2014/chart" uri="{C3380CC4-5D6E-409C-BE32-E72D297353CC}">
              <c16:uniqueId val="{00000002-42BC-4E45-BB43-47150DFD7161}"/>
            </c:ext>
          </c:extLst>
        </c:ser>
        <c:ser>
          <c:idx val="3"/>
          <c:order val="3"/>
          <c:tx>
            <c:strRef>
              <c:f>Sheet1!$A$6:$B$6</c:f>
              <c:strCache>
                <c:ptCount val="2"/>
                <c:pt idx="0">
                  <c:v>4</c:v>
                </c:pt>
                <c:pt idx="1">
                  <c:v>PS/19-50</c:v>
                </c:pt>
              </c:strCache>
            </c:strRef>
          </c:tx>
          <c:spPr>
            <a:ln w="28575" cap="rnd">
              <a:solidFill>
                <a:schemeClr val="accent4"/>
              </a:solidFill>
              <a:round/>
            </a:ln>
            <a:effectLst/>
          </c:spPr>
          <c:marker>
            <c:symbol val="none"/>
          </c:marker>
          <c:cat>
            <c:strRef>
              <c:f>Sheet1!$C$1:$G$1</c:f>
              <c:strCache>
                <c:ptCount val="5"/>
                <c:pt idx="0">
                  <c:v>Zn</c:v>
                </c:pt>
                <c:pt idx="1">
                  <c:v>Fe</c:v>
                </c:pt>
                <c:pt idx="2">
                  <c:v>Carotenoid</c:v>
                </c:pt>
                <c:pt idx="3">
                  <c:v>Anthocyanin</c:v>
                </c:pt>
                <c:pt idx="4">
                  <c:v>Vitamin C</c:v>
                </c:pt>
              </c:strCache>
              <c:extLst/>
            </c:strRef>
          </c:cat>
          <c:val>
            <c:numRef>
              <c:f>Sheet1!$C$6:$G$6</c:f>
              <c:numCache>
                <c:formatCode>General</c:formatCode>
                <c:ptCount val="5"/>
                <c:pt idx="0">
                  <c:v>25.31</c:v>
                </c:pt>
                <c:pt idx="1">
                  <c:v>32.07</c:v>
                </c:pt>
                <c:pt idx="2">
                  <c:v>66</c:v>
                </c:pt>
                <c:pt idx="3">
                  <c:v>24.6</c:v>
                </c:pt>
                <c:pt idx="4">
                  <c:v>25.1</c:v>
                </c:pt>
              </c:numCache>
            </c:numRef>
          </c:val>
          <c:smooth val="0"/>
          <c:extLst>
            <c:ext xmlns:c16="http://schemas.microsoft.com/office/drawing/2014/chart" uri="{C3380CC4-5D6E-409C-BE32-E72D297353CC}">
              <c16:uniqueId val="{00000003-42BC-4E45-BB43-47150DFD7161}"/>
            </c:ext>
          </c:extLst>
        </c:ser>
        <c:ser>
          <c:idx val="4"/>
          <c:order val="4"/>
          <c:tx>
            <c:strRef>
              <c:f>Sheet1!$A$7:$B$7</c:f>
              <c:strCache>
                <c:ptCount val="2"/>
                <c:pt idx="0">
                  <c:v>5</c:v>
                </c:pt>
                <c:pt idx="1">
                  <c:v>K. Manik</c:v>
                </c:pt>
              </c:strCache>
            </c:strRef>
          </c:tx>
          <c:spPr>
            <a:ln w="28575" cap="rnd">
              <a:solidFill>
                <a:schemeClr val="accent5"/>
              </a:solidFill>
              <a:round/>
            </a:ln>
            <a:effectLst/>
          </c:spPr>
          <c:marker>
            <c:symbol val="none"/>
          </c:marker>
          <c:cat>
            <c:strRef>
              <c:f>Sheet1!$C$1:$G$1</c:f>
              <c:strCache>
                <c:ptCount val="5"/>
                <c:pt idx="0">
                  <c:v>Zn</c:v>
                </c:pt>
                <c:pt idx="1">
                  <c:v>Fe</c:v>
                </c:pt>
                <c:pt idx="2">
                  <c:v>Carotenoid</c:v>
                </c:pt>
                <c:pt idx="3">
                  <c:v>Anthocyanin</c:v>
                </c:pt>
                <c:pt idx="4">
                  <c:v>Vitamin C</c:v>
                </c:pt>
              </c:strCache>
              <c:extLst/>
            </c:strRef>
          </c:cat>
          <c:val>
            <c:numRef>
              <c:f>Sheet1!$C$7:$G$7</c:f>
              <c:numCache>
                <c:formatCode>General</c:formatCode>
                <c:ptCount val="5"/>
                <c:pt idx="0">
                  <c:v>26.31</c:v>
                </c:pt>
                <c:pt idx="1">
                  <c:v>33.24</c:v>
                </c:pt>
                <c:pt idx="2">
                  <c:v>77</c:v>
                </c:pt>
                <c:pt idx="3">
                  <c:v>11.76</c:v>
                </c:pt>
                <c:pt idx="4">
                  <c:v>32.200000000000003</c:v>
                </c:pt>
              </c:numCache>
            </c:numRef>
          </c:val>
          <c:smooth val="0"/>
          <c:extLst>
            <c:ext xmlns:c16="http://schemas.microsoft.com/office/drawing/2014/chart" uri="{C3380CC4-5D6E-409C-BE32-E72D297353CC}">
              <c16:uniqueId val="{00000004-42BC-4E45-BB43-47150DFD7161}"/>
            </c:ext>
          </c:extLst>
        </c:ser>
        <c:ser>
          <c:idx val="5"/>
          <c:order val="5"/>
          <c:tx>
            <c:strRef>
              <c:f>Sheet1!$A$8:$B$8</c:f>
              <c:strCache>
                <c:ptCount val="2"/>
                <c:pt idx="0">
                  <c:v>6</c:v>
                </c:pt>
                <c:pt idx="1">
                  <c:v>K. Lohit</c:v>
                </c:pt>
              </c:strCache>
            </c:strRef>
          </c:tx>
          <c:spPr>
            <a:ln w="28575" cap="rnd">
              <a:solidFill>
                <a:schemeClr val="accent6"/>
              </a:solidFill>
              <a:round/>
            </a:ln>
            <a:effectLst/>
          </c:spPr>
          <c:marker>
            <c:symbol val="none"/>
          </c:marker>
          <c:cat>
            <c:strRef>
              <c:f>Sheet1!$C$1:$G$1</c:f>
              <c:strCache>
                <c:ptCount val="5"/>
                <c:pt idx="0">
                  <c:v>Zn</c:v>
                </c:pt>
                <c:pt idx="1">
                  <c:v>Fe</c:v>
                </c:pt>
                <c:pt idx="2">
                  <c:v>Carotenoid</c:v>
                </c:pt>
                <c:pt idx="3">
                  <c:v>Anthocyanin</c:v>
                </c:pt>
                <c:pt idx="4">
                  <c:v>Vitamin C</c:v>
                </c:pt>
              </c:strCache>
              <c:extLst/>
            </c:strRef>
          </c:cat>
          <c:val>
            <c:numRef>
              <c:f>Sheet1!$C$8:$G$8</c:f>
              <c:numCache>
                <c:formatCode>General</c:formatCode>
                <c:ptCount val="5"/>
                <c:pt idx="0">
                  <c:v>26.85</c:v>
                </c:pt>
                <c:pt idx="1">
                  <c:v>34.369999999999997</c:v>
                </c:pt>
                <c:pt idx="2">
                  <c:v>73.5</c:v>
                </c:pt>
                <c:pt idx="3">
                  <c:v>0.84</c:v>
                </c:pt>
                <c:pt idx="4">
                  <c:v>29.8</c:v>
                </c:pt>
              </c:numCache>
            </c:numRef>
          </c:val>
          <c:smooth val="0"/>
          <c:extLst>
            <c:ext xmlns:c16="http://schemas.microsoft.com/office/drawing/2014/chart" uri="{C3380CC4-5D6E-409C-BE32-E72D297353CC}">
              <c16:uniqueId val="{00000005-42BC-4E45-BB43-47150DFD7161}"/>
            </c:ext>
          </c:extLst>
        </c:ser>
        <c:dLbls>
          <c:showLegendKey val="0"/>
          <c:showVal val="0"/>
          <c:showCatName val="0"/>
          <c:showSerName val="0"/>
          <c:showPercent val="0"/>
          <c:showBubbleSize val="0"/>
        </c:dLbls>
        <c:smooth val="0"/>
        <c:axId val="1333154880"/>
        <c:axId val="1235319248"/>
      </c:lineChart>
      <c:catAx>
        <c:axId val="133315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35319248"/>
        <c:crosses val="autoZero"/>
        <c:auto val="1"/>
        <c:lblAlgn val="ctr"/>
        <c:lblOffset val="100"/>
        <c:noMultiLvlLbl val="0"/>
      </c:catAx>
      <c:valAx>
        <c:axId val="1235319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33154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TotalTime>
  <Pages>14</Pages>
  <Words>5240</Words>
  <Characters>29874</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PCBMB_15390 – Methodology of Nutritional and Yield Evaluation of Advanced Potato Clones for Eastern Indo-Gangetic Plains of India</dc:title>
  <dc:subject>Grammar-edited manuscript with APA reference reconciliation</dc:subject>
  <dc:creator>Rakesh Srivastava</dc:creator>
  <cp:lastModifiedBy>SDI 1065</cp:lastModifiedBy>
  <cp:revision>9</cp:revision>
  <dcterms:created xsi:type="dcterms:W3CDTF">2026-07-31T07:55:00Z</dcterms:created>
  <dcterms:modified xsi:type="dcterms:W3CDTF">2026-08-01T06:03:00Z</dcterms:modified>
</cp:coreProperties>
</file>