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942DB" w14:textId="77777777" w:rsidR="00BC3A84" w:rsidRPr="00B2376E" w:rsidRDefault="00033019" w:rsidP="00FB6672">
      <w:pPr>
        <w:spacing w:line="360" w:lineRule="auto"/>
        <w:jc w:val="both"/>
        <w:rPr>
          <w:rFonts w:ascii="Arial" w:hAnsi="Arial" w:cs="Arial"/>
          <w:b/>
          <w:lang w:val="en-US"/>
        </w:rPr>
      </w:pPr>
      <w:r w:rsidRPr="00B2376E">
        <w:rPr>
          <w:rFonts w:ascii="Arial" w:hAnsi="Arial" w:cs="Arial"/>
          <w:b/>
          <w:lang w:val="en-US"/>
        </w:rPr>
        <w:t xml:space="preserve">Isolation and Enumeration of soil bacterial population associated with rhizosphere soils of yellow leaf disease of </w:t>
      </w:r>
      <w:proofErr w:type="spellStart"/>
      <w:r w:rsidRPr="00B2376E">
        <w:rPr>
          <w:rFonts w:ascii="Arial" w:hAnsi="Arial" w:cs="Arial"/>
          <w:b/>
          <w:lang w:val="en-US"/>
        </w:rPr>
        <w:t>arecanut</w:t>
      </w:r>
      <w:proofErr w:type="spellEnd"/>
    </w:p>
    <w:p w14:paraId="6E76B834" w14:textId="77777777" w:rsidR="00F77818" w:rsidRPr="00B2376E" w:rsidRDefault="00F77818" w:rsidP="00FB6672">
      <w:pPr>
        <w:pStyle w:val="BodyText"/>
        <w:spacing w:before="1" w:line="360" w:lineRule="auto"/>
        <w:ind w:left="360" w:right="-22"/>
        <w:jc w:val="both"/>
        <w:rPr>
          <w:rFonts w:ascii="Arial" w:hAnsi="Arial" w:cs="Arial"/>
          <w:b/>
          <w:bCs/>
          <w:sz w:val="22"/>
          <w:szCs w:val="22"/>
        </w:rPr>
      </w:pPr>
    </w:p>
    <w:p w14:paraId="5B858B6A" w14:textId="77777777" w:rsidR="00C42BA5" w:rsidRPr="00B2376E" w:rsidRDefault="00C42BA5" w:rsidP="00FB6672">
      <w:pPr>
        <w:pStyle w:val="BodyText"/>
        <w:spacing w:before="1" w:line="360" w:lineRule="auto"/>
        <w:ind w:left="360" w:right="-22"/>
        <w:jc w:val="both"/>
        <w:rPr>
          <w:rFonts w:ascii="Arial" w:hAnsi="Arial" w:cs="Arial"/>
          <w:b/>
          <w:bCs/>
          <w:sz w:val="22"/>
          <w:szCs w:val="22"/>
        </w:rPr>
      </w:pPr>
    </w:p>
    <w:p w14:paraId="2D424A55" w14:textId="77777777" w:rsidR="00F77818" w:rsidRPr="00B2376E" w:rsidRDefault="00F77818" w:rsidP="00FB6672">
      <w:pPr>
        <w:pStyle w:val="BodyText"/>
        <w:spacing w:before="1" w:line="360" w:lineRule="auto"/>
        <w:ind w:left="360" w:right="-22"/>
        <w:jc w:val="both"/>
        <w:rPr>
          <w:rFonts w:ascii="Arial" w:hAnsi="Arial" w:cs="Arial"/>
          <w:b/>
          <w:bCs/>
          <w:sz w:val="22"/>
          <w:szCs w:val="22"/>
        </w:rPr>
      </w:pPr>
    </w:p>
    <w:p w14:paraId="632A7D23" w14:textId="77777777" w:rsidR="00F77818" w:rsidRPr="00B2376E" w:rsidRDefault="00F77818" w:rsidP="00FB6672">
      <w:pPr>
        <w:pStyle w:val="BodyText"/>
        <w:spacing w:before="1" w:line="360" w:lineRule="auto"/>
        <w:ind w:left="360" w:right="-22"/>
        <w:jc w:val="both"/>
        <w:rPr>
          <w:rFonts w:ascii="Arial" w:hAnsi="Arial" w:cs="Arial"/>
          <w:b/>
          <w:bCs/>
          <w:sz w:val="22"/>
          <w:szCs w:val="22"/>
        </w:rPr>
      </w:pPr>
    </w:p>
    <w:p w14:paraId="700F94E2" w14:textId="77777777" w:rsidR="00730AFF" w:rsidRPr="00B2376E" w:rsidRDefault="00730AFF" w:rsidP="00FB6672">
      <w:pPr>
        <w:pStyle w:val="BodyText"/>
        <w:spacing w:before="1" w:line="360" w:lineRule="auto"/>
        <w:ind w:right="-22"/>
        <w:jc w:val="both"/>
        <w:rPr>
          <w:rFonts w:ascii="Arial" w:hAnsi="Arial" w:cs="Arial"/>
          <w:b/>
          <w:bCs/>
          <w:sz w:val="22"/>
          <w:szCs w:val="22"/>
        </w:rPr>
      </w:pPr>
      <w:r w:rsidRPr="00B2376E">
        <w:rPr>
          <w:rFonts w:ascii="Arial" w:hAnsi="Arial" w:cs="Arial"/>
          <w:b/>
          <w:bCs/>
          <w:sz w:val="22"/>
          <w:szCs w:val="22"/>
        </w:rPr>
        <w:t>Abstract</w:t>
      </w:r>
    </w:p>
    <w:p w14:paraId="20CF94E5" w14:textId="77777777" w:rsidR="007B30C7" w:rsidRPr="00B2376E" w:rsidRDefault="007B30C7" w:rsidP="00FB6672">
      <w:pPr>
        <w:pStyle w:val="pdq2pgselectionanchorcontainer"/>
        <w:spacing w:line="360" w:lineRule="auto"/>
        <w:jc w:val="both"/>
        <w:rPr>
          <w:rFonts w:ascii="Arial" w:hAnsi="Arial" w:cs="Arial"/>
          <w:sz w:val="22"/>
          <w:szCs w:val="22"/>
        </w:rPr>
      </w:pPr>
      <w:r w:rsidRPr="00B2376E">
        <w:rPr>
          <w:rFonts w:ascii="Arial" w:hAnsi="Arial" w:cs="Arial"/>
          <w:sz w:val="22"/>
          <w:szCs w:val="22"/>
        </w:rPr>
        <w:t>Yellow Leaf Disease (YLD) is one of the most destructive diseases affecting arecanut, causing severe yield reduction and a decline in palm vigour. The present study was undertaken to isolate, enumerate, and characterise culturable rhizosphere bacterial communities associated with healthy and YLD-affected arecanut palms. Rhizosphere soil samples were collected from healthy and diseased gardens, and bacterial colonies were isolated using serial dilution and the spread-plate technique on nutrient agar medium. The purified isolates were characterised based on colony morphology, Gram reaction, and cell morphology. A total of 33 bacterial isolates were obtained and characterised. Of these, 29 isolates (87.88%) were Gram-positive, whereas only four isolates (12.12%) were Gram-negative, indicating the predominance of Gram-positive bacteria in the arecanut rhizosphere. Colony morphology exhibited considerable diversity in colour and shape, with predominantly circular (73%) and serrated (27%) colonies. Microscopic examination revealed both cocci and rod-shaped bacterial cells. The predominance of Gram-positive bacteria and the higher culturable bacterial population in healthy rhizosphere soils suggest the presence of microbial communities that may contribute to nutrient cycling, plant growth promotion, and the suppression of soil-borne pathogens. These findings provide baseline information on culturable bacterial diversity associated with healthy and YLD-affected arecanut rhizospheres.</w:t>
      </w:r>
    </w:p>
    <w:p w14:paraId="2C6D583B" w14:textId="77777777" w:rsidR="00B2376E" w:rsidRDefault="007B30C7" w:rsidP="00B2376E">
      <w:pPr>
        <w:pStyle w:val="pdq2pgselectionanchorcontainer"/>
      </w:pPr>
      <w:r w:rsidRPr="00B2376E">
        <w:rPr>
          <w:rStyle w:val="Strong"/>
          <w:rFonts w:ascii="Arial" w:eastAsiaTheme="majorEastAsia" w:hAnsi="Arial" w:cs="Arial"/>
          <w:sz w:val="22"/>
          <w:szCs w:val="22"/>
        </w:rPr>
        <w:t>Keywords:</w:t>
      </w:r>
      <w:r w:rsidR="00B2376E">
        <w:rPr>
          <w:rStyle w:val="Emphasis"/>
          <w:rFonts w:ascii="Arial" w:eastAsiaTheme="majorEastAsia" w:hAnsi="Arial" w:cs="Arial"/>
          <w:sz w:val="22"/>
          <w:szCs w:val="22"/>
        </w:rPr>
        <w:t xml:space="preserve"> </w:t>
      </w:r>
      <w:proofErr w:type="spellStart"/>
      <w:r w:rsidR="00B2376E">
        <w:t>Arecanut</w:t>
      </w:r>
      <w:proofErr w:type="spellEnd"/>
      <w:r w:rsidR="00B2376E">
        <w:t xml:space="preserve">, </w:t>
      </w:r>
      <w:r w:rsidR="00B2376E">
        <w:rPr>
          <w:rStyle w:val="Emphasis"/>
        </w:rPr>
        <w:t>Areca catechu</w:t>
      </w:r>
      <w:r w:rsidR="00B2376E">
        <w:t>, yellow leaf disease, rhizosphere bacteria, culturable bacteria, bacterial enumeration, Gram staining, colony morphology, healthy rhizosphere, diseased rhizosphere</w:t>
      </w:r>
    </w:p>
    <w:p w14:paraId="568FD328" w14:textId="79DEAC7E" w:rsidR="00730AFF" w:rsidRPr="00B2376E" w:rsidRDefault="00730AFF" w:rsidP="00FB6672">
      <w:pPr>
        <w:pStyle w:val="NormalWeb"/>
        <w:spacing w:line="360" w:lineRule="auto"/>
        <w:jc w:val="both"/>
        <w:rPr>
          <w:rFonts w:ascii="Arial" w:hAnsi="Arial" w:cs="Arial"/>
          <w:b/>
          <w:bCs/>
          <w:sz w:val="22"/>
          <w:szCs w:val="22"/>
        </w:rPr>
      </w:pPr>
    </w:p>
    <w:p w14:paraId="66A487AF" w14:textId="77777777" w:rsidR="00730AFF" w:rsidRPr="00B2376E" w:rsidRDefault="007B6E2F" w:rsidP="00FB6672">
      <w:pPr>
        <w:pStyle w:val="BodyText"/>
        <w:spacing w:before="1" w:line="360" w:lineRule="auto"/>
        <w:ind w:right="-22"/>
        <w:jc w:val="both"/>
        <w:rPr>
          <w:rFonts w:ascii="Arial" w:hAnsi="Arial" w:cs="Arial"/>
          <w:b/>
          <w:bCs/>
          <w:sz w:val="22"/>
          <w:szCs w:val="22"/>
        </w:rPr>
      </w:pPr>
      <w:r w:rsidRPr="00B2376E">
        <w:rPr>
          <w:rFonts w:ascii="Arial" w:hAnsi="Arial" w:cs="Arial"/>
          <w:b/>
          <w:bCs/>
          <w:sz w:val="22"/>
          <w:szCs w:val="22"/>
        </w:rPr>
        <w:t xml:space="preserve">1. </w:t>
      </w:r>
      <w:r w:rsidR="00730AFF" w:rsidRPr="00B2376E">
        <w:rPr>
          <w:rFonts w:ascii="Arial" w:hAnsi="Arial" w:cs="Arial"/>
          <w:b/>
          <w:bCs/>
          <w:sz w:val="22"/>
          <w:szCs w:val="22"/>
        </w:rPr>
        <w:t>Introduction</w:t>
      </w:r>
    </w:p>
    <w:p w14:paraId="50F642D4" w14:textId="77777777" w:rsidR="00AE5764" w:rsidRPr="00B2376E" w:rsidRDefault="00AE5764" w:rsidP="00FB6672">
      <w:pPr>
        <w:pStyle w:val="BodyText"/>
        <w:spacing w:before="1" w:line="360" w:lineRule="auto"/>
        <w:ind w:right="-22"/>
        <w:jc w:val="both"/>
        <w:rPr>
          <w:rFonts w:ascii="Arial" w:hAnsi="Arial" w:cs="Arial"/>
          <w:sz w:val="22"/>
          <w:szCs w:val="22"/>
        </w:rPr>
      </w:pPr>
      <w:r w:rsidRPr="00B2376E">
        <w:rPr>
          <w:rFonts w:ascii="Arial" w:hAnsi="Arial" w:cs="Arial"/>
          <w:sz w:val="22"/>
          <w:szCs w:val="22"/>
        </w:rPr>
        <w:t xml:space="preserve">Arecanut is one of the most important crops cultivated in tropical and subtropical regions. As a commercial plantation crop, it contributes significantly to the livelihoods and rural economy of farming communities, particularly in India. India is the largest producer and consumer of arecanut, with Karnataka accounting for a major share of national production. The crop is </w:t>
      </w:r>
      <w:r w:rsidRPr="00B2376E">
        <w:rPr>
          <w:rFonts w:ascii="Arial" w:hAnsi="Arial" w:cs="Arial"/>
          <w:sz w:val="22"/>
          <w:szCs w:val="22"/>
        </w:rPr>
        <w:lastRenderedPageBreak/>
        <w:t>constrained by several biotic and abiotic factors, among which yellow leaf disease (YLD) is one of the most destructive diseases affecting the productivity and sustainability of arecanut cultivation. The disease is characterised by progressive leaf yellowing, reduced palm vigour, and declining yield and may eventually lead to the death of severely affected palms. It is often associated with complex interactions among pathogens, the host plant, the soil environment, and rhizosphere microorganisms (ICAR–Central Plantation Crops Research Institute, 2022).</w:t>
      </w:r>
    </w:p>
    <w:p w14:paraId="126E9B55" w14:textId="77777777" w:rsidR="009A4EC5" w:rsidRPr="00B2376E" w:rsidRDefault="009A4EC5" w:rsidP="00FB6672">
      <w:pPr>
        <w:pStyle w:val="BodyText"/>
        <w:spacing w:before="1" w:line="360" w:lineRule="auto"/>
        <w:ind w:right="-22"/>
        <w:jc w:val="both"/>
        <w:rPr>
          <w:rFonts w:ascii="Arial" w:hAnsi="Arial" w:cs="Arial"/>
          <w:sz w:val="22"/>
          <w:szCs w:val="22"/>
        </w:rPr>
      </w:pPr>
      <w:r w:rsidRPr="00B2376E">
        <w:rPr>
          <w:rFonts w:ascii="Arial" w:hAnsi="Arial" w:cs="Arial"/>
          <w:sz w:val="22"/>
          <w:szCs w:val="22"/>
        </w:rPr>
        <w:t>The rhizosphere is a biologically active zone surrounding plant roots that harbours diverse microorganisms essential for plant growth and soil health (Brenner et al., 2005). Rhizosphere bacteria contribute to nutrient cycling, organic matter decomposition, nitrogen fixation, phosphate solubilisation, the production of plant growth-promoting substances (Lugtenberg &amp; Kamilova, 2009; Kennedy &amp; Smith, 1995), and the suppression of plant pathogens. Soil properties, root exudates, and the physiological condition of the host plant influence the composition of bacterial communities. Disease-induced changes in root physiology can alter rhizosphere bacterial populations, thereby affecting soil microbial ecology and plant health (Sylvia et al., 2005).</w:t>
      </w:r>
    </w:p>
    <w:p w14:paraId="3849B6F7" w14:textId="77777777" w:rsidR="00B17BCE" w:rsidRPr="00B2376E" w:rsidRDefault="00000000">
      <w:pPr>
        <w:pStyle w:val="BodyText"/>
        <w:spacing w:before="1" w:line="360" w:lineRule="auto"/>
        <w:ind w:right="-22"/>
        <w:jc w:val="both"/>
        <w:rPr>
          <w:rFonts w:ascii="Arial" w:hAnsi="Arial" w:cs="Arial"/>
          <w:sz w:val="22"/>
          <w:szCs w:val="22"/>
        </w:rPr>
      </w:pPr>
      <w:r w:rsidRPr="00B2376E">
        <w:rPr>
          <w:rFonts w:ascii="Arial" w:eastAsia="Arial" w:hAnsi="Arial"/>
          <w:b/>
          <w:sz w:val="22"/>
        </w:rPr>
        <w:t>Recent evidence further indicates that rhizosphere processes mediate nutrient availability, while culturable plant growth-promoting rhizobacteria can be differentiated through morphological, biochemical, and molecular characterisation and evaluated for antagonistic activity against soil-borne fungi (Adal, 2023; Neware et al., 2024).</w:t>
      </w:r>
    </w:p>
    <w:p w14:paraId="7EFCE636" w14:textId="77777777" w:rsidR="00956C3C" w:rsidRPr="00B2376E" w:rsidRDefault="00956C3C" w:rsidP="00FB6672">
      <w:pPr>
        <w:pStyle w:val="BodyText"/>
        <w:spacing w:before="1" w:line="360" w:lineRule="auto"/>
        <w:ind w:right="-22"/>
        <w:jc w:val="both"/>
        <w:rPr>
          <w:rFonts w:ascii="Arial" w:hAnsi="Arial" w:cs="Arial"/>
          <w:sz w:val="22"/>
          <w:szCs w:val="22"/>
        </w:rPr>
      </w:pPr>
      <w:r w:rsidRPr="00B2376E">
        <w:rPr>
          <w:rFonts w:ascii="Arial" w:hAnsi="Arial" w:cs="Arial"/>
          <w:sz w:val="22"/>
          <w:szCs w:val="22"/>
        </w:rPr>
        <w:t>Published evidence suggests that plant diseases can modify the diversity and abundance of rhizosphere microorganisms, resulting in shifts in microbial populations that may either enhance or reduce the resilience of the soil ecosystem. Healthy rhizospheres generally harbour diverse and beneficial bacterial populations that contribute to nutrient acquisition and natural disease suppression (Bhat et al., 2016; Talwar &amp; Chatli, 2018). In contrast, diseased plants often exhibit reduced microbial diversity and altered microbial populations because of changes in root exudation patterns, nutrient availability, and root physiology (Bhattacharyya &amp; Jha, 2012).</w:t>
      </w:r>
    </w:p>
    <w:p w14:paraId="4718A692" w14:textId="77777777" w:rsidR="00B17BCE" w:rsidRPr="00B2376E" w:rsidRDefault="00000000">
      <w:pPr>
        <w:pStyle w:val="BodyText"/>
        <w:spacing w:before="1" w:line="360" w:lineRule="auto"/>
        <w:ind w:right="-22"/>
        <w:jc w:val="both"/>
        <w:rPr>
          <w:rFonts w:ascii="Arial" w:hAnsi="Arial" w:cs="Arial"/>
          <w:sz w:val="22"/>
          <w:szCs w:val="22"/>
        </w:rPr>
      </w:pPr>
      <w:r w:rsidRPr="00B2376E">
        <w:rPr>
          <w:rFonts w:ascii="Arial" w:eastAsia="Arial" w:hAnsi="Arial"/>
          <w:b/>
          <w:sz w:val="22"/>
        </w:rPr>
        <w:t>Recent studies have also shown that plant disease can alter bacterial and fungal communities across below- and above-ground compartments and that pathogen-induced shifts in root exudates can influence the recruitment of disease-suppressive rhizosphere bacteria (Cao et al., 2024; Jin et al., 2024).</w:t>
      </w:r>
    </w:p>
    <w:p w14:paraId="17BAF9BF" w14:textId="77777777" w:rsidR="00956C3C" w:rsidRPr="00B2376E" w:rsidRDefault="009A4EC5" w:rsidP="00FB6672">
      <w:pPr>
        <w:pStyle w:val="BodyText"/>
        <w:spacing w:before="1" w:line="360" w:lineRule="auto"/>
        <w:ind w:right="-22"/>
        <w:jc w:val="both"/>
        <w:rPr>
          <w:rFonts w:ascii="Arial" w:hAnsi="Arial" w:cs="Arial"/>
          <w:sz w:val="22"/>
          <w:szCs w:val="22"/>
        </w:rPr>
      </w:pPr>
      <w:r w:rsidRPr="00B2376E">
        <w:rPr>
          <w:rFonts w:ascii="Arial" w:hAnsi="Arial" w:cs="Arial"/>
          <w:sz w:val="22"/>
          <w:szCs w:val="22"/>
        </w:rPr>
        <w:t xml:space="preserve">Despite the economic significance of YLD, information on microbial communities, particularly fungal and bacterial communities associated with the rhizosphere soils of healthy and YLD-affected arecanut palms, remains limited. This gap restricts comparative understanding of disease-associated changes in culturable bacterial abundance and phenotypic diversity </w:t>
      </w:r>
      <w:r w:rsidRPr="00B2376E">
        <w:rPr>
          <w:rFonts w:ascii="Arial" w:hAnsi="Arial" w:cs="Arial"/>
          <w:sz w:val="22"/>
          <w:szCs w:val="22"/>
        </w:rPr>
        <w:lastRenderedPageBreak/>
        <w:t>within the arecanut rhizosphere. Clarifying these microbial patterns may provide insights into changes associated with disease and support the development of sustainable disease-management strategies. Therefore, the present study was undertaken to isolate, enumerate, and characterise culturable bacterial populations associated with the rhizosphere soils of healthy and YLD-affected arecanut palms.</w:t>
      </w:r>
    </w:p>
    <w:p w14:paraId="7B0BCB88" w14:textId="77777777" w:rsidR="00956C3C" w:rsidRPr="00B2376E" w:rsidRDefault="00956C3C" w:rsidP="00FB6672">
      <w:pPr>
        <w:pStyle w:val="BodyText"/>
        <w:spacing w:before="1" w:line="360" w:lineRule="auto"/>
        <w:ind w:right="-22"/>
        <w:jc w:val="both"/>
        <w:rPr>
          <w:rFonts w:ascii="Arial" w:hAnsi="Arial" w:cs="Arial"/>
          <w:b/>
          <w:bCs/>
          <w:sz w:val="22"/>
          <w:szCs w:val="22"/>
        </w:rPr>
      </w:pPr>
    </w:p>
    <w:p w14:paraId="0E8C14A0" w14:textId="77777777" w:rsidR="00033019" w:rsidRPr="00B2376E" w:rsidRDefault="007B6E2F" w:rsidP="00FB6672">
      <w:pPr>
        <w:pStyle w:val="BodyText"/>
        <w:spacing w:before="1" w:line="360" w:lineRule="auto"/>
        <w:ind w:right="-22"/>
        <w:jc w:val="both"/>
        <w:rPr>
          <w:rFonts w:ascii="Arial" w:hAnsi="Arial" w:cs="Arial"/>
          <w:b/>
          <w:bCs/>
          <w:sz w:val="22"/>
          <w:szCs w:val="22"/>
        </w:rPr>
      </w:pPr>
      <w:r w:rsidRPr="00B2376E">
        <w:rPr>
          <w:rFonts w:ascii="Arial" w:hAnsi="Arial" w:cs="Arial"/>
          <w:b/>
          <w:bCs/>
          <w:sz w:val="22"/>
          <w:szCs w:val="22"/>
        </w:rPr>
        <w:t xml:space="preserve">2. </w:t>
      </w:r>
      <w:r w:rsidR="00033019" w:rsidRPr="00B2376E">
        <w:rPr>
          <w:rFonts w:ascii="Arial" w:hAnsi="Arial" w:cs="Arial"/>
          <w:b/>
          <w:bCs/>
          <w:sz w:val="22"/>
          <w:szCs w:val="22"/>
        </w:rPr>
        <w:t>Materials and methods</w:t>
      </w:r>
    </w:p>
    <w:p w14:paraId="2EFFE71D" w14:textId="77777777" w:rsidR="00033019" w:rsidRPr="00B2376E" w:rsidRDefault="007B6E2F" w:rsidP="00FB6672">
      <w:pPr>
        <w:pStyle w:val="BodyText"/>
        <w:spacing w:before="1" w:line="360" w:lineRule="auto"/>
        <w:ind w:right="-22"/>
        <w:jc w:val="both"/>
        <w:rPr>
          <w:rFonts w:ascii="Arial" w:hAnsi="Arial" w:cs="Arial"/>
          <w:b/>
          <w:bCs/>
          <w:sz w:val="22"/>
          <w:szCs w:val="22"/>
        </w:rPr>
      </w:pPr>
      <w:r w:rsidRPr="00B2376E">
        <w:rPr>
          <w:rFonts w:ascii="Arial" w:hAnsi="Arial" w:cs="Arial"/>
          <w:b/>
          <w:bCs/>
          <w:sz w:val="22"/>
          <w:szCs w:val="22"/>
        </w:rPr>
        <w:t>2.1 Isolation and Enumeration of Rhizosphere Bacteria</w:t>
      </w:r>
    </w:p>
    <w:p w14:paraId="2A5204B9" w14:textId="77777777" w:rsidR="00033019" w:rsidRPr="00B2376E" w:rsidRDefault="00033019" w:rsidP="00FB6672">
      <w:pPr>
        <w:pStyle w:val="BodyText"/>
        <w:spacing w:before="1" w:line="360" w:lineRule="auto"/>
        <w:ind w:right="-22"/>
        <w:jc w:val="both"/>
        <w:rPr>
          <w:rFonts w:ascii="Arial" w:hAnsi="Arial" w:cs="Arial"/>
          <w:sz w:val="22"/>
          <w:szCs w:val="22"/>
        </w:rPr>
      </w:pPr>
      <w:r w:rsidRPr="00B2376E">
        <w:rPr>
          <w:rFonts w:ascii="Arial" w:hAnsi="Arial" w:cs="Arial"/>
          <w:sz w:val="22"/>
          <w:szCs w:val="22"/>
        </w:rPr>
        <w:t>Bacteria were isolated from rhizosphere soil collected from experimental fields containing healthy and YLD-affected palms. One gram of each soil sample was suspended in sterile distilled water, and the soil suspensions were serially diluted tenfold to 10</w:t>
      </w:r>
      <w:r w:rsidRPr="00B2376E">
        <w:rPr>
          <w:rFonts w:ascii="Arial" w:hAnsi="Arial" w:cs="Arial"/>
          <w:sz w:val="22"/>
          <w:szCs w:val="22"/>
          <w:vertAlign w:val="superscript"/>
        </w:rPr>
        <w:t>−4</w:t>
      </w:r>
      <w:r w:rsidRPr="00B2376E">
        <w:rPr>
          <w:rFonts w:ascii="Arial" w:hAnsi="Arial" w:cs="Arial"/>
          <w:sz w:val="22"/>
          <w:szCs w:val="22"/>
        </w:rPr>
        <w:t xml:space="preserve"> and 10</w:t>
      </w:r>
      <w:r w:rsidRPr="00B2376E">
        <w:rPr>
          <w:rFonts w:ascii="Arial" w:hAnsi="Arial" w:cs="Arial"/>
          <w:sz w:val="22"/>
          <w:szCs w:val="22"/>
          <w:vertAlign w:val="superscript"/>
        </w:rPr>
        <w:t>−5</w:t>
      </w:r>
      <w:r w:rsidRPr="00B2376E">
        <w:rPr>
          <w:rFonts w:ascii="Arial" w:hAnsi="Arial" w:cs="Arial"/>
          <w:sz w:val="22"/>
          <w:szCs w:val="22"/>
        </w:rPr>
        <w:t xml:space="preserve"> and plated on nutrient agar (NA) using the spread-plate technique (Aneja, 2003). The plates were incubated at 25 ± 1 °C, and colonies were observed after 2 days. After incubation, colonies exhibiting distinct morphological characteristics were selected and purified by repeated streaking on fresh nutrient agar plates.</w:t>
      </w:r>
    </w:p>
    <w:p w14:paraId="278C0819" w14:textId="77777777" w:rsidR="00BD7C98" w:rsidRPr="00B2376E" w:rsidRDefault="007B6E2F" w:rsidP="00FB6672">
      <w:pPr>
        <w:spacing w:line="360" w:lineRule="auto"/>
        <w:jc w:val="both"/>
        <w:rPr>
          <w:rFonts w:ascii="Arial" w:hAnsi="Arial" w:cs="Arial"/>
          <w:b/>
          <w:bCs/>
        </w:rPr>
      </w:pPr>
      <w:r w:rsidRPr="00B2376E">
        <w:rPr>
          <w:rFonts w:ascii="Arial" w:hAnsi="Arial" w:cs="Arial"/>
          <w:b/>
          <w:bCs/>
        </w:rPr>
        <w:t>2.2 Gram Staining</w:t>
      </w:r>
    </w:p>
    <w:p w14:paraId="421F6739" w14:textId="77777777" w:rsidR="00BD7C98" w:rsidRPr="00B2376E" w:rsidRDefault="00A93F54" w:rsidP="00FB6672">
      <w:pPr>
        <w:tabs>
          <w:tab w:val="left" w:pos="1681"/>
        </w:tabs>
        <w:spacing w:before="76" w:line="360" w:lineRule="auto"/>
        <w:ind w:right="26"/>
        <w:jc w:val="both"/>
        <w:rPr>
          <w:rFonts w:ascii="Arial" w:hAnsi="Arial" w:cs="Arial"/>
          <w:iCs/>
        </w:rPr>
      </w:pPr>
      <w:r w:rsidRPr="00B2376E">
        <w:rPr>
          <w:rFonts w:ascii="Arial" w:hAnsi="Arial" w:cs="Arial"/>
          <w:iCs/>
        </w:rPr>
        <w:t>Purified bacterial isolates were subjected to Gram staining following the procedure described by Kaur and Khanna (2017). Smears of bacterial cultures were prepared on clean glass slides, heat-fixed, and sequentially stained with crystal violet, Gram's iodine, 95% ethanol, and safranin. The stained slides were examined under a compound microscope using a 100× oil-immersion objective to determine the Gram reaction and cell morphology of the isolates.</w:t>
      </w:r>
    </w:p>
    <w:p w14:paraId="49C7BBC4" w14:textId="77777777" w:rsidR="00033019" w:rsidRPr="00B2376E" w:rsidRDefault="007B6E2F" w:rsidP="00FB6672">
      <w:pPr>
        <w:tabs>
          <w:tab w:val="left" w:pos="1681"/>
        </w:tabs>
        <w:spacing w:before="76" w:line="360" w:lineRule="auto"/>
        <w:ind w:right="26"/>
        <w:jc w:val="both"/>
        <w:rPr>
          <w:rFonts w:ascii="Arial" w:hAnsi="Arial" w:cs="Arial"/>
          <w:b/>
          <w:bCs/>
          <w:iCs/>
        </w:rPr>
      </w:pPr>
      <w:r w:rsidRPr="00B2376E">
        <w:rPr>
          <w:rFonts w:ascii="Arial" w:hAnsi="Arial" w:cs="Arial"/>
          <w:b/>
          <w:bCs/>
          <w:iCs/>
        </w:rPr>
        <w:t>2.3 Colony Characterisation of Bacterial Colonies</w:t>
      </w:r>
    </w:p>
    <w:p w14:paraId="0E7B21AD" w14:textId="77777777" w:rsidR="00A93F54" w:rsidRPr="00B2376E" w:rsidRDefault="00A93F54" w:rsidP="00FB6672">
      <w:pPr>
        <w:pStyle w:val="BodyText"/>
        <w:tabs>
          <w:tab w:val="left" w:pos="8080"/>
        </w:tabs>
        <w:spacing w:before="1" w:line="360" w:lineRule="auto"/>
        <w:ind w:right="-22"/>
        <w:jc w:val="both"/>
        <w:rPr>
          <w:rFonts w:ascii="Arial" w:hAnsi="Arial" w:cs="Arial"/>
          <w:sz w:val="22"/>
          <w:szCs w:val="22"/>
          <w:lang w:val="en-IN"/>
        </w:rPr>
      </w:pPr>
      <w:r w:rsidRPr="00B2376E">
        <w:rPr>
          <w:rFonts w:ascii="Arial" w:hAnsi="Arial" w:cs="Arial"/>
          <w:sz w:val="22"/>
          <w:szCs w:val="22"/>
          <w:lang w:val="en-IN"/>
        </w:rPr>
        <w:t>Purified bacterial isolates were characterised based on their cultural and morphological characteristics. Individual colonies obtained after repeated streaking were maintained on fresh nutrient agar slants for further observation. Colony characteristics, including colour, size, shape, margin, elevation, surface texture, opacity, and pigmentation, were recorded after incubation. The Gram reaction, together with colony morphology, was used for the preliminary characterisation of the bacterial isolates (Seeley et al., 1991).</w:t>
      </w:r>
    </w:p>
    <w:p w14:paraId="24C7AAAA" w14:textId="77777777" w:rsidR="00033019" w:rsidRPr="00B2376E" w:rsidRDefault="00D65E4B" w:rsidP="00FB6672">
      <w:pPr>
        <w:spacing w:line="360" w:lineRule="auto"/>
        <w:jc w:val="both"/>
        <w:rPr>
          <w:rFonts w:ascii="Arial" w:hAnsi="Arial" w:cs="Arial"/>
          <w:b/>
          <w:bCs/>
          <w:lang w:val="en-US"/>
        </w:rPr>
      </w:pPr>
      <w:r w:rsidRPr="00B2376E">
        <w:rPr>
          <w:rFonts w:ascii="Arial" w:hAnsi="Arial" w:cs="Arial"/>
          <w:b/>
          <w:bCs/>
          <w:lang w:val="en-US"/>
        </w:rPr>
        <w:t>3. Results and Discussion</w:t>
      </w:r>
    </w:p>
    <w:p w14:paraId="1AEAF3CF" w14:textId="77777777" w:rsidR="00FB6EA8" w:rsidRPr="00B2376E" w:rsidRDefault="00E92D0B" w:rsidP="00FB6672">
      <w:pPr>
        <w:spacing w:line="360" w:lineRule="auto"/>
        <w:jc w:val="both"/>
        <w:rPr>
          <w:rFonts w:ascii="Arial" w:hAnsi="Arial" w:cs="Arial"/>
          <w:lang w:val="en-US"/>
        </w:rPr>
      </w:pPr>
      <w:r w:rsidRPr="00B2376E">
        <w:rPr>
          <w:rFonts w:ascii="Arial" w:hAnsi="Arial" w:cs="Arial"/>
          <w:color w:val="000000" w:themeColor="text1"/>
        </w:rPr>
        <w:t xml:space="preserve">A total of thirty-three bacterial isolates were obtained and maintained as pure cultures on Petri plates containing nutrient agar medium. The pure-culture plates were used for Gram staining to determine the Gram-positive or Gram-negative status of the colonies. The serial-dilution plates showed considerable variability in morphological characteristics, including </w:t>
      </w:r>
      <w:r w:rsidRPr="00B2376E">
        <w:rPr>
          <w:rFonts w:ascii="Arial" w:hAnsi="Arial" w:cs="Arial"/>
          <w:color w:val="000000" w:themeColor="text1"/>
        </w:rPr>
        <w:lastRenderedPageBreak/>
        <w:t>colony colour, shape, texture, pigmentation, and appearance. Colonies with the same morphological characteristics were assigned to the same group.</w:t>
      </w:r>
    </w:p>
    <w:p w14:paraId="4297FA94" w14:textId="77777777" w:rsidR="007B30C7" w:rsidRPr="00B2376E" w:rsidRDefault="005410D7" w:rsidP="00FB6672">
      <w:pPr>
        <w:spacing w:line="360" w:lineRule="auto"/>
        <w:jc w:val="both"/>
        <w:rPr>
          <w:rFonts w:ascii="Arial" w:hAnsi="Arial" w:cs="Arial"/>
        </w:rPr>
      </w:pPr>
      <w:r w:rsidRPr="00B2376E">
        <w:rPr>
          <w:rFonts w:ascii="Arial" w:hAnsi="Arial" w:cs="Arial"/>
        </w:rPr>
        <w:t>A total of 33 bacterial isolates were obtained from arecanut rhizosphere soil and characterised based on Gram reaction, colony morphology, and cell shape using the standard Gram-staining technique. Of these isolates, 29 (87.88%) were Gram-positive and only four (12.12%) were Gram-negative, indicating the predominance of Gram-positive bacteria in the arecanut rhizosphere (Cappuccino &amp; Sherman, 2014). The Gram-staining reactions of the isolates are shown in Fig. 1.</w:t>
      </w:r>
    </w:p>
    <w:p w14:paraId="5B74EA50" w14:textId="77777777" w:rsidR="007B30C7" w:rsidRPr="00B2376E" w:rsidRDefault="005410D7" w:rsidP="00FB6672">
      <w:pPr>
        <w:spacing w:line="360" w:lineRule="auto"/>
        <w:jc w:val="both"/>
        <w:rPr>
          <w:rFonts w:ascii="Arial" w:hAnsi="Arial" w:cs="Arial"/>
        </w:rPr>
      </w:pPr>
      <w:r w:rsidRPr="00B2376E">
        <w:rPr>
          <w:rFonts w:ascii="Arial" w:hAnsi="Arial" w:cs="Arial"/>
        </w:rPr>
        <w:t>Recent rhizosphere microbiome studies indicate that root-associated bacterial communities are shaped by plant species, soil conditions, and plant health status and that shifts in these communities may influence nutrient acquisition and disease resilience (Berendsen et al., 2012; Bulgarelli et al., 2013; Trivedi et al., 2020). Because culture-dependent isolation and Gram-staining observations provide only preliminary taxonomic resolution, confirmation through 16S rRNA gene sequencing is required before isolates can be assigned to the genus or species level (Janda &amp; Abbott, 2007).</w:t>
      </w:r>
    </w:p>
    <w:p w14:paraId="2F4DE424" w14:textId="77777777" w:rsidR="00893060" w:rsidRPr="00B2376E" w:rsidRDefault="001D3042" w:rsidP="00FB6672">
      <w:pPr>
        <w:spacing w:before="160" w:line="360" w:lineRule="auto"/>
        <w:jc w:val="both"/>
        <w:rPr>
          <w:rFonts w:ascii="Arial" w:hAnsi="Arial" w:cs="Arial"/>
          <w:color w:val="000000" w:themeColor="text1"/>
        </w:rPr>
      </w:pPr>
      <w:r w:rsidRPr="00B2376E">
        <w:rPr>
          <w:rFonts w:ascii="Arial" w:hAnsi="Arial" w:cs="Arial"/>
          <w:noProof/>
          <w:lang w:val="en-US"/>
        </w:rPr>
        <w:drawing>
          <wp:inline distT="0" distB="0" distL="0" distR="0" wp14:anchorId="21157480" wp14:editId="358F59C8">
            <wp:extent cx="2981325" cy="4731026"/>
            <wp:effectExtent l="0" t="0" r="0" b="0"/>
            <wp:docPr id="16191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100" name=""/>
                    <pic:cNvPicPr/>
                  </pic:nvPicPr>
                  <pic:blipFill rotWithShape="1">
                    <a:blip r:embed="rId7"/>
                    <a:srcRect b="4665"/>
                    <a:stretch>
                      <a:fillRect/>
                    </a:stretch>
                  </pic:blipFill>
                  <pic:spPr bwMode="auto">
                    <a:xfrm>
                      <a:off x="0" y="0"/>
                      <a:ext cx="2981325" cy="4731026"/>
                    </a:xfrm>
                    <a:prstGeom prst="rect">
                      <a:avLst/>
                    </a:prstGeom>
                    <a:ln>
                      <a:noFill/>
                    </a:ln>
                    <a:extLst>
                      <a:ext uri="{53640926-AAD7-44D8-BBD7-CCE9431645EC}">
                        <a14:shadowObscured xmlns:a14="http://schemas.microsoft.com/office/drawing/2010/main"/>
                      </a:ext>
                    </a:extLst>
                  </pic:spPr>
                </pic:pic>
              </a:graphicData>
            </a:graphic>
          </wp:inline>
        </w:drawing>
      </w:r>
    </w:p>
    <w:p w14:paraId="5A361431" w14:textId="77777777" w:rsidR="00893060" w:rsidRPr="00B2376E" w:rsidRDefault="00893060" w:rsidP="00FB6672">
      <w:pPr>
        <w:spacing w:line="360" w:lineRule="auto"/>
        <w:jc w:val="both"/>
        <w:rPr>
          <w:rFonts w:ascii="Arial" w:hAnsi="Arial" w:cs="Arial"/>
          <w:b/>
          <w:lang w:val="en-US"/>
        </w:rPr>
      </w:pPr>
      <w:r w:rsidRPr="00B2376E">
        <w:rPr>
          <w:rFonts w:ascii="Arial" w:hAnsi="Arial" w:cs="Arial"/>
          <w:b/>
          <w:bCs/>
        </w:rPr>
        <w:lastRenderedPageBreak/>
        <w:t>Fig 1: Gram staining reaction of rhizosphere isolated bacterial isolates</w:t>
      </w:r>
    </w:p>
    <w:p w14:paraId="67B170D8" w14:textId="77777777" w:rsidR="00893060" w:rsidRPr="00B2376E" w:rsidRDefault="003970DA" w:rsidP="00FB6672">
      <w:pPr>
        <w:spacing w:before="160" w:line="360" w:lineRule="auto"/>
        <w:jc w:val="both"/>
        <w:rPr>
          <w:rFonts w:ascii="Arial" w:hAnsi="Arial" w:cs="Arial"/>
          <w:color w:val="000000" w:themeColor="text1"/>
        </w:rPr>
      </w:pPr>
      <w:r w:rsidRPr="00B2376E">
        <w:rPr>
          <w:rFonts w:ascii="Arial" w:hAnsi="Arial" w:cs="Arial"/>
          <w:color w:val="000000" w:themeColor="text1"/>
        </w:rPr>
        <w:t>The isolated colonies varied in colour, including pure white, creamy white, and yellowish white, as shown in Fig. 2. Two distinct colony shapes were observed.</w:t>
      </w:r>
    </w:p>
    <w:p w14:paraId="1D42EE87" w14:textId="77777777" w:rsidR="001D3042" w:rsidRPr="00B2376E" w:rsidRDefault="001D3042" w:rsidP="00FB6672">
      <w:pPr>
        <w:spacing w:before="160" w:line="360" w:lineRule="auto"/>
        <w:jc w:val="both"/>
        <w:rPr>
          <w:rFonts w:ascii="Arial" w:hAnsi="Arial" w:cs="Arial"/>
          <w:color w:val="000000" w:themeColor="text1"/>
        </w:rPr>
      </w:pPr>
      <w:r w:rsidRPr="00B2376E">
        <w:rPr>
          <w:rFonts w:ascii="Arial" w:hAnsi="Arial" w:cs="Arial"/>
          <w:noProof/>
          <w:lang w:val="en-US"/>
        </w:rPr>
        <w:drawing>
          <wp:inline distT="0" distB="0" distL="0" distR="0" wp14:anchorId="1215A68A" wp14:editId="63A2C915">
            <wp:extent cx="3476625" cy="5991225"/>
            <wp:effectExtent l="0" t="0" r="9525" b="9525"/>
            <wp:docPr id="208145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52503" name=""/>
                    <pic:cNvPicPr/>
                  </pic:nvPicPr>
                  <pic:blipFill>
                    <a:blip r:embed="rId8"/>
                    <a:stretch>
                      <a:fillRect/>
                    </a:stretch>
                  </pic:blipFill>
                  <pic:spPr>
                    <a:xfrm>
                      <a:off x="0" y="0"/>
                      <a:ext cx="3476625" cy="5991225"/>
                    </a:xfrm>
                    <a:prstGeom prst="rect">
                      <a:avLst/>
                    </a:prstGeom>
                  </pic:spPr>
                </pic:pic>
              </a:graphicData>
            </a:graphic>
          </wp:inline>
        </w:drawing>
      </w:r>
    </w:p>
    <w:p w14:paraId="2BC585A3" w14:textId="77777777" w:rsidR="001D3042" w:rsidRPr="00B2376E" w:rsidRDefault="001D3042" w:rsidP="00FB6672">
      <w:pPr>
        <w:spacing w:before="160" w:line="360" w:lineRule="auto"/>
        <w:jc w:val="both"/>
        <w:rPr>
          <w:rFonts w:ascii="Arial" w:hAnsi="Arial" w:cs="Arial"/>
          <w:color w:val="000000" w:themeColor="text1"/>
        </w:rPr>
      </w:pPr>
    </w:p>
    <w:p w14:paraId="53A49AD3" w14:textId="77777777" w:rsidR="00893060" w:rsidRPr="00B2376E" w:rsidRDefault="00893060" w:rsidP="00FB6672">
      <w:pPr>
        <w:spacing w:before="160" w:line="360" w:lineRule="auto"/>
        <w:jc w:val="both"/>
        <w:rPr>
          <w:rFonts w:ascii="Arial" w:hAnsi="Arial" w:cs="Arial"/>
          <w:color w:val="000000" w:themeColor="text1"/>
        </w:rPr>
      </w:pPr>
    </w:p>
    <w:p w14:paraId="6CD47DF8" w14:textId="77777777" w:rsidR="00893060" w:rsidRPr="00B2376E" w:rsidRDefault="00893060" w:rsidP="00FB6672">
      <w:pPr>
        <w:spacing w:before="160" w:line="360" w:lineRule="auto"/>
        <w:jc w:val="both"/>
        <w:rPr>
          <w:rFonts w:ascii="Arial" w:hAnsi="Arial" w:cs="Arial"/>
          <w:color w:val="000000" w:themeColor="text1"/>
        </w:rPr>
      </w:pPr>
      <w:r w:rsidRPr="00B2376E">
        <w:rPr>
          <w:rFonts w:ascii="Arial" w:hAnsi="Arial" w:cs="Arial"/>
          <w:color w:val="000000" w:themeColor="text1"/>
        </w:rPr>
        <w:t>Fig 2:</w:t>
      </w:r>
      <w:r w:rsidRPr="00B2376E">
        <w:rPr>
          <w:rFonts w:ascii="Arial" w:hAnsi="Arial" w:cs="Arial"/>
          <w:b/>
          <w:bCs/>
        </w:rPr>
        <w:t xml:space="preserve"> Microorganisms associated with rhizosphere soil of YLD affected and healthy areca palm</w:t>
      </w:r>
    </w:p>
    <w:p w14:paraId="2EF193D2" w14:textId="77777777" w:rsidR="007B30C7" w:rsidRPr="00B2376E" w:rsidRDefault="001D3042" w:rsidP="00FB6672">
      <w:pPr>
        <w:spacing w:line="360" w:lineRule="auto"/>
        <w:jc w:val="both"/>
        <w:rPr>
          <w:rFonts w:ascii="Arial" w:hAnsi="Arial" w:cs="Arial"/>
        </w:rPr>
      </w:pPr>
      <w:r w:rsidRPr="00B2376E">
        <w:rPr>
          <w:rFonts w:ascii="Arial" w:hAnsi="Arial" w:cs="Arial"/>
        </w:rPr>
        <w:t>Circular colonies accounted for 73% of the isolates, whereas serrated colonies accounted for 27%. Microscopic examination revealed both cocci and rod-shaped bacteria. All four Gram-</w:t>
      </w:r>
      <w:r w:rsidRPr="00B2376E">
        <w:rPr>
          <w:rFonts w:ascii="Arial" w:hAnsi="Arial" w:cs="Arial"/>
        </w:rPr>
        <w:lastRenderedPageBreak/>
        <w:t>negative isolates were cocci, whereas the Gram-positive group comprised both cocci and rod-shaped cells, as presented in Table 1.</w:t>
      </w:r>
    </w:p>
    <w:p w14:paraId="04C0BB88" w14:textId="77777777" w:rsidR="007B30C7" w:rsidRPr="00B2376E" w:rsidRDefault="001D3042" w:rsidP="00FB6672">
      <w:pPr>
        <w:spacing w:line="360" w:lineRule="auto"/>
        <w:jc w:val="both"/>
        <w:rPr>
          <w:rFonts w:ascii="Arial" w:hAnsi="Arial" w:cs="Arial"/>
        </w:rPr>
      </w:pPr>
      <w:r w:rsidRPr="00B2376E">
        <w:rPr>
          <w:rFonts w:ascii="Arial" w:hAnsi="Arial" w:cs="Arial"/>
        </w:rPr>
        <w:t>The observed variation in colony colour, margin, and cellular morphology is consistent with the expected phenotypic heterogeneity of rhizosphere bacteria, in which multiple bacterial phyla and functional groups may coexist around plant roots (Bulgarelli et al., 2013; Mendes et al., 2013). Such morphological variation is useful for the preliminary grouping of isolates, but functional interpretation requires biochemical, molecular, and plant-assay-based confirmation (Compant et al., 2010; Finkel et al., 2017; Janda &amp; Abbott, 2007).</w:t>
      </w:r>
    </w:p>
    <w:p w14:paraId="70E6F485" w14:textId="77777777" w:rsidR="008F2F84" w:rsidRPr="00B2376E" w:rsidRDefault="008F2F84" w:rsidP="00FB6672">
      <w:pPr>
        <w:spacing w:after="0" w:line="360" w:lineRule="auto"/>
        <w:ind w:firstLine="90"/>
        <w:jc w:val="both"/>
        <w:rPr>
          <w:rFonts w:ascii="Arial" w:hAnsi="Arial" w:cs="Arial"/>
          <w:b/>
        </w:rPr>
      </w:pPr>
      <w:r w:rsidRPr="00B2376E">
        <w:rPr>
          <w:rFonts w:ascii="Arial" w:hAnsi="Arial" w:cs="Arial"/>
          <w:b/>
        </w:rPr>
        <w:t xml:space="preserve">Table </w:t>
      </w:r>
      <w:r w:rsidR="0055494A" w:rsidRPr="00B2376E">
        <w:rPr>
          <w:rFonts w:ascii="Arial" w:hAnsi="Arial" w:cs="Arial"/>
          <w:b/>
        </w:rPr>
        <w:t>1</w:t>
      </w:r>
      <w:r w:rsidR="00604B1E" w:rsidRPr="00B2376E">
        <w:rPr>
          <w:rFonts w:ascii="Arial" w:hAnsi="Arial" w:cs="Arial"/>
          <w:b/>
        </w:rPr>
        <w:t>: Bacterial</w:t>
      </w:r>
      <w:r w:rsidRPr="00B2376E">
        <w:rPr>
          <w:rFonts w:ascii="Arial" w:hAnsi="Arial" w:cs="Arial"/>
          <w:b/>
        </w:rPr>
        <w:t xml:space="preserve"> colonies isolated from rhizosphere soil of areca palm</w:t>
      </w:r>
    </w:p>
    <w:tbl>
      <w:tblPr>
        <w:tblStyle w:val="TableGrid"/>
        <w:tblW w:w="8760" w:type="dxa"/>
        <w:tblLook w:val="04A0" w:firstRow="1" w:lastRow="0" w:firstColumn="1" w:lastColumn="0" w:noHBand="0" w:noVBand="1"/>
      </w:tblPr>
      <w:tblGrid>
        <w:gridCol w:w="1065"/>
        <w:gridCol w:w="1077"/>
        <w:gridCol w:w="1831"/>
        <w:gridCol w:w="1783"/>
        <w:gridCol w:w="1375"/>
        <w:gridCol w:w="1629"/>
      </w:tblGrid>
      <w:tr w:rsidR="008F2F84" w:rsidRPr="00B2376E" w14:paraId="36F4C65B" w14:textId="77777777" w:rsidTr="00E11F5F">
        <w:trPr>
          <w:trHeight w:hRule="exact" w:val="613"/>
        </w:trPr>
        <w:tc>
          <w:tcPr>
            <w:tcW w:w="1065" w:type="dxa"/>
            <w:vAlign w:val="center"/>
          </w:tcPr>
          <w:p w14:paraId="673F8148" w14:textId="77777777" w:rsidR="008F2F84" w:rsidRPr="00B2376E" w:rsidRDefault="008F2F84" w:rsidP="00FB6672">
            <w:pPr>
              <w:spacing w:line="360" w:lineRule="auto"/>
              <w:jc w:val="both"/>
              <w:rPr>
                <w:rFonts w:ascii="Arial" w:hAnsi="Arial" w:cs="Arial"/>
                <w:b/>
              </w:rPr>
            </w:pPr>
            <w:r w:rsidRPr="00B2376E">
              <w:rPr>
                <w:rFonts w:ascii="Arial" w:hAnsi="Arial" w:cs="Arial"/>
                <w:b/>
              </w:rPr>
              <w:t>Sl.no</w:t>
            </w:r>
          </w:p>
        </w:tc>
        <w:tc>
          <w:tcPr>
            <w:tcW w:w="1077" w:type="dxa"/>
            <w:vAlign w:val="center"/>
          </w:tcPr>
          <w:p w14:paraId="0A4FA7D0" w14:textId="77777777" w:rsidR="008F2F84" w:rsidRPr="00B2376E" w:rsidRDefault="008F2F84" w:rsidP="00FB6672">
            <w:pPr>
              <w:spacing w:line="360" w:lineRule="auto"/>
              <w:jc w:val="both"/>
              <w:rPr>
                <w:rFonts w:ascii="Arial" w:hAnsi="Arial" w:cs="Arial"/>
                <w:b/>
              </w:rPr>
            </w:pPr>
            <w:r w:rsidRPr="00B2376E">
              <w:rPr>
                <w:rFonts w:ascii="Arial" w:hAnsi="Arial" w:cs="Arial"/>
                <w:b/>
              </w:rPr>
              <w:t>ID. No</w:t>
            </w:r>
          </w:p>
        </w:tc>
        <w:tc>
          <w:tcPr>
            <w:tcW w:w="1831" w:type="dxa"/>
            <w:vAlign w:val="center"/>
          </w:tcPr>
          <w:p w14:paraId="2CE58552" w14:textId="77777777" w:rsidR="008F2F84" w:rsidRPr="00B2376E" w:rsidRDefault="008F2F84" w:rsidP="00FB6672">
            <w:pPr>
              <w:spacing w:line="360" w:lineRule="auto"/>
              <w:jc w:val="both"/>
              <w:rPr>
                <w:rFonts w:ascii="Arial" w:hAnsi="Arial" w:cs="Arial"/>
                <w:b/>
              </w:rPr>
            </w:pPr>
            <w:proofErr w:type="gramStart"/>
            <w:r w:rsidRPr="00B2376E">
              <w:rPr>
                <w:rFonts w:ascii="Arial" w:hAnsi="Arial" w:cs="Arial"/>
                <w:b/>
              </w:rPr>
              <w:t>Grams</w:t>
            </w:r>
            <w:proofErr w:type="gramEnd"/>
            <w:r w:rsidRPr="00B2376E">
              <w:rPr>
                <w:rFonts w:ascii="Arial" w:hAnsi="Arial" w:cs="Arial"/>
                <w:b/>
              </w:rPr>
              <w:t xml:space="preserve"> reaction</w:t>
            </w:r>
          </w:p>
        </w:tc>
        <w:tc>
          <w:tcPr>
            <w:tcW w:w="1783" w:type="dxa"/>
            <w:vAlign w:val="center"/>
          </w:tcPr>
          <w:p w14:paraId="7C385B73" w14:textId="77777777" w:rsidR="008F2F84" w:rsidRPr="00B2376E" w:rsidRDefault="008F2F84" w:rsidP="00FB6672">
            <w:pPr>
              <w:spacing w:line="360" w:lineRule="auto"/>
              <w:jc w:val="both"/>
              <w:rPr>
                <w:rFonts w:ascii="Arial" w:hAnsi="Arial" w:cs="Arial"/>
                <w:b/>
              </w:rPr>
            </w:pPr>
            <w:r w:rsidRPr="00B2376E">
              <w:rPr>
                <w:rFonts w:ascii="Arial" w:hAnsi="Arial" w:cs="Arial"/>
                <w:b/>
              </w:rPr>
              <w:t>Colony colour</w:t>
            </w:r>
          </w:p>
        </w:tc>
        <w:tc>
          <w:tcPr>
            <w:tcW w:w="1375" w:type="dxa"/>
          </w:tcPr>
          <w:p w14:paraId="1919419E" w14:textId="77777777" w:rsidR="008F2F84" w:rsidRPr="00B2376E" w:rsidRDefault="008F2F84" w:rsidP="00FB6672">
            <w:pPr>
              <w:spacing w:line="360" w:lineRule="auto"/>
              <w:jc w:val="both"/>
              <w:rPr>
                <w:rFonts w:ascii="Arial" w:hAnsi="Arial" w:cs="Arial"/>
                <w:b/>
              </w:rPr>
            </w:pPr>
            <w:r w:rsidRPr="00B2376E">
              <w:rPr>
                <w:rFonts w:ascii="Arial" w:hAnsi="Arial" w:cs="Arial"/>
                <w:b/>
              </w:rPr>
              <w:t>Colony Shape</w:t>
            </w:r>
          </w:p>
        </w:tc>
        <w:tc>
          <w:tcPr>
            <w:tcW w:w="1629" w:type="dxa"/>
            <w:vAlign w:val="center"/>
          </w:tcPr>
          <w:p w14:paraId="78F7012B" w14:textId="77777777" w:rsidR="008F2F84" w:rsidRPr="00B2376E" w:rsidRDefault="008F2F84" w:rsidP="00FB6672">
            <w:pPr>
              <w:spacing w:line="360" w:lineRule="auto"/>
              <w:jc w:val="both"/>
              <w:rPr>
                <w:rFonts w:ascii="Arial" w:hAnsi="Arial" w:cs="Arial"/>
                <w:b/>
              </w:rPr>
            </w:pPr>
            <w:r w:rsidRPr="00B2376E">
              <w:rPr>
                <w:rFonts w:ascii="Arial" w:hAnsi="Arial" w:cs="Arial"/>
                <w:b/>
              </w:rPr>
              <w:t>Shape of the cells</w:t>
            </w:r>
          </w:p>
        </w:tc>
      </w:tr>
      <w:tr w:rsidR="008F2F84" w:rsidRPr="00B2376E" w14:paraId="622927CE" w14:textId="77777777" w:rsidTr="00E11F5F">
        <w:trPr>
          <w:trHeight w:hRule="exact" w:val="389"/>
        </w:trPr>
        <w:tc>
          <w:tcPr>
            <w:tcW w:w="1065" w:type="dxa"/>
            <w:vAlign w:val="center"/>
          </w:tcPr>
          <w:p w14:paraId="676A7516" w14:textId="77777777" w:rsidR="008F2F84" w:rsidRPr="00B2376E" w:rsidRDefault="008F2F84" w:rsidP="00FB6672">
            <w:pPr>
              <w:spacing w:line="360" w:lineRule="auto"/>
              <w:jc w:val="both"/>
              <w:rPr>
                <w:rFonts w:ascii="Arial" w:hAnsi="Arial" w:cs="Arial"/>
              </w:rPr>
            </w:pPr>
            <w:r w:rsidRPr="00B2376E">
              <w:rPr>
                <w:rFonts w:ascii="Arial" w:hAnsi="Arial" w:cs="Arial"/>
              </w:rPr>
              <w:t>1</w:t>
            </w:r>
          </w:p>
        </w:tc>
        <w:tc>
          <w:tcPr>
            <w:tcW w:w="1077" w:type="dxa"/>
            <w:vAlign w:val="center"/>
          </w:tcPr>
          <w:p w14:paraId="7A1AB9A3"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IB1</w:t>
            </w:r>
          </w:p>
        </w:tc>
        <w:tc>
          <w:tcPr>
            <w:tcW w:w="1831" w:type="dxa"/>
            <w:vAlign w:val="center"/>
          </w:tcPr>
          <w:p w14:paraId="6E508A96"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2E19DBF" w14:textId="77777777" w:rsidR="008F2F84" w:rsidRPr="00B2376E" w:rsidRDefault="008F2F84" w:rsidP="00FB6672">
            <w:pPr>
              <w:spacing w:line="360" w:lineRule="auto"/>
              <w:jc w:val="both"/>
              <w:rPr>
                <w:rFonts w:ascii="Arial" w:hAnsi="Arial" w:cs="Arial"/>
              </w:rPr>
            </w:pPr>
            <w:r w:rsidRPr="00B2376E">
              <w:rPr>
                <w:rFonts w:ascii="Arial" w:hAnsi="Arial" w:cs="Arial"/>
              </w:rPr>
              <w:t>Creamy white</w:t>
            </w:r>
          </w:p>
        </w:tc>
        <w:tc>
          <w:tcPr>
            <w:tcW w:w="1375" w:type="dxa"/>
            <w:vAlign w:val="center"/>
          </w:tcPr>
          <w:p w14:paraId="446D689A"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3452A8F9"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63443067" w14:textId="77777777" w:rsidTr="00E11F5F">
        <w:trPr>
          <w:trHeight w:hRule="exact" w:val="389"/>
        </w:trPr>
        <w:tc>
          <w:tcPr>
            <w:tcW w:w="1065" w:type="dxa"/>
            <w:vAlign w:val="center"/>
          </w:tcPr>
          <w:p w14:paraId="5FE8F163" w14:textId="77777777" w:rsidR="008F2F84" w:rsidRPr="00B2376E" w:rsidRDefault="008F2F84" w:rsidP="00FB6672">
            <w:pPr>
              <w:spacing w:line="360" w:lineRule="auto"/>
              <w:jc w:val="both"/>
              <w:rPr>
                <w:rFonts w:ascii="Arial" w:hAnsi="Arial" w:cs="Arial"/>
              </w:rPr>
            </w:pPr>
            <w:r w:rsidRPr="00B2376E">
              <w:rPr>
                <w:rFonts w:ascii="Arial" w:hAnsi="Arial" w:cs="Arial"/>
              </w:rPr>
              <w:t>2</w:t>
            </w:r>
          </w:p>
        </w:tc>
        <w:tc>
          <w:tcPr>
            <w:tcW w:w="1077" w:type="dxa"/>
            <w:vAlign w:val="center"/>
          </w:tcPr>
          <w:p w14:paraId="06813DDB"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IB2</w:t>
            </w:r>
          </w:p>
        </w:tc>
        <w:tc>
          <w:tcPr>
            <w:tcW w:w="1831" w:type="dxa"/>
            <w:vAlign w:val="center"/>
          </w:tcPr>
          <w:p w14:paraId="272EBAB3"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46BD2B16" w14:textId="77777777" w:rsidR="008F2F84" w:rsidRPr="00B2376E" w:rsidRDefault="008F2F84" w:rsidP="00FB6672">
            <w:pPr>
              <w:spacing w:line="360" w:lineRule="auto"/>
              <w:jc w:val="both"/>
              <w:rPr>
                <w:rFonts w:ascii="Arial" w:hAnsi="Arial" w:cs="Arial"/>
              </w:rPr>
            </w:pPr>
            <w:r w:rsidRPr="00B2376E">
              <w:rPr>
                <w:rFonts w:ascii="Arial" w:hAnsi="Arial" w:cs="Arial"/>
              </w:rPr>
              <w:t>Pure white</w:t>
            </w:r>
          </w:p>
        </w:tc>
        <w:tc>
          <w:tcPr>
            <w:tcW w:w="1375" w:type="dxa"/>
            <w:vAlign w:val="center"/>
          </w:tcPr>
          <w:p w14:paraId="622ABE76"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1CD99C0C"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1BCB0446" w14:textId="77777777" w:rsidTr="00E11F5F">
        <w:trPr>
          <w:trHeight w:hRule="exact" w:val="389"/>
        </w:trPr>
        <w:tc>
          <w:tcPr>
            <w:tcW w:w="1065" w:type="dxa"/>
            <w:vAlign w:val="center"/>
          </w:tcPr>
          <w:p w14:paraId="4A01DA86" w14:textId="77777777" w:rsidR="008F2F84" w:rsidRPr="00B2376E" w:rsidRDefault="008F2F84" w:rsidP="00FB6672">
            <w:pPr>
              <w:spacing w:line="360" w:lineRule="auto"/>
              <w:jc w:val="both"/>
              <w:rPr>
                <w:rFonts w:ascii="Arial" w:hAnsi="Arial" w:cs="Arial"/>
              </w:rPr>
            </w:pPr>
            <w:r w:rsidRPr="00B2376E">
              <w:rPr>
                <w:rFonts w:ascii="Arial" w:hAnsi="Arial" w:cs="Arial"/>
              </w:rPr>
              <w:t>3</w:t>
            </w:r>
          </w:p>
        </w:tc>
        <w:tc>
          <w:tcPr>
            <w:tcW w:w="1077" w:type="dxa"/>
            <w:vAlign w:val="center"/>
          </w:tcPr>
          <w:p w14:paraId="4429313A"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IB3</w:t>
            </w:r>
          </w:p>
        </w:tc>
        <w:tc>
          <w:tcPr>
            <w:tcW w:w="1831" w:type="dxa"/>
            <w:vAlign w:val="center"/>
          </w:tcPr>
          <w:p w14:paraId="7B526325" w14:textId="77777777" w:rsidR="008F2F84" w:rsidRPr="00B2376E" w:rsidRDefault="008F2F84" w:rsidP="00FB6672">
            <w:pPr>
              <w:spacing w:line="360" w:lineRule="auto"/>
              <w:jc w:val="both"/>
              <w:rPr>
                <w:rFonts w:ascii="Arial" w:hAnsi="Arial" w:cs="Arial"/>
              </w:rPr>
            </w:pPr>
            <w:r w:rsidRPr="00B2376E">
              <w:rPr>
                <w:rFonts w:ascii="Arial" w:hAnsi="Arial" w:cs="Arial"/>
              </w:rPr>
              <w:t>Gram Negative</w:t>
            </w:r>
          </w:p>
        </w:tc>
        <w:tc>
          <w:tcPr>
            <w:tcW w:w="1783" w:type="dxa"/>
            <w:vAlign w:val="center"/>
          </w:tcPr>
          <w:p w14:paraId="22B283EB" w14:textId="77777777" w:rsidR="008F2F84" w:rsidRPr="00B2376E" w:rsidRDefault="008F2F84" w:rsidP="00FB6672">
            <w:pPr>
              <w:spacing w:line="360" w:lineRule="auto"/>
              <w:jc w:val="both"/>
              <w:rPr>
                <w:rFonts w:ascii="Arial" w:hAnsi="Arial" w:cs="Arial"/>
              </w:rPr>
            </w:pPr>
            <w:r w:rsidRPr="00B2376E">
              <w:rPr>
                <w:rFonts w:ascii="Arial" w:hAnsi="Arial" w:cs="Arial"/>
              </w:rPr>
              <w:t>Creamy white</w:t>
            </w:r>
          </w:p>
        </w:tc>
        <w:tc>
          <w:tcPr>
            <w:tcW w:w="1375" w:type="dxa"/>
            <w:vAlign w:val="center"/>
          </w:tcPr>
          <w:p w14:paraId="357BA36A"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6338F990"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293E689E" w14:textId="77777777" w:rsidTr="00E11F5F">
        <w:trPr>
          <w:trHeight w:hRule="exact" w:val="389"/>
        </w:trPr>
        <w:tc>
          <w:tcPr>
            <w:tcW w:w="1065" w:type="dxa"/>
            <w:vAlign w:val="center"/>
          </w:tcPr>
          <w:p w14:paraId="566FA7AD" w14:textId="77777777" w:rsidR="008F2F84" w:rsidRPr="00B2376E" w:rsidRDefault="008F2F84" w:rsidP="00FB6672">
            <w:pPr>
              <w:spacing w:line="360" w:lineRule="auto"/>
              <w:jc w:val="both"/>
              <w:rPr>
                <w:rFonts w:ascii="Arial" w:hAnsi="Arial" w:cs="Arial"/>
              </w:rPr>
            </w:pPr>
            <w:r w:rsidRPr="00B2376E">
              <w:rPr>
                <w:rFonts w:ascii="Arial" w:hAnsi="Arial" w:cs="Arial"/>
              </w:rPr>
              <w:t>4</w:t>
            </w:r>
          </w:p>
        </w:tc>
        <w:tc>
          <w:tcPr>
            <w:tcW w:w="1077" w:type="dxa"/>
            <w:vAlign w:val="center"/>
          </w:tcPr>
          <w:p w14:paraId="1480852C"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IB4</w:t>
            </w:r>
          </w:p>
        </w:tc>
        <w:tc>
          <w:tcPr>
            <w:tcW w:w="1831" w:type="dxa"/>
            <w:vAlign w:val="center"/>
          </w:tcPr>
          <w:p w14:paraId="21819CFD"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04704BA3"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631268C1"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5449AB53"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37731BD4" w14:textId="77777777" w:rsidTr="00E11F5F">
        <w:trPr>
          <w:trHeight w:hRule="exact" w:val="389"/>
        </w:trPr>
        <w:tc>
          <w:tcPr>
            <w:tcW w:w="1065" w:type="dxa"/>
            <w:vAlign w:val="center"/>
          </w:tcPr>
          <w:p w14:paraId="5A404A97" w14:textId="77777777" w:rsidR="008F2F84" w:rsidRPr="00B2376E" w:rsidRDefault="008F2F84" w:rsidP="00FB6672">
            <w:pPr>
              <w:spacing w:line="360" w:lineRule="auto"/>
              <w:jc w:val="both"/>
              <w:rPr>
                <w:rFonts w:ascii="Arial" w:hAnsi="Arial" w:cs="Arial"/>
              </w:rPr>
            </w:pPr>
            <w:r w:rsidRPr="00B2376E">
              <w:rPr>
                <w:rFonts w:ascii="Arial" w:hAnsi="Arial" w:cs="Arial"/>
              </w:rPr>
              <w:t>5</w:t>
            </w:r>
          </w:p>
        </w:tc>
        <w:tc>
          <w:tcPr>
            <w:tcW w:w="1077" w:type="dxa"/>
            <w:vAlign w:val="center"/>
          </w:tcPr>
          <w:p w14:paraId="6F7A70D9"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IB5</w:t>
            </w:r>
          </w:p>
        </w:tc>
        <w:tc>
          <w:tcPr>
            <w:tcW w:w="1831" w:type="dxa"/>
            <w:vAlign w:val="center"/>
          </w:tcPr>
          <w:p w14:paraId="4748278C"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3622034C"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51E5417E"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630E522B"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7734C48C" w14:textId="77777777" w:rsidTr="00E11F5F">
        <w:trPr>
          <w:trHeight w:hRule="exact" w:val="389"/>
        </w:trPr>
        <w:tc>
          <w:tcPr>
            <w:tcW w:w="1065" w:type="dxa"/>
            <w:vAlign w:val="center"/>
          </w:tcPr>
          <w:p w14:paraId="55FF768C" w14:textId="77777777" w:rsidR="008F2F84" w:rsidRPr="00B2376E" w:rsidRDefault="008F2F84" w:rsidP="00FB6672">
            <w:pPr>
              <w:spacing w:line="360" w:lineRule="auto"/>
              <w:jc w:val="both"/>
              <w:rPr>
                <w:rFonts w:ascii="Arial" w:hAnsi="Arial" w:cs="Arial"/>
              </w:rPr>
            </w:pPr>
            <w:r w:rsidRPr="00B2376E">
              <w:rPr>
                <w:rFonts w:ascii="Arial" w:hAnsi="Arial" w:cs="Arial"/>
              </w:rPr>
              <w:t>6</w:t>
            </w:r>
          </w:p>
        </w:tc>
        <w:tc>
          <w:tcPr>
            <w:tcW w:w="1077" w:type="dxa"/>
            <w:vAlign w:val="center"/>
          </w:tcPr>
          <w:p w14:paraId="4473AD3B"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IB6</w:t>
            </w:r>
          </w:p>
        </w:tc>
        <w:tc>
          <w:tcPr>
            <w:tcW w:w="1831" w:type="dxa"/>
            <w:vAlign w:val="center"/>
          </w:tcPr>
          <w:p w14:paraId="24C97824"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6012D066"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4CD1B24B"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23B1CDE6"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5AB9AC94" w14:textId="77777777" w:rsidTr="00E11F5F">
        <w:trPr>
          <w:trHeight w:hRule="exact" w:val="389"/>
        </w:trPr>
        <w:tc>
          <w:tcPr>
            <w:tcW w:w="1065" w:type="dxa"/>
            <w:vAlign w:val="center"/>
          </w:tcPr>
          <w:p w14:paraId="3E652073" w14:textId="77777777" w:rsidR="008F2F84" w:rsidRPr="00B2376E" w:rsidRDefault="008F2F84" w:rsidP="00FB6672">
            <w:pPr>
              <w:spacing w:line="360" w:lineRule="auto"/>
              <w:jc w:val="both"/>
              <w:rPr>
                <w:rFonts w:ascii="Arial" w:hAnsi="Arial" w:cs="Arial"/>
              </w:rPr>
            </w:pPr>
            <w:r w:rsidRPr="00B2376E">
              <w:rPr>
                <w:rFonts w:ascii="Arial" w:hAnsi="Arial" w:cs="Arial"/>
              </w:rPr>
              <w:t>7</w:t>
            </w:r>
          </w:p>
        </w:tc>
        <w:tc>
          <w:tcPr>
            <w:tcW w:w="1077" w:type="dxa"/>
            <w:vAlign w:val="center"/>
          </w:tcPr>
          <w:p w14:paraId="489AC3B4"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IB7</w:t>
            </w:r>
          </w:p>
        </w:tc>
        <w:tc>
          <w:tcPr>
            <w:tcW w:w="1831" w:type="dxa"/>
            <w:vAlign w:val="center"/>
          </w:tcPr>
          <w:p w14:paraId="7452A7C1"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1FA8F60"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245B1DE2"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56962FEE"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51BE3E45" w14:textId="77777777" w:rsidTr="00E11F5F">
        <w:trPr>
          <w:trHeight w:hRule="exact" w:val="389"/>
        </w:trPr>
        <w:tc>
          <w:tcPr>
            <w:tcW w:w="1065" w:type="dxa"/>
            <w:vAlign w:val="center"/>
          </w:tcPr>
          <w:p w14:paraId="201E91EB" w14:textId="77777777" w:rsidR="008F2F84" w:rsidRPr="00B2376E" w:rsidRDefault="008F2F84" w:rsidP="00FB6672">
            <w:pPr>
              <w:spacing w:line="360" w:lineRule="auto"/>
              <w:jc w:val="both"/>
              <w:rPr>
                <w:rFonts w:ascii="Arial" w:hAnsi="Arial" w:cs="Arial"/>
              </w:rPr>
            </w:pPr>
            <w:r w:rsidRPr="00B2376E">
              <w:rPr>
                <w:rFonts w:ascii="Arial" w:hAnsi="Arial" w:cs="Arial"/>
              </w:rPr>
              <w:t>8</w:t>
            </w:r>
          </w:p>
        </w:tc>
        <w:tc>
          <w:tcPr>
            <w:tcW w:w="1077" w:type="dxa"/>
            <w:vAlign w:val="center"/>
          </w:tcPr>
          <w:p w14:paraId="4FD0AA47"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IB8</w:t>
            </w:r>
          </w:p>
        </w:tc>
        <w:tc>
          <w:tcPr>
            <w:tcW w:w="1831" w:type="dxa"/>
            <w:vAlign w:val="center"/>
          </w:tcPr>
          <w:p w14:paraId="132151B1"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0047BC5C"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5B11CCB8"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54E78AA2"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2A036A77" w14:textId="77777777" w:rsidTr="00E11F5F">
        <w:trPr>
          <w:trHeight w:hRule="exact" w:val="389"/>
        </w:trPr>
        <w:tc>
          <w:tcPr>
            <w:tcW w:w="1065" w:type="dxa"/>
            <w:vAlign w:val="center"/>
          </w:tcPr>
          <w:p w14:paraId="0A67B99B" w14:textId="77777777" w:rsidR="008F2F84" w:rsidRPr="00B2376E" w:rsidRDefault="008F2F84" w:rsidP="00FB6672">
            <w:pPr>
              <w:spacing w:line="360" w:lineRule="auto"/>
              <w:jc w:val="both"/>
              <w:rPr>
                <w:rFonts w:ascii="Arial" w:hAnsi="Arial" w:cs="Arial"/>
              </w:rPr>
            </w:pPr>
            <w:r w:rsidRPr="00B2376E">
              <w:rPr>
                <w:rFonts w:ascii="Arial" w:hAnsi="Arial" w:cs="Arial"/>
              </w:rPr>
              <w:t>9</w:t>
            </w:r>
          </w:p>
        </w:tc>
        <w:tc>
          <w:tcPr>
            <w:tcW w:w="1077" w:type="dxa"/>
            <w:vAlign w:val="center"/>
          </w:tcPr>
          <w:p w14:paraId="48482F4C" w14:textId="77777777" w:rsidR="008F2F84" w:rsidRPr="00B2376E" w:rsidRDefault="008F2F84" w:rsidP="00FB6672">
            <w:pPr>
              <w:spacing w:line="360" w:lineRule="auto"/>
              <w:jc w:val="both"/>
              <w:rPr>
                <w:rFonts w:ascii="Arial" w:hAnsi="Arial" w:cs="Arial"/>
              </w:rPr>
            </w:pPr>
            <w:r w:rsidRPr="00B2376E">
              <w:rPr>
                <w:rFonts w:ascii="Arial" w:hAnsi="Arial" w:cs="Arial"/>
                <w:color w:val="000000" w:themeColor="text1"/>
                <w:lang w:val="en-US"/>
              </w:rPr>
              <w:t>IB9</w:t>
            </w:r>
          </w:p>
        </w:tc>
        <w:tc>
          <w:tcPr>
            <w:tcW w:w="1831" w:type="dxa"/>
            <w:vAlign w:val="center"/>
          </w:tcPr>
          <w:p w14:paraId="144B5519"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90C556F"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59364363"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1C4126C"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0FEDFEA5" w14:textId="77777777" w:rsidTr="00E11F5F">
        <w:trPr>
          <w:trHeight w:hRule="exact" w:val="389"/>
        </w:trPr>
        <w:tc>
          <w:tcPr>
            <w:tcW w:w="1065" w:type="dxa"/>
            <w:vAlign w:val="center"/>
          </w:tcPr>
          <w:p w14:paraId="601817AB" w14:textId="77777777" w:rsidR="008F2F84" w:rsidRPr="00B2376E" w:rsidRDefault="008F2F84" w:rsidP="00FB6672">
            <w:pPr>
              <w:spacing w:line="360" w:lineRule="auto"/>
              <w:jc w:val="both"/>
              <w:rPr>
                <w:rFonts w:ascii="Arial" w:hAnsi="Arial" w:cs="Arial"/>
              </w:rPr>
            </w:pPr>
            <w:r w:rsidRPr="00B2376E">
              <w:rPr>
                <w:rFonts w:ascii="Arial" w:hAnsi="Arial" w:cs="Arial"/>
              </w:rPr>
              <w:t>10</w:t>
            </w:r>
          </w:p>
        </w:tc>
        <w:tc>
          <w:tcPr>
            <w:tcW w:w="1077" w:type="dxa"/>
            <w:vAlign w:val="center"/>
          </w:tcPr>
          <w:p w14:paraId="1750DD0E"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IIB1</w:t>
            </w:r>
          </w:p>
        </w:tc>
        <w:tc>
          <w:tcPr>
            <w:tcW w:w="1831" w:type="dxa"/>
            <w:vAlign w:val="center"/>
          </w:tcPr>
          <w:p w14:paraId="143D2513"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08C40C38"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64156A4D"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249C0163"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18D821D7" w14:textId="77777777" w:rsidTr="00E11F5F">
        <w:trPr>
          <w:trHeight w:hRule="exact" w:val="559"/>
        </w:trPr>
        <w:tc>
          <w:tcPr>
            <w:tcW w:w="1065" w:type="dxa"/>
            <w:vAlign w:val="center"/>
          </w:tcPr>
          <w:p w14:paraId="384EC4F3" w14:textId="77777777" w:rsidR="008F2F84" w:rsidRPr="00B2376E" w:rsidRDefault="008F2F84" w:rsidP="00FB6672">
            <w:pPr>
              <w:spacing w:line="360" w:lineRule="auto"/>
              <w:jc w:val="both"/>
              <w:rPr>
                <w:rFonts w:ascii="Arial" w:hAnsi="Arial" w:cs="Arial"/>
              </w:rPr>
            </w:pPr>
            <w:r w:rsidRPr="00B2376E">
              <w:rPr>
                <w:rFonts w:ascii="Arial" w:hAnsi="Arial" w:cs="Arial"/>
              </w:rPr>
              <w:t>11</w:t>
            </w:r>
          </w:p>
        </w:tc>
        <w:tc>
          <w:tcPr>
            <w:tcW w:w="1077" w:type="dxa"/>
            <w:vAlign w:val="center"/>
          </w:tcPr>
          <w:p w14:paraId="40E68348"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IIB2</w:t>
            </w:r>
          </w:p>
        </w:tc>
        <w:tc>
          <w:tcPr>
            <w:tcW w:w="1831" w:type="dxa"/>
            <w:vAlign w:val="center"/>
          </w:tcPr>
          <w:p w14:paraId="6647354C"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54D4A423" w14:textId="77777777" w:rsidR="008F2F84" w:rsidRPr="00B2376E" w:rsidRDefault="008F2F84" w:rsidP="00FB6672">
            <w:pPr>
              <w:spacing w:line="360" w:lineRule="auto"/>
              <w:jc w:val="both"/>
              <w:rPr>
                <w:rFonts w:ascii="Arial" w:hAnsi="Arial" w:cs="Arial"/>
              </w:rPr>
            </w:pPr>
            <w:r w:rsidRPr="00B2376E">
              <w:rPr>
                <w:rFonts w:ascii="Arial" w:hAnsi="Arial" w:cs="Arial"/>
              </w:rPr>
              <w:t>Yellowish white</w:t>
            </w:r>
          </w:p>
        </w:tc>
        <w:tc>
          <w:tcPr>
            <w:tcW w:w="1375" w:type="dxa"/>
            <w:vAlign w:val="center"/>
          </w:tcPr>
          <w:p w14:paraId="7CA9B265"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152DCB2C"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2AFE4A19" w14:textId="77777777" w:rsidTr="00E11F5F">
        <w:trPr>
          <w:trHeight w:hRule="exact" w:val="389"/>
        </w:trPr>
        <w:tc>
          <w:tcPr>
            <w:tcW w:w="1065" w:type="dxa"/>
            <w:vAlign w:val="center"/>
          </w:tcPr>
          <w:p w14:paraId="3696FA31" w14:textId="77777777" w:rsidR="008F2F84" w:rsidRPr="00B2376E" w:rsidRDefault="008F2F84" w:rsidP="00FB6672">
            <w:pPr>
              <w:spacing w:line="360" w:lineRule="auto"/>
              <w:jc w:val="both"/>
              <w:rPr>
                <w:rFonts w:ascii="Arial" w:hAnsi="Arial" w:cs="Arial"/>
              </w:rPr>
            </w:pPr>
            <w:r w:rsidRPr="00B2376E">
              <w:rPr>
                <w:rFonts w:ascii="Arial" w:hAnsi="Arial" w:cs="Arial"/>
              </w:rPr>
              <w:t>12</w:t>
            </w:r>
          </w:p>
        </w:tc>
        <w:tc>
          <w:tcPr>
            <w:tcW w:w="1077" w:type="dxa"/>
            <w:vAlign w:val="center"/>
          </w:tcPr>
          <w:p w14:paraId="5908EF68"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IIB3</w:t>
            </w:r>
          </w:p>
        </w:tc>
        <w:tc>
          <w:tcPr>
            <w:tcW w:w="1831" w:type="dxa"/>
            <w:vAlign w:val="center"/>
          </w:tcPr>
          <w:p w14:paraId="46D55F2B"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02B0CE2A" w14:textId="77777777" w:rsidR="008F2F84" w:rsidRPr="00B2376E" w:rsidRDefault="008F2F84" w:rsidP="00FB6672">
            <w:pPr>
              <w:spacing w:line="360" w:lineRule="auto"/>
              <w:jc w:val="both"/>
              <w:rPr>
                <w:rFonts w:ascii="Arial" w:hAnsi="Arial" w:cs="Arial"/>
              </w:rPr>
            </w:pPr>
            <w:proofErr w:type="spellStart"/>
            <w:r w:rsidRPr="00B2376E">
              <w:rPr>
                <w:rFonts w:ascii="Arial" w:hAnsi="Arial" w:cs="Arial"/>
              </w:rPr>
              <w:t>Creamish</w:t>
            </w:r>
            <w:proofErr w:type="spellEnd"/>
            <w:r w:rsidRPr="00B2376E">
              <w:rPr>
                <w:rFonts w:ascii="Arial" w:hAnsi="Arial" w:cs="Arial"/>
              </w:rPr>
              <w:t xml:space="preserve"> white</w:t>
            </w:r>
          </w:p>
        </w:tc>
        <w:tc>
          <w:tcPr>
            <w:tcW w:w="1375" w:type="dxa"/>
            <w:vAlign w:val="center"/>
          </w:tcPr>
          <w:p w14:paraId="53E1D70E"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A041DF7"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28D1CDF9" w14:textId="77777777" w:rsidTr="00E11F5F">
        <w:trPr>
          <w:trHeight w:hRule="exact" w:val="389"/>
        </w:trPr>
        <w:tc>
          <w:tcPr>
            <w:tcW w:w="1065" w:type="dxa"/>
            <w:vAlign w:val="center"/>
          </w:tcPr>
          <w:p w14:paraId="786D71DA" w14:textId="77777777" w:rsidR="008F2F84" w:rsidRPr="00B2376E" w:rsidRDefault="008F2F84" w:rsidP="00FB6672">
            <w:pPr>
              <w:spacing w:line="360" w:lineRule="auto"/>
              <w:jc w:val="both"/>
              <w:rPr>
                <w:rFonts w:ascii="Arial" w:hAnsi="Arial" w:cs="Arial"/>
              </w:rPr>
            </w:pPr>
            <w:r w:rsidRPr="00B2376E">
              <w:rPr>
                <w:rFonts w:ascii="Arial" w:hAnsi="Arial" w:cs="Arial"/>
              </w:rPr>
              <w:t>13</w:t>
            </w:r>
          </w:p>
        </w:tc>
        <w:tc>
          <w:tcPr>
            <w:tcW w:w="1077" w:type="dxa"/>
            <w:vAlign w:val="center"/>
          </w:tcPr>
          <w:p w14:paraId="19B5B10F"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IIB4</w:t>
            </w:r>
          </w:p>
        </w:tc>
        <w:tc>
          <w:tcPr>
            <w:tcW w:w="1831" w:type="dxa"/>
            <w:vAlign w:val="center"/>
          </w:tcPr>
          <w:p w14:paraId="6A563F79"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09CDF98D"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3DEB3B9D"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045AC204"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144A6FC7" w14:textId="77777777" w:rsidTr="00E11F5F">
        <w:trPr>
          <w:trHeight w:hRule="exact" w:val="389"/>
        </w:trPr>
        <w:tc>
          <w:tcPr>
            <w:tcW w:w="1065" w:type="dxa"/>
            <w:vAlign w:val="center"/>
          </w:tcPr>
          <w:p w14:paraId="13D79DFB" w14:textId="77777777" w:rsidR="008F2F84" w:rsidRPr="00B2376E" w:rsidRDefault="008F2F84" w:rsidP="00FB6672">
            <w:pPr>
              <w:spacing w:line="360" w:lineRule="auto"/>
              <w:jc w:val="both"/>
              <w:rPr>
                <w:rFonts w:ascii="Arial" w:hAnsi="Arial" w:cs="Arial"/>
              </w:rPr>
            </w:pPr>
            <w:r w:rsidRPr="00B2376E">
              <w:rPr>
                <w:rFonts w:ascii="Arial" w:hAnsi="Arial" w:cs="Arial"/>
              </w:rPr>
              <w:t>14</w:t>
            </w:r>
          </w:p>
        </w:tc>
        <w:tc>
          <w:tcPr>
            <w:tcW w:w="1077" w:type="dxa"/>
            <w:vAlign w:val="center"/>
          </w:tcPr>
          <w:p w14:paraId="51D45576"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IIB5</w:t>
            </w:r>
          </w:p>
        </w:tc>
        <w:tc>
          <w:tcPr>
            <w:tcW w:w="1831" w:type="dxa"/>
            <w:vAlign w:val="center"/>
          </w:tcPr>
          <w:p w14:paraId="59DF814F"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6E708DB0" w14:textId="77777777" w:rsidR="008F2F84" w:rsidRPr="00B2376E" w:rsidRDefault="008F2F84" w:rsidP="00FB6672">
            <w:pPr>
              <w:spacing w:line="360" w:lineRule="auto"/>
              <w:jc w:val="both"/>
              <w:rPr>
                <w:rFonts w:ascii="Arial" w:hAnsi="Arial" w:cs="Arial"/>
              </w:rPr>
            </w:pPr>
            <w:r w:rsidRPr="00B2376E">
              <w:rPr>
                <w:rFonts w:ascii="Arial" w:hAnsi="Arial" w:cs="Arial"/>
              </w:rPr>
              <w:t>Cream</w:t>
            </w:r>
          </w:p>
        </w:tc>
        <w:tc>
          <w:tcPr>
            <w:tcW w:w="1375" w:type="dxa"/>
            <w:vAlign w:val="center"/>
          </w:tcPr>
          <w:p w14:paraId="6EF8788B"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4D356402"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D5D2061" w14:textId="77777777" w:rsidTr="00E11F5F">
        <w:trPr>
          <w:trHeight w:hRule="exact" w:val="389"/>
        </w:trPr>
        <w:tc>
          <w:tcPr>
            <w:tcW w:w="1065" w:type="dxa"/>
            <w:vAlign w:val="center"/>
          </w:tcPr>
          <w:p w14:paraId="06AEF0F9" w14:textId="77777777" w:rsidR="008F2F84" w:rsidRPr="00B2376E" w:rsidRDefault="008F2F84" w:rsidP="00FB6672">
            <w:pPr>
              <w:spacing w:line="360" w:lineRule="auto"/>
              <w:jc w:val="both"/>
              <w:rPr>
                <w:rFonts w:ascii="Arial" w:hAnsi="Arial" w:cs="Arial"/>
              </w:rPr>
            </w:pPr>
            <w:r w:rsidRPr="00B2376E">
              <w:rPr>
                <w:rFonts w:ascii="Arial" w:hAnsi="Arial" w:cs="Arial"/>
              </w:rPr>
              <w:t>15</w:t>
            </w:r>
          </w:p>
        </w:tc>
        <w:tc>
          <w:tcPr>
            <w:tcW w:w="1077" w:type="dxa"/>
            <w:vAlign w:val="center"/>
          </w:tcPr>
          <w:p w14:paraId="005F4578"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IIB6</w:t>
            </w:r>
          </w:p>
        </w:tc>
        <w:tc>
          <w:tcPr>
            <w:tcW w:w="1831" w:type="dxa"/>
            <w:vAlign w:val="center"/>
          </w:tcPr>
          <w:p w14:paraId="61F8CB3B"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09990F2"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3E5A551A"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2A7FA156"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0C08D5C8" w14:textId="77777777" w:rsidTr="00E11F5F">
        <w:trPr>
          <w:trHeight w:hRule="exact" w:val="389"/>
        </w:trPr>
        <w:tc>
          <w:tcPr>
            <w:tcW w:w="1065" w:type="dxa"/>
            <w:vAlign w:val="center"/>
          </w:tcPr>
          <w:p w14:paraId="78B015A8" w14:textId="77777777" w:rsidR="008F2F84" w:rsidRPr="00B2376E" w:rsidRDefault="008F2F84" w:rsidP="00FB6672">
            <w:pPr>
              <w:spacing w:line="360" w:lineRule="auto"/>
              <w:jc w:val="both"/>
              <w:rPr>
                <w:rFonts w:ascii="Arial" w:hAnsi="Arial" w:cs="Arial"/>
              </w:rPr>
            </w:pPr>
            <w:r w:rsidRPr="00B2376E">
              <w:rPr>
                <w:rFonts w:ascii="Arial" w:hAnsi="Arial" w:cs="Arial"/>
              </w:rPr>
              <w:t>16</w:t>
            </w:r>
          </w:p>
        </w:tc>
        <w:tc>
          <w:tcPr>
            <w:tcW w:w="1077" w:type="dxa"/>
            <w:vAlign w:val="center"/>
          </w:tcPr>
          <w:p w14:paraId="163BC7F1"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IIB7</w:t>
            </w:r>
          </w:p>
        </w:tc>
        <w:tc>
          <w:tcPr>
            <w:tcW w:w="1831" w:type="dxa"/>
            <w:vAlign w:val="center"/>
          </w:tcPr>
          <w:p w14:paraId="0E723069"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4DB7E70A"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23273BA2"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332776E4"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5E955BA8" w14:textId="77777777" w:rsidTr="00E11F5F">
        <w:trPr>
          <w:trHeight w:hRule="exact" w:val="389"/>
        </w:trPr>
        <w:tc>
          <w:tcPr>
            <w:tcW w:w="1065" w:type="dxa"/>
            <w:vAlign w:val="center"/>
          </w:tcPr>
          <w:p w14:paraId="49FE2209" w14:textId="77777777" w:rsidR="008F2F84" w:rsidRPr="00B2376E" w:rsidRDefault="008F2F84" w:rsidP="00FB6672">
            <w:pPr>
              <w:spacing w:line="360" w:lineRule="auto"/>
              <w:jc w:val="both"/>
              <w:rPr>
                <w:rFonts w:ascii="Arial" w:hAnsi="Arial" w:cs="Arial"/>
              </w:rPr>
            </w:pPr>
            <w:r w:rsidRPr="00B2376E">
              <w:rPr>
                <w:rFonts w:ascii="Arial" w:hAnsi="Arial" w:cs="Arial"/>
              </w:rPr>
              <w:t>17</w:t>
            </w:r>
          </w:p>
        </w:tc>
        <w:tc>
          <w:tcPr>
            <w:tcW w:w="1077" w:type="dxa"/>
            <w:vAlign w:val="center"/>
          </w:tcPr>
          <w:p w14:paraId="356C9EF1"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IIB8</w:t>
            </w:r>
          </w:p>
        </w:tc>
        <w:tc>
          <w:tcPr>
            <w:tcW w:w="1831" w:type="dxa"/>
            <w:vAlign w:val="center"/>
          </w:tcPr>
          <w:p w14:paraId="231A5E11"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459775D6"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5E906D67"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65C20060"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6CB49AA8" w14:textId="77777777" w:rsidTr="00E11F5F">
        <w:trPr>
          <w:trHeight w:hRule="exact" w:val="389"/>
        </w:trPr>
        <w:tc>
          <w:tcPr>
            <w:tcW w:w="1065" w:type="dxa"/>
            <w:vAlign w:val="center"/>
          </w:tcPr>
          <w:p w14:paraId="22EA34BE" w14:textId="77777777" w:rsidR="008F2F84" w:rsidRPr="00B2376E" w:rsidRDefault="008F2F84" w:rsidP="00FB6672">
            <w:pPr>
              <w:spacing w:line="360" w:lineRule="auto"/>
              <w:jc w:val="both"/>
              <w:rPr>
                <w:rFonts w:ascii="Arial" w:hAnsi="Arial" w:cs="Arial"/>
              </w:rPr>
            </w:pPr>
            <w:r w:rsidRPr="00B2376E">
              <w:rPr>
                <w:rFonts w:ascii="Arial" w:hAnsi="Arial" w:cs="Arial"/>
              </w:rPr>
              <w:t>18</w:t>
            </w:r>
          </w:p>
        </w:tc>
        <w:tc>
          <w:tcPr>
            <w:tcW w:w="1077" w:type="dxa"/>
            <w:vAlign w:val="center"/>
          </w:tcPr>
          <w:p w14:paraId="0DF62868"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IIIB1</w:t>
            </w:r>
          </w:p>
        </w:tc>
        <w:tc>
          <w:tcPr>
            <w:tcW w:w="1831" w:type="dxa"/>
            <w:vAlign w:val="center"/>
          </w:tcPr>
          <w:p w14:paraId="3778C6EB"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F73F47F"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0E777EC9"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947A5E9"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191EEC00" w14:textId="77777777" w:rsidTr="00E11F5F">
        <w:trPr>
          <w:trHeight w:hRule="exact" w:val="389"/>
        </w:trPr>
        <w:tc>
          <w:tcPr>
            <w:tcW w:w="1065" w:type="dxa"/>
            <w:vAlign w:val="center"/>
          </w:tcPr>
          <w:p w14:paraId="679E1604" w14:textId="77777777" w:rsidR="008F2F84" w:rsidRPr="00B2376E" w:rsidRDefault="008F2F84" w:rsidP="00FB6672">
            <w:pPr>
              <w:spacing w:line="360" w:lineRule="auto"/>
              <w:jc w:val="both"/>
              <w:rPr>
                <w:rFonts w:ascii="Arial" w:hAnsi="Arial" w:cs="Arial"/>
              </w:rPr>
            </w:pPr>
            <w:r w:rsidRPr="00B2376E">
              <w:rPr>
                <w:rFonts w:ascii="Arial" w:hAnsi="Arial" w:cs="Arial"/>
              </w:rPr>
              <w:t>19</w:t>
            </w:r>
          </w:p>
        </w:tc>
        <w:tc>
          <w:tcPr>
            <w:tcW w:w="1077" w:type="dxa"/>
            <w:vAlign w:val="center"/>
          </w:tcPr>
          <w:p w14:paraId="36BF8260"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IIIB2</w:t>
            </w:r>
          </w:p>
        </w:tc>
        <w:tc>
          <w:tcPr>
            <w:tcW w:w="1831" w:type="dxa"/>
            <w:vAlign w:val="center"/>
          </w:tcPr>
          <w:p w14:paraId="6BF97E6E"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5D742ED5"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4D35785F"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757A9EF"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D2C64F3" w14:textId="77777777" w:rsidTr="00E11F5F">
        <w:trPr>
          <w:trHeight w:hRule="exact" w:val="389"/>
        </w:trPr>
        <w:tc>
          <w:tcPr>
            <w:tcW w:w="1065" w:type="dxa"/>
            <w:vAlign w:val="center"/>
          </w:tcPr>
          <w:p w14:paraId="52507BFD" w14:textId="77777777" w:rsidR="008F2F84" w:rsidRPr="00B2376E" w:rsidRDefault="008F2F84" w:rsidP="00FB6672">
            <w:pPr>
              <w:spacing w:line="360" w:lineRule="auto"/>
              <w:jc w:val="both"/>
              <w:rPr>
                <w:rFonts w:ascii="Arial" w:hAnsi="Arial" w:cs="Arial"/>
              </w:rPr>
            </w:pPr>
            <w:r w:rsidRPr="00B2376E">
              <w:rPr>
                <w:rFonts w:ascii="Arial" w:hAnsi="Arial" w:cs="Arial"/>
              </w:rPr>
              <w:t>20</w:t>
            </w:r>
          </w:p>
        </w:tc>
        <w:tc>
          <w:tcPr>
            <w:tcW w:w="1077" w:type="dxa"/>
            <w:vAlign w:val="center"/>
          </w:tcPr>
          <w:p w14:paraId="74B17764"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IIIB3</w:t>
            </w:r>
          </w:p>
        </w:tc>
        <w:tc>
          <w:tcPr>
            <w:tcW w:w="1831" w:type="dxa"/>
            <w:vAlign w:val="center"/>
          </w:tcPr>
          <w:p w14:paraId="573E3967" w14:textId="77777777" w:rsidR="008F2F84" w:rsidRPr="00B2376E" w:rsidRDefault="008F2F84" w:rsidP="00FB6672">
            <w:pPr>
              <w:spacing w:line="360" w:lineRule="auto"/>
              <w:jc w:val="both"/>
              <w:rPr>
                <w:rFonts w:ascii="Arial" w:hAnsi="Arial" w:cs="Arial"/>
              </w:rPr>
            </w:pPr>
            <w:r w:rsidRPr="00B2376E">
              <w:rPr>
                <w:rFonts w:ascii="Arial" w:hAnsi="Arial" w:cs="Arial"/>
              </w:rPr>
              <w:t>Gram Negative</w:t>
            </w:r>
          </w:p>
        </w:tc>
        <w:tc>
          <w:tcPr>
            <w:tcW w:w="1783" w:type="dxa"/>
            <w:vAlign w:val="center"/>
          </w:tcPr>
          <w:p w14:paraId="092D0AD9"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2005E5ED"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D526654"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03518641" w14:textId="77777777" w:rsidTr="00E11F5F">
        <w:trPr>
          <w:trHeight w:hRule="exact" w:val="389"/>
        </w:trPr>
        <w:tc>
          <w:tcPr>
            <w:tcW w:w="1065" w:type="dxa"/>
            <w:vAlign w:val="center"/>
          </w:tcPr>
          <w:p w14:paraId="2B29C693" w14:textId="77777777" w:rsidR="008F2F84" w:rsidRPr="00B2376E" w:rsidRDefault="008F2F84" w:rsidP="00FB6672">
            <w:pPr>
              <w:spacing w:line="360" w:lineRule="auto"/>
              <w:jc w:val="both"/>
              <w:rPr>
                <w:rFonts w:ascii="Arial" w:hAnsi="Arial" w:cs="Arial"/>
              </w:rPr>
            </w:pPr>
            <w:r w:rsidRPr="00B2376E">
              <w:rPr>
                <w:rFonts w:ascii="Arial" w:hAnsi="Arial" w:cs="Arial"/>
              </w:rPr>
              <w:t>21</w:t>
            </w:r>
          </w:p>
        </w:tc>
        <w:tc>
          <w:tcPr>
            <w:tcW w:w="1077" w:type="dxa"/>
            <w:vAlign w:val="center"/>
          </w:tcPr>
          <w:p w14:paraId="7CB3B876"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IIIB4</w:t>
            </w:r>
          </w:p>
        </w:tc>
        <w:tc>
          <w:tcPr>
            <w:tcW w:w="1831" w:type="dxa"/>
            <w:vAlign w:val="center"/>
          </w:tcPr>
          <w:p w14:paraId="15B87683" w14:textId="77777777" w:rsidR="008F2F84" w:rsidRPr="00B2376E" w:rsidRDefault="008F2F84" w:rsidP="00FB6672">
            <w:pPr>
              <w:spacing w:line="360" w:lineRule="auto"/>
              <w:jc w:val="both"/>
              <w:rPr>
                <w:rFonts w:ascii="Arial" w:hAnsi="Arial" w:cs="Arial"/>
              </w:rPr>
            </w:pPr>
            <w:r w:rsidRPr="00B2376E">
              <w:rPr>
                <w:rFonts w:ascii="Arial" w:hAnsi="Arial" w:cs="Arial"/>
              </w:rPr>
              <w:t>Gram Negative</w:t>
            </w:r>
          </w:p>
        </w:tc>
        <w:tc>
          <w:tcPr>
            <w:tcW w:w="1783" w:type="dxa"/>
            <w:vAlign w:val="center"/>
          </w:tcPr>
          <w:p w14:paraId="60A74BF1"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0D1939EA"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1BCF85ED"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947D3F1" w14:textId="77777777" w:rsidTr="00E11F5F">
        <w:trPr>
          <w:trHeight w:hRule="exact" w:val="389"/>
        </w:trPr>
        <w:tc>
          <w:tcPr>
            <w:tcW w:w="1065" w:type="dxa"/>
            <w:vAlign w:val="center"/>
          </w:tcPr>
          <w:p w14:paraId="69982515" w14:textId="77777777" w:rsidR="008F2F84" w:rsidRPr="00B2376E" w:rsidRDefault="008F2F84" w:rsidP="00FB6672">
            <w:pPr>
              <w:spacing w:line="360" w:lineRule="auto"/>
              <w:jc w:val="both"/>
              <w:rPr>
                <w:rFonts w:ascii="Arial" w:hAnsi="Arial" w:cs="Arial"/>
              </w:rPr>
            </w:pPr>
            <w:r w:rsidRPr="00B2376E">
              <w:rPr>
                <w:rFonts w:ascii="Arial" w:hAnsi="Arial" w:cs="Arial"/>
              </w:rPr>
              <w:t>22</w:t>
            </w:r>
          </w:p>
        </w:tc>
        <w:tc>
          <w:tcPr>
            <w:tcW w:w="1077" w:type="dxa"/>
            <w:vAlign w:val="center"/>
          </w:tcPr>
          <w:p w14:paraId="0CD37CB0"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IIIB5</w:t>
            </w:r>
          </w:p>
        </w:tc>
        <w:tc>
          <w:tcPr>
            <w:tcW w:w="1831" w:type="dxa"/>
            <w:vAlign w:val="center"/>
          </w:tcPr>
          <w:p w14:paraId="28631F31"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7DB05790"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711C3B6D"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6320B836"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0F768676" w14:textId="77777777" w:rsidTr="00E11F5F">
        <w:trPr>
          <w:trHeight w:hRule="exact" w:val="389"/>
        </w:trPr>
        <w:tc>
          <w:tcPr>
            <w:tcW w:w="1065" w:type="dxa"/>
            <w:vAlign w:val="center"/>
          </w:tcPr>
          <w:p w14:paraId="539ACD12" w14:textId="77777777" w:rsidR="008F2F84" w:rsidRPr="00B2376E" w:rsidRDefault="008F2F84" w:rsidP="00FB6672">
            <w:pPr>
              <w:spacing w:line="360" w:lineRule="auto"/>
              <w:jc w:val="both"/>
              <w:rPr>
                <w:rFonts w:ascii="Arial" w:hAnsi="Arial" w:cs="Arial"/>
              </w:rPr>
            </w:pPr>
            <w:r w:rsidRPr="00B2376E">
              <w:rPr>
                <w:rFonts w:ascii="Arial" w:hAnsi="Arial" w:cs="Arial"/>
              </w:rPr>
              <w:t>23</w:t>
            </w:r>
          </w:p>
        </w:tc>
        <w:tc>
          <w:tcPr>
            <w:tcW w:w="1077" w:type="dxa"/>
            <w:vAlign w:val="center"/>
          </w:tcPr>
          <w:p w14:paraId="74BA0394"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IIIB6</w:t>
            </w:r>
          </w:p>
        </w:tc>
        <w:tc>
          <w:tcPr>
            <w:tcW w:w="1831" w:type="dxa"/>
            <w:vAlign w:val="center"/>
          </w:tcPr>
          <w:p w14:paraId="1F282F04" w14:textId="77777777" w:rsidR="008F2F84" w:rsidRPr="00B2376E" w:rsidRDefault="008F2F84" w:rsidP="00FB6672">
            <w:pPr>
              <w:spacing w:line="360" w:lineRule="auto"/>
              <w:jc w:val="both"/>
              <w:rPr>
                <w:rFonts w:ascii="Arial" w:hAnsi="Arial" w:cs="Arial"/>
              </w:rPr>
            </w:pPr>
            <w:r w:rsidRPr="00B2376E">
              <w:rPr>
                <w:rFonts w:ascii="Arial" w:hAnsi="Arial" w:cs="Arial"/>
              </w:rPr>
              <w:t>Gram Negative</w:t>
            </w:r>
          </w:p>
        </w:tc>
        <w:tc>
          <w:tcPr>
            <w:tcW w:w="1783" w:type="dxa"/>
            <w:vAlign w:val="center"/>
          </w:tcPr>
          <w:p w14:paraId="63A075CE"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1DD4595F"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76755CD0"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425B133F" w14:textId="77777777" w:rsidTr="00E11F5F">
        <w:trPr>
          <w:trHeight w:hRule="exact" w:val="389"/>
        </w:trPr>
        <w:tc>
          <w:tcPr>
            <w:tcW w:w="1065" w:type="dxa"/>
            <w:vAlign w:val="center"/>
          </w:tcPr>
          <w:p w14:paraId="511109C0" w14:textId="77777777" w:rsidR="008F2F84" w:rsidRPr="00B2376E" w:rsidRDefault="008F2F84" w:rsidP="00FB6672">
            <w:pPr>
              <w:spacing w:line="360" w:lineRule="auto"/>
              <w:jc w:val="both"/>
              <w:rPr>
                <w:rFonts w:ascii="Arial" w:hAnsi="Arial" w:cs="Arial"/>
              </w:rPr>
            </w:pPr>
            <w:r w:rsidRPr="00B2376E">
              <w:rPr>
                <w:rFonts w:ascii="Arial" w:hAnsi="Arial" w:cs="Arial"/>
              </w:rPr>
              <w:t>24</w:t>
            </w:r>
          </w:p>
        </w:tc>
        <w:tc>
          <w:tcPr>
            <w:tcW w:w="1077" w:type="dxa"/>
            <w:vAlign w:val="center"/>
          </w:tcPr>
          <w:p w14:paraId="15AFDD06"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IIIB7</w:t>
            </w:r>
          </w:p>
        </w:tc>
        <w:tc>
          <w:tcPr>
            <w:tcW w:w="1831" w:type="dxa"/>
            <w:vAlign w:val="center"/>
          </w:tcPr>
          <w:p w14:paraId="16BEF398"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3693BB7A" w14:textId="77777777" w:rsidR="008F2F84" w:rsidRPr="00B2376E" w:rsidRDefault="008F2F84" w:rsidP="00FB6672">
            <w:pPr>
              <w:spacing w:line="360" w:lineRule="auto"/>
              <w:jc w:val="both"/>
              <w:rPr>
                <w:rFonts w:ascii="Arial" w:hAnsi="Arial" w:cs="Arial"/>
              </w:rPr>
            </w:pPr>
            <w:proofErr w:type="spellStart"/>
            <w:r w:rsidRPr="00B2376E">
              <w:rPr>
                <w:rFonts w:ascii="Arial" w:hAnsi="Arial" w:cs="Arial"/>
              </w:rPr>
              <w:t>Creamish</w:t>
            </w:r>
            <w:proofErr w:type="spellEnd"/>
            <w:r w:rsidRPr="00B2376E">
              <w:rPr>
                <w:rFonts w:ascii="Arial" w:hAnsi="Arial" w:cs="Arial"/>
              </w:rPr>
              <w:t xml:space="preserve"> white</w:t>
            </w:r>
          </w:p>
        </w:tc>
        <w:tc>
          <w:tcPr>
            <w:tcW w:w="1375" w:type="dxa"/>
            <w:vAlign w:val="center"/>
          </w:tcPr>
          <w:p w14:paraId="5C8C0612"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02D1B6B6"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5CC6139C" w14:textId="77777777" w:rsidTr="00E11F5F">
        <w:trPr>
          <w:trHeight w:hRule="exact" w:val="389"/>
        </w:trPr>
        <w:tc>
          <w:tcPr>
            <w:tcW w:w="1065" w:type="dxa"/>
            <w:vAlign w:val="center"/>
          </w:tcPr>
          <w:p w14:paraId="3AFE3B65" w14:textId="77777777" w:rsidR="008F2F84" w:rsidRPr="00B2376E" w:rsidRDefault="008F2F84" w:rsidP="00FB6672">
            <w:pPr>
              <w:spacing w:line="360" w:lineRule="auto"/>
              <w:jc w:val="both"/>
              <w:rPr>
                <w:rFonts w:ascii="Arial" w:hAnsi="Arial" w:cs="Arial"/>
              </w:rPr>
            </w:pPr>
            <w:r w:rsidRPr="00B2376E">
              <w:rPr>
                <w:rFonts w:ascii="Arial" w:hAnsi="Arial" w:cs="Arial"/>
              </w:rPr>
              <w:lastRenderedPageBreak/>
              <w:t>25</w:t>
            </w:r>
          </w:p>
        </w:tc>
        <w:tc>
          <w:tcPr>
            <w:tcW w:w="1077" w:type="dxa"/>
            <w:vAlign w:val="center"/>
          </w:tcPr>
          <w:p w14:paraId="46396490"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IVB1</w:t>
            </w:r>
          </w:p>
        </w:tc>
        <w:tc>
          <w:tcPr>
            <w:tcW w:w="1831" w:type="dxa"/>
            <w:vAlign w:val="center"/>
          </w:tcPr>
          <w:p w14:paraId="22D3BE1C"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3030EAD3"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5FAD7266"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C0A936A"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5BDB0ED" w14:textId="77777777" w:rsidTr="00E11F5F">
        <w:trPr>
          <w:trHeight w:hRule="exact" w:val="389"/>
        </w:trPr>
        <w:tc>
          <w:tcPr>
            <w:tcW w:w="1065" w:type="dxa"/>
            <w:vAlign w:val="center"/>
          </w:tcPr>
          <w:p w14:paraId="35EB3A2A" w14:textId="77777777" w:rsidR="008F2F84" w:rsidRPr="00B2376E" w:rsidRDefault="008F2F84" w:rsidP="00FB6672">
            <w:pPr>
              <w:spacing w:line="360" w:lineRule="auto"/>
              <w:jc w:val="both"/>
              <w:rPr>
                <w:rFonts w:ascii="Arial" w:hAnsi="Arial" w:cs="Arial"/>
              </w:rPr>
            </w:pPr>
            <w:r w:rsidRPr="00B2376E">
              <w:rPr>
                <w:rFonts w:ascii="Arial" w:hAnsi="Arial" w:cs="Arial"/>
              </w:rPr>
              <w:t>26</w:t>
            </w:r>
          </w:p>
        </w:tc>
        <w:tc>
          <w:tcPr>
            <w:tcW w:w="1077" w:type="dxa"/>
            <w:vAlign w:val="center"/>
          </w:tcPr>
          <w:p w14:paraId="1C2325B7"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IVB2</w:t>
            </w:r>
          </w:p>
        </w:tc>
        <w:tc>
          <w:tcPr>
            <w:tcW w:w="1831" w:type="dxa"/>
            <w:vAlign w:val="center"/>
          </w:tcPr>
          <w:p w14:paraId="0B6AA9C3"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15FF4DDF"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7E5B280B"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0A1C2B81"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3127A6AE" w14:textId="77777777" w:rsidTr="00E11F5F">
        <w:trPr>
          <w:trHeight w:hRule="exact" w:val="389"/>
        </w:trPr>
        <w:tc>
          <w:tcPr>
            <w:tcW w:w="1065" w:type="dxa"/>
            <w:vAlign w:val="center"/>
          </w:tcPr>
          <w:p w14:paraId="093975BA" w14:textId="77777777" w:rsidR="008F2F84" w:rsidRPr="00B2376E" w:rsidRDefault="008F2F84" w:rsidP="00FB6672">
            <w:pPr>
              <w:spacing w:line="360" w:lineRule="auto"/>
              <w:jc w:val="both"/>
              <w:rPr>
                <w:rFonts w:ascii="Arial" w:hAnsi="Arial" w:cs="Arial"/>
              </w:rPr>
            </w:pPr>
            <w:r w:rsidRPr="00B2376E">
              <w:rPr>
                <w:rFonts w:ascii="Arial" w:hAnsi="Arial" w:cs="Arial"/>
              </w:rPr>
              <w:t>27</w:t>
            </w:r>
          </w:p>
        </w:tc>
        <w:tc>
          <w:tcPr>
            <w:tcW w:w="1077" w:type="dxa"/>
            <w:vAlign w:val="center"/>
          </w:tcPr>
          <w:p w14:paraId="7C661D55"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IVB3</w:t>
            </w:r>
          </w:p>
        </w:tc>
        <w:tc>
          <w:tcPr>
            <w:tcW w:w="1831" w:type="dxa"/>
            <w:vAlign w:val="center"/>
          </w:tcPr>
          <w:p w14:paraId="748051FE"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79D670E2" w14:textId="77777777" w:rsidR="008F2F84" w:rsidRPr="00B2376E" w:rsidRDefault="008F2F84" w:rsidP="00FB6672">
            <w:pPr>
              <w:spacing w:line="360" w:lineRule="auto"/>
              <w:jc w:val="both"/>
              <w:rPr>
                <w:rFonts w:ascii="Arial" w:hAnsi="Arial" w:cs="Arial"/>
              </w:rPr>
            </w:pPr>
            <w:proofErr w:type="spellStart"/>
            <w:r w:rsidRPr="00B2376E">
              <w:rPr>
                <w:rFonts w:ascii="Arial" w:hAnsi="Arial" w:cs="Arial"/>
              </w:rPr>
              <w:t>Creamish</w:t>
            </w:r>
            <w:proofErr w:type="spellEnd"/>
            <w:r w:rsidRPr="00B2376E">
              <w:rPr>
                <w:rFonts w:ascii="Arial" w:hAnsi="Arial" w:cs="Arial"/>
              </w:rPr>
              <w:t xml:space="preserve"> white</w:t>
            </w:r>
          </w:p>
        </w:tc>
        <w:tc>
          <w:tcPr>
            <w:tcW w:w="1375" w:type="dxa"/>
            <w:vAlign w:val="center"/>
          </w:tcPr>
          <w:p w14:paraId="32B598CC"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7BB385F9"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2123A9A2" w14:textId="77777777" w:rsidTr="00E11F5F">
        <w:trPr>
          <w:trHeight w:hRule="exact" w:val="389"/>
        </w:trPr>
        <w:tc>
          <w:tcPr>
            <w:tcW w:w="1065" w:type="dxa"/>
            <w:vAlign w:val="center"/>
          </w:tcPr>
          <w:p w14:paraId="5932398D" w14:textId="77777777" w:rsidR="008F2F84" w:rsidRPr="00B2376E" w:rsidRDefault="008F2F84" w:rsidP="00FB6672">
            <w:pPr>
              <w:spacing w:line="360" w:lineRule="auto"/>
              <w:jc w:val="both"/>
              <w:rPr>
                <w:rFonts w:ascii="Arial" w:hAnsi="Arial" w:cs="Arial"/>
              </w:rPr>
            </w:pPr>
            <w:r w:rsidRPr="00B2376E">
              <w:rPr>
                <w:rFonts w:ascii="Arial" w:hAnsi="Arial" w:cs="Arial"/>
              </w:rPr>
              <w:t>28</w:t>
            </w:r>
          </w:p>
        </w:tc>
        <w:tc>
          <w:tcPr>
            <w:tcW w:w="1077" w:type="dxa"/>
            <w:vAlign w:val="center"/>
          </w:tcPr>
          <w:p w14:paraId="76D6B5FA"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IVB4</w:t>
            </w:r>
          </w:p>
        </w:tc>
        <w:tc>
          <w:tcPr>
            <w:tcW w:w="1831" w:type="dxa"/>
            <w:vAlign w:val="center"/>
          </w:tcPr>
          <w:p w14:paraId="26103D45"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580B46DF"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43AACBCD"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0A595BCE"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0FCE736" w14:textId="77777777" w:rsidTr="00E11F5F">
        <w:trPr>
          <w:trHeight w:hRule="exact" w:val="389"/>
        </w:trPr>
        <w:tc>
          <w:tcPr>
            <w:tcW w:w="1065" w:type="dxa"/>
            <w:vAlign w:val="center"/>
          </w:tcPr>
          <w:p w14:paraId="702F5D60" w14:textId="77777777" w:rsidR="008F2F84" w:rsidRPr="00B2376E" w:rsidRDefault="008F2F84" w:rsidP="00FB6672">
            <w:pPr>
              <w:spacing w:line="360" w:lineRule="auto"/>
              <w:jc w:val="both"/>
              <w:rPr>
                <w:rFonts w:ascii="Arial" w:hAnsi="Arial" w:cs="Arial"/>
              </w:rPr>
            </w:pPr>
            <w:r w:rsidRPr="00B2376E">
              <w:rPr>
                <w:rFonts w:ascii="Arial" w:hAnsi="Arial" w:cs="Arial"/>
              </w:rPr>
              <w:t>29</w:t>
            </w:r>
          </w:p>
        </w:tc>
        <w:tc>
          <w:tcPr>
            <w:tcW w:w="1077" w:type="dxa"/>
            <w:vAlign w:val="center"/>
          </w:tcPr>
          <w:p w14:paraId="641E2E8C"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IVB5</w:t>
            </w:r>
          </w:p>
        </w:tc>
        <w:tc>
          <w:tcPr>
            <w:tcW w:w="1831" w:type="dxa"/>
            <w:vAlign w:val="center"/>
          </w:tcPr>
          <w:p w14:paraId="74ECA8AB"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360F92F8"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0E860ED6"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47F3D9F2"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4FABA014" w14:textId="77777777" w:rsidTr="00E11F5F">
        <w:trPr>
          <w:trHeight w:hRule="exact" w:val="389"/>
        </w:trPr>
        <w:tc>
          <w:tcPr>
            <w:tcW w:w="1065" w:type="dxa"/>
            <w:vAlign w:val="center"/>
          </w:tcPr>
          <w:p w14:paraId="313EFBB4" w14:textId="77777777" w:rsidR="008F2F84" w:rsidRPr="00B2376E" w:rsidRDefault="008F2F84" w:rsidP="00FB6672">
            <w:pPr>
              <w:spacing w:line="360" w:lineRule="auto"/>
              <w:jc w:val="both"/>
              <w:rPr>
                <w:rFonts w:ascii="Arial" w:hAnsi="Arial" w:cs="Arial"/>
              </w:rPr>
            </w:pPr>
            <w:r w:rsidRPr="00B2376E">
              <w:rPr>
                <w:rFonts w:ascii="Arial" w:hAnsi="Arial" w:cs="Arial"/>
              </w:rPr>
              <w:t>30</w:t>
            </w:r>
          </w:p>
        </w:tc>
        <w:tc>
          <w:tcPr>
            <w:tcW w:w="1077" w:type="dxa"/>
            <w:vAlign w:val="center"/>
          </w:tcPr>
          <w:p w14:paraId="584AF03F"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IVB6</w:t>
            </w:r>
          </w:p>
        </w:tc>
        <w:tc>
          <w:tcPr>
            <w:tcW w:w="1831" w:type="dxa"/>
            <w:vAlign w:val="center"/>
          </w:tcPr>
          <w:p w14:paraId="4DEF8225"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78609670"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2C782E17"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98CF54F"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6FD740D8" w14:textId="77777777" w:rsidTr="00E11F5F">
        <w:trPr>
          <w:trHeight w:hRule="exact" w:val="389"/>
        </w:trPr>
        <w:tc>
          <w:tcPr>
            <w:tcW w:w="1065" w:type="dxa"/>
            <w:vAlign w:val="center"/>
          </w:tcPr>
          <w:p w14:paraId="06290AF1" w14:textId="77777777" w:rsidR="008F2F84" w:rsidRPr="00B2376E" w:rsidRDefault="008F2F84" w:rsidP="00FB6672">
            <w:pPr>
              <w:spacing w:line="360" w:lineRule="auto"/>
              <w:jc w:val="both"/>
              <w:rPr>
                <w:rFonts w:ascii="Arial" w:hAnsi="Arial" w:cs="Arial"/>
              </w:rPr>
            </w:pPr>
            <w:r w:rsidRPr="00B2376E">
              <w:rPr>
                <w:rFonts w:ascii="Arial" w:hAnsi="Arial" w:cs="Arial"/>
              </w:rPr>
              <w:t>31</w:t>
            </w:r>
          </w:p>
        </w:tc>
        <w:tc>
          <w:tcPr>
            <w:tcW w:w="1077" w:type="dxa"/>
            <w:vAlign w:val="center"/>
          </w:tcPr>
          <w:p w14:paraId="6F9573B3"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IVB7</w:t>
            </w:r>
          </w:p>
        </w:tc>
        <w:tc>
          <w:tcPr>
            <w:tcW w:w="1831" w:type="dxa"/>
            <w:vAlign w:val="center"/>
          </w:tcPr>
          <w:p w14:paraId="5384840D"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1DCAC177"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066CA470"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10ED04A1"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r w:rsidR="008F2F84" w:rsidRPr="00B2376E" w14:paraId="6DE364E0" w14:textId="77777777" w:rsidTr="00E11F5F">
        <w:trPr>
          <w:trHeight w:hRule="exact" w:val="389"/>
        </w:trPr>
        <w:tc>
          <w:tcPr>
            <w:tcW w:w="1065" w:type="dxa"/>
            <w:vAlign w:val="center"/>
          </w:tcPr>
          <w:p w14:paraId="2FDF8CB1" w14:textId="77777777" w:rsidR="008F2F84" w:rsidRPr="00B2376E" w:rsidRDefault="008F2F84" w:rsidP="00FB6672">
            <w:pPr>
              <w:spacing w:line="360" w:lineRule="auto"/>
              <w:jc w:val="both"/>
              <w:rPr>
                <w:rFonts w:ascii="Arial" w:hAnsi="Arial" w:cs="Arial"/>
              </w:rPr>
            </w:pPr>
            <w:r w:rsidRPr="00B2376E">
              <w:rPr>
                <w:rFonts w:ascii="Arial" w:hAnsi="Arial" w:cs="Arial"/>
              </w:rPr>
              <w:t>32</w:t>
            </w:r>
          </w:p>
        </w:tc>
        <w:tc>
          <w:tcPr>
            <w:tcW w:w="1077" w:type="dxa"/>
            <w:vAlign w:val="center"/>
          </w:tcPr>
          <w:p w14:paraId="2E251D45"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IVB8</w:t>
            </w:r>
          </w:p>
        </w:tc>
        <w:tc>
          <w:tcPr>
            <w:tcW w:w="1831" w:type="dxa"/>
            <w:vAlign w:val="center"/>
          </w:tcPr>
          <w:p w14:paraId="60E0B808"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2800EE30"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46BE74C3" w14:textId="77777777" w:rsidR="008F2F84" w:rsidRPr="00B2376E" w:rsidRDefault="008F2F84" w:rsidP="00FB6672">
            <w:pPr>
              <w:spacing w:line="360" w:lineRule="auto"/>
              <w:jc w:val="both"/>
              <w:rPr>
                <w:rFonts w:ascii="Arial" w:hAnsi="Arial" w:cs="Arial"/>
              </w:rPr>
            </w:pPr>
            <w:r w:rsidRPr="00B2376E">
              <w:rPr>
                <w:rFonts w:ascii="Arial" w:hAnsi="Arial" w:cs="Arial"/>
              </w:rPr>
              <w:t>Circular</w:t>
            </w:r>
          </w:p>
        </w:tc>
        <w:tc>
          <w:tcPr>
            <w:tcW w:w="1629" w:type="dxa"/>
            <w:vAlign w:val="center"/>
          </w:tcPr>
          <w:p w14:paraId="13924811" w14:textId="77777777" w:rsidR="008F2F84" w:rsidRPr="00B2376E" w:rsidRDefault="008F2F84" w:rsidP="00FB6672">
            <w:pPr>
              <w:spacing w:line="360" w:lineRule="auto"/>
              <w:jc w:val="both"/>
              <w:rPr>
                <w:rFonts w:ascii="Arial" w:hAnsi="Arial" w:cs="Arial"/>
              </w:rPr>
            </w:pPr>
            <w:r w:rsidRPr="00B2376E">
              <w:rPr>
                <w:rFonts w:ascii="Arial" w:hAnsi="Arial" w:cs="Arial"/>
              </w:rPr>
              <w:t>Cocci</w:t>
            </w:r>
          </w:p>
        </w:tc>
      </w:tr>
      <w:tr w:rsidR="008F2F84" w:rsidRPr="00B2376E" w14:paraId="7A7CE5BF" w14:textId="77777777" w:rsidTr="00E11F5F">
        <w:trPr>
          <w:trHeight w:hRule="exact" w:val="389"/>
        </w:trPr>
        <w:tc>
          <w:tcPr>
            <w:tcW w:w="1065" w:type="dxa"/>
            <w:vAlign w:val="center"/>
          </w:tcPr>
          <w:p w14:paraId="47A1E820" w14:textId="77777777" w:rsidR="008F2F84" w:rsidRPr="00B2376E" w:rsidRDefault="008F2F84" w:rsidP="00FB6672">
            <w:pPr>
              <w:spacing w:line="360" w:lineRule="auto"/>
              <w:jc w:val="both"/>
              <w:rPr>
                <w:rFonts w:ascii="Arial" w:hAnsi="Arial" w:cs="Arial"/>
              </w:rPr>
            </w:pPr>
            <w:r w:rsidRPr="00B2376E">
              <w:rPr>
                <w:rFonts w:ascii="Arial" w:hAnsi="Arial" w:cs="Arial"/>
              </w:rPr>
              <w:t>33</w:t>
            </w:r>
          </w:p>
        </w:tc>
        <w:tc>
          <w:tcPr>
            <w:tcW w:w="1077" w:type="dxa"/>
            <w:vAlign w:val="center"/>
          </w:tcPr>
          <w:p w14:paraId="2952EC1E" w14:textId="77777777" w:rsidR="008F2F84" w:rsidRPr="00B2376E" w:rsidRDefault="008F2F84" w:rsidP="00FB6672">
            <w:pPr>
              <w:spacing w:line="360" w:lineRule="auto"/>
              <w:jc w:val="both"/>
              <w:rPr>
                <w:rFonts w:ascii="Arial" w:hAnsi="Arial" w:cs="Arial"/>
                <w:color w:val="000000" w:themeColor="text1"/>
                <w:lang w:val="en-US"/>
              </w:rPr>
            </w:pPr>
            <w:r w:rsidRPr="00B2376E">
              <w:rPr>
                <w:rFonts w:ascii="Arial" w:hAnsi="Arial" w:cs="Arial"/>
                <w:color w:val="000000" w:themeColor="text1"/>
                <w:lang w:val="en-US"/>
              </w:rPr>
              <w:t>IVB9</w:t>
            </w:r>
          </w:p>
        </w:tc>
        <w:tc>
          <w:tcPr>
            <w:tcW w:w="1831" w:type="dxa"/>
            <w:vAlign w:val="center"/>
          </w:tcPr>
          <w:p w14:paraId="6D39023A" w14:textId="77777777" w:rsidR="008F2F84" w:rsidRPr="00B2376E" w:rsidRDefault="008F2F84" w:rsidP="00FB6672">
            <w:pPr>
              <w:spacing w:line="360" w:lineRule="auto"/>
              <w:jc w:val="both"/>
              <w:rPr>
                <w:rFonts w:ascii="Arial" w:hAnsi="Arial" w:cs="Arial"/>
              </w:rPr>
            </w:pPr>
            <w:r w:rsidRPr="00B2376E">
              <w:rPr>
                <w:rFonts w:ascii="Arial" w:hAnsi="Arial" w:cs="Arial"/>
              </w:rPr>
              <w:t>Gram Positive</w:t>
            </w:r>
          </w:p>
        </w:tc>
        <w:tc>
          <w:tcPr>
            <w:tcW w:w="1783" w:type="dxa"/>
            <w:vAlign w:val="center"/>
          </w:tcPr>
          <w:p w14:paraId="3F176847" w14:textId="77777777" w:rsidR="008F2F84" w:rsidRPr="00B2376E" w:rsidRDefault="008F2F84" w:rsidP="00FB6672">
            <w:pPr>
              <w:spacing w:line="360" w:lineRule="auto"/>
              <w:jc w:val="both"/>
              <w:rPr>
                <w:rFonts w:ascii="Arial" w:hAnsi="Arial" w:cs="Arial"/>
              </w:rPr>
            </w:pPr>
            <w:r w:rsidRPr="00B2376E">
              <w:rPr>
                <w:rFonts w:ascii="Arial" w:hAnsi="Arial" w:cs="Arial"/>
              </w:rPr>
              <w:t>White</w:t>
            </w:r>
          </w:p>
        </w:tc>
        <w:tc>
          <w:tcPr>
            <w:tcW w:w="1375" w:type="dxa"/>
            <w:vAlign w:val="center"/>
          </w:tcPr>
          <w:p w14:paraId="0008335B" w14:textId="77777777" w:rsidR="008F2F84" w:rsidRPr="00B2376E" w:rsidRDefault="008F2F84" w:rsidP="00FB6672">
            <w:pPr>
              <w:spacing w:line="360" w:lineRule="auto"/>
              <w:jc w:val="both"/>
              <w:rPr>
                <w:rFonts w:ascii="Arial" w:hAnsi="Arial" w:cs="Arial"/>
              </w:rPr>
            </w:pPr>
            <w:r w:rsidRPr="00B2376E">
              <w:rPr>
                <w:rFonts w:ascii="Arial" w:hAnsi="Arial" w:cs="Arial"/>
              </w:rPr>
              <w:t>Serrated</w:t>
            </w:r>
          </w:p>
        </w:tc>
        <w:tc>
          <w:tcPr>
            <w:tcW w:w="1629" w:type="dxa"/>
            <w:vAlign w:val="center"/>
          </w:tcPr>
          <w:p w14:paraId="55A6C914" w14:textId="77777777" w:rsidR="008F2F84" w:rsidRPr="00B2376E" w:rsidRDefault="008F2F84" w:rsidP="00FB6672">
            <w:pPr>
              <w:spacing w:line="360" w:lineRule="auto"/>
              <w:jc w:val="both"/>
              <w:rPr>
                <w:rFonts w:ascii="Arial" w:hAnsi="Arial" w:cs="Arial"/>
              </w:rPr>
            </w:pPr>
            <w:r w:rsidRPr="00B2376E">
              <w:rPr>
                <w:rFonts w:ascii="Arial" w:hAnsi="Arial" w:cs="Arial"/>
              </w:rPr>
              <w:t>Rod</w:t>
            </w:r>
          </w:p>
        </w:tc>
      </w:tr>
    </w:tbl>
    <w:p w14:paraId="2486C3EE" w14:textId="77777777" w:rsidR="00354F26" w:rsidRPr="00B2376E" w:rsidRDefault="00354F26" w:rsidP="00FB6672">
      <w:pPr>
        <w:spacing w:before="120" w:after="120" w:line="360" w:lineRule="auto"/>
        <w:ind w:firstLine="720"/>
        <w:jc w:val="both"/>
        <w:rPr>
          <w:rFonts w:ascii="Arial" w:hAnsi="Arial" w:cs="Arial"/>
          <w:color w:val="000000" w:themeColor="text1"/>
        </w:rPr>
      </w:pPr>
    </w:p>
    <w:p w14:paraId="61173888" w14:textId="77777777" w:rsidR="00D77710" w:rsidRPr="00B2376E" w:rsidRDefault="00A40441" w:rsidP="00FB6672">
      <w:pPr>
        <w:spacing w:line="360" w:lineRule="auto"/>
        <w:jc w:val="both"/>
        <w:rPr>
          <w:rFonts w:ascii="Arial" w:hAnsi="Arial" w:cs="Arial"/>
        </w:rPr>
      </w:pPr>
      <w:r w:rsidRPr="00B2376E">
        <w:rPr>
          <w:rFonts w:ascii="Arial" w:hAnsi="Arial" w:cs="Arial"/>
        </w:rPr>
        <w:t>Gram-staining results showed that arecanut rhizosphere soils contained more Gram-positive than Gram-negative bacteria, whereas the culturable bacterial population was lower in YLD-affected garden soils than in healthy garden soils. The higher microbial population, particularly the bacterial population, in healthy gardens may contribute to the growth and health of arecanut palms. These results are consistent with the report by Philippot et al. (2013), which described the ecological importance of rhizosphere bacteria and their potential antagonistic activity against fungal pathogens.</w:t>
      </w:r>
    </w:p>
    <w:p w14:paraId="52E0A6A7" w14:textId="77777777" w:rsidR="00675A2D" w:rsidRPr="00B2376E" w:rsidRDefault="00354F26" w:rsidP="00FB6672">
      <w:pPr>
        <w:spacing w:before="120" w:after="120" w:line="360" w:lineRule="auto"/>
        <w:jc w:val="both"/>
        <w:rPr>
          <w:rFonts w:ascii="Arial" w:hAnsi="Arial" w:cs="Arial"/>
          <w:color w:val="000000" w:themeColor="text1"/>
        </w:rPr>
      </w:pPr>
      <w:r w:rsidRPr="00B2376E">
        <w:rPr>
          <w:rFonts w:ascii="Arial" w:hAnsi="Arial" w:cs="Arial"/>
          <w:color w:val="000000" w:themeColor="text1"/>
        </w:rPr>
        <w:t xml:space="preserve">Similarly, Madigan et al. (2021) stated that members of Gram-positive genera, particularly </w:t>
      </w:r>
      <w:r w:rsidRPr="00B2376E">
        <w:rPr>
          <w:rFonts w:ascii="Arial" w:hAnsi="Arial" w:cs="Arial"/>
          <w:i/>
          <w:color w:val="000000" w:themeColor="text1"/>
        </w:rPr>
        <w:t>Bacillus</w:t>
      </w:r>
      <w:r w:rsidRPr="00B2376E">
        <w:rPr>
          <w:rFonts w:ascii="Arial" w:hAnsi="Arial" w:cs="Arial"/>
          <w:color w:val="000000" w:themeColor="text1"/>
        </w:rPr>
        <w:t xml:space="preserve"> and related taxa, are well adapted to soil ecosystems because of their stress-tolerance mechanisms. Glick (2012) reported that plant growth-promoting rhizobacteria (PGPR) isolated from crop rhizospheres include Gram-positive genera such as </w:t>
      </w:r>
      <w:r w:rsidRPr="00B2376E">
        <w:rPr>
          <w:rFonts w:ascii="Arial" w:hAnsi="Arial" w:cs="Arial"/>
          <w:i/>
          <w:color w:val="000000" w:themeColor="text1"/>
        </w:rPr>
        <w:t>Bacillus</w:t>
      </w:r>
      <w:r w:rsidRPr="00B2376E">
        <w:rPr>
          <w:rFonts w:ascii="Arial" w:hAnsi="Arial" w:cs="Arial"/>
          <w:color w:val="000000" w:themeColor="text1"/>
        </w:rPr>
        <w:t xml:space="preserve"> spp. Atlas (2010) emphasised that cell morphology and Gram reaction provide rapid preliminary information on bacterial diversity. Similarly, the occurrence of both cocci and rod-shaped bacteria indicates a heterogeneous microbial population.</w:t>
      </w:r>
    </w:p>
    <w:p w14:paraId="0F662811" w14:textId="77777777" w:rsidR="00675A2D" w:rsidRPr="00B2376E" w:rsidRDefault="00354F26" w:rsidP="00FB6672">
      <w:pPr>
        <w:spacing w:before="120" w:after="120" w:line="360" w:lineRule="auto"/>
        <w:jc w:val="both"/>
        <w:rPr>
          <w:rFonts w:ascii="Arial" w:hAnsi="Arial" w:cs="Arial"/>
          <w:color w:val="000000" w:themeColor="text1"/>
        </w:rPr>
      </w:pPr>
      <w:r w:rsidRPr="00B2376E">
        <w:rPr>
          <w:rFonts w:ascii="Arial" w:hAnsi="Arial" w:cs="Arial"/>
        </w:rPr>
        <w:t xml:space="preserve">The lower culturable bacterial population in YLD-affected rhizosphere soils may reflect disease-associated disturbance in root exudation and microbial recruitment; however, the present data are observational and do not establish causality (Berendsen et al., 2012; Mendes et al., 2011; Trivedi et al., 2020; Ma et al., 2021). Beneficial rhizosphere bacteria can suppress pathogens through competition, antibiosis, and induced systemic resistance, and such mechanisms have been reported for several plant-associated bacteria, including </w:t>
      </w:r>
      <w:r w:rsidRPr="00B2376E">
        <w:rPr>
          <w:rFonts w:ascii="Arial" w:hAnsi="Arial" w:cs="Arial"/>
          <w:i/>
        </w:rPr>
        <w:t>Bacillus</w:t>
      </w:r>
      <w:r w:rsidRPr="00B2376E">
        <w:rPr>
          <w:rFonts w:ascii="Arial" w:hAnsi="Arial" w:cs="Arial"/>
        </w:rPr>
        <w:t xml:space="preserve"> spp. (Compant et al., 2010; Raaijmakers &amp; Mazzola, 2012; Hashem et al., 2019; Davidson Rokins et al., 2022). Accordingly, molecular identification and functional assays are required to determine whether any of the isolates obtained in the present study possess plant growth-promoting or biocontrol potential (Finkel et al., 2017; Janda &amp; Abbott, 2007; Qu et al., 2023).</w:t>
      </w:r>
    </w:p>
    <w:p w14:paraId="5D1BCE05" w14:textId="77777777" w:rsidR="00612C27" w:rsidRPr="00B2376E" w:rsidRDefault="00D20A1B" w:rsidP="00FB6672">
      <w:pPr>
        <w:spacing w:before="200" w:after="200" w:line="360" w:lineRule="auto"/>
        <w:jc w:val="both"/>
        <w:rPr>
          <w:rFonts w:ascii="Arial" w:hAnsi="Arial" w:cs="Arial"/>
          <w:b/>
          <w:color w:val="000000" w:themeColor="text1"/>
        </w:rPr>
      </w:pPr>
      <w:r w:rsidRPr="00B2376E">
        <w:rPr>
          <w:rFonts w:ascii="Arial" w:hAnsi="Arial" w:cs="Arial"/>
          <w:b/>
          <w:color w:val="000000" w:themeColor="text1"/>
        </w:rPr>
        <w:lastRenderedPageBreak/>
        <w:t>Conclusion</w:t>
      </w:r>
    </w:p>
    <w:p w14:paraId="0EBB785A" w14:textId="77777777" w:rsidR="00924C6A" w:rsidRPr="00B2376E" w:rsidRDefault="00924C6A" w:rsidP="00FB6672">
      <w:pPr>
        <w:spacing w:before="200" w:after="200" w:line="360" w:lineRule="auto"/>
        <w:jc w:val="both"/>
        <w:rPr>
          <w:rFonts w:ascii="Arial" w:hAnsi="Arial" w:cs="Arial"/>
        </w:rPr>
      </w:pPr>
      <w:r w:rsidRPr="00B2376E">
        <w:rPr>
          <w:rFonts w:ascii="Arial" w:hAnsi="Arial" w:cs="Arial"/>
        </w:rPr>
        <w:t>The present investigation showed that the rhizosphere of healthy arecanut palms harboured a higher population of culturable bacteria than that of Yellow Leaf Disease (YLD)-affected palms, indicating a possible association between disease status and the abundance and composition of rhizosphere bacterial communities. A total of 33 bacterial isolates were characterised based on colony morphology, Gram reaction, and cellular morphology, with Gram-positive bacteria accounting for 87.88% of the isolates. The predominance of Gram-positive bacteria, including rod- and cocci-shaped cells, suggests their adaptation to the arecanut rhizosphere and a possible ecological role in soil processes. The lower bacterial population observed in YLD-affected soils may reflect alterations in root physiology and rhizosphere conditions associated with the disease. The diversity of colony characteristics further indicates the presence of heterogeneous culturable bacterial populations associated with arecanut roots. These findings provide baseline information on culturable rhizosphere bacteria associated with healthy and diseased arecanut palms. Molecular identification and functional characterisation of the isolates are required to determine whether any possess plant growth-promoting or biocontrol properties that could support the sustainable management of YLD in arecanut plantations.</w:t>
      </w:r>
    </w:p>
    <w:p w14:paraId="4904C2B3" w14:textId="77777777" w:rsidR="00880439" w:rsidRPr="00B2376E" w:rsidRDefault="00880439" w:rsidP="00FB6672">
      <w:pPr>
        <w:spacing w:before="120" w:after="120" w:line="360" w:lineRule="auto"/>
        <w:jc w:val="both"/>
        <w:rPr>
          <w:rFonts w:ascii="Arial" w:hAnsi="Arial" w:cs="Arial"/>
          <w:b/>
          <w:bCs/>
        </w:rPr>
      </w:pPr>
      <w:r w:rsidRPr="00B2376E">
        <w:rPr>
          <w:rFonts w:ascii="Arial" w:hAnsi="Arial" w:cs="Arial"/>
          <w:b/>
          <w:bCs/>
        </w:rPr>
        <w:t>Competing Interests</w:t>
      </w:r>
    </w:p>
    <w:p w14:paraId="56AE3B19" w14:textId="77777777" w:rsidR="00880439" w:rsidRPr="00B2376E" w:rsidRDefault="00880439" w:rsidP="00FB6672">
      <w:pPr>
        <w:spacing w:before="120" w:after="120" w:line="360" w:lineRule="auto"/>
        <w:jc w:val="both"/>
        <w:rPr>
          <w:rFonts w:ascii="Arial" w:hAnsi="Arial" w:cs="Arial"/>
        </w:rPr>
      </w:pPr>
      <w:r w:rsidRPr="00B2376E">
        <w:rPr>
          <w:rFonts w:ascii="Arial" w:hAnsi="Arial" w:cs="Arial"/>
        </w:rPr>
        <w:t>Authors have declared that they have no known competing financial interests or non-financial interests or personal relationships that could have appeared to influence the work reported in this paper.</w:t>
      </w:r>
    </w:p>
    <w:p w14:paraId="751E0166" w14:textId="77777777" w:rsidR="00F524F8" w:rsidRPr="00B2376E" w:rsidRDefault="00F524F8" w:rsidP="00FB6672">
      <w:pPr>
        <w:spacing w:before="120" w:after="120" w:line="360" w:lineRule="auto"/>
        <w:jc w:val="both"/>
        <w:rPr>
          <w:rFonts w:ascii="Arial" w:hAnsi="Arial" w:cs="Arial"/>
        </w:rPr>
      </w:pPr>
    </w:p>
    <w:p w14:paraId="1B28A5A9" w14:textId="77777777" w:rsidR="00F524F8" w:rsidRPr="00B2376E" w:rsidRDefault="00F524F8" w:rsidP="00FB6672">
      <w:pPr>
        <w:spacing w:before="100" w:beforeAutospacing="1" w:after="100" w:afterAutospacing="1" w:line="360" w:lineRule="auto"/>
        <w:jc w:val="both"/>
        <w:outlineLvl w:val="1"/>
        <w:rPr>
          <w:rFonts w:ascii="Arial" w:eastAsia="Times New Roman" w:hAnsi="Arial" w:cs="Arial"/>
          <w:b/>
          <w:bCs/>
          <w:kern w:val="0"/>
          <w:lang w:val="en-US"/>
        </w:rPr>
      </w:pPr>
      <w:r w:rsidRPr="00B2376E">
        <w:rPr>
          <w:rFonts w:ascii="Arial" w:eastAsia="Times New Roman" w:hAnsi="Arial" w:cs="Arial"/>
          <w:b/>
          <w:bCs/>
          <w:kern w:val="0"/>
          <w:lang w:val="en-US"/>
        </w:rPr>
        <w:t>Limitation</w:t>
      </w:r>
    </w:p>
    <w:p w14:paraId="1E6573C7" w14:textId="77777777" w:rsidR="00D04157" w:rsidRDefault="00D04157" w:rsidP="00B363AA">
      <w:pPr>
        <w:spacing w:line="278" w:lineRule="auto"/>
        <w:jc w:val="both"/>
      </w:pPr>
      <w:r>
        <w:t>The study relied on culture-dependent isolation and preliminary characterisation by colony morphology and Gram staining. It did not include molecular identification, biochemical testing, functional assays, detailed quantitative population data, statistical comparisons, or isolate-wise differentiation between healthy and Yellow Leaf Disease-affected rhizospheres. Consequently, the findings describe culturable bacterial patterns only, and any interpretation concerning beneficial functions, disease suppression, or causal relationships should be regarded as preliminary.</w:t>
      </w:r>
    </w:p>
    <w:p w14:paraId="5B926019" w14:textId="77777777" w:rsidR="00D04157" w:rsidRDefault="00D04157" w:rsidP="00591596">
      <w:pPr>
        <w:spacing w:line="278" w:lineRule="auto"/>
      </w:pPr>
    </w:p>
    <w:p w14:paraId="0E8B6171" w14:textId="351757DC" w:rsidR="00591596" w:rsidRPr="00B2376E" w:rsidRDefault="00591596" w:rsidP="00591596">
      <w:pPr>
        <w:spacing w:line="278" w:lineRule="auto"/>
        <w:rPr>
          <w:rFonts w:ascii="Arial" w:hAnsi="Arial" w:cs="Arial"/>
          <w:b/>
          <w:bCs/>
          <w:sz w:val="20"/>
          <w:szCs w:val="20"/>
          <w:lang w:val="en-US"/>
        </w:rPr>
      </w:pPr>
      <w:r w:rsidRPr="00B2376E">
        <w:rPr>
          <w:rFonts w:ascii="Arial" w:hAnsi="Arial" w:cs="Arial"/>
          <w:b/>
          <w:bCs/>
          <w:sz w:val="20"/>
          <w:szCs w:val="20"/>
          <w:lang w:val="en-US"/>
        </w:rPr>
        <w:t>Declaration of AI Use</w:t>
      </w:r>
    </w:p>
    <w:p w14:paraId="1425F329" w14:textId="77777777" w:rsidR="00591596" w:rsidRPr="00B2376E" w:rsidRDefault="00591596" w:rsidP="00591596">
      <w:pPr>
        <w:spacing w:line="278" w:lineRule="auto"/>
        <w:jc w:val="both"/>
        <w:rPr>
          <w:rFonts w:ascii="Arial" w:hAnsi="Arial" w:cs="Arial"/>
          <w:sz w:val="20"/>
          <w:szCs w:val="20"/>
          <w:lang w:val="en-US"/>
        </w:rPr>
      </w:pPr>
      <w:r w:rsidRPr="00B2376E">
        <w:rPr>
          <w:rFonts w:ascii="Arial" w:hAnsi="Arial" w:cs="Arial"/>
          <w:sz w:val="20"/>
          <w:szCs w:val="20"/>
          <w:lang w:val="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w:t>
      </w:r>
      <w:r w:rsidRPr="00B2376E">
        <w:rPr>
          <w:rFonts w:ascii="Arial" w:hAnsi="Arial" w:cs="Arial"/>
          <w:sz w:val="20"/>
          <w:szCs w:val="20"/>
          <w:lang w:val="en-US"/>
        </w:rPr>
        <w:lastRenderedPageBreak/>
        <w:t>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EEE3956" w14:textId="77777777" w:rsidR="00591596" w:rsidRPr="00B2376E" w:rsidRDefault="00591596" w:rsidP="00FB6672">
      <w:pPr>
        <w:spacing w:before="100" w:beforeAutospacing="1" w:after="100" w:afterAutospacing="1" w:line="360" w:lineRule="auto"/>
        <w:jc w:val="both"/>
        <w:rPr>
          <w:rFonts w:ascii="Arial" w:eastAsia="Times New Roman" w:hAnsi="Arial" w:cs="Arial"/>
          <w:kern w:val="0"/>
          <w:lang w:val="en-US"/>
        </w:rPr>
      </w:pPr>
    </w:p>
    <w:p w14:paraId="641A545F" w14:textId="77777777" w:rsidR="00F524F8" w:rsidRPr="00B2376E" w:rsidRDefault="00F524F8" w:rsidP="00FB6672">
      <w:pPr>
        <w:spacing w:before="120" w:after="120" w:line="360" w:lineRule="auto"/>
        <w:jc w:val="both"/>
        <w:rPr>
          <w:rFonts w:ascii="Arial" w:hAnsi="Arial" w:cs="Arial"/>
        </w:rPr>
      </w:pPr>
    </w:p>
    <w:p w14:paraId="6123A494" w14:textId="77777777" w:rsidR="00880439" w:rsidRPr="00B2376E" w:rsidRDefault="00880439" w:rsidP="00FB6672">
      <w:pPr>
        <w:spacing w:before="200" w:after="200" w:line="360" w:lineRule="auto"/>
        <w:jc w:val="both"/>
        <w:rPr>
          <w:rFonts w:ascii="Arial" w:hAnsi="Arial" w:cs="Arial"/>
          <w:b/>
        </w:rPr>
      </w:pPr>
    </w:p>
    <w:p w14:paraId="2F6D9EAE" w14:textId="77777777" w:rsidR="00D20A1B" w:rsidRPr="00B2376E" w:rsidRDefault="00D20A1B" w:rsidP="00FB6672">
      <w:pPr>
        <w:spacing w:before="200" w:after="200" w:line="360" w:lineRule="auto"/>
        <w:jc w:val="both"/>
        <w:rPr>
          <w:rFonts w:ascii="Arial" w:hAnsi="Arial" w:cs="Arial"/>
          <w:b/>
        </w:rPr>
      </w:pPr>
      <w:r w:rsidRPr="00B2376E">
        <w:rPr>
          <w:rFonts w:ascii="Arial" w:hAnsi="Arial" w:cs="Arial"/>
          <w:b/>
        </w:rPr>
        <w:t>References:</w:t>
      </w:r>
    </w:p>
    <w:p w14:paraId="1B6D35AE" w14:textId="77777777" w:rsidR="00B17BCE" w:rsidRPr="00B2376E" w:rsidRDefault="00000000">
      <w:pPr>
        <w:spacing w:before="200" w:after="200" w:line="360" w:lineRule="auto"/>
        <w:jc w:val="both"/>
        <w:rPr>
          <w:rFonts w:ascii="Arial" w:hAnsi="Arial" w:cs="Arial"/>
          <w:b/>
        </w:rPr>
      </w:pPr>
      <w:r w:rsidRPr="00B2376E">
        <w:rPr>
          <w:rFonts w:ascii="Times New Roman" w:eastAsia="Times New Roman" w:hAnsi="Times New Roman"/>
          <w:b/>
          <w:sz w:val="24"/>
        </w:rPr>
        <w:t xml:space="preserve">Adal, Y. M. (2023). Role of rhizosphere on the soil fertility and availability nutrient. </w:t>
      </w:r>
      <w:r w:rsidRPr="00B2376E">
        <w:rPr>
          <w:rFonts w:ascii="Times New Roman" w:eastAsia="Times New Roman" w:hAnsi="Times New Roman"/>
          <w:b/>
          <w:i/>
          <w:sz w:val="24"/>
        </w:rPr>
        <w:t>Journal of Global Ecology and Environment, 19</w:t>
      </w:r>
      <w:r w:rsidRPr="00B2376E">
        <w:rPr>
          <w:rFonts w:ascii="Times New Roman" w:eastAsia="Times New Roman" w:hAnsi="Times New Roman"/>
          <w:b/>
          <w:sz w:val="24"/>
        </w:rPr>
        <w:t xml:space="preserve">(3), 22–30. </w:t>
      </w:r>
      <w:hyperlink r:id="rId9">
        <w:r w:rsidRPr="00B2376E">
          <w:rPr>
            <w:rFonts w:ascii="Times New Roman" w:eastAsia="Times New Roman" w:hAnsi="Times New Roman"/>
            <w:b/>
            <w:bCs/>
            <w:color w:val="0563C1"/>
            <w:sz w:val="24"/>
            <w:szCs w:val="24"/>
            <w:u w:val="single"/>
          </w:rPr>
          <w:t>https://doi.org/10.56557/jogee/2023/v19i3-48492</w:t>
        </w:r>
      </w:hyperlink>
    </w:p>
    <w:p w14:paraId="47B11E17"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Aneja, K. R. (2003). </w:t>
      </w:r>
      <w:r w:rsidRPr="00B2376E">
        <w:rPr>
          <w:rFonts w:ascii="Times New Roman" w:eastAsia="Times New Roman" w:hAnsi="Times New Roman" w:cs="Times New Roman"/>
          <w:i/>
          <w:iCs/>
          <w:kern w:val="0"/>
          <w:sz w:val="24"/>
          <w:szCs w:val="24"/>
          <w:lang w:val="en-US"/>
        </w:rPr>
        <w:t>Experiments in microbiology, plant pathology and biotechnology</w:t>
      </w:r>
      <w:r w:rsidRPr="00B2376E">
        <w:rPr>
          <w:rFonts w:ascii="Times New Roman" w:eastAsia="Times New Roman" w:hAnsi="Times New Roman" w:cs="Times New Roman"/>
          <w:kern w:val="0"/>
          <w:sz w:val="24"/>
          <w:szCs w:val="24"/>
          <w:lang w:val="en-US"/>
        </w:rPr>
        <w:t xml:space="preserve"> (4th ed.). New Age International. </w:t>
      </w:r>
      <w:hyperlink r:id="rId10" w:tgtFrame="_new" w:history="1">
        <w:r w:rsidRPr="00B2376E">
          <w:rPr>
            <w:rFonts w:ascii="Times New Roman" w:eastAsia="Times New Roman" w:hAnsi="Times New Roman" w:cs="Times New Roman"/>
            <w:color w:val="0000FF"/>
            <w:kern w:val="0"/>
            <w:sz w:val="24"/>
            <w:szCs w:val="24"/>
            <w:u w:val="single"/>
            <w:lang w:val="en-US"/>
          </w:rPr>
          <w:t>https://mulibrary.manipuruniv.ac.in/cgi-bin/koha/opac-detail.pl?biblionumber=47171</w:t>
        </w:r>
      </w:hyperlink>
    </w:p>
    <w:p w14:paraId="70DC35F0"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Atlas, R. M. (2010). </w:t>
      </w:r>
      <w:r w:rsidRPr="00B2376E">
        <w:rPr>
          <w:rFonts w:ascii="Times New Roman" w:eastAsia="Times New Roman" w:hAnsi="Times New Roman" w:cs="Times New Roman"/>
          <w:i/>
          <w:iCs/>
          <w:kern w:val="0"/>
          <w:sz w:val="24"/>
          <w:szCs w:val="24"/>
          <w:lang w:val="en-US"/>
        </w:rPr>
        <w:t>Handbook of microbiological media</w:t>
      </w:r>
      <w:r w:rsidRPr="00B2376E">
        <w:rPr>
          <w:rFonts w:ascii="Times New Roman" w:eastAsia="Times New Roman" w:hAnsi="Times New Roman" w:cs="Times New Roman"/>
          <w:kern w:val="0"/>
          <w:sz w:val="24"/>
          <w:szCs w:val="24"/>
          <w:lang w:val="en-US"/>
        </w:rPr>
        <w:t xml:space="preserve"> (4th ed.). CRC Press. https://doi.org/10.1201/EBK1439804063</w:t>
      </w:r>
    </w:p>
    <w:p w14:paraId="4B0E335F"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Berendsen, R. L., Pieterse, C. M. J., &amp; Bakker, P. A. H. M. (2012). The rhizosphere microbiome and plant health. </w:t>
      </w:r>
      <w:r w:rsidRPr="00B2376E">
        <w:rPr>
          <w:rFonts w:ascii="Times New Roman" w:eastAsia="Times New Roman" w:hAnsi="Times New Roman" w:cs="Times New Roman"/>
          <w:i/>
          <w:iCs/>
          <w:kern w:val="0"/>
          <w:sz w:val="24"/>
          <w:szCs w:val="24"/>
          <w:lang w:val="en-US"/>
        </w:rPr>
        <w:t>Trends in Plant Science, 17</w:t>
      </w:r>
      <w:r w:rsidRPr="00B2376E">
        <w:rPr>
          <w:rFonts w:ascii="Times New Roman" w:eastAsia="Times New Roman" w:hAnsi="Times New Roman" w:cs="Times New Roman"/>
          <w:kern w:val="0"/>
          <w:sz w:val="24"/>
          <w:szCs w:val="24"/>
          <w:lang w:val="en-US"/>
        </w:rPr>
        <w:t xml:space="preserve">(8), 478–486. </w:t>
      </w:r>
      <w:hyperlink r:id="rId11" w:tgtFrame="_new" w:history="1">
        <w:r w:rsidRPr="00B2376E">
          <w:rPr>
            <w:rFonts w:ascii="Times New Roman" w:eastAsia="Times New Roman" w:hAnsi="Times New Roman" w:cs="Times New Roman"/>
            <w:color w:val="0000FF"/>
            <w:kern w:val="0"/>
            <w:sz w:val="24"/>
            <w:szCs w:val="24"/>
            <w:u w:val="single"/>
            <w:lang w:val="en-US"/>
          </w:rPr>
          <w:t>https://doi.org/10.1016/j.tplants.2012.04.001</w:t>
        </w:r>
      </w:hyperlink>
    </w:p>
    <w:p w14:paraId="7AD58EA9"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Bhat, R., Sujatha, S., &amp; Jose, C. T. (2016). Role of nutrient imbalance on yellow leaf disease in smallholder </w:t>
      </w:r>
      <w:proofErr w:type="spellStart"/>
      <w:r w:rsidRPr="00B2376E">
        <w:rPr>
          <w:rFonts w:ascii="Times New Roman" w:eastAsia="Times New Roman" w:hAnsi="Times New Roman" w:cs="Times New Roman"/>
          <w:kern w:val="0"/>
          <w:sz w:val="24"/>
          <w:szCs w:val="24"/>
          <w:lang w:val="en-US"/>
        </w:rPr>
        <w:t>arecanut</w:t>
      </w:r>
      <w:proofErr w:type="spellEnd"/>
      <w:r w:rsidRPr="00B2376E">
        <w:rPr>
          <w:rFonts w:ascii="Times New Roman" w:eastAsia="Times New Roman" w:hAnsi="Times New Roman" w:cs="Times New Roman"/>
          <w:kern w:val="0"/>
          <w:sz w:val="24"/>
          <w:szCs w:val="24"/>
          <w:lang w:val="en-US"/>
        </w:rPr>
        <w:t xml:space="preserve"> systems on a laterite soil in India. </w:t>
      </w:r>
      <w:r w:rsidRPr="00B2376E">
        <w:rPr>
          <w:rFonts w:ascii="Times New Roman" w:eastAsia="Times New Roman" w:hAnsi="Times New Roman" w:cs="Times New Roman"/>
          <w:i/>
          <w:iCs/>
          <w:kern w:val="0"/>
          <w:sz w:val="24"/>
          <w:szCs w:val="24"/>
          <w:lang w:val="en-US"/>
        </w:rPr>
        <w:t>Communications in Soil Science and Plant Analysis, 47</w:t>
      </w:r>
      <w:r w:rsidRPr="00B2376E">
        <w:rPr>
          <w:rFonts w:ascii="Times New Roman" w:eastAsia="Times New Roman" w:hAnsi="Times New Roman" w:cs="Times New Roman"/>
          <w:kern w:val="0"/>
          <w:sz w:val="24"/>
          <w:szCs w:val="24"/>
          <w:lang w:val="en-US"/>
        </w:rPr>
        <w:t>(15), 1738–1750. https://doi.org/10.1080/00103624.2016.1206915</w:t>
      </w:r>
    </w:p>
    <w:p w14:paraId="6DCEF0B6"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Bhattacharyya, P. N., &amp; Jha, D. K. (2012). Plant growth-promoting rhizobacteria (PGPR): Emergence in agriculture. </w:t>
      </w:r>
      <w:r w:rsidRPr="00B2376E">
        <w:rPr>
          <w:rFonts w:ascii="Times New Roman" w:eastAsia="Times New Roman" w:hAnsi="Times New Roman" w:cs="Times New Roman"/>
          <w:i/>
          <w:iCs/>
          <w:kern w:val="0"/>
          <w:sz w:val="24"/>
          <w:szCs w:val="24"/>
          <w:lang w:val="en-US"/>
        </w:rPr>
        <w:t>World Journal of Microbiology and Biotechnology, 28</w:t>
      </w:r>
      <w:r w:rsidRPr="00B2376E">
        <w:rPr>
          <w:rFonts w:ascii="Times New Roman" w:eastAsia="Times New Roman" w:hAnsi="Times New Roman" w:cs="Times New Roman"/>
          <w:kern w:val="0"/>
          <w:sz w:val="24"/>
          <w:szCs w:val="24"/>
          <w:lang w:val="en-US"/>
        </w:rPr>
        <w:t>(4), 1327–1350. https://doi.org/10.1007/s11274-011-0979-9</w:t>
      </w:r>
    </w:p>
    <w:p w14:paraId="36F5781E"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Brenner, D. J., Krieg, N. R., &amp; Staley, J. T. (Eds.). (2005). </w:t>
      </w:r>
      <w:r w:rsidRPr="00B2376E">
        <w:rPr>
          <w:rFonts w:ascii="Times New Roman" w:eastAsia="Times New Roman" w:hAnsi="Times New Roman" w:cs="Times New Roman"/>
          <w:i/>
          <w:iCs/>
          <w:kern w:val="0"/>
          <w:sz w:val="24"/>
          <w:szCs w:val="24"/>
          <w:lang w:val="en-US"/>
        </w:rPr>
        <w:t>Bergey’s manual of systematic bacteriology: Volume two: The Proteobacteria (Part C)</w:t>
      </w:r>
      <w:r w:rsidRPr="00B2376E">
        <w:rPr>
          <w:rFonts w:ascii="Times New Roman" w:eastAsia="Times New Roman" w:hAnsi="Times New Roman" w:cs="Times New Roman"/>
          <w:kern w:val="0"/>
          <w:sz w:val="24"/>
          <w:szCs w:val="24"/>
          <w:lang w:val="en-US"/>
        </w:rPr>
        <w:t xml:space="preserve"> (2nd ed.). Springer. https://doi.org/10.1007/0-387-29298-5</w:t>
      </w:r>
    </w:p>
    <w:p w14:paraId="020DF670"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Bulgarelli, D., </w:t>
      </w:r>
      <w:proofErr w:type="spellStart"/>
      <w:r w:rsidRPr="00B2376E">
        <w:rPr>
          <w:rFonts w:ascii="Times New Roman" w:eastAsia="Times New Roman" w:hAnsi="Times New Roman" w:cs="Times New Roman"/>
          <w:kern w:val="0"/>
          <w:sz w:val="24"/>
          <w:szCs w:val="24"/>
          <w:lang w:val="en-US"/>
        </w:rPr>
        <w:t>Schlaeppi</w:t>
      </w:r>
      <w:proofErr w:type="spellEnd"/>
      <w:r w:rsidRPr="00B2376E">
        <w:rPr>
          <w:rFonts w:ascii="Times New Roman" w:eastAsia="Times New Roman" w:hAnsi="Times New Roman" w:cs="Times New Roman"/>
          <w:kern w:val="0"/>
          <w:sz w:val="24"/>
          <w:szCs w:val="24"/>
          <w:lang w:val="en-US"/>
        </w:rPr>
        <w:t xml:space="preserve">, K., </w:t>
      </w:r>
      <w:proofErr w:type="spellStart"/>
      <w:r w:rsidRPr="00B2376E">
        <w:rPr>
          <w:rFonts w:ascii="Times New Roman" w:eastAsia="Times New Roman" w:hAnsi="Times New Roman" w:cs="Times New Roman"/>
          <w:kern w:val="0"/>
          <w:sz w:val="24"/>
          <w:szCs w:val="24"/>
          <w:lang w:val="en-US"/>
        </w:rPr>
        <w:t>Spaepen</w:t>
      </w:r>
      <w:proofErr w:type="spellEnd"/>
      <w:r w:rsidRPr="00B2376E">
        <w:rPr>
          <w:rFonts w:ascii="Times New Roman" w:eastAsia="Times New Roman" w:hAnsi="Times New Roman" w:cs="Times New Roman"/>
          <w:kern w:val="0"/>
          <w:sz w:val="24"/>
          <w:szCs w:val="24"/>
          <w:lang w:val="en-US"/>
        </w:rPr>
        <w:t xml:space="preserve">, S., Ver Loren van </w:t>
      </w:r>
      <w:proofErr w:type="spellStart"/>
      <w:r w:rsidRPr="00B2376E">
        <w:rPr>
          <w:rFonts w:ascii="Times New Roman" w:eastAsia="Times New Roman" w:hAnsi="Times New Roman" w:cs="Times New Roman"/>
          <w:kern w:val="0"/>
          <w:sz w:val="24"/>
          <w:szCs w:val="24"/>
          <w:lang w:val="en-US"/>
        </w:rPr>
        <w:t>Themaat</w:t>
      </w:r>
      <w:proofErr w:type="spellEnd"/>
      <w:r w:rsidRPr="00B2376E">
        <w:rPr>
          <w:rFonts w:ascii="Times New Roman" w:eastAsia="Times New Roman" w:hAnsi="Times New Roman" w:cs="Times New Roman"/>
          <w:kern w:val="0"/>
          <w:sz w:val="24"/>
          <w:szCs w:val="24"/>
          <w:lang w:val="en-US"/>
        </w:rPr>
        <w:t xml:space="preserve">, E., &amp; Schulze-Lefert, P. (2013). Structure and functions of the bacterial microbiota of plants. </w:t>
      </w:r>
      <w:r w:rsidRPr="00B2376E">
        <w:rPr>
          <w:rFonts w:ascii="Times New Roman" w:eastAsia="Times New Roman" w:hAnsi="Times New Roman" w:cs="Times New Roman"/>
          <w:i/>
          <w:iCs/>
          <w:kern w:val="0"/>
          <w:sz w:val="24"/>
          <w:szCs w:val="24"/>
          <w:lang w:val="en-US"/>
        </w:rPr>
        <w:t>Annual Review of Plant Biology, 64</w:t>
      </w:r>
      <w:r w:rsidRPr="00B2376E">
        <w:rPr>
          <w:rFonts w:ascii="Times New Roman" w:eastAsia="Times New Roman" w:hAnsi="Times New Roman" w:cs="Times New Roman"/>
          <w:kern w:val="0"/>
          <w:sz w:val="24"/>
          <w:szCs w:val="24"/>
          <w:lang w:val="en-US"/>
        </w:rPr>
        <w:t xml:space="preserve">, 807–838. </w:t>
      </w:r>
      <w:hyperlink r:id="rId12" w:tgtFrame="_new" w:history="1">
        <w:r w:rsidRPr="00B2376E">
          <w:rPr>
            <w:rFonts w:ascii="Times New Roman" w:eastAsia="Times New Roman" w:hAnsi="Times New Roman" w:cs="Times New Roman"/>
            <w:color w:val="0000FF"/>
            <w:kern w:val="0"/>
            <w:sz w:val="24"/>
            <w:szCs w:val="24"/>
            <w:u w:val="single"/>
            <w:lang w:val="en-US"/>
          </w:rPr>
          <w:t>https://doi.org/10.1146/annurev-arplant-050312-120106</w:t>
        </w:r>
      </w:hyperlink>
    </w:p>
    <w:p w14:paraId="6CB3CA80"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Cappuccino, J. G., &amp; Sherman, N. (2014). </w:t>
      </w:r>
      <w:r w:rsidRPr="00B2376E">
        <w:rPr>
          <w:rFonts w:ascii="Times New Roman" w:eastAsia="Times New Roman" w:hAnsi="Times New Roman" w:cs="Times New Roman"/>
          <w:i/>
          <w:iCs/>
          <w:kern w:val="0"/>
          <w:sz w:val="24"/>
          <w:szCs w:val="24"/>
          <w:lang w:val="en-US"/>
        </w:rPr>
        <w:t>Microbiology: A laboratory manual</w:t>
      </w:r>
      <w:r w:rsidRPr="00B2376E">
        <w:rPr>
          <w:rFonts w:ascii="Times New Roman" w:eastAsia="Times New Roman" w:hAnsi="Times New Roman" w:cs="Times New Roman"/>
          <w:kern w:val="0"/>
          <w:sz w:val="24"/>
          <w:szCs w:val="24"/>
          <w:lang w:val="en-US"/>
        </w:rPr>
        <w:t xml:space="preserve"> (10th ed.). Pearson. https://www.ncbi.nlm.nih.gov/nlmcatalog/101592203</w:t>
      </w:r>
    </w:p>
    <w:p w14:paraId="486C89F6" w14:textId="77777777" w:rsidR="00B17BCE" w:rsidRPr="00B2376E" w:rsidRDefault="00000000">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b/>
          <w:sz w:val="24"/>
        </w:rPr>
        <w:lastRenderedPageBreak/>
        <w:t xml:space="preserve">Cao, M., Huang, S., Li, J., Zhang, X., Zhu, Y., Sun, J., Zhu, L., Deng, Y., Xu, J., Zhang, Z., Li, Q., Ai, J., Xie, T., Li, H., Yin, H., Kong, W., &amp; Gu, Y. (2024). Disease-induced changes in bacterial and fungal communities from plant below- and aboveground compartments. </w:t>
      </w:r>
      <w:r w:rsidRPr="00B2376E">
        <w:rPr>
          <w:rFonts w:ascii="Times New Roman" w:eastAsia="Times New Roman" w:hAnsi="Times New Roman"/>
          <w:b/>
          <w:i/>
          <w:sz w:val="24"/>
        </w:rPr>
        <w:t>Applied Microbiology and Biotechnology, 108</w:t>
      </w:r>
      <w:r w:rsidRPr="00B2376E">
        <w:rPr>
          <w:rFonts w:ascii="Times New Roman" w:eastAsia="Times New Roman" w:hAnsi="Times New Roman"/>
          <w:b/>
          <w:sz w:val="24"/>
        </w:rPr>
        <w:t xml:space="preserve">, Article 315. </w:t>
      </w:r>
      <w:hyperlink r:id="rId13">
        <w:r w:rsidRPr="00B2376E">
          <w:rPr>
            <w:rFonts w:ascii="Times New Roman" w:eastAsia="Times New Roman" w:hAnsi="Times New Roman"/>
            <w:b/>
            <w:bCs/>
            <w:color w:val="0563C1"/>
            <w:sz w:val="24"/>
            <w:szCs w:val="24"/>
            <w:u w:val="single"/>
          </w:rPr>
          <w:t>https://doi.org/10.1007/s00253-024-13150-1</w:t>
        </w:r>
      </w:hyperlink>
    </w:p>
    <w:p w14:paraId="06F57DB5"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proofErr w:type="spellStart"/>
      <w:r w:rsidRPr="00B2376E">
        <w:rPr>
          <w:rFonts w:ascii="Times New Roman" w:eastAsia="Times New Roman" w:hAnsi="Times New Roman" w:cs="Times New Roman"/>
          <w:kern w:val="0"/>
          <w:sz w:val="24"/>
          <w:szCs w:val="24"/>
          <w:lang w:val="en-US"/>
        </w:rPr>
        <w:t>Compant</w:t>
      </w:r>
      <w:proofErr w:type="spellEnd"/>
      <w:r w:rsidRPr="00B2376E">
        <w:rPr>
          <w:rFonts w:ascii="Times New Roman" w:eastAsia="Times New Roman" w:hAnsi="Times New Roman" w:cs="Times New Roman"/>
          <w:kern w:val="0"/>
          <w:sz w:val="24"/>
          <w:szCs w:val="24"/>
          <w:lang w:val="en-US"/>
        </w:rPr>
        <w:t xml:space="preserve">, S., Clément, C., &amp; </w:t>
      </w:r>
      <w:proofErr w:type="spellStart"/>
      <w:r w:rsidRPr="00B2376E">
        <w:rPr>
          <w:rFonts w:ascii="Times New Roman" w:eastAsia="Times New Roman" w:hAnsi="Times New Roman" w:cs="Times New Roman"/>
          <w:kern w:val="0"/>
          <w:sz w:val="24"/>
          <w:szCs w:val="24"/>
          <w:lang w:val="en-US"/>
        </w:rPr>
        <w:t>Sessitsch</w:t>
      </w:r>
      <w:proofErr w:type="spellEnd"/>
      <w:r w:rsidRPr="00B2376E">
        <w:rPr>
          <w:rFonts w:ascii="Times New Roman" w:eastAsia="Times New Roman" w:hAnsi="Times New Roman" w:cs="Times New Roman"/>
          <w:kern w:val="0"/>
          <w:sz w:val="24"/>
          <w:szCs w:val="24"/>
          <w:lang w:val="en-US"/>
        </w:rPr>
        <w:t xml:space="preserve">, A. (2010). Plant growth-promoting bacteria in the rhizo- and </w:t>
      </w:r>
      <w:proofErr w:type="spellStart"/>
      <w:r w:rsidRPr="00B2376E">
        <w:rPr>
          <w:rFonts w:ascii="Times New Roman" w:eastAsia="Times New Roman" w:hAnsi="Times New Roman" w:cs="Times New Roman"/>
          <w:kern w:val="0"/>
          <w:sz w:val="24"/>
          <w:szCs w:val="24"/>
          <w:lang w:val="en-US"/>
        </w:rPr>
        <w:t>endosphere</w:t>
      </w:r>
      <w:proofErr w:type="spellEnd"/>
      <w:r w:rsidRPr="00B2376E">
        <w:rPr>
          <w:rFonts w:ascii="Times New Roman" w:eastAsia="Times New Roman" w:hAnsi="Times New Roman" w:cs="Times New Roman"/>
          <w:kern w:val="0"/>
          <w:sz w:val="24"/>
          <w:szCs w:val="24"/>
          <w:lang w:val="en-US"/>
        </w:rPr>
        <w:t xml:space="preserve"> of plants: Their role, colonization mechanisms involved and prospects for utilization. </w:t>
      </w:r>
      <w:r w:rsidRPr="00B2376E">
        <w:rPr>
          <w:rFonts w:ascii="Times New Roman" w:eastAsia="Times New Roman" w:hAnsi="Times New Roman" w:cs="Times New Roman"/>
          <w:i/>
          <w:iCs/>
          <w:kern w:val="0"/>
          <w:sz w:val="24"/>
          <w:szCs w:val="24"/>
          <w:lang w:val="en-US"/>
        </w:rPr>
        <w:t>Soil Biology and Biochemistry, 42</w:t>
      </w:r>
      <w:r w:rsidRPr="00B2376E">
        <w:rPr>
          <w:rFonts w:ascii="Times New Roman" w:eastAsia="Times New Roman" w:hAnsi="Times New Roman" w:cs="Times New Roman"/>
          <w:kern w:val="0"/>
          <w:sz w:val="24"/>
          <w:szCs w:val="24"/>
          <w:lang w:val="en-US"/>
        </w:rPr>
        <w:t xml:space="preserve">(5), 669–678. </w:t>
      </w:r>
      <w:hyperlink r:id="rId14" w:tgtFrame="_new" w:history="1">
        <w:r w:rsidRPr="00B2376E">
          <w:rPr>
            <w:rFonts w:ascii="Times New Roman" w:eastAsia="Times New Roman" w:hAnsi="Times New Roman" w:cs="Times New Roman"/>
            <w:color w:val="0000FF"/>
            <w:kern w:val="0"/>
            <w:sz w:val="24"/>
            <w:szCs w:val="24"/>
            <w:u w:val="single"/>
            <w:lang w:val="en-US"/>
          </w:rPr>
          <w:t>https://doi.org/10.1016/j.soilbio.2009.11.024</w:t>
        </w:r>
      </w:hyperlink>
    </w:p>
    <w:p w14:paraId="12E44C58"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Davidson Rokins, P., Gopal, N. O., </w:t>
      </w:r>
      <w:proofErr w:type="spellStart"/>
      <w:r w:rsidRPr="00B2376E">
        <w:rPr>
          <w:rFonts w:ascii="Times New Roman" w:eastAsia="Times New Roman" w:hAnsi="Times New Roman" w:cs="Times New Roman"/>
          <w:kern w:val="0"/>
          <w:sz w:val="24"/>
          <w:szCs w:val="24"/>
          <w:lang w:val="en-US"/>
        </w:rPr>
        <w:t>Anandham</w:t>
      </w:r>
      <w:proofErr w:type="spellEnd"/>
      <w:r w:rsidRPr="00B2376E">
        <w:rPr>
          <w:rFonts w:ascii="Times New Roman" w:eastAsia="Times New Roman" w:hAnsi="Times New Roman" w:cs="Times New Roman"/>
          <w:kern w:val="0"/>
          <w:sz w:val="24"/>
          <w:szCs w:val="24"/>
          <w:lang w:val="en-US"/>
        </w:rPr>
        <w:t xml:space="preserve">, R., &amp; Saraswathi, R. (2022). The impact of different planting systems on the bacterial diversity of rice cultivated in saline soil based on 16S rRNA gene-based metagenomic insights. </w:t>
      </w:r>
      <w:r w:rsidRPr="00B2376E">
        <w:rPr>
          <w:rFonts w:ascii="Times New Roman" w:eastAsia="Times New Roman" w:hAnsi="Times New Roman" w:cs="Times New Roman"/>
          <w:i/>
          <w:iCs/>
          <w:kern w:val="0"/>
          <w:sz w:val="24"/>
          <w:szCs w:val="24"/>
          <w:lang w:val="en-US"/>
        </w:rPr>
        <w:t>Agriculture, 12</w:t>
      </w:r>
      <w:r w:rsidRPr="00B2376E">
        <w:rPr>
          <w:rFonts w:ascii="Times New Roman" w:eastAsia="Times New Roman" w:hAnsi="Times New Roman" w:cs="Times New Roman"/>
          <w:kern w:val="0"/>
          <w:sz w:val="24"/>
          <w:szCs w:val="24"/>
          <w:lang w:val="en-US"/>
        </w:rPr>
        <w:t>(10), Article 1624. https://doi.org/10.3390/agriculture12101624</w:t>
      </w:r>
    </w:p>
    <w:p w14:paraId="5B51794D"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Finkel, O. M., Castrillo, G., Herrera Paredes, S., Salas González, I., &amp; Dangl, J. L. (2017). Understanding and exploiting plant beneficial microbes. </w:t>
      </w:r>
      <w:r w:rsidRPr="00B2376E">
        <w:rPr>
          <w:rFonts w:ascii="Times New Roman" w:eastAsia="Times New Roman" w:hAnsi="Times New Roman" w:cs="Times New Roman"/>
          <w:i/>
          <w:iCs/>
          <w:kern w:val="0"/>
          <w:sz w:val="24"/>
          <w:szCs w:val="24"/>
          <w:lang w:val="en-US"/>
        </w:rPr>
        <w:t>Current Opinion in Plant Biology, 38</w:t>
      </w:r>
      <w:r w:rsidRPr="00B2376E">
        <w:rPr>
          <w:rFonts w:ascii="Times New Roman" w:eastAsia="Times New Roman" w:hAnsi="Times New Roman" w:cs="Times New Roman"/>
          <w:kern w:val="0"/>
          <w:sz w:val="24"/>
          <w:szCs w:val="24"/>
          <w:lang w:val="en-US"/>
        </w:rPr>
        <w:t xml:space="preserve">, 155–163. </w:t>
      </w:r>
      <w:hyperlink r:id="rId15" w:tgtFrame="_new" w:history="1">
        <w:r w:rsidRPr="00B2376E">
          <w:rPr>
            <w:rFonts w:ascii="Times New Roman" w:eastAsia="Times New Roman" w:hAnsi="Times New Roman" w:cs="Times New Roman"/>
            <w:color w:val="0000FF"/>
            <w:kern w:val="0"/>
            <w:sz w:val="24"/>
            <w:szCs w:val="24"/>
            <w:u w:val="single"/>
            <w:lang w:val="en-US"/>
          </w:rPr>
          <w:t>https://doi.org/10.1016/j.pbi.2017.04.018</w:t>
        </w:r>
      </w:hyperlink>
    </w:p>
    <w:p w14:paraId="5FA754B0"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Glick, B. R. (2012). Plant growth-promoting bacteria: Mechanisms and applications. </w:t>
      </w:r>
      <w:proofErr w:type="spellStart"/>
      <w:r w:rsidRPr="00B2376E">
        <w:rPr>
          <w:rFonts w:ascii="Times New Roman" w:eastAsia="Times New Roman" w:hAnsi="Times New Roman" w:cs="Times New Roman"/>
          <w:i/>
          <w:iCs/>
          <w:kern w:val="0"/>
          <w:sz w:val="24"/>
          <w:szCs w:val="24"/>
          <w:lang w:val="en-US"/>
        </w:rPr>
        <w:t>Scientifica</w:t>
      </w:r>
      <w:proofErr w:type="spellEnd"/>
      <w:r w:rsidRPr="00B2376E">
        <w:rPr>
          <w:rFonts w:ascii="Times New Roman" w:eastAsia="Times New Roman" w:hAnsi="Times New Roman" w:cs="Times New Roman"/>
          <w:i/>
          <w:iCs/>
          <w:kern w:val="0"/>
          <w:sz w:val="24"/>
          <w:szCs w:val="24"/>
          <w:lang w:val="en-US"/>
        </w:rPr>
        <w:t>, 2012</w:t>
      </w:r>
      <w:r w:rsidRPr="00B2376E">
        <w:rPr>
          <w:rFonts w:ascii="Times New Roman" w:eastAsia="Times New Roman" w:hAnsi="Times New Roman" w:cs="Times New Roman"/>
          <w:kern w:val="0"/>
          <w:sz w:val="24"/>
          <w:szCs w:val="24"/>
          <w:lang w:val="en-US"/>
        </w:rPr>
        <w:t>, Article 963401. https://doi.org/10.6064/2012/963401</w:t>
      </w:r>
    </w:p>
    <w:p w14:paraId="3168DC59"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Hashem, A., Tabassum, B., &amp; </w:t>
      </w:r>
      <w:proofErr w:type="spellStart"/>
      <w:r w:rsidRPr="00B2376E">
        <w:rPr>
          <w:rFonts w:ascii="Times New Roman" w:eastAsia="Times New Roman" w:hAnsi="Times New Roman" w:cs="Times New Roman"/>
          <w:kern w:val="0"/>
          <w:sz w:val="24"/>
          <w:szCs w:val="24"/>
          <w:lang w:val="en-US"/>
        </w:rPr>
        <w:t>Abd_Allah</w:t>
      </w:r>
      <w:proofErr w:type="spellEnd"/>
      <w:r w:rsidRPr="00B2376E">
        <w:rPr>
          <w:rFonts w:ascii="Times New Roman" w:eastAsia="Times New Roman" w:hAnsi="Times New Roman" w:cs="Times New Roman"/>
          <w:kern w:val="0"/>
          <w:sz w:val="24"/>
          <w:szCs w:val="24"/>
          <w:lang w:val="en-US"/>
        </w:rPr>
        <w:t xml:space="preserve">, E. F. (2019). </w:t>
      </w:r>
      <w:r w:rsidRPr="00B2376E">
        <w:rPr>
          <w:rFonts w:ascii="Times New Roman" w:eastAsia="Times New Roman" w:hAnsi="Times New Roman" w:cs="Times New Roman"/>
          <w:i/>
          <w:iCs/>
          <w:kern w:val="0"/>
          <w:sz w:val="24"/>
          <w:szCs w:val="24"/>
          <w:lang w:val="en-US"/>
        </w:rPr>
        <w:t>Bacillus subtilis</w:t>
      </w:r>
      <w:r w:rsidRPr="00B2376E">
        <w:rPr>
          <w:rFonts w:ascii="Times New Roman" w:eastAsia="Times New Roman" w:hAnsi="Times New Roman" w:cs="Times New Roman"/>
          <w:kern w:val="0"/>
          <w:sz w:val="24"/>
          <w:szCs w:val="24"/>
          <w:lang w:val="en-US"/>
        </w:rPr>
        <w:t xml:space="preserve">: A plant-growth-promoting rhizobacterium that also impacts biotic stress. </w:t>
      </w:r>
      <w:r w:rsidRPr="00B2376E">
        <w:rPr>
          <w:rFonts w:ascii="Times New Roman" w:eastAsia="Times New Roman" w:hAnsi="Times New Roman" w:cs="Times New Roman"/>
          <w:i/>
          <w:iCs/>
          <w:kern w:val="0"/>
          <w:sz w:val="24"/>
          <w:szCs w:val="24"/>
          <w:lang w:val="en-US"/>
        </w:rPr>
        <w:t>Saudi Journal of Biological Sciences, 26</w:t>
      </w:r>
      <w:r w:rsidRPr="00B2376E">
        <w:rPr>
          <w:rFonts w:ascii="Times New Roman" w:eastAsia="Times New Roman" w:hAnsi="Times New Roman" w:cs="Times New Roman"/>
          <w:kern w:val="0"/>
          <w:sz w:val="24"/>
          <w:szCs w:val="24"/>
          <w:lang w:val="en-US"/>
        </w:rPr>
        <w:t xml:space="preserve">(6), 1291–1297. </w:t>
      </w:r>
      <w:hyperlink r:id="rId16" w:tgtFrame="_new" w:history="1">
        <w:r w:rsidRPr="00B2376E">
          <w:rPr>
            <w:rFonts w:ascii="Times New Roman" w:eastAsia="Times New Roman" w:hAnsi="Times New Roman" w:cs="Times New Roman"/>
            <w:color w:val="0000FF"/>
            <w:kern w:val="0"/>
            <w:sz w:val="24"/>
            <w:szCs w:val="24"/>
            <w:u w:val="single"/>
            <w:lang w:val="en-US"/>
          </w:rPr>
          <w:t>https://doi.org/10.1016/j.sjbs.2019.05.004</w:t>
        </w:r>
      </w:hyperlink>
    </w:p>
    <w:p w14:paraId="1EDA1834"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ICAR–Central Plantation Crops Research Institute. (2022). </w:t>
      </w:r>
      <w:r w:rsidRPr="00B2376E">
        <w:rPr>
          <w:rFonts w:ascii="Times New Roman" w:eastAsia="Times New Roman" w:hAnsi="Times New Roman" w:cs="Times New Roman"/>
          <w:i/>
          <w:iCs/>
          <w:kern w:val="0"/>
          <w:sz w:val="24"/>
          <w:szCs w:val="24"/>
          <w:lang w:val="en-US"/>
        </w:rPr>
        <w:t>Annual report 2021</w:t>
      </w:r>
      <w:r w:rsidRPr="00B2376E">
        <w:rPr>
          <w:rFonts w:ascii="Times New Roman" w:eastAsia="Times New Roman" w:hAnsi="Times New Roman" w:cs="Times New Roman"/>
          <w:kern w:val="0"/>
          <w:sz w:val="24"/>
          <w:szCs w:val="24"/>
          <w:lang w:val="en-US"/>
        </w:rPr>
        <w:t xml:space="preserve">. </w:t>
      </w:r>
      <w:hyperlink r:id="rId17" w:tgtFrame="_new" w:history="1">
        <w:r w:rsidRPr="00B2376E">
          <w:rPr>
            <w:rFonts w:ascii="Times New Roman" w:eastAsia="Times New Roman" w:hAnsi="Times New Roman" w:cs="Times New Roman"/>
            <w:color w:val="0000FF"/>
            <w:kern w:val="0"/>
            <w:sz w:val="24"/>
            <w:szCs w:val="24"/>
            <w:u w:val="single"/>
            <w:lang w:val="en-US"/>
          </w:rPr>
          <w:t>https://cpcri.gov.in/filemgr/webfs/publication/AR20212023.pdf</w:t>
        </w:r>
      </w:hyperlink>
    </w:p>
    <w:p w14:paraId="2FDF3C83"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Janda, J. M., &amp; Abbott, S. L. (2007). 16S rRNA gene sequencing for bacterial identification in the diagnostic laboratory: Pluses, perils, and pitfalls. </w:t>
      </w:r>
      <w:r w:rsidRPr="00B2376E">
        <w:rPr>
          <w:rFonts w:ascii="Times New Roman" w:eastAsia="Times New Roman" w:hAnsi="Times New Roman" w:cs="Times New Roman"/>
          <w:i/>
          <w:iCs/>
          <w:kern w:val="0"/>
          <w:sz w:val="24"/>
          <w:szCs w:val="24"/>
          <w:lang w:val="en-US"/>
        </w:rPr>
        <w:t>Journal of Clinical Microbiology, 45</w:t>
      </w:r>
      <w:r w:rsidRPr="00B2376E">
        <w:rPr>
          <w:rFonts w:ascii="Times New Roman" w:eastAsia="Times New Roman" w:hAnsi="Times New Roman" w:cs="Times New Roman"/>
          <w:kern w:val="0"/>
          <w:sz w:val="24"/>
          <w:szCs w:val="24"/>
          <w:lang w:val="en-US"/>
        </w:rPr>
        <w:t xml:space="preserve">(9), 2761–2764. </w:t>
      </w:r>
      <w:hyperlink r:id="rId18" w:tgtFrame="_new" w:history="1">
        <w:r w:rsidRPr="00B2376E">
          <w:rPr>
            <w:rFonts w:ascii="Times New Roman" w:eastAsia="Times New Roman" w:hAnsi="Times New Roman" w:cs="Times New Roman"/>
            <w:color w:val="0000FF"/>
            <w:kern w:val="0"/>
            <w:sz w:val="24"/>
            <w:szCs w:val="24"/>
            <w:u w:val="single"/>
            <w:lang w:val="en-US"/>
          </w:rPr>
          <w:t>https://doi.org/10.1128/JCM.01228-07</w:t>
        </w:r>
      </w:hyperlink>
    </w:p>
    <w:p w14:paraId="22213B38" w14:textId="77777777" w:rsidR="00B17BCE" w:rsidRPr="00B2376E" w:rsidRDefault="00000000">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b/>
          <w:sz w:val="24"/>
        </w:rPr>
        <w:t xml:space="preserve">Jin, X., Jia, H., Ran, L., Wu, F., Liu, J., Schlaeppi, K., Dini-Andreote, F., Wei, Z., &amp; Zhou, X. (2024). Fusaric acid mediates the assembly of disease-suppressive rhizosphere microbiota via induced shifts in plant root exudates. </w:t>
      </w:r>
      <w:r w:rsidRPr="00B2376E">
        <w:rPr>
          <w:rFonts w:ascii="Times New Roman" w:eastAsia="Times New Roman" w:hAnsi="Times New Roman"/>
          <w:b/>
          <w:i/>
          <w:sz w:val="24"/>
        </w:rPr>
        <w:t>Nature Communications, 15</w:t>
      </w:r>
      <w:r w:rsidRPr="00B2376E">
        <w:rPr>
          <w:rFonts w:ascii="Times New Roman" w:eastAsia="Times New Roman" w:hAnsi="Times New Roman"/>
          <w:b/>
          <w:sz w:val="24"/>
        </w:rPr>
        <w:t xml:space="preserve">, Article 5125. </w:t>
      </w:r>
      <w:hyperlink r:id="rId19">
        <w:r w:rsidRPr="00B2376E">
          <w:rPr>
            <w:rFonts w:ascii="Times New Roman" w:eastAsia="Times New Roman" w:hAnsi="Times New Roman"/>
            <w:b/>
            <w:bCs/>
            <w:color w:val="0563C1"/>
            <w:sz w:val="24"/>
            <w:szCs w:val="24"/>
            <w:u w:val="single"/>
          </w:rPr>
          <w:t>https://doi.org/10.1038/s41467-024-49218-9</w:t>
        </w:r>
      </w:hyperlink>
    </w:p>
    <w:p w14:paraId="6FE98DB6"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Kaur, G., &amp; Khanna, V. (2017). Evaluation of thermotolerant rhizobacteria for multiple plant growth promoting traits from </w:t>
      </w:r>
      <w:proofErr w:type="spellStart"/>
      <w:r w:rsidRPr="00B2376E">
        <w:rPr>
          <w:rFonts w:ascii="Times New Roman" w:eastAsia="Times New Roman" w:hAnsi="Times New Roman" w:cs="Times New Roman"/>
          <w:kern w:val="0"/>
          <w:sz w:val="24"/>
          <w:szCs w:val="24"/>
          <w:lang w:val="en-US"/>
        </w:rPr>
        <w:t>pigeonpea</w:t>
      </w:r>
      <w:proofErr w:type="spellEnd"/>
      <w:r w:rsidRPr="00B2376E">
        <w:rPr>
          <w:rFonts w:ascii="Times New Roman" w:eastAsia="Times New Roman" w:hAnsi="Times New Roman" w:cs="Times New Roman"/>
          <w:kern w:val="0"/>
          <w:sz w:val="24"/>
          <w:szCs w:val="24"/>
          <w:lang w:val="en-US"/>
        </w:rPr>
        <w:t xml:space="preserve"> rhizosphere. </w:t>
      </w:r>
      <w:r w:rsidRPr="00B2376E">
        <w:rPr>
          <w:rFonts w:ascii="Times New Roman" w:eastAsia="Times New Roman" w:hAnsi="Times New Roman" w:cs="Times New Roman"/>
          <w:i/>
          <w:iCs/>
          <w:kern w:val="0"/>
          <w:sz w:val="24"/>
          <w:szCs w:val="24"/>
          <w:lang w:val="en-US"/>
        </w:rPr>
        <w:t>Journal of Applied and Natural Science, 9</w:t>
      </w:r>
      <w:r w:rsidRPr="00B2376E">
        <w:rPr>
          <w:rFonts w:ascii="Times New Roman" w:eastAsia="Times New Roman" w:hAnsi="Times New Roman" w:cs="Times New Roman"/>
          <w:kern w:val="0"/>
          <w:sz w:val="24"/>
          <w:szCs w:val="24"/>
          <w:lang w:val="en-US"/>
        </w:rPr>
        <w:t>(2), 920–923. https://doi.org/10.31018/jans.v9i2.1298</w:t>
      </w:r>
    </w:p>
    <w:p w14:paraId="6DEE6C0F"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Kennedy, A. C., &amp; Smith, K. L. (1995). Soil microbial diversity and the sustainability of agricultural soils. </w:t>
      </w:r>
      <w:r w:rsidRPr="00B2376E">
        <w:rPr>
          <w:rFonts w:ascii="Times New Roman" w:eastAsia="Times New Roman" w:hAnsi="Times New Roman" w:cs="Times New Roman"/>
          <w:i/>
          <w:iCs/>
          <w:kern w:val="0"/>
          <w:sz w:val="24"/>
          <w:szCs w:val="24"/>
          <w:lang w:val="en-US"/>
        </w:rPr>
        <w:t>Plant and Soil, 170</w:t>
      </w:r>
      <w:r w:rsidRPr="00B2376E">
        <w:rPr>
          <w:rFonts w:ascii="Times New Roman" w:eastAsia="Times New Roman" w:hAnsi="Times New Roman" w:cs="Times New Roman"/>
          <w:kern w:val="0"/>
          <w:sz w:val="24"/>
          <w:szCs w:val="24"/>
          <w:lang w:val="en-US"/>
        </w:rPr>
        <w:t>, 75–86. https://doi.org/10.1007/BF02183056</w:t>
      </w:r>
    </w:p>
    <w:p w14:paraId="6EB47FD8"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Lugtenberg, B., &amp; Kamilova, F. (2009). Plant-growth-promoting rhizobacteria. </w:t>
      </w:r>
      <w:r w:rsidRPr="00B2376E">
        <w:rPr>
          <w:rFonts w:ascii="Times New Roman" w:eastAsia="Times New Roman" w:hAnsi="Times New Roman" w:cs="Times New Roman"/>
          <w:i/>
          <w:iCs/>
          <w:kern w:val="0"/>
          <w:sz w:val="24"/>
          <w:szCs w:val="24"/>
          <w:lang w:val="en-US"/>
        </w:rPr>
        <w:t>Annual Review of Microbiology, 63</w:t>
      </w:r>
      <w:r w:rsidRPr="00B2376E">
        <w:rPr>
          <w:rFonts w:ascii="Times New Roman" w:eastAsia="Times New Roman" w:hAnsi="Times New Roman" w:cs="Times New Roman"/>
          <w:kern w:val="0"/>
          <w:sz w:val="24"/>
          <w:szCs w:val="24"/>
          <w:lang w:val="en-US"/>
        </w:rPr>
        <w:t xml:space="preserve">, 541–556. </w:t>
      </w:r>
      <w:hyperlink r:id="rId20" w:tgtFrame="_new" w:history="1">
        <w:r w:rsidRPr="00B2376E">
          <w:rPr>
            <w:rFonts w:ascii="Times New Roman" w:eastAsia="Times New Roman" w:hAnsi="Times New Roman" w:cs="Times New Roman"/>
            <w:color w:val="0000FF"/>
            <w:kern w:val="0"/>
            <w:sz w:val="24"/>
            <w:szCs w:val="24"/>
            <w:u w:val="single"/>
            <w:lang w:val="en-US"/>
          </w:rPr>
          <w:t>https://doi.org/10.1146/annurev.micro.62.081307.162918</w:t>
        </w:r>
      </w:hyperlink>
    </w:p>
    <w:p w14:paraId="1D99802D"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lastRenderedPageBreak/>
        <w:t xml:space="preserve">Ma, S., Lin, Y., Qin, Y., Diao, X., &amp; Li, P. (2021). Microbial diversity characteristics of areca palm rhizosphere soil at different growth stages. </w:t>
      </w:r>
      <w:r w:rsidRPr="00B2376E">
        <w:rPr>
          <w:rFonts w:ascii="Times New Roman" w:eastAsia="Times New Roman" w:hAnsi="Times New Roman" w:cs="Times New Roman"/>
          <w:i/>
          <w:iCs/>
          <w:kern w:val="0"/>
          <w:sz w:val="24"/>
          <w:szCs w:val="24"/>
          <w:lang w:val="en-US"/>
        </w:rPr>
        <w:t>Plants, 10</w:t>
      </w:r>
      <w:r w:rsidRPr="00B2376E">
        <w:rPr>
          <w:rFonts w:ascii="Times New Roman" w:eastAsia="Times New Roman" w:hAnsi="Times New Roman" w:cs="Times New Roman"/>
          <w:kern w:val="0"/>
          <w:sz w:val="24"/>
          <w:szCs w:val="24"/>
          <w:lang w:val="en-US"/>
        </w:rPr>
        <w:t>(12), Article 2706. https://doi.org/10.3390/plants10122706</w:t>
      </w:r>
    </w:p>
    <w:p w14:paraId="24D6F7D2"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Madigan, M. T., Bender, K. S., Buckley, D. H., Sattley, W. M., &amp; Stahl, D. A. (2021). </w:t>
      </w:r>
      <w:r w:rsidRPr="00B2376E">
        <w:rPr>
          <w:rFonts w:ascii="Times New Roman" w:eastAsia="Times New Roman" w:hAnsi="Times New Roman" w:cs="Times New Roman"/>
          <w:i/>
          <w:iCs/>
          <w:kern w:val="0"/>
          <w:sz w:val="24"/>
          <w:szCs w:val="24"/>
          <w:lang w:val="en-US"/>
        </w:rPr>
        <w:t>Brock biology of microorganisms</w:t>
      </w:r>
      <w:r w:rsidRPr="00B2376E">
        <w:rPr>
          <w:rFonts w:ascii="Times New Roman" w:eastAsia="Times New Roman" w:hAnsi="Times New Roman" w:cs="Times New Roman"/>
          <w:kern w:val="0"/>
          <w:sz w:val="24"/>
          <w:szCs w:val="24"/>
          <w:lang w:val="en-US"/>
        </w:rPr>
        <w:t xml:space="preserve"> (16th ed.). Pearson. https://searchworks.stanford.edu/view/14052154</w:t>
      </w:r>
    </w:p>
    <w:p w14:paraId="65EDF2FA"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Mendes, R., Garbeva, P., &amp; Raaijmakers, J. M. (2013). The rhizosphere microbiome: Significance of plant beneficial, plant pathogenic, and human pathogenic microorganisms. </w:t>
      </w:r>
      <w:r w:rsidRPr="00B2376E">
        <w:rPr>
          <w:rFonts w:ascii="Times New Roman" w:eastAsia="Times New Roman" w:hAnsi="Times New Roman" w:cs="Times New Roman"/>
          <w:i/>
          <w:iCs/>
          <w:kern w:val="0"/>
          <w:sz w:val="24"/>
          <w:szCs w:val="24"/>
          <w:lang w:val="en-US"/>
        </w:rPr>
        <w:t>FEMS Microbiology Reviews, 37</w:t>
      </w:r>
      <w:r w:rsidRPr="00B2376E">
        <w:rPr>
          <w:rFonts w:ascii="Times New Roman" w:eastAsia="Times New Roman" w:hAnsi="Times New Roman" w:cs="Times New Roman"/>
          <w:kern w:val="0"/>
          <w:sz w:val="24"/>
          <w:szCs w:val="24"/>
          <w:lang w:val="en-US"/>
        </w:rPr>
        <w:t xml:space="preserve">(5), 634–663. </w:t>
      </w:r>
      <w:hyperlink r:id="rId21" w:tgtFrame="_new" w:history="1">
        <w:r w:rsidRPr="00B2376E">
          <w:rPr>
            <w:rFonts w:ascii="Times New Roman" w:eastAsia="Times New Roman" w:hAnsi="Times New Roman" w:cs="Times New Roman"/>
            <w:color w:val="0000FF"/>
            <w:kern w:val="0"/>
            <w:sz w:val="24"/>
            <w:szCs w:val="24"/>
            <w:u w:val="single"/>
            <w:lang w:val="en-US"/>
          </w:rPr>
          <w:t>https://doi.org/10.1111/1574-6976.12028</w:t>
        </w:r>
      </w:hyperlink>
    </w:p>
    <w:p w14:paraId="748F49CB"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Mendes, R., </w:t>
      </w:r>
      <w:proofErr w:type="spellStart"/>
      <w:r w:rsidRPr="00B2376E">
        <w:rPr>
          <w:rFonts w:ascii="Times New Roman" w:eastAsia="Times New Roman" w:hAnsi="Times New Roman" w:cs="Times New Roman"/>
          <w:kern w:val="0"/>
          <w:sz w:val="24"/>
          <w:szCs w:val="24"/>
          <w:lang w:val="en-US"/>
        </w:rPr>
        <w:t>Kruijt</w:t>
      </w:r>
      <w:proofErr w:type="spellEnd"/>
      <w:r w:rsidRPr="00B2376E">
        <w:rPr>
          <w:rFonts w:ascii="Times New Roman" w:eastAsia="Times New Roman" w:hAnsi="Times New Roman" w:cs="Times New Roman"/>
          <w:kern w:val="0"/>
          <w:sz w:val="24"/>
          <w:szCs w:val="24"/>
          <w:lang w:val="en-US"/>
        </w:rPr>
        <w:t xml:space="preserve">, M., de Bruijn, I., Dekkers, E., van der Voort, M., Schneider, J. H. M., Piceno, Y. M., DeSantis, T. Z., Andersen, G. L., Bakker, P. A. H. M., &amp; Raaijmakers, J. M. (2011). Deciphering the rhizosphere microbiome for disease-suppressive bacteria. </w:t>
      </w:r>
      <w:r w:rsidRPr="00B2376E">
        <w:rPr>
          <w:rFonts w:ascii="Times New Roman" w:eastAsia="Times New Roman" w:hAnsi="Times New Roman" w:cs="Times New Roman"/>
          <w:i/>
          <w:iCs/>
          <w:kern w:val="0"/>
          <w:sz w:val="24"/>
          <w:szCs w:val="24"/>
          <w:lang w:val="en-US"/>
        </w:rPr>
        <w:t>Science, 332</w:t>
      </w:r>
      <w:r w:rsidRPr="00B2376E">
        <w:rPr>
          <w:rFonts w:ascii="Times New Roman" w:eastAsia="Times New Roman" w:hAnsi="Times New Roman" w:cs="Times New Roman"/>
          <w:kern w:val="0"/>
          <w:sz w:val="24"/>
          <w:szCs w:val="24"/>
          <w:lang w:val="en-US"/>
        </w:rPr>
        <w:t xml:space="preserve">(6033), 1097–1100. </w:t>
      </w:r>
      <w:hyperlink r:id="rId22" w:tgtFrame="_new" w:history="1">
        <w:r w:rsidRPr="00B2376E">
          <w:rPr>
            <w:rFonts w:ascii="Times New Roman" w:eastAsia="Times New Roman" w:hAnsi="Times New Roman" w:cs="Times New Roman"/>
            <w:color w:val="0000FF"/>
            <w:kern w:val="0"/>
            <w:sz w:val="24"/>
            <w:szCs w:val="24"/>
            <w:u w:val="single"/>
            <w:lang w:val="en-US"/>
          </w:rPr>
          <w:t>https://doi.org/10.1126/science.1203980</w:t>
        </w:r>
      </w:hyperlink>
    </w:p>
    <w:p w14:paraId="380EDCF1" w14:textId="77777777" w:rsidR="00B17BCE" w:rsidRPr="00B2376E" w:rsidRDefault="00000000">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b/>
          <w:sz w:val="24"/>
        </w:rPr>
        <w:t xml:space="preserve">Neware, R. A., Bhagat, Y. S., Ambadkar, C. V., Salunkhe, V. N., Nirwal, K. P., Chavhan, R. L., &amp; Dudhare, M. S. (2024). Morphological, biochemical and molecular characterization of plant growth promoting rhizobacteria with synergistic effect against </w:t>
      </w:r>
      <w:r w:rsidRPr="00B2376E">
        <w:rPr>
          <w:rFonts w:ascii="Times New Roman" w:eastAsia="Times New Roman" w:hAnsi="Times New Roman"/>
          <w:b/>
          <w:i/>
          <w:sz w:val="24"/>
        </w:rPr>
        <w:t>Fusarium oxysporum</w:t>
      </w:r>
      <w:r w:rsidRPr="00B2376E">
        <w:rPr>
          <w:rFonts w:ascii="Times New Roman" w:eastAsia="Times New Roman" w:hAnsi="Times New Roman"/>
          <w:b/>
          <w:sz w:val="24"/>
        </w:rPr>
        <w:t xml:space="preserve">. </w:t>
      </w:r>
      <w:r w:rsidRPr="00B2376E">
        <w:rPr>
          <w:rFonts w:ascii="Times New Roman" w:eastAsia="Times New Roman" w:hAnsi="Times New Roman"/>
          <w:b/>
          <w:i/>
          <w:sz w:val="24"/>
        </w:rPr>
        <w:t>Journal of Advances in Biology &amp; Biotechnology, 27</w:t>
      </w:r>
      <w:r w:rsidRPr="00B2376E">
        <w:rPr>
          <w:rFonts w:ascii="Times New Roman" w:eastAsia="Times New Roman" w:hAnsi="Times New Roman"/>
          <w:b/>
          <w:sz w:val="24"/>
        </w:rPr>
        <w:t xml:space="preserve">(11), 295–311. </w:t>
      </w:r>
      <w:hyperlink r:id="rId23">
        <w:r w:rsidRPr="00B2376E">
          <w:rPr>
            <w:rFonts w:ascii="Times New Roman" w:eastAsia="Times New Roman" w:hAnsi="Times New Roman"/>
            <w:b/>
            <w:bCs/>
            <w:color w:val="0563C1"/>
            <w:sz w:val="24"/>
            <w:szCs w:val="24"/>
            <w:u w:val="single"/>
          </w:rPr>
          <w:t>https://doi.org/10.9734/jabb/2024/v27i111613</w:t>
        </w:r>
      </w:hyperlink>
    </w:p>
    <w:p w14:paraId="2D3EEE7B"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Philippot, L., Raaijmakers, J. M., Lemanceau, P., &amp; van der Putten, W. H. (2013). Going back to the roots: The microbial ecology of the rhizosphere. </w:t>
      </w:r>
      <w:r w:rsidRPr="00B2376E">
        <w:rPr>
          <w:rFonts w:ascii="Times New Roman" w:eastAsia="Times New Roman" w:hAnsi="Times New Roman" w:cs="Times New Roman"/>
          <w:i/>
          <w:iCs/>
          <w:kern w:val="0"/>
          <w:sz w:val="24"/>
          <w:szCs w:val="24"/>
          <w:lang w:val="en-US"/>
        </w:rPr>
        <w:t>Nature Reviews Microbiology, 11</w:t>
      </w:r>
      <w:r w:rsidRPr="00B2376E">
        <w:rPr>
          <w:rFonts w:ascii="Times New Roman" w:eastAsia="Times New Roman" w:hAnsi="Times New Roman" w:cs="Times New Roman"/>
          <w:kern w:val="0"/>
          <w:sz w:val="24"/>
          <w:szCs w:val="24"/>
          <w:lang w:val="en-US"/>
        </w:rPr>
        <w:t>(11), 789–799. https://doi.org/10.1038/nrmicro3109</w:t>
      </w:r>
    </w:p>
    <w:p w14:paraId="624FB1DC"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Qu, H., Long, Y., Wang, X., Wang, K., Chen, L., Yang, Y., &amp; Chen, L. (2023). Diversity and abundance of bacterial and fungal communities inhabiting </w:t>
      </w:r>
      <w:r w:rsidRPr="00B2376E">
        <w:rPr>
          <w:rFonts w:ascii="Times New Roman" w:eastAsia="Times New Roman" w:hAnsi="Times New Roman" w:cs="Times New Roman"/>
          <w:i/>
          <w:iCs/>
          <w:kern w:val="0"/>
          <w:sz w:val="24"/>
          <w:szCs w:val="24"/>
          <w:lang w:val="en-US"/>
        </w:rPr>
        <w:t>Camellia sinensis</w:t>
      </w:r>
      <w:r w:rsidRPr="00B2376E">
        <w:rPr>
          <w:rFonts w:ascii="Times New Roman" w:eastAsia="Times New Roman" w:hAnsi="Times New Roman" w:cs="Times New Roman"/>
          <w:kern w:val="0"/>
          <w:sz w:val="24"/>
          <w:szCs w:val="24"/>
          <w:lang w:val="en-US"/>
        </w:rPr>
        <w:t xml:space="preserve"> leaf, </w:t>
      </w:r>
      <w:proofErr w:type="spellStart"/>
      <w:r w:rsidRPr="00B2376E">
        <w:rPr>
          <w:rFonts w:ascii="Times New Roman" w:eastAsia="Times New Roman" w:hAnsi="Times New Roman" w:cs="Times New Roman"/>
          <w:kern w:val="0"/>
          <w:sz w:val="24"/>
          <w:szCs w:val="24"/>
          <w:lang w:val="en-US"/>
        </w:rPr>
        <w:t>rhizospheric</w:t>
      </w:r>
      <w:proofErr w:type="spellEnd"/>
      <w:r w:rsidRPr="00B2376E">
        <w:rPr>
          <w:rFonts w:ascii="Times New Roman" w:eastAsia="Times New Roman" w:hAnsi="Times New Roman" w:cs="Times New Roman"/>
          <w:kern w:val="0"/>
          <w:sz w:val="24"/>
          <w:szCs w:val="24"/>
          <w:lang w:val="en-US"/>
        </w:rPr>
        <w:t xml:space="preserve"> soil, and gut of </w:t>
      </w:r>
      <w:proofErr w:type="spellStart"/>
      <w:r w:rsidRPr="00B2376E">
        <w:rPr>
          <w:rFonts w:ascii="Times New Roman" w:eastAsia="Times New Roman" w:hAnsi="Times New Roman" w:cs="Times New Roman"/>
          <w:i/>
          <w:iCs/>
          <w:kern w:val="0"/>
          <w:sz w:val="24"/>
          <w:szCs w:val="24"/>
          <w:lang w:val="en-US"/>
        </w:rPr>
        <w:t>Agriophara</w:t>
      </w:r>
      <w:proofErr w:type="spellEnd"/>
      <w:r w:rsidRPr="00B2376E">
        <w:rPr>
          <w:rFonts w:ascii="Times New Roman" w:eastAsia="Times New Roman" w:hAnsi="Times New Roman" w:cs="Times New Roman"/>
          <w:i/>
          <w:iCs/>
          <w:kern w:val="0"/>
          <w:sz w:val="24"/>
          <w:szCs w:val="24"/>
          <w:lang w:val="en-US"/>
        </w:rPr>
        <w:t xml:space="preserve"> </w:t>
      </w:r>
      <w:proofErr w:type="spellStart"/>
      <w:r w:rsidRPr="00B2376E">
        <w:rPr>
          <w:rFonts w:ascii="Times New Roman" w:eastAsia="Times New Roman" w:hAnsi="Times New Roman" w:cs="Times New Roman"/>
          <w:i/>
          <w:iCs/>
          <w:kern w:val="0"/>
          <w:sz w:val="24"/>
          <w:szCs w:val="24"/>
          <w:lang w:val="en-US"/>
        </w:rPr>
        <w:t>rhombata</w:t>
      </w:r>
      <w:proofErr w:type="spellEnd"/>
      <w:r w:rsidRPr="00B2376E">
        <w:rPr>
          <w:rFonts w:ascii="Times New Roman" w:eastAsia="Times New Roman" w:hAnsi="Times New Roman" w:cs="Times New Roman"/>
          <w:kern w:val="0"/>
          <w:sz w:val="24"/>
          <w:szCs w:val="24"/>
          <w:lang w:val="en-US"/>
        </w:rPr>
        <w:t xml:space="preserve">. </w:t>
      </w:r>
      <w:r w:rsidRPr="00B2376E">
        <w:rPr>
          <w:rFonts w:ascii="Times New Roman" w:eastAsia="Times New Roman" w:hAnsi="Times New Roman" w:cs="Times New Roman"/>
          <w:i/>
          <w:iCs/>
          <w:kern w:val="0"/>
          <w:sz w:val="24"/>
          <w:szCs w:val="24"/>
          <w:lang w:val="en-US"/>
        </w:rPr>
        <w:t>Microorganisms, 11</w:t>
      </w:r>
      <w:r w:rsidRPr="00B2376E">
        <w:rPr>
          <w:rFonts w:ascii="Times New Roman" w:eastAsia="Times New Roman" w:hAnsi="Times New Roman" w:cs="Times New Roman"/>
          <w:kern w:val="0"/>
          <w:sz w:val="24"/>
          <w:szCs w:val="24"/>
          <w:lang w:val="en-US"/>
        </w:rPr>
        <w:t>(9), Article 2188. https://doi.org/10.3390/microorganisms11092188</w:t>
      </w:r>
    </w:p>
    <w:p w14:paraId="26672236"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Raaijmakers, J. M., &amp; Mazzola, M. (2012). Diversity and natural functions of antibiotics produced by beneficial and plant pathogenic bacteria. </w:t>
      </w:r>
      <w:r w:rsidRPr="00B2376E">
        <w:rPr>
          <w:rFonts w:ascii="Times New Roman" w:eastAsia="Times New Roman" w:hAnsi="Times New Roman" w:cs="Times New Roman"/>
          <w:i/>
          <w:iCs/>
          <w:kern w:val="0"/>
          <w:sz w:val="24"/>
          <w:szCs w:val="24"/>
          <w:lang w:val="en-US"/>
        </w:rPr>
        <w:t>Annual Review of Phytopathology, 50</w:t>
      </w:r>
      <w:r w:rsidRPr="00B2376E">
        <w:rPr>
          <w:rFonts w:ascii="Times New Roman" w:eastAsia="Times New Roman" w:hAnsi="Times New Roman" w:cs="Times New Roman"/>
          <w:kern w:val="0"/>
          <w:sz w:val="24"/>
          <w:szCs w:val="24"/>
          <w:lang w:val="en-US"/>
        </w:rPr>
        <w:t xml:space="preserve">, 403–424. </w:t>
      </w:r>
      <w:hyperlink r:id="rId24" w:tgtFrame="_new" w:history="1">
        <w:r w:rsidRPr="00B2376E">
          <w:rPr>
            <w:rFonts w:ascii="Times New Roman" w:eastAsia="Times New Roman" w:hAnsi="Times New Roman" w:cs="Times New Roman"/>
            <w:color w:val="0000FF"/>
            <w:kern w:val="0"/>
            <w:sz w:val="24"/>
            <w:szCs w:val="24"/>
            <w:u w:val="single"/>
            <w:lang w:val="en-US"/>
          </w:rPr>
          <w:t>https://doi.org/10.1146/annurev-phyto-081211-172908</w:t>
        </w:r>
      </w:hyperlink>
    </w:p>
    <w:p w14:paraId="5D982A90"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Seeley, H. W., Jr., VanDemark, P. J., &amp; Lee, J. J. (1991). </w:t>
      </w:r>
      <w:r w:rsidRPr="00B2376E">
        <w:rPr>
          <w:rFonts w:ascii="Times New Roman" w:eastAsia="Times New Roman" w:hAnsi="Times New Roman" w:cs="Times New Roman"/>
          <w:i/>
          <w:iCs/>
          <w:kern w:val="0"/>
          <w:sz w:val="24"/>
          <w:szCs w:val="24"/>
          <w:lang w:val="en-US"/>
        </w:rPr>
        <w:t>Microbes in action: A laboratory manual of microbiology</w:t>
      </w:r>
      <w:r w:rsidRPr="00B2376E">
        <w:rPr>
          <w:rFonts w:ascii="Times New Roman" w:eastAsia="Times New Roman" w:hAnsi="Times New Roman" w:cs="Times New Roman"/>
          <w:kern w:val="0"/>
          <w:sz w:val="24"/>
          <w:szCs w:val="24"/>
          <w:lang w:val="en-US"/>
        </w:rPr>
        <w:t xml:space="preserve"> (4th ed.). W. H. Freeman. https://searchworks.stanford.edu/view/2811575</w:t>
      </w:r>
    </w:p>
    <w:p w14:paraId="31A5B1F3"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Sylvia, D. M., Fuhrmann, J. J., Hartel, P. G., &amp; </w:t>
      </w:r>
      <w:proofErr w:type="spellStart"/>
      <w:r w:rsidRPr="00B2376E">
        <w:rPr>
          <w:rFonts w:ascii="Times New Roman" w:eastAsia="Times New Roman" w:hAnsi="Times New Roman" w:cs="Times New Roman"/>
          <w:kern w:val="0"/>
          <w:sz w:val="24"/>
          <w:szCs w:val="24"/>
          <w:lang w:val="en-US"/>
        </w:rPr>
        <w:t>Zuberer</w:t>
      </w:r>
      <w:proofErr w:type="spellEnd"/>
      <w:r w:rsidRPr="00B2376E">
        <w:rPr>
          <w:rFonts w:ascii="Times New Roman" w:eastAsia="Times New Roman" w:hAnsi="Times New Roman" w:cs="Times New Roman"/>
          <w:kern w:val="0"/>
          <w:sz w:val="24"/>
          <w:szCs w:val="24"/>
          <w:lang w:val="en-US"/>
        </w:rPr>
        <w:t xml:space="preserve">, D. A. (Eds.). (2005). </w:t>
      </w:r>
      <w:r w:rsidRPr="00B2376E">
        <w:rPr>
          <w:rFonts w:ascii="Times New Roman" w:eastAsia="Times New Roman" w:hAnsi="Times New Roman" w:cs="Times New Roman"/>
          <w:i/>
          <w:iCs/>
          <w:kern w:val="0"/>
          <w:sz w:val="24"/>
          <w:szCs w:val="24"/>
          <w:lang w:val="en-US"/>
        </w:rPr>
        <w:t>Principles and applications of soil microbiology</w:t>
      </w:r>
      <w:r w:rsidRPr="00B2376E">
        <w:rPr>
          <w:rFonts w:ascii="Times New Roman" w:eastAsia="Times New Roman" w:hAnsi="Times New Roman" w:cs="Times New Roman"/>
          <w:kern w:val="0"/>
          <w:sz w:val="24"/>
          <w:szCs w:val="24"/>
          <w:lang w:val="en-US"/>
        </w:rPr>
        <w:t xml:space="preserve"> (2nd ed.). Pearson Prentice Hall. </w:t>
      </w:r>
      <w:hyperlink r:id="rId25" w:tgtFrame="_new" w:history="1">
        <w:r w:rsidRPr="00B2376E">
          <w:rPr>
            <w:rFonts w:ascii="Times New Roman" w:eastAsia="Times New Roman" w:hAnsi="Times New Roman" w:cs="Times New Roman"/>
            <w:color w:val="0000FF"/>
            <w:kern w:val="0"/>
            <w:sz w:val="24"/>
            <w:szCs w:val="24"/>
            <w:u w:val="single"/>
            <w:lang w:val="en-US"/>
          </w:rPr>
          <w:t>https://searchworks.stanford.edu/view/5747259</w:t>
        </w:r>
      </w:hyperlink>
    </w:p>
    <w:p w14:paraId="3CA896BD" w14:textId="77777777" w:rsidR="00491076" w:rsidRPr="00B2376E"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t xml:space="preserve">Talwar, H. K., &amp; </w:t>
      </w:r>
      <w:proofErr w:type="spellStart"/>
      <w:r w:rsidRPr="00B2376E">
        <w:rPr>
          <w:rFonts w:ascii="Times New Roman" w:eastAsia="Times New Roman" w:hAnsi="Times New Roman" w:cs="Times New Roman"/>
          <w:kern w:val="0"/>
          <w:sz w:val="24"/>
          <w:szCs w:val="24"/>
          <w:lang w:val="en-US"/>
        </w:rPr>
        <w:t>Chatli</w:t>
      </w:r>
      <w:proofErr w:type="spellEnd"/>
      <w:r w:rsidRPr="00B2376E">
        <w:rPr>
          <w:rFonts w:ascii="Times New Roman" w:eastAsia="Times New Roman" w:hAnsi="Times New Roman" w:cs="Times New Roman"/>
          <w:kern w:val="0"/>
          <w:sz w:val="24"/>
          <w:szCs w:val="24"/>
          <w:lang w:val="en-US"/>
        </w:rPr>
        <w:t xml:space="preserve">, A. S. (2018). Isolation and enumeration on beneficiary microbes from the soils of Punjab. </w:t>
      </w:r>
      <w:r w:rsidRPr="00B2376E">
        <w:rPr>
          <w:rFonts w:ascii="Times New Roman" w:eastAsia="Times New Roman" w:hAnsi="Times New Roman" w:cs="Times New Roman"/>
          <w:i/>
          <w:iCs/>
          <w:kern w:val="0"/>
          <w:sz w:val="24"/>
          <w:szCs w:val="24"/>
          <w:lang w:val="en-US"/>
        </w:rPr>
        <w:t>International Journal of Science and Research, 7</w:t>
      </w:r>
      <w:r w:rsidRPr="00B2376E">
        <w:rPr>
          <w:rFonts w:ascii="Times New Roman" w:eastAsia="Times New Roman" w:hAnsi="Times New Roman" w:cs="Times New Roman"/>
          <w:kern w:val="0"/>
          <w:sz w:val="24"/>
          <w:szCs w:val="24"/>
          <w:lang w:val="en-US"/>
        </w:rPr>
        <w:t>(9), 869–873. https://doi.org/10.21275/ART20191366</w:t>
      </w:r>
    </w:p>
    <w:p w14:paraId="2AAB93DF" w14:textId="77777777" w:rsidR="00491076" w:rsidRPr="00491076" w:rsidRDefault="00491076" w:rsidP="00491076">
      <w:pPr>
        <w:spacing w:before="100" w:beforeAutospacing="1" w:after="100" w:afterAutospacing="1" w:line="240" w:lineRule="auto"/>
        <w:rPr>
          <w:rFonts w:ascii="Times New Roman" w:eastAsia="Times New Roman" w:hAnsi="Times New Roman" w:cs="Times New Roman"/>
          <w:kern w:val="0"/>
          <w:sz w:val="24"/>
          <w:szCs w:val="24"/>
          <w:lang w:val="en-US"/>
        </w:rPr>
      </w:pPr>
      <w:r w:rsidRPr="00B2376E">
        <w:rPr>
          <w:rFonts w:ascii="Times New Roman" w:eastAsia="Times New Roman" w:hAnsi="Times New Roman" w:cs="Times New Roman"/>
          <w:kern w:val="0"/>
          <w:sz w:val="24"/>
          <w:szCs w:val="24"/>
          <w:lang w:val="en-US"/>
        </w:rPr>
        <w:lastRenderedPageBreak/>
        <w:t xml:space="preserve">Trivedi, P., Leach, J. E., </w:t>
      </w:r>
      <w:proofErr w:type="spellStart"/>
      <w:r w:rsidRPr="00B2376E">
        <w:rPr>
          <w:rFonts w:ascii="Times New Roman" w:eastAsia="Times New Roman" w:hAnsi="Times New Roman" w:cs="Times New Roman"/>
          <w:kern w:val="0"/>
          <w:sz w:val="24"/>
          <w:szCs w:val="24"/>
          <w:lang w:val="en-US"/>
        </w:rPr>
        <w:t>Tringe</w:t>
      </w:r>
      <w:proofErr w:type="spellEnd"/>
      <w:r w:rsidRPr="00B2376E">
        <w:rPr>
          <w:rFonts w:ascii="Times New Roman" w:eastAsia="Times New Roman" w:hAnsi="Times New Roman" w:cs="Times New Roman"/>
          <w:kern w:val="0"/>
          <w:sz w:val="24"/>
          <w:szCs w:val="24"/>
          <w:lang w:val="en-US"/>
        </w:rPr>
        <w:t xml:space="preserve">, S. G., Sa, T., &amp; Singh, B. K. (2020). Plant–microbiome interactions: From community assembly to plant health. </w:t>
      </w:r>
      <w:r w:rsidRPr="00B2376E">
        <w:rPr>
          <w:rFonts w:ascii="Times New Roman" w:eastAsia="Times New Roman" w:hAnsi="Times New Roman" w:cs="Times New Roman"/>
          <w:i/>
          <w:iCs/>
          <w:kern w:val="0"/>
          <w:sz w:val="24"/>
          <w:szCs w:val="24"/>
          <w:lang w:val="en-US"/>
        </w:rPr>
        <w:t>Nature Reviews Microbiology, 18</w:t>
      </w:r>
      <w:r w:rsidRPr="00B2376E">
        <w:rPr>
          <w:rFonts w:ascii="Times New Roman" w:eastAsia="Times New Roman" w:hAnsi="Times New Roman" w:cs="Times New Roman"/>
          <w:kern w:val="0"/>
          <w:sz w:val="24"/>
          <w:szCs w:val="24"/>
          <w:lang w:val="en-US"/>
        </w:rPr>
        <w:t xml:space="preserve">(11), 607–621. </w:t>
      </w:r>
      <w:hyperlink r:id="rId26" w:tgtFrame="_new" w:history="1">
        <w:r w:rsidRPr="00B2376E">
          <w:rPr>
            <w:rFonts w:ascii="Times New Roman" w:eastAsia="Times New Roman" w:hAnsi="Times New Roman" w:cs="Times New Roman"/>
            <w:color w:val="0000FF"/>
            <w:kern w:val="0"/>
            <w:sz w:val="24"/>
            <w:szCs w:val="24"/>
            <w:u w:val="single"/>
            <w:lang w:val="en-US"/>
          </w:rPr>
          <w:t>https://doi.org/10.1038/s41579-020-0412-1</w:t>
        </w:r>
      </w:hyperlink>
    </w:p>
    <w:p w14:paraId="1354A93B" w14:textId="77777777" w:rsidR="00893060" w:rsidRPr="00516D94" w:rsidRDefault="00893060" w:rsidP="00FB6672">
      <w:pPr>
        <w:spacing w:before="200" w:after="200" w:line="360" w:lineRule="auto"/>
        <w:jc w:val="both"/>
        <w:rPr>
          <w:rFonts w:ascii="Arial" w:hAnsi="Arial" w:cs="Arial"/>
          <w:color w:val="000000" w:themeColor="text1"/>
          <w:lang w:val="en-US"/>
        </w:rPr>
      </w:pPr>
    </w:p>
    <w:sectPr w:rsidR="00893060" w:rsidRPr="00516D94" w:rsidSect="00C42BA5">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C67D" w14:textId="77777777" w:rsidR="00490BF8" w:rsidRDefault="00490BF8" w:rsidP="00C42BA5">
      <w:pPr>
        <w:spacing w:after="0" w:line="240" w:lineRule="auto"/>
      </w:pPr>
      <w:r>
        <w:separator/>
      </w:r>
    </w:p>
  </w:endnote>
  <w:endnote w:type="continuationSeparator" w:id="0">
    <w:p w14:paraId="39A0B746" w14:textId="77777777" w:rsidR="00490BF8" w:rsidRDefault="00490BF8" w:rsidP="00C4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0B09" w14:textId="77777777" w:rsidR="00C42BA5" w:rsidRDefault="00C42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087D" w14:textId="77777777" w:rsidR="00C42BA5" w:rsidRDefault="00C42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1233" w14:textId="77777777" w:rsidR="00C42BA5" w:rsidRDefault="00C42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C4A1" w14:textId="77777777" w:rsidR="00490BF8" w:rsidRDefault="00490BF8" w:rsidP="00C42BA5">
      <w:pPr>
        <w:spacing w:after="0" w:line="240" w:lineRule="auto"/>
      </w:pPr>
      <w:r>
        <w:separator/>
      </w:r>
    </w:p>
  </w:footnote>
  <w:footnote w:type="continuationSeparator" w:id="0">
    <w:p w14:paraId="19441C1F" w14:textId="77777777" w:rsidR="00490BF8" w:rsidRDefault="00490BF8" w:rsidP="00C42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A1DFA" w14:textId="77777777" w:rsidR="00C42BA5" w:rsidRDefault="00000000">
    <w:pPr>
      <w:pStyle w:val="Header"/>
    </w:pPr>
    <w:r>
      <w:rPr>
        <w:noProof/>
      </w:rPr>
      <w:pict w14:anchorId="780B9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B15D" w14:textId="77777777" w:rsidR="00C42BA5" w:rsidRDefault="00000000">
    <w:pPr>
      <w:pStyle w:val="Header"/>
    </w:pPr>
    <w:r>
      <w:rPr>
        <w:noProof/>
      </w:rPr>
      <w:pict w14:anchorId="70DE0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8C61" w14:textId="77777777" w:rsidR="00C42BA5" w:rsidRDefault="00000000">
    <w:pPr>
      <w:pStyle w:val="Header"/>
    </w:pPr>
    <w:r>
      <w:rPr>
        <w:noProof/>
      </w:rPr>
      <w:pict w14:anchorId="107B7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13B5A"/>
    <w:multiLevelType w:val="hybridMultilevel"/>
    <w:tmpl w:val="20722C70"/>
    <w:lvl w:ilvl="0" w:tplc="2454EC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362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3NLcwtDAyNzIwMzdV0lEKTi0uzszPAykwrAUA7zCrfCwAAAA="/>
  </w:docVars>
  <w:rsids>
    <w:rsidRoot w:val="0049697D"/>
    <w:rsid w:val="0002673D"/>
    <w:rsid w:val="00033019"/>
    <w:rsid w:val="000F024A"/>
    <w:rsid w:val="00105D5A"/>
    <w:rsid w:val="001076AE"/>
    <w:rsid w:val="001850DB"/>
    <w:rsid w:val="001944EE"/>
    <w:rsid w:val="001D3042"/>
    <w:rsid w:val="0022143E"/>
    <w:rsid w:val="00256CC1"/>
    <w:rsid w:val="00270223"/>
    <w:rsid w:val="00291193"/>
    <w:rsid w:val="002E04F6"/>
    <w:rsid w:val="002E580B"/>
    <w:rsid w:val="00316A5F"/>
    <w:rsid w:val="003207FC"/>
    <w:rsid w:val="00340B2F"/>
    <w:rsid w:val="0035026E"/>
    <w:rsid w:val="00354F26"/>
    <w:rsid w:val="00371E1A"/>
    <w:rsid w:val="0037775A"/>
    <w:rsid w:val="003934DC"/>
    <w:rsid w:val="003970DA"/>
    <w:rsid w:val="003A3542"/>
    <w:rsid w:val="00407701"/>
    <w:rsid w:val="00433EC3"/>
    <w:rsid w:val="004659FC"/>
    <w:rsid w:val="00490BF8"/>
    <w:rsid w:val="00491076"/>
    <w:rsid w:val="0049697D"/>
    <w:rsid w:val="004C410F"/>
    <w:rsid w:val="004D24DB"/>
    <w:rsid w:val="004E3654"/>
    <w:rsid w:val="00516D94"/>
    <w:rsid w:val="005410D7"/>
    <w:rsid w:val="0055494A"/>
    <w:rsid w:val="005570F3"/>
    <w:rsid w:val="00591596"/>
    <w:rsid w:val="0059549A"/>
    <w:rsid w:val="005B719F"/>
    <w:rsid w:val="00601E7E"/>
    <w:rsid w:val="00604B1E"/>
    <w:rsid w:val="00612C27"/>
    <w:rsid w:val="006438FB"/>
    <w:rsid w:val="00675A2D"/>
    <w:rsid w:val="006A4355"/>
    <w:rsid w:val="006C212D"/>
    <w:rsid w:val="006C2E73"/>
    <w:rsid w:val="00727A1C"/>
    <w:rsid w:val="00730AFF"/>
    <w:rsid w:val="00741AB0"/>
    <w:rsid w:val="00767827"/>
    <w:rsid w:val="00781168"/>
    <w:rsid w:val="007B30C7"/>
    <w:rsid w:val="007B6E2F"/>
    <w:rsid w:val="007C3E1E"/>
    <w:rsid w:val="007F513F"/>
    <w:rsid w:val="00804FCD"/>
    <w:rsid w:val="008150C6"/>
    <w:rsid w:val="00833A6A"/>
    <w:rsid w:val="00846B78"/>
    <w:rsid w:val="00872AE8"/>
    <w:rsid w:val="00880439"/>
    <w:rsid w:val="0088143E"/>
    <w:rsid w:val="00893060"/>
    <w:rsid w:val="008C0CCE"/>
    <w:rsid w:val="008D0901"/>
    <w:rsid w:val="008F2F84"/>
    <w:rsid w:val="00924C6A"/>
    <w:rsid w:val="00956C3C"/>
    <w:rsid w:val="00974671"/>
    <w:rsid w:val="009A4EC5"/>
    <w:rsid w:val="009D28B1"/>
    <w:rsid w:val="00A0399D"/>
    <w:rsid w:val="00A03BEE"/>
    <w:rsid w:val="00A32D7F"/>
    <w:rsid w:val="00A40441"/>
    <w:rsid w:val="00A509DE"/>
    <w:rsid w:val="00A764D3"/>
    <w:rsid w:val="00A93F54"/>
    <w:rsid w:val="00AE5764"/>
    <w:rsid w:val="00B17BCE"/>
    <w:rsid w:val="00B2376E"/>
    <w:rsid w:val="00B30B7C"/>
    <w:rsid w:val="00B34F6A"/>
    <w:rsid w:val="00B363AA"/>
    <w:rsid w:val="00B54A8C"/>
    <w:rsid w:val="00B81398"/>
    <w:rsid w:val="00B9666B"/>
    <w:rsid w:val="00BA3C9E"/>
    <w:rsid w:val="00BC3A84"/>
    <w:rsid w:val="00BD7C98"/>
    <w:rsid w:val="00BF3C1B"/>
    <w:rsid w:val="00C225F5"/>
    <w:rsid w:val="00C26AE2"/>
    <w:rsid w:val="00C32A31"/>
    <w:rsid w:val="00C42BA5"/>
    <w:rsid w:val="00C505BB"/>
    <w:rsid w:val="00C5755B"/>
    <w:rsid w:val="00C83207"/>
    <w:rsid w:val="00C93A63"/>
    <w:rsid w:val="00CA448C"/>
    <w:rsid w:val="00CB101D"/>
    <w:rsid w:val="00CC10B8"/>
    <w:rsid w:val="00CF560C"/>
    <w:rsid w:val="00D04157"/>
    <w:rsid w:val="00D20A1B"/>
    <w:rsid w:val="00D30FF5"/>
    <w:rsid w:val="00D65E4B"/>
    <w:rsid w:val="00D77710"/>
    <w:rsid w:val="00DA0400"/>
    <w:rsid w:val="00DB13CB"/>
    <w:rsid w:val="00DD37B8"/>
    <w:rsid w:val="00DD6AAA"/>
    <w:rsid w:val="00DF2FA7"/>
    <w:rsid w:val="00E03837"/>
    <w:rsid w:val="00E60E0D"/>
    <w:rsid w:val="00E92D0B"/>
    <w:rsid w:val="00EE083F"/>
    <w:rsid w:val="00F06A9E"/>
    <w:rsid w:val="00F11969"/>
    <w:rsid w:val="00F33A36"/>
    <w:rsid w:val="00F524F8"/>
    <w:rsid w:val="00F77818"/>
    <w:rsid w:val="00F83878"/>
    <w:rsid w:val="00F910E2"/>
    <w:rsid w:val="00FB6672"/>
    <w:rsid w:val="00FB68A6"/>
    <w:rsid w:val="00FB6EA8"/>
    <w:rsid w:val="00FC1D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5E26A"/>
  <w15:docId w15:val="{B91C5DAE-9C0D-4043-AD50-720F3535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98"/>
  </w:style>
  <w:style w:type="paragraph" w:styleId="Heading1">
    <w:name w:val="heading 1"/>
    <w:basedOn w:val="Normal"/>
    <w:next w:val="Normal"/>
    <w:link w:val="Heading1Char"/>
    <w:uiPriority w:val="9"/>
    <w:qFormat/>
    <w:rsid w:val="00496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6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6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6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6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6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6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6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6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6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6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7D"/>
    <w:rPr>
      <w:rFonts w:eastAsiaTheme="majorEastAsia" w:cstheme="majorBidi"/>
      <w:color w:val="272727" w:themeColor="text1" w:themeTint="D8"/>
    </w:rPr>
  </w:style>
  <w:style w:type="paragraph" w:styleId="Title">
    <w:name w:val="Title"/>
    <w:basedOn w:val="Normal"/>
    <w:next w:val="Normal"/>
    <w:link w:val="TitleChar"/>
    <w:uiPriority w:val="10"/>
    <w:qFormat/>
    <w:rsid w:val="0049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7D"/>
    <w:pPr>
      <w:spacing w:before="160"/>
      <w:jc w:val="center"/>
    </w:pPr>
    <w:rPr>
      <w:i/>
      <w:iCs/>
      <w:color w:val="404040" w:themeColor="text1" w:themeTint="BF"/>
    </w:rPr>
  </w:style>
  <w:style w:type="character" w:customStyle="1" w:styleId="QuoteChar">
    <w:name w:val="Quote Char"/>
    <w:basedOn w:val="DefaultParagraphFont"/>
    <w:link w:val="Quote"/>
    <w:uiPriority w:val="29"/>
    <w:rsid w:val="0049697D"/>
    <w:rPr>
      <w:i/>
      <w:iCs/>
      <w:color w:val="404040" w:themeColor="text1" w:themeTint="BF"/>
    </w:rPr>
  </w:style>
  <w:style w:type="paragraph" w:styleId="ListParagraph">
    <w:name w:val="List Paragraph"/>
    <w:basedOn w:val="Normal"/>
    <w:uiPriority w:val="34"/>
    <w:qFormat/>
    <w:rsid w:val="0049697D"/>
    <w:pPr>
      <w:ind w:left="720"/>
      <w:contextualSpacing/>
    </w:pPr>
  </w:style>
  <w:style w:type="character" w:styleId="IntenseEmphasis">
    <w:name w:val="Intense Emphasis"/>
    <w:basedOn w:val="DefaultParagraphFont"/>
    <w:uiPriority w:val="21"/>
    <w:qFormat/>
    <w:rsid w:val="0049697D"/>
    <w:rPr>
      <w:i/>
      <w:iCs/>
      <w:color w:val="2F5496" w:themeColor="accent1" w:themeShade="BF"/>
    </w:rPr>
  </w:style>
  <w:style w:type="paragraph" w:styleId="IntenseQuote">
    <w:name w:val="Intense Quote"/>
    <w:basedOn w:val="Normal"/>
    <w:next w:val="Normal"/>
    <w:link w:val="IntenseQuoteChar"/>
    <w:uiPriority w:val="30"/>
    <w:qFormat/>
    <w:rsid w:val="00496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97D"/>
    <w:rPr>
      <w:i/>
      <w:iCs/>
      <w:color w:val="2F5496" w:themeColor="accent1" w:themeShade="BF"/>
    </w:rPr>
  </w:style>
  <w:style w:type="character" w:styleId="IntenseReference">
    <w:name w:val="Intense Reference"/>
    <w:basedOn w:val="DefaultParagraphFont"/>
    <w:uiPriority w:val="32"/>
    <w:qFormat/>
    <w:rsid w:val="0049697D"/>
    <w:rPr>
      <w:b/>
      <w:bCs/>
      <w:smallCaps/>
      <w:color w:val="2F5496" w:themeColor="accent1" w:themeShade="BF"/>
      <w:spacing w:val="5"/>
    </w:rPr>
  </w:style>
  <w:style w:type="paragraph" w:styleId="BodyText">
    <w:name w:val="Body Text"/>
    <w:basedOn w:val="Normal"/>
    <w:link w:val="BodyTextChar"/>
    <w:uiPriority w:val="1"/>
    <w:qFormat/>
    <w:rsid w:val="00033019"/>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033019"/>
    <w:rPr>
      <w:rFonts w:ascii="Times New Roman" w:eastAsia="Times New Roman" w:hAnsi="Times New Roman" w:cs="Times New Roman"/>
      <w:kern w:val="0"/>
      <w:sz w:val="24"/>
      <w:szCs w:val="24"/>
      <w:lang w:val="en-US"/>
    </w:rPr>
  </w:style>
  <w:style w:type="table" w:styleId="TableGrid">
    <w:name w:val="Table Grid"/>
    <w:basedOn w:val="TableNormal"/>
    <w:uiPriority w:val="39"/>
    <w:rsid w:val="008F2F8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Emphasis">
    <w:name w:val="Emphasis"/>
    <w:basedOn w:val="DefaultParagraphFont"/>
    <w:uiPriority w:val="20"/>
    <w:qFormat/>
    <w:rsid w:val="007B30C7"/>
    <w:rPr>
      <w:i/>
      <w:iCs/>
    </w:rPr>
  </w:style>
  <w:style w:type="paragraph" w:styleId="NormalWeb">
    <w:name w:val="Normal (Web)"/>
    <w:basedOn w:val="Normal"/>
    <w:uiPriority w:val="99"/>
    <w:unhideWhenUsed/>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Strong">
    <w:name w:val="Strong"/>
    <w:basedOn w:val="DefaultParagraphFont"/>
    <w:uiPriority w:val="22"/>
    <w:qFormat/>
    <w:rsid w:val="007B30C7"/>
    <w:rPr>
      <w:b/>
      <w:bCs/>
    </w:rPr>
  </w:style>
  <w:style w:type="character" w:styleId="PlaceholderText">
    <w:name w:val="Placeholder Text"/>
    <w:basedOn w:val="DefaultParagraphFont"/>
    <w:uiPriority w:val="99"/>
    <w:semiHidden/>
    <w:rsid w:val="00741AB0"/>
    <w:rPr>
      <w:color w:val="808080"/>
    </w:rPr>
  </w:style>
  <w:style w:type="paragraph" w:styleId="BalloonText">
    <w:name w:val="Balloon Text"/>
    <w:basedOn w:val="Normal"/>
    <w:link w:val="BalloonTextChar"/>
    <w:uiPriority w:val="99"/>
    <w:semiHidden/>
    <w:unhideWhenUsed/>
    <w:rsid w:val="00741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AB0"/>
    <w:rPr>
      <w:rFonts w:ascii="Tahoma" w:hAnsi="Tahoma" w:cs="Tahoma"/>
      <w:sz w:val="16"/>
      <w:szCs w:val="16"/>
    </w:rPr>
  </w:style>
  <w:style w:type="character" w:styleId="LineNumber">
    <w:name w:val="line number"/>
    <w:basedOn w:val="DefaultParagraphFont"/>
    <w:uiPriority w:val="99"/>
    <w:semiHidden/>
    <w:unhideWhenUsed/>
    <w:rsid w:val="003207FC"/>
  </w:style>
  <w:style w:type="character" w:styleId="Hyperlink">
    <w:name w:val="Hyperlink"/>
    <w:basedOn w:val="DefaultParagraphFont"/>
    <w:uiPriority w:val="99"/>
    <w:unhideWhenUsed/>
    <w:rsid w:val="00F77818"/>
    <w:rPr>
      <w:color w:val="0563C1" w:themeColor="hyperlink"/>
      <w:u w:val="single"/>
    </w:rPr>
  </w:style>
  <w:style w:type="character" w:customStyle="1" w:styleId="UnresolvedMention1">
    <w:name w:val="Unresolved Mention1"/>
    <w:basedOn w:val="DefaultParagraphFont"/>
    <w:uiPriority w:val="99"/>
    <w:semiHidden/>
    <w:unhideWhenUsed/>
    <w:rsid w:val="00F77818"/>
    <w:rPr>
      <w:color w:val="605E5C"/>
      <w:shd w:val="clear" w:color="auto" w:fill="E1DFDD"/>
    </w:rPr>
  </w:style>
  <w:style w:type="paragraph" w:styleId="Header">
    <w:name w:val="header"/>
    <w:basedOn w:val="Normal"/>
    <w:link w:val="HeaderChar"/>
    <w:uiPriority w:val="99"/>
    <w:unhideWhenUsed/>
    <w:rsid w:val="00C42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A5"/>
  </w:style>
  <w:style w:type="paragraph" w:styleId="Footer">
    <w:name w:val="footer"/>
    <w:basedOn w:val="Normal"/>
    <w:link w:val="FooterChar"/>
    <w:uiPriority w:val="99"/>
    <w:unhideWhenUsed/>
    <w:rsid w:val="00C42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6423">
      <w:bodyDiv w:val="1"/>
      <w:marLeft w:val="0"/>
      <w:marRight w:val="0"/>
      <w:marTop w:val="0"/>
      <w:marBottom w:val="0"/>
      <w:divBdr>
        <w:top w:val="none" w:sz="0" w:space="0" w:color="auto"/>
        <w:left w:val="none" w:sz="0" w:space="0" w:color="auto"/>
        <w:bottom w:val="none" w:sz="0" w:space="0" w:color="auto"/>
        <w:right w:val="none" w:sz="0" w:space="0" w:color="auto"/>
      </w:divBdr>
    </w:div>
    <w:div w:id="1872959668">
      <w:bodyDiv w:val="1"/>
      <w:marLeft w:val="0"/>
      <w:marRight w:val="0"/>
      <w:marTop w:val="0"/>
      <w:marBottom w:val="0"/>
      <w:divBdr>
        <w:top w:val="none" w:sz="0" w:space="0" w:color="auto"/>
        <w:left w:val="none" w:sz="0" w:space="0" w:color="auto"/>
        <w:bottom w:val="none" w:sz="0" w:space="0" w:color="auto"/>
        <w:right w:val="none" w:sz="0" w:space="0" w:color="auto"/>
      </w:divBdr>
    </w:div>
    <w:div w:id="20004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00253-024-13150-1" TargetMode="External"/><Relationship Id="rId18" Type="http://schemas.openxmlformats.org/officeDocument/2006/relationships/hyperlink" Target="https://doi.org/10.1128/JCM.01228-07" TargetMode="External"/><Relationship Id="rId26" Type="http://schemas.openxmlformats.org/officeDocument/2006/relationships/hyperlink" Target="https://doi.org/10.1038/s41579-020-0412-1" TargetMode="External"/><Relationship Id="rId3" Type="http://schemas.openxmlformats.org/officeDocument/2006/relationships/settings" Target="settings.xml"/><Relationship Id="rId21" Type="http://schemas.openxmlformats.org/officeDocument/2006/relationships/hyperlink" Target="https://doi.org/10.1111/1574-6976.12028"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1146/annurev-arplant-050312-120106" TargetMode="External"/><Relationship Id="rId17" Type="http://schemas.openxmlformats.org/officeDocument/2006/relationships/hyperlink" Target="https://cpcri.gov.in/filemgr/webfs/publication/AR20212023.pdf?utm_source=chatgpt.com" TargetMode="External"/><Relationship Id="rId25" Type="http://schemas.openxmlformats.org/officeDocument/2006/relationships/hyperlink" Target="https://searchworks.stanford.edu/view/5747259?utm_source=chatgpt.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sjbs.2019.05.004" TargetMode="External"/><Relationship Id="rId20" Type="http://schemas.openxmlformats.org/officeDocument/2006/relationships/hyperlink" Target="https://doi.org/10.1146/annurev.micro.62.081307.162918"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tplants.2012.04.001" TargetMode="External"/><Relationship Id="rId24" Type="http://schemas.openxmlformats.org/officeDocument/2006/relationships/hyperlink" Target="https://doi.org/10.1146/annurev-phyto-081211-172908"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16/j.pbi.2017.04.018" TargetMode="External"/><Relationship Id="rId23" Type="http://schemas.openxmlformats.org/officeDocument/2006/relationships/hyperlink" Target="https://doi.org/10.9734/jabb/2024/v27i111613" TargetMode="External"/><Relationship Id="rId28" Type="http://schemas.openxmlformats.org/officeDocument/2006/relationships/header" Target="header2.xml"/><Relationship Id="rId10" Type="http://schemas.openxmlformats.org/officeDocument/2006/relationships/hyperlink" Target="https://mulibrary.manipuruniv.ac.in/cgi-bin/koha/opac-detail.pl?biblionumber=47171&amp;utm_source=chatgpt.com" TargetMode="External"/><Relationship Id="rId19" Type="http://schemas.openxmlformats.org/officeDocument/2006/relationships/hyperlink" Target="https://doi.org/10.1038/s41467-024-49218-9"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56557/jogee/2023/v19i3-48492" TargetMode="External"/><Relationship Id="rId14" Type="http://schemas.openxmlformats.org/officeDocument/2006/relationships/hyperlink" Target="https://doi.org/10.1016/j.soilbio.2009.11.024" TargetMode="External"/><Relationship Id="rId22" Type="http://schemas.openxmlformats.org/officeDocument/2006/relationships/hyperlink" Target="https://doi.org/10.1126/science.120398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12</Pages>
  <Words>3856</Words>
  <Characters>21983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 Officer</dc:creator>
  <cp:keywords/>
  <dc:description/>
  <cp:lastModifiedBy>SDI 1020</cp:lastModifiedBy>
  <cp:revision>184</cp:revision>
  <dcterms:created xsi:type="dcterms:W3CDTF">2026-07-18T04:25:00Z</dcterms:created>
  <dcterms:modified xsi:type="dcterms:W3CDTF">2026-07-28T13:11:00Z</dcterms:modified>
</cp:coreProperties>
</file>