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14AEF" w14:textId="77777777" w:rsidR="00267D33" w:rsidRPr="00F803F9" w:rsidRDefault="00267D33" w:rsidP="0031367B">
      <w:pPr>
        <w:spacing w:line="360" w:lineRule="auto"/>
        <w:jc w:val="both"/>
        <w:rPr>
          <w:rFonts w:ascii="Times New Roman" w:hAnsi="Times New Roman" w:cs="Times New Roman"/>
          <w:b/>
          <w:bCs/>
          <w:color w:val="000000" w:themeColor="text1"/>
          <w:sz w:val="28"/>
          <w:szCs w:val="28"/>
        </w:rPr>
      </w:pPr>
      <w:r w:rsidRPr="00F803F9">
        <w:rPr>
          <w:rFonts w:ascii="Times New Roman" w:hAnsi="Times New Roman" w:cs="Times New Roman"/>
          <w:b/>
          <w:bCs/>
          <w:color w:val="000000" w:themeColor="text1"/>
          <w:sz w:val="28"/>
          <w:szCs w:val="28"/>
        </w:rPr>
        <w:t>Character Association and Path Coefficient Analysis for Yield, Yield Attributing and Oil Content Traits in Sesame (</w:t>
      </w:r>
      <w:r w:rsidRPr="00F803F9">
        <w:rPr>
          <w:rFonts w:ascii="Times New Roman" w:hAnsi="Times New Roman" w:cs="Times New Roman"/>
          <w:b/>
          <w:bCs/>
          <w:i/>
          <w:iCs/>
          <w:color w:val="000000" w:themeColor="text1"/>
          <w:sz w:val="28"/>
          <w:szCs w:val="28"/>
        </w:rPr>
        <w:t>Sesamum indicum</w:t>
      </w:r>
      <w:r w:rsidRPr="00F803F9">
        <w:rPr>
          <w:rFonts w:ascii="Times New Roman" w:hAnsi="Times New Roman" w:cs="Times New Roman"/>
          <w:b/>
          <w:bCs/>
          <w:color w:val="000000" w:themeColor="text1"/>
          <w:sz w:val="28"/>
          <w:szCs w:val="28"/>
        </w:rPr>
        <w:t xml:space="preserve"> L.) Germplasm</w:t>
      </w:r>
    </w:p>
    <w:p w14:paraId="621C27E8" w14:textId="77777777" w:rsidR="008D5DC0" w:rsidRPr="00F803F9" w:rsidRDefault="008D5DC0" w:rsidP="0031367B">
      <w:pPr>
        <w:spacing w:before="100" w:beforeAutospacing="1" w:after="100" w:afterAutospacing="1" w:line="240" w:lineRule="auto"/>
        <w:jc w:val="both"/>
        <w:outlineLvl w:val="2"/>
        <w:rPr>
          <w:rFonts w:ascii="Times New Roman" w:hAnsi="Times New Roman" w:cs="Times New Roman"/>
          <w:color w:val="000000" w:themeColor="text1"/>
          <w:szCs w:val="22"/>
        </w:rPr>
      </w:pPr>
    </w:p>
    <w:p w14:paraId="6D33DCAD" w14:textId="77777777" w:rsidR="009C0C9E" w:rsidRPr="00F803F9" w:rsidRDefault="009C0C9E" w:rsidP="0031367B">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3F9">
        <w:rPr>
          <w:rFonts w:ascii="Times New Roman" w:eastAsia="Times New Roman" w:hAnsi="Times New Roman" w:cs="Times New Roman"/>
          <w:b/>
          <w:bCs/>
          <w:sz w:val="27"/>
          <w:szCs w:val="27"/>
          <w:lang w:eastAsia="en-GB"/>
        </w:rPr>
        <w:t>Abstract</w:t>
      </w:r>
    </w:p>
    <w:p w14:paraId="5080B242" w14:textId="77777777" w:rsidR="00F803F9" w:rsidRPr="00F803F9" w:rsidRDefault="00F803F9" w:rsidP="00F803F9">
      <w:pPr>
        <w:spacing w:line="360" w:lineRule="auto"/>
        <w:jc w:val="both"/>
        <w:rPr>
          <w:rFonts w:ascii="Times New Roman" w:hAnsi="Times New Roman" w:cs="Times New Roman"/>
          <w:b/>
          <w:bCs/>
          <w:color w:val="000000" w:themeColor="text1"/>
          <w:sz w:val="24"/>
          <w:szCs w:val="24"/>
        </w:rPr>
      </w:pPr>
      <w:r w:rsidRPr="00F803F9">
        <w:t>The present study assessed character association and the direct and indirect effects of yield-attributing traits on seed yield in sesame (</w:t>
      </w:r>
      <w:r w:rsidRPr="00F803F9">
        <w:rPr>
          <w:rStyle w:val="Emphasis"/>
        </w:rPr>
        <w:t>Sesamum indicum</w:t>
      </w:r>
      <w:r w:rsidRPr="00F803F9">
        <w:t xml:space="preserve"> L.) germplasm. Fifty-one sesame genotypes, including three standard checks, were evaluated during the </w:t>
      </w:r>
      <w:r w:rsidRPr="00F803F9">
        <w:rPr>
          <w:rStyle w:val="Emphasis"/>
        </w:rPr>
        <w:t>kharif</w:t>
      </w:r>
      <w:r w:rsidRPr="00F803F9">
        <w:t xml:space="preserve"> season of 2024 using a randomised block design with three replications. Observations were recorded for twelve quantitative traits, comprising days to 50% flowering, days to maturity, plant height, number of primary branches per plant, number of clusters per plant, cluster length, number of seeds per cluster, test seed weight, biological yield per plant, harvest index, seed yield per plant, and oil content. Correlation analysis showed that seed yield per plant was positively associated with harvest index, biological yield per plant, number of clusters per plant, plant height, test seed weight, and number of seeds per cluster. Days to 50% flowering and days to maturity showed negative associations with several yield-related traits, indicating the possible usefulness of early-flowering and early-maturing genotypes under the studied conditions. Path coefficient analysis revealed that harvest index had the highest positive direct effect on seed yield, followed by biological yield per plant, days to maturity, number of clusters per plant, test seed weight, and plant height. The findings indicate that harvest index, biological yield per plant, number of clusters per plant, plant height, and test seed weight may be useful selection criteria for improving seed yield in sesame breeding programmes.</w:t>
      </w:r>
      <w:r w:rsidRPr="00F803F9">
        <w:rPr>
          <w:rFonts w:ascii="Times New Roman" w:hAnsi="Times New Roman" w:cs="Times New Roman"/>
          <w:b/>
          <w:bCs/>
          <w:color w:val="000000" w:themeColor="text1"/>
          <w:sz w:val="24"/>
          <w:szCs w:val="24"/>
        </w:rPr>
        <w:t xml:space="preserve"> </w:t>
      </w:r>
    </w:p>
    <w:p w14:paraId="07BFB506" w14:textId="3381F1BE" w:rsidR="00F803F9" w:rsidRPr="00F803F9" w:rsidRDefault="00F803F9" w:rsidP="0031367B">
      <w:pPr>
        <w:spacing w:line="360" w:lineRule="auto"/>
        <w:jc w:val="both"/>
        <w:rPr>
          <w:rFonts w:ascii="Times New Roman" w:hAnsi="Times New Roman" w:cs="Times New Roman"/>
          <w:b/>
          <w:bCs/>
          <w:color w:val="000000" w:themeColor="text1"/>
          <w:sz w:val="24"/>
          <w:szCs w:val="24"/>
        </w:rPr>
      </w:pPr>
      <w:r w:rsidRPr="00F803F9">
        <w:rPr>
          <w:rStyle w:val="Emphasis"/>
          <w:b/>
          <w:bCs/>
        </w:rPr>
        <w:t>Keywords:</w:t>
      </w:r>
      <w:r w:rsidRPr="00F803F9">
        <w:rPr>
          <w:rStyle w:val="Emphasis"/>
        </w:rPr>
        <w:t xml:space="preserve"> </w:t>
      </w:r>
      <w:r w:rsidRPr="00F803F9">
        <w:rPr>
          <w:rStyle w:val="Emphasis"/>
        </w:rPr>
        <w:t>Sesamum indicum</w:t>
      </w:r>
      <w:r w:rsidRPr="00F803F9">
        <w:t xml:space="preserve"> L.; sesame germplasm; seed yield; correlation analysis; path coefficient analysis; harvest index; biological yield; test seed weight; yield-attributing traits; oil content; selection criteria</w:t>
      </w:r>
      <w:r w:rsidRPr="00F803F9">
        <w:rPr>
          <w:rFonts w:ascii="Times New Roman" w:hAnsi="Times New Roman" w:cs="Times New Roman"/>
          <w:b/>
          <w:bCs/>
          <w:color w:val="000000" w:themeColor="text1"/>
          <w:sz w:val="24"/>
          <w:szCs w:val="24"/>
        </w:rPr>
        <w:t xml:space="preserve"> </w:t>
      </w:r>
    </w:p>
    <w:p w14:paraId="02AE0614" w14:textId="4606A39E" w:rsidR="00F52741" w:rsidRPr="00F803F9" w:rsidRDefault="007D70BF" w:rsidP="0031367B">
      <w:pPr>
        <w:spacing w:line="360" w:lineRule="auto"/>
        <w:jc w:val="both"/>
        <w:rPr>
          <w:rFonts w:ascii="Times New Roman" w:hAnsi="Times New Roman" w:cs="Times New Roman"/>
          <w:b/>
          <w:bCs/>
          <w:color w:val="000000" w:themeColor="text1"/>
          <w:sz w:val="24"/>
          <w:szCs w:val="24"/>
        </w:rPr>
      </w:pPr>
      <w:r w:rsidRPr="00F803F9">
        <w:rPr>
          <w:rFonts w:ascii="Times New Roman" w:hAnsi="Times New Roman" w:cs="Times New Roman"/>
          <w:b/>
          <w:bCs/>
          <w:color w:val="000000" w:themeColor="text1"/>
          <w:sz w:val="24"/>
          <w:szCs w:val="24"/>
        </w:rPr>
        <w:t>INTRODUCTION</w:t>
      </w:r>
    </w:p>
    <w:p w14:paraId="692BD713" w14:textId="77777777" w:rsidR="00D738D7" w:rsidRPr="00F803F9" w:rsidRDefault="00B5738B" w:rsidP="0031367B">
      <w:pPr>
        <w:spacing w:line="360" w:lineRule="auto"/>
        <w:ind w:firstLine="851"/>
        <w:jc w:val="both"/>
        <w:rPr>
          <w:rFonts w:ascii="Times New Roman" w:hAnsi="Times New Roman" w:cs="Times New Roman"/>
          <w:color w:val="FF0000"/>
          <w:sz w:val="24"/>
          <w:szCs w:val="24"/>
        </w:rPr>
      </w:pPr>
      <w:r w:rsidRPr="00F803F9">
        <w:t>Sesame (</w:t>
      </w:r>
      <w:r w:rsidRPr="00F803F9">
        <w:rPr>
          <w:i/>
        </w:rPr>
        <w:t>Sesamum</w:t>
      </w:r>
      <w:r w:rsidRPr="00F803F9">
        <w:t xml:space="preserve"> </w:t>
      </w:r>
      <w:r w:rsidRPr="00F803F9">
        <w:rPr>
          <w:i/>
        </w:rPr>
        <w:t>indicum</w:t>
      </w:r>
      <w:r w:rsidRPr="00F803F9">
        <w:t xml:space="preserve"> L.) is a diploid oilseed crop (2n = 2x = 26) belonging to the family Pedaliaceae and is considered one of the earliest oilseed species domesticated by humans. The crop is extensively cultivated across tropical and subtropical regions worldwide owing to its high-quality edible oil and broad adaptability. Although Africa is widely regarded as the primary centre of origin of sesame, India is recognised as a major centre of genetic diversity for the crop.</w:t>
      </w:r>
    </w:p>
    <w:p w14:paraId="51E6DB61" w14:textId="77777777" w:rsidR="00B5738B" w:rsidRPr="00F803F9" w:rsidRDefault="00B5738B" w:rsidP="0031367B">
      <w:pPr>
        <w:spacing w:line="360" w:lineRule="auto"/>
        <w:ind w:firstLine="851"/>
        <w:jc w:val="both"/>
        <w:rPr>
          <w:rFonts w:ascii="Times New Roman" w:hAnsi="Times New Roman" w:cs="Times New Roman"/>
          <w:color w:val="000000" w:themeColor="text1"/>
          <w:sz w:val="24"/>
          <w:szCs w:val="24"/>
        </w:rPr>
      </w:pPr>
      <w:r w:rsidRPr="00F803F9">
        <w:t xml:space="preserve">Sesame oil is characterised by a high proportion of unsaturated fatty acids and the presence of potent natural antioxidants, particularly </w:t>
      </w:r>
      <w:proofErr w:type="spellStart"/>
      <w:r w:rsidRPr="00F803F9">
        <w:t>sesamin</w:t>
      </w:r>
      <w:proofErr w:type="spellEnd"/>
      <w:r w:rsidRPr="00F803F9">
        <w:t xml:space="preserve"> and </w:t>
      </w:r>
      <w:proofErr w:type="spellStart"/>
      <w:r w:rsidRPr="00F803F9">
        <w:t>sesamolin</w:t>
      </w:r>
      <w:proofErr w:type="spellEnd"/>
      <w:r w:rsidRPr="00F803F9">
        <w:t xml:space="preserve">, which contribute to its remarkable oxidative stability and prolonged shelf life. Consequently, sesame is often referred to as the “Queen of Oilseeds.” The seeds possess substantial nutritional value, comprising approximately 44-57% oil, 18-25% protein, 13.5% carbohydrates, and around 5% ash (Myint </w:t>
      </w:r>
      <w:r w:rsidRPr="00F803F9">
        <w:rPr>
          <w:i/>
        </w:rPr>
        <w:t>et</w:t>
      </w:r>
      <w:r w:rsidRPr="00F803F9">
        <w:t xml:space="preserve"> </w:t>
      </w:r>
      <w:r w:rsidRPr="00F803F9">
        <w:rPr>
          <w:i/>
        </w:rPr>
        <w:t>al</w:t>
      </w:r>
      <w:r w:rsidRPr="00F803F9">
        <w:t>., 2020).</w:t>
      </w:r>
    </w:p>
    <w:p w14:paraId="2A351D74" w14:textId="4A61322E" w:rsidR="00B07C26" w:rsidRPr="00F803F9" w:rsidRDefault="00B5738B" w:rsidP="00F803F9">
      <w:pPr>
        <w:spacing w:line="360" w:lineRule="auto"/>
        <w:ind w:firstLine="851"/>
        <w:jc w:val="both"/>
        <w:rPr>
          <w:rFonts w:ascii="Times New Roman" w:hAnsi="Times New Roman" w:cs="Times New Roman"/>
          <w:strike/>
          <w:color w:val="000000" w:themeColor="text1"/>
          <w:sz w:val="24"/>
          <w:szCs w:val="24"/>
        </w:rPr>
      </w:pPr>
      <w:r w:rsidRPr="00F803F9">
        <w:lastRenderedPageBreak/>
        <w:t xml:space="preserve">Beyond its nutritional importance, sesame is recognised for its diverse health-promoting properties. Its bioactive compounds exhibit anti-inflammatory activity (Hsu &amp; Parthasarathy, 2017) and have been reported to play a role in glycaemic regulation and the management of type 2 diabetes mellitus. Sesame oil also contains a range of valuable phytochemicals, including phenolic compounds, phytates, phytosterols, and bioactive peptides, which enhance its significance in the nutraceutical, pharmaceutical, and cosmetic industries. In addition, sesame demonstrates excellent adaptability to varied </w:t>
      </w:r>
      <w:proofErr w:type="spellStart"/>
      <w:r w:rsidRPr="00F803F9">
        <w:t>agro</w:t>
      </w:r>
      <w:proofErr w:type="spellEnd"/>
      <w:r w:rsidRPr="00F803F9">
        <w:t>-climatic conditions, thriving under diverse soil environments, exhibiting considerable drought tolerance, and fitting effectively into multiple cropping systems. The residual cake obtained after oil extraction is nutrient-rich and serves as an important organic manure as well as a protein-rich feed supplement for livestock, particularly dairy animals. Although Africa is widely regarded as the primary centre of origin of sesame, India is recognised as a major centre of genetic diversity for the crop.</w:t>
      </w:r>
      <w:r w:rsidR="00F803F9" w:rsidRPr="00F803F9">
        <w:rPr>
          <w:rFonts w:ascii="Times New Roman" w:hAnsi="Times New Roman" w:cs="Times New Roman"/>
          <w:strike/>
          <w:color w:val="000000" w:themeColor="text1"/>
          <w:sz w:val="24"/>
          <w:szCs w:val="24"/>
        </w:rPr>
        <w:t xml:space="preserve"> </w:t>
      </w:r>
      <w:r w:rsidR="00000000" w:rsidRPr="00F803F9">
        <w:rPr>
          <w:bCs/>
        </w:rPr>
        <w:t>Recent sesame diversity studies have further shown that morpho-physiological traits, seed-yield components and germplasm structure remain important sources of information for breeding-oriented selection in cultivated and exotic sesame accessions (Wang et al., 2024; Singh et al., 2025).</w:t>
      </w:r>
    </w:p>
    <w:p w14:paraId="52B7B1A6" w14:textId="77777777" w:rsidR="007D70BF" w:rsidRPr="00F803F9" w:rsidRDefault="00B5738B" w:rsidP="0031367B">
      <w:pPr>
        <w:spacing w:line="360" w:lineRule="auto"/>
        <w:ind w:firstLine="851"/>
        <w:jc w:val="both"/>
        <w:rPr>
          <w:rFonts w:ascii="Times New Roman" w:hAnsi="Times New Roman" w:cs="Times New Roman"/>
          <w:color w:val="000000" w:themeColor="text1"/>
          <w:sz w:val="24"/>
          <w:szCs w:val="24"/>
        </w:rPr>
      </w:pPr>
      <w:r w:rsidRPr="00F803F9">
        <w:rPr>
          <w:rFonts w:ascii="Times New Roman" w:hAnsi="Times New Roman" w:cs="Times New Roman"/>
          <w:color w:val="000000" w:themeColor="text1"/>
          <w:sz w:val="24"/>
          <w:szCs w:val="24"/>
        </w:rPr>
        <w:t xml:space="preserve">In India, sesame is cultivated under a wide range of </w:t>
      </w:r>
      <w:proofErr w:type="spellStart"/>
      <w:r w:rsidRPr="00F803F9">
        <w:rPr>
          <w:rFonts w:ascii="Times New Roman" w:hAnsi="Times New Roman" w:cs="Times New Roman"/>
          <w:color w:val="000000" w:themeColor="text1"/>
          <w:sz w:val="24"/>
          <w:szCs w:val="24"/>
        </w:rPr>
        <w:t>agro</w:t>
      </w:r>
      <w:proofErr w:type="spellEnd"/>
      <w:r w:rsidRPr="00F803F9">
        <w:rPr>
          <w:rFonts w:ascii="Times New Roman" w:hAnsi="Times New Roman" w:cs="Times New Roman"/>
          <w:color w:val="000000" w:themeColor="text1"/>
          <w:sz w:val="24"/>
          <w:szCs w:val="24"/>
        </w:rPr>
        <w:t xml:space="preserve">-ecological conditions and forms an integral component of </w:t>
      </w:r>
      <w:r w:rsidRPr="00F803F9">
        <w:rPr>
          <w:rFonts w:ascii="Times New Roman" w:hAnsi="Times New Roman" w:cs="Times New Roman"/>
          <w:i/>
          <w:iCs/>
          <w:color w:val="000000" w:themeColor="text1"/>
          <w:sz w:val="24"/>
          <w:szCs w:val="24"/>
        </w:rPr>
        <w:t>rainfed</w:t>
      </w:r>
      <w:r w:rsidRPr="00F803F9">
        <w:rPr>
          <w:rFonts w:ascii="Times New Roman" w:hAnsi="Times New Roman" w:cs="Times New Roman"/>
          <w:color w:val="000000" w:themeColor="text1"/>
          <w:sz w:val="24"/>
          <w:szCs w:val="24"/>
        </w:rPr>
        <w:t xml:space="preserve"> and dryland farming systems. The crop is predominantly grown during the summer and late </w:t>
      </w:r>
      <w:r w:rsidRPr="00F803F9">
        <w:rPr>
          <w:rFonts w:ascii="Times New Roman" w:hAnsi="Times New Roman" w:cs="Times New Roman"/>
          <w:i/>
          <w:iCs/>
          <w:color w:val="000000" w:themeColor="text1"/>
          <w:sz w:val="24"/>
          <w:szCs w:val="24"/>
        </w:rPr>
        <w:t>kharif</w:t>
      </w:r>
      <w:r w:rsidRPr="00F803F9">
        <w:rPr>
          <w:rFonts w:ascii="Times New Roman" w:hAnsi="Times New Roman" w:cs="Times New Roman"/>
          <w:color w:val="000000" w:themeColor="text1"/>
          <w:sz w:val="24"/>
          <w:szCs w:val="24"/>
        </w:rPr>
        <w:t xml:space="preserve"> seasons in Telangana. According to agricultural statistics for 2023</w:t>
      </w:r>
      <w:r w:rsidR="00E72A29" w:rsidRPr="00F803F9">
        <w:rPr>
          <w:rFonts w:ascii="Times New Roman" w:hAnsi="Times New Roman" w:cs="Times New Roman"/>
          <w:color w:val="000000" w:themeColor="text1"/>
          <w:sz w:val="24"/>
          <w:szCs w:val="24"/>
        </w:rPr>
        <w:t>-</w:t>
      </w:r>
      <w:r w:rsidRPr="00F803F9">
        <w:rPr>
          <w:rFonts w:ascii="Times New Roman" w:hAnsi="Times New Roman" w:cs="Times New Roman"/>
          <w:color w:val="000000" w:themeColor="text1"/>
          <w:sz w:val="24"/>
          <w:szCs w:val="24"/>
        </w:rPr>
        <w:t>24, sesame occupied approximately 1.531 million hectares in India, with a production of about 847,000 tonnes and an average productivity of 553 kg ha</w:t>
      </w:r>
      <w:r w:rsidR="00E72A29" w:rsidRPr="00F803F9">
        <w:rPr>
          <w:rFonts w:ascii="Cambria Math" w:hAnsi="Cambria Math" w:cs="Cambria Math"/>
          <w:color w:val="000000" w:themeColor="text1"/>
          <w:sz w:val="24"/>
          <w:szCs w:val="24"/>
          <w:vertAlign w:val="superscript"/>
        </w:rPr>
        <w:t>-1</w:t>
      </w:r>
      <w:r w:rsidRPr="00F803F9">
        <w:rPr>
          <w:rFonts w:ascii="Times New Roman" w:hAnsi="Times New Roman" w:cs="Times New Roman"/>
          <w:color w:val="000000" w:themeColor="text1"/>
          <w:sz w:val="24"/>
          <w:szCs w:val="24"/>
        </w:rPr>
        <w:t>. In Telangana, the crop was cultivated on nearly 0.014 million hectares, producing around 10,000 tonnes with a productivity of 740 kg ha</w:t>
      </w:r>
      <w:r w:rsidR="00E72A29" w:rsidRPr="00F803F9">
        <w:rPr>
          <w:rFonts w:ascii="Cambria Math" w:hAnsi="Cambria Math" w:cs="Cambria Math"/>
          <w:color w:val="000000" w:themeColor="text1"/>
          <w:sz w:val="24"/>
          <w:szCs w:val="24"/>
          <w:vertAlign w:val="superscript"/>
        </w:rPr>
        <w:t>-1</w:t>
      </w:r>
      <w:r w:rsidRPr="00F803F9">
        <w:rPr>
          <w:rFonts w:ascii="Times New Roman" w:hAnsi="Times New Roman" w:cs="Times New Roman"/>
          <w:color w:val="000000" w:themeColor="text1"/>
          <w:sz w:val="24"/>
          <w:szCs w:val="24"/>
        </w:rPr>
        <w:t>, which is notably higher than the national average (</w:t>
      </w:r>
      <w:proofErr w:type="spellStart"/>
      <w:r w:rsidRPr="00F803F9">
        <w:rPr>
          <w:rFonts w:ascii="Times New Roman" w:hAnsi="Times New Roman" w:cs="Times New Roman"/>
          <w:color w:val="000000" w:themeColor="text1"/>
          <w:sz w:val="24"/>
          <w:szCs w:val="24"/>
        </w:rPr>
        <w:t>Indiastat</w:t>
      </w:r>
      <w:proofErr w:type="spellEnd"/>
      <w:r w:rsidRPr="00F803F9">
        <w:rPr>
          <w:rFonts w:ascii="Times New Roman" w:hAnsi="Times New Roman" w:cs="Times New Roman"/>
          <w:color w:val="000000" w:themeColor="text1"/>
          <w:sz w:val="24"/>
          <w:szCs w:val="24"/>
        </w:rPr>
        <w:t>, 2024).</w:t>
      </w:r>
    </w:p>
    <w:p w14:paraId="6C270438" w14:textId="77777777" w:rsidR="000E4E6C" w:rsidRPr="00F803F9" w:rsidRDefault="006B2BA1" w:rsidP="0031367B">
      <w:pPr>
        <w:spacing w:line="360" w:lineRule="auto"/>
        <w:ind w:firstLine="851"/>
        <w:jc w:val="both"/>
        <w:rPr>
          <w:rFonts w:ascii="Times New Roman" w:hAnsi="Times New Roman" w:cs="Times New Roman"/>
          <w:color w:val="000000" w:themeColor="text1"/>
          <w:sz w:val="24"/>
          <w:szCs w:val="24"/>
        </w:rPr>
      </w:pPr>
      <w:r w:rsidRPr="00F803F9">
        <w:t xml:space="preserve">Seed yield in sesame is a complex quantitative trait that is governed by several interrelated morphological and agronomic characters and is greatly influenced by environmental factors. Therefore, understanding the nature and magnitude of relationships among yield and its component traits is essential for the formulation of effective breeding strategies. Correlation analysis provides information on the degree and direction of association among characters, thereby facilitating the identification of traits that contribute significantly to seed yield. However, correlation coefficients alone may not adequately explain the direct and indirect influences of individual traits on yield. In this context, path coefficient analysis serves as a valuable statistical tool by partitioning correlation coefficients into direct and indirect effects, enabling a clearer understanding of the causal relationships among traits. Several studies in sesame have demonstrated the usefulness of correlation and path analysis in identifying key yield-contributing characters such as number of capsules per plant, number of branches per plant, capsule length, seeds per capsule, and 1000-seed weight for effective selection and genetic improvement (Singh &amp; Chaudhary, 1985; Falconer &amp; Mackay, 1996; Wright, 1921; Dewey &amp; Lu, 1959). Recent trait-association studies in sesame have also identified capsules or capsule-related </w:t>
      </w:r>
      <w:r w:rsidRPr="00F803F9">
        <w:lastRenderedPageBreak/>
        <w:t xml:space="preserve">characters, branching traits and seed-weight attributes as useful indicators of seed-yield performance under field conditions (Kumar </w:t>
      </w:r>
      <w:r w:rsidRPr="00F803F9">
        <w:rPr>
          <w:i/>
        </w:rPr>
        <w:t>et</w:t>
      </w:r>
      <w:r w:rsidRPr="00F803F9">
        <w:t xml:space="preserve"> </w:t>
      </w:r>
      <w:r w:rsidRPr="00F803F9">
        <w:rPr>
          <w:i/>
        </w:rPr>
        <w:t>al</w:t>
      </w:r>
      <w:r w:rsidRPr="00F803F9">
        <w:t xml:space="preserve">., 2024; </w:t>
      </w:r>
      <w:proofErr w:type="spellStart"/>
      <w:r w:rsidRPr="00F803F9">
        <w:t>Dadarwal</w:t>
      </w:r>
      <w:proofErr w:type="spellEnd"/>
      <w:r w:rsidRPr="00F803F9">
        <w:t xml:space="preserve"> &amp; Yadav, 2025). However, the relationship among yield, yield-attributing traits and oil content has not been defined for the present set of 51 sesame genotypes evaluated during the 2024 </w:t>
      </w:r>
      <w:r w:rsidRPr="00F803F9">
        <w:rPr>
          <w:i/>
        </w:rPr>
        <w:t>kharif</w:t>
      </w:r>
      <w:r w:rsidRPr="00F803F9">
        <w:t xml:space="preserve"> season, and trait-specific direct and indirect effects on seed yield require assessment within this germplasm set. Therefore, the present investigation was undertaken to assess the association among yield and yield-related traits and to determine their direct and indirect contributions to seed yield in sesame genotypes.</w:t>
      </w:r>
    </w:p>
    <w:p w14:paraId="2FD9CD29" w14:textId="77777777" w:rsidR="00913911" w:rsidRPr="00F803F9" w:rsidRDefault="00913911" w:rsidP="0031367B">
      <w:pPr>
        <w:spacing w:line="360" w:lineRule="auto"/>
        <w:jc w:val="both"/>
        <w:rPr>
          <w:rFonts w:ascii="Times New Roman" w:hAnsi="Times New Roman" w:cs="Times New Roman"/>
          <w:b/>
          <w:bCs/>
          <w:color w:val="000000" w:themeColor="text1"/>
          <w:sz w:val="24"/>
          <w:szCs w:val="24"/>
        </w:rPr>
      </w:pPr>
      <w:r w:rsidRPr="00F803F9">
        <w:rPr>
          <w:b/>
        </w:rPr>
        <w:t>MATERIALS AND METHODS</w:t>
      </w:r>
    </w:p>
    <w:p w14:paraId="51A05843" w14:textId="77777777" w:rsidR="00C946CD" w:rsidRPr="00F803F9" w:rsidRDefault="001F676D" w:rsidP="0031367B">
      <w:pPr>
        <w:spacing w:line="360" w:lineRule="auto"/>
        <w:ind w:firstLine="851"/>
        <w:jc w:val="both"/>
        <w:rPr>
          <w:rFonts w:ascii="Times New Roman" w:hAnsi="Times New Roman" w:cs="Times New Roman"/>
          <w:color w:val="000000" w:themeColor="text1"/>
          <w:sz w:val="24"/>
          <w:szCs w:val="24"/>
        </w:rPr>
      </w:pPr>
      <w:r w:rsidRPr="00F803F9">
        <w:t xml:space="preserve">The present investigation was conducted during the </w:t>
      </w:r>
      <w:r w:rsidRPr="00F803F9">
        <w:rPr>
          <w:i/>
        </w:rPr>
        <w:t>kharif</w:t>
      </w:r>
      <w:r w:rsidRPr="00F803F9">
        <w:t xml:space="preserve"> season of 2024 at two locations in Rajasthan, namely Jodhpur (26.2389° N, 73.0243° E) and Udaipur (24.5854° N, 73.7125° E). A total of 51 sesame (</w:t>
      </w:r>
      <w:r w:rsidRPr="00F803F9">
        <w:rPr>
          <w:i/>
        </w:rPr>
        <w:t>Sesamum</w:t>
      </w:r>
      <w:r w:rsidRPr="00F803F9">
        <w:t xml:space="preserve"> </w:t>
      </w:r>
      <w:r w:rsidRPr="00F803F9">
        <w:rPr>
          <w:i/>
        </w:rPr>
        <w:t>indicum</w:t>
      </w:r>
      <w:r w:rsidRPr="00F803F9">
        <w:t xml:space="preserve"> L.) genotypes, including three standard check varieties, viz., RMT-372 (C-1), RT-54 (C-1), and TKG-22 (C-3), were evaluated to assess their genetic variability and association among yield-related traits. The experimental material was grown in a Randomised Block Design (RBD) with three replications at the Agricultural University, Jodhpur, Rajasthan. Standard agronomic and crop management practices recommended for sesame cultivation were adopted uniformly throughout the experimental period to ensure optimal crop growth and development.</w:t>
      </w:r>
    </w:p>
    <w:p w14:paraId="0F66EF4A" w14:textId="77777777" w:rsidR="00913911" w:rsidRPr="00F803F9" w:rsidRDefault="001F676D" w:rsidP="0031367B">
      <w:pPr>
        <w:spacing w:line="360" w:lineRule="auto"/>
        <w:ind w:firstLine="851"/>
        <w:jc w:val="both"/>
        <w:rPr>
          <w:rFonts w:ascii="Times New Roman" w:hAnsi="Times New Roman" w:cs="Times New Roman"/>
          <w:color w:val="000000" w:themeColor="text1"/>
          <w:sz w:val="24"/>
          <w:szCs w:val="24"/>
        </w:rPr>
      </w:pPr>
      <w:r w:rsidRPr="00F803F9">
        <w:t xml:space="preserve">Observations were recorded for twelve quantitative traits, comprising eleven yield and yield-attributing characters along with one quality parameter. Data were collected from five randomly selected and representative plants from each genotype in every replication. The characters studied included days to 50% flowering (DTF), days to maturity (DTM), plant height (PH, cm), number of primary branches per plant (NPBPP), number of clusters per plant (NCPP), cluster length (CL, cm), number of seeds per cluster (NSPC), test seed weight (TSW, g), biological yield per plant (BYPP, g), harvest index (HI, %), seed yield per plant (SYPP, g), and oil content (OC, %). The recorded data were subjected to statistical analysis following standard biometric procedures. Correlation analysis is useful for understanding the association among traits and facilitates indirect selection for yield through its component characters. Genotypic correlations reflect true genetic relationships, whereas phenotypic correlations are influenced by both genetic and environmental factors (Singh &amp; Chaudhary, 1985; Falconer &amp; Mackay, 1996). Path coefficient analysis further partitions these associations into direct and indirect effects, enabling the identification of traits with the greatest contribution to yield improvement (Wright, 1921; Dewey &amp; Lu, 1959). </w:t>
      </w:r>
    </w:p>
    <w:p w14:paraId="7AF6A167" w14:textId="77777777" w:rsidR="00757681" w:rsidRPr="00F803F9" w:rsidRDefault="00CF08AD" w:rsidP="0031367B">
      <w:pPr>
        <w:spacing w:line="360" w:lineRule="auto"/>
        <w:jc w:val="both"/>
        <w:rPr>
          <w:rFonts w:ascii="Times New Roman" w:hAnsi="Times New Roman" w:cs="Times New Roman"/>
          <w:b/>
          <w:bCs/>
          <w:color w:val="000000" w:themeColor="text1"/>
          <w:sz w:val="24"/>
          <w:szCs w:val="24"/>
        </w:rPr>
      </w:pPr>
      <w:r w:rsidRPr="00F803F9">
        <w:rPr>
          <w:b/>
        </w:rPr>
        <w:t>RESULTS AND DISCUSSION</w:t>
      </w:r>
    </w:p>
    <w:p w14:paraId="629ADD1C" w14:textId="77777777" w:rsidR="000C2CA2" w:rsidRPr="00F803F9" w:rsidRDefault="000C2CA2" w:rsidP="0031367B">
      <w:pPr>
        <w:spacing w:line="360" w:lineRule="auto"/>
        <w:ind w:firstLine="720"/>
        <w:jc w:val="both"/>
        <w:rPr>
          <w:rFonts w:ascii="Times New Roman" w:hAnsi="Times New Roman" w:cs="Times New Roman"/>
          <w:color w:val="000000" w:themeColor="text1"/>
          <w:sz w:val="24"/>
          <w:szCs w:val="24"/>
        </w:rPr>
      </w:pPr>
      <w:r w:rsidRPr="00F803F9">
        <w:rPr>
          <w:rFonts w:ascii="Times New Roman" w:hAnsi="Times New Roman" w:cs="Times New Roman"/>
          <w:color w:val="000000" w:themeColor="text1"/>
          <w:sz w:val="24"/>
          <w:szCs w:val="24"/>
        </w:rPr>
        <w:t>Correlation analysis revealed the nature and magnitude of associations among the studied traits and their relationship with seed yield per plan</w:t>
      </w:r>
      <w:r w:rsidR="00153525" w:rsidRPr="00F803F9">
        <w:rPr>
          <w:rFonts w:ascii="Times New Roman" w:hAnsi="Times New Roman" w:cs="Times New Roman"/>
          <w:color w:val="000000" w:themeColor="text1"/>
          <w:sz w:val="24"/>
          <w:szCs w:val="24"/>
        </w:rPr>
        <w:t>t</w:t>
      </w:r>
      <w:r w:rsidRPr="00F803F9">
        <w:rPr>
          <w:rFonts w:ascii="Times New Roman" w:hAnsi="Times New Roman" w:cs="Times New Roman"/>
          <w:color w:val="000000" w:themeColor="text1"/>
          <w:sz w:val="24"/>
          <w:szCs w:val="24"/>
        </w:rPr>
        <w:t xml:space="preserve">. The results indicated considerable variation in the degree </w:t>
      </w:r>
      <w:r w:rsidRPr="00F803F9">
        <w:rPr>
          <w:rFonts w:ascii="Times New Roman" w:hAnsi="Times New Roman" w:cs="Times New Roman"/>
          <w:color w:val="000000" w:themeColor="text1"/>
          <w:sz w:val="24"/>
          <w:szCs w:val="24"/>
        </w:rPr>
        <w:lastRenderedPageBreak/>
        <w:t>of association among different characters, suggesting the existence of complex interrelationships governing seed yield in sesame</w:t>
      </w:r>
      <w:r w:rsidR="00EB478F" w:rsidRPr="00F803F9">
        <w:rPr>
          <w:rFonts w:ascii="Times New Roman" w:hAnsi="Times New Roman" w:cs="Times New Roman"/>
          <w:color w:val="000000" w:themeColor="text1"/>
          <w:sz w:val="24"/>
          <w:szCs w:val="24"/>
        </w:rPr>
        <w:t xml:space="preserve"> (Table 1)</w:t>
      </w:r>
      <w:r w:rsidRPr="00F803F9">
        <w:rPr>
          <w:rFonts w:ascii="Times New Roman" w:hAnsi="Times New Roman" w:cs="Times New Roman"/>
          <w:color w:val="000000" w:themeColor="text1"/>
          <w:sz w:val="24"/>
          <w:szCs w:val="24"/>
        </w:rPr>
        <w:t>.</w:t>
      </w:r>
    </w:p>
    <w:p w14:paraId="6A215C34" w14:textId="77777777" w:rsidR="00F95424" w:rsidRPr="00F803F9" w:rsidRDefault="00F95424" w:rsidP="0031367B">
      <w:pPr>
        <w:spacing w:line="360" w:lineRule="auto"/>
        <w:ind w:firstLine="720"/>
        <w:jc w:val="both"/>
        <w:rPr>
          <w:rFonts w:ascii="Times New Roman" w:hAnsi="Times New Roman" w:cs="Times New Roman"/>
          <w:color w:val="000000" w:themeColor="text1"/>
          <w:sz w:val="24"/>
          <w:szCs w:val="24"/>
        </w:rPr>
      </w:pPr>
      <w:r w:rsidRPr="00F803F9">
        <w:t xml:space="preserve">Days to 50% flowering exhibited significant negative correlations with number of clusters per plant (r = −0.4609), cluster length (r = −0.3771), and oil content (r = −0.3679), suggesting that early flowering genotypes are likely to produce more clusters and higher oil content. Likewise, days to maturity was negatively associated with cluster length (r = −0.1613), oil content (r = −0.1990), and biological yield per plant (r = −0.1669), indicating that prolonged crop duration may not necessarily contribute to increased productivity under the studied environments. Plant height exhibited significant positive correlations with number of primary branches per plant (r = 0.4726), number of clusters per plant (r = 0.5734), cluster length (r = 0.3631), test seed weight (r = 0.2929), biological yield per plant (r = 0.2701), and harvest index (r = 0.3215). These findings suggest that taller plants tend to possess a greater capacity for biomass production and reproductive development. Similar positive associations between plant height and yield-related traits have been reported by </w:t>
      </w:r>
      <w:proofErr w:type="spellStart"/>
      <w:r w:rsidRPr="00F803F9">
        <w:t>Gedifew</w:t>
      </w:r>
      <w:proofErr w:type="spellEnd"/>
      <w:r w:rsidRPr="00F803F9">
        <w:t xml:space="preserve"> </w:t>
      </w:r>
      <w:r w:rsidRPr="00F803F9">
        <w:rPr>
          <w:i/>
        </w:rPr>
        <w:t>et</w:t>
      </w:r>
      <w:r w:rsidRPr="00F803F9">
        <w:t xml:space="preserve"> </w:t>
      </w:r>
      <w:r w:rsidRPr="00F803F9">
        <w:rPr>
          <w:i/>
        </w:rPr>
        <w:t>al</w:t>
      </w:r>
      <w:r w:rsidRPr="00F803F9">
        <w:t xml:space="preserve">. (2024) and Bekele </w:t>
      </w:r>
      <w:r w:rsidRPr="00F803F9">
        <w:rPr>
          <w:i/>
        </w:rPr>
        <w:t>et</w:t>
      </w:r>
      <w:r w:rsidRPr="00F803F9">
        <w:t xml:space="preserve"> </w:t>
      </w:r>
      <w:r w:rsidRPr="00F803F9">
        <w:rPr>
          <w:i/>
        </w:rPr>
        <w:t>al</w:t>
      </w:r>
      <w:r w:rsidRPr="00F803F9">
        <w:t xml:space="preserve">. (2025). The number of clusters per plant showed strong positive correlations with plant height (r = 0.5734), number of primary branches per plant (r = 0.5105), cluster length (r = 0.3519), biological yield per plant (r = 0.3092), and harvest index (r = 0.3135). Since the number of clusters directly contributes to the formation of capsules and seed production, this trait appears to be an important selection criterion for yield improvement. Similar observations were reported by </w:t>
      </w:r>
      <w:proofErr w:type="spellStart"/>
      <w:r w:rsidRPr="00F803F9">
        <w:t>Goudappagoudra</w:t>
      </w:r>
      <w:proofErr w:type="spellEnd"/>
      <w:r w:rsidRPr="00F803F9">
        <w:t xml:space="preserve"> </w:t>
      </w:r>
      <w:r w:rsidRPr="00F803F9">
        <w:rPr>
          <w:i/>
        </w:rPr>
        <w:t>et</w:t>
      </w:r>
      <w:r w:rsidRPr="00F803F9">
        <w:t xml:space="preserve"> </w:t>
      </w:r>
      <w:r w:rsidRPr="00F803F9">
        <w:rPr>
          <w:i/>
        </w:rPr>
        <w:t>al</w:t>
      </w:r>
      <w:r w:rsidRPr="00F803F9">
        <w:t xml:space="preserve">. (2011) and Kumari </w:t>
      </w:r>
      <w:r w:rsidRPr="00F803F9">
        <w:rPr>
          <w:i/>
        </w:rPr>
        <w:t>et</w:t>
      </w:r>
      <w:r w:rsidRPr="00F803F9">
        <w:t xml:space="preserve"> </w:t>
      </w:r>
      <w:r w:rsidRPr="00F803F9">
        <w:rPr>
          <w:i/>
        </w:rPr>
        <w:t>al</w:t>
      </w:r>
      <w:r w:rsidRPr="00F803F9">
        <w:t>. (2023).</w:t>
      </w:r>
    </w:p>
    <w:p w14:paraId="1CDB1959" w14:textId="77777777" w:rsidR="000C2CA2" w:rsidRPr="00F803F9" w:rsidRDefault="000C2CA2" w:rsidP="0031367B">
      <w:pPr>
        <w:spacing w:line="360" w:lineRule="auto"/>
        <w:ind w:firstLine="720"/>
        <w:jc w:val="both"/>
        <w:rPr>
          <w:rFonts w:ascii="Times New Roman" w:hAnsi="Times New Roman" w:cs="Times New Roman"/>
          <w:color w:val="000000" w:themeColor="text1"/>
          <w:sz w:val="24"/>
          <w:szCs w:val="24"/>
        </w:rPr>
      </w:pPr>
      <w:r w:rsidRPr="00F803F9">
        <w:t xml:space="preserve">Test seed weight displayed significant positive associations with plant height (r = 0.2929), number of clusters per plant (r = 0.2963), number of seeds per cluster (r = 0.2988), biological yield (r = 0.2177), and harvest index (r = 0.2496). These results suggest that genotypes with heavier seeds generally possess superior yield potential. Similar results were documented by Subramanian and Subramanian (1994) and Takele (2021). Seed yield per plant exhibited significant positive associations with harvest index (r = 0.7909), biological yield per plant (r = 0.5714), number of clusters per plant (r = 0.4766), plant height (r = 0.4513), test seed weight (r = 0.3513), and number of seeds per cluster (r = 0.3157). These results indicate that improvement in these traits is likely to contribute positively towards enhanced seed yield. The strongest positive association of seed yield with harvest index suggests that efficient partitioning of assimilates towards economic yield is a major determinant of productivity in sesame. Similar findings have been reported by Kumari </w:t>
      </w:r>
      <w:r w:rsidRPr="00F803F9">
        <w:rPr>
          <w:i/>
        </w:rPr>
        <w:t>et</w:t>
      </w:r>
      <w:r w:rsidRPr="00F803F9">
        <w:t xml:space="preserve"> </w:t>
      </w:r>
      <w:r w:rsidRPr="00F803F9">
        <w:rPr>
          <w:i/>
        </w:rPr>
        <w:t>al</w:t>
      </w:r>
      <w:r w:rsidRPr="00F803F9">
        <w:t xml:space="preserve">. (2023), Patel </w:t>
      </w:r>
      <w:r w:rsidRPr="00F803F9">
        <w:rPr>
          <w:i/>
        </w:rPr>
        <w:t>et</w:t>
      </w:r>
      <w:r w:rsidRPr="00F803F9">
        <w:t xml:space="preserve"> </w:t>
      </w:r>
      <w:r w:rsidRPr="00F803F9">
        <w:rPr>
          <w:i/>
        </w:rPr>
        <w:t>al</w:t>
      </w:r>
      <w:r w:rsidRPr="00F803F9">
        <w:t xml:space="preserve">. (2024), and Takele (2021), who observed significant positive correlations of seed yield with harvest index, biological yield, and yield-contributing traits. Oil content showed a significant positive correlation with cluster length (r = 0.5415), biological yield per plant (r = 0.2629), plant height (r = 0.1959), and number of clusters per plant (r = 0.1674), whereas it was negatively associated with days to 50% flowering (r = −0.3679) and days to maturity (r = −0.1990). This indicates that early flowering and early maturing genotypes tend to possess higher oil content, a trend also reported in several sesame improvement studies. Overall, the results suggest that harvest index, biological yield per plant, number of clusters per plant, plant height, test seed weight, and number of seeds per cluster are the </w:t>
      </w:r>
      <w:r w:rsidRPr="00F803F9">
        <w:lastRenderedPageBreak/>
        <w:t>most important traits associated with seed yield. Therefore, these characters may be considered as effective selection criteria in sesame breeding programmes aimed at improving yield potential.</w:t>
      </w:r>
    </w:p>
    <w:p w14:paraId="1C6838BC" w14:textId="77777777" w:rsidR="00153525" w:rsidRPr="00F803F9" w:rsidRDefault="00153525" w:rsidP="0031367B">
      <w:pPr>
        <w:spacing w:line="360" w:lineRule="auto"/>
        <w:ind w:firstLine="720"/>
        <w:jc w:val="both"/>
        <w:rPr>
          <w:rFonts w:ascii="Times New Roman" w:hAnsi="Times New Roman" w:cs="Times New Roman"/>
          <w:color w:val="FF0000"/>
          <w:sz w:val="24"/>
          <w:szCs w:val="24"/>
        </w:rPr>
      </w:pPr>
      <w:r w:rsidRPr="00F803F9">
        <w:t>Path coefficient analysis was carried out to partition the genotypic correlation coefficients into direct and indirect effects to identify traits contributing most effectively towards seed yield per plant. The results revealed considerable variation in the magnitude and direction of direct and indirect effects among the studied characters, indicating the complex nature of yield determination in sesame (Table 2 and Fig. 1).</w:t>
      </w:r>
    </w:p>
    <w:p w14:paraId="6555501F" w14:textId="77777777" w:rsidR="00153525" w:rsidRPr="00F803F9" w:rsidRDefault="00153525" w:rsidP="0031367B">
      <w:pPr>
        <w:spacing w:line="360" w:lineRule="auto"/>
        <w:ind w:firstLine="720"/>
        <w:jc w:val="both"/>
        <w:rPr>
          <w:rFonts w:ascii="Times New Roman" w:hAnsi="Times New Roman" w:cs="Times New Roman"/>
          <w:color w:val="000000" w:themeColor="text1"/>
          <w:sz w:val="24"/>
          <w:szCs w:val="24"/>
        </w:rPr>
      </w:pPr>
      <w:r w:rsidRPr="00F803F9">
        <w:t xml:space="preserve">Days to 50% flowering showed a negative direct effect (-0.0592) and a negative overall correlation with seed yield (r = -0.1000), indicating that early flowering genotypes tend to be more productive under the studied environments. Similar relationships between earliness and yield have been reported in several sesame improvement studies conducted under moisture-limited conditions. A noteworthy observation was the substantial indirect effect of biological yield through harvest index (0.5686) and the very high indirect effect of harvest index through biological yield (1.7474), highlighting the strong interdependence of these two traits in determining seed yield. This finding further emphasises that simultaneous improvement of biomass production and partitioning efficiency could substantially enhance sesame productivity. Plant height showed a positive direct effect (0.0121) on seed yield and exerted substantial positive indirect effects through biological yield per plant (0.2349) and harvest index (0.2640). Consequently, its overall association with seed yield was positive (r = 0.4513). This suggests that taller plants may enhance yield indirectly through improved biomass accumulation and efficient assimilate partitioning. Similar results were reported by </w:t>
      </w:r>
      <w:proofErr w:type="spellStart"/>
      <w:r w:rsidRPr="00F803F9">
        <w:t>Gedifew</w:t>
      </w:r>
      <w:proofErr w:type="spellEnd"/>
      <w:r w:rsidRPr="00F803F9">
        <w:t xml:space="preserve"> </w:t>
      </w:r>
      <w:r w:rsidRPr="00F803F9">
        <w:rPr>
          <w:i/>
        </w:rPr>
        <w:t>et</w:t>
      </w:r>
      <w:r w:rsidRPr="00F803F9">
        <w:t xml:space="preserve"> </w:t>
      </w:r>
      <w:r w:rsidRPr="00F803F9">
        <w:rPr>
          <w:i/>
        </w:rPr>
        <w:t>al</w:t>
      </w:r>
      <w:r w:rsidRPr="00F803F9">
        <w:t xml:space="preserve">. (2024) and Bekele </w:t>
      </w:r>
      <w:r w:rsidRPr="00F803F9">
        <w:rPr>
          <w:i/>
        </w:rPr>
        <w:t>et</w:t>
      </w:r>
      <w:r w:rsidRPr="00F803F9">
        <w:t xml:space="preserve"> </w:t>
      </w:r>
      <w:r w:rsidRPr="00F803F9">
        <w:rPr>
          <w:i/>
        </w:rPr>
        <w:t>al</w:t>
      </w:r>
      <w:r w:rsidRPr="00F803F9">
        <w:t>. (2025).</w:t>
      </w:r>
    </w:p>
    <w:p w14:paraId="14EFAE93" w14:textId="77777777" w:rsidR="00153525" w:rsidRPr="00F803F9" w:rsidRDefault="00153525" w:rsidP="0031367B">
      <w:pPr>
        <w:spacing w:line="360" w:lineRule="auto"/>
        <w:ind w:firstLine="720"/>
        <w:jc w:val="both"/>
        <w:rPr>
          <w:rFonts w:ascii="Times New Roman" w:hAnsi="Times New Roman" w:cs="Times New Roman"/>
          <w:color w:val="000000" w:themeColor="text1"/>
          <w:sz w:val="24"/>
          <w:szCs w:val="24"/>
        </w:rPr>
      </w:pPr>
      <w:r w:rsidRPr="00F803F9">
        <w:t xml:space="preserve">The number of clusters per plant recorded a moderate positive direct effect (0.1051) and also contributed positively through indirect effects via plant height (0.0739), number of primary branches per plant (0.0551), biological yield per plant (0.1199), and harvest index (0.0479). Its significant positive correlation with seed yield (r = 0.4766) further confirms its importance as a key yield-contributing character. Similar findings were reported by Hika </w:t>
      </w:r>
      <w:r w:rsidRPr="00F803F9">
        <w:rPr>
          <w:i/>
        </w:rPr>
        <w:t>et</w:t>
      </w:r>
      <w:r w:rsidRPr="00F803F9">
        <w:t xml:space="preserve"> </w:t>
      </w:r>
      <w:r w:rsidRPr="00F803F9">
        <w:rPr>
          <w:i/>
        </w:rPr>
        <w:t>al</w:t>
      </w:r>
      <w:r w:rsidRPr="00F803F9">
        <w:t>. (2014) and Takele (2021), who emphasised the importance of capsule- and cluster-related traits in sesame yield improvement. Cluster length (-0.0266), oil content (-0.0223), number of seeds per cluster (NSPC) (-0.0076), and number of primary branches per plant (NPBPP) (-0.0872) exhibited negative direct effects on seed yield. However, some of these traits maintained positive correlations with yield due to favourable indirect effects through harvest index and biological yield. This indicates that their apparent contribution to yield is largely mediated through other associated characters rather than through direct influence.</w:t>
      </w:r>
    </w:p>
    <w:p w14:paraId="4A08F3CD" w14:textId="77777777" w:rsidR="00153525" w:rsidRPr="00F803F9" w:rsidRDefault="00153525" w:rsidP="0031367B">
      <w:pPr>
        <w:spacing w:line="360" w:lineRule="auto"/>
        <w:ind w:firstLine="720"/>
        <w:jc w:val="both"/>
        <w:rPr>
          <w:rFonts w:ascii="Times New Roman" w:hAnsi="Times New Roman" w:cs="Times New Roman"/>
          <w:color w:val="000000" w:themeColor="text1"/>
          <w:sz w:val="24"/>
          <w:szCs w:val="24"/>
        </w:rPr>
      </w:pPr>
      <w:r w:rsidRPr="00F803F9">
        <w:t xml:space="preserve">Test seed weight exhibited a positive direct effect (0.0335) and contributed indirectly through biological yield (0.1548) and harvest index (0.2495), resulting in a favourable correlation with seed yield (r = 0.3513). The importance of seed weight as a yield component has also been documented by Subramanian and Subramanian </w:t>
      </w:r>
      <w:r w:rsidRPr="00F803F9">
        <w:lastRenderedPageBreak/>
        <w:t xml:space="preserve">(1994) and Kumari </w:t>
      </w:r>
      <w:r w:rsidRPr="00F803F9">
        <w:rPr>
          <w:i/>
        </w:rPr>
        <w:t>et</w:t>
      </w:r>
      <w:r w:rsidRPr="00F803F9">
        <w:t xml:space="preserve"> </w:t>
      </w:r>
      <w:r w:rsidRPr="00F803F9">
        <w:rPr>
          <w:i/>
        </w:rPr>
        <w:t>al</w:t>
      </w:r>
      <w:r w:rsidRPr="00F803F9">
        <w:t xml:space="preserve">. (2023). Among all the characters studied, harvest index (HI) exhibited the highest positive direct effect on seed yield per plant (0.5248), followed by biological yield per plant (BYPP) (0.1708), days to maturity (DTM) (0.1175), number of clusters per plant (NCPP) (0.1051), test seed weight (TSW) (0.0335), and plant height (PH) (0.0121). The strong positive direct effect of harvest index coupled with its high positive correlation with seed yield (r = 0.7909) indicates that this trait is one of the most reliable selection criteria for improving seed yield in sesame. Similarly, the substantial direct effect of biological yield per plant, together with its significant positive correlation with seed yield (r = 0.5714), suggests that increased biomass production contributes directly to higher seed productivity. The present findings are in close agreement with those reported by Takele (2021), Kumari </w:t>
      </w:r>
      <w:r w:rsidRPr="00F803F9">
        <w:rPr>
          <w:i/>
        </w:rPr>
        <w:t>et</w:t>
      </w:r>
      <w:r w:rsidRPr="00F803F9">
        <w:t xml:space="preserve"> </w:t>
      </w:r>
      <w:r w:rsidRPr="00F803F9">
        <w:rPr>
          <w:i/>
        </w:rPr>
        <w:t>al</w:t>
      </w:r>
      <w:r w:rsidRPr="00F803F9">
        <w:t xml:space="preserve">. (2023), and Patel </w:t>
      </w:r>
      <w:r w:rsidRPr="00F803F9">
        <w:rPr>
          <w:i/>
        </w:rPr>
        <w:t>et</w:t>
      </w:r>
      <w:r w:rsidRPr="00F803F9">
        <w:t xml:space="preserve"> </w:t>
      </w:r>
      <w:r w:rsidRPr="00F803F9">
        <w:rPr>
          <w:i/>
        </w:rPr>
        <w:t>al</w:t>
      </w:r>
      <w:r w:rsidRPr="00F803F9">
        <w:t xml:space="preserve">. (2024), who observed that harvest index and biological yield exerted the greatest positive direct effects on seed yield and should therefore be emphasised in selection programmes. Similar observations were also reported by Subramanian and Subramanian (1994) and </w:t>
      </w:r>
      <w:proofErr w:type="spellStart"/>
      <w:r w:rsidRPr="00F803F9">
        <w:t>Goudappagoudra</w:t>
      </w:r>
      <w:proofErr w:type="spellEnd"/>
      <w:r w:rsidRPr="00F803F9">
        <w:t xml:space="preserve"> </w:t>
      </w:r>
      <w:r w:rsidRPr="00F803F9">
        <w:rPr>
          <w:i/>
        </w:rPr>
        <w:t>et</w:t>
      </w:r>
      <w:r w:rsidRPr="00F803F9">
        <w:t xml:space="preserve"> </w:t>
      </w:r>
      <w:r w:rsidRPr="00F803F9">
        <w:rPr>
          <w:i/>
        </w:rPr>
        <w:t>al</w:t>
      </w:r>
      <w:r w:rsidRPr="00F803F9">
        <w:t>. (2011), who identified biological yield, harvest index, and yield component traits as major determinants of seed yield in sesame.</w:t>
      </w:r>
    </w:p>
    <w:p w14:paraId="547DD45E" w14:textId="77777777" w:rsidR="008D13E2" w:rsidRPr="00F803F9" w:rsidRDefault="00153525" w:rsidP="0031367B">
      <w:pPr>
        <w:spacing w:line="360" w:lineRule="auto"/>
        <w:ind w:firstLine="720"/>
        <w:jc w:val="both"/>
        <w:rPr>
          <w:rFonts w:ascii="Times New Roman" w:hAnsi="Times New Roman" w:cs="Times New Roman"/>
          <w:color w:val="000000" w:themeColor="text1"/>
          <w:sz w:val="24"/>
          <w:szCs w:val="24"/>
        </w:rPr>
      </w:pPr>
      <w:r w:rsidRPr="00F803F9">
        <w:rPr>
          <w:rFonts w:ascii="Times New Roman" w:hAnsi="Times New Roman" w:cs="Times New Roman"/>
          <w:color w:val="000000" w:themeColor="text1"/>
          <w:sz w:val="24"/>
          <w:szCs w:val="24"/>
        </w:rPr>
        <w:t>Overall, the path coefficient analysis demonstrated that harvest index, biological yield per plant, number of clusters per plant, test seed weight, and plant height are the most important traits contributing directly or indirectly to seed yield. Therefore, these characters should be given priority in breeding programmes aimed at improving seed yield in sesame.</w:t>
      </w:r>
    </w:p>
    <w:p w14:paraId="7A48EC44" w14:textId="77777777" w:rsidR="009C0C9E" w:rsidRPr="00F803F9" w:rsidRDefault="009C0C9E" w:rsidP="0031367B">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3F9">
        <w:rPr>
          <w:b/>
        </w:rPr>
        <w:t>Conclusions</w:t>
      </w:r>
    </w:p>
    <w:p w14:paraId="25665AEB" w14:textId="77777777" w:rsidR="00F803F9" w:rsidRPr="00F803F9" w:rsidRDefault="00F803F9" w:rsidP="0031367B">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3F9">
        <w:t>The present investigation indicated that seed yield in sesame is influenced by several interrelated yield-attributing traits. Correlation analysis showed positive associations of seed yield per plant with harvest index, biological yield per plant, number of clusters per plant, plant height, test seed weight, and number of seeds per cluster, suggesting that these traits may support yield improvement when used in selection programmes. Days to 50% flowering and days to maturity showed negative associations with some yield-related traits, indicating that early-flowering and early-maturing genotypes may have potential advantages under the studied growing conditions. Path coefficient analysis further clarified the relative contribution of individual traits by separating direct and indirect effects. Harvest index showed the highest positive direct effect on seed yield, followed by biological yield per plant, days to maturity, number of clusters per plant, test seed weight, and plant height. Overall, selection based on harvest index, biological yield per plant, number of clusters per plant, plant height, and test seed weight may assist in developing sesame genotypes with improved seed yield potential.</w:t>
      </w:r>
      <w:r w:rsidRPr="00F803F9">
        <w:rPr>
          <w:rFonts w:ascii="Times New Roman" w:eastAsia="Times New Roman" w:hAnsi="Times New Roman" w:cs="Times New Roman"/>
          <w:b/>
          <w:bCs/>
          <w:sz w:val="27"/>
          <w:szCs w:val="27"/>
          <w:lang w:eastAsia="en-GB"/>
        </w:rPr>
        <w:t xml:space="preserve"> </w:t>
      </w:r>
    </w:p>
    <w:p w14:paraId="51AC4CDB" w14:textId="2769EAED" w:rsidR="009C0C9E" w:rsidRPr="00F803F9" w:rsidRDefault="009C0C9E" w:rsidP="0031367B">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3F9">
        <w:rPr>
          <w:rFonts w:ascii="Times New Roman" w:eastAsia="Times New Roman" w:hAnsi="Times New Roman" w:cs="Times New Roman"/>
          <w:b/>
          <w:bCs/>
          <w:sz w:val="27"/>
          <w:szCs w:val="27"/>
          <w:lang w:eastAsia="en-GB"/>
        </w:rPr>
        <w:t>Limitations</w:t>
      </w:r>
    </w:p>
    <w:p w14:paraId="4F5F5742" w14:textId="77777777" w:rsidR="00F803F9" w:rsidRPr="00F803F9" w:rsidRDefault="00F803F9" w:rsidP="00F803F9">
      <w:pPr>
        <w:pStyle w:val="pdq2pgselectionanchorcontainer"/>
      </w:pPr>
      <w:r w:rsidRPr="00F803F9">
        <w:t xml:space="preserve">The study was limited to 51 sesame genotypes evaluated during a single </w:t>
      </w:r>
      <w:r w:rsidRPr="00F803F9">
        <w:rPr>
          <w:rStyle w:val="Emphasis"/>
        </w:rPr>
        <w:t>kharif</w:t>
      </w:r>
      <w:r w:rsidRPr="00F803F9">
        <w:t xml:space="preserve"> season. Therefore, the observed trait associations may be influenced by the prevailing environmental conditions. Although yield, yield-attributing, and oil content traits were assessed, molecular, physiological, multi-season, and broader multi-location validation data were not included. The findings should be confirmed across additional seasons, locations, and larger germplasm sets before the identified traits are used as stable selection criteria in breeding </w:t>
      </w:r>
      <w:proofErr w:type="spellStart"/>
      <w:r w:rsidRPr="00F803F9">
        <w:t>programmes</w:t>
      </w:r>
      <w:proofErr w:type="spellEnd"/>
      <w:r w:rsidRPr="00F803F9">
        <w:t>.</w:t>
      </w:r>
    </w:p>
    <w:p w14:paraId="33853346" w14:textId="77777777" w:rsidR="00F803F9" w:rsidRPr="00F803F9" w:rsidRDefault="00F803F9" w:rsidP="00F803F9">
      <w:pPr>
        <w:spacing w:line="278" w:lineRule="auto"/>
        <w:rPr>
          <w:rFonts w:ascii="Calibri" w:eastAsia="Calibri" w:hAnsi="Calibri" w:cs="Times New Roman"/>
          <w:b/>
          <w:bCs/>
          <w:sz w:val="24"/>
          <w:szCs w:val="24"/>
        </w:rPr>
      </w:pPr>
      <w:r w:rsidRPr="00F803F9">
        <w:rPr>
          <w:rFonts w:ascii="Calibri" w:eastAsia="Calibri" w:hAnsi="Calibri" w:cs="Times New Roman"/>
          <w:b/>
          <w:bCs/>
          <w:sz w:val="24"/>
          <w:szCs w:val="24"/>
        </w:rPr>
        <w:t>Declaration of AI Use</w:t>
      </w:r>
    </w:p>
    <w:p w14:paraId="180CDF05" w14:textId="77777777" w:rsidR="00F803F9" w:rsidRPr="00F803F9" w:rsidRDefault="00F803F9" w:rsidP="00F803F9">
      <w:pPr>
        <w:spacing w:line="278" w:lineRule="auto"/>
        <w:jc w:val="both"/>
        <w:rPr>
          <w:rFonts w:ascii="Calibri" w:eastAsia="Calibri" w:hAnsi="Calibri" w:cs="Times New Roman"/>
          <w:sz w:val="24"/>
          <w:szCs w:val="24"/>
        </w:rPr>
      </w:pPr>
      <w:r w:rsidRPr="00F803F9">
        <w:rPr>
          <w:rFonts w:ascii="Calibri" w:eastAsia="Calibri" w:hAnsi="Calibri" w:cs="Times New Roman"/>
          <w:sz w:val="24"/>
          <w:szCs w:val="24"/>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9BE0E22" w14:textId="77777777" w:rsidR="009C0C9E" w:rsidRPr="00F803F9" w:rsidRDefault="009C0C9E" w:rsidP="0031367B">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B310712" w14:textId="77777777" w:rsidR="00E83F4C" w:rsidRPr="00F803F9" w:rsidRDefault="00E83F4C" w:rsidP="0031367B">
      <w:pPr>
        <w:spacing w:line="360" w:lineRule="auto"/>
        <w:jc w:val="both"/>
        <w:rPr>
          <w:rFonts w:ascii="Times New Roman" w:hAnsi="Times New Roman" w:cs="Times New Roman"/>
          <w:b/>
          <w:bCs/>
          <w:color w:val="000000" w:themeColor="text1"/>
          <w:sz w:val="24"/>
          <w:szCs w:val="24"/>
        </w:rPr>
      </w:pPr>
      <w:r w:rsidRPr="00F803F9">
        <w:rPr>
          <w:rFonts w:ascii="Times New Roman" w:hAnsi="Times New Roman" w:cs="Times New Roman"/>
          <w:b/>
          <w:bCs/>
          <w:color w:val="000000" w:themeColor="text1"/>
          <w:sz w:val="24"/>
          <w:szCs w:val="24"/>
        </w:rPr>
        <w:t>REFERENCES</w:t>
      </w:r>
    </w:p>
    <w:p w14:paraId="42E8F36A"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Bekele, B., </w:t>
      </w:r>
      <w:proofErr w:type="spellStart"/>
      <w:r w:rsidRPr="00F803F9">
        <w:t>Andargie</w:t>
      </w:r>
      <w:proofErr w:type="spellEnd"/>
      <w:r w:rsidRPr="00F803F9">
        <w:t>, M., Mekonnen, T., Beyene, D., &amp; Tesfaye, K. (2025). Characters associations and principal component analysis for quantitative traits of sesame (</w:t>
      </w:r>
      <w:r w:rsidRPr="00F803F9">
        <w:rPr>
          <w:i/>
        </w:rPr>
        <w:t>Sesamum indicum</w:t>
      </w:r>
      <w:r w:rsidRPr="00F803F9">
        <w:t xml:space="preserve"> L.) genotypes from Ethiopia. </w:t>
      </w:r>
      <w:r w:rsidRPr="00F803F9">
        <w:rPr>
          <w:i/>
        </w:rPr>
        <w:t>Ecological Genetics and Genomics, 35</w:t>
      </w:r>
      <w:r w:rsidRPr="00F803F9">
        <w:t>, Article 100357. https://doi.org/10.1016/j.egg.2025.100357</w:t>
      </w:r>
    </w:p>
    <w:p w14:paraId="7DCEF3FC" w14:textId="77777777" w:rsidR="00B07C26" w:rsidRPr="00F803F9" w:rsidRDefault="00000000">
      <w:pPr>
        <w:spacing w:line="360" w:lineRule="auto"/>
        <w:ind w:left="851" w:hanging="851"/>
        <w:jc w:val="both"/>
        <w:rPr>
          <w:rFonts w:ascii="Times New Roman" w:hAnsi="Times New Roman" w:cs="Times New Roman"/>
          <w:color w:val="000000" w:themeColor="text1"/>
          <w:sz w:val="24"/>
          <w:szCs w:val="24"/>
        </w:rPr>
      </w:pPr>
      <w:proofErr w:type="spellStart"/>
      <w:r w:rsidRPr="00F803F9">
        <w:t>Dadarwal</w:t>
      </w:r>
      <w:proofErr w:type="spellEnd"/>
      <w:r w:rsidRPr="00F803F9">
        <w:t xml:space="preserve">, P., &amp; Yadav, G. L. (2025). Improving yield and returns in sesame through strategic agronomic interventions in weed and nutrient management. </w:t>
      </w:r>
      <w:r w:rsidRPr="00F803F9">
        <w:rPr>
          <w:i/>
        </w:rPr>
        <w:t>Asian Journal of Current Research, 10</w:t>
      </w:r>
      <w:r w:rsidRPr="00F803F9">
        <w:t>(2), 226-235. https://doi.org/10.56557/ajocr/2025/v10i29347</w:t>
      </w:r>
    </w:p>
    <w:p w14:paraId="0772F985"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Dewey, D. R., &amp; Lu, K. H. (1959). A correlation and path-coefficient analysis of components of crested wheatgrass seed production. </w:t>
      </w:r>
      <w:r w:rsidRPr="00F803F9">
        <w:rPr>
          <w:i/>
        </w:rPr>
        <w:t>Agronomy Journal, 51</w:t>
      </w:r>
      <w:r w:rsidRPr="00F803F9">
        <w:t>(9), 515-518. https://doi.org/10.2134/agronj1959.00021962005100090002x</w:t>
      </w:r>
    </w:p>
    <w:p w14:paraId="60DB173D"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Falconer, D. S., &amp; Mackay, T. F. C. (1996). </w:t>
      </w:r>
      <w:r w:rsidRPr="00F803F9">
        <w:rPr>
          <w:i/>
        </w:rPr>
        <w:t>Introduction to quantitative genetics</w:t>
      </w:r>
      <w:r w:rsidRPr="00F803F9">
        <w:t xml:space="preserve"> (4th ed.). Addison Wesley Longman.</w:t>
      </w:r>
    </w:p>
    <w:p w14:paraId="50177AA4"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proofErr w:type="spellStart"/>
      <w:r w:rsidRPr="00F803F9">
        <w:t>Gedifew</w:t>
      </w:r>
      <w:proofErr w:type="spellEnd"/>
      <w:r w:rsidRPr="00F803F9">
        <w:t xml:space="preserve">, S., </w:t>
      </w:r>
      <w:proofErr w:type="spellStart"/>
      <w:r w:rsidRPr="00F803F9">
        <w:t>Demelash</w:t>
      </w:r>
      <w:proofErr w:type="spellEnd"/>
      <w:r w:rsidRPr="00F803F9">
        <w:t>, H., Abate, A., &amp; Abebe, T. D. (2024). Association of quantitative traits and genetic diversity in Ethiopian sesame (</w:t>
      </w:r>
      <w:r w:rsidRPr="00F803F9">
        <w:rPr>
          <w:i/>
        </w:rPr>
        <w:t>Sesamum indicum</w:t>
      </w:r>
      <w:r w:rsidRPr="00F803F9">
        <w:t xml:space="preserve"> L.) genotypes. </w:t>
      </w:r>
      <w:proofErr w:type="spellStart"/>
      <w:r w:rsidRPr="00F803F9">
        <w:rPr>
          <w:i/>
        </w:rPr>
        <w:t>Heliyon</w:t>
      </w:r>
      <w:proofErr w:type="spellEnd"/>
      <w:r w:rsidRPr="00F803F9">
        <w:rPr>
          <w:i/>
        </w:rPr>
        <w:t>, 10</w:t>
      </w:r>
      <w:r w:rsidRPr="00F803F9">
        <w:t>(4), Article e26676. https://doi.org/10.1016/j.heliyon.2024.e26676</w:t>
      </w:r>
    </w:p>
    <w:p w14:paraId="2FC8CC9B"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Goudappagoudra, R., </w:t>
      </w:r>
      <w:proofErr w:type="spellStart"/>
      <w:r w:rsidRPr="00F803F9">
        <w:t>Lokesha</w:t>
      </w:r>
      <w:proofErr w:type="spellEnd"/>
      <w:r w:rsidRPr="00F803F9">
        <w:t>, R., &amp; Ranganatha, A. R. G. (2011). Trait association and path coefficient analysis for yield and yield attributing traits in sesame (</w:t>
      </w:r>
      <w:r w:rsidRPr="00F803F9">
        <w:rPr>
          <w:i/>
        </w:rPr>
        <w:t>Sesamum indicum</w:t>
      </w:r>
      <w:r w:rsidRPr="00F803F9">
        <w:t xml:space="preserve"> L.). </w:t>
      </w:r>
      <w:r w:rsidRPr="00F803F9">
        <w:rPr>
          <w:i/>
        </w:rPr>
        <w:t>Electronic Journal of Plant Breeding, 2</w:t>
      </w:r>
      <w:r w:rsidRPr="00F803F9">
        <w:t>(3), 448-452.</w:t>
      </w:r>
    </w:p>
    <w:p w14:paraId="455E26C8"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Hika, G., Geleta, N., &amp; </w:t>
      </w:r>
      <w:proofErr w:type="spellStart"/>
      <w:r w:rsidRPr="00F803F9">
        <w:t>Jaleta</w:t>
      </w:r>
      <w:proofErr w:type="spellEnd"/>
      <w:r w:rsidRPr="00F803F9">
        <w:t>, Z. (2014). Correlation and divergence analysis for phenotypic traits in sesame (</w:t>
      </w:r>
      <w:r w:rsidRPr="00F803F9">
        <w:rPr>
          <w:i/>
        </w:rPr>
        <w:t>Sesamum indicum</w:t>
      </w:r>
      <w:r w:rsidRPr="00F803F9">
        <w:t xml:space="preserve"> L.) genotypes. </w:t>
      </w:r>
      <w:r w:rsidRPr="00F803F9">
        <w:rPr>
          <w:i/>
        </w:rPr>
        <w:t>Journal of Science, Technology and Arts Research, 3</w:t>
      </w:r>
      <w:r w:rsidRPr="00F803F9">
        <w:t>(4), 1-9. https://doi.org/10.4314/star.v3i4.1</w:t>
      </w:r>
    </w:p>
    <w:p w14:paraId="4802A3A4"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lastRenderedPageBreak/>
        <w:t xml:space="preserve">Hsu, E., &amp; Parthasarathy, S. (2017). Anti-inflammatory and antioxidant effects of sesame oil on atherosclerosis: A descriptive literature review. </w:t>
      </w:r>
      <w:r w:rsidRPr="00F803F9">
        <w:rPr>
          <w:i/>
        </w:rPr>
        <w:t>Cureus, 9</w:t>
      </w:r>
      <w:r w:rsidRPr="00F803F9">
        <w:t>(7), Article e1438. https://doi.org/10.7759/cureus.1438</w:t>
      </w:r>
    </w:p>
    <w:p w14:paraId="284CB461"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proofErr w:type="spellStart"/>
      <w:r w:rsidRPr="00F803F9">
        <w:t>Indiastat</w:t>
      </w:r>
      <w:proofErr w:type="spellEnd"/>
      <w:r w:rsidRPr="00F803F9">
        <w:t xml:space="preserve">. (2024). </w:t>
      </w:r>
      <w:r w:rsidRPr="00F803F9">
        <w:rPr>
          <w:i/>
        </w:rPr>
        <w:t>Area, production and productivity of sesame in India and states (2023-24)</w:t>
      </w:r>
      <w:r w:rsidRPr="00F803F9">
        <w:t xml:space="preserve">. </w:t>
      </w:r>
      <w:proofErr w:type="spellStart"/>
      <w:r w:rsidRPr="00F803F9">
        <w:t>Indiastat</w:t>
      </w:r>
      <w:proofErr w:type="spellEnd"/>
      <w:r w:rsidRPr="00F803F9">
        <w:t xml:space="preserve"> database.</w:t>
      </w:r>
    </w:p>
    <w:p w14:paraId="21B0B300" w14:textId="77777777" w:rsidR="00B07C26" w:rsidRPr="00F803F9" w:rsidRDefault="00000000">
      <w:pPr>
        <w:spacing w:line="360" w:lineRule="auto"/>
        <w:ind w:left="851" w:hanging="851"/>
        <w:jc w:val="both"/>
        <w:rPr>
          <w:rFonts w:ascii="Times New Roman" w:hAnsi="Times New Roman" w:cs="Times New Roman"/>
          <w:color w:val="000000" w:themeColor="text1"/>
          <w:sz w:val="24"/>
          <w:szCs w:val="24"/>
        </w:rPr>
      </w:pPr>
      <w:r w:rsidRPr="00F803F9">
        <w:t>Kumar, N., Chander, S., Punia, R., &amp; Kumar, D. (2024). Correlation studies and path analysis in sesame (</w:t>
      </w:r>
      <w:r w:rsidRPr="00F803F9">
        <w:rPr>
          <w:i/>
        </w:rPr>
        <w:t>Sesamum indicum</w:t>
      </w:r>
      <w:r w:rsidRPr="00F803F9">
        <w:t xml:space="preserve"> L.). </w:t>
      </w:r>
      <w:r w:rsidRPr="00F803F9">
        <w:rPr>
          <w:i/>
        </w:rPr>
        <w:t>International Journal of Plant &amp; Soil Science, 36</w:t>
      </w:r>
      <w:r w:rsidRPr="00F803F9">
        <w:t>(7), 1043-1047. https://doi.org/10.9734/ijpss/2024/v36i74818</w:t>
      </w:r>
    </w:p>
    <w:p w14:paraId="12CFBE9A"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Kumari, P., Shah, P., &amp; Chaturvedi, H. P. (2023). Studies on yield attributes in relation to genetic parameters in sesame (</w:t>
      </w:r>
      <w:r w:rsidRPr="00F803F9">
        <w:rPr>
          <w:i/>
        </w:rPr>
        <w:t>Sesamum indicum</w:t>
      </w:r>
      <w:r w:rsidRPr="00F803F9">
        <w:t xml:space="preserve"> L.) genotypes. </w:t>
      </w:r>
      <w:r w:rsidRPr="00F803F9">
        <w:rPr>
          <w:i/>
        </w:rPr>
        <w:t>Biological Forum – An International Journal, 15</w:t>
      </w:r>
      <w:r w:rsidRPr="00F803F9">
        <w:t>(4), 166-172.</w:t>
      </w:r>
    </w:p>
    <w:p w14:paraId="46CFC4E1"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Myint, D., Gilani, S. A., Kawase, M., &amp; Watanabe, K. N. (2020). Sustainable sesame (</w:t>
      </w:r>
      <w:r w:rsidRPr="00F803F9">
        <w:rPr>
          <w:i/>
        </w:rPr>
        <w:t>Sesamum indicum</w:t>
      </w:r>
      <w:r w:rsidRPr="00F803F9">
        <w:t xml:space="preserve"> L.) production through improved technology: An overview of production, challenges, and opportunities in Myanmar. </w:t>
      </w:r>
      <w:r w:rsidRPr="00F803F9">
        <w:rPr>
          <w:i/>
        </w:rPr>
        <w:t>Sustainability, 12</w:t>
      </w:r>
      <w:r w:rsidRPr="00F803F9">
        <w:t>(9), Article 3515. https://doi.org/10.3390/su12093515</w:t>
      </w:r>
    </w:p>
    <w:p w14:paraId="2BC0C8A7"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Patel, M. K., Tiwari, D., Sharma, V., Singh, D., &amp; Kumar, S. (2024). </w:t>
      </w:r>
      <w:proofErr w:type="spellStart"/>
      <w:r w:rsidRPr="00F803F9">
        <w:t>Unraveling</w:t>
      </w:r>
      <w:proofErr w:type="spellEnd"/>
      <w:r w:rsidRPr="00F803F9">
        <w:t xml:space="preserve"> diversity and character association in sesame (</w:t>
      </w:r>
      <w:r w:rsidRPr="00F803F9">
        <w:rPr>
          <w:i/>
        </w:rPr>
        <w:t>Sesamum indicum</w:t>
      </w:r>
      <w:r w:rsidRPr="00F803F9">
        <w:t xml:space="preserve"> L.) using different </w:t>
      </w:r>
      <w:proofErr w:type="spellStart"/>
      <w:r w:rsidRPr="00F803F9">
        <w:t>agro</w:t>
      </w:r>
      <w:proofErr w:type="spellEnd"/>
      <w:r w:rsidRPr="00F803F9">
        <w:t xml:space="preserve">-morphological traits. </w:t>
      </w:r>
      <w:r w:rsidRPr="00F803F9">
        <w:rPr>
          <w:i/>
        </w:rPr>
        <w:t>Environment and Ecology, 42</w:t>
      </w:r>
      <w:r w:rsidRPr="00F803F9">
        <w:t>(1), 109-115. https://doi.org/10.60151/envec/TITS4118</w:t>
      </w:r>
    </w:p>
    <w:p w14:paraId="1DDE6B23" w14:textId="77777777" w:rsidR="00B07C26" w:rsidRPr="00F803F9" w:rsidRDefault="00000000">
      <w:pPr>
        <w:spacing w:line="360" w:lineRule="auto"/>
        <w:ind w:left="851" w:hanging="851"/>
        <w:jc w:val="both"/>
        <w:rPr>
          <w:rFonts w:ascii="Times New Roman" w:hAnsi="Times New Roman" w:cs="Times New Roman"/>
          <w:color w:val="000000" w:themeColor="text1"/>
          <w:sz w:val="24"/>
          <w:szCs w:val="24"/>
        </w:rPr>
      </w:pPr>
      <w:r w:rsidRPr="00F803F9">
        <w:t>Singh, A., Walia, P., Sandal, S. S., et al. (2025). Morpho-physiological characterization and phenotypic diversity analysis of indigenous and exotic sesame (</w:t>
      </w:r>
      <w:r w:rsidRPr="00F803F9">
        <w:rPr>
          <w:i/>
        </w:rPr>
        <w:t>Sesamum indicum</w:t>
      </w:r>
      <w:r w:rsidRPr="00F803F9">
        <w:t xml:space="preserve"> L.) accessions. </w:t>
      </w:r>
      <w:r w:rsidRPr="00F803F9">
        <w:rPr>
          <w:i/>
        </w:rPr>
        <w:t>Genetic Resources and Crop Evolution, 72</w:t>
      </w:r>
      <w:r w:rsidRPr="00F803F9">
        <w:t>, 9555-9576. https://doi.org/10.1007/s10722-025-02507-8</w:t>
      </w:r>
    </w:p>
    <w:p w14:paraId="78C0E797"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 xml:space="preserve">Singh, R. K., &amp; Chaudhary, B. D. (1985). </w:t>
      </w:r>
      <w:r w:rsidRPr="00F803F9">
        <w:rPr>
          <w:i/>
        </w:rPr>
        <w:t>Biometrical methods in quantitative genetics analysis</w:t>
      </w:r>
      <w:r w:rsidRPr="00F803F9">
        <w:t>. Kalyani Publishers.</w:t>
      </w:r>
    </w:p>
    <w:p w14:paraId="1B818FCF"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Subramanian, S., &amp; Subramanian, M. (1994). Correlation studies and path coefficient analysis in sesame (</w:t>
      </w:r>
      <w:r w:rsidRPr="00F803F9">
        <w:rPr>
          <w:i/>
        </w:rPr>
        <w:t>Sesamum indicum</w:t>
      </w:r>
      <w:r w:rsidRPr="00F803F9">
        <w:t xml:space="preserve"> L.). </w:t>
      </w:r>
      <w:r w:rsidRPr="00F803F9">
        <w:rPr>
          <w:i/>
        </w:rPr>
        <w:t>Journal of Agronomy and Crop Science, 173</w:t>
      </w:r>
      <w:r w:rsidRPr="00F803F9">
        <w:t>(3-4), 241-248. https://doi.org/10.1111/j.1439-037X.1994.tb00560.x</w:t>
      </w:r>
    </w:p>
    <w:p w14:paraId="5476A6BB" w14:textId="77777777" w:rsidR="00BD78AE" w:rsidRPr="00F803F9" w:rsidRDefault="00BD78AE" w:rsidP="0031367B">
      <w:pPr>
        <w:spacing w:line="360" w:lineRule="auto"/>
        <w:ind w:left="851" w:hanging="851"/>
        <w:jc w:val="both"/>
        <w:rPr>
          <w:rFonts w:ascii="Times New Roman" w:hAnsi="Times New Roman" w:cs="Times New Roman"/>
          <w:color w:val="000000" w:themeColor="text1"/>
          <w:sz w:val="24"/>
          <w:szCs w:val="24"/>
        </w:rPr>
      </w:pPr>
      <w:r w:rsidRPr="00F803F9">
        <w:t>Takele, F. (2021). Correlation and path coefficient analysis for yield and its related traits in sesame (</w:t>
      </w:r>
      <w:r w:rsidRPr="00F803F9">
        <w:rPr>
          <w:i/>
        </w:rPr>
        <w:t>Sesamum indicum</w:t>
      </w:r>
      <w:r w:rsidRPr="00F803F9">
        <w:t xml:space="preserve"> L.) genotypes. </w:t>
      </w:r>
      <w:r w:rsidRPr="00F803F9">
        <w:rPr>
          <w:i/>
        </w:rPr>
        <w:t>Journal of Science and Development, 9</w:t>
      </w:r>
      <w:r w:rsidRPr="00F803F9">
        <w:t>(1), 52-64. https://doi.org/10.20372/2m8x1p75</w:t>
      </w:r>
    </w:p>
    <w:p w14:paraId="66E7260E" w14:textId="77777777" w:rsidR="00B07C26" w:rsidRPr="00F803F9" w:rsidRDefault="00000000">
      <w:pPr>
        <w:spacing w:line="360" w:lineRule="auto"/>
        <w:ind w:left="851" w:hanging="851"/>
        <w:jc w:val="both"/>
        <w:rPr>
          <w:rFonts w:ascii="Times New Roman" w:hAnsi="Times New Roman" w:cs="Times New Roman"/>
          <w:color w:val="000000" w:themeColor="text1"/>
          <w:sz w:val="24"/>
          <w:szCs w:val="24"/>
        </w:rPr>
      </w:pPr>
      <w:r w:rsidRPr="00F803F9">
        <w:t xml:space="preserve">Wang, C., Niu, J., Miao, H., Li, C., Duan, Y., Ju, M., Cao, H., Wei, L., Wang, H., &amp; Zhang, H. (2024). Genetic variation, correlation, and association mapping of seed yield and its component traits in sesame. </w:t>
      </w:r>
      <w:r w:rsidRPr="00F803F9">
        <w:rPr>
          <w:i/>
        </w:rPr>
        <w:t>Genetic Resources and Crop Evolution, 71</w:t>
      </w:r>
      <w:r w:rsidRPr="00F803F9">
        <w:t>, 603-619. https://doi.org/10.1007/s10722-023-01644-2</w:t>
      </w:r>
    </w:p>
    <w:p w14:paraId="4CABC3EC" w14:textId="77777777" w:rsidR="000060BD" w:rsidRPr="00F803F9" w:rsidRDefault="00946BA5" w:rsidP="0031367B">
      <w:pPr>
        <w:spacing w:line="360" w:lineRule="auto"/>
        <w:ind w:left="851" w:hanging="851"/>
        <w:jc w:val="both"/>
        <w:rPr>
          <w:rFonts w:ascii="Times New Roman" w:hAnsi="Times New Roman" w:cs="Times New Roman"/>
          <w:color w:val="000000" w:themeColor="text1"/>
          <w:sz w:val="24"/>
          <w:szCs w:val="24"/>
        </w:rPr>
        <w:sectPr w:rsidR="000060BD" w:rsidRPr="00F803F9" w:rsidSect="00B70CD4">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134" w:header="708" w:footer="708" w:gutter="0"/>
          <w:cols w:space="708"/>
          <w:docGrid w:linePitch="360"/>
        </w:sectPr>
      </w:pPr>
      <w:r w:rsidRPr="00F803F9">
        <w:t xml:space="preserve">Wright, S. (1921). Correlation and causation. </w:t>
      </w:r>
      <w:r w:rsidRPr="00F803F9">
        <w:rPr>
          <w:i/>
        </w:rPr>
        <w:t>Journal of Agricultural Research, 20</w:t>
      </w:r>
      <w:r w:rsidRPr="00F803F9">
        <w:t>, 557-585.</w:t>
      </w:r>
    </w:p>
    <w:p w14:paraId="74881098" w14:textId="77777777" w:rsidR="00B63400" w:rsidRPr="00F803F9" w:rsidRDefault="00B63400" w:rsidP="0031367B">
      <w:pPr>
        <w:spacing w:line="360" w:lineRule="auto"/>
        <w:ind w:left="1134" w:hanging="1134"/>
        <w:jc w:val="both"/>
        <w:rPr>
          <w:rFonts w:ascii="Times New Roman" w:hAnsi="Times New Roman" w:cs="Times New Roman"/>
          <w:b/>
          <w:bCs/>
          <w:color w:val="000000" w:themeColor="text1"/>
          <w:sz w:val="24"/>
          <w:szCs w:val="24"/>
        </w:rPr>
      </w:pPr>
      <w:r w:rsidRPr="00F803F9">
        <w:rPr>
          <w:rFonts w:ascii="Times New Roman" w:hAnsi="Times New Roman" w:cs="Times New Roman"/>
          <w:b/>
          <w:bCs/>
          <w:color w:val="000000" w:themeColor="text1"/>
          <w:sz w:val="24"/>
          <w:szCs w:val="24"/>
        </w:rPr>
        <w:lastRenderedPageBreak/>
        <w:t>Table 1:</w:t>
      </w:r>
      <w:r w:rsidRPr="00F803F9">
        <w:rPr>
          <w:rFonts w:ascii="Times New Roman" w:hAnsi="Times New Roman" w:cs="Times New Roman"/>
          <w:b/>
          <w:bCs/>
          <w:color w:val="000000" w:themeColor="text1"/>
          <w:sz w:val="24"/>
          <w:szCs w:val="24"/>
        </w:rPr>
        <w:tab/>
      </w:r>
      <w:r w:rsidR="000060BD" w:rsidRPr="00F803F9">
        <w:rPr>
          <w:rFonts w:ascii="Times New Roman" w:hAnsi="Times New Roman" w:cs="Times New Roman"/>
          <w:b/>
          <w:bCs/>
          <w:color w:val="000000" w:themeColor="text1"/>
          <w:sz w:val="24"/>
          <w:szCs w:val="24"/>
        </w:rPr>
        <w:t xml:space="preserve">Correlation matrix showing correlation among different </w:t>
      </w:r>
      <w:proofErr w:type="spellStart"/>
      <w:r w:rsidR="000060BD" w:rsidRPr="00F803F9">
        <w:rPr>
          <w:rFonts w:ascii="Times New Roman" w:hAnsi="Times New Roman" w:cs="Times New Roman"/>
          <w:b/>
          <w:bCs/>
          <w:color w:val="000000" w:themeColor="text1"/>
          <w:sz w:val="24"/>
          <w:szCs w:val="24"/>
        </w:rPr>
        <w:t>agro</w:t>
      </w:r>
      <w:proofErr w:type="spellEnd"/>
      <w:r w:rsidR="000060BD" w:rsidRPr="00F803F9">
        <w:rPr>
          <w:rFonts w:ascii="Times New Roman" w:hAnsi="Times New Roman" w:cs="Times New Roman"/>
          <w:b/>
          <w:bCs/>
          <w:color w:val="000000" w:themeColor="text1"/>
          <w:sz w:val="24"/>
          <w:szCs w:val="24"/>
        </w:rPr>
        <w:t>-morphological traits</w:t>
      </w:r>
    </w:p>
    <w:tbl>
      <w:tblPr>
        <w:tblW w:w="14000" w:type="dxa"/>
        <w:tblInd w:w="-5" w:type="dxa"/>
        <w:tblLook w:val="04A0" w:firstRow="1" w:lastRow="0" w:firstColumn="1" w:lastColumn="0" w:noHBand="0" w:noVBand="1"/>
      </w:tblPr>
      <w:tblGrid>
        <w:gridCol w:w="987"/>
        <w:gridCol w:w="1183"/>
        <w:gridCol w:w="1183"/>
        <w:gridCol w:w="1183"/>
        <w:gridCol w:w="1183"/>
        <w:gridCol w:w="1183"/>
        <w:gridCol w:w="1183"/>
        <w:gridCol w:w="1183"/>
        <w:gridCol w:w="1183"/>
        <w:gridCol w:w="1183"/>
        <w:gridCol w:w="1183"/>
        <w:gridCol w:w="1183"/>
      </w:tblGrid>
      <w:tr w:rsidR="000060BD" w:rsidRPr="00F803F9" w14:paraId="11DBFF5D" w14:textId="77777777" w:rsidTr="000F2561">
        <w:trPr>
          <w:trHeight w:val="259"/>
        </w:trPr>
        <w:tc>
          <w:tcPr>
            <w:tcW w:w="987" w:type="dxa"/>
            <w:tcBorders>
              <w:top w:val="single" w:sz="4" w:space="0" w:color="auto"/>
              <w:left w:val="single" w:sz="4" w:space="0" w:color="auto"/>
              <w:bottom w:val="single" w:sz="4" w:space="0" w:color="auto"/>
              <w:right w:val="single" w:sz="4" w:space="0" w:color="auto"/>
            </w:tcBorders>
            <w:noWrap/>
            <w:vAlign w:val="center"/>
            <w:hideMark/>
          </w:tcPr>
          <w:p w14:paraId="22F18B96"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Trait</w:t>
            </w:r>
          </w:p>
        </w:tc>
        <w:tc>
          <w:tcPr>
            <w:tcW w:w="1183" w:type="dxa"/>
            <w:tcBorders>
              <w:top w:val="single" w:sz="4" w:space="0" w:color="auto"/>
              <w:left w:val="nil"/>
              <w:bottom w:val="single" w:sz="4" w:space="0" w:color="auto"/>
              <w:right w:val="single" w:sz="4" w:space="0" w:color="auto"/>
            </w:tcBorders>
            <w:noWrap/>
            <w:vAlign w:val="center"/>
            <w:hideMark/>
          </w:tcPr>
          <w:p w14:paraId="2784B06B"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DTF</w:t>
            </w:r>
          </w:p>
        </w:tc>
        <w:tc>
          <w:tcPr>
            <w:tcW w:w="1183" w:type="dxa"/>
            <w:tcBorders>
              <w:top w:val="single" w:sz="4" w:space="0" w:color="auto"/>
              <w:left w:val="nil"/>
              <w:bottom w:val="single" w:sz="4" w:space="0" w:color="auto"/>
              <w:right w:val="single" w:sz="4" w:space="0" w:color="auto"/>
            </w:tcBorders>
            <w:noWrap/>
            <w:vAlign w:val="center"/>
            <w:hideMark/>
          </w:tcPr>
          <w:p w14:paraId="2870B1D2"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DTM</w:t>
            </w:r>
          </w:p>
        </w:tc>
        <w:tc>
          <w:tcPr>
            <w:tcW w:w="1183" w:type="dxa"/>
            <w:tcBorders>
              <w:top w:val="single" w:sz="4" w:space="0" w:color="auto"/>
              <w:left w:val="nil"/>
              <w:bottom w:val="single" w:sz="4" w:space="0" w:color="auto"/>
              <w:right w:val="single" w:sz="4" w:space="0" w:color="auto"/>
            </w:tcBorders>
            <w:noWrap/>
            <w:vAlign w:val="center"/>
            <w:hideMark/>
          </w:tcPr>
          <w:p w14:paraId="06627A91"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PH</w:t>
            </w:r>
          </w:p>
        </w:tc>
        <w:tc>
          <w:tcPr>
            <w:tcW w:w="1183" w:type="dxa"/>
            <w:tcBorders>
              <w:top w:val="single" w:sz="4" w:space="0" w:color="auto"/>
              <w:left w:val="nil"/>
              <w:bottom w:val="single" w:sz="4" w:space="0" w:color="auto"/>
              <w:right w:val="single" w:sz="4" w:space="0" w:color="auto"/>
            </w:tcBorders>
            <w:noWrap/>
            <w:vAlign w:val="center"/>
            <w:hideMark/>
          </w:tcPr>
          <w:p w14:paraId="0B04C5C6"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NPBPP</w:t>
            </w:r>
          </w:p>
        </w:tc>
        <w:tc>
          <w:tcPr>
            <w:tcW w:w="1183" w:type="dxa"/>
            <w:tcBorders>
              <w:top w:val="single" w:sz="4" w:space="0" w:color="auto"/>
              <w:left w:val="nil"/>
              <w:bottom w:val="single" w:sz="4" w:space="0" w:color="auto"/>
              <w:right w:val="single" w:sz="4" w:space="0" w:color="auto"/>
            </w:tcBorders>
            <w:noWrap/>
            <w:vAlign w:val="center"/>
            <w:hideMark/>
          </w:tcPr>
          <w:p w14:paraId="51240024"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NCPP</w:t>
            </w:r>
          </w:p>
        </w:tc>
        <w:tc>
          <w:tcPr>
            <w:tcW w:w="1183" w:type="dxa"/>
            <w:tcBorders>
              <w:top w:val="single" w:sz="4" w:space="0" w:color="auto"/>
              <w:left w:val="nil"/>
              <w:bottom w:val="single" w:sz="4" w:space="0" w:color="auto"/>
              <w:right w:val="single" w:sz="4" w:space="0" w:color="auto"/>
            </w:tcBorders>
            <w:noWrap/>
            <w:vAlign w:val="center"/>
            <w:hideMark/>
          </w:tcPr>
          <w:p w14:paraId="6D263C4B"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CL</w:t>
            </w:r>
          </w:p>
        </w:tc>
        <w:tc>
          <w:tcPr>
            <w:tcW w:w="1183" w:type="dxa"/>
            <w:tcBorders>
              <w:top w:val="single" w:sz="4" w:space="0" w:color="auto"/>
              <w:left w:val="nil"/>
              <w:bottom w:val="single" w:sz="4" w:space="0" w:color="auto"/>
              <w:right w:val="single" w:sz="4" w:space="0" w:color="auto"/>
            </w:tcBorders>
            <w:noWrap/>
            <w:vAlign w:val="center"/>
            <w:hideMark/>
          </w:tcPr>
          <w:p w14:paraId="6EE3F391"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NSPC</w:t>
            </w:r>
          </w:p>
        </w:tc>
        <w:tc>
          <w:tcPr>
            <w:tcW w:w="1183" w:type="dxa"/>
            <w:tcBorders>
              <w:top w:val="single" w:sz="4" w:space="0" w:color="auto"/>
              <w:left w:val="nil"/>
              <w:bottom w:val="single" w:sz="4" w:space="0" w:color="auto"/>
              <w:right w:val="single" w:sz="4" w:space="0" w:color="auto"/>
            </w:tcBorders>
            <w:noWrap/>
            <w:vAlign w:val="center"/>
            <w:hideMark/>
          </w:tcPr>
          <w:p w14:paraId="3A03F84A"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TSW</w:t>
            </w:r>
          </w:p>
        </w:tc>
        <w:tc>
          <w:tcPr>
            <w:tcW w:w="1183" w:type="dxa"/>
            <w:tcBorders>
              <w:top w:val="single" w:sz="4" w:space="0" w:color="auto"/>
              <w:left w:val="nil"/>
              <w:bottom w:val="single" w:sz="4" w:space="0" w:color="auto"/>
              <w:right w:val="single" w:sz="4" w:space="0" w:color="auto"/>
            </w:tcBorders>
            <w:noWrap/>
            <w:vAlign w:val="center"/>
            <w:hideMark/>
          </w:tcPr>
          <w:p w14:paraId="4558F70A"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OC</w:t>
            </w:r>
          </w:p>
        </w:tc>
        <w:tc>
          <w:tcPr>
            <w:tcW w:w="1183" w:type="dxa"/>
            <w:tcBorders>
              <w:top w:val="single" w:sz="4" w:space="0" w:color="auto"/>
              <w:left w:val="nil"/>
              <w:bottom w:val="single" w:sz="4" w:space="0" w:color="auto"/>
              <w:right w:val="single" w:sz="4" w:space="0" w:color="auto"/>
            </w:tcBorders>
            <w:noWrap/>
            <w:vAlign w:val="center"/>
            <w:hideMark/>
          </w:tcPr>
          <w:p w14:paraId="010A1167"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BYPP</w:t>
            </w:r>
          </w:p>
        </w:tc>
        <w:tc>
          <w:tcPr>
            <w:tcW w:w="1183" w:type="dxa"/>
            <w:tcBorders>
              <w:top w:val="single" w:sz="4" w:space="0" w:color="auto"/>
              <w:left w:val="nil"/>
              <w:bottom w:val="single" w:sz="4" w:space="0" w:color="auto"/>
              <w:right w:val="single" w:sz="4" w:space="0" w:color="auto"/>
            </w:tcBorders>
            <w:noWrap/>
            <w:vAlign w:val="center"/>
            <w:hideMark/>
          </w:tcPr>
          <w:p w14:paraId="7A4A5CEE"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HI</w:t>
            </w:r>
          </w:p>
        </w:tc>
      </w:tr>
      <w:tr w:rsidR="000060BD" w:rsidRPr="00F803F9" w14:paraId="3E804FC0"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3FE05D30"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DTF</w:t>
            </w:r>
          </w:p>
        </w:tc>
        <w:tc>
          <w:tcPr>
            <w:tcW w:w="1183" w:type="dxa"/>
            <w:tcBorders>
              <w:top w:val="nil"/>
              <w:left w:val="nil"/>
              <w:bottom w:val="single" w:sz="4" w:space="0" w:color="auto"/>
              <w:right w:val="single" w:sz="4" w:space="0" w:color="auto"/>
            </w:tcBorders>
            <w:noWrap/>
            <w:vAlign w:val="center"/>
            <w:hideMark/>
          </w:tcPr>
          <w:p w14:paraId="1D63E27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1BF2C10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0.3774***</w:t>
            </w:r>
          </w:p>
        </w:tc>
        <w:tc>
          <w:tcPr>
            <w:tcW w:w="1183" w:type="dxa"/>
            <w:tcBorders>
              <w:top w:val="nil"/>
              <w:left w:val="nil"/>
              <w:bottom w:val="single" w:sz="4" w:space="0" w:color="auto"/>
              <w:right w:val="single" w:sz="4" w:space="0" w:color="auto"/>
            </w:tcBorders>
            <w:noWrap/>
            <w:vAlign w:val="center"/>
            <w:hideMark/>
          </w:tcPr>
          <w:p w14:paraId="4AE3D0F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-0.0597</w:t>
            </w:r>
          </w:p>
        </w:tc>
        <w:tc>
          <w:tcPr>
            <w:tcW w:w="1183" w:type="dxa"/>
            <w:tcBorders>
              <w:top w:val="nil"/>
              <w:left w:val="nil"/>
              <w:bottom w:val="single" w:sz="4" w:space="0" w:color="auto"/>
              <w:right w:val="single" w:sz="4" w:space="0" w:color="auto"/>
            </w:tcBorders>
            <w:noWrap/>
            <w:vAlign w:val="center"/>
            <w:hideMark/>
          </w:tcPr>
          <w:p w14:paraId="20D40F5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-0.0011</w:t>
            </w:r>
          </w:p>
        </w:tc>
        <w:tc>
          <w:tcPr>
            <w:tcW w:w="1183" w:type="dxa"/>
            <w:tcBorders>
              <w:top w:val="nil"/>
              <w:left w:val="nil"/>
              <w:bottom w:val="single" w:sz="4" w:space="0" w:color="auto"/>
              <w:right w:val="single" w:sz="4" w:space="0" w:color="auto"/>
            </w:tcBorders>
            <w:noWrap/>
            <w:vAlign w:val="center"/>
            <w:hideMark/>
          </w:tcPr>
          <w:p w14:paraId="025C2E6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-0.4609***</w:t>
            </w:r>
          </w:p>
        </w:tc>
        <w:tc>
          <w:tcPr>
            <w:tcW w:w="1183" w:type="dxa"/>
            <w:tcBorders>
              <w:top w:val="nil"/>
              <w:left w:val="nil"/>
              <w:bottom w:val="single" w:sz="4" w:space="0" w:color="auto"/>
              <w:right w:val="single" w:sz="4" w:space="0" w:color="auto"/>
            </w:tcBorders>
            <w:noWrap/>
            <w:vAlign w:val="center"/>
            <w:hideMark/>
          </w:tcPr>
          <w:p w14:paraId="256D040E"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-0.3771***</w:t>
            </w:r>
          </w:p>
        </w:tc>
        <w:tc>
          <w:tcPr>
            <w:tcW w:w="1183" w:type="dxa"/>
            <w:tcBorders>
              <w:top w:val="nil"/>
              <w:left w:val="nil"/>
              <w:bottom w:val="single" w:sz="4" w:space="0" w:color="auto"/>
              <w:right w:val="single" w:sz="4" w:space="0" w:color="auto"/>
            </w:tcBorders>
            <w:noWrap/>
            <w:vAlign w:val="center"/>
            <w:hideMark/>
          </w:tcPr>
          <w:p w14:paraId="6241505F"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-0.0505</w:t>
            </w:r>
          </w:p>
        </w:tc>
        <w:tc>
          <w:tcPr>
            <w:tcW w:w="1183" w:type="dxa"/>
            <w:tcBorders>
              <w:top w:val="nil"/>
              <w:left w:val="nil"/>
              <w:bottom w:val="single" w:sz="4" w:space="0" w:color="auto"/>
              <w:right w:val="single" w:sz="4" w:space="0" w:color="auto"/>
            </w:tcBorders>
            <w:noWrap/>
            <w:vAlign w:val="center"/>
            <w:hideMark/>
          </w:tcPr>
          <w:p w14:paraId="7EB541B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-0.1099</w:t>
            </w:r>
          </w:p>
        </w:tc>
        <w:tc>
          <w:tcPr>
            <w:tcW w:w="1183" w:type="dxa"/>
            <w:tcBorders>
              <w:top w:val="nil"/>
              <w:left w:val="nil"/>
              <w:bottom w:val="single" w:sz="4" w:space="0" w:color="auto"/>
              <w:right w:val="single" w:sz="4" w:space="0" w:color="auto"/>
            </w:tcBorders>
            <w:noWrap/>
            <w:vAlign w:val="center"/>
            <w:hideMark/>
          </w:tcPr>
          <w:p w14:paraId="0AA64D2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-0.3679***</w:t>
            </w:r>
          </w:p>
        </w:tc>
        <w:tc>
          <w:tcPr>
            <w:tcW w:w="1183" w:type="dxa"/>
            <w:tcBorders>
              <w:top w:val="nil"/>
              <w:left w:val="nil"/>
              <w:bottom w:val="single" w:sz="4" w:space="0" w:color="auto"/>
              <w:right w:val="single" w:sz="4" w:space="0" w:color="auto"/>
            </w:tcBorders>
            <w:noWrap/>
            <w:vAlign w:val="center"/>
            <w:hideMark/>
          </w:tcPr>
          <w:p w14:paraId="28EB15B5"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-0.0813</w:t>
            </w:r>
          </w:p>
        </w:tc>
        <w:tc>
          <w:tcPr>
            <w:tcW w:w="1183" w:type="dxa"/>
            <w:tcBorders>
              <w:top w:val="nil"/>
              <w:left w:val="nil"/>
              <w:bottom w:val="single" w:sz="4" w:space="0" w:color="auto"/>
              <w:right w:val="single" w:sz="4" w:space="0" w:color="auto"/>
            </w:tcBorders>
            <w:noWrap/>
            <w:vAlign w:val="center"/>
            <w:hideMark/>
          </w:tcPr>
          <w:p w14:paraId="5DAC853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-0.0698</w:t>
            </w:r>
          </w:p>
        </w:tc>
      </w:tr>
      <w:tr w:rsidR="000060BD" w:rsidRPr="00F803F9" w14:paraId="0A20A976"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5B804361"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DTM</w:t>
            </w:r>
          </w:p>
        </w:tc>
        <w:tc>
          <w:tcPr>
            <w:tcW w:w="1183" w:type="dxa"/>
            <w:tcBorders>
              <w:top w:val="nil"/>
              <w:left w:val="nil"/>
              <w:bottom w:val="single" w:sz="4" w:space="0" w:color="auto"/>
              <w:right w:val="single" w:sz="4" w:space="0" w:color="auto"/>
            </w:tcBorders>
            <w:noWrap/>
            <w:vAlign w:val="center"/>
            <w:hideMark/>
          </w:tcPr>
          <w:p w14:paraId="62A5B6C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0.3774***</w:t>
            </w:r>
          </w:p>
        </w:tc>
        <w:tc>
          <w:tcPr>
            <w:tcW w:w="1183" w:type="dxa"/>
            <w:tcBorders>
              <w:top w:val="nil"/>
              <w:left w:val="nil"/>
              <w:bottom w:val="single" w:sz="4" w:space="0" w:color="auto"/>
              <w:right w:val="single" w:sz="4" w:space="0" w:color="auto"/>
            </w:tcBorders>
            <w:noWrap/>
            <w:vAlign w:val="center"/>
            <w:hideMark/>
          </w:tcPr>
          <w:p w14:paraId="0A61E8A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6926376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0.139</w:t>
            </w:r>
          </w:p>
        </w:tc>
        <w:tc>
          <w:tcPr>
            <w:tcW w:w="1183" w:type="dxa"/>
            <w:tcBorders>
              <w:top w:val="nil"/>
              <w:left w:val="nil"/>
              <w:bottom w:val="single" w:sz="4" w:space="0" w:color="auto"/>
              <w:right w:val="single" w:sz="4" w:space="0" w:color="auto"/>
            </w:tcBorders>
            <w:noWrap/>
            <w:vAlign w:val="center"/>
            <w:hideMark/>
          </w:tcPr>
          <w:p w14:paraId="7A27B51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0.3866***</w:t>
            </w:r>
          </w:p>
        </w:tc>
        <w:tc>
          <w:tcPr>
            <w:tcW w:w="1183" w:type="dxa"/>
            <w:tcBorders>
              <w:top w:val="nil"/>
              <w:left w:val="nil"/>
              <w:bottom w:val="single" w:sz="4" w:space="0" w:color="auto"/>
              <w:right w:val="single" w:sz="4" w:space="0" w:color="auto"/>
            </w:tcBorders>
            <w:noWrap/>
            <w:vAlign w:val="center"/>
            <w:hideMark/>
          </w:tcPr>
          <w:p w14:paraId="605A40C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-0.1491</w:t>
            </w:r>
          </w:p>
        </w:tc>
        <w:tc>
          <w:tcPr>
            <w:tcW w:w="1183" w:type="dxa"/>
            <w:tcBorders>
              <w:top w:val="nil"/>
              <w:left w:val="nil"/>
              <w:bottom w:val="single" w:sz="4" w:space="0" w:color="auto"/>
              <w:right w:val="single" w:sz="4" w:space="0" w:color="auto"/>
            </w:tcBorders>
            <w:noWrap/>
            <w:vAlign w:val="center"/>
            <w:hideMark/>
          </w:tcPr>
          <w:p w14:paraId="017469B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-0.1613*</w:t>
            </w:r>
          </w:p>
        </w:tc>
        <w:tc>
          <w:tcPr>
            <w:tcW w:w="1183" w:type="dxa"/>
            <w:tcBorders>
              <w:top w:val="nil"/>
              <w:left w:val="nil"/>
              <w:bottom w:val="single" w:sz="4" w:space="0" w:color="auto"/>
              <w:right w:val="single" w:sz="4" w:space="0" w:color="auto"/>
            </w:tcBorders>
            <w:noWrap/>
            <w:vAlign w:val="center"/>
            <w:hideMark/>
          </w:tcPr>
          <w:p w14:paraId="6A084D45"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-0.0441</w:t>
            </w:r>
          </w:p>
        </w:tc>
        <w:tc>
          <w:tcPr>
            <w:tcW w:w="1183" w:type="dxa"/>
            <w:tcBorders>
              <w:top w:val="nil"/>
              <w:left w:val="nil"/>
              <w:bottom w:val="single" w:sz="4" w:space="0" w:color="auto"/>
              <w:right w:val="single" w:sz="4" w:space="0" w:color="auto"/>
            </w:tcBorders>
            <w:noWrap/>
            <w:vAlign w:val="center"/>
            <w:hideMark/>
          </w:tcPr>
          <w:p w14:paraId="5B894E5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-0.0835</w:t>
            </w:r>
          </w:p>
        </w:tc>
        <w:tc>
          <w:tcPr>
            <w:tcW w:w="1183" w:type="dxa"/>
            <w:tcBorders>
              <w:top w:val="nil"/>
              <w:left w:val="nil"/>
              <w:bottom w:val="single" w:sz="4" w:space="0" w:color="auto"/>
              <w:right w:val="single" w:sz="4" w:space="0" w:color="auto"/>
            </w:tcBorders>
            <w:noWrap/>
            <w:vAlign w:val="center"/>
            <w:hideMark/>
          </w:tcPr>
          <w:p w14:paraId="3D8E879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-0.1990*</w:t>
            </w:r>
          </w:p>
        </w:tc>
        <w:tc>
          <w:tcPr>
            <w:tcW w:w="1183" w:type="dxa"/>
            <w:tcBorders>
              <w:top w:val="nil"/>
              <w:left w:val="nil"/>
              <w:bottom w:val="single" w:sz="4" w:space="0" w:color="auto"/>
              <w:right w:val="single" w:sz="4" w:space="0" w:color="auto"/>
            </w:tcBorders>
            <w:noWrap/>
            <w:vAlign w:val="center"/>
            <w:hideMark/>
          </w:tcPr>
          <w:p w14:paraId="1FF38F1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-0.1669*</w:t>
            </w:r>
          </w:p>
        </w:tc>
        <w:tc>
          <w:tcPr>
            <w:tcW w:w="1183" w:type="dxa"/>
            <w:tcBorders>
              <w:top w:val="nil"/>
              <w:left w:val="nil"/>
              <w:bottom w:val="single" w:sz="4" w:space="0" w:color="auto"/>
              <w:right w:val="single" w:sz="4" w:space="0" w:color="auto"/>
            </w:tcBorders>
            <w:noWrap/>
            <w:vAlign w:val="center"/>
            <w:hideMark/>
          </w:tcPr>
          <w:p w14:paraId="5DC5D8F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0.0254</w:t>
            </w:r>
          </w:p>
        </w:tc>
      </w:tr>
      <w:tr w:rsidR="000060BD" w:rsidRPr="00F803F9" w14:paraId="011B3385"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2211DCC6"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PH</w:t>
            </w:r>
          </w:p>
        </w:tc>
        <w:tc>
          <w:tcPr>
            <w:tcW w:w="1183" w:type="dxa"/>
            <w:tcBorders>
              <w:top w:val="nil"/>
              <w:left w:val="nil"/>
              <w:bottom w:val="single" w:sz="4" w:space="0" w:color="auto"/>
              <w:right w:val="single" w:sz="4" w:space="0" w:color="auto"/>
            </w:tcBorders>
            <w:noWrap/>
            <w:vAlign w:val="center"/>
            <w:hideMark/>
          </w:tcPr>
          <w:p w14:paraId="224F67A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-0.0597</w:t>
            </w:r>
          </w:p>
        </w:tc>
        <w:tc>
          <w:tcPr>
            <w:tcW w:w="1183" w:type="dxa"/>
            <w:tcBorders>
              <w:top w:val="nil"/>
              <w:left w:val="nil"/>
              <w:bottom w:val="single" w:sz="4" w:space="0" w:color="auto"/>
              <w:right w:val="single" w:sz="4" w:space="0" w:color="auto"/>
            </w:tcBorders>
            <w:noWrap/>
            <w:vAlign w:val="center"/>
            <w:hideMark/>
          </w:tcPr>
          <w:p w14:paraId="5B4855B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0.139</w:t>
            </w:r>
          </w:p>
        </w:tc>
        <w:tc>
          <w:tcPr>
            <w:tcW w:w="1183" w:type="dxa"/>
            <w:tcBorders>
              <w:top w:val="nil"/>
              <w:left w:val="nil"/>
              <w:bottom w:val="single" w:sz="4" w:space="0" w:color="auto"/>
              <w:right w:val="single" w:sz="4" w:space="0" w:color="auto"/>
            </w:tcBorders>
            <w:noWrap/>
            <w:vAlign w:val="center"/>
            <w:hideMark/>
          </w:tcPr>
          <w:p w14:paraId="010C7A5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56BD111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0.4726***</w:t>
            </w:r>
          </w:p>
        </w:tc>
        <w:tc>
          <w:tcPr>
            <w:tcW w:w="1183" w:type="dxa"/>
            <w:tcBorders>
              <w:top w:val="nil"/>
              <w:left w:val="nil"/>
              <w:bottom w:val="single" w:sz="4" w:space="0" w:color="auto"/>
              <w:right w:val="single" w:sz="4" w:space="0" w:color="auto"/>
            </w:tcBorders>
            <w:noWrap/>
            <w:vAlign w:val="center"/>
            <w:hideMark/>
          </w:tcPr>
          <w:p w14:paraId="2E44E0B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0.5734***</w:t>
            </w:r>
          </w:p>
        </w:tc>
        <w:tc>
          <w:tcPr>
            <w:tcW w:w="1183" w:type="dxa"/>
            <w:tcBorders>
              <w:top w:val="nil"/>
              <w:left w:val="nil"/>
              <w:bottom w:val="single" w:sz="4" w:space="0" w:color="auto"/>
              <w:right w:val="single" w:sz="4" w:space="0" w:color="auto"/>
            </w:tcBorders>
            <w:noWrap/>
            <w:vAlign w:val="center"/>
            <w:hideMark/>
          </w:tcPr>
          <w:p w14:paraId="236DB77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0.3631***</w:t>
            </w:r>
          </w:p>
        </w:tc>
        <w:tc>
          <w:tcPr>
            <w:tcW w:w="1183" w:type="dxa"/>
            <w:tcBorders>
              <w:top w:val="nil"/>
              <w:left w:val="nil"/>
              <w:bottom w:val="single" w:sz="4" w:space="0" w:color="auto"/>
              <w:right w:val="single" w:sz="4" w:space="0" w:color="auto"/>
            </w:tcBorders>
            <w:noWrap/>
            <w:vAlign w:val="center"/>
            <w:hideMark/>
          </w:tcPr>
          <w:p w14:paraId="4324ABD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0.1935*</w:t>
            </w:r>
          </w:p>
        </w:tc>
        <w:tc>
          <w:tcPr>
            <w:tcW w:w="1183" w:type="dxa"/>
            <w:tcBorders>
              <w:top w:val="nil"/>
              <w:left w:val="nil"/>
              <w:bottom w:val="single" w:sz="4" w:space="0" w:color="auto"/>
              <w:right w:val="single" w:sz="4" w:space="0" w:color="auto"/>
            </w:tcBorders>
            <w:noWrap/>
            <w:vAlign w:val="center"/>
            <w:hideMark/>
          </w:tcPr>
          <w:p w14:paraId="70E1663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0.2929***</w:t>
            </w:r>
          </w:p>
        </w:tc>
        <w:tc>
          <w:tcPr>
            <w:tcW w:w="1183" w:type="dxa"/>
            <w:tcBorders>
              <w:top w:val="nil"/>
              <w:left w:val="nil"/>
              <w:bottom w:val="single" w:sz="4" w:space="0" w:color="auto"/>
              <w:right w:val="single" w:sz="4" w:space="0" w:color="auto"/>
            </w:tcBorders>
            <w:noWrap/>
            <w:vAlign w:val="center"/>
            <w:hideMark/>
          </w:tcPr>
          <w:p w14:paraId="121B49A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0.1959*</w:t>
            </w:r>
          </w:p>
        </w:tc>
        <w:tc>
          <w:tcPr>
            <w:tcW w:w="1183" w:type="dxa"/>
            <w:tcBorders>
              <w:top w:val="nil"/>
              <w:left w:val="nil"/>
              <w:bottom w:val="single" w:sz="4" w:space="0" w:color="auto"/>
              <w:right w:val="single" w:sz="4" w:space="0" w:color="auto"/>
            </w:tcBorders>
            <w:noWrap/>
            <w:vAlign w:val="center"/>
            <w:hideMark/>
          </w:tcPr>
          <w:p w14:paraId="3BE4BD3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0.2701***</w:t>
            </w:r>
          </w:p>
        </w:tc>
        <w:tc>
          <w:tcPr>
            <w:tcW w:w="1183" w:type="dxa"/>
            <w:tcBorders>
              <w:top w:val="nil"/>
              <w:left w:val="nil"/>
              <w:bottom w:val="single" w:sz="4" w:space="0" w:color="auto"/>
              <w:right w:val="single" w:sz="4" w:space="0" w:color="auto"/>
            </w:tcBorders>
            <w:noWrap/>
            <w:vAlign w:val="center"/>
            <w:hideMark/>
          </w:tcPr>
          <w:p w14:paraId="513BE05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0.3215***</w:t>
            </w:r>
          </w:p>
        </w:tc>
      </w:tr>
      <w:tr w:rsidR="000060BD" w:rsidRPr="00F803F9" w14:paraId="087C238D"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0B941FBB"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NPBPP</w:t>
            </w:r>
          </w:p>
        </w:tc>
        <w:tc>
          <w:tcPr>
            <w:tcW w:w="1183" w:type="dxa"/>
            <w:tcBorders>
              <w:top w:val="nil"/>
              <w:left w:val="nil"/>
              <w:bottom w:val="single" w:sz="4" w:space="0" w:color="auto"/>
              <w:right w:val="single" w:sz="4" w:space="0" w:color="auto"/>
            </w:tcBorders>
            <w:noWrap/>
            <w:vAlign w:val="center"/>
            <w:hideMark/>
          </w:tcPr>
          <w:p w14:paraId="4C91F51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-0.0011</w:t>
            </w:r>
          </w:p>
        </w:tc>
        <w:tc>
          <w:tcPr>
            <w:tcW w:w="1183" w:type="dxa"/>
            <w:tcBorders>
              <w:top w:val="nil"/>
              <w:left w:val="nil"/>
              <w:bottom w:val="single" w:sz="4" w:space="0" w:color="auto"/>
              <w:right w:val="single" w:sz="4" w:space="0" w:color="auto"/>
            </w:tcBorders>
            <w:noWrap/>
            <w:vAlign w:val="center"/>
            <w:hideMark/>
          </w:tcPr>
          <w:p w14:paraId="167371FF"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0.3866***</w:t>
            </w:r>
          </w:p>
        </w:tc>
        <w:tc>
          <w:tcPr>
            <w:tcW w:w="1183" w:type="dxa"/>
            <w:tcBorders>
              <w:top w:val="nil"/>
              <w:left w:val="nil"/>
              <w:bottom w:val="single" w:sz="4" w:space="0" w:color="auto"/>
              <w:right w:val="single" w:sz="4" w:space="0" w:color="auto"/>
            </w:tcBorders>
            <w:noWrap/>
            <w:vAlign w:val="center"/>
            <w:hideMark/>
          </w:tcPr>
          <w:p w14:paraId="65E8F32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0.4726***</w:t>
            </w:r>
          </w:p>
        </w:tc>
        <w:tc>
          <w:tcPr>
            <w:tcW w:w="1183" w:type="dxa"/>
            <w:tcBorders>
              <w:top w:val="nil"/>
              <w:left w:val="nil"/>
              <w:bottom w:val="single" w:sz="4" w:space="0" w:color="auto"/>
              <w:right w:val="single" w:sz="4" w:space="0" w:color="auto"/>
            </w:tcBorders>
            <w:noWrap/>
            <w:vAlign w:val="center"/>
            <w:hideMark/>
          </w:tcPr>
          <w:p w14:paraId="34C48C1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733E0F6F"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0.5105***</w:t>
            </w:r>
          </w:p>
        </w:tc>
        <w:tc>
          <w:tcPr>
            <w:tcW w:w="1183" w:type="dxa"/>
            <w:tcBorders>
              <w:top w:val="nil"/>
              <w:left w:val="nil"/>
              <w:bottom w:val="single" w:sz="4" w:space="0" w:color="auto"/>
              <w:right w:val="single" w:sz="4" w:space="0" w:color="auto"/>
            </w:tcBorders>
            <w:noWrap/>
            <w:vAlign w:val="center"/>
            <w:hideMark/>
          </w:tcPr>
          <w:p w14:paraId="2EE31C6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0.1352</w:t>
            </w:r>
          </w:p>
        </w:tc>
        <w:tc>
          <w:tcPr>
            <w:tcW w:w="1183" w:type="dxa"/>
            <w:tcBorders>
              <w:top w:val="nil"/>
              <w:left w:val="nil"/>
              <w:bottom w:val="single" w:sz="4" w:space="0" w:color="auto"/>
              <w:right w:val="single" w:sz="4" w:space="0" w:color="auto"/>
            </w:tcBorders>
            <w:noWrap/>
            <w:vAlign w:val="center"/>
            <w:hideMark/>
          </w:tcPr>
          <w:p w14:paraId="59C621E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0.1689*</w:t>
            </w:r>
          </w:p>
        </w:tc>
        <w:tc>
          <w:tcPr>
            <w:tcW w:w="1183" w:type="dxa"/>
            <w:tcBorders>
              <w:top w:val="nil"/>
              <w:left w:val="nil"/>
              <w:bottom w:val="single" w:sz="4" w:space="0" w:color="auto"/>
              <w:right w:val="single" w:sz="4" w:space="0" w:color="auto"/>
            </w:tcBorders>
            <w:noWrap/>
            <w:vAlign w:val="center"/>
            <w:hideMark/>
          </w:tcPr>
          <w:p w14:paraId="210F0CAF"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0.1966*</w:t>
            </w:r>
          </w:p>
        </w:tc>
        <w:tc>
          <w:tcPr>
            <w:tcW w:w="1183" w:type="dxa"/>
            <w:tcBorders>
              <w:top w:val="nil"/>
              <w:left w:val="nil"/>
              <w:bottom w:val="single" w:sz="4" w:space="0" w:color="auto"/>
              <w:right w:val="single" w:sz="4" w:space="0" w:color="auto"/>
            </w:tcBorders>
            <w:noWrap/>
            <w:vAlign w:val="center"/>
            <w:hideMark/>
          </w:tcPr>
          <w:p w14:paraId="59665BC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-0.0017</w:t>
            </w:r>
          </w:p>
        </w:tc>
        <w:tc>
          <w:tcPr>
            <w:tcW w:w="1183" w:type="dxa"/>
            <w:tcBorders>
              <w:top w:val="nil"/>
              <w:left w:val="nil"/>
              <w:bottom w:val="single" w:sz="4" w:space="0" w:color="auto"/>
              <w:right w:val="single" w:sz="4" w:space="0" w:color="auto"/>
            </w:tcBorders>
            <w:noWrap/>
            <w:vAlign w:val="center"/>
            <w:hideMark/>
          </w:tcPr>
          <w:p w14:paraId="46DBE91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0.1059</w:t>
            </w:r>
          </w:p>
        </w:tc>
        <w:tc>
          <w:tcPr>
            <w:tcW w:w="1183" w:type="dxa"/>
            <w:tcBorders>
              <w:top w:val="nil"/>
              <w:left w:val="nil"/>
              <w:bottom w:val="single" w:sz="4" w:space="0" w:color="auto"/>
              <w:right w:val="single" w:sz="4" w:space="0" w:color="auto"/>
            </w:tcBorders>
            <w:noWrap/>
            <w:vAlign w:val="center"/>
            <w:hideMark/>
          </w:tcPr>
          <w:p w14:paraId="7D88E9BE"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0.0791</w:t>
            </w:r>
          </w:p>
        </w:tc>
      </w:tr>
      <w:tr w:rsidR="000060BD" w:rsidRPr="00F803F9" w14:paraId="60A098EE"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1D6C7FB6"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NCPP</w:t>
            </w:r>
          </w:p>
        </w:tc>
        <w:tc>
          <w:tcPr>
            <w:tcW w:w="1183" w:type="dxa"/>
            <w:tcBorders>
              <w:top w:val="nil"/>
              <w:left w:val="nil"/>
              <w:bottom w:val="single" w:sz="4" w:space="0" w:color="auto"/>
              <w:right w:val="single" w:sz="4" w:space="0" w:color="auto"/>
            </w:tcBorders>
            <w:noWrap/>
            <w:vAlign w:val="center"/>
            <w:hideMark/>
          </w:tcPr>
          <w:p w14:paraId="666C386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-0.4609***</w:t>
            </w:r>
          </w:p>
        </w:tc>
        <w:tc>
          <w:tcPr>
            <w:tcW w:w="1183" w:type="dxa"/>
            <w:tcBorders>
              <w:top w:val="nil"/>
              <w:left w:val="nil"/>
              <w:bottom w:val="single" w:sz="4" w:space="0" w:color="auto"/>
              <w:right w:val="single" w:sz="4" w:space="0" w:color="auto"/>
            </w:tcBorders>
            <w:noWrap/>
            <w:vAlign w:val="center"/>
            <w:hideMark/>
          </w:tcPr>
          <w:p w14:paraId="60BC34E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-0.1491</w:t>
            </w:r>
          </w:p>
        </w:tc>
        <w:tc>
          <w:tcPr>
            <w:tcW w:w="1183" w:type="dxa"/>
            <w:tcBorders>
              <w:top w:val="nil"/>
              <w:left w:val="nil"/>
              <w:bottom w:val="single" w:sz="4" w:space="0" w:color="auto"/>
              <w:right w:val="single" w:sz="4" w:space="0" w:color="auto"/>
            </w:tcBorders>
            <w:noWrap/>
            <w:vAlign w:val="center"/>
            <w:hideMark/>
          </w:tcPr>
          <w:p w14:paraId="2F46ADA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0.5734***</w:t>
            </w:r>
          </w:p>
        </w:tc>
        <w:tc>
          <w:tcPr>
            <w:tcW w:w="1183" w:type="dxa"/>
            <w:tcBorders>
              <w:top w:val="nil"/>
              <w:left w:val="nil"/>
              <w:bottom w:val="single" w:sz="4" w:space="0" w:color="auto"/>
              <w:right w:val="single" w:sz="4" w:space="0" w:color="auto"/>
            </w:tcBorders>
            <w:noWrap/>
            <w:vAlign w:val="center"/>
            <w:hideMark/>
          </w:tcPr>
          <w:p w14:paraId="4580C5C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0.5105***</w:t>
            </w:r>
          </w:p>
        </w:tc>
        <w:tc>
          <w:tcPr>
            <w:tcW w:w="1183" w:type="dxa"/>
            <w:tcBorders>
              <w:top w:val="nil"/>
              <w:left w:val="nil"/>
              <w:bottom w:val="single" w:sz="4" w:space="0" w:color="auto"/>
              <w:right w:val="single" w:sz="4" w:space="0" w:color="auto"/>
            </w:tcBorders>
            <w:noWrap/>
            <w:vAlign w:val="center"/>
            <w:hideMark/>
          </w:tcPr>
          <w:p w14:paraId="7830ECB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07F5040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0.3519***</w:t>
            </w:r>
          </w:p>
        </w:tc>
        <w:tc>
          <w:tcPr>
            <w:tcW w:w="1183" w:type="dxa"/>
            <w:tcBorders>
              <w:top w:val="nil"/>
              <w:left w:val="nil"/>
              <w:bottom w:val="single" w:sz="4" w:space="0" w:color="auto"/>
              <w:right w:val="single" w:sz="4" w:space="0" w:color="auto"/>
            </w:tcBorders>
            <w:noWrap/>
            <w:vAlign w:val="center"/>
            <w:hideMark/>
          </w:tcPr>
          <w:p w14:paraId="5DA7CC7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0.2522**</w:t>
            </w:r>
          </w:p>
        </w:tc>
        <w:tc>
          <w:tcPr>
            <w:tcW w:w="1183" w:type="dxa"/>
            <w:tcBorders>
              <w:top w:val="nil"/>
              <w:left w:val="nil"/>
              <w:bottom w:val="single" w:sz="4" w:space="0" w:color="auto"/>
              <w:right w:val="single" w:sz="4" w:space="0" w:color="auto"/>
            </w:tcBorders>
            <w:noWrap/>
            <w:vAlign w:val="center"/>
            <w:hideMark/>
          </w:tcPr>
          <w:p w14:paraId="095BE83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0.2963***</w:t>
            </w:r>
          </w:p>
        </w:tc>
        <w:tc>
          <w:tcPr>
            <w:tcW w:w="1183" w:type="dxa"/>
            <w:tcBorders>
              <w:top w:val="nil"/>
              <w:left w:val="nil"/>
              <w:bottom w:val="single" w:sz="4" w:space="0" w:color="auto"/>
              <w:right w:val="single" w:sz="4" w:space="0" w:color="auto"/>
            </w:tcBorders>
            <w:noWrap/>
            <w:vAlign w:val="center"/>
            <w:hideMark/>
          </w:tcPr>
          <w:p w14:paraId="25E870E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0.1674*</w:t>
            </w:r>
          </w:p>
        </w:tc>
        <w:tc>
          <w:tcPr>
            <w:tcW w:w="1183" w:type="dxa"/>
            <w:tcBorders>
              <w:top w:val="nil"/>
              <w:left w:val="nil"/>
              <w:bottom w:val="single" w:sz="4" w:space="0" w:color="auto"/>
              <w:right w:val="single" w:sz="4" w:space="0" w:color="auto"/>
            </w:tcBorders>
            <w:noWrap/>
            <w:vAlign w:val="center"/>
            <w:hideMark/>
          </w:tcPr>
          <w:p w14:paraId="61402F7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0.3092***</w:t>
            </w:r>
          </w:p>
        </w:tc>
        <w:tc>
          <w:tcPr>
            <w:tcW w:w="1183" w:type="dxa"/>
            <w:tcBorders>
              <w:top w:val="nil"/>
              <w:left w:val="nil"/>
              <w:bottom w:val="single" w:sz="4" w:space="0" w:color="auto"/>
              <w:right w:val="single" w:sz="4" w:space="0" w:color="auto"/>
            </w:tcBorders>
            <w:noWrap/>
            <w:vAlign w:val="center"/>
            <w:hideMark/>
          </w:tcPr>
          <w:p w14:paraId="766A21D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0.3135***</w:t>
            </w:r>
          </w:p>
        </w:tc>
      </w:tr>
      <w:tr w:rsidR="000060BD" w:rsidRPr="00F803F9" w14:paraId="5930CE32"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0C17D747"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CL</w:t>
            </w:r>
          </w:p>
        </w:tc>
        <w:tc>
          <w:tcPr>
            <w:tcW w:w="1183" w:type="dxa"/>
            <w:tcBorders>
              <w:top w:val="nil"/>
              <w:left w:val="nil"/>
              <w:bottom w:val="single" w:sz="4" w:space="0" w:color="auto"/>
              <w:right w:val="single" w:sz="4" w:space="0" w:color="auto"/>
            </w:tcBorders>
            <w:noWrap/>
            <w:vAlign w:val="center"/>
            <w:hideMark/>
          </w:tcPr>
          <w:p w14:paraId="09AA791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-0.3771***</w:t>
            </w:r>
          </w:p>
        </w:tc>
        <w:tc>
          <w:tcPr>
            <w:tcW w:w="1183" w:type="dxa"/>
            <w:tcBorders>
              <w:top w:val="nil"/>
              <w:left w:val="nil"/>
              <w:bottom w:val="single" w:sz="4" w:space="0" w:color="auto"/>
              <w:right w:val="single" w:sz="4" w:space="0" w:color="auto"/>
            </w:tcBorders>
            <w:noWrap/>
            <w:vAlign w:val="center"/>
            <w:hideMark/>
          </w:tcPr>
          <w:p w14:paraId="6BF426F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-0.1613*</w:t>
            </w:r>
          </w:p>
        </w:tc>
        <w:tc>
          <w:tcPr>
            <w:tcW w:w="1183" w:type="dxa"/>
            <w:tcBorders>
              <w:top w:val="nil"/>
              <w:left w:val="nil"/>
              <w:bottom w:val="single" w:sz="4" w:space="0" w:color="auto"/>
              <w:right w:val="single" w:sz="4" w:space="0" w:color="auto"/>
            </w:tcBorders>
            <w:noWrap/>
            <w:vAlign w:val="center"/>
            <w:hideMark/>
          </w:tcPr>
          <w:p w14:paraId="1087DA1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0.3631***</w:t>
            </w:r>
          </w:p>
        </w:tc>
        <w:tc>
          <w:tcPr>
            <w:tcW w:w="1183" w:type="dxa"/>
            <w:tcBorders>
              <w:top w:val="nil"/>
              <w:left w:val="nil"/>
              <w:bottom w:val="single" w:sz="4" w:space="0" w:color="auto"/>
              <w:right w:val="single" w:sz="4" w:space="0" w:color="auto"/>
            </w:tcBorders>
            <w:noWrap/>
            <w:vAlign w:val="center"/>
            <w:hideMark/>
          </w:tcPr>
          <w:p w14:paraId="46C6E16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0.1352</w:t>
            </w:r>
          </w:p>
        </w:tc>
        <w:tc>
          <w:tcPr>
            <w:tcW w:w="1183" w:type="dxa"/>
            <w:tcBorders>
              <w:top w:val="nil"/>
              <w:left w:val="nil"/>
              <w:bottom w:val="single" w:sz="4" w:space="0" w:color="auto"/>
              <w:right w:val="single" w:sz="4" w:space="0" w:color="auto"/>
            </w:tcBorders>
            <w:noWrap/>
            <w:vAlign w:val="center"/>
            <w:hideMark/>
          </w:tcPr>
          <w:p w14:paraId="56C1EA9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0.3519***</w:t>
            </w:r>
          </w:p>
        </w:tc>
        <w:tc>
          <w:tcPr>
            <w:tcW w:w="1183" w:type="dxa"/>
            <w:tcBorders>
              <w:top w:val="nil"/>
              <w:left w:val="nil"/>
              <w:bottom w:val="single" w:sz="4" w:space="0" w:color="auto"/>
              <w:right w:val="single" w:sz="4" w:space="0" w:color="auto"/>
            </w:tcBorders>
            <w:noWrap/>
            <w:vAlign w:val="center"/>
            <w:hideMark/>
          </w:tcPr>
          <w:p w14:paraId="6852335E"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34898F0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0.1422</w:t>
            </w:r>
          </w:p>
        </w:tc>
        <w:tc>
          <w:tcPr>
            <w:tcW w:w="1183" w:type="dxa"/>
            <w:tcBorders>
              <w:top w:val="nil"/>
              <w:left w:val="nil"/>
              <w:bottom w:val="single" w:sz="4" w:space="0" w:color="auto"/>
              <w:right w:val="single" w:sz="4" w:space="0" w:color="auto"/>
            </w:tcBorders>
            <w:noWrap/>
            <w:vAlign w:val="center"/>
            <w:hideMark/>
          </w:tcPr>
          <w:p w14:paraId="1C41501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0.2663***</w:t>
            </w:r>
          </w:p>
        </w:tc>
        <w:tc>
          <w:tcPr>
            <w:tcW w:w="1183" w:type="dxa"/>
            <w:tcBorders>
              <w:top w:val="nil"/>
              <w:left w:val="nil"/>
              <w:bottom w:val="single" w:sz="4" w:space="0" w:color="auto"/>
              <w:right w:val="single" w:sz="4" w:space="0" w:color="auto"/>
            </w:tcBorders>
            <w:noWrap/>
            <w:vAlign w:val="center"/>
            <w:hideMark/>
          </w:tcPr>
          <w:p w14:paraId="10A9896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0.5415***</w:t>
            </w:r>
          </w:p>
        </w:tc>
        <w:tc>
          <w:tcPr>
            <w:tcW w:w="1183" w:type="dxa"/>
            <w:tcBorders>
              <w:top w:val="nil"/>
              <w:left w:val="nil"/>
              <w:bottom w:val="single" w:sz="4" w:space="0" w:color="auto"/>
              <w:right w:val="single" w:sz="4" w:space="0" w:color="auto"/>
            </w:tcBorders>
            <w:noWrap/>
            <w:vAlign w:val="center"/>
            <w:hideMark/>
          </w:tcPr>
          <w:p w14:paraId="5309C7A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0.2200**</w:t>
            </w:r>
          </w:p>
        </w:tc>
        <w:tc>
          <w:tcPr>
            <w:tcW w:w="1183" w:type="dxa"/>
            <w:tcBorders>
              <w:top w:val="nil"/>
              <w:left w:val="nil"/>
              <w:bottom w:val="single" w:sz="4" w:space="0" w:color="auto"/>
              <w:right w:val="single" w:sz="4" w:space="0" w:color="auto"/>
            </w:tcBorders>
            <w:noWrap/>
            <w:vAlign w:val="center"/>
            <w:hideMark/>
          </w:tcPr>
          <w:p w14:paraId="393C4BB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0.048</w:t>
            </w:r>
          </w:p>
        </w:tc>
      </w:tr>
      <w:tr w:rsidR="000060BD" w:rsidRPr="00F803F9" w14:paraId="0B5B4B63"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40632889"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NSPC</w:t>
            </w:r>
          </w:p>
        </w:tc>
        <w:tc>
          <w:tcPr>
            <w:tcW w:w="1183" w:type="dxa"/>
            <w:tcBorders>
              <w:top w:val="nil"/>
              <w:left w:val="nil"/>
              <w:bottom w:val="single" w:sz="4" w:space="0" w:color="auto"/>
              <w:right w:val="single" w:sz="4" w:space="0" w:color="auto"/>
            </w:tcBorders>
            <w:noWrap/>
            <w:vAlign w:val="center"/>
            <w:hideMark/>
          </w:tcPr>
          <w:p w14:paraId="3716D77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-0.0505</w:t>
            </w:r>
          </w:p>
        </w:tc>
        <w:tc>
          <w:tcPr>
            <w:tcW w:w="1183" w:type="dxa"/>
            <w:tcBorders>
              <w:top w:val="nil"/>
              <w:left w:val="nil"/>
              <w:bottom w:val="single" w:sz="4" w:space="0" w:color="auto"/>
              <w:right w:val="single" w:sz="4" w:space="0" w:color="auto"/>
            </w:tcBorders>
            <w:noWrap/>
            <w:vAlign w:val="center"/>
            <w:hideMark/>
          </w:tcPr>
          <w:p w14:paraId="025536A5"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-0.0441</w:t>
            </w:r>
          </w:p>
        </w:tc>
        <w:tc>
          <w:tcPr>
            <w:tcW w:w="1183" w:type="dxa"/>
            <w:tcBorders>
              <w:top w:val="nil"/>
              <w:left w:val="nil"/>
              <w:bottom w:val="single" w:sz="4" w:space="0" w:color="auto"/>
              <w:right w:val="single" w:sz="4" w:space="0" w:color="auto"/>
            </w:tcBorders>
            <w:noWrap/>
            <w:vAlign w:val="center"/>
            <w:hideMark/>
          </w:tcPr>
          <w:p w14:paraId="1A1E0AD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0.1935*</w:t>
            </w:r>
          </w:p>
        </w:tc>
        <w:tc>
          <w:tcPr>
            <w:tcW w:w="1183" w:type="dxa"/>
            <w:tcBorders>
              <w:top w:val="nil"/>
              <w:left w:val="nil"/>
              <w:bottom w:val="single" w:sz="4" w:space="0" w:color="auto"/>
              <w:right w:val="single" w:sz="4" w:space="0" w:color="auto"/>
            </w:tcBorders>
            <w:noWrap/>
            <w:vAlign w:val="center"/>
            <w:hideMark/>
          </w:tcPr>
          <w:p w14:paraId="0D91DA95"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0.1689*</w:t>
            </w:r>
          </w:p>
        </w:tc>
        <w:tc>
          <w:tcPr>
            <w:tcW w:w="1183" w:type="dxa"/>
            <w:tcBorders>
              <w:top w:val="nil"/>
              <w:left w:val="nil"/>
              <w:bottom w:val="single" w:sz="4" w:space="0" w:color="auto"/>
              <w:right w:val="single" w:sz="4" w:space="0" w:color="auto"/>
            </w:tcBorders>
            <w:noWrap/>
            <w:vAlign w:val="center"/>
            <w:hideMark/>
          </w:tcPr>
          <w:p w14:paraId="2F7B4AC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0.2522**</w:t>
            </w:r>
          </w:p>
        </w:tc>
        <w:tc>
          <w:tcPr>
            <w:tcW w:w="1183" w:type="dxa"/>
            <w:tcBorders>
              <w:top w:val="nil"/>
              <w:left w:val="nil"/>
              <w:bottom w:val="single" w:sz="4" w:space="0" w:color="auto"/>
              <w:right w:val="single" w:sz="4" w:space="0" w:color="auto"/>
            </w:tcBorders>
            <w:noWrap/>
            <w:vAlign w:val="center"/>
            <w:hideMark/>
          </w:tcPr>
          <w:p w14:paraId="27F0035E"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0.1422</w:t>
            </w:r>
          </w:p>
        </w:tc>
        <w:tc>
          <w:tcPr>
            <w:tcW w:w="1183" w:type="dxa"/>
            <w:tcBorders>
              <w:top w:val="nil"/>
              <w:left w:val="nil"/>
              <w:bottom w:val="single" w:sz="4" w:space="0" w:color="auto"/>
              <w:right w:val="single" w:sz="4" w:space="0" w:color="auto"/>
            </w:tcBorders>
            <w:noWrap/>
            <w:vAlign w:val="center"/>
            <w:hideMark/>
          </w:tcPr>
          <w:p w14:paraId="3DBDEF8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3A9B321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0.2988***</w:t>
            </w:r>
          </w:p>
        </w:tc>
        <w:tc>
          <w:tcPr>
            <w:tcW w:w="1183" w:type="dxa"/>
            <w:tcBorders>
              <w:top w:val="nil"/>
              <w:left w:val="nil"/>
              <w:bottom w:val="single" w:sz="4" w:space="0" w:color="auto"/>
              <w:right w:val="single" w:sz="4" w:space="0" w:color="auto"/>
            </w:tcBorders>
            <w:noWrap/>
            <w:vAlign w:val="center"/>
            <w:hideMark/>
          </w:tcPr>
          <w:p w14:paraId="6EDC5AB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-0.0595</w:t>
            </w:r>
          </w:p>
        </w:tc>
        <w:tc>
          <w:tcPr>
            <w:tcW w:w="1183" w:type="dxa"/>
            <w:tcBorders>
              <w:top w:val="nil"/>
              <w:left w:val="nil"/>
              <w:bottom w:val="single" w:sz="4" w:space="0" w:color="auto"/>
              <w:right w:val="single" w:sz="4" w:space="0" w:color="auto"/>
            </w:tcBorders>
            <w:noWrap/>
            <w:vAlign w:val="center"/>
            <w:hideMark/>
          </w:tcPr>
          <w:p w14:paraId="1691F71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0.2447**</w:t>
            </w:r>
          </w:p>
        </w:tc>
        <w:tc>
          <w:tcPr>
            <w:tcW w:w="1183" w:type="dxa"/>
            <w:tcBorders>
              <w:top w:val="nil"/>
              <w:left w:val="nil"/>
              <w:bottom w:val="single" w:sz="4" w:space="0" w:color="auto"/>
              <w:right w:val="single" w:sz="4" w:space="0" w:color="auto"/>
            </w:tcBorders>
            <w:noWrap/>
            <w:vAlign w:val="center"/>
            <w:hideMark/>
          </w:tcPr>
          <w:p w14:paraId="78C07BD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0.2378**</w:t>
            </w:r>
          </w:p>
        </w:tc>
      </w:tr>
      <w:tr w:rsidR="000060BD" w:rsidRPr="00F803F9" w14:paraId="375380CF"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4867C0A6"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TSW</w:t>
            </w:r>
          </w:p>
        </w:tc>
        <w:tc>
          <w:tcPr>
            <w:tcW w:w="1183" w:type="dxa"/>
            <w:tcBorders>
              <w:top w:val="nil"/>
              <w:left w:val="nil"/>
              <w:bottom w:val="single" w:sz="4" w:space="0" w:color="auto"/>
              <w:right w:val="single" w:sz="4" w:space="0" w:color="auto"/>
            </w:tcBorders>
            <w:noWrap/>
            <w:vAlign w:val="center"/>
            <w:hideMark/>
          </w:tcPr>
          <w:p w14:paraId="4F56762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-0.1099</w:t>
            </w:r>
          </w:p>
        </w:tc>
        <w:tc>
          <w:tcPr>
            <w:tcW w:w="1183" w:type="dxa"/>
            <w:tcBorders>
              <w:top w:val="nil"/>
              <w:left w:val="nil"/>
              <w:bottom w:val="single" w:sz="4" w:space="0" w:color="auto"/>
              <w:right w:val="single" w:sz="4" w:space="0" w:color="auto"/>
            </w:tcBorders>
            <w:noWrap/>
            <w:vAlign w:val="center"/>
            <w:hideMark/>
          </w:tcPr>
          <w:p w14:paraId="430055F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-0.0835</w:t>
            </w:r>
          </w:p>
        </w:tc>
        <w:tc>
          <w:tcPr>
            <w:tcW w:w="1183" w:type="dxa"/>
            <w:tcBorders>
              <w:top w:val="nil"/>
              <w:left w:val="nil"/>
              <w:bottom w:val="single" w:sz="4" w:space="0" w:color="auto"/>
              <w:right w:val="single" w:sz="4" w:space="0" w:color="auto"/>
            </w:tcBorders>
            <w:noWrap/>
            <w:vAlign w:val="center"/>
            <w:hideMark/>
          </w:tcPr>
          <w:p w14:paraId="7EEED8B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0.2929***</w:t>
            </w:r>
          </w:p>
        </w:tc>
        <w:tc>
          <w:tcPr>
            <w:tcW w:w="1183" w:type="dxa"/>
            <w:tcBorders>
              <w:top w:val="nil"/>
              <w:left w:val="nil"/>
              <w:bottom w:val="single" w:sz="4" w:space="0" w:color="auto"/>
              <w:right w:val="single" w:sz="4" w:space="0" w:color="auto"/>
            </w:tcBorders>
            <w:noWrap/>
            <w:vAlign w:val="center"/>
            <w:hideMark/>
          </w:tcPr>
          <w:p w14:paraId="2BFCEB9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0.1966*</w:t>
            </w:r>
          </w:p>
        </w:tc>
        <w:tc>
          <w:tcPr>
            <w:tcW w:w="1183" w:type="dxa"/>
            <w:tcBorders>
              <w:top w:val="nil"/>
              <w:left w:val="nil"/>
              <w:bottom w:val="single" w:sz="4" w:space="0" w:color="auto"/>
              <w:right w:val="single" w:sz="4" w:space="0" w:color="auto"/>
            </w:tcBorders>
            <w:noWrap/>
            <w:vAlign w:val="center"/>
            <w:hideMark/>
          </w:tcPr>
          <w:p w14:paraId="20E6536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0.2963***</w:t>
            </w:r>
          </w:p>
        </w:tc>
        <w:tc>
          <w:tcPr>
            <w:tcW w:w="1183" w:type="dxa"/>
            <w:tcBorders>
              <w:top w:val="nil"/>
              <w:left w:val="nil"/>
              <w:bottom w:val="single" w:sz="4" w:space="0" w:color="auto"/>
              <w:right w:val="single" w:sz="4" w:space="0" w:color="auto"/>
            </w:tcBorders>
            <w:noWrap/>
            <w:vAlign w:val="center"/>
            <w:hideMark/>
          </w:tcPr>
          <w:p w14:paraId="3F1B3B1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0.2663***</w:t>
            </w:r>
          </w:p>
        </w:tc>
        <w:tc>
          <w:tcPr>
            <w:tcW w:w="1183" w:type="dxa"/>
            <w:tcBorders>
              <w:top w:val="nil"/>
              <w:left w:val="nil"/>
              <w:bottom w:val="single" w:sz="4" w:space="0" w:color="auto"/>
              <w:right w:val="single" w:sz="4" w:space="0" w:color="auto"/>
            </w:tcBorders>
            <w:noWrap/>
            <w:vAlign w:val="center"/>
            <w:hideMark/>
          </w:tcPr>
          <w:p w14:paraId="12B6A79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0.2988***</w:t>
            </w:r>
          </w:p>
        </w:tc>
        <w:tc>
          <w:tcPr>
            <w:tcW w:w="1183" w:type="dxa"/>
            <w:tcBorders>
              <w:top w:val="nil"/>
              <w:left w:val="nil"/>
              <w:bottom w:val="single" w:sz="4" w:space="0" w:color="auto"/>
              <w:right w:val="single" w:sz="4" w:space="0" w:color="auto"/>
            </w:tcBorders>
            <w:noWrap/>
            <w:vAlign w:val="center"/>
            <w:hideMark/>
          </w:tcPr>
          <w:p w14:paraId="044720B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37BF11C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0.071</w:t>
            </w:r>
          </w:p>
        </w:tc>
        <w:tc>
          <w:tcPr>
            <w:tcW w:w="1183" w:type="dxa"/>
            <w:tcBorders>
              <w:top w:val="nil"/>
              <w:left w:val="nil"/>
              <w:bottom w:val="single" w:sz="4" w:space="0" w:color="auto"/>
              <w:right w:val="single" w:sz="4" w:space="0" w:color="auto"/>
            </w:tcBorders>
            <w:noWrap/>
            <w:vAlign w:val="center"/>
            <w:hideMark/>
          </w:tcPr>
          <w:p w14:paraId="3819DE7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0.2177**</w:t>
            </w:r>
          </w:p>
        </w:tc>
        <w:tc>
          <w:tcPr>
            <w:tcW w:w="1183" w:type="dxa"/>
            <w:tcBorders>
              <w:top w:val="nil"/>
              <w:left w:val="nil"/>
              <w:bottom w:val="single" w:sz="4" w:space="0" w:color="auto"/>
              <w:right w:val="single" w:sz="4" w:space="0" w:color="auto"/>
            </w:tcBorders>
            <w:noWrap/>
            <w:vAlign w:val="center"/>
            <w:hideMark/>
          </w:tcPr>
          <w:p w14:paraId="5377D5D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0.2496**</w:t>
            </w:r>
          </w:p>
        </w:tc>
      </w:tr>
      <w:tr w:rsidR="000060BD" w:rsidRPr="00F803F9" w14:paraId="5EBEE240"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198147AA"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OC</w:t>
            </w:r>
          </w:p>
        </w:tc>
        <w:tc>
          <w:tcPr>
            <w:tcW w:w="1183" w:type="dxa"/>
            <w:tcBorders>
              <w:top w:val="nil"/>
              <w:left w:val="nil"/>
              <w:bottom w:val="single" w:sz="4" w:space="0" w:color="auto"/>
              <w:right w:val="single" w:sz="4" w:space="0" w:color="auto"/>
            </w:tcBorders>
            <w:noWrap/>
            <w:vAlign w:val="center"/>
            <w:hideMark/>
          </w:tcPr>
          <w:p w14:paraId="0FA6FCA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-0.3679***</w:t>
            </w:r>
          </w:p>
        </w:tc>
        <w:tc>
          <w:tcPr>
            <w:tcW w:w="1183" w:type="dxa"/>
            <w:tcBorders>
              <w:top w:val="nil"/>
              <w:left w:val="nil"/>
              <w:bottom w:val="single" w:sz="4" w:space="0" w:color="auto"/>
              <w:right w:val="single" w:sz="4" w:space="0" w:color="auto"/>
            </w:tcBorders>
            <w:noWrap/>
            <w:vAlign w:val="center"/>
            <w:hideMark/>
          </w:tcPr>
          <w:p w14:paraId="14377FD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-0.1990*</w:t>
            </w:r>
          </w:p>
        </w:tc>
        <w:tc>
          <w:tcPr>
            <w:tcW w:w="1183" w:type="dxa"/>
            <w:tcBorders>
              <w:top w:val="nil"/>
              <w:left w:val="nil"/>
              <w:bottom w:val="single" w:sz="4" w:space="0" w:color="auto"/>
              <w:right w:val="single" w:sz="4" w:space="0" w:color="auto"/>
            </w:tcBorders>
            <w:noWrap/>
            <w:vAlign w:val="center"/>
            <w:hideMark/>
          </w:tcPr>
          <w:p w14:paraId="3030278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0.1959*</w:t>
            </w:r>
          </w:p>
        </w:tc>
        <w:tc>
          <w:tcPr>
            <w:tcW w:w="1183" w:type="dxa"/>
            <w:tcBorders>
              <w:top w:val="nil"/>
              <w:left w:val="nil"/>
              <w:bottom w:val="single" w:sz="4" w:space="0" w:color="auto"/>
              <w:right w:val="single" w:sz="4" w:space="0" w:color="auto"/>
            </w:tcBorders>
            <w:noWrap/>
            <w:vAlign w:val="center"/>
            <w:hideMark/>
          </w:tcPr>
          <w:p w14:paraId="426970B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-0.0017</w:t>
            </w:r>
          </w:p>
        </w:tc>
        <w:tc>
          <w:tcPr>
            <w:tcW w:w="1183" w:type="dxa"/>
            <w:tcBorders>
              <w:top w:val="nil"/>
              <w:left w:val="nil"/>
              <w:bottom w:val="single" w:sz="4" w:space="0" w:color="auto"/>
              <w:right w:val="single" w:sz="4" w:space="0" w:color="auto"/>
            </w:tcBorders>
            <w:noWrap/>
            <w:vAlign w:val="center"/>
            <w:hideMark/>
          </w:tcPr>
          <w:p w14:paraId="6216BE74"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0.1674*</w:t>
            </w:r>
          </w:p>
        </w:tc>
        <w:tc>
          <w:tcPr>
            <w:tcW w:w="1183" w:type="dxa"/>
            <w:tcBorders>
              <w:top w:val="nil"/>
              <w:left w:val="nil"/>
              <w:bottom w:val="single" w:sz="4" w:space="0" w:color="auto"/>
              <w:right w:val="single" w:sz="4" w:space="0" w:color="auto"/>
            </w:tcBorders>
            <w:noWrap/>
            <w:vAlign w:val="center"/>
            <w:hideMark/>
          </w:tcPr>
          <w:p w14:paraId="1D95400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0.5415***</w:t>
            </w:r>
          </w:p>
        </w:tc>
        <w:tc>
          <w:tcPr>
            <w:tcW w:w="1183" w:type="dxa"/>
            <w:tcBorders>
              <w:top w:val="nil"/>
              <w:left w:val="nil"/>
              <w:bottom w:val="single" w:sz="4" w:space="0" w:color="auto"/>
              <w:right w:val="single" w:sz="4" w:space="0" w:color="auto"/>
            </w:tcBorders>
            <w:noWrap/>
            <w:vAlign w:val="center"/>
            <w:hideMark/>
          </w:tcPr>
          <w:p w14:paraId="01C64F3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-0.0595</w:t>
            </w:r>
          </w:p>
        </w:tc>
        <w:tc>
          <w:tcPr>
            <w:tcW w:w="1183" w:type="dxa"/>
            <w:tcBorders>
              <w:top w:val="nil"/>
              <w:left w:val="nil"/>
              <w:bottom w:val="single" w:sz="4" w:space="0" w:color="auto"/>
              <w:right w:val="single" w:sz="4" w:space="0" w:color="auto"/>
            </w:tcBorders>
            <w:noWrap/>
            <w:vAlign w:val="center"/>
            <w:hideMark/>
          </w:tcPr>
          <w:p w14:paraId="2FD9E8C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0.071</w:t>
            </w:r>
          </w:p>
        </w:tc>
        <w:tc>
          <w:tcPr>
            <w:tcW w:w="1183" w:type="dxa"/>
            <w:tcBorders>
              <w:top w:val="nil"/>
              <w:left w:val="nil"/>
              <w:bottom w:val="single" w:sz="4" w:space="0" w:color="auto"/>
              <w:right w:val="single" w:sz="4" w:space="0" w:color="auto"/>
            </w:tcBorders>
            <w:noWrap/>
            <w:vAlign w:val="center"/>
            <w:hideMark/>
          </w:tcPr>
          <w:p w14:paraId="55C4783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6D45610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0.2629**</w:t>
            </w:r>
          </w:p>
        </w:tc>
        <w:tc>
          <w:tcPr>
            <w:tcW w:w="1183" w:type="dxa"/>
            <w:tcBorders>
              <w:top w:val="nil"/>
              <w:left w:val="nil"/>
              <w:bottom w:val="single" w:sz="4" w:space="0" w:color="auto"/>
              <w:right w:val="single" w:sz="4" w:space="0" w:color="auto"/>
            </w:tcBorders>
            <w:noWrap/>
            <w:vAlign w:val="center"/>
            <w:hideMark/>
          </w:tcPr>
          <w:p w14:paraId="19A80B1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-0.0758</w:t>
            </w:r>
          </w:p>
        </w:tc>
      </w:tr>
      <w:tr w:rsidR="000060BD" w:rsidRPr="00F803F9" w14:paraId="070BFDFC"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5BFA8A1D"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BYPP</w:t>
            </w:r>
          </w:p>
        </w:tc>
        <w:tc>
          <w:tcPr>
            <w:tcW w:w="1183" w:type="dxa"/>
            <w:tcBorders>
              <w:top w:val="nil"/>
              <w:left w:val="nil"/>
              <w:bottom w:val="single" w:sz="4" w:space="0" w:color="auto"/>
              <w:right w:val="single" w:sz="4" w:space="0" w:color="auto"/>
            </w:tcBorders>
            <w:noWrap/>
            <w:vAlign w:val="center"/>
            <w:hideMark/>
          </w:tcPr>
          <w:p w14:paraId="359164B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-0.0813</w:t>
            </w:r>
          </w:p>
        </w:tc>
        <w:tc>
          <w:tcPr>
            <w:tcW w:w="1183" w:type="dxa"/>
            <w:tcBorders>
              <w:top w:val="nil"/>
              <w:left w:val="nil"/>
              <w:bottom w:val="single" w:sz="4" w:space="0" w:color="auto"/>
              <w:right w:val="single" w:sz="4" w:space="0" w:color="auto"/>
            </w:tcBorders>
            <w:noWrap/>
            <w:vAlign w:val="center"/>
            <w:hideMark/>
          </w:tcPr>
          <w:p w14:paraId="25D15C5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-0.1669*</w:t>
            </w:r>
          </w:p>
        </w:tc>
        <w:tc>
          <w:tcPr>
            <w:tcW w:w="1183" w:type="dxa"/>
            <w:tcBorders>
              <w:top w:val="nil"/>
              <w:left w:val="nil"/>
              <w:bottom w:val="single" w:sz="4" w:space="0" w:color="auto"/>
              <w:right w:val="single" w:sz="4" w:space="0" w:color="auto"/>
            </w:tcBorders>
            <w:noWrap/>
            <w:vAlign w:val="center"/>
            <w:hideMark/>
          </w:tcPr>
          <w:p w14:paraId="6BD0D86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0.2701***</w:t>
            </w:r>
          </w:p>
        </w:tc>
        <w:tc>
          <w:tcPr>
            <w:tcW w:w="1183" w:type="dxa"/>
            <w:tcBorders>
              <w:top w:val="nil"/>
              <w:left w:val="nil"/>
              <w:bottom w:val="single" w:sz="4" w:space="0" w:color="auto"/>
              <w:right w:val="single" w:sz="4" w:space="0" w:color="auto"/>
            </w:tcBorders>
            <w:noWrap/>
            <w:vAlign w:val="center"/>
            <w:hideMark/>
          </w:tcPr>
          <w:p w14:paraId="460B2DAE"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0.1059</w:t>
            </w:r>
          </w:p>
        </w:tc>
        <w:tc>
          <w:tcPr>
            <w:tcW w:w="1183" w:type="dxa"/>
            <w:tcBorders>
              <w:top w:val="nil"/>
              <w:left w:val="nil"/>
              <w:bottom w:val="single" w:sz="4" w:space="0" w:color="auto"/>
              <w:right w:val="single" w:sz="4" w:space="0" w:color="auto"/>
            </w:tcBorders>
            <w:noWrap/>
            <w:vAlign w:val="center"/>
            <w:hideMark/>
          </w:tcPr>
          <w:p w14:paraId="35E437A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0.3092***</w:t>
            </w:r>
          </w:p>
        </w:tc>
        <w:tc>
          <w:tcPr>
            <w:tcW w:w="1183" w:type="dxa"/>
            <w:tcBorders>
              <w:top w:val="nil"/>
              <w:left w:val="nil"/>
              <w:bottom w:val="single" w:sz="4" w:space="0" w:color="auto"/>
              <w:right w:val="single" w:sz="4" w:space="0" w:color="auto"/>
            </w:tcBorders>
            <w:noWrap/>
            <w:vAlign w:val="center"/>
            <w:hideMark/>
          </w:tcPr>
          <w:p w14:paraId="0F384B3A"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0.2200**</w:t>
            </w:r>
          </w:p>
        </w:tc>
        <w:tc>
          <w:tcPr>
            <w:tcW w:w="1183" w:type="dxa"/>
            <w:tcBorders>
              <w:top w:val="nil"/>
              <w:left w:val="nil"/>
              <w:bottom w:val="single" w:sz="4" w:space="0" w:color="auto"/>
              <w:right w:val="single" w:sz="4" w:space="0" w:color="auto"/>
            </w:tcBorders>
            <w:noWrap/>
            <w:vAlign w:val="center"/>
            <w:hideMark/>
          </w:tcPr>
          <w:p w14:paraId="7DAABB1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0.2447**</w:t>
            </w:r>
          </w:p>
        </w:tc>
        <w:tc>
          <w:tcPr>
            <w:tcW w:w="1183" w:type="dxa"/>
            <w:tcBorders>
              <w:top w:val="nil"/>
              <w:left w:val="nil"/>
              <w:bottom w:val="single" w:sz="4" w:space="0" w:color="auto"/>
              <w:right w:val="single" w:sz="4" w:space="0" w:color="auto"/>
            </w:tcBorders>
            <w:noWrap/>
            <w:vAlign w:val="center"/>
            <w:hideMark/>
          </w:tcPr>
          <w:p w14:paraId="19D79AE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0.2177**</w:t>
            </w:r>
          </w:p>
        </w:tc>
        <w:tc>
          <w:tcPr>
            <w:tcW w:w="1183" w:type="dxa"/>
            <w:tcBorders>
              <w:top w:val="nil"/>
              <w:left w:val="nil"/>
              <w:bottom w:val="single" w:sz="4" w:space="0" w:color="auto"/>
              <w:right w:val="single" w:sz="4" w:space="0" w:color="auto"/>
            </w:tcBorders>
            <w:noWrap/>
            <w:vAlign w:val="center"/>
            <w:hideMark/>
          </w:tcPr>
          <w:p w14:paraId="7F5F337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0.2629**</w:t>
            </w:r>
          </w:p>
        </w:tc>
        <w:tc>
          <w:tcPr>
            <w:tcW w:w="1183" w:type="dxa"/>
            <w:tcBorders>
              <w:top w:val="nil"/>
              <w:left w:val="nil"/>
              <w:bottom w:val="single" w:sz="4" w:space="0" w:color="auto"/>
              <w:right w:val="single" w:sz="4" w:space="0" w:color="auto"/>
            </w:tcBorders>
            <w:noWrap/>
            <w:vAlign w:val="center"/>
            <w:hideMark/>
          </w:tcPr>
          <w:p w14:paraId="02462D0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5939520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w:t>
            </w:r>
          </w:p>
        </w:tc>
      </w:tr>
      <w:tr w:rsidR="000060BD" w:rsidRPr="00F803F9" w14:paraId="21E3E014"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721B5C33"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HI</w:t>
            </w:r>
          </w:p>
        </w:tc>
        <w:tc>
          <w:tcPr>
            <w:tcW w:w="1183" w:type="dxa"/>
            <w:tcBorders>
              <w:top w:val="nil"/>
              <w:left w:val="nil"/>
              <w:bottom w:val="single" w:sz="4" w:space="0" w:color="auto"/>
              <w:right w:val="single" w:sz="4" w:space="0" w:color="auto"/>
            </w:tcBorders>
            <w:noWrap/>
            <w:vAlign w:val="center"/>
            <w:hideMark/>
          </w:tcPr>
          <w:p w14:paraId="1EACFE7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-0.0698</w:t>
            </w:r>
          </w:p>
        </w:tc>
        <w:tc>
          <w:tcPr>
            <w:tcW w:w="1183" w:type="dxa"/>
            <w:tcBorders>
              <w:top w:val="nil"/>
              <w:left w:val="nil"/>
              <w:bottom w:val="single" w:sz="4" w:space="0" w:color="auto"/>
              <w:right w:val="single" w:sz="4" w:space="0" w:color="auto"/>
            </w:tcBorders>
            <w:noWrap/>
            <w:vAlign w:val="center"/>
            <w:hideMark/>
          </w:tcPr>
          <w:p w14:paraId="6DAA473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0.0254</w:t>
            </w:r>
          </w:p>
        </w:tc>
        <w:tc>
          <w:tcPr>
            <w:tcW w:w="1183" w:type="dxa"/>
            <w:tcBorders>
              <w:top w:val="nil"/>
              <w:left w:val="nil"/>
              <w:bottom w:val="single" w:sz="4" w:space="0" w:color="auto"/>
              <w:right w:val="single" w:sz="4" w:space="0" w:color="auto"/>
            </w:tcBorders>
            <w:noWrap/>
            <w:vAlign w:val="center"/>
            <w:hideMark/>
          </w:tcPr>
          <w:p w14:paraId="387BB13F"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0.3215***</w:t>
            </w:r>
          </w:p>
        </w:tc>
        <w:tc>
          <w:tcPr>
            <w:tcW w:w="1183" w:type="dxa"/>
            <w:tcBorders>
              <w:top w:val="nil"/>
              <w:left w:val="nil"/>
              <w:bottom w:val="single" w:sz="4" w:space="0" w:color="auto"/>
              <w:right w:val="single" w:sz="4" w:space="0" w:color="auto"/>
            </w:tcBorders>
            <w:noWrap/>
            <w:vAlign w:val="center"/>
            <w:hideMark/>
          </w:tcPr>
          <w:p w14:paraId="7C4B9FD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0.0791</w:t>
            </w:r>
          </w:p>
        </w:tc>
        <w:tc>
          <w:tcPr>
            <w:tcW w:w="1183" w:type="dxa"/>
            <w:tcBorders>
              <w:top w:val="nil"/>
              <w:left w:val="nil"/>
              <w:bottom w:val="single" w:sz="4" w:space="0" w:color="auto"/>
              <w:right w:val="single" w:sz="4" w:space="0" w:color="auto"/>
            </w:tcBorders>
            <w:noWrap/>
            <w:vAlign w:val="center"/>
            <w:hideMark/>
          </w:tcPr>
          <w:p w14:paraId="7C3EFE4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0.3135***</w:t>
            </w:r>
          </w:p>
        </w:tc>
        <w:tc>
          <w:tcPr>
            <w:tcW w:w="1183" w:type="dxa"/>
            <w:tcBorders>
              <w:top w:val="nil"/>
              <w:left w:val="nil"/>
              <w:bottom w:val="single" w:sz="4" w:space="0" w:color="auto"/>
              <w:right w:val="single" w:sz="4" w:space="0" w:color="auto"/>
            </w:tcBorders>
            <w:noWrap/>
            <w:vAlign w:val="center"/>
            <w:hideMark/>
          </w:tcPr>
          <w:p w14:paraId="17ADAC4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0.048</w:t>
            </w:r>
          </w:p>
        </w:tc>
        <w:tc>
          <w:tcPr>
            <w:tcW w:w="1183" w:type="dxa"/>
            <w:tcBorders>
              <w:top w:val="nil"/>
              <w:left w:val="nil"/>
              <w:bottom w:val="single" w:sz="4" w:space="0" w:color="auto"/>
              <w:right w:val="single" w:sz="4" w:space="0" w:color="auto"/>
            </w:tcBorders>
            <w:noWrap/>
            <w:vAlign w:val="center"/>
            <w:hideMark/>
          </w:tcPr>
          <w:p w14:paraId="7CB617F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0.2378**</w:t>
            </w:r>
          </w:p>
        </w:tc>
        <w:tc>
          <w:tcPr>
            <w:tcW w:w="1183" w:type="dxa"/>
            <w:tcBorders>
              <w:top w:val="nil"/>
              <w:left w:val="nil"/>
              <w:bottom w:val="single" w:sz="4" w:space="0" w:color="auto"/>
              <w:right w:val="single" w:sz="4" w:space="0" w:color="auto"/>
            </w:tcBorders>
            <w:noWrap/>
            <w:vAlign w:val="center"/>
            <w:hideMark/>
          </w:tcPr>
          <w:p w14:paraId="70C1930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0.2496**</w:t>
            </w:r>
          </w:p>
        </w:tc>
        <w:tc>
          <w:tcPr>
            <w:tcW w:w="1183" w:type="dxa"/>
            <w:tcBorders>
              <w:top w:val="nil"/>
              <w:left w:val="nil"/>
              <w:bottom w:val="single" w:sz="4" w:space="0" w:color="auto"/>
              <w:right w:val="single" w:sz="4" w:space="0" w:color="auto"/>
            </w:tcBorders>
            <w:noWrap/>
            <w:vAlign w:val="center"/>
            <w:hideMark/>
          </w:tcPr>
          <w:p w14:paraId="4D33488B"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-0.0758</w:t>
            </w:r>
          </w:p>
        </w:tc>
        <w:tc>
          <w:tcPr>
            <w:tcW w:w="1183" w:type="dxa"/>
            <w:tcBorders>
              <w:top w:val="nil"/>
              <w:left w:val="nil"/>
              <w:bottom w:val="single" w:sz="4" w:space="0" w:color="auto"/>
              <w:right w:val="single" w:sz="4" w:space="0" w:color="auto"/>
            </w:tcBorders>
            <w:noWrap/>
            <w:vAlign w:val="center"/>
            <w:hideMark/>
          </w:tcPr>
          <w:p w14:paraId="4372C8D9"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w:t>
            </w:r>
          </w:p>
        </w:tc>
        <w:tc>
          <w:tcPr>
            <w:tcW w:w="1183" w:type="dxa"/>
            <w:tcBorders>
              <w:top w:val="nil"/>
              <w:left w:val="nil"/>
              <w:bottom w:val="single" w:sz="4" w:space="0" w:color="auto"/>
              <w:right w:val="single" w:sz="4" w:space="0" w:color="auto"/>
            </w:tcBorders>
            <w:noWrap/>
            <w:vAlign w:val="center"/>
            <w:hideMark/>
          </w:tcPr>
          <w:p w14:paraId="25900A32"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w:t>
            </w:r>
          </w:p>
        </w:tc>
      </w:tr>
      <w:tr w:rsidR="000060BD" w:rsidRPr="00F803F9" w14:paraId="4A9EBC3E"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3E1836C8" w14:textId="77777777" w:rsidR="000060BD" w:rsidRPr="00F803F9" w:rsidRDefault="000060BD" w:rsidP="0031367B">
            <w:pPr>
              <w:spacing w:after="0" w:line="240" w:lineRule="auto"/>
              <w:ind w:left="-105" w:right="-78"/>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SYPP</w:t>
            </w:r>
          </w:p>
        </w:tc>
        <w:tc>
          <w:tcPr>
            <w:tcW w:w="1183" w:type="dxa"/>
            <w:tcBorders>
              <w:top w:val="nil"/>
              <w:left w:val="nil"/>
              <w:bottom w:val="single" w:sz="4" w:space="0" w:color="auto"/>
              <w:right w:val="single" w:sz="4" w:space="0" w:color="auto"/>
            </w:tcBorders>
            <w:noWrap/>
            <w:vAlign w:val="center"/>
            <w:hideMark/>
          </w:tcPr>
          <w:p w14:paraId="41FA767D"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w:t>
            </w:r>
          </w:p>
        </w:tc>
        <w:tc>
          <w:tcPr>
            <w:tcW w:w="1183" w:type="dxa"/>
            <w:tcBorders>
              <w:top w:val="nil"/>
              <w:left w:val="nil"/>
              <w:bottom w:val="single" w:sz="4" w:space="0" w:color="auto"/>
              <w:right w:val="single" w:sz="4" w:space="0" w:color="auto"/>
            </w:tcBorders>
            <w:noWrap/>
            <w:vAlign w:val="center"/>
            <w:hideMark/>
          </w:tcPr>
          <w:p w14:paraId="40A07F76"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-0.0407</w:t>
            </w:r>
          </w:p>
        </w:tc>
        <w:tc>
          <w:tcPr>
            <w:tcW w:w="1183" w:type="dxa"/>
            <w:tcBorders>
              <w:top w:val="nil"/>
              <w:left w:val="nil"/>
              <w:bottom w:val="single" w:sz="4" w:space="0" w:color="auto"/>
              <w:right w:val="single" w:sz="4" w:space="0" w:color="auto"/>
            </w:tcBorders>
            <w:noWrap/>
            <w:vAlign w:val="center"/>
            <w:hideMark/>
          </w:tcPr>
          <w:p w14:paraId="6846BAD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0.4513</w:t>
            </w:r>
          </w:p>
        </w:tc>
        <w:tc>
          <w:tcPr>
            <w:tcW w:w="1183" w:type="dxa"/>
            <w:tcBorders>
              <w:top w:val="nil"/>
              <w:left w:val="nil"/>
              <w:bottom w:val="single" w:sz="4" w:space="0" w:color="auto"/>
              <w:right w:val="single" w:sz="4" w:space="0" w:color="auto"/>
            </w:tcBorders>
            <w:noWrap/>
            <w:vAlign w:val="center"/>
            <w:hideMark/>
          </w:tcPr>
          <w:p w14:paraId="7C7AB64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0.1582</w:t>
            </w:r>
          </w:p>
        </w:tc>
        <w:tc>
          <w:tcPr>
            <w:tcW w:w="1183" w:type="dxa"/>
            <w:tcBorders>
              <w:top w:val="nil"/>
              <w:left w:val="nil"/>
              <w:bottom w:val="single" w:sz="4" w:space="0" w:color="auto"/>
              <w:right w:val="single" w:sz="4" w:space="0" w:color="auto"/>
            </w:tcBorders>
            <w:noWrap/>
            <w:vAlign w:val="center"/>
            <w:hideMark/>
          </w:tcPr>
          <w:p w14:paraId="0AB08CE8"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0.4766</w:t>
            </w:r>
          </w:p>
        </w:tc>
        <w:tc>
          <w:tcPr>
            <w:tcW w:w="1183" w:type="dxa"/>
            <w:tcBorders>
              <w:top w:val="nil"/>
              <w:left w:val="nil"/>
              <w:bottom w:val="single" w:sz="4" w:space="0" w:color="auto"/>
              <w:right w:val="single" w:sz="4" w:space="0" w:color="auto"/>
            </w:tcBorders>
            <w:noWrap/>
            <w:vAlign w:val="center"/>
            <w:hideMark/>
          </w:tcPr>
          <w:p w14:paraId="321A472C"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0.1652</w:t>
            </w:r>
          </w:p>
        </w:tc>
        <w:tc>
          <w:tcPr>
            <w:tcW w:w="1183" w:type="dxa"/>
            <w:tcBorders>
              <w:top w:val="nil"/>
              <w:left w:val="nil"/>
              <w:bottom w:val="single" w:sz="4" w:space="0" w:color="auto"/>
              <w:right w:val="single" w:sz="4" w:space="0" w:color="auto"/>
            </w:tcBorders>
            <w:noWrap/>
            <w:vAlign w:val="center"/>
            <w:hideMark/>
          </w:tcPr>
          <w:p w14:paraId="352920E0"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0.3157</w:t>
            </w:r>
          </w:p>
        </w:tc>
        <w:tc>
          <w:tcPr>
            <w:tcW w:w="1183" w:type="dxa"/>
            <w:tcBorders>
              <w:top w:val="nil"/>
              <w:left w:val="nil"/>
              <w:bottom w:val="single" w:sz="4" w:space="0" w:color="auto"/>
              <w:right w:val="single" w:sz="4" w:space="0" w:color="auto"/>
            </w:tcBorders>
            <w:noWrap/>
            <w:vAlign w:val="center"/>
            <w:hideMark/>
          </w:tcPr>
          <w:p w14:paraId="05DF0C91"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0.3513</w:t>
            </w:r>
          </w:p>
        </w:tc>
        <w:tc>
          <w:tcPr>
            <w:tcW w:w="1183" w:type="dxa"/>
            <w:tcBorders>
              <w:top w:val="nil"/>
              <w:left w:val="nil"/>
              <w:bottom w:val="single" w:sz="4" w:space="0" w:color="auto"/>
              <w:right w:val="single" w:sz="4" w:space="0" w:color="auto"/>
            </w:tcBorders>
            <w:noWrap/>
            <w:vAlign w:val="center"/>
            <w:hideMark/>
          </w:tcPr>
          <w:p w14:paraId="58F1CC5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0.1022</w:t>
            </w:r>
          </w:p>
        </w:tc>
        <w:tc>
          <w:tcPr>
            <w:tcW w:w="1183" w:type="dxa"/>
            <w:tcBorders>
              <w:top w:val="nil"/>
              <w:left w:val="nil"/>
              <w:bottom w:val="single" w:sz="4" w:space="0" w:color="auto"/>
              <w:right w:val="single" w:sz="4" w:space="0" w:color="auto"/>
            </w:tcBorders>
            <w:noWrap/>
            <w:vAlign w:val="center"/>
            <w:hideMark/>
          </w:tcPr>
          <w:p w14:paraId="4F386817"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0.5714</w:t>
            </w:r>
          </w:p>
        </w:tc>
        <w:tc>
          <w:tcPr>
            <w:tcW w:w="1183" w:type="dxa"/>
            <w:tcBorders>
              <w:top w:val="nil"/>
              <w:left w:val="nil"/>
              <w:bottom w:val="single" w:sz="4" w:space="0" w:color="auto"/>
              <w:right w:val="single" w:sz="4" w:space="0" w:color="auto"/>
            </w:tcBorders>
            <w:noWrap/>
            <w:vAlign w:val="center"/>
            <w:hideMark/>
          </w:tcPr>
          <w:p w14:paraId="41FE0F53" w14:textId="77777777" w:rsidR="000060BD" w:rsidRPr="00F803F9" w:rsidRDefault="000060BD" w:rsidP="0031367B">
            <w:pPr>
              <w:spacing w:after="0" w:line="240" w:lineRule="auto"/>
              <w:ind w:left="-105" w:right="-78"/>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0.7909</w:t>
            </w:r>
          </w:p>
        </w:tc>
      </w:tr>
    </w:tbl>
    <w:p w14:paraId="46A86F3D" w14:textId="77777777" w:rsidR="00003CCE" w:rsidRPr="00F803F9" w:rsidRDefault="00003CCE" w:rsidP="0031367B">
      <w:pPr>
        <w:spacing w:before="240" w:line="360" w:lineRule="auto"/>
        <w:ind w:left="1134" w:hanging="1134"/>
        <w:jc w:val="both"/>
        <w:rPr>
          <w:rFonts w:ascii="Times New Roman" w:hAnsi="Times New Roman" w:cs="Times New Roman"/>
          <w:b/>
          <w:bCs/>
          <w:color w:val="000000" w:themeColor="text1"/>
          <w:sz w:val="24"/>
          <w:szCs w:val="24"/>
        </w:rPr>
      </w:pPr>
      <w:r w:rsidRPr="00F803F9">
        <w:rPr>
          <w:rFonts w:ascii="Times New Roman" w:hAnsi="Times New Roman" w:cs="Times New Roman"/>
          <w:b/>
          <w:bCs/>
          <w:color w:val="000000" w:themeColor="text1"/>
          <w:sz w:val="24"/>
          <w:szCs w:val="24"/>
        </w:rPr>
        <w:t>Table 2:</w:t>
      </w:r>
      <w:r w:rsidRPr="00F803F9">
        <w:rPr>
          <w:rFonts w:ascii="Times New Roman" w:hAnsi="Times New Roman" w:cs="Times New Roman"/>
          <w:b/>
          <w:bCs/>
          <w:color w:val="000000" w:themeColor="text1"/>
          <w:sz w:val="24"/>
          <w:szCs w:val="24"/>
        </w:rPr>
        <w:tab/>
      </w:r>
      <w:r w:rsidR="000F2561" w:rsidRPr="00F803F9">
        <w:rPr>
          <w:rFonts w:ascii="Times New Roman" w:hAnsi="Times New Roman" w:cs="Times New Roman"/>
          <w:b/>
          <w:bCs/>
          <w:color w:val="000000" w:themeColor="text1"/>
          <w:sz w:val="24"/>
          <w:szCs w:val="24"/>
        </w:rPr>
        <w:t xml:space="preserve">Path analysis showing direct (diagonal values in bold) and indirect effects of various </w:t>
      </w:r>
      <w:proofErr w:type="spellStart"/>
      <w:r w:rsidR="000F2561" w:rsidRPr="00F803F9">
        <w:rPr>
          <w:rFonts w:ascii="Times New Roman" w:hAnsi="Times New Roman" w:cs="Times New Roman"/>
          <w:b/>
          <w:bCs/>
          <w:color w:val="000000" w:themeColor="text1"/>
          <w:sz w:val="24"/>
          <w:szCs w:val="24"/>
        </w:rPr>
        <w:t>agro</w:t>
      </w:r>
      <w:proofErr w:type="spellEnd"/>
      <w:r w:rsidR="000F2561" w:rsidRPr="00F803F9">
        <w:rPr>
          <w:rFonts w:ascii="Times New Roman" w:hAnsi="Times New Roman" w:cs="Times New Roman"/>
          <w:b/>
          <w:bCs/>
          <w:color w:val="000000" w:themeColor="text1"/>
          <w:sz w:val="24"/>
          <w:szCs w:val="24"/>
        </w:rPr>
        <w:t>-morphological traits on seed yield</w:t>
      </w:r>
    </w:p>
    <w:tbl>
      <w:tblPr>
        <w:tblW w:w="13935" w:type="dxa"/>
        <w:tblInd w:w="-5" w:type="dxa"/>
        <w:tblLook w:val="04A0" w:firstRow="1" w:lastRow="0" w:firstColumn="1" w:lastColumn="0" w:noHBand="0" w:noVBand="1"/>
      </w:tblPr>
      <w:tblGrid>
        <w:gridCol w:w="1157"/>
        <w:gridCol w:w="1157"/>
        <w:gridCol w:w="1157"/>
        <w:gridCol w:w="1157"/>
        <w:gridCol w:w="1157"/>
        <w:gridCol w:w="1157"/>
        <w:gridCol w:w="1157"/>
        <w:gridCol w:w="1157"/>
        <w:gridCol w:w="1157"/>
        <w:gridCol w:w="1157"/>
        <w:gridCol w:w="1157"/>
        <w:gridCol w:w="1208"/>
      </w:tblGrid>
      <w:tr w:rsidR="000060BD" w:rsidRPr="00F803F9" w14:paraId="582BD268" w14:textId="77777777" w:rsidTr="000F2561">
        <w:trPr>
          <w:trHeight w:val="259"/>
        </w:trPr>
        <w:tc>
          <w:tcPr>
            <w:tcW w:w="1157" w:type="dxa"/>
            <w:tcBorders>
              <w:top w:val="single" w:sz="4" w:space="0" w:color="auto"/>
              <w:left w:val="single" w:sz="4" w:space="0" w:color="auto"/>
              <w:bottom w:val="single" w:sz="4" w:space="0" w:color="auto"/>
              <w:right w:val="single" w:sz="4" w:space="0" w:color="auto"/>
            </w:tcBorders>
            <w:vAlign w:val="center"/>
            <w:hideMark/>
          </w:tcPr>
          <w:p w14:paraId="46C05366" w14:textId="77777777" w:rsidR="000060BD" w:rsidRPr="00F803F9" w:rsidRDefault="000F2561"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Traits</w:t>
            </w:r>
            <w:r w:rsidR="000060BD" w:rsidRPr="00F803F9">
              <w:rPr>
                <w:rFonts w:ascii="Times New Roman" w:eastAsia="Times New Roman" w:hAnsi="Times New Roman" w:cs="Times New Roman"/>
                <w:b/>
                <w:bCs/>
                <w:color w:val="000000"/>
                <w:sz w:val="20"/>
                <w:lang w:eastAsia="en-IN"/>
              </w:rPr>
              <w:t> </w:t>
            </w:r>
          </w:p>
        </w:tc>
        <w:tc>
          <w:tcPr>
            <w:tcW w:w="1157" w:type="dxa"/>
            <w:tcBorders>
              <w:top w:val="single" w:sz="4" w:space="0" w:color="auto"/>
              <w:left w:val="nil"/>
              <w:bottom w:val="single" w:sz="4" w:space="0" w:color="auto"/>
              <w:right w:val="single" w:sz="4" w:space="0" w:color="auto"/>
            </w:tcBorders>
            <w:vAlign w:val="center"/>
            <w:hideMark/>
          </w:tcPr>
          <w:p w14:paraId="5B4C3A88"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DTF</w:t>
            </w:r>
          </w:p>
        </w:tc>
        <w:tc>
          <w:tcPr>
            <w:tcW w:w="1157" w:type="dxa"/>
            <w:tcBorders>
              <w:top w:val="single" w:sz="4" w:space="0" w:color="auto"/>
              <w:left w:val="nil"/>
              <w:bottom w:val="single" w:sz="4" w:space="0" w:color="auto"/>
              <w:right w:val="single" w:sz="4" w:space="0" w:color="auto"/>
            </w:tcBorders>
            <w:vAlign w:val="center"/>
            <w:hideMark/>
          </w:tcPr>
          <w:p w14:paraId="166E6261"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DTM</w:t>
            </w:r>
          </w:p>
        </w:tc>
        <w:tc>
          <w:tcPr>
            <w:tcW w:w="1157" w:type="dxa"/>
            <w:tcBorders>
              <w:top w:val="single" w:sz="4" w:space="0" w:color="auto"/>
              <w:left w:val="nil"/>
              <w:bottom w:val="single" w:sz="4" w:space="0" w:color="auto"/>
              <w:right w:val="single" w:sz="4" w:space="0" w:color="auto"/>
            </w:tcBorders>
            <w:vAlign w:val="center"/>
            <w:hideMark/>
          </w:tcPr>
          <w:p w14:paraId="23C0D717"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PH</w:t>
            </w:r>
          </w:p>
        </w:tc>
        <w:tc>
          <w:tcPr>
            <w:tcW w:w="1157" w:type="dxa"/>
            <w:tcBorders>
              <w:top w:val="single" w:sz="4" w:space="0" w:color="auto"/>
              <w:left w:val="nil"/>
              <w:bottom w:val="single" w:sz="4" w:space="0" w:color="auto"/>
              <w:right w:val="single" w:sz="4" w:space="0" w:color="auto"/>
            </w:tcBorders>
            <w:vAlign w:val="center"/>
            <w:hideMark/>
          </w:tcPr>
          <w:p w14:paraId="38085B82"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NPBPP</w:t>
            </w:r>
          </w:p>
        </w:tc>
        <w:tc>
          <w:tcPr>
            <w:tcW w:w="1157" w:type="dxa"/>
            <w:tcBorders>
              <w:top w:val="single" w:sz="4" w:space="0" w:color="auto"/>
              <w:left w:val="nil"/>
              <w:bottom w:val="single" w:sz="4" w:space="0" w:color="auto"/>
              <w:right w:val="single" w:sz="4" w:space="0" w:color="auto"/>
            </w:tcBorders>
            <w:vAlign w:val="center"/>
            <w:hideMark/>
          </w:tcPr>
          <w:p w14:paraId="33AB4F03"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NCPP</w:t>
            </w:r>
          </w:p>
        </w:tc>
        <w:tc>
          <w:tcPr>
            <w:tcW w:w="1157" w:type="dxa"/>
            <w:tcBorders>
              <w:top w:val="single" w:sz="4" w:space="0" w:color="auto"/>
              <w:left w:val="nil"/>
              <w:bottom w:val="single" w:sz="4" w:space="0" w:color="auto"/>
              <w:right w:val="single" w:sz="4" w:space="0" w:color="auto"/>
            </w:tcBorders>
            <w:vAlign w:val="center"/>
            <w:hideMark/>
          </w:tcPr>
          <w:p w14:paraId="4E02F630"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CL</w:t>
            </w:r>
          </w:p>
        </w:tc>
        <w:tc>
          <w:tcPr>
            <w:tcW w:w="1157" w:type="dxa"/>
            <w:tcBorders>
              <w:top w:val="single" w:sz="4" w:space="0" w:color="auto"/>
              <w:left w:val="nil"/>
              <w:bottom w:val="single" w:sz="4" w:space="0" w:color="auto"/>
              <w:right w:val="single" w:sz="4" w:space="0" w:color="auto"/>
            </w:tcBorders>
            <w:vAlign w:val="center"/>
            <w:hideMark/>
          </w:tcPr>
          <w:p w14:paraId="62AB6FF1"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NSPC</w:t>
            </w:r>
          </w:p>
        </w:tc>
        <w:tc>
          <w:tcPr>
            <w:tcW w:w="1157" w:type="dxa"/>
            <w:tcBorders>
              <w:top w:val="single" w:sz="4" w:space="0" w:color="auto"/>
              <w:left w:val="nil"/>
              <w:bottom w:val="single" w:sz="4" w:space="0" w:color="auto"/>
              <w:right w:val="single" w:sz="4" w:space="0" w:color="auto"/>
            </w:tcBorders>
            <w:vAlign w:val="center"/>
            <w:hideMark/>
          </w:tcPr>
          <w:p w14:paraId="65F26EF4"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TSW</w:t>
            </w:r>
          </w:p>
        </w:tc>
        <w:tc>
          <w:tcPr>
            <w:tcW w:w="1157" w:type="dxa"/>
            <w:tcBorders>
              <w:top w:val="single" w:sz="4" w:space="0" w:color="auto"/>
              <w:left w:val="nil"/>
              <w:bottom w:val="single" w:sz="4" w:space="0" w:color="auto"/>
              <w:right w:val="single" w:sz="4" w:space="0" w:color="auto"/>
            </w:tcBorders>
            <w:vAlign w:val="center"/>
            <w:hideMark/>
          </w:tcPr>
          <w:p w14:paraId="209770E4"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OC</w:t>
            </w:r>
          </w:p>
        </w:tc>
        <w:tc>
          <w:tcPr>
            <w:tcW w:w="1157" w:type="dxa"/>
            <w:tcBorders>
              <w:top w:val="single" w:sz="4" w:space="0" w:color="auto"/>
              <w:left w:val="nil"/>
              <w:bottom w:val="single" w:sz="4" w:space="0" w:color="auto"/>
              <w:right w:val="single" w:sz="4" w:space="0" w:color="auto"/>
            </w:tcBorders>
            <w:vAlign w:val="center"/>
            <w:hideMark/>
          </w:tcPr>
          <w:p w14:paraId="6CD2A408"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BYPP</w:t>
            </w:r>
          </w:p>
        </w:tc>
        <w:tc>
          <w:tcPr>
            <w:tcW w:w="1208" w:type="dxa"/>
            <w:tcBorders>
              <w:top w:val="single" w:sz="4" w:space="0" w:color="auto"/>
              <w:left w:val="nil"/>
              <w:bottom w:val="single" w:sz="4" w:space="0" w:color="auto"/>
              <w:right w:val="single" w:sz="4" w:space="0" w:color="auto"/>
            </w:tcBorders>
            <w:vAlign w:val="center"/>
            <w:hideMark/>
          </w:tcPr>
          <w:p w14:paraId="67EBB280"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HI</w:t>
            </w:r>
          </w:p>
        </w:tc>
      </w:tr>
      <w:tr w:rsidR="000060BD" w:rsidRPr="00F803F9" w14:paraId="144FDC19"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433CDEE"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DTF</w:t>
            </w:r>
          </w:p>
        </w:tc>
        <w:tc>
          <w:tcPr>
            <w:tcW w:w="1157" w:type="dxa"/>
            <w:tcBorders>
              <w:top w:val="nil"/>
              <w:left w:val="nil"/>
              <w:bottom w:val="single" w:sz="4" w:space="0" w:color="auto"/>
              <w:right w:val="single" w:sz="4" w:space="0" w:color="auto"/>
            </w:tcBorders>
            <w:vAlign w:val="center"/>
            <w:hideMark/>
          </w:tcPr>
          <w:p w14:paraId="726FD762"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-0.0592</w:t>
            </w:r>
          </w:p>
        </w:tc>
        <w:tc>
          <w:tcPr>
            <w:tcW w:w="1157" w:type="dxa"/>
            <w:tcBorders>
              <w:top w:val="nil"/>
              <w:left w:val="nil"/>
              <w:bottom w:val="single" w:sz="4" w:space="0" w:color="auto"/>
              <w:right w:val="single" w:sz="4" w:space="0" w:color="auto"/>
            </w:tcBorders>
            <w:vAlign w:val="center"/>
            <w:hideMark/>
          </w:tcPr>
          <w:p w14:paraId="47A6C61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-0.0373</w:t>
            </w:r>
          </w:p>
        </w:tc>
        <w:tc>
          <w:tcPr>
            <w:tcW w:w="1157" w:type="dxa"/>
            <w:tcBorders>
              <w:top w:val="nil"/>
              <w:left w:val="nil"/>
              <w:bottom w:val="single" w:sz="4" w:space="0" w:color="auto"/>
              <w:right w:val="single" w:sz="4" w:space="0" w:color="auto"/>
            </w:tcBorders>
            <w:vAlign w:val="center"/>
            <w:hideMark/>
          </w:tcPr>
          <w:p w14:paraId="6409FAA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0.0058</w:t>
            </w:r>
          </w:p>
        </w:tc>
        <w:tc>
          <w:tcPr>
            <w:tcW w:w="1157" w:type="dxa"/>
            <w:tcBorders>
              <w:top w:val="nil"/>
              <w:left w:val="nil"/>
              <w:bottom w:val="single" w:sz="4" w:space="0" w:color="auto"/>
              <w:right w:val="single" w:sz="4" w:space="0" w:color="auto"/>
            </w:tcBorders>
            <w:vAlign w:val="center"/>
            <w:hideMark/>
          </w:tcPr>
          <w:p w14:paraId="6DE1CF8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0.0007</w:t>
            </w:r>
          </w:p>
        </w:tc>
        <w:tc>
          <w:tcPr>
            <w:tcW w:w="1157" w:type="dxa"/>
            <w:tcBorders>
              <w:top w:val="nil"/>
              <w:left w:val="nil"/>
              <w:bottom w:val="single" w:sz="4" w:space="0" w:color="auto"/>
              <w:right w:val="single" w:sz="4" w:space="0" w:color="auto"/>
            </w:tcBorders>
            <w:vAlign w:val="center"/>
            <w:hideMark/>
          </w:tcPr>
          <w:p w14:paraId="0AE264D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w:t>
            </w:r>
          </w:p>
        </w:tc>
        <w:tc>
          <w:tcPr>
            <w:tcW w:w="1157" w:type="dxa"/>
            <w:tcBorders>
              <w:top w:val="nil"/>
              <w:left w:val="nil"/>
              <w:bottom w:val="single" w:sz="4" w:space="0" w:color="auto"/>
              <w:right w:val="single" w:sz="4" w:space="0" w:color="auto"/>
            </w:tcBorders>
            <w:vAlign w:val="center"/>
            <w:hideMark/>
          </w:tcPr>
          <w:p w14:paraId="2A43C2B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0.0331</w:t>
            </w:r>
          </w:p>
        </w:tc>
        <w:tc>
          <w:tcPr>
            <w:tcW w:w="1157" w:type="dxa"/>
            <w:tcBorders>
              <w:top w:val="nil"/>
              <w:left w:val="nil"/>
              <w:bottom w:val="single" w:sz="4" w:space="0" w:color="auto"/>
              <w:right w:val="single" w:sz="4" w:space="0" w:color="auto"/>
            </w:tcBorders>
            <w:vAlign w:val="center"/>
            <w:hideMark/>
          </w:tcPr>
          <w:p w14:paraId="0491667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0.0044</w:t>
            </w:r>
          </w:p>
        </w:tc>
        <w:tc>
          <w:tcPr>
            <w:tcW w:w="1157" w:type="dxa"/>
            <w:tcBorders>
              <w:top w:val="nil"/>
              <w:left w:val="nil"/>
              <w:bottom w:val="single" w:sz="4" w:space="0" w:color="auto"/>
              <w:right w:val="single" w:sz="4" w:space="0" w:color="auto"/>
            </w:tcBorders>
            <w:vAlign w:val="center"/>
            <w:hideMark/>
          </w:tcPr>
          <w:p w14:paraId="5915568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0.0067</w:t>
            </w:r>
          </w:p>
        </w:tc>
        <w:tc>
          <w:tcPr>
            <w:tcW w:w="1157" w:type="dxa"/>
            <w:tcBorders>
              <w:top w:val="nil"/>
              <w:left w:val="nil"/>
              <w:bottom w:val="single" w:sz="4" w:space="0" w:color="auto"/>
              <w:right w:val="single" w:sz="4" w:space="0" w:color="auto"/>
            </w:tcBorders>
            <w:vAlign w:val="center"/>
            <w:hideMark/>
          </w:tcPr>
          <w:p w14:paraId="22A5245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0.0386</w:t>
            </w:r>
          </w:p>
        </w:tc>
        <w:tc>
          <w:tcPr>
            <w:tcW w:w="1157" w:type="dxa"/>
            <w:tcBorders>
              <w:top w:val="nil"/>
              <w:left w:val="nil"/>
              <w:bottom w:val="single" w:sz="4" w:space="0" w:color="auto"/>
              <w:right w:val="single" w:sz="4" w:space="0" w:color="auto"/>
            </w:tcBorders>
            <w:vAlign w:val="center"/>
            <w:hideMark/>
          </w:tcPr>
          <w:p w14:paraId="34706A1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0.0445</w:t>
            </w:r>
          </w:p>
        </w:tc>
        <w:tc>
          <w:tcPr>
            <w:tcW w:w="1208" w:type="dxa"/>
            <w:tcBorders>
              <w:top w:val="nil"/>
              <w:left w:val="nil"/>
              <w:bottom w:val="single" w:sz="4" w:space="0" w:color="auto"/>
              <w:right w:val="single" w:sz="4" w:space="0" w:color="auto"/>
            </w:tcBorders>
            <w:vAlign w:val="center"/>
            <w:hideMark/>
          </w:tcPr>
          <w:p w14:paraId="57A29C3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0.0002</w:t>
            </w:r>
          </w:p>
        </w:tc>
      </w:tr>
      <w:tr w:rsidR="000060BD" w:rsidRPr="00F803F9" w14:paraId="112F21AC"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56BB770F"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DTM</w:t>
            </w:r>
          </w:p>
        </w:tc>
        <w:tc>
          <w:tcPr>
            <w:tcW w:w="1157" w:type="dxa"/>
            <w:tcBorders>
              <w:top w:val="nil"/>
              <w:left w:val="nil"/>
              <w:bottom w:val="single" w:sz="4" w:space="0" w:color="auto"/>
              <w:right w:val="single" w:sz="4" w:space="0" w:color="auto"/>
            </w:tcBorders>
            <w:vAlign w:val="center"/>
            <w:hideMark/>
          </w:tcPr>
          <w:p w14:paraId="70D35B5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0.0741</w:t>
            </w:r>
          </w:p>
        </w:tc>
        <w:tc>
          <w:tcPr>
            <w:tcW w:w="1157" w:type="dxa"/>
            <w:tcBorders>
              <w:top w:val="nil"/>
              <w:left w:val="nil"/>
              <w:bottom w:val="single" w:sz="4" w:space="0" w:color="auto"/>
              <w:right w:val="single" w:sz="4" w:space="0" w:color="auto"/>
            </w:tcBorders>
            <w:vAlign w:val="center"/>
            <w:hideMark/>
          </w:tcPr>
          <w:p w14:paraId="7763A065"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0.1175</w:t>
            </w:r>
          </w:p>
        </w:tc>
        <w:tc>
          <w:tcPr>
            <w:tcW w:w="1157" w:type="dxa"/>
            <w:tcBorders>
              <w:top w:val="nil"/>
              <w:left w:val="nil"/>
              <w:bottom w:val="single" w:sz="4" w:space="0" w:color="auto"/>
              <w:right w:val="single" w:sz="4" w:space="0" w:color="auto"/>
            </w:tcBorders>
            <w:vAlign w:val="center"/>
            <w:hideMark/>
          </w:tcPr>
          <w:p w14:paraId="440D3EB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0.0096</w:t>
            </w:r>
          </w:p>
        </w:tc>
        <w:tc>
          <w:tcPr>
            <w:tcW w:w="1157" w:type="dxa"/>
            <w:tcBorders>
              <w:top w:val="nil"/>
              <w:left w:val="nil"/>
              <w:bottom w:val="single" w:sz="4" w:space="0" w:color="auto"/>
              <w:right w:val="single" w:sz="4" w:space="0" w:color="auto"/>
            </w:tcBorders>
            <w:vAlign w:val="center"/>
            <w:hideMark/>
          </w:tcPr>
          <w:p w14:paraId="4B2B242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0.0615</w:t>
            </w:r>
          </w:p>
        </w:tc>
        <w:tc>
          <w:tcPr>
            <w:tcW w:w="1157" w:type="dxa"/>
            <w:tcBorders>
              <w:top w:val="nil"/>
              <w:left w:val="nil"/>
              <w:bottom w:val="single" w:sz="4" w:space="0" w:color="auto"/>
              <w:right w:val="single" w:sz="4" w:space="0" w:color="auto"/>
            </w:tcBorders>
            <w:vAlign w:val="center"/>
            <w:hideMark/>
          </w:tcPr>
          <w:p w14:paraId="5117D9A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-0.0248</w:t>
            </w:r>
          </w:p>
        </w:tc>
        <w:tc>
          <w:tcPr>
            <w:tcW w:w="1157" w:type="dxa"/>
            <w:tcBorders>
              <w:top w:val="nil"/>
              <w:left w:val="nil"/>
              <w:bottom w:val="single" w:sz="4" w:space="0" w:color="auto"/>
              <w:right w:val="single" w:sz="4" w:space="0" w:color="auto"/>
            </w:tcBorders>
            <w:vAlign w:val="center"/>
            <w:hideMark/>
          </w:tcPr>
          <w:p w14:paraId="1B06509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-0.0303</w:t>
            </w:r>
          </w:p>
        </w:tc>
        <w:tc>
          <w:tcPr>
            <w:tcW w:w="1157" w:type="dxa"/>
            <w:tcBorders>
              <w:top w:val="nil"/>
              <w:left w:val="nil"/>
              <w:bottom w:val="single" w:sz="4" w:space="0" w:color="auto"/>
              <w:right w:val="single" w:sz="4" w:space="0" w:color="auto"/>
            </w:tcBorders>
            <w:vAlign w:val="center"/>
            <w:hideMark/>
          </w:tcPr>
          <w:p w14:paraId="5C4F423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-0.0063</w:t>
            </w:r>
          </w:p>
        </w:tc>
        <w:tc>
          <w:tcPr>
            <w:tcW w:w="1157" w:type="dxa"/>
            <w:tcBorders>
              <w:top w:val="nil"/>
              <w:left w:val="nil"/>
              <w:bottom w:val="single" w:sz="4" w:space="0" w:color="auto"/>
              <w:right w:val="single" w:sz="4" w:space="0" w:color="auto"/>
            </w:tcBorders>
            <w:vAlign w:val="center"/>
            <w:hideMark/>
          </w:tcPr>
          <w:p w14:paraId="67AB439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-0.0158</w:t>
            </w:r>
          </w:p>
        </w:tc>
        <w:tc>
          <w:tcPr>
            <w:tcW w:w="1157" w:type="dxa"/>
            <w:tcBorders>
              <w:top w:val="nil"/>
              <w:left w:val="nil"/>
              <w:bottom w:val="single" w:sz="4" w:space="0" w:color="auto"/>
              <w:right w:val="single" w:sz="4" w:space="0" w:color="auto"/>
            </w:tcBorders>
            <w:vAlign w:val="center"/>
            <w:hideMark/>
          </w:tcPr>
          <w:p w14:paraId="304DDAD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-0.0379</w:t>
            </w:r>
          </w:p>
        </w:tc>
        <w:tc>
          <w:tcPr>
            <w:tcW w:w="1157" w:type="dxa"/>
            <w:tcBorders>
              <w:top w:val="nil"/>
              <w:left w:val="nil"/>
              <w:bottom w:val="single" w:sz="4" w:space="0" w:color="auto"/>
              <w:right w:val="single" w:sz="4" w:space="0" w:color="auto"/>
            </w:tcBorders>
            <w:vAlign w:val="center"/>
            <w:hideMark/>
          </w:tcPr>
          <w:p w14:paraId="35D241A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-0.0157</w:t>
            </w:r>
          </w:p>
        </w:tc>
        <w:tc>
          <w:tcPr>
            <w:tcW w:w="1208" w:type="dxa"/>
            <w:tcBorders>
              <w:top w:val="nil"/>
              <w:left w:val="nil"/>
              <w:bottom w:val="single" w:sz="4" w:space="0" w:color="auto"/>
              <w:right w:val="single" w:sz="4" w:space="0" w:color="auto"/>
            </w:tcBorders>
            <w:vAlign w:val="center"/>
            <w:hideMark/>
          </w:tcPr>
          <w:p w14:paraId="5E2D76B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-0.0136</w:t>
            </w:r>
          </w:p>
        </w:tc>
      </w:tr>
      <w:tr w:rsidR="000060BD" w:rsidRPr="00F803F9" w14:paraId="5C92E5D8"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582B6DE5"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PH</w:t>
            </w:r>
          </w:p>
        </w:tc>
        <w:tc>
          <w:tcPr>
            <w:tcW w:w="1157" w:type="dxa"/>
            <w:tcBorders>
              <w:top w:val="nil"/>
              <w:left w:val="nil"/>
              <w:bottom w:val="single" w:sz="4" w:space="0" w:color="auto"/>
              <w:right w:val="single" w:sz="4" w:space="0" w:color="auto"/>
            </w:tcBorders>
            <w:vAlign w:val="center"/>
            <w:hideMark/>
          </w:tcPr>
          <w:p w14:paraId="1523BCB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-0.0012</w:t>
            </w:r>
          </w:p>
        </w:tc>
        <w:tc>
          <w:tcPr>
            <w:tcW w:w="1157" w:type="dxa"/>
            <w:tcBorders>
              <w:top w:val="nil"/>
              <w:left w:val="nil"/>
              <w:bottom w:val="single" w:sz="4" w:space="0" w:color="auto"/>
              <w:right w:val="single" w:sz="4" w:space="0" w:color="auto"/>
            </w:tcBorders>
            <w:vAlign w:val="center"/>
            <w:hideMark/>
          </w:tcPr>
          <w:p w14:paraId="170A854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w:t>
            </w:r>
          </w:p>
        </w:tc>
        <w:tc>
          <w:tcPr>
            <w:tcW w:w="1157" w:type="dxa"/>
            <w:tcBorders>
              <w:top w:val="nil"/>
              <w:left w:val="nil"/>
              <w:bottom w:val="single" w:sz="4" w:space="0" w:color="auto"/>
              <w:right w:val="single" w:sz="4" w:space="0" w:color="auto"/>
            </w:tcBorders>
            <w:vAlign w:val="center"/>
            <w:hideMark/>
          </w:tcPr>
          <w:p w14:paraId="09A6D5E0"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0.0121</w:t>
            </w:r>
          </w:p>
        </w:tc>
        <w:tc>
          <w:tcPr>
            <w:tcW w:w="1157" w:type="dxa"/>
            <w:tcBorders>
              <w:top w:val="nil"/>
              <w:left w:val="nil"/>
              <w:bottom w:val="single" w:sz="4" w:space="0" w:color="auto"/>
              <w:right w:val="single" w:sz="4" w:space="0" w:color="auto"/>
            </w:tcBorders>
            <w:vAlign w:val="center"/>
            <w:hideMark/>
          </w:tcPr>
          <w:p w14:paraId="60679BE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0.007</w:t>
            </w:r>
          </w:p>
        </w:tc>
        <w:tc>
          <w:tcPr>
            <w:tcW w:w="1157" w:type="dxa"/>
            <w:tcBorders>
              <w:top w:val="nil"/>
              <w:left w:val="nil"/>
              <w:bottom w:val="single" w:sz="4" w:space="0" w:color="auto"/>
              <w:right w:val="single" w:sz="4" w:space="0" w:color="auto"/>
            </w:tcBorders>
            <w:vAlign w:val="center"/>
            <w:hideMark/>
          </w:tcPr>
          <w:p w14:paraId="01D41F1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0.0085</w:t>
            </w:r>
          </w:p>
        </w:tc>
        <w:tc>
          <w:tcPr>
            <w:tcW w:w="1157" w:type="dxa"/>
            <w:tcBorders>
              <w:top w:val="nil"/>
              <w:left w:val="nil"/>
              <w:bottom w:val="single" w:sz="4" w:space="0" w:color="auto"/>
              <w:right w:val="single" w:sz="4" w:space="0" w:color="auto"/>
            </w:tcBorders>
            <w:vAlign w:val="center"/>
            <w:hideMark/>
          </w:tcPr>
          <w:p w14:paraId="41B8B39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0.0057</w:t>
            </w:r>
          </w:p>
        </w:tc>
        <w:tc>
          <w:tcPr>
            <w:tcW w:w="1157" w:type="dxa"/>
            <w:tcBorders>
              <w:top w:val="nil"/>
              <w:left w:val="nil"/>
              <w:bottom w:val="single" w:sz="4" w:space="0" w:color="auto"/>
              <w:right w:val="single" w:sz="4" w:space="0" w:color="auto"/>
            </w:tcBorders>
            <w:vAlign w:val="center"/>
            <w:hideMark/>
          </w:tcPr>
          <w:p w14:paraId="65CE1DE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0.0038</w:t>
            </w:r>
          </w:p>
        </w:tc>
        <w:tc>
          <w:tcPr>
            <w:tcW w:w="1157" w:type="dxa"/>
            <w:tcBorders>
              <w:top w:val="nil"/>
              <w:left w:val="nil"/>
              <w:bottom w:val="single" w:sz="4" w:space="0" w:color="auto"/>
              <w:right w:val="single" w:sz="4" w:space="0" w:color="auto"/>
            </w:tcBorders>
            <w:vAlign w:val="center"/>
            <w:hideMark/>
          </w:tcPr>
          <w:p w14:paraId="2F5D9E9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0.0044</w:t>
            </w:r>
          </w:p>
        </w:tc>
        <w:tc>
          <w:tcPr>
            <w:tcW w:w="1157" w:type="dxa"/>
            <w:tcBorders>
              <w:top w:val="nil"/>
              <w:left w:val="nil"/>
              <w:bottom w:val="single" w:sz="4" w:space="0" w:color="auto"/>
              <w:right w:val="single" w:sz="4" w:space="0" w:color="auto"/>
            </w:tcBorders>
            <w:vAlign w:val="center"/>
            <w:hideMark/>
          </w:tcPr>
          <w:p w14:paraId="359A4D9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0.0034</w:t>
            </w:r>
          </w:p>
        </w:tc>
        <w:tc>
          <w:tcPr>
            <w:tcW w:w="1157" w:type="dxa"/>
            <w:tcBorders>
              <w:top w:val="nil"/>
              <w:left w:val="nil"/>
              <w:bottom w:val="single" w:sz="4" w:space="0" w:color="auto"/>
              <w:right w:val="single" w:sz="4" w:space="0" w:color="auto"/>
            </w:tcBorders>
            <w:vAlign w:val="center"/>
            <w:hideMark/>
          </w:tcPr>
          <w:p w14:paraId="7B9E826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0.0166</w:t>
            </w:r>
          </w:p>
        </w:tc>
        <w:tc>
          <w:tcPr>
            <w:tcW w:w="1208" w:type="dxa"/>
            <w:tcBorders>
              <w:top w:val="nil"/>
              <w:left w:val="nil"/>
              <w:bottom w:val="single" w:sz="4" w:space="0" w:color="auto"/>
              <w:right w:val="single" w:sz="4" w:space="0" w:color="auto"/>
            </w:tcBorders>
            <w:vAlign w:val="center"/>
            <w:hideMark/>
          </w:tcPr>
          <w:p w14:paraId="0AFE65C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0.0061</w:t>
            </w:r>
          </w:p>
        </w:tc>
      </w:tr>
      <w:tr w:rsidR="000060BD" w:rsidRPr="00F803F9" w14:paraId="42446057"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0A8880EA"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NPBPP</w:t>
            </w:r>
          </w:p>
        </w:tc>
        <w:tc>
          <w:tcPr>
            <w:tcW w:w="1157" w:type="dxa"/>
            <w:tcBorders>
              <w:top w:val="nil"/>
              <w:left w:val="nil"/>
              <w:bottom w:val="single" w:sz="4" w:space="0" w:color="auto"/>
              <w:right w:val="single" w:sz="4" w:space="0" w:color="auto"/>
            </w:tcBorders>
            <w:vAlign w:val="center"/>
            <w:hideMark/>
          </w:tcPr>
          <w:p w14:paraId="31C644A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w:t>
            </w:r>
          </w:p>
        </w:tc>
        <w:tc>
          <w:tcPr>
            <w:tcW w:w="1157" w:type="dxa"/>
            <w:tcBorders>
              <w:top w:val="nil"/>
              <w:left w:val="nil"/>
              <w:bottom w:val="single" w:sz="4" w:space="0" w:color="auto"/>
              <w:right w:val="single" w:sz="4" w:space="0" w:color="auto"/>
            </w:tcBorders>
            <w:vAlign w:val="center"/>
            <w:hideMark/>
          </w:tcPr>
          <w:p w14:paraId="1E43DA7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-0.0456</w:t>
            </w:r>
          </w:p>
        </w:tc>
        <w:tc>
          <w:tcPr>
            <w:tcW w:w="1157" w:type="dxa"/>
            <w:tcBorders>
              <w:top w:val="nil"/>
              <w:left w:val="nil"/>
              <w:bottom w:val="single" w:sz="4" w:space="0" w:color="auto"/>
              <w:right w:val="single" w:sz="4" w:space="0" w:color="auto"/>
            </w:tcBorders>
            <w:vAlign w:val="center"/>
            <w:hideMark/>
          </w:tcPr>
          <w:p w14:paraId="2C20B20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-0.0504</w:t>
            </w:r>
          </w:p>
        </w:tc>
        <w:tc>
          <w:tcPr>
            <w:tcW w:w="1157" w:type="dxa"/>
            <w:tcBorders>
              <w:top w:val="nil"/>
              <w:left w:val="nil"/>
              <w:bottom w:val="single" w:sz="4" w:space="0" w:color="auto"/>
              <w:right w:val="single" w:sz="4" w:space="0" w:color="auto"/>
            </w:tcBorders>
            <w:vAlign w:val="center"/>
            <w:hideMark/>
          </w:tcPr>
          <w:p w14:paraId="7D5A126D"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-0.0872</w:t>
            </w:r>
          </w:p>
        </w:tc>
        <w:tc>
          <w:tcPr>
            <w:tcW w:w="1157" w:type="dxa"/>
            <w:tcBorders>
              <w:top w:val="nil"/>
              <w:left w:val="nil"/>
              <w:bottom w:val="single" w:sz="4" w:space="0" w:color="auto"/>
              <w:right w:val="single" w:sz="4" w:space="0" w:color="auto"/>
            </w:tcBorders>
            <w:vAlign w:val="center"/>
            <w:hideMark/>
          </w:tcPr>
          <w:p w14:paraId="0381CAA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-0.0457</w:t>
            </w:r>
          </w:p>
        </w:tc>
        <w:tc>
          <w:tcPr>
            <w:tcW w:w="1157" w:type="dxa"/>
            <w:tcBorders>
              <w:top w:val="nil"/>
              <w:left w:val="nil"/>
              <w:bottom w:val="single" w:sz="4" w:space="0" w:color="auto"/>
              <w:right w:val="single" w:sz="4" w:space="0" w:color="auto"/>
            </w:tcBorders>
            <w:vAlign w:val="center"/>
            <w:hideMark/>
          </w:tcPr>
          <w:p w14:paraId="2548F1B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7A6CD888"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-0.016</w:t>
            </w:r>
          </w:p>
        </w:tc>
        <w:tc>
          <w:tcPr>
            <w:tcW w:w="1157" w:type="dxa"/>
            <w:tcBorders>
              <w:top w:val="nil"/>
              <w:left w:val="nil"/>
              <w:bottom w:val="single" w:sz="4" w:space="0" w:color="auto"/>
              <w:right w:val="single" w:sz="4" w:space="0" w:color="auto"/>
            </w:tcBorders>
            <w:vAlign w:val="center"/>
            <w:hideMark/>
          </w:tcPr>
          <w:p w14:paraId="3CBBD35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-0.0214</w:t>
            </w:r>
          </w:p>
        </w:tc>
        <w:tc>
          <w:tcPr>
            <w:tcW w:w="1157" w:type="dxa"/>
            <w:tcBorders>
              <w:top w:val="nil"/>
              <w:left w:val="nil"/>
              <w:bottom w:val="single" w:sz="4" w:space="0" w:color="auto"/>
              <w:right w:val="single" w:sz="4" w:space="0" w:color="auto"/>
            </w:tcBorders>
            <w:vAlign w:val="center"/>
            <w:hideMark/>
          </w:tcPr>
          <w:p w14:paraId="0CA6924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0.0018</w:t>
            </w:r>
          </w:p>
        </w:tc>
        <w:tc>
          <w:tcPr>
            <w:tcW w:w="1157" w:type="dxa"/>
            <w:tcBorders>
              <w:top w:val="nil"/>
              <w:left w:val="nil"/>
              <w:bottom w:val="single" w:sz="4" w:space="0" w:color="auto"/>
              <w:right w:val="single" w:sz="4" w:space="0" w:color="auto"/>
            </w:tcBorders>
            <w:vAlign w:val="center"/>
            <w:hideMark/>
          </w:tcPr>
          <w:p w14:paraId="6D46B56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-0.0312</w:t>
            </w:r>
          </w:p>
        </w:tc>
        <w:tc>
          <w:tcPr>
            <w:tcW w:w="1208" w:type="dxa"/>
            <w:tcBorders>
              <w:top w:val="nil"/>
              <w:left w:val="nil"/>
              <w:bottom w:val="single" w:sz="4" w:space="0" w:color="auto"/>
              <w:right w:val="single" w:sz="4" w:space="0" w:color="auto"/>
            </w:tcBorders>
            <w:vAlign w:val="center"/>
            <w:hideMark/>
          </w:tcPr>
          <w:p w14:paraId="4CAA748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w:t>
            </w:r>
          </w:p>
        </w:tc>
      </w:tr>
      <w:tr w:rsidR="000060BD" w:rsidRPr="00F803F9" w14:paraId="3D702134"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5430BD86"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NCPP</w:t>
            </w:r>
          </w:p>
        </w:tc>
        <w:tc>
          <w:tcPr>
            <w:tcW w:w="1157" w:type="dxa"/>
            <w:tcBorders>
              <w:top w:val="nil"/>
              <w:left w:val="nil"/>
              <w:bottom w:val="single" w:sz="4" w:space="0" w:color="auto"/>
              <w:right w:val="single" w:sz="4" w:space="0" w:color="auto"/>
            </w:tcBorders>
            <w:vAlign w:val="center"/>
            <w:hideMark/>
          </w:tcPr>
          <w:p w14:paraId="6CE3A84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-0.0533</w:t>
            </w:r>
          </w:p>
        </w:tc>
        <w:tc>
          <w:tcPr>
            <w:tcW w:w="1157" w:type="dxa"/>
            <w:tcBorders>
              <w:top w:val="nil"/>
              <w:left w:val="nil"/>
              <w:bottom w:val="single" w:sz="4" w:space="0" w:color="auto"/>
              <w:right w:val="single" w:sz="4" w:space="0" w:color="auto"/>
            </w:tcBorders>
            <w:vAlign w:val="center"/>
            <w:hideMark/>
          </w:tcPr>
          <w:p w14:paraId="74BC7E0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-0.0222</w:t>
            </w:r>
          </w:p>
        </w:tc>
        <w:tc>
          <w:tcPr>
            <w:tcW w:w="1157" w:type="dxa"/>
            <w:tcBorders>
              <w:top w:val="nil"/>
              <w:left w:val="nil"/>
              <w:bottom w:val="single" w:sz="4" w:space="0" w:color="auto"/>
              <w:right w:val="single" w:sz="4" w:space="0" w:color="auto"/>
            </w:tcBorders>
            <w:vAlign w:val="center"/>
            <w:hideMark/>
          </w:tcPr>
          <w:p w14:paraId="7E3B5CF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0.0739</w:t>
            </w:r>
          </w:p>
        </w:tc>
        <w:tc>
          <w:tcPr>
            <w:tcW w:w="1157" w:type="dxa"/>
            <w:tcBorders>
              <w:top w:val="nil"/>
              <w:left w:val="nil"/>
              <w:bottom w:val="single" w:sz="4" w:space="0" w:color="auto"/>
              <w:right w:val="single" w:sz="4" w:space="0" w:color="auto"/>
            </w:tcBorders>
            <w:vAlign w:val="center"/>
            <w:hideMark/>
          </w:tcPr>
          <w:p w14:paraId="466A066F"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0.0551</w:t>
            </w:r>
          </w:p>
        </w:tc>
        <w:tc>
          <w:tcPr>
            <w:tcW w:w="1157" w:type="dxa"/>
            <w:tcBorders>
              <w:top w:val="nil"/>
              <w:left w:val="nil"/>
              <w:bottom w:val="single" w:sz="4" w:space="0" w:color="auto"/>
              <w:right w:val="single" w:sz="4" w:space="0" w:color="auto"/>
            </w:tcBorders>
            <w:vAlign w:val="center"/>
            <w:hideMark/>
          </w:tcPr>
          <w:p w14:paraId="6C85ABA9"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0.1051</w:t>
            </w:r>
          </w:p>
        </w:tc>
        <w:tc>
          <w:tcPr>
            <w:tcW w:w="1157" w:type="dxa"/>
            <w:tcBorders>
              <w:top w:val="nil"/>
              <w:left w:val="nil"/>
              <w:bottom w:val="single" w:sz="4" w:space="0" w:color="auto"/>
              <w:right w:val="single" w:sz="4" w:space="0" w:color="auto"/>
            </w:tcBorders>
            <w:vAlign w:val="center"/>
            <w:hideMark/>
          </w:tcPr>
          <w:p w14:paraId="5F175C5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0.0453</w:t>
            </w:r>
          </w:p>
        </w:tc>
        <w:tc>
          <w:tcPr>
            <w:tcW w:w="1157" w:type="dxa"/>
            <w:tcBorders>
              <w:top w:val="nil"/>
              <w:left w:val="nil"/>
              <w:bottom w:val="single" w:sz="4" w:space="0" w:color="auto"/>
              <w:right w:val="single" w:sz="4" w:space="0" w:color="auto"/>
            </w:tcBorders>
            <w:vAlign w:val="center"/>
            <w:hideMark/>
          </w:tcPr>
          <w:p w14:paraId="1E3E6FD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0.031</w:t>
            </w:r>
          </w:p>
        </w:tc>
        <w:tc>
          <w:tcPr>
            <w:tcW w:w="1157" w:type="dxa"/>
            <w:tcBorders>
              <w:top w:val="nil"/>
              <w:left w:val="nil"/>
              <w:bottom w:val="single" w:sz="4" w:space="0" w:color="auto"/>
              <w:right w:val="single" w:sz="4" w:space="0" w:color="auto"/>
            </w:tcBorders>
            <w:vAlign w:val="center"/>
            <w:hideMark/>
          </w:tcPr>
          <w:p w14:paraId="5C54623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0.0399</w:t>
            </w:r>
          </w:p>
        </w:tc>
        <w:tc>
          <w:tcPr>
            <w:tcW w:w="1157" w:type="dxa"/>
            <w:tcBorders>
              <w:top w:val="nil"/>
              <w:left w:val="nil"/>
              <w:bottom w:val="single" w:sz="4" w:space="0" w:color="auto"/>
              <w:right w:val="single" w:sz="4" w:space="0" w:color="auto"/>
            </w:tcBorders>
            <w:vAlign w:val="center"/>
            <w:hideMark/>
          </w:tcPr>
          <w:p w14:paraId="2C48C82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0.0235</w:t>
            </w:r>
          </w:p>
        </w:tc>
        <w:tc>
          <w:tcPr>
            <w:tcW w:w="1157" w:type="dxa"/>
            <w:tcBorders>
              <w:top w:val="nil"/>
              <w:left w:val="nil"/>
              <w:bottom w:val="single" w:sz="4" w:space="0" w:color="auto"/>
              <w:right w:val="single" w:sz="4" w:space="0" w:color="auto"/>
            </w:tcBorders>
            <w:vAlign w:val="center"/>
            <w:hideMark/>
          </w:tcPr>
          <w:p w14:paraId="7F33306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0.1199</w:t>
            </w:r>
          </w:p>
        </w:tc>
        <w:tc>
          <w:tcPr>
            <w:tcW w:w="1208" w:type="dxa"/>
            <w:tcBorders>
              <w:top w:val="nil"/>
              <w:left w:val="nil"/>
              <w:bottom w:val="single" w:sz="4" w:space="0" w:color="auto"/>
              <w:right w:val="single" w:sz="4" w:space="0" w:color="auto"/>
            </w:tcBorders>
            <w:vAlign w:val="center"/>
            <w:hideMark/>
          </w:tcPr>
          <w:p w14:paraId="69D5782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0.0479</w:t>
            </w:r>
          </w:p>
        </w:tc>
      </w:tr>
      <w:tr w:rsidR="000060BD" w:rsidRPr="00F803F9" w14:paraId="07B97E4D"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11B68CFA"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CL</w:t>
            </w:r>
          </w:p>
        </w:tc>
        <w:tc>
          <w:tcPr>
            <w:tcW w:w="1157" w:type="dxa"/>
            <w:tcBorders>
              <w:top w:val="nil"/>
              <w:left w:val="nil"/>
              <w:bottom w:val="single" w:sz="4" w:space="0" w:color="auto"/>
              <w:right w:val="single" w:sz="4" w:space="0" w:color="auto"/>
            </w:tcBorders>
            <w:vAlign w:val="center"/>
            <w:hideMark/>
          </w:tcPr>
          <w:p w14:paraId="234B186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0.0149</w:t>
            </w:r>
          </w:p>
        </w:tc>
        <w:tc>
          <w:tcPr>
            <w:tcW w:w="1157" w:type="dxa"/>
            <w:tcBorders>
              <w:top w:val="nil"/>
              <w:left w:val="nil"/>
              <w:bottom w:val="single" w:sz="4" w:space="0" w:color="auto"/>
              <w:right w:val="single" w:sz="4" w:space="0" w:color="auto"/>
            </w:tcBorders>
            <w:vAlign w:val="center"/>
            <w:hideMark/>
          </w:tcPr>
          <w:p w14:paraId="12F503F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0.0069</w:t>
            </w:r>
          </w:p>
        </w:tc>
        <w:tc>
          <w:tcPr>
            <w:tcW w:w="1157" w:type="dxa"/>
            <w:tcBorders>
              <w:top w:val="nil"/>
              <w:left w:val="nil"/>
              <w:bottom w:val="single" w:sz="4" w:space="0" w:color="auto"/>
              <w:right w:val="single" w:sz="4" w:space="0" w:color="auto"/>
            </w:tcBorders>
            <w:vAlign w:val="center"/>
            <w:hideMark/>
          </w:tcPr>
          <w:p w14:paraId="5CA6B41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-0.0124</w:t>
            </w:r>
          </w:p>
        </w:tc>
        <w:tc>
          <w:tcPr>
            <w:tcW w:w="1157" w:type="dxa"/>
            <w:tcBorders>
              <w:top w:val="nil"/>
              <w:left w:val="nil"/>
              <w:bottom w:val="single" w:sz="4" w:space="0" w:color="auto"/>
              <w:right w:val="single" w:sz="4" w:space="0" w:color="auto"/>
            </w:tcBorders>
            <w:vAlign w:val="center"/>
            <w:hideMark/>
          </w:tcPr>
          <w:p w14:paraId="02578C28"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-0.0045</w:t>
            </w:r>
          </w:p>
        </w:tc>
        <w:tc>
          <w:tcPr>
            <w:tcW w:w="1157" w:type="dxa"/>
            <w:tcBorders>
              <w:top w:val="nil"/>
              <w:left w:val="nil"/>
              <w:bottom w:val="single" w:sz="4" w:space="0" w:color="auto"/>
              <w:right w:val="single" w:sz="4" w:space="0" w:color="auto"/>
            </w:tcBorders>
            <w:vAlign w:val="center"/>
            <w:hideMark/>
          </w:tcPr>
          <w:p w14:paraId="73A89E0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-0.0115</w:t>
            </w:r>
          </w:p>
        </w:tc>
        <w:tc>
          <w:tcPr>
            <w:tcW w:w="1157" w:type="dxa"/>
            <w:tcBorders>
              <w:top w:val="nil"/>
              <w:left w:val="nil"/>
              <w:bottom w:val="single" w:sz="4" w:space="0" w:color="auto"/>
              <w:right w:val="single" w:sz="4" w:space="0" w:color="auto"/>
            </w:tcBorders>
            <w:vAlign w:val="center"/>
            <w:hideMark/>
          </w:tcPr>
          <w:p w14:paraId="26C3D8BA"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-0.0266</w:t>
            </w:r>
          </w:p>
        </w:tc>
        <w:tc>
          <w:tcPr>
            <w:tcW w:w="1157" w:type="dxa"/>
            <w:tcBorders>
              <w:top w:val="nil"/>
              <w:left w:val="nil"/>
              <w:bottom w:val="single" w:sz="4" w:space="0" w:color="auto"/>
              <w:right w:val="single" w:sz="4" w:space="0" w:color="auto"/>
            </w:tcBorders>
            <w:vAlign w:val="center"/>
            <w:hideMark/>
          </w:tcPr>
          <w:p w14:paraId="425E222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w:t>
            </w:r>
          </w:p>
        </w:tc>
        <w:tc>
          <w:tcPr>
            <w:tcW w:w="1157" w:type="dxa"/>
            <w:tcBorders>
              <w:top w:val="nil"/>
              <w:left w:val="nil"/>
              <w:bottom w:val="single" w:sz="4" w:space="0" w:color="auto"/>
              <w:right w:val="single" w:sz="4" w:space="0" w:color="auto"/>
            </w:tcBorders>
            <w:vAlign w:val="center"/>
            <w:hideMark/>
          </w:tcPr>
          <w:p w14:paraId="304FF53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-0.0108</w:t>
            </w:r>
          </w:p>
        </w:tc>
        <w:tc>
          <w:tcPr>
            <w:tcW w:w="1157" w:type="dxa"/>
            <w:tcBorders>
              <w:top w:val="nil"/>
              <w:left w:val="nil"/>
              <w:bottom w:val="single" w:sz="4" w:space="0" w:color="auto"/>
              <w:right w:val="single" w:sz="4" w:space="0" w:color="auto"/>
            </w:tcBorders>
            <w:vAlign w:val="center"/>
            <w:hideMark/>
          </w:tcPr>
          <w:p w14:paraId="067E7BA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-0.0181</w:t>
            </w:r>
          </w:p>
        </w:tc>
        <w:tc>
          <w:tcPr>
            <w:tcW w:w="1157" w:type="dxa"/>
            <w:tcBorders>
              <w:top w:val="nil"/>
              <w:left w:val="nil"/>
              <w:bottom w:val="single" w:sz="4" w:space="0" w:color="auto"/>
              <w:right w:val="single" w:sz="4" w:space="0" w:color="auto"/>
            </w:tcBorders>
            <w:vAlign w:val="center"/>
            <w:hideMark/>
          </w:tcPr>
          <w:p w14:paraId="3D59514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-0.0208</w:t>
            </w:r>
          </w:p>
        </w:tc>
        <w:tc>
          <w:tcPr>
            <w:tcW w:w="1208" w:type="dxa"/>
            <w:tcBorders>
              <w:top w:val="nil"/>
              <w:left w:val="nil"/>
              <w:bottom w:val="single" w:sz="4" w:space="0" w:color="auto"/>
              <w:right w:val="single" w:sz="4" w:space="0" w:color="auto"/>
            </w:tcBorders>
            <w:vAlign w:val="center"/>
            <w:hideMark/>
          </w:tcPr>
          <w:p w14:paraId="2690452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-0.0028</w:t>
            </w:r>
          </w:p>
        </w:tc>
      </w:tr>
      <w:tr w:rsidR="000060BD" w:rsidRPr="00F803F9" w14:paraId="555E834B"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722F0BFD"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NSPC</w:t>
            </w:r>
          </w:p>
        </w:tc>
        <w:tc>
          <w:tcPr>
            <w:tcW w:w="1157" w:type="dxa"/>
            <w:tcBorders>
              <w:top w:val="nil"/>
              <w:left w:val="nil"/>
              <w:bottom w:val="single" w:sz="4" w:space="0" w:color="auto"/>
              <w:right w:val="single" w:sz="4" w:space="0" w:color="auto"/>
            </w:tcBorders>
            <w:vAlign w:val="center"/>
            <w:hideMark/>
          </w:tcPr>
          <w:p w14:paraId="11EBD5B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0.0006</w:t>
            </w:r>
          </w:p>
        </w:tc>
        <w:tc>
          <w:tcPr>
            <w:tcW w:w="1157" w:type="dxa"/>
            <w:tcBorders>
              <w:top w:val="nil"/>
              <w:left w:val="nil"/>
              <w:bottom w:val="single" w:sz="4" w:space="0" w:color="auto"/>
              <w:right w:val="single" w:sz="4" w:space="0" w:color="auto"/>
            </w:tcBorders>
            <w:vAlign w:val="center"/>
            <w:hideMark/>
          </w:tcPr>
          <w:p w14:paraId="1F7250B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0.0004</w:t>
            </w:r>
          </w:p>
        </w:tc>
        <w:tc>
          <w:tcPr>
            <w:tcW w:w="1157" w:type="dxa"/>
            <w:tcBorders>
              <w:top w:val="nil"/>
              <w:left w:val="nil"/>
              <w:bottom w:val="single" w:sz="4" w:space="0" w:color="auto"/>
              <w:right w:val="single" w:sz="4" w:space="0" w:color="auto"/>
            </w:tcBorders>
            <w:vAlign w:val="center"/>
            <w:hideMark/>
          </w:tcPr>
          <w:p w14:paraId="7F8EDBF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-0.0024</w:t>
            </w:r>
          </w:p>
        </w:tc>
        <w:tc>
          <w:tcPr>
            <w:tcW w:w="1157" w:type="dxa"/>
            <w:tcBorders>
              <w:top w:val="nil"/>
              <w:left w:val="nil"/>
              <w:bottom w:val="single" w:sz="4" w:space="0" w:color="auto"/>
              <w:right w:val="single" w:sz="4" w:space="0" w:color="auto"/>
            </w:tcBorders>
            <w:vAlign w:val="center"/>
            <w:hideMark/>
          </w:tcPr>
          <w:p w14:paraId="26994CA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-0.0014</w:t>
            </w:r>
          </w:p>
        </w:tc>
        <w:tc>
          <w:tcPr>
            <w:tcW w:w="1157" w:type="dxa"/>
            <w:tcBorders>
              <w:top w:val="nil"/>
              <w:left w:val="nil"/>
              <w:bottom w:val="single" w:sz="4" w:space="0" w:color="auto"/>
              <w:right w:val="single" w:sz="4" w:space="0" w:color="auto"/>
            </w:tcBorders>
            <w:vAlign w:val="center"/>
            <w:hideMark/>
          </w:tcPr>
          <w:p w14:paraId="621E65E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-0.0022</w:t>
            </w:r>
          </w:p>
        </w:tc>
        <w:tc>
          <w:tcPr>
            <w:tcW w:w="1157" w:type="dxa"/>
            <w:tcBorders>
              <w:top w:val="nil"/>
              <w:left w:val="nil"/>
              <w:bottom w:val="single" w:sz="4" w:space="0" w:color="auto"/>
              <w:right w:val="single" w:sz="4" w:space="0" w:color="auto"/>
            </w:tcBorders>
            <w:vAlign w:val="center"/>
            <w:hideMark/>
          </w:tcPr>
          <w:p w14:paraId="43373FF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-0.0011</w:t>
            </w:r>
          </w:p>
        </w:tc>
        <w:tc>
          <w:tcPr>
            <w:tcW w:w="1157" w:type="dxa"/>
            <w:tcBorders>
              <w:top w:val="nil"/>
              <w:left w:val="nil"/>
              <w:bottom w:val="single" w:sz="4" w:space="0" w:color="auto"/>
              <w:right w:val="single" w:sz="4" w:space="0" w:color="auto"/>
            </w:tcBorders>
            <w:vAlign w:val="center"/>
            <w:hideMark/>
          </w:tcPr>
          <w:p w14:paraId="399D5DF7"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-0.0076</w:t>
            </w:r>
          </w:p>
        </w:tc>
        <w:tc>
          <w:tcPr>
            <w:tcW w:w="1157" w:type="dxa"/>
            <w:tcBorders>
              <w:top w:val="nil"/>
              <w:left w:val="nil"/>
              <w:bottom w:val="single" w:sz="4" w:space="0" w:color="auto"/>
              <w:right w:val="single" w:sz="4" w:space="0" w:color="auto"/>
            </w:tcBorders>
            <w:vAlign w:val="center"/>
            <w:hideMark/>
          </w:tcPr>
          <w:p w14:paraId="652A9CE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-0.0031</w:t>
            </w:r>
          </w:p>
        </w:tc>
        <w:tc>
          <w:tcPr>
            <w:tcW w:w="1157" w:type="dxa"/>
            <w:tcBorders>
              <w:top w:val="nil"/>
              <w:left w:val="nil"/>
              <w:bottom w:val="single" w:sz="4" w:space="0" w:color="auto"/>
              <w:right w:val="single" w:sz="4" w:space="0" w:color="auto"/>
            </w:tcBorders>
            <w:vAlign w:val="center"/>
            <w:hideMark/>
          </w:tcPr>
          <w:p w14:paraId="2ED2316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0.0008</w:t>
            </w:r>
          </w:p>
        </w:tc>
        <w:tc>
          <w:tcPr>
            <w:tcW w:w="1157" w:type="dxa"/>
            <w:tcBorders>
              <w:top w:val="nil"/>
              <w:left w:val="nil"/>
              <w:bottom w:val="single" w:sz="4" w:space="0" w:color="auto"/>
              <w:right w:val="single" w:sz="4" w:space="0" w:color="auto"/>
            </w:tcBorders>
            <w:vAlign w:val="center"/>
            <w:hideMark/>
          </w:tcPr>
          <w:p w14:paraId="50BDC39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-0.0047</w:t>
            </w:r>
          </w:p>
        </w:tc>
        <w:tc>
          <w:tcPr>
            <w:tcW w:w="1208" w:type="dxa"/>
            <w:tcBorders>
              <w:top w:val="nil"/>
              <w:left w:val="nil"/>
              <w:bottom w:val="single" w:sz="4" w:space="0" w:color="auto"/>
              <w:right w:val="single" w:sz="4" w:space="0" w:color="auto"/>
            </w:tcBorders>
            <w:vAlign w:val="center"/>
            <w:hideMark/>
          </w:tcPr>
          <w:p w14:paraId="1B06224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-0.0037</w:t>
            </w:r>
          </w:p>
        </w:tc>
      </w:tr>
      <w:tr w:rsidR="000060BD" w:rsidRPr="00F803F9" w14:paraId="588286C8"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5DFAB3D"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TSW</w:t>
            </w:r>
          </w:p>
        </w:tc>
        <w:tc>
          <w:tcPr>
            <w:tcW w:w="1157" w:type="dxa"/>
            <w:tcBorders>
              <w:top w:val="nil"/>
              <w:left w:val="nil"/>
              <w:bottom w:val="single" w:sz="4" w:space="0" w:color="auto"/>
              <w:right w:val="single" w:sz="4" w:space="0" w:color="auto"/>
            </w:tcBorders>
            <w:vAlign w:val="center"/>
            <w:hideMark/>
          </w:tcPr>
          <w:p w14:paraId="10B9189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-0.0038</w:t>
            </w:r>
          </w:p>
        </w:tc>
        <w:tc>
          <w:tcPr>
            <w:tcW w:w="1157" w:type="dxa"/>
            <w:tcBorders>
              <w:top w:val="nil"/>
              <w:left w:val="nil"/>
              <w:bottom w:val="single" w:sz="4" w:space="0" w:color="auto"/>
              <w:right w:val="single" w:sz="4" w:space="0" w:color="auto"/>
            </w:tcBorders>
            <w:vAlign w:val="center"/>
            <w:hideMark/>
          </w:tcPr>
          <w:p w14:paraId="27F0C24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-0.0045</w:t>
            </w:r>
          </w:p>
        </w:tc>
        <w:tc>
          <w:tcPr>
            <w:tcW w:w="1157" w:type="dxa"/>
            <w:tcBorders>
              <w:top w:val="nil"/>
              <w:left w:val="nil"/>
              <w:bottom w:val="single" w:sz="4" w:space="0" w:color="auto"/>
              <w:right w:val="single" w:sz="4" w:space="0" w:color="auto"/>
            </w:tcBorders>
            <w:vAlign w:val="center"/>
            <w:hideMark/>
          </w:tcPr>
          <w:p w14:paraId="5A5AEA5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0.0121</w:t>
            </w:r>
          </w:p>
        </w:tc>
        <w:tc>
          <w:tcPr>
            <w:tcW w:w="1157" w:type="dxa"/>
            <w:tcBorders>
              <w:top w:val="nil"/>
              <w:left w:val="nil"/>
              <w:bottom w:val="single" w:sz="4" w:space="0" w:color="auto"/>
              <w:right w:val="single" w:sz="4" w:space="0" w:color="auto"/>
            </w:tcBorders>
            <w:vAlign w:val="center"/>
            <w:hideMark/>
          </w:tcPr>
          <w:p w14:paraId="6CDC50A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0.0082</w:t>
            </w:r>
          </w:p>
        </w:tc>
        <w:tc>
          <w:tcPr>
            <w:tcW w:w="1157" w:type="dxa"/>
            <w:tcBorders>
              <w:top w:val="nil"/>
              <w:left w:val="nil"/>
              <w:bottom w:val="single" w:sz="4" w:space="0" w:color="auto"/>
              <w:right w:val="single" w:sz="4" w:space="0" w:color="auto"/>
            </w:tcBorders>
            <w:vAlign w:val="center"/>
            <w:hideMark/>
          </w:tcPr>
          <w:p w14:paraId="5B0E58E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0.0127</w:t>
            </w:r>
          </w:p>
        </w:tc>
        <w:tc>
          <w:tcPr>
            <w:tcW w:w="1157" w:type="dxa"/>
            <w:tcBorders>
              <w:top w:val="nil"/>
              <w:left w:val="nil"/>
              <w:bottom w:val="single" w:sz="4" w:space="0" w:color="auto"/>
              <w:right w:val="single" w:sz="4" w:space="0" w:color="auto"/>
            </w:tcBorders>
            <w:vAlign w:val="center"/>
            <w:hideMark/>
          </w:tcPr>
          <w:p w14:paraId="5076628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0.0135</w:t>
            </w:r>
          </w:p>
        </w:tc>
        <w:tc>
          <w:tcPr>
            <w:tcW w:w="1157" w:type="dxa"/>
            <w:tcBorders>
              <w:top w:val="nil"/>
              <w:left w:val="nil"/>
              <w:bottom w:val="single" w:sz="4" w:space="0" w:color="auto"/>
              <w:right w:val="single" w:sz="4" w:space="0" w:color="auto"/>
            </w:tcBorders>
            <w:vAlign w:val="center"/>
            <w:hideMark/>
          </w:tcPr>
          <w:p w14:paraId="68AE942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0.0136</w:t>
            </w:r>
          </w:p>
        </w:tc>
        <w:tc>
          <w:tcPr>
            <w:tcW w:w="1157" w:type="dxa"/>
            <w:tcBorders>
              <w:top w:val="nil"/>
              <w:left w:val="nil"/>
              <w:bottom w:val="single" w:sz="4" w:space="0" w:color="auto"/>
              <w:right w:val="single" w:sz="4" w:space="0" w:color="auto"/>
            </w:tcBorders>
            <w:vAlign w:val="center"/>
            <w:hideMark/>
          </w:tcPr>
          <w:p w14:paraId="0C75B3F2"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0.0335</w:t>
            </w:r>
          </w:p>
        </w:tc>
        <w:tc>
          <w:tcPr>
            <w:tcW w:w="1157" w:type="dxa"/>
            <w:tcBorders>
              <w:top w:val="nil"/>
              <w:left w:val="nil"/>
              <w:bottom w:val="single" w:sz="4" w:space="0" w:color="auto"/>
              <w:right w:val="single" w:sz="4" w:space="0" w:color="auto"/>
            </w:tcBorders>
            <w:vAlign w:val="center"/>
            <w:hideMark/>
          </w:tcPr>
          <w:p w14:paraId="1A850B5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0.003</w:t>
            </w:r>
          </w:p>
        </w:tc>
        <w:tc>
          <w:tcPr>
            <w:tcW w:w="1157" w:type="dxa"/>
            <w:tcBorders>
              <w:top w:val="nil"/>
              <w:left w:val="nil"/>
              <w:bottom w:val="single" w:sz="4" w:space="0" w:color="auto"/>
              <w:right w:val="single" w:sz="4" w:space="0" w:color="auto"/>
            </w:tcBorders>
            <w:vAlign w:val="center"/>
            <w:hideMark/>
          </w:tcPr>
          <w:p w14:paraId="7D115DA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0.0303</w:t>
            </w:r>
          </w:p>
        </w:tc>
        <w:tc>
          <w:tcPr>
            <w:tcW w:w="1208" w:type="dxa"/>
            <w:tcBorders>
              <w:top w:val="nil"/>
              <w:left w:val="nil"/>
              <w:bottom w:val="single" w:sz="4" w:space="0" w:color="auto"/>
              <w:right w:val="single" w:sz="4" w:space="0" w:color="auto"/>
            </w:tcBorders>
            <w:vAlign w:val="center"/>
            <w:hideMark/>
          </w:tcPr>
          <w:p w14:paraId="1E41AC7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0.0159</w:t>
            </w:r>
          </w:p>
        </w:tc>
      </w:tr>
      <w:tr w:rsidR="000060BD" w:rsidRPr="00F803F9" w14:paraId="7A8207A4"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27984EB"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OC</w:t>
            </w:r>
          </w:p>
        </w:tc>
        <w:tc>
          <w:tcPr>
            <w:tcW w:w="1157" w:type="dxa"/>
            <w:tcBorders>
              <w:top w:val="nil"/>
              <w:left w:val="nil"/>
              <w:bottom w:val="single" w:sz="4" w:space="0" w:color="auto"/>
              <w:right w:val="single" w:sz="4" w:space="0" w:color="auto"/>
            </w:tcBorders>
            <w:vAlign w:val="center"/>
            <w:hideMark/>
          </w:tcPr>
          <w:p w14:paraId="2AECF22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5F139B2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0.0072</w:t>
            </w:r>
          </w:p>
        </w:tc>
        <w:tc>
          <w:tcPr>
            <w:tcW w:w="1157" w:type="dxa"/>
            <w:tcBorders>
              <w:top w:val="nil"/>
              <w:left w:val="nil"/>
              <w:bottom w:val="single" w:sz="4" w:space="0" w:color="auto"/>
              <w:right w:val="single" w:sz="4" w:space="0" w:color="auto"/>
            </w:tcBorders>
            <w:vAlign w:val="center"/>
            <w:hideMark/>
          </w:tcPr>
          <w:p w14:paraId="0E33720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-0.0063</w:t>
            </w:r>
          </w:p>
        </w:tc>
        <w:tc>
          <w:tcPr>
            <w:tcW w:w="1157" w:type="dxa"/>
            <w:tcBorders>
              <w:top w:val="nil"/>
              <w:left w:val="nil"/>
              <w:bottom w:val="single" w:sz="4" w:space="0" w:color="auto"/>
              <w:right w:val="single" w:sz="4" w:space="0" w:color="auto"/>
            </w:tcBorders>
            <w:vAlign w:val="center"/>
            <w:hideMark/>
          </w:tcPr>
          <w:p w14:paraId="66AAF22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0.0005</w:t>
            </w:r>
          </w:p>
        </w:tc>
        <w:tc>
          <w:tcPr>
            <w:tcW w:w="1157" w:type="dxa"/>
            <w:tcBorders>
              <w:top w:val="nil"/>
              <w:left w:val="nil"/>
              <w:bottom w:val="single" w:sz="4" w:space="0" w:color="auto"/>
              <w:right w:val="single" w:sz="4" w:space="0" w:color="auto"/>
            </w:tcBorders>
            <w:vAlign w:val="center"/>
            <w:hideMark/>
          </w:tcPr>
          <w:p w14:paraId="47189A0F"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-0.005</w:t>
            </w:r>
          </w:p>
        </w:tc>
        <w:tc>
          <w:tcPr>
            <w:tcW w:w="1157" w:type="dxa"/>
            <w:tcBorders>
              <w:top w:val="nil"/>
              <w:left w:val="nil"/>
              <w:bottom w:val="single" w:sz="4" w:space="0" w:color="auto"/>
              <w:right w:val="single" w:sz="4" w:space="0" w:color="auto"/>
            </w:tcBorders>
            <w:vAlign w:val="center"/>
            <w:hideMark/>
          </w:tcPr>
          <w:p w14:paraId="15DB0DC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-0.0152</w:t>
            </w:r>
          </w:p>
        </w:tc>
        <w:tc>
          <w:tcPr>
            <w:tcW w:w="1157" w:type="dxa"/>
            <w:tcBorders>
              <w:top w:val="nil"/>
              <w:left w:val="nil"/>
              <w:bottom w:val="single" w:sz="4" w:space="0" w:color="auto"/>
              <w:right w:val="single" w:sz="4" w:space="0" w:color="auto"/>
            </w:tcBorders>
            <w:vAlign w:val="center"/>
            <w:hideMark/>
          </w:tcPr>
          <w:p w14:paraId="0FABC34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0.0023</w:t>
            </w:r>
          </w:p>
        </w:tc>
        <w:tc>
          <w:tcPr>
            <w:tcW w:w="1157" w:type="dxa"/>
            <w:tcBorders>
              <w:top w:val="nil"/>
              <w:left w:val="nil"/>
              <w:bottom w:val="single" w:sz="4" w:space="0" w:color="auto"/>
              <w:right w:val="single" w:sz="4" w:space="0" w:color="auto"/>
            </w:tcBorders>
            <w:vAlign w:val="center"/>
            <w:hideMark/>
          </w:tcPr>
          <w:p w14:paraId="4B6FB25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w:t>
            </w:r>
          </w:p>
        </w:tc>
        <w:tc>
          <w:tcPr>
            <w:tcW w:w="1157" w:type="dxa"/>
            <w:tcBorders>
              <w:top w:val="nil"/>
              <w:left w:val="nil"/>
              <w:bottom w:val="single" w:sz="4" w:space="0" w:color="auto"/>
              <w:right w:val="single" w:sz="4" w:space="0" w:color="auto"/>
            </w:tcBorders>
            <w:vAlign w:val="center"/>
            <w:hideMark/>
          </w:tcPr>
          <w:p w14:paraId="171A9ABD"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-0.0223</w:t>
            </w:r>
          </w:p>
        </w:tc>
        <w:tc>
          <w:tcPr>
            <w:tcW w:w="1157" w:type="dxa"/>
            <w:tcBorders>
              <w:top w:val="nil"/>
              <w:left w:val="nil"/>
              <w:bottom w:val="single" w:sz="4" w:space="0" w:color="auto"/>
              <w:right w:val="single" w:sz="4" w:space="0" w:color="auto"/>
            </w:tcBorders>
            <w:vAlign w:val="center"/>
            <w:hideMark/>
          </w:tcPr>
          <w:p w14:paraId="72AF0F4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-0.0138</w:t>
            </w:r>
          </w:p>
        </w:tc>
        <w:tc>
          <w:tcPr>
            <w:tcW w:w="1208" w:type="dxa"/>
            <w:tcBorders>
              <w:top w:val="nil"/>
              <w:left w:val="nil"/>
              <w:bottom w:val="single" w:sz="4" w:space="0" w:color="auto"/>
              <w:right w:val="single" w:sz="4" w:space="0" w:color="auto"/>
            </w:tcBorders>
            <w:vAlign w:val="center"/>
            <w:hideMark/>
          </w:tcPr>
          <w:p w14:paraId="40EA606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-0.0005</w:t>
            </w:r>
          </w:p>
        </w:tc>
      </w:tr>
      <w:tr w:rsidR="000060BD" w:rsidRPr="00F803F9" w14:paraId="0B2F9067"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696C1ACF"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BYPP</w:t>
            </w:r>
          </w:p>
        </w:tc>
        <w:tc>
          <w:tcPr>
            <w:tcW w:w="1157" w:type="dxa"/>
            <w:tcBorders>
              <w:top w:val="nil"/>
              <w:left w:val="nil"/>
              <w:bottom w:val="single" w:sz="4" w:space="0" w:color="auto"/>
              <w:right w:val="single" w:sz="4" w:space="0" w:color="auto"/>
            </w:tcBorders>
            <w:vAlign w:val="center"/>
            <w:hideMark/>
          </w:tcPr>
          <w:p w14:paraId="734D575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-0.1285</w:t>
            </w:r>
          </w:p>
        </w:tc>
        <w:tc>
          <w:tcPr>
            <w:tcW w:w="1157" w:type="dxa"/>
            <w:tcBorders>
              <w:top w:val="nil"/>
              <w:left w:val="nil"/>
              <w:bottom w:val="single" w:sz="4" w:space="0" w:color="auto"/>
              <w:right w:val="single" w:sz="4" w:space="0" w:color="auto"/>
            </w:tcBorders>
            <w:vAlign w:val="center"/>
            <w:hideMark/>
          </w:tcPr>
          <w:p w14:paraId="791C337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-0.0228</w:t>
            </w:r>
          </w:p>
        </w:tc>
        <w:tc>
          <w:tcPr>
            <w:tcW w:w="1157" w:type="dxa"/>
            <w:tcBorders>
              <w:top w:val="nil"/>
              <w:left w:val="nil"/>
              <w:bottom w:val="single" w:sz="4" w:space="0" w:color="auto"/>
              <w:right w:val="single" w:sz="4" w:space="0" w:color="auto"/>
            </w:tcBorders>
            <w:vAlign w:val="center"/>
            <w:hideMark/>
          </w:tcPr>
          <w:p w14:paraId="49EE4EB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0.2349</w:t>
            </w:r>
          </w:p>
        </w:tc>
        <w:tc>
          <w:tcPr>
            <w:tcW w:w="1157" w:type="dxa"/>
            <w:tcBorders>
              <w:top w:val="nil"/>
              <w:left w:val="nil"/>
              <w:bottom w:val="single" w:sz="4" w:space="0" w:color="auto"/>
              <w:right w:val="single" w:sz="4" w:space="0" w:color="auto"/>
            </w:tcBorders>
            <w:vAlign w:val="center"/>
            <w:hideMark/>
          </w:tcPr>
          <w:p w14:paraId="564DB1A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0.0611</w:t>
            </w:r>
          </w:p>
        </w:tc>
        <w:tc>
          <w:tcPr>
            <w:tcW w:w="1157" w:type="dxa"/>
            <w:tcBorders>
              <w:top w:val="nil"/>
              <w:left w:val="nil"/>
              <w:bottom w:val="single" w:sz="4" w:space="0" w:color="auto"/>
              <w:right w:val="single" w:sz="4" w:space="0" w:color="auto"/>
            </w:tcBorders>
            <w:vAlign w:val="center"/>
            <w:hideMark/>
          </w:tcPr>
          <w:p w14:paraId="7DA4DC8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0.1949</w:t>
            </w:r>
          </w:p>
        </w:tc>
        <w:tc>
          <w:tcPr>
            <w:tcW w:w="1157" w:type="dxa"/>
            <w:tcBorders>
              <w:top w:val="nil"/>
              <w:left w:val="nil"/>
              <w:bottom w:val="single" w:sz="4" w:space="0" w:color="auto"/>
              <w:right w:val="single" w:sz="4" w:space="0" w:color="auto"/>
            </w:tcBorders>
            <w:vAlign w:val="center"/>
            <w:hideMark/>
          </w:tcPr>
          <w:p w14:paraId="38AC51B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0.1336</w:t>
            </w:r>
          </w:p>
        </w:tc>
        <w:tc>
          <w:tcPr>
            <w:tcW w:w="1157" w:type="dxa"/>
            <w:tcBorders>
              <w:top w:val="nil"/>
              <w:left w:val="nil"/>
              <w:bottom w:val="single" w:sz="4" w:space="0" w:color="auto"/>
              <w:right w:val="single" w:sz="4" w:space="0" w:color="auto"/>
            </w:tcBorders>
            <w:vAlign w:val="center"/>
            <w:hideMark/>
          </w:tcPr>
          <w:p w14:paraId="45C71E3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0.1051</w:t>
            </w:r>
          </w:p>
        </w:tc>
        <w:tc>
          <w:tcPr>
            <w:tcW w:w="1157" w:type="dxa"/>
            <w:tcBorders>
              <w:top w:val="nil"/>
              <w:left w:val="nil"/>
              <w:bottom w:val="single" w:sz="4" w:space="0" w:color="auto"/>
              <w:right w:val="single" w:sz="4" w:space="0" w:color="auto"/>
            </w:tcBorders>
            <w:vAlign w:val="center"/>
            <w:hideMark/>
          </w:tcPr>
          <w:p w14:paraId="02DEE3D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0.1548</w:t>
            </w:r>
          </w:p>
        </w:tc>
        <w:tc>
          <w:tcPr>
            <w:tcW w:w="1157" w:type="dxa"/>
            <w:tcBorders>
              <w:top w:val="nil"/>
              <w:left w:val="nil"/>
              <w:bottom w:val="single" w:sz="4" w:space="0" w:color="auto"/>
              <w:right w:val="single" w:sz="4" w:space="0" w:color="auto"/>
            </w:tcBorders>
            <w:vAlign w:val="center"/>
            <w:hideMark/>
          </w:tcPr>
          <w:p w14:paraId="3BD6BFD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0.1056</w:t>
            </w:r>
          </w:p>
        </w:tc>
        <w:tc>
          <w:tcPr>
            <w:tcW w:w="1157" w:type="dxa"/>
            <w:tcBorders>
              <w:top w:val="nil"/>
              <w:left w:val="nil"/>
              <w:bottom w:val="single" w:sz="4" w:space="0" w:color="auto"/>
              <w:right w:val="single" w:sz="4" w:space="0" w:color="auto"/>
            </w:tcBorders>
            <w:vAlign w:val="center"/>
            <w:hideMark/>
          </w:tcPr>
          <w:p w14:paraId="388A58B3"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0.1708</w:t>
            </w:r>
          </w:p>
        </w:tc>
        <w:tc>
          <w:tcPr>
            <w:tcW w:w="1208" w:type="dxa"/>
            <w:tcBorders>
              <w:top w:val="nil"/>
              <w:left w:val="nil"/>
              <w:bottom w:val="single" w:sz="4" w:space="0" w:color="auto"/>
              <w:right w:val="single" w:sz="4" w:space="0" w:color="auto"/>
            </w:tcBorders>
            <w:vAlign w:val="center"/>
            <w:hideMark/>
          </w:tcPr>
          <w:p w14:paraId="2E79A15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0.5686</w:t>
            </w:r>
          </w:p>
        </w:tc>
      </w:tr>
      <w:tr w:rsidR="000060BD" w:rsidRPr="00F803F9" w14:paraId="0241CB0A"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3AC37451"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HI</w:t>
            </w:r>
          </w:p>
        </w:tc>
        <w:tc>
          <w:tcPr>
            <w:tcW w:w="1157" w:type="dxa"/>
            <w:tcBorders>
              <w:top w:val="nil"/>
              <w:left w:val="nil"/>
              <w:bottom w:val="single" w:sz="4" w:space="0" w:color="auto"/>
              <w:right w:val="single" w:sz="4" w:space="0" w:color="auto"/>
            </w:tcBorders>
            <w:vAlign w:val="center"/>
            <w:hideMark/>
          </w:tcPr>
          <w:p w14:paraId="77522A6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-0.0014</w:t>
            </w:r>
          </w:p>
        </w:tc>
        <w:tc>
          <w:tcPr>
            <w:tcW w:w="1157" w:type="dxa"/>
            <w:tcBorders>
              <w:top w:val="nil"/>
              <w:left w:val="nil"/>
              <w:bottom w:val="single" w:sz="4" w:space="0" w:color="auto"/>
              <w:right w:val="single" w:sz="4" w:space="0" w:color="auto"/>
            </w:tcBorders>
            <w:vAlign w:val="center"/>
            <w:hideMark/>
          </w:tcPr>
          <w:p w14:paraId="2631AF99"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-0.0608</w:t>
            </w:r>
          </w:p>
        </w:tc>
        <w:tc>
          <w:tcPr>
            <w:tcW w:w="1157" w:type="dxa"/>
            <w:tcBorders>
              <w:top w:val="nil"/>
              <w:left w:val="nil"/>
              <w:bottom w:val="single" w:sz="4" w:space="0" w:color="auto"/>
              <w:right w:val="single" w:sz="4" w:space="0" w:color="auto"/>
            </w:tcBorders>
            <w:vAlign w:val="center"/>
            <w:hideMark/>
          </w:tcPr>
          <w:p w14:paraId="5B2A55E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0.264</w:t>
            </w:r>
          </w:p>
        </w:tc>
        <w:tc>
          <w:tcPr>
            <w:tcW w:w="1157" w:type="dxa"/>
            <w:tcBorders>
              <w:top w:val="nil"/>
              <w:left w:val="nil"/>
              <w:bottom w:val="single" w:sz="4" w:space="0" w:color="auto"/>
              <w:right w:val="single" w:sz="4" w:space="0" w:color="auto"/>
            </w:tcBorders>
            <w:vAlign w:val="center"/>
            <w:hideMark/>
          </w:tcPr>
          <w:p w14:paraId="022F3AA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0.0601</w:t>
            </w:r>
          </w:p>
        </w:tc>
        <w:tc>
          <w:tcPr>
            <w:tcW w:w="1157" w:type="dxa"/>
            <w:tcBorders>
              <w:top w:val="nil"/>
              <w:left w:val="nil"/>
              <w:bottom w:val="single" w:sz="4" w:space="0" w:color="auto"/>
              <w:right w:val="single" w:sz="4" w:space="0" w:color="auto"/>
            </w:tcBorders>
            <w:vAlign w:val="center"/>
            <w:hideMark/>
          </w:tcPr>
          <w:p w14:paraId="68EA763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0.2394</w:t>
            </w:r>
          </w:p>
        </w:tc>
        <w:tc>
          <w:tcPr>
            <w:tcW w:w="1157" w:type="dxa"/>
            <w:tcBorders>
              <w:top w:val="nil"/>
              <w:left w:val="nil"/>
              <w:bottom w:val="single" w:sz="4" w:space="0" w:color="auto"/>
              <w:right w:val="single" w:sz="4" w:space="0" w:color="auto"/>
            </w:tcBorders>
            <w:vAlign w:val="center"/>
            <w:hideMark/>
          </w:tcPr>
          <w:p w14:paraId="05C6938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0.0547</w:t>
            </w:r>
          </w:p>
        </w:tc>
        <w:tc>
          <w:tcPr>
            <w:tcW w:w="1157" w:type="dxa"/>
            <w:tcBorders>
              <w:top w:val="nil"/>
              <w:left w:val="nil"/>
              <w:bottom w:val="single" w:sz="4" w:space="0" w:color="auto"/>
              <w:right w:val="single" w:sz="4" w:space="0" w:color="auto"/>
            </w:tcBorders>
            <w:vAlign w:val="center"/>
            <w:hideMark/>
          </w:tcPr>
          <w:p w14:paraId="2E1731B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0.2545</w:t>
            </w:r>
          </w:p>
        </w:tc>
        <w:tc>
          <w:tcPr>
            <w:tcW w:w="1157" w:type="dxa"/>
            <w:tcBorders>
              <w:top w:val="nil"/>
              <w:left w:val="nil"/>
              <w:bottom w:val="single" w:sz="4" w:space="0" w:color="auto"/>
              <w:right w:val="single" w:sz="4" w:space="0" w:color="auto"/>
            </w:tcBorders>
            <w:vAlign w:val="center"/>
            <w:hideMark/>
          </w:tcPr>
          <w:p w14:paraId="4ADBC4E6"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0.2495</w:t>
            </w:r>
          </w:p>
        </w:tc>
        <w:tc>
          <w:tcPr>
            <w:tcW w:w="1157" w:type="dxa"/>
            <w:tcBorders>
              <w:top w:val="nil"/>
              <w:left w:val="nil"/>
              <w:bottom w:val="single" w:sz="4" w:space="0" w:color="auto"/>
              <w:right w:val="single" w:sz="4" w:space="0" w:color="auto"/>
            </w:tcBorders>
            <w:vAlign w:val="center"/>
            <w:hideMark/>
          </w:tcPr>
          <w:p w14:paraId="6C1D8FF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0.0113</w:t>
            </w:r>
          </w:p>
        </w:tc>
        <w:tc>
          <w:tcPr>
            <w:tcW w:w="1157" w:type="dxa"/>
            <w:tcBorders>
              <w:top w:val="nil"/>
              <w:left w:val="nil"/>
              <w:bottom w:val="single" w:sz="4" w:space="0" w:color="auto"/>
              <w:right w:val="single" w:sz="4" w:space="0" w:color="auto"/>
            </w:tcBorders>
            <w:vAlign w:val="center"/>
            <w:hideMark/>
          </w:tcPr>
          <w:p w14:paraId="4528932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1.7474</w:t>
            </w:r>
          </w:p>
        </w:tc>
        <w:tc>
          <w:tcPr>
            <w:tcW w:w="1208" w:type="dxa"/>
            <w:tcBorders>
              <w:top w:val="nil"/>
              <w:left w:val="nil"/>
              <w:bottom w:val="single" w:sz="4" w:space="0" w:color="auto"/>
              <w:right w:val="single" w:sz="4" w:space="0" w:color="auto"/>
            </w:tcBorders>
            <w:vAlign w:val="center"/>
            <w:hideMark/>
          </w:tcPr>
          <w:p w14:paraId="40A12CD5"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0.5248</w:t>
            </w:r>
          </w:p>
        </w:tc>
      </w:tr>
      <w:tr w:rsidR="000060BD" w:rsidRPr="00F803F9" w14:paraId="15B46319"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3116E213"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SYPP</w:t>
            </w:r>
          </w:p>
        </w:tc>
        <w:tc>
          <w:tcPr>
            <w:tcW w:w="1157" w:type="dxa"/>
            <w:tcBorders>
              <w:top w:val="nil"/>
              <w:left w:val="nil"/>
              <w:bottom w:val="single" w:sz="4" w:space="0" w:color="auto"/>
              <w:right w:val="single" w:sz="4" w:space="0" w:color="auto"/>
            </w:tcBorders>
            <w:vAlign w:val="center"/>
            <w:hideMark/>
          </w:tcPr>
          <w:p w14:paraId="55EBC98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-0.1421</w:t>
            </w:r>
          </w:p>
        </w:tc>
        <w:tc>
          <w:tcPr>
            <w:tcW w:w="1157" w:type="dxa"/>
            <w:tcBorders>
              <w:top w:val="nil"/>
              <w:left w:val="nil"/>
              <w:bottom w:val="single" w:sz="4" w:space="0" w:color="auto"/>
              <w:right w:val="single" w:sz="4" w:space="0" w:color="auto"/>
            </w:tcBorders>
            <w:vAlign w:val="center"/>
            <w:hideMark/>
          </w:tcPr>
          <w:p w14:paraId="519EE34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-0.0602</w:t>
            </w:r>
          </w:p>
        </w:tc>
        <w:tc>
          <w:tcPr>
            <w:tcW w:w="1157" w:type="dxa"/>
            <w:tcBorders>
              <w:top w:val="nil"/>
              <w:left w:val="nil"/>
              <w:bottom w:val="single" w:sz="4" w:space="0" w:color="auto"/>
              <w:right w:val="single" w:sz="4" w:space="0" w:color="auto"/>
            </w:tcBorders>
            <w:vAlign w:val="center"/>
            <w:hideMark/>
          </w:tcPr>
          <w:p w14:paraId="5781430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0.5409</w:t>
            </w:r>
          </w:p>
        </w:tc>
        <w:tc>
          <w:tcPr>
            <w:tcW w:w="1157" w:type="dxa"/>
            <w:tcBorders>
              <w:top w:val="nil"/>
              <w:left w:val="nil"/>
              <w:bottom w:val="single" w:sz="4" w:space="0" w:color="auto"/>
              <w:right w:val="single" w:sz="4" w:space="0" w:color="auto"/>
            </w:tcBorders>
            <w:vAlign w:val="center"/>
            <w:hideMark/>
          </w:tcPr>
          <w:p w14:paraId="14F62F0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0.1611</w:t>
            </w:r>
          </w:p>
        </w:tc>
        <w:tc>
          <w:tcPr>
            <w:tcW w:w="1157" w:type="dxa"/>
            <w:tcBorders>
              <w:top w:val="nil"/>
              <w:left w:val="nil"/>
              <w:bottom w:val="single" w:sz="4" w:space="0" w:color="auto"/>
              <w:right w:val="single" w:sz="4" w:space="0" w:color="auto"/>
            </w:tcBorders>
            <w:vAlign w:val="center"/>
            <w:hideMark/>
          </w:tcPr>
          <w:p w14:paraId="4376E93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0.5013</w:t>
            </w:r>
          </w:p>
        </w:tc>
        <w:tc>
          <w:tcPr>
            <w:tcW w:w="1157" w:type="dxa"/>
            <w:tcBorders>
              <w:top w:val="nil"/>
              <w:left w:val="nil"/>
              <w:bottom w:val="single" w:sz="4" w:space="0" w:color="auto"/>
              <w:right w:val="single" w:sz="4" w:space="0" w:color="auto"/>
            </w:tcBorders>
            <w:vAlign w:val="center"/>
            <w:hideMark/>
          </w:tcPr>
          <w:p w14:paraId="43DD123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0.198</w:t>
            </w:r>
          </w:p>
        </w:tc>
        <w:tc>
          <w:tcPr>
            <w:tcW w:w="1157" w:type="dxa"/>
            <w:tcBorders>
              <w:top w:val="nil"/>
              <w:left w:val="nil"/>
              <w:bottom w:val="single" w:sz="4" w:space="0" w:color="auto"/>
              <w:right w:val="single" w:sz="4" w:space="0" w:color="auto"/>
            </w:tcBorders>
            <w:vAlign w:val="center"/>
            <w:hideMark/>
          </w:tcPr>
          <w:p w14:paraId="13105C70"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0.3809</w:t>
            </w:r>
          </w:p>
        </w:tc>
        <w:tc>
          <w:tcPr>
            <w:tcW w:w="1157" w:type="dxa"/>
            <w:tcBorders>
              <w:top w:val="nil"/>
              <w:left w:val="nil"/>
              <w:bottom w:val="single" w:sz="4" w:space="0" w:color="auto"/>
              <w:right w:val="single" w:sz="4" w:space="0" w:color="auto"/>
            </w:tcBorders>
            <w:vAlign w:val="center"/>
            <w:hideMark/>
          </w:tcPr>
          <w:p w14:paraId="75B6FEB7"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0.4355</w:t>
            </w:r>
          </w:p>
        </w:tc>
        <w:tc>
          <w:tcPr>
            <w:tcW w:w="1157" w:type="dxa"/>
            <w:tcBorders>
              <w:top w:val="nil"/>
              <w:left w:val="nil"/>
              <w:bottom w:val="single" w:sz="4" w:space="0" w:color="auto"/>
              <w:right w:val="single" w:sz="4" w:space="0" w:color="auto"/>
            </w:tcBorders>
            <w:vAlign w:val="center"/>
            <w:hideMark/>
          </w:tcPr>
          <w:p w14:paraId="08569E0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0.1095</w:t>
            </w:r>
          </w:p>
        </w:tc>
        <w:tc>
          <w:tcPr>
            <w:tcW w:w="1157" w:type="dxa"/>
            <w:tcBorders>
              <w:top w:val="nil"/>
              <w:left w:val="nil"/>
              <w:bottom w:val="single" w:sz="4" w:space="0" w:color="auto"/>
              <w:right w:val="single" w:sz="4" w:space="0" w:color="auto"/>
            </w:tcBorders>
            <w:vAlign w:val="center"/>
            <w:hideMark/>
          </w:tcPr>
          <w:p w14:paraId="7DF8590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2.0434</w:t>
            </w:r>
          </w:p>
        </w:tc>
        <w:tc>
          <w:tcPr>
            <w:tcW w:w="1208" w:type="dxa"/>
            <w:tcBorders>
              <w:top w:val="nil"/>
              <w:left w:val="nil"/>
              <w:bottom w:val="single" w:sz="4" w:space="0" w:color="auto"/>
              <w:right w:val="single" w:sz="4" w:space="0" w:color="auto"/>
            </w:tcBorders>
            <w:vAlign w:val="center"/>
            <w:hideMark/>
          </w:tcPr>
          <w:p w14:paraId="3B7BC153"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1.133</w:t>
            </w:r>
          </w:p>
        </w:tc>
      </w:tr>
      <w:tr w:rsidR="000060BD" w:rsidRPr="00F803F9" w14:paraId="46834F2F"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444A76AC" w14:textId="77777777" w:rsidR="000060BD" w:rsidRPr="00F803F9" w:rsidRDefault="000060BD" w:rsidP="0031367B">
            <w:pPr>
              <w:spacing w:after="0" w:line="240" w:lineRule="auto"/>
              <w:jc w:val="both"/>
              <w:rPr>
                <w:rFonts w:ascii="Times New Roman" w:eastAsia="Times New Roman" w:hAnsi="Times New Roman" w:cs="Times New Roman"/>
                <w:b/>
                <w:bCs/>
                <w:color w:val="000000"/>
                <w:sz w:val="20"/>
                <w:lang w:eastAsia="en-IN"/>
              </w:rPr>
            </w:pPr>
            <w:r w:rsidRPr="00F803F9">
              <w:rPr>
                <w:rFonts w:ascii="Times New Roman" w:eastAsia="Times New Roman" w:hAnsi="Times New Roman" w:cs="Times New Roman"/>
                <w:b/>
                <w:bCs/>
                <w:color w:val="000000"/>
                <w:sz w:val="20"/>
                <w:lang w:eastAsia="en-IN"/>
              </w:rPr>
              <w:t>Partial R²</w:t>
            </w:r>
          </w:p>
        </w:tc>
        <w:tc>
          <w:tcPr>
            <w:tcW w:w="1157" w:type="dxa"/>
            <w:tcBorders>
              <w:top w:val="nil"/>
              <w:left w:val="nil"/>
              <w:bottom w:val="single" w:sz="4" w:space="0" w:color="auto"/>
              <w:right w:val="single" w:sz="4" w:space="0" w:color="auto"/>
            </w:tcBorders>
            <w:vAlign w:val="center"/>
            <w:hideMark/>
          </w:tcPr>
          <w:p w14:paraId="77B76DFC"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0.0084</w:t>
            </w:r>
          </w:p>
        </w:tc>
        <w:tc>
          <w:tcPr>
            <w:tcW w:w="1157" w:type="dxa"/>
            <w:tcBorders>
              <w:top w:val="nil"/>
              <w:left w:val="nil"/>
              <w:bottom w:val="single" w:sz="4" w:space="0" w:color="auto"/>
              <w:right w:val="single" w:sz="4" w:space="0" w:color="auto"/>
            </w:tcBorders>
            <w:vAlign w:val="center"/>
            <w:hideMark/>
          </w:tcPr>
          <w:p w14:paraId="53036404"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-0.0071</w:t>
            </w:r>
          </w:p>
        </w:tc>
        <w:tc>
          <w:tcPr>
            <w:tcW w:w="1157" w:type="dxa"/>
            <w:tcBorders>
              <w:top w:val="nil"/>
              <w:left w:val="nil"/>
              <w:bottom w:val="single" w:sz="4" w:space="0" w:color="auto"/>
              <w:right w:val="single" w:sz="4" w:space="0" w:color="auto"/>
            </w:tcBorders>
            <w:vAlign w:val="center"/>
            <w:hideMark/>
          </w:tcPr>
          <w:p w14:paraId="4420D6E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0.0065</w:t>
            </w:r>
          </w:p>
        </w:tc>
        <w:tc>
          <w:tcPr>
            <w:tcW w:w="1157" w:type="dxa"/>
            <w:tcBorders>
              <w:top w:val="nil"/>
              <w:left w:val="nil"/>
              <w:bottom w:val="single" w:sz="4" w:space="0" w:color="auto"/>
              <w:right w:val="single" w:sz="4" w:space="0" w:color="auto"/>
            </w:tcBorders>
            <w:vAlign w:val="center"/>
            <w:hideMark/>
          </w:tcPr>
          <w:p w14:paraId="3AE03F0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-0.014</w:t>
            </w:r>
          </w:p>
        </w:tc>
        <w:tc>
          <w:tcPr>
            <w:tcW w:w="1157" w:type="dxa"/>
            <w:tcBorders>
              <w:top w:val="nil"/>
              <w:left w:val="nil"/>
              <w:bottom w:val="single" w:sz="4" w:space="0" w:color="auto"/>
              <w:right w:val="single" w:sz="4" w:space="0" w:color="auto"/>
            </w:tcBorders>
            <w:vAlign w:val="center"/>
            <w:hideMark/>
          </w:tcPr>
          <w:p w14:paraId="47DE6F05"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0.0527</w:t>
            </w:r>
          </w:p>
        </w:tc>
        <w:tc>
          <w:tcPr>
            <w:tcW w:w="1157" w:type="dxa"/>
            <w:tcBorders>
              <w:top w:val="nil"/>
              <w:left w:val="nil"/>
              <w:bottom w:val="single" w:sz="4" w:space="0" w:color="auto"/>
              <w:right w:val="single" w:sz="4" w:space="0" w:color="auto"/>
            </w:tcBorders>
            <w:vAlign w:val="center"/>
            <w:hideMark/>
          </w:tcPr>
          <w:p w14:paraId="3B55E23E"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-0.0053</w:t>
            </w:r>
          </w:p>
        </w:tc>
        <w:tc>
          <w:tcPr>
            <w:tcW w:w="1157" w:type="dxa"/>
            <w:tcBorders>
              <w:top w:val="nil"/>
              <w:left w:val="nil"/>
              <w:bottom w:val="single" w:sz="4" w:space="0" w:color="auto"/>
              <w:right w:val="single" w:sz="4" w:space="0" w:color="auto"/>
            </w:tcBorders>
            <w:vAlign w:val="center"/>
            <w:hideMark/>
          </w:tcPr>
          <w:p w14:paraId="68D52CAD"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-0.0029</w:t>
            </w:r>
          </w:p>
        </w:tc>
        <w:tc>
          <w:tcPr>
            <w:tcW w:w="1157" w:type="dxa"/>
            <w:tcBorders>
              <w:top w:val="nil"/>
              <w:left w:val="nil"/>
              <w:bottom w:val="single" w:sz="4" w:space="0" w:color="auto"/>
              <w:right w:val="single" w:sz="4" w:space="0" w:color="auto"/>
            </w:tcBorders>
            <w:vAlign w:val="center"/>
            <w:hideMark/>
          </w:tcPr>
          <w:p w14:paraId="551FE5FA"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43C68EB2"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-0.0024</w:t>
            </w:r>
          </w:p>
        </w:tc>
        <w:tc>
          <w:tcPr>
            <w:tcW w:w="1157" w:type="dxa"/>
            <w:tcBorders>
              <w:top w:val="nil"/>
              <w:left w:val="nil"/>
              <w:bottom w:val="single" w:sz="4" w:space="0" w:color="auto"/>
              <w:right w:val="single" w:sz="4" w:space="0" w:color="auto"/>
            </w:tcBorders>
            <w:vAlign w:val="center"/>
            <w:hideMark/>
          </w:tcPr>
          <w:p w14:paraId="335D2B91"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0.3489</w:t>
            </w:r>
          </w:p>
        </w:tc>
        <w:tc>
          <w:tcPr>
            <w:tcW w:w="1208" w:type="dxa"/>
            <w:tcBorders>
              <w:top w:val="nil"/>
              <w:left w:val="nil"/>
              <w:bottom w:val="single" w:sz="4" w:space="0" w:color="auto"/>
              <w:right w:val="single" w:sz="4" w:space="0" w:color="auto"/>
            </w:tcBorders>
            <w:vAlign w:val="center"/>
            <w:hideMark/>
          </w:tcPr>
          <w:p w14:paraId="185D188B" w14:textId="77777777" w:rsidR="000060BD" w:rsidRPr="00F803F9" w:rsidRDefault="000060BD" w:rsidP="0031367B">
            <w:pPr>
              <w:spacing w:after="0" w:line="240" w:lineRule="auto"/>
              <w:jc w:val="both"/>
              <w:rPr>
                <w:rFonts w:ascii="Times New Roman" w:eastAsia="Times New Roman" w:hAnsi="Times New Roman" w:cs="Times New Roman"/>
                <w:color w:val="000000"/>
                <w:sz w:val="20"/>
                <w:lang w:eastAsia="en-IN"/>
              </w:rPr>
            </w:pPr>
            <w:r w:rsidRPr="00F803F9">
              <w:rPr>
                <w:rFonts w:ascii="Times New Roman" w:eastAsia="Times New Roman" w:hAnsi="Times New Roman" w:cs="Times New Roman"/>
                <w:color w:val="000000"/>
                <w:sz w:val="20"/>
                <w:lang w:eastAsia="en-IN"/>
              </w:rPr>
              <w:t>0.5946</w:t>
            </w:r>
          </w:p>
        </w:tc>
      </w:tr>
    </w:tbl>
    <w:p w14:paraId="36818AE0" w14:textId="77777777" w:rsidR="00B63400" w:rsidRPr="00F803F9" w:rsidRDefault="00F35346" w:rsidP="0031367B">
      <w:pPr>
        <w:spacing w:before="240" w:after="0" w:line="240" w:lineRule="auto"/>
        <w:jc w:val="both"/>
        <w:rPr>
          <w:rFonts w:ascii="Times New Roman" w:hAnsi="Times New Roman" w:cs="Times New Roman"/>
          <w:b/>
          <w:bCs/>
          <w:i/>
          <w:iCs/>
          <w:color w:val="000000" w:themeColor="text1"/>
          <w:sz w:val="24"/>
          <w:szCs w:val="24"/>
        </w:rPr>
      </w:pPr>
      <w:r w:rsidRPr="00F803F9">
        <w:rPr>
          <w:rFonts w:ascii="Times New Roman" w:hAnsi="Times New Roman" w:cs="Times New Roman"/>
          <w:b/>
          <w:bCs/>
          <w:i/>
          <w:iCs/>
          <w:color w:val="000000" w:themeColor="text1"/>
          <w:sz w:val="24"/>
          <w:szCs w:val="24"/>
        </w:rPr>
        <w:t>Note: -</w:t>
      </w:r>
      <w:r w:rsidR="004F3CD6" w:rsidRPr="00F803F9">
        <w:rPr>
          <w:rFonts w:ascii="Times New Roman" w:hAnsi="Times New Roman" w:cs="Times New Roman"/>
          <w:b/>
          <w:bCs/>
          <w:i/>
          <w:iCs/>
          <w:color w:val="000000" w:themeColor="text1"/>
          <w:sz w:val="24"/>
          <w:szCs w:val="24"/>
        </w:rPr>
        <w:t xml:space="preserve"> DTF: days to 50% flowering; DTM: days to maturity; PH: plant height (%); NPBPP: number of primary branches per plant; NCPP: number of clusters per plant; CL: cluster length (cm); NSPC: number of seeds per cluster; TSW: test seed weight (g); BYPP: biological yield per plant; HI: harvest index (%); SYPP: seed yield per plant (g) and OC: oil content (%)</w:t>
      </w:r>
    </w:p>
    <w:p w14:paraId="22B9942F" w14:textId="77777777" w:rsidR="00F15831" w:rsidRPr="00F803F9" w:rsidRDefault="00B42FC9" w:rsidP="0031367B">
      <w:pPr>
        <w:keepNext/>
        <w:spacing w:before="240" w:after="0" w:line="240" w:lineRule="auto"/>
        <w:jc w:val="both"/>
      </w:pPr>
      <w:r w:rsidRPr="00F803F9">
        <w:rPr>
          <w:noProof/>
          <w:lang w:eastAsia="en-IN"/>
        </w:rPr>
        <w:lastRenderedPageBreak/>
        <w:drawing>
          <wp:inline distT="0" distB="0" distL="0" distR="0" wp14:anchorId="05A5D3C9" wp14:editId="45BA86D5">
            <wp:extent cx="8898340" cy="5631815"/>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
                    <a:srcRect l="911" t="1745" r="1721" b="2515"/>
                    <a:stretch/>
                  </pic:blipFill>
                  <pic:spPr bwMode="auto">
                    <a:xfrm>
                      <a:off x="0" y="0"/>
                      <a:ext cx="8929024" cy="5651235"/>
                    </a:xfrm>
                    <a:prstGeom prst="rect">
                      <a:avLst/>
                    </a:prstGeom>
                    <a:ln>
                      <a:noFill/>
                    </a:ln>
                    <a:extLst>
                      <a:ext uri="{53640926-AAD7-44D8-BBD7-CCE9431645EC}">
                        <a14:shadowObscured xmlns:a14="http://schemas.microsoft.com/office/drawing/2010/main"/>
                      </a:ext>
                    </a:extLst>
                  </pic:spPr>
                </pic:pic>
              </a:graphicData>
            </a:graphic>
          </wp:inline>
        </w:drawing>
      </w:r>
    </w:p>
    <w:p w14:paraId="44769CA0" w14:textId="77777777" w:rsidR="000F2561" w:rsidRPr="007907A9" w:rsidRDefault="007907A9" w:rsidP="0031367B">
      <w:pPr>
        <w:pStyle w:val="Caption"/>
        <w:ind w:left="851" w:hanging="851"/>
        <w:jc w:val="both"/>
        <w:rPr>
          <w:rFonts w:ascii="Times New Roman" w:hAnsi="Times New Roman" w:cs="Times New Roman"/>
          <w:b/>
          <w:bCs/>
          <w:i w:val="0"/>
          <w:iCs w:val="0"/>
          <w:color w:val="000000" w:themeColor="text1"/>
          <w:sz w:val="24"/>
          <w:szCs w:val="24"/>
        </w:rPr>
      </w:pPr>
      <w:r w:rsidRPr="00F803F9">
        <w:rPr>
          <w:rFonts w:ascii="Times New Roman" w:hAnsi="Times New Roman" w:cs="Times New Roman"/>
          <w:b/>
          <w:bCs/>
          <w:i w:val="0"/>
          <w:iCs w:val="0"/>
          <w:color w:val="000000" w:themeColor="text1"/>
          <w:sz w:val="24"/>
          <w:szCs w:val="24"/>
        </w:rPr>
        <w:t>Fig.</w:t>
      </w:r>
      <w:r w:rsidR="00F15831" w:rsidRPr="00F803F9">
        <w:rPr>
          <w:rFonts w:ascii="Times New Roman" w:hAnsi="Times New Roman" w:cs="Times New Roman"/>
          <w:b/>
          <w:bCs/>
          <w:i w:val="0"/>
          <w:iCs w:val="0"/>
          <w:color w:val="000000" w:themeColor="text1"/>
          <w:sz w:val="24"/>
          <w:szCs w:val="24"/>
        </w:rPr>
        <w:t xml:space="preserve"> </w:t>
      </w:r>
      <w:r w:rsidR="00F15831" w:rsidRPr="00F803F9">
        <w:rPr>
          <w:rFonts w:ascii="Times New Roman" w:hAnsi="Times New Roman" w:cs="Times New Roman"/>
          <w:b/>
          <w:bCs/>
          <w:i w:val="0"/>
          <w:iCs w:val="0"/>
          <w:color w:val="000000" w:themeColor="text1"/>
          <w:sz w:val="24"/>
          <w:szCs w:val="24"/>
        </w:rPr>
        <w:fldChar w:fldCharType="begin"/>
      </w:r>
      <w:r w:rsidR="00F15831" w:rsidRPr="00F803F9">
        <w:rPr>
          <w:rFonts w:ascii="Times New Roman" w:hAnsi="Times New Roman" w:cs="Times New Roman"/>
          <w:b/>
          <w:bCs/>
          <w:i w:val="0"/>
          <w:iCs w:val="0"/>
          <w:color w:val="000000" w:themeColor="text1"/>
          <w:sz w:val="24"/>
          <w:szCs w:val="24"/>
        </w:rPr>
        <w:instrText xml:space="preserve"> SEQ Figure \* ARABIC </w:instrText>
      </w:r>
      <w:r w:rsidR="00F15831" w:rsidRPr="00F803F9">
        <w:rPr>
          <w:rFonts w:ascii="Times New Roman" w:hAnsi="Times New Roman" w:cs="Times New Roman"/>
          <w:b/>
          <w:bCs/>
          <w:i w:val="0"/>
          <w:iCs w:val="0"/>
          <w:color w:val="000000" w:themeColor="text1"/>
          <w:sz w:val="24"/>
          <w:szCs w:val="24"/>
        </w:rPr>
        <w:fldChar w:fldCharType="separate"/>
      </w:r>
      <w:r w:rsidR="00902AD7" w:rsidRPr="00F803F9">
        <w:rPr>
          <w:rFonts w:ascii="Times New Roman" w:hAnsi="Times New Roman" w:cs="Times New Roman"/>
          <w:b/>
          <w:bCs/>
          <w:i w:val="0"/>
          <w:iCs w:val="0"/>
          <w:noProof/>
          <w:color w:val="000000" w:themeColor="text1"/>
          <w:sz w:val="24"/>
          <w:szCs w:val="24"/>
        </w:rPr>
        <w:t>1</w:t>
      </w:r>
      <w:r w:rsidR="00F15831" w:rsidRPr="00F803F9">
        <w:rPr>
          <w:rFonts w:ascii="Times New Roman" w:hAnsi="Times New Roman" w:cs="Times New Roman"/>
          <w:b/>
          <w:bCs/>
          <w:i w:val="0"/>
          <w:iCs w:val="0"/>
          <w:color w:val="000000" w:themeColor="text1"/>
          <w:sz w:val="24"/>
          <w:szCs w:val="24"/>
        </w:rPr>
        <w:fldChar w:fldCharType="end"/>
      </w:r>
      <w:r w:rsidRPr="00F803F9">
        <w:rPr>
          <w:rFonts w:ascii="Times New Roman" w:hAnsi="Times New Roman" w:cs="Times New Roman"/>
          <w:b/>
          <w:bCs/>
          <w:i w:val="0"/>
          <w:iCs w:val="0"/>
          <w:color w:val="000000" w:themeColor="text1"/>
          <w:sz w:val="24"/>
          <w:szCs w:val="24"/>
        </w:rPr>
        <w:tab/>
      </w:r>
      <w:r w:rsidR="00F15831" w:rsidRPr="00F803F9">
        <w:rPr>
          <w:rFonts w:ascii="Times New Roman" w:hAnsi="Times New Roman" w:cs="Times New Roman"/>
          <w:b/>
          <w:bCs/>
          <w:i w:val="0"/>
          <w:iCs w:val="0"/>
          <w:color w:val="000000" w:themeColor="text1"/>
          <w:sz w:val="24"/>
          <w:szCs w:val="24"/>
        </w:rPr>
        <w:t>Genotypic path diagram showing the direct and indirect effect</w:t>
      </w:r>
      <w:r w:rsidRPr="00F803F9">
        <w:rPr>
          <w:rFonts w:ascii="Times New Roman" w:hAnsi="Times New Roman" w:cs="Times New Roman"/>
          <w:b/>
          <w:bCs/>
          <w:i w:val="0"/>
          <w:iCs w:val="0"/>
          <w:color w:val="000000" w:themeColor="text1"/>
          <w:sz w:val="24"/>
          <w:szCs w:val="24"/>
        </w:rPr>
        <w:t xml:space="preserve"> of different yield contributing characters on yield kg/ha along with residual effect</w:t>
      </w:r>
    </w:p>
    <w:sectPr w:rsidR="000F2561" w:rsidRPr="007907A9" w:rsidSect="000F2561">
      <w:pgSz w:w="16838" w:h="11906" w:orient="landscape"/>
      <w:pgMar w:top="993" w:right="1440" w:bottom="8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EBC40" w14:textId="77777777" w:rsidR="007D546B" w:rsidRDefault="007D546B" w:rsidP="00822B96">
      <w:pPr>
        <w:spacing w:after="0" w:line="240" w:lineRule="auto"/>
      </w:pPr>
      <w:r>
        <w:separator/>
      </w:r>
    </w:p>
  </w:endnote>
  <w:endnote w:type="continuationSeparator" w:id="0">
    <w:p w14:paraId="36D37603" w14:textId="77777777" w:rsidR="007D546B" w:rsidRDefault="007D546B" w:rsidP="0082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557A" w14:textId="77777777" w:rsidR="009419B1" w:rsidRDefault="00941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F9EA" w14:textId="77777777" w:rsidR="009419B1" w:rsidRDefault="00941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35F6" w14:textId="77777777" w:rsidR="009419B1" w:rsidRDefault="0094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88B8" w14:textId="77777777" w:rsidR="007D546B" w:rsidRDefault="007D546B" w:rsidP="00822B96">
      <w:pPr>
        <w:spacing w:after="0" w:line="240" w:lineRule="auto"/>
      </w:pPr>
      <w:r>
        <w:separator/>
      </w:r>
    </w:p>
  </w:footnote>
  <w:footnote w:type="continuationSeparator" w:id="0">
    <w:p w14:paraId="36296441" w14:textId="77777777" w:rsidR="007D546B" w:rsidRDefault="007D546B" w:rsidP="00822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EEB6" w14:textId="77777777" w:rsidR="009419B1" w:rsidRDefault="00000000">
    <w:pPr>
      <w:pStyle w:val="Header"/>
    </w:pPr>
    <w:r>
      <w:rPr>
        <w:noProof/>
      </w:rPr>
      <w:pict w14:anchorId="2830B3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2" o:spid="_x0000_s1026" type="#_x0000_t136" style="position:absolute;margin-left:0;margin-top:0;width:589.05pt;height:110.4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52A9" w14:textId="77777777" w:rsidR="009419B1" w:rsidRDefault="00000000">
    <w:pPr>
      <w:pStyle w:val="Header"/>
    </w:pPr>
    <w:r>
      <w:rPr>
        <w:noProof/>
      </w:rPr>
      <w:pict w14:anchorId="39050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3" o:spid="_x0000_s1027" type="#_x0000_t136" style="position:absolute;margin-left:0;margin-top:0;width:589.05pt;height:110.4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FDBA" w14:textId="77777777" w:rsidR="009419B1" w:rsidRDefault="00000000">
    <w:pPr>
      <w:pStyle w:val="Header"/>
    </w:pPr>
    <w:r>
      <w:rPr>
        <w:noProof/>
      </w:rPr>
      <w:pict w14:anchorId="2F08B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1" o:spid="_x0000_s1025" type="#_x0000_t136" style="position:absolute;margin-left:0;margin-top:0;width:589.05pt;height:110.4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yMDIzMzU0NTE2NjdR0lEKTi0uzszPAykwqgUA2jQn+iwAAAA="/>
  </w:docVars>
  <w:rsids>
    <w:rsidRoot w:val="00C805F7"/>
    <w:rsid w:val="00003CCE"/>
    <w:rsid w:val="000060BD"/>
    <w:rsid w:val="000454C8"/>
    <w:rsid w:val="000454DD"/>
    <w:rsid w:val="00047B18"/>
    <w:rsid w:val="000657F2"/>
    <w:rsid w:val="000676D0"/>
    <w:rsid w:val="00080A2E"/>
    <w:rsid w:val="000948E5"/>
    <w:rsid w:val="000970CD"/>
    <w:rsid w:val="000A14EF"/>
    <w:rsid w:val="000B58E2"/>
    <w:rsid w:val="000B6AE6"/>
    <w:rsid w:val="000C2CA2"/>
    <w:rsid w:val="000E4E6C"/>
    <w:rsid w:val="000E7C4E"/>
    <w:rsid w:val="000F2561"/>
    <w:rsid w:val="00102B0A"/>
    <w:rsid w:val="00103F6D"/>
    <w:rsid w:val="00144550"/>
    <w:rsid w:val="00146D9B"/>
    <w:rsid w:val="00153525"/>
    <w:rsid w:val="001713F5"/>
    <w:rsid w:val="001B19CF"/>
    <w:rsid w:val="001F676D"/>
    <w:rsid w:val="002122D7"/>
    <w:rsid w:val="00237F6C"/>
    <w:rsid w:val="00267D33"/>
    <w:rsid w:val="00275A3B"/>
    <w:rsid w:val="002844FE"/>
    <w:rsid w:val="00287C1F"/>
    <w:rsid w:val="0029015E"/>
    <w:rsid w:val="002A529C"/>
    <w:rsid w:val="002C5EB9"/>
    <w:rsid w:val="002E14AD"/>
    <w:rsid w:val="002E15A7"/>
    <w:rsid w:val="002F348E"/>
    <w:rsid w:val="00302575"/>
    <w:rsid w:val="0031367B"/>
    <w:rsid w:val="00317530"/>
    <w:rsid w:val="00323BE3"/>
    <w:rsid w:val="0033271A"/>
    <w:rsid w:val="00367531"/>
    <w:rsid w:val="00372841"/>
    <w:rsid w:val="003832C5"/>
    <w:rsid w:val="003B7830"/>
    <w:rsid w:val="003C0911"/>
    <w:rsid w:val="003D77F9"/>
    <w:rsid w:val="003E4A80"/>
    <w:rsid w:val="00471499"/>
    <w:rsid w:val="0047287E"/>
    <w:rsid w:val="004841BF"/>
    <w:rsid w:val="00490006"/>
    <w:rsid w:val="004F3CD6"/>
    <w:rsid w:val="005014AB"/>
    <w:rsid w:val="005176EF"/>
    <w:rsid w:val="005241C4"/>
    <w:rsid w:val="005265E1"/>
    <w:rsid w:val="00540CBE"/>
    <w:rsid w:val="00545E70"/>
    <w:rsid w:val="005619C9"/>
    <w:rsid w:val="0057632D"/>
    <w:rsid w:val="005A0AD6"/>
    <w:rsid w:val="005C7CC4"/>
    <w:rsid w:val="005F09E0"/>
    <w:rsid w:val="00605111"/>
    <w:rsid w:val="00620552"/>
    <w:rsid w:val="00655FA3"/>
    <w:rsid w:val="00676E1E"/>
    <w:rsid w:val="006A74F0"/>
    <w:rsid w:val="006B2BA1"/>
    <w:rsid w:val="006D276B"/>
    <w:rsid w:val="006E3155"/>
    <w:rsid w:val="006F2399"/>
    <w:rsid w:val="007369AB"/>
    <w:rsid w:val="007369B0"/>
    <w:rsid w:val="00757681"/>
    <w:rsid w:val="007615FA"/>
    <w:rsid w:val="007907A9"/>
    <w:rsid w:val="007C44EB"/>
    <w:rsid w:val="007D546B"/>
    <w:rsid w:val="007D70BF"/>
    <w:rsid w:val="007E3A3E"/>
    <w:rsid w:val="008142A4"/>
    <w:rsid w:val="00820EDB"/>
    <w:rsid w:val="00822B96"/>
    <w:rsid w:val="00830F24"/>
    <w:rsid w:val="00834FD0"/>
    <w:rsid w:val="00862C64"/>
    <w:rsid w:val="00884D3E"/>
    <w:rsid w:val="008A2C5B"/>
    <w:rsid w:val="008B1CE0"/>
    <w:rsid w:val="008C3094"/>
    <w:rsid w:val="008C6F1F"/>
    <w:rsid w:val="008C7226"/>
    <w:rsid w:val="008D13E2"/>
    <w:rsid w:val="008D5DC0"/>
    <w:rsid w:val="008E015E"/>
    <w:rsid w:val="008E412E"/>
    <w:rsid w:val="008E499A"/>
    <w:rsid w:val="00902AD7"/>
    <w:rsid w:val="00902D69"/>
    <w:rsid w:val="00913911"/>
    <w:rsid w:val="009419B1"/>
    <w:rsid w:val="00946BA5"/>
    <w:rsid w:val="00963B72"/>
    <w:rsid w:val="00981BB4"/>
    <w:rsid w:val="009C0C9E"/>
    <w:rsid w:val="009C4B77"/>
    <w:rsid w:val="009E56D2"/>
    <w:rsid w:val="00A47D82"/>
    <w:rsid w:val="00A61C7D"/>
    <w:rsid w:val="00A8234E"/>
    <w:rsid w:val="00A83F3B"/>
    <w:rsid w:val="00AE0956"/>
    <w:rsid w:val="00B07C26"/>
    <w:rsid w:val="00B166F8"/>
    <w:rsid w:val="00B2207A"/>
    <w:rsid w:val="00B355C0"/>
    <w:rsid w:val="00B3786F"/>
    <w:rsid w:val="00B42FC9"/>
    <w:rsid w:val="00B47484"/>
    <w:rsid w:val="00B5738B"/>
    <w:rsid w:val="00B63400"/>
    <w:rsid w:val="00B70CD4"/>
    <w:rsid w:val="00BA0FB0"/>
    <w:rsid w:val="00BD78AE"/>
    <w:rsid w:val="00C24676"/>
    <w:rsid w:val="00C40219"/>
    <w:rsid w:val="00C41561"/>
    <w:rsid w:val="00C4453B"/>
    <w:rsid w:val="00C70D6A"/>
    <w:rsid w:val="00C805F7"/>
    <w:rsid w:val="00C8610B"/>
    <w:rsid w:val="00C946CD"/>
    <w:rsid w:val="00C96AD6"/>
    <w:rsid w:val="00CB4C07"/>
    <w:rsid w:val="00CC31B6"/>
    <w:rsid w:val="00CF08AD"/>
    <w:rsid w:val="00D2556E"/>
    <w:rsid w:val="00D3553E"/>
    <w:rsid w:val="00D50420"/>
    <w:rsid w:val="00D565DB"/>
    <w:rsid w:val="00D575E4"/>
    <w:rsid w:val="00D72963"/>
    <w:rsid w:val="00D738D7"/>
    <w:rsid w:val="00D833A8"/>
    <w:rsid w:val="00DA6A6E"/>
    <w:rsid w:val="00DB18FB"/>
    <w:rsid w:val="00DD6616"/>
    <w:rsid w:val="00DE0507"/>
    <w:rsid w:val="00E34146"/>
    <w:rsid w:val="00E5033E"/>
    <w:rsid w:val="00E62231"/>
    <w:rsid w:val="00E72A29"/>
    <w:rsid w:val="00E83F4C"/>
    <w:rsid w:val="00E96959"/>
    <w:rsid w:val="00EB478F"/>
    <w:rsid w:val="00EE4A6A"/>
    <w:rsid w:val="00F0765E"/>
    <w:rsid w:val="00F12D1E"/>
    <w:rsid w:val="00F1497B"/>
    <w:rsid w:val="00F14AF6"/>
    <w:rsid w:val="00F15831"/>
    <w:rsid w:val="00F333C3"/>
    <w:rsid w:val="00F35346"/>
    <w:rsid w:val="00F52741"/>
    <w:rsid w:val="00F767D0"/>
    <w:rsid w:val="00F803F9"/>
    <w:rsid w:val="00F85150"/>
    <w:rsid w:val="00F873A6"/>
    <w:rsid w:val="00F95424"/>
    <w:rsid w:val="00FA6252"/>
    <w:rsid w:val="00FF634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57E38"/>
  <w15:chartTrackingRefBased/>
  <w15:docId w15:val="{A7B351C5-BB62-42BE-8C83-E2CC6049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B96"/>
  </w:style>
  <w:style w:type="paragraph" w:styleId="Footer">
    <w:name w:val="footer"/>
    <w:basedOn w:val="Normal"/>
    <w:link w:val="FooterChar"/>
    <w:uiPriority w:val="99"/>
    <w:unhideWhenUsed/>
    <w:rsid w:val="0082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B96"/>
  </w:style>
  <w:style w:type="character" w:styleId="Hyperlink">
    <w:name w:val="Hyperlink"/>
    <w:basedOn w:val="DefaultParagraphFont"/>
    <w:uiPriority w:val="99"/>
    <w:unhideWhenUsed/>
    <w:rsid w:val="000676D0"/>
    <w:rPr>
      <w:color w:val="0000FF"/>
      <w:u w:val="single"/>
    </w:rPr>
  </w:style>
  <w:style w:type="paragraph" w:styleId="ListParagraph">
    <w:name w:val="List Paragraph"/>
    <w:basedOn w:val="Normal"/>
    <w:uiPriority w:val="34"/>
    <w:qFormat/>
    <w:rsid w:val="00D575E4"/>
    <w:pPr>
      <w:ind w:left="720"/>
      <w:contextualSpacing/>
    </w:pPr>
  </w:style>
  <w:style w:type="paragraph" w:styleId="Caption">
    <w:name w:val="caption"/>
    <w:basedOn w:val="Normal"/>
    <w:next w:val="Normal"/>
    <w:uiPriority w:val="35"/>
    <w:unhideWhenUsed/>
    <w:qFormat/>
    <w:rsid w:val="00F15831"/>
    <w:pPr>
      <w:spacing w:after="200" w:line="240" w:lineRule="auto"/>
    </w:pPr>
    <w:rPr>
      <w:i/>
      <w:iCs/>
      <w:color w:val="44546A" w:themeColor="text2"/>
      <w:sz w:val="18"/>
      <w:szCs w:val="16"/>
    </w:rPr>
  </w:style>
  <w:style w:type="character" w:customStyle="1" w:styleId="UnresolvedMention1">
    <w:name w:val="Unresolved Mention1"/>
    <w:basedOn w:val="DefaultParagraphFont"/>
    <w:uiPriority w:val="99"/>
    <w:semiHidden/>
    <w:unhideWhenUsed/>
    <w:rsid w:val="00A47D82"/>
    <w:rPr>
      <w:color w:val="605E5C"/>
      <w:shd w:val="clear" w:color="auto" w:fill="E1DFDD"/>
    </w:rPr>
  </w:style>
  <w:style w:type="character" w:styleId="CommentReference">
    <w:name w:val="annotation reference"/>
    <w:basedOn w:val="DefaultParagraphFont"/>
    <w:uiPriority w:val="99"/>
    <w:semiHidden/>
    <w:unhideWhenUsed/>
    <w:rsid w:val="00047B18"/>
    <w:rPr>
      <w:sz w:val="16"/>
      <w:szCs w:val="16"/>
    </w:rPr>
  </w:style>
  <w:style w:type="paragraph" w:styleId="CommentText">
    <w:name w:val="annotation text"/>
    <w:basedOn w:val="Normal"/>
    <w:link w:val="CommentTextChar"/>
    <w:uiPriority w:val="99"/>
    <w:semiHidden/>
    <w:unhideWhenUsed/>
    <w:rsid w:val="00047B18"/>
    <w:pPr>
      <w:spacing w:line="240" w:lineRule="auto"/>
    </w:pPr>
    <w:rPr>
      <w:sz w:val="20"/>
      <w:szCs w:val="18"/>
    </w:rPr>
  </w:style>
  <w:style w:type="character" w:customStyle="1" w:styleId="CommentTextChar">
    <w:name w:val="Comment Text Char"/>
    <w:basedOn w:val="DefaultParagraphFont"/>
    <w:link w:val="CommentText"/>
    <w:uiPriority w:val="99"/>
    <w:semiHidden/>
    <w:rsid w:val="00047B18"/>
    <w:rPr>
      <w:sz w:val="20"/>
      <w:szCs w:val="18"/>
    </w:rPr>
  </w:style>
  <w:style w:type="paragraph" w:styleId="CommentSubject">
    <w:name w:val="annotation subject"/>
    <w:basedOn w:val="CommentText"/>
    <w:next w:val="CommentText"/>
    <w:link w:val="CommentSubjectChar"/>
    <w:uiPriority w:val="99"/>
    <w:semiHidden/>
    <w:unhideWhenUsed/>
    <w:rsid w:val="00047B18"/>
    <w:rPr>
      <w:b/>
      <w:bCs/>
    </w:rPr>
  </w:style>
  <w:style w:type="character" w:customStyle="1" w:styleId="CommentSubjectChar">
    <w:name w:val="Comment Subject Char"/>
    <w:basedOn w:val="CommentTextChar"/>
    <w:link w:val="CommentSubject"/>
    <w:uiPriority w:val="99"/>
    <w:semiHidden/>
    <w:rsid w:val="00047B18"/>
    <w:rPr>
      <w:b/>
      <w:bCs/>
      <w:sz w:val="20"/>
      <w:szCs w:val="18"/>
    </w:rPr>
  </w:style>
  <w:style w:type="paragraph" w:styleId="BalloonText">
    <w:name w:val="Balloon Text"/>
    <w:basedOn w:val="Normal"/>
    <w:link w:val="BalloonTextChar"/>
    <w:uiPriority w:val="99"/>
    <w:semiHidden/>
    <w:unhideWhenUsed/>
    <w:rsid w:val="00047B1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047B18"/>
    <w:rPr>
      <w:rFonts w:ascii="Segoe UI" w:hAnsi="Segoe UI" w:cs="Mangal"/>
      <w:sz w:val="18"/>
      <w:szCs w:val="16"/>
    </w:rPr>
  </w:style>
  <w:style w:type="paragraph" w:styleId="Revision">
    <w:name w:val="Revision"/>
    <w:hidden/>
    <w:uiPriority w:val="99"/>
    <w:semiHidden/>
    <w:rsid w:val="0031367B"/>
    <w:pPr>
      <w:spacing w:after="0" w:line="240" w:lineRule="auto"/>
    </w:pPr>
  </w:style>
  <w:style w:type="character" w:styleId="Emphasis">
    <w:name w:val="Emphasis"/>
    <w:basedOn w:val="DefaultParagraphFont"/>
    <w:uiPriority w:val="20"/>
    <w:qFormat/>
    <w:rsid w:val="00F803F9"/>
    <w:rPr>
      <w:i/>
      <w:iCs/>
    </w:rPr>
  </w:style>
  <w:style w:type="paragraph" w:customStyle="1" w:styleId="pdq2pgselectionanchorcontainer">
    <w:name w:val="pdq2pg_selectionanchorcontainer"/>
    <w:basedOn w:val="Normal"/>
    <w:rsid w:val="00F803F9"/>
    <w:pPr>
      <w:spacing w:before="100" w:beforeAutospacing="1" w:after="100" w:afterAutospacing="1" w:line="240" w:lineRule="auto"/>
    </w:pPr>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8853">
      <w:bodyDiv w:val="1"/>
      <w:marLeft w:val="0"/>
      <w:marRight w:val="0"/>
      <w:marTop w:val="0"/>
      <w:marBottom w:val="0"/>
      <w:divBdr>
        <w:top w:val="none" w:sz="0" w:space="0" w:color="auto"/>
        <w:left w:val="none" w:sz="0" w:space="0" w:color="auto"/>
        <w:bottom w:val="none" w:sz="0" w:space="0" w:color="auto"/>
        <w:right w:val="none" w:sz="0" w:space="0" w:color="auto"/>
      </w:divBdr>
    </w:div>
    <w:div w:id="82462423">
      <w:bodyDiv w:val="1"/>
      <w:marLeft w:val="0"/>
      <w:marRight w:val="0"/>
      <w:marTop w:val="0"/>
      <w:marBottom w:val="0"/>
      <w:divBdr>
        <w:top w:val="none" w:sz="0" w:space="0" w:color="auto"/>
        <w:left w:val="none" w:sz="0" w:space="0" w:color="auto"/>
        <w:bottom w:val="none" w:sz="0" w:space="0" w:color="auto"/>
        <w:right w:val="none" w:sz="0" w:space="0" w:color="auto"/>
      </w:divBdr>
    </w:div>
    <w:div w:id="272833668">
      <w:bodyDiv w:val="1"/>
      <w:marLeft w:val="0"/>
      <w:marRight w:val="0"/>
      <w:marTop w:val="0"/>
      <w:marBottom w:val="0"/>
      <w:divBdr>
        <w:top w:val="none" w:sz="0" w:space="0" w:color="auto"/>
        <w:left w:val="none" w:sz="0" w:space="0" w:color="auto"/>
        <w:bottom w:val="none" w:sz="0" w:space="0" w:color="auto"/>
        <w:right w:val="none" w:sz="0" w:space="0" w:color="auto"/>
      </w:divBdr>
    </w:div>
    <w:div w:id="413016468">
      <w:bodyDiv w:val="1"/>
      <w:marLeft w:val="0"/>
      <w:marRight w:val="0"/>
      <w:marTop w:val="0"/>
      <w:marBottom w:val="0"/>
      <w:divBdr>
        <w:top w:val="none" w:sz="0" w:space="0" w:color="auto"/>
        <w:left w:val="none" w:sz="0" w:space="0" w:color="auto"/>
        <w:bottom w:val="none" w:sz="0" w:space="0" w:color="auto"/>
        <w:right w:val="none" w:sz="0" w:space="0" w:color="auto"/>
      </w:divBdr>
    </w:div>
    <w:div w:id="448745045">
      <w:bodyDiv w:val="1"/>
      <w:marLeft w:val="0"/>
      <w:marRight w:val="0"/>
      <w:marTop w:val="0"/>
      <w:marBottom w:val="0"/>
      <w:divBdr>
        <w:top w:val="none" w:sz="0" w:space="0" w:color="auto"/>
        <w:left w:val="none" w:sz="0" w:space="0" w:color="auto"/>
        <w:bottom w:val="none" w:sz="0" w:space="0" w:color="auto"/>
        <w:right w:val="none" w:sz="0" w:space="0" w:color="auto"/>
      </w:divBdr>
    </w:div>
    <w:div w:id="726953674">
      <w:bodyDiv w:val="1"/>
      <w:marLeft w:val="0"/>
      <w:marRight w:val="0"/>
      <w:marTop w:val="0"/>
      <w:marBottom w:val="0"/>
      <w:divBdr>
        <w:top w:val="none" w:sz="0" w:space="0" w:color="auto"/>
        <w:left w:val="none" w:sz="0" w:space="0" w:color="auto"/>
        <w:bottom w:val="none" w:sz="0" w:space="0" w:color="auto"/>
        <w:right w:val="none" w:sz="0" w:space="0" w:color="auto"/>
      </w:divBdr>
    </w:div>
    <w:div w:id="1026372941">
      <w:bodyDiv w:val="1"/>
      <w:marLeft w:val="0"/>
      <w:marRight w:val="0"/>
      <w:marTop w:val="0"/>
      <w:marBottom w:val="0"/>
      <w:divBdr>
        <w:top w:val="none" w:sz="0" w:space="0" w:color="auto"/>
        <w:left w:val="none" w:sz="0" w:space="0" w:color="auto"/>
        <w:bottom w:val="none" w:sz="0" w:space="0" w:color="auto"/>
        <w:right w:val="none" w:sz="0" w:space="0" w:color="auto"/>
      </w:divBdr>
    </w:div>
    <w:div w:id="1055083879">
      <w:bodyDiv w:val="1"/>
      <w:marLeft w:val="0"/>
      <w:marRight w:val="0"/>
      <w:marTop w:val="0"/>
      <w:marBottom w:val="0"/>
      <w:divBdr>
        <w:top w:val="none" w:sz="0" w:space="0" w:color="auto"/>
        <w:left w:val="none" w:sz="0" w:space="0" w:color="auto"/>
        <w:bottom w:val="none" w:sz="0" w:space="0" w:color="auto"/>
        <w:right w:val="none" w:sz="0" w:space="0" w:color="auto"/>
      </w:divBdr>
    </w:div>
    <w:div w:id="1360398471">
      <w:bodyDiv w:val="1"/>
      <w:marLeft w:val="0"/>
      <w:marRight w:val="0"/>
      <w:marTop w:val="0"/>
      <w:marBottom w:val="0"/>
      <w:divBdr>
        <w:top w:val="none" w:sz="0" w:space="0" w:color="auto"/>
        <w:left w:val="none" w:sz="0" w:space="0" w:color="auto"/>
        <w:bottom w:val="none" w:sz="0" w:space="0" w:color="auto"/>
        <w:right w:val="none" w:sz="0" w:space="0" w:color="auto"/>
      </w:divBdr>
    </w:div>
    <w:div w:id="1410535815">
      <w:bodyDiv w:val="1"/>
      <w:marLeft w:val="0"/>
      <w:marRight w:val="0"/>
      <w:marTop w:val="0"/>
      <w:marBottom w:val="0"/>
      <w:divBdr>
        <w:top w:val="none" w:sz="0" w:space="0" w:color="auto"/>
        <w:left w:val="none" w:sz="0" w:space="0" w:color="auto"/>
        <w:bottom w:val="none" w:sz="0" w:space="0" w:color="auto"/>
        <w:right w:val="none" w:sz="0" w:space="0" w:color="auto"/>
      </w:divBdr>
    </w:div>
    <w:div w:id="1514758060">
      <w:bodyDiv w:val="1"/>
      <w:marLeft w:val="0"/>
      <w:marRight w:val="0"/>
      <w:marTop w:val="0"/>
      <w:marBottom w:val="0"/>
      <w:divBdr>
        <w:top w:val="none" w:sz="0" w:space="0" w:color="auto"/>
        <w:left w:val="none" w:sz="0" w:space="0" w:color="auto"/>
        <w:bottom w:val="none" w:sz="0" w:space="0" w:color="auto"/>
        <w:right w:val="none" w:sz="0" w:space="0" w:color="auto"/>
      </w:divBdr>
    </w:div>
    <w:div w:id="1552574655">
      <w:bodyDiv w:val="1"/>
      <w:marLeft w:val="0"/>
      <w:marRight w:val="0"/>
      <w:marTop w:val="0"/>
      <w:marBottom w:val="0"/>
      <w:divBdr>
        <w:top w:val="none" w:sz="0" w:space="0" w:color="auto"/>
        <w:left w:val="none" w:sz="0" w:space="0" w:color="auto"/>
        <w:bottom w:val="none" w:sz="0" w:space="0" w:color="auto"/>
        <w:right w:val="none" w:sz="0" w:space="0" w:color="auto"/>
      </w:divBdr>
    </w:div>
    <w:div w:id="1593468356">
      <w:bodyDiv w:val="1"/>
      <w:marLeft w:val="0"/>
      <w:marRight w:val="0"/>
      <w:marTop w:val="0"/>
      <w:marBottom w:val="0"/>
      <w:divBdr>
        <w:top w:val="none" w:sz="0" w:space="0" w:color="auto"/>
        <w:left w:val="none" w:sz="0" w:space="0" w:color="auto"/>
        <w:bottom w:val="none" w:sz="0" w:space="0" w:color="auto"/>
        <w:right w:val="none" w:sz="0" w:space="0" w:color="auto"/>
      </w:divBdr>
    </w:div>
    <w:div w:id="1594128025">
      <w:bodyDiv w:val="1"/>
      <w:marLeft w:val="0"/>
      <w:marRight w:val="0"/>
      <w:marTop w:val="0"/>
      <w:marBottom w:val="0"/>
      <w:divBdr>
        <w:top w:val="none" w:sz="0" w:space="0" w:color="auto"/>
        <w:left w:val="none" w:sz="0" w:space="0" w:color="auto"/>
        <w:bottom w:val="none" w:sz="0" w:space="0" w:color="auto"/>
        <w:right w:val="none" w:sz="0" w:space="0" w:color="auto"/>
      </w:divBdr>
    </w:div>
    <w:div w:id="1711762035">
      <w:bodyDiv w:val="1"/>
      <w:marLeft w:val="0"/>
      <w:marRight w:val="0"/>
      <w:marTop w:val="0"/>
      <w:marBottom w:val="0"/>
      <w:divBdr>
        <w:top w:val="none" w:sz="0" w:space="0" w:color="auto"/>
        <w:left w:val="none" w:sz="0" w:space="0" w:color="auto"/>
        <w:bottom w:val="none" w:sz="0" w:space="0" w:color="auto"/>
        <w:right w:val="none" w:sz="0" w:space="0" w:color="auto"/>
      </w:divBdr>
    </w:div>
    <w:div w:id="1716008307">
      <w:bodyDiv w:val="1"/>
      <w:marLeft w:val="0"/>
      <w:marRight w:val="0"/>
      <w:marTop w:val="0"/>
      <w:marBottom w:val="0"/>
      <w:divBdr>
        <w:top w:val="none" w:sz="0" w:space="0" w:color="auto"/>
        <w:left w:val="none" w:sz="0" w:space="0" w:color="auto"/>
        <w:bottom w:val="none" w:sz="0" w:space="0" w:color="auto"/>
        <w:right w:val="none" w:sz="0" w:space="0" w:color="auto"/>
      </w:divBdr>
    </w:div>
    <w:div w:id="1720543529">
      <w:bodyDiv w:val="1"/>
      <w:marLeft w:val="0"/>
      <w:marRight w:val="0"/>
      <w:marTop w:val="0"/>
      <w:marBottom w:val="0"/>
      <w:divBdr>
        <w:top w:val="none" w:sz="0" w:space="0" w:color="auto"/>
        <w:left w:val="none" w:sz="0" w:space="0" w:color="auto"/>
        <w:bottom w:val="none" w:sz="0" w:space="0" w:color="auto"/>
        <w:right w:val="none" w:sz="0" w:space="0" w:color="auto"/>
      </w:divBdr>
    </w:div>
    <w:div w:id="1726296923">
      <w:bodyDiv w:val="1"/>
      <w:marLeft w:val="0"/>
      <w:marRight w:val="0"/>
      <w:marTop w:val="0"/>
      <w:marBottom w:val="0"/>
      <w:divBdr>
        <w:top w:val="none" w:sz="0" w:space="0" w:color="auto"/>
        <w:left w:val="none" w:sz="0" w:space="0" w:color="auto"/>
        <w:bottom w:val="none" w:sz="0" w:space="0" w:color="auto"/>
        <w:right w:val="none" w:sz="0" w:space="0" w:color="auto"/>
      </w:divBdr>
    </w:div>
    <w:div w:id="1847866252">
      <w:bodyDiv w:val="1"/>
      <w:marLeft w:val="0"/>
      <w:marRight w:val="0"/>
      <w:marTop w:val="0"/>
      <w:marBottom w:val="0"/>
      <w:divBdr>
        <w:top w:val="none" w:sz="0" w:space="0" w:color="auto"/>
        <w:left w:val="none" w:sz="0" w:space="0" w:color="auto"/>
        <w:bottom w:val="none" w:sz="0" w:space="0" w:color="auto"/>
        <w:right w:val="none" w:sz="0" w:space="0" w:color="auto"/>
      </w:divBdr>
    </w:div>
    <w:div w:id="1950772288">
      <w:bodyDiv w:val="1"/>
      <w:marLeft w:val="0"/>
      <w:marRight w:val="0"/>
      <w:marTop w:val="0"/>
      <w:marBottom w:val="0"/>
      <w:divBdr>
        <w:top w:val="none" w:sz="0" w:space="0" w:color="auto"/>
        <w:left w:val="none" w:sz="0" w:space="0" w:color="auto"/>
        <w:bottom w:val="none" w:sz="0" w:space="0" w:color="auto"/>
        <w:right w:val="none" w:sz="0" w:space="0" w:color="auto"/>
      </w:divBdr>
    </w:div>
    <w:div w:id="2033338303">
      <w:bodyDiv w:val="1"/>
      <w:marLeft w:val="0"/>
      <w:marRight w:val="0"/>
      <w:marTop w:val="0"/>
      <w:marBottom w:val="0"/>
      <w:divBdr>
        <w:top w:val="none" w:sz="0" w:space="0" w:color="auto"/>
        <w:left w:val="none" w:sz="0" w:space="0" w:color="auto"/>
        <w:bottom w:val="none" w:sz="0" w:space="0" w:color="auto"/>
        <w:right w:val="none" w:sz="0" w:space="0" w:color="auto"/>
      </w:divBdr>
    </w:div>
    <w:div w:id="20896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10</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Original_Manuscript_PCBMB_15211</dc:title>
  <dc:subject/>
  <dc:creator>CG-DTE</dc:creator>
  <cp:keywords/>
  <dc:description/>
  <cp:lastModifiedBy>SDI PC New 16</cp:lastModifiedBy>
  <cp:revision>152</cp:revision>
  <cp:lastPrinted>2026-06-16T20:03:00Z</cp:lastPrinted>
  <dcterms:created xsi:type="dcterms:W3CDTF">2026-06-11T19:07:00Z</dcterms:created>
  <dcterms:modified xsi:type="dcterms:W3CDTF">2026-06-29T10:55:00Z</dcterms:modified>
</cp:coreProperties>
</file>