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FF0EE" w14:textId="6DD40C03" w:rsidR="004343E4" w:rsidRDefault="004343E4" w:rsidP="004343E4">
      <w:pPr>
        <w:spacing w:after="0" w:line="240" w:lineRule="auto"/>
        <w:ind w:firstLine="0"/>
        <w:jc w:val="center"/>
        <w:rPr>
          <w:rFonts w:ascii="Times New Roman" w:eastAsia="Times New Roman" w:hAnsi="Times New Roman" w:cs="Times New Roman"/>
          <w:b/>
          <w:sz w:val="24"/>
          <w:szCs w:val="24"/>
        </w:rPr>
      </w:pPr>
      <w:r w:rsidRPr="004343E4">
        <w:rPr>
          <w:rFonts w:ascii="Times New Roman" w:eastAsia="Times New Roman" w:hAnsi="Times New Roman" w:cs="Times New Roman"/>
          <w:b/>
          <w:sz w:val="24"/>
          <w:szCs w:val="24"/>
        </w:rPr>
        <w:t>Application of Indole-3-acetic acid (IAA), Indole Butyric Acid (IBA) and Naphthalene</w:t>
      </w:r>
      <w:r>
        <w:rPr>
          <w:rFonts w:ascii="Times New Roman" w:eastAsia="Times New Roman" w:hAnsi="Times New Roman" w:cs="Times New Roman"/>
          <w:b/>
          <w:sz w:val="24"/>
          <w:szCs w:val="24"/>
        </w:rPr>
        <w:t xml:space="preserve"> </w:t>
      </w:r>
      <w:r w:rsidRPr="004343E4">
        <w:rPr>
          <w:rFonts w:ascii="Times New Roman" w:eastAsia="Times New Roman" w:hAnsi="Times New Roman" w:cs="Times New Roman"/>
          <w:b/>
          <w:sz w:val="24"/>
          <w:szCs w:val="24"/>
        </w:rPr>
        <w:t>Acetic Acid (NAA) for Enhancing Clonal Propagation of Fig fruit (</w:t>
      </w:r>
      <w:r w:rsidRPr="008A79D1">
        <w:rPr>
          <w:rFonts w:ascii="Times New Roman" w:eastAsia="Times New Roman" w:hAnsi="Times New Roman" w:cs="Times New Roman"/>
          <w:b/>
          <w:i/>
          <w:iCs/>
          <w:sz w:val="24"/>
          <w:szCs w:val="24"/>
        </w:rPr>
        <w:t>Ficus carica</w:t>
      </w:r>
      <w:r w:rsidRPr="004343E4">
        <w:rPr>
          <w:rFonts w:ascii="Times New Roman" w:eastAsia="Times New Roman" w:hAnsi="Times New Roman" w:cs="Times New Roman"/>
          <w:b/>
          <w:sz w:val="24"/>
          <w:szCs w:val="24"/>
        </w:rPr>
        <w:t xml:space="preserve"> L.)</w:t>
      </w:r>
    </w:p>
    <w:p w14:paraId="7ADDD296" w14:textId="77777777" w:rsidR="00404ADD" w:rsidRDefault="00404ADD" w:rsidP="004343E4">
      <w:pPr>
        <w:spacing w:after="0" w:line="240" w:lineRule="auto"/>
        <w:ind w:firstLine="0"/>
        <w:jc w:val="center"/>
        <w:rPr>
          <w:rFonts w:ascii="Times New Roman" w:eastAsia="Times New Roman" w:hAnsi="Times New Roman" w:cs="Times New Roman"/>
          <w:b/>
          <w:sz w:val="24"/>
          <w:szCs w:val="24"/>
        </w:rPr>
      </w:pPr>
    </w:p>
    <w:p w14:paraId="1DC1B76F" w14:textId="77777777" w:rsidR="00342158" w:rsidRPr="008B7340" w:rsidRDefault="00342158" w:rsidP="006F4F41">
      <w:pPr>
        <w:pStyle w:val="NormalWeb"/>
        <w:spacing w:before="0" w:beforeAutospacing="0" w:after="0" w:afterAutospacing="0"/>
        <w:jc w:val="both"/>
        <w:rPr>
          <w:b/>
        </w:rPr>
      </w:pPr>
      <w:r w:rsidRPr="008B7340">
        <w:rPr>
          <w:b/>
        </w:rPr>
        <w:t>Abstract</w:t>
      </w:r>
    </w:p>
    <w:p w14:paraId="2BA6DA05" w14:textId="1D04B95B" w:rsidR="00771B04" w:rsidRDefault="00342158" w:rsidP="00EF057F">
      <w:pPr>
        <w:spacing w:after="0" w:line="240" w:lineRule="auto"/>
        <w:ind w:firstLine="0"/>
        <w:rPr>
          <w:rFonts w:ascii="Times New Roman" w:hAnsi="Times New Roman" w:cs="Times New Roman"/>
          <w:sz w:val="24"/>
          <w:szCs w:val="24"/>
        </w:rPr>
      </w:pPr>
      <w:r w:rsidRPr="008B7340">
        <w:tab/>
      </w:r>
      <w:r w:rsidR="00BA6D72">
        <w:rPr>
          <w:rFonts w:ascii="Times New Roman" w:hAnsi="Times New Roman" w:cs="Times New Roman"/>
          <w:sz w:val="24"/>
          <w:szCs w:val="24"/>
        </w:rPr>
        <w:t xml:space="preserve">This study evaluates </w:t>
      </w:r>
      <w:r w:rsidR="00BA6D72" w:rsidRPr="00BA6D72">
        <w:rPr>
          <w:rFonts w:ascii="Times New Roman" w:hAnsi="Times New Roman" w:cs="Times New Roman"/>
          <w:sz w:val="24"/>
          <w:szCs w:val="24"/>
        </w:rPr>
        <w:t xml:space="preserve">the effects of various auxins on sprouting </w:t>
      </w:r>
      <w:proofErr w:type="spellStart"/>
      <w:r w:rsidR="00BA6D72" w:rsidRPr="00BA6D72">
        <w:rPr>
          <w:rFonts w:ascii="Times New Roman" w:hAnsi="Times New Roman" w:cs="Times New Roman"/>
          <w:sz w:val="24"/>
          <w:szCs w:val="24"/>
        </w:rPr>
        <w:t>behaviour</w:t>
      </w:r>
      <w:proofErr w:type="spellEnd"/>
      <w:r w:rsidR="00BA6D72" w:rsidRPr="00BA6D72">
        <w:rPr>
          <w:rFonts w:ascii="Times New Roman" w:hAnsi="Times New Roman" w:cs="Times New Roman"/>
          <w:sz w:val="24"/>
          <w:szCs w:val="24"/>
        </w:rPr>
        <w:t xml:space="preserve">, shoot growth, and biomass attributes in hardwood cuttings of fig. The experiment was undertaken during 2022–2023 in a farmer-managed nursery located in Erode District, Tamil Nadu, India. A Completely </w:t>
      </w:r>
      <w:proofErr w:type="spellStart"/>
      <w:r w:rsidR="00BA6D72" w:rsidRPr="00BA6D72">
        <w:rPr>
          <w:rFonts w:ascii="Times New Roman" w:hAnsi="Times New Roman" w:cs="Times New Roman"/>
          <w:sz w:val="24"/>
          <w:szCs w:val="24"/>
        </w:rPr>
        <w:t>Randomised</w:t>
      </w:r>
      <w:proofErr w:type="spellEnd"/>
      <w:r w:rsidR="00BA6D72" w:rsidRPr="00BA6D72">
        <w:rPr>
          <w:rFonts w:ascii="Times New Roman" w:hAnsi="Times New Roman" w:cs="Times New Roman"/>
          <w:sz w:val="24"/>
          <w:szCs w:val="24"/>
        </w:rPr>
        <w:t xml:space="preserve"> Design (CRD) was employed, comprising ten treatments with three replications, </w:t>
      </w:r>
      <w:proofErr w:type="spellStart"/>
      <w:r w:rsidR="00BA6D72" w:rsidRPr="00BA6D72">
        <w:rPr>
          <w:rFonts w:ascii="Times New Roman" w:hAnsi="Times New Roman" w:cs="Times New Roman"/>
          <w:sz w:val="24"/>
          <w:szCs w:val="24"/>
        </w:rPr>
        <w:t>utilising</w:t>
      </w:r>
      <w:proofErr w:type="spellEnd"/>
      <w:r w:rsidR="00BA6D72" w:rsidRPr="00BA6D72">
        <w:rPr>
          <w:rFonts w:ascii="Times New Roman" w:hAnsi="Times New Roman" w:cs="Times New Roman"/>
          <w:sz w:val="24"/>
          <w:szCs w:val="24"/>
        </w:rPr>
        <w:t xml:space="preserve"> a total of 450 cuttings derived from the drought-tolerant ‘Afghan’ cultivar. The treatment structure included three concentrations each of indole-3-butyric acid (IBA), indole-3-acetic acid (IAA), and naphthalene acetic acid (NAA), in addition to an untreated control. The basal portions of the cuttings were exposed to a 30-second quick-dip application of the respective plant growth regulator solutions, after which rooting was conducted under mist chamber conditions.</w:t>
      </w:r>
      <w:r w:rsidR="00BA6D72">
        <w:rPr>
          <w:rFonts w:ascii="Times New Roman" w:hAnsi="Times New Roman" w:cs="Times New Roman"/>
          <w:sz w:val="24"/>
          <w:szCs w:val="24"/>
        </w:rPr>
        <w:t xml:space="preserve"> </w:t>
      </w:r>
      <w:r w:rsidR="00AA7BA1" w:rsidRPr="00EF057F">
        <w:rPr>
          <w:rFonts w:ascii="Times New Roman" w:hAnsi="Times New Roman" w:cs="Times New Roman"/>
          <w:sz w:val="24"/>
          <w:szCs w:val="24"/>
        </w:rPr>
        <w:t xml:space="preserve">Data were statistically analyzed using standard methods, and critical differences were determined at the 5% level of significance. </w:t>
      </w:r>
      <w:r w:rsidR="00245803" w:rsidRPr="00EF057F">
        <w:rPr>
          <w:rFonts w:ascii="Times New Roman" w:hAnsi="Times New Roman" w:cs="Times New Roman"/>
          <w:sz w:val="24"/>
          <w:szCs w:val="24"/>
        </w:rPr>
        <w:t>The highest performance was recorded with IBA @ 3500 ppm</w:t>
      </w:r>
      <w:r w:rsidR="003A553C" w:rsidRPr="00EF057F">
        <w:rPr>
          <w:rFonts w:ascii="Times New Roman" w:hAnsi="Times New Roman" w:cs="Times New Roman"/>
          <w:sz w:val="24"/>
          <w:szCs w:val="24"/>
        </w:rPr>
        <w:t xml:space="preserve"> (T</w:t>
      </w:r>
      <w:r w:rsidR="003A553C" w:rsidRPr="00EF057F">
        <w:rPr>
          <w:rFonts w:ascii="Times New Roman" w:hAnsi="Times New Roman" w:cs="Times New Roman"/>
          <w:sz w:val="24"/>
          <w:szCs w:val="24"/>
          <w:vertAlign w:val="subscript"/>
        </w:rPr>
        <w:t>3</w:t>
      </w:r>
      <w:r w:rsidR="003A553C" w:rsidRPr="00EF057F">
        <w:rPr>
          <w:rFonts w:ascii="Times New Roman" w:hAnsi="Times New Roman" w:cs="Times New Roman"/>
          <w:sz w:val="24"/>
          <w:szCs w:val="24"/>
        </w:rPr>
        <w:t>)</w:t>
      </w:r>
      <w:r w:rsidR="00245803" w:rsidRPr="00EF057F">
        <w:rPr>
          <w:rFonts w:ascii="Times New Roman" w:hAnsi="Times New Roman" w:cs="Times New Roman"/>
          <w:sz w:val="24"/>
          <w:szCs w:val="24"/>
        </w:rPr>
        <w:t>, which showed the earliest sprouting (10.70 days), maximum shoot length (21.43 cm), fresh shoot weight (46.44 g), dry shoot weight (35.63 g), shoot diameter (12.98 mm), leaf number (10.59), leaf dimensions (length 15.56 cm, width 13.28 cm)</w:t>
      </w:r>
      <w:r w:rsidR="00AA6C10" w:rsidRPr="00EF057F">
        <w:rPr>
          <w:rFonts w:ascii="Times New Roman" w:hAnsi="Times New Roman" w:cs="Times New Roman"/>
          <w:sz w:val="24"/>
          <w:szCs w:val="24"/>
        </w:rPr>
        <w:t xml:space="preserve"> and</w:t>
      </w:r>
      <w:r w:rsidR="00245803" w:rsidRPr="00EF057F">
        <w:rPr>
          <w:rFonts w:ascii="Times New Roman" w:hAnsi="Times New Roman" w:cs="Times New Roman"/>
          <w:sz w:val="24"/>
          <w:szCs w:val="24"/>
        </w:rPr>
        <w:t xml:space="preserve"> survival rate (87.88%). The findings suggest that IBA at 3500 ppm is optimal for efficient clonal propa</w:t>
      </w:r>
      <w:r w:rsidR="00510378" w:rsidRPr="00EF057F">
        <w:rPr>
          <w:rFonts w:ascii="Times New Roman" w:hAnsi="Times New Roman" w:cs="Times New Roman"/>
          <w:sz w:val="24"/>
          <w:szCs w:val="24"/>
        </w:rPr>
        <w:t xml:space="preserve">gation of fig hardwood cuttings due to enhanced growth and survival in treated cuttings </w:t>
      </w:r>
      <w:r w:rsidR="00645D03" w:rsidRPr="00EF057F">
        <w:rPr>
          <w:rFonts w:ascii="Times New Roman" w:hAnsi="Times New Roman" w:cs="Times New Roman"/>
          <w:sz w:val="24"/>
          <w:szCs w:val="24"/>
        </w:rPr>
        <w:t>is</w:t>
      </w:r>
      <w:r w:rsidR="00510378" w:rsidRPr="00EF057F">
        <w:rPr>
          <w:rFonts w:ascii="Times New Roman" w:hAnsi="Times New Roman" w:cs="Times New Roman"/>
          <w:sz w:val="24"/>
          <w:szCs w:val="24"/>
        </w:rPr>
        <w:t xml:space="preserve"> attributed to auxin-mediated stimulation of physiological processes including root initiation, cell elongation and nutrient uptake.</w:t>
      </w:r>
    </w:p>
    <w:p w14:paraId="6C6A98E4" w14:textId="77777777" w:rsidR="00404ADD" w:rsidRPr="00EF057F" w:rsidRDefault="00404ADD" w:rsidP="00EF057F">
      <w:pPr>
        <w:spacing w:after="0" w:line="240" w:lineRule="auto"/>
        <w:ind w:firstLine="0"/>
        <w:rPr>
          <w:rFonts w:ascii="Times New Roman" w:eastAsia="Times New Roman" w:hAnsi="Times New Roman" w:cs="Times New Roman"/>
          <w:b/>
          <w:sz w:val="24"/>
          <w:szCs w:val="24"/>
        </w:rPr>
      </w:pPr>
    </w:p>
    <w:p w14:paraId="3B06AA3D" w14:textId="6FDFFAD8" w:rsidR="00C905CF" w:rsidRDefault="00C905CF" w:rsidP="009214CF">
      <w:pPr>
        <w:pStyle w:val="NormalWeb"/>
        <w:spacing w:before="0" w:beforeAutospacing="0" w:after="0" w:afterAutospacing="0"/>
        <w:jc w:val="both"/>
      </w:pPr>
      <w:r w:rsidRPr="008B7340">
        <w:t xml:space="preserve">Keywords: </w:t>
      </w:r>
      <w:r w:rsidR="00633470">
        <w:t>IBA, NAA</w:t>
      </w:r>
      <w:r w:rsidR="008A2973" w:rsidRPr="008B7340">
        <w:t xml:space="preserve">, Cuttings, </w:t>
      </w:r>
      <w:r w:rsidR="00245803">
        <w:t>Sp</w:t>
      </w:r>
      <w:r w:rsidR="00F95C42">
        <w:t>r</w:t>
      </w:r>
      <w:r w:rsidR="00245803">
        <w:t>outing, Biomass and Shoot development.</w:t>
      </w:r>
    </w:p>
    <w:p w14:paraId="64ACF2BF" w14:textId="77777777" w:rsidR="00404ADD" w:rsidRPr="008B7340" w:rsidRDefault="00404ADD" w:rsidP="009214CF">
      <w:pPr>
        <w:pStyle w:val="NormalWeb"/>
        <w:spacing w:before="0" w:beforeAutospacing="0" w:after="0" w:afterAutospacing="0"/>
        <w:jc w:val="both"/>
      </w:pPr>
    </w:p>
    <w:p w14:paraId="09BDB763" w14:textId="77777777" w:rsidR="0055031C" w:rsidRPr="008B7340" w:rsidRDefault="0055031C" w:rsidP="006F4F41">
      <w:pPr>
        <w:pStyle w:val="NormalWeb"/>
        <w:spacing w:before="0" w:beforeAutospacing="0" w:after="0" w:afterAutospacing="0"/>
        <w:jc w:val="both"/>
        <w:rPr>
          <w:b/>
        </w:rPr>
      </w:pPr>
      <w:r w:rsidRPr="008B7340">
        <w:rPr>
          <w:b/>
        </w:rPr>
        <w:t>Introduction</w:t>
      </w:r>
    </w:p>
    <w:p w14:paraId="1112FC49" w14:textId="20652D60" w:rsidR="00BA6D72" w:rsidRDefault="00BA6D72" w:rsidP="00664CCD">
      <w:pPr>
        <w:pStyle w:val="NormalWeb"/>
        <w:spacing w:before="0" w:beforeAutospacing="0" w:after="0" w:afterAutospacing="0"/>
        <w:ind w:firstLine="720"/>
        <w:jc w:val="both"/>
      </w:pPr>
    </w:p>
    <w:p w14:paraId="6A22500A" w14:textId="5417C7E8" w:rsidR="003F78EF" w:rsidRPr="003F78EF" w:rsidRDefault="003F78EF" w:rsidP="003F78EF">
      <w:pPr>
        <w:spacing w:before="100" w:beforeAutospacing="1" w:after="100" w:afterAutospacing="1" w:line="240" w:lineRule="auto"/>
        <w:ind w:firstLine="0"/>
        <w:rPr>
          <w:rFonts w:ascii="Times New Roman" w:eastAsia="Times New Roman" w:hAnsi="Times New Roman" w:cs="Times New Roman"/>
          <w:sz w:val="24"/>
          <w:szCs w:val="24"/>
        </w:rPr>
      </w:pPr>
      <w:r w:rsidRPr="003F78EF">
        <w:rPr>
          <w:rFonts w:ascii="Times New Roman" w:eastAsia="Times New Roman" w:hAnsi="Times New Roman" w:cs="Times New Roman"/>
          <w:sz w:val="24"/>
          <w:szCs w:val="24"/>
        </w:rPr>
        <w:t>Fig (</w:t>
      </w:r>
      <w:proofErr w:type="spellStart"/>
      <w:r w:rsidRPr="003F78EF">
        <w:rPr>
          <w:rFonts w:ascii="Times New Roman" w:eastAsia="Times New Roman" w:hAnsi="Times New Roman" w:cs="Times New Roman"/>
          <w:i/>
          <w:iCs/>
          <w:sz w:val="24"/>
          <w:szCs w:val="24"/>
        </w:rPr>
        <w:t>Ficus</w:t>
      </w:r>
      <w:proofErr w:type="spellEnd"/>
      <w:r w:rsidRPr="003F78EF">
        <w:rPr>
          <w:rFonts w:ascii="Times New Roman" w:eastAsia="Times New Roman" w:hAnsi="Times New Roman" w:cs="Times New Roman"/>
          <w:i/>
          <w:iCs/>
          <w:sz w:val="24"/>
          <w:szCs w:val="24"/>
        </w:rPr>
        <w:t xml:space="preserve"> </w:t>
      </w:r>
      <w:proofErr w:type="spellStart"/>
      <w:r w:rsidRPr="003F78EF">
        <w:rPr>
          <w:rFonts w:ascii="Times New Roman" w:eastAsia="Times New Roman" w:hAnsi="Times New Roman" w:cs="Times New Roman"/>
          <w:i/>
          <w:iCs/>
          <w:sz w:val="24"/>
          <w:szCs w:val="24"/>
        </w:rPr>
        <w:t>carica</w:t>
      </w:r>
      <w:proofErr w:type="spellEnd"/>
      <w:r w:rsidRPr="003F78EF">
        <w:rPr>
          <w:rFonts w:ascii="Times New Roman" w:eastAsia="Times New Roman" w:hAnsi="Times New Roman" w:cs="Times New Roman"/>
          <w:sz w:val="24"/>
          <w:szCs w:val="24"/>
        </w:rPr>
        <w:t xml:space="preserve"> L.), a member of the family </w:t>
      </w:r>
      <w:proofErr w:type="spellStart"/>
      <w:r w:rsidRPr="003F78EF">
        <w:rPr>
          <w:rFonts w:ascii="Times New Roman" w:eastAsia="Times New Roman" w:hAnsi="Times New Roman" w:cs="Times New Roman"/>
          <w:sz w:val="24"/>
          <w:szCs w:val="24"/>
        </w:rPr>
        <w:t>Moraceae</w:t>
      </w:r>
      <w:proofErr w:type="spellEnd"/>
      <w:r w:rsidRPr="003F78EF">
        <w:rPr>
          <w:rFonts w:ascii="Times New Roman" w:eastAsia="Times New Roman" w:hAnsi="Times New Roman" w:cs="Times New Roman"/>
          <w:sz w:val="24"/>
          <w:szCs w:val="24"/>
        </w:rPr>
        <w:t>, is an ancient fruit species believed to have originated in Asia Minor and is now widely cultivated throughout the Mediterranean region (</w:t>
      </w:r>
      <w:proofErr w:type="spellStart"/>
      <w:r w:rsidRPr="003F78EF">
        <w:rPr>
          <w:rFonts w:ascii="Times New Roman" w:eastAsia="Times New Roman" w:hAnsi="Times New Roman" w:cs="Times New Roman"/>
          <w:sz w:val="24"/>
          <w:szCs w:val="24"/>
        </w:rPr>
        <w:t>Muruganandam</w:t>
      </w:r>
      <w:proofErr w:type="spellEnd"/>
      <w:r w:rsidRPr="003F78EF">
        <w:rPr>
          <w:rFonts w:ascii="Times New Roman" w:eastAsia="Times New Roman" w:hAnsi="Times New Roman" w:cs="Times New Roman"/>
          <w:sz w:val="24"/>
          <w:szCs w:val="24"/>
        </w:rPr>
        <w:t xml:space="preserve"> et al., 2025). It is </w:t>
      </w:r>
      <w:proofErr w:type="spellStart"/>
      <w:r w:rsidRPr="003F78EF">
        <w:rPr>
          <w:rFonts w:ascii="Times New Roman" w:eastAsia="Times New Roman" w:hAnsi="Times New Roman" w:cs="Times New Roman"/>
          <w:sz w:val="24"/>
          <w:szCs w:val="24"/>
        </w:rPr>
        <w:t>recognised</w:t>
      </w:r>
      <w:proofErr w:type="spellEnd"/>
      <w:r w:rsidRPr="003F78EF">
        <w:rPr>
          <w:rFonts w:ascii="Times New Roman" w:eastAsia="Times New Roman" w:hAnsi="Times New Roman" w:cs="Times New Roman"/>
          <w:sz w:val="24"/>
          <w:szCs w:val="24"/>
        </w:rPr>
        <w:t xml:space="preserve"> as one of the earliest domesticated fruit crops and is commonly referred to as ‘</w:t>
      </w:r>
      <w:proofErr w:type="spellStart"/>
      <w:r w:rsidRPr="003F78EF">
        <w:rPr>
          <w:rFonts w:ascii="Times New Roman" w:eastAsia="Times New Roman" w:hAnsi="Times New Roman" w:cs="Times New Roman"/>
          <w:sz w:val="24"/>
          <w:szCs w:val="24"/>
        </w:rPr>
        <w:t>Aththi</w:t>
      </w:r>
      <w:proofErr w:type="spellEnd"/>
      <w:r w:rsidRPr="003F78EF">
        <w:rPr>
          <w:rFonts w:ascii="Times New Roman" w:eastAsia="Times New Roman" w:hAnsi="Times New Roman" w:cs="Times New Roman"/>
          <w:sz w:val="24"/>
          <w:szCs w:val="24"/>
        </w:rPr>
        <w:t>’ in Tamil and ‘</w:t>
      </w:r>
      <w:proofErr w:type="spellStart"/>
      <w:r w:rsidRPr="003F78EF">
        <w:rPr>
          <w:rFonts w:ascii="Times New Roman" w:eastAsia="Times New Roman" w:hAnsi="Times New Roman" w:cs="Times New Roman"/>
          <w:sz w:val="24"/>
          <w:szCs w:val="24"/>
        </w:rPr>
        <w:t>Anjeer</w:t>
      </w:r>
      <w:proofErr w:type="spellEnd"/>
      <w:r w:rsidRPr="003F78EF">
        <w:rPr>
          <w:rFonts w:ascii="Times New Roman" w:eastAsia="Times New Roman" w:hAnsi="Times New Roman" w:cs="Times New Roman"/>
          <w:sz w:val="24"/>
          <w:szCs w:val="24"/>
        </w:rPr>
        <w:t xml:space="preserve">’ in Hindi. Botanically, the fig fruit is classified as a syconium, a </w:t>
      </w:r>
      <w:proofErr w:type="spellStart"/>
      <w:r w:rsidRPr="003F78EF">
        <w:rPr>
          <w:rFonts w:ascii="Times New Roman" w:eastAsia="Times New Roman" w:hAnsi="Times New Roman" w:cs="Times New Roman"/>
          <w:sz w:val="24"/>
          <w:szCs w:val="24"/>
        </w:rPr>
        <w:t>specialised</w:t>
      </w:r>
      <w:proofErr w:type="spellEnd"/>
      <w:r w:rsidRPr="003F78EF">
        <w:rPr>
          <w:rFonts w:ascii="Times New Roman" w:eastAsia="Times New Roman" w:hAnsi="Times New Roman" w:cs="Times New Roman"/>
          <w:sz w:val="24"/>
          <w:szCs w:val="24"/>
        </w:rPr>
        <w:t xml:space="preserve"> inflorescence </w:t>
      </w:r>
      <w:proofErr w:type="spellStart"/>
      <w:r w:rsidRPr="003F78EF">
        <w:rPr>
          <w:rFonts w:ascii="Times New Roman" w:eastAsia="Times New Roman" w:hAnsi="Times New Roman" w:cs="Times New Roman"/>
          <w:sz w:val="24"/>
          <w:szCs w:val="24"/>
        </w:rPr>
        <w:t>characterised</w:t>
      </w:r>
      <w:proofErr w:type="spellEnd"/>
      <w:r w:rsidRPr="003F78EF">
        <w:rPr>
          <w:rFonts w:ascii="Times New Roman" w:eastAsia="Times New Roman" w:hAnsi="Times New Roman" w:cs="Times New Roman"/>
          <w:sz w:val="24"/>
          <w:szCs w:val="24"/>
        </w:rPr>
        <w:t xml:space="preserve"> by the presence of latex within its parenchymatous tissues (</w:t>
      </w:r>
      <w:proofErr w:type="spellStart"/>
      <w:r w:rsidRPr="003F78EF">
        <w:rPr>
          <w:rFonts w:ascii="Times New Roman" w:eastAsia="Times New Roman" w:hAnsi="Times New Roman" w:cs="Times New Roman"/>
          <w:sz w:val="24"/>
          <w:szCs w:val="24"/>
        </w:rPr>
        <w:t>Muruganandam</w:t>
      </w:r>
      <w:proofErr w:type="spellEnd"/>
      <w:r w:rsidRPr="003F78EF">
        <w:rPr>
          <w:rFonts w:ascii="Times New Roman" w:eastAsia="Times New Roman" w:hAnsi="Times New Roman" w:cs="Times New Roman"/>
          <w:sz w:val="24"/>
          <w:szCs w:val="24"/>
        </w:rPr>
        <w:t xml:space="preserve"> et al., 2025). The fruit is highly valued not only for its nutritional richness but also for its medicinal properties. Historical evidence suggests that figs formed an integral component of the human diet in early </w:t>
      </w:r>
      <w:proofErr w:type="spellStart"/>
      <w:r w:rsidRPr="003F78EF">
        <w:rPr>
          <w:rFonts w:ascii="Times New Roman" w:eastAsia="Times New Roman" w:hAnsi="Times New Roman" w:cs="Times New Roman"/>
          <w:sz w:val="24"/>
          <w:szCs w:val="24"/>
        </w:rPr>
        <w:t>civilisations</w:t>
      </w:r>
      <w:proofErr w:type="spellEnd"/>
      <w:r w:rsidRPr="003F78EF">
        <w:rPr>
          <w:rFonts w:ascii="Times New Roman" w:eastAsia="Times New Roman" w:hAnsi="Times New Roman" w:cs="Times New Roman"/>
          <w:sz w:val="24"/>
          <w:szCs w:val="24"/>
        </w:rPr>
        <w:t>, alongside crops such as pomegranate, olive, and date palm (</w:t>
      </w:r>
      <w:proofErr w:type="spellStart"/>
      <w:r w:rsidRPr="003F78EF">
        <w:rPr>
          <w:rFonts w:ascii="Times New Roman" w:eastAsia="Times New Roman" w:hAnsi="Times New Roman" w:cs="Times New Roman"/>
          <w:sz w:val="24"/>
          <w:szCs w:val="24"/>
        </w:rPr>
        <w:t>Abbo</w:t>
      </w:r>
      <w:proofErr w:type="spellEnd"/>
      <w:r w:rsidRPr="003F78EF">
        <w:rPr>
          <w:rFonts w:ascii="Times New Roman" w:eastAsia="Times New Roman" w:hAnsi="Times New Roman" w:cs="Times New Roman"/>
          <w:sz w:val="24"/>
          <w:szCs w:val="24"/>
        </w:rPr>
        <w:t xml:space="preserve"> et al., 2015). Recent scientific investigations have further highlighted its potential therapeutic applications, including its possible role in the management of COVID-19 (Hamed et al., 2023).</w:t>
      </w:r>
      <w:r>
        <w:rPr>
          <w:rFonts w:ascii="Times New Roman" w:eastAsia="Times New Roman" w:hAnsi="Times New Roman" w:cs="Times New Roman"/>
          <w:sz w:val="24"/>
          <w:szCs w:val="24"/>
        </w:rPr>
        <w:t xml:space="preserve"> </w:t>
      </w:r>
      <w:r w:rsidRPr="003F78EF">
        <w:rPr>
          <w:rFonts w:ascii="Times New Roman" w:eastAsia="Times New Roman" w:hAnsi="Times New Roman" w:cs="Times New Roman"/>
          <w:sz w:val="24"/>
          <w:szCs w:val="24"/>
        </w:rPr>
        <w:t xml:space="preserve">Fig is widely cultivated owing to its adaptability to diverse soil types and climatic conditions, particularly in arid and semi-arid regions (Pushpa et al., 2023). Globally, fresh fig production is estimated at approximately 1.26 million </w:t>
      </w:r>
      <w:proofErr w:type="spellStart"/>
      <w:r w:rsidRPr="003F78EF">
        <w:rPr>
          <w:rFonts w:ascii="Times New Roman" w:eastAsia="Times New Roman" w:hAnsi="Times New Roman" w:cs="Times New Roman"/>
          <w:sz w:val="24"/>
          <w:szCs w:val="24"/>
        </w:rPr>
        <w:t>tonnes</w:t>
      </w:r>
      <w:proofErr w:type="spellEnd"/>
      <w:r w:rsidRPr="003F78EF">
        <w:rPr>
          <w:rFonts w:ascii="Times New Roman" w:eastAsia="Times New Roman" w:hAnsi="Times New Roman" w:cs="Times New Roman"/>
          <w:sz w:val="24"/>
          <w:szCs w:val="24"/>
        </w:rPr>
        <w:t>, with Turkey being the leading producer (FAOSTAT, 2022). In India, fig cultivation is largely confined to the states of Maharashtra, Gujarat, and Tamil Nadu, covering an area of about 5.9 thousand hectares (</w:t>
      </w:r>
      <w:proofErr w:type="spellStart"/>
      <w:r w:rsidRPr="003F78EF">
        <w:rPr>
          <w:rFonts w:ascii="Times New Roman" w:eastAsia="Times New Roman" w:hAnsi="Times New Roman" w:cs="Times New Roman"/>
          <w:sz w:val="24"/>
          <w:szCs w:val="24"/>
        </w:rPr>
        <w:t>Prabhuling</w:t>
      </w:r>
      <w:proofErr w:type="spellEnd"/>
      <w:r w:rsidRPr="003F78EF">
        <w:rPr>
          <w:rFonts w:ascii="Times New Roman" w:eastAsia="Times New Roman" w:hAnsi="Times New Roman" w:cs="Times New Roman"/>
          <w:sz w:val="24"/>
          <w:szCs w:val="24"/>
        </w:rPr>
        <w:t xml:space="preserve"> and </w:t>
      </w:r>
      <w:proofErr w:type="spellStart"/>
      <w:r w:rsidRPr="003F78EF">
        <w:rPr>
          <w:rFonts w:ascii="Times New Roman" w:eastAsia="Times New Roman" w:hAnsi="Times New Roman" w:cs="Times New Roman"/>
          <w:sz w:val="24"/>
          <w:szCs w:val="24"/>
        </w:rPr>
        <w:t>Huchesh</w:t>
      </w:r>
      <w:proofErr w:type="spellEnd"/>
      <w:r w:rsidRPr="003F78EF">
        <w:rPr>
          <w:rFonts w:ascii="Times New Roman" w:eastAsia="Times New Roman" w:hAnsi="Times New Roman" w:cs="Times New Roman"/>
          <w:sz w:val="24"/>
          <w:szCs w:val="24"/>
        </w:rPr>
        <w:t>, 2018). Among the various cultivars, ‘Afghan’ is particularly esteemed for its drought tolerance, early maturity, and superior fruit quality attributes (</w:t>
      </w:r>
      <w:proofErr w:type="spellStart"/>
      <w:r w:rsidRPr="003F78EF">
        <w:rPr>
          <w:rFonts w:ascii="Times New Roman" w:eastAsia="Times New Roman" w:hAnsi="Times New Roman" w:cs="Times New Roman"/>
          <w:sz w:val="24"/>
          <w:szCs w:val="24"/>
        </w:rPr>
        <w:t>Hssaini</w:t>
      </w:r>
      <w:proofErr w:type="spellEnd"/>
      <w:r w:rsidRPr="003F78EF">
        <w:rPr>
          <w:rFonts w:ascii="Times New Roman" w:eastAsia="Times New Roman" w:hAnsi="Times New Roman" w:cs="Times New Roman"/>
          <w:sz w:val="24"/>
          <w:szCs w:val="24"/>
        </w:rPr>
        <w:t xml:space="preserve"> et al., 2020).</w:t>
      </w:r>
    </w:p>
    <w:p w14:paraId="41658220" w14:textId="77777777" w:rsidR="003F78EF" w:rsidRPr="003F78EF" w:rsidRDefault="003F78EF" w:rsidP="003F78EF">
      <w:pPr>
        <w:spacing w:before="100" w:beforeAutospacing="1" w:after="100" w:afterAutospacing="1" w:line="240" w:lineRule="auto"/>
        <w:ind w:firstLine="0"/>
        <w:rPr>
          <w:rFonts w:ascii="Times New Roman" w:eastAsia="Times New Roman" w:hAnsi="Times New Roman" w:cs="Times New Roman"/>
          <w:sz w:val="24"/>
          <w:szCs w:val="24"/>
        </w:rPr>
      </w:pPr>
      <w:r w:rsidRPr="003F78EF">
        <w:rPr>
          <w:rFonts w:ascii="Times New Roman" w:eastAsia="Times New Roman" w:hAnsi="Times New Roman" w:cs="Times New Roman"/>
          <w:sz w:val="24"/>
          <w:szCs w:val="24"/>
        </w:rPr>
        <w:lastRenderedPageBreak/>
        <w:t xml:space="preserve">Commercial propagation of fig is predominantly carried out through hardwood cuttings, a technique </w:t>
      </w:r>
      <w:proofErr w:type="spellStart"/>
      <w:r w:rsidRPr="003F78EF">
        <w:rPr>
          <w:rFonts w:ascii="Times New Roman" w:eastAsia="Times New Roman" w:hAnsi="Times New Roman" w:cs="Times New Roman"/>
          <w:sz w:val="24"/>
          <w:szCs w:val="24"/>
        </w:rPr>
        <w:t>favoured</w:t>
      </w:r>
      <w:proofErr w:type="spellEnd"/>
      <w:r w:rsidRPr="003F78EF">
        <w:rPr>
          <w:rFonts w:ascii="Times New Roman" w:eastAsia="Times New Roman" w:hAnsi="Times New Roman" w:cs="Times New Roman"/>
          <w:sz w:val="24"/>
          <w:szCs w:val="24"/>
        </w:rPr>
        <w:t xml:space="preserve"> for its simplicity, reliability, and cost-effectiveness (Singh and </w:t>
      </w:r>
      <w:proofErr w:type="spellStart"/>
      <w:r w:rsidRPr="003F78EF">
        <w:rPr>
          <w:rFonts w:ascii="Times New Roman" w:eastAsia="Times New Roman" w:hAnsi="Times New Roman" w:cs="Times New Roman"/>
          <w:sz w:val="24"/>
          <w:szCs w:val="24"/>
        </w:rPr>
        <w:t>Rattenpal</w:t>
      </w:r>
      <w:proofErr w:type="spellEnd"/>
      <w:r w:rsidRPr="003F78EF">
        <w:rPr>
          <w:rFonts w:ascii="Times New Roman" w:eastAsia="Times New Roman" w:hAnsi="Times New Roman" w:cs="Times New Roman"/>
          <w:sz w:val="24"/>
          <w:szCs w:val="24"/>
        </w:rPr>
        <w:t>, 2015). The success of rooting in hardwood cuttings is markedly improved through the application of auxins such as indole-3-butyric acid (IBA), naphthalene acetic acid (NAA), and indole-3-acetic acid (IAA), which stimulate the formation of adventitious roots (</w:t>
      </w:r>
      <w:proofErr w:type="spellStart"/>
      <w:r w:rsidRPr="003F78EF">
        <w:rPr>
          <w:rFonts w:ascii="Times New Roman" w:eastAsia="Times New Roman" w:hAnsi="Times New Roman" w:cs="Times New Roman"/>
          <w:sz w:val="24"/>
          <w:szCs w:val="24"/>
        </w:rPr>
        <w:t>Dahale</w:t>
      </w:r>
      <w:proofErr w:type="spellEnd"/>
      <w:r w:rsidRPr="003F78EF">
        <w:rPr>
          <w:rFonts w:ascii="Times New Roman" w:eastAsia="Times New Roman" w:hAnsi="Times New Roman" w:cs="Times New Roman"/>
          <w:sz w:val="24"/>
          <w:szCs w:val="24"/>
        </w:rPr>
        <w:t xml:space="preserve"> et al., 2018; </w:t>
      </w:r>
      <w:proofErr w:type="spellStart"/>
      <w:r w:rsidRPr="003F78EF">
        <w:rPr>
          <w:rFonts w:ascii="Times New Roman" w:eastAsia="Times New Roman" w:hAnsi="Times New Roman" w:cs="Times New Roman"/>
          <w:sz w:val="24"/>
          <w:szCs w:val="24"/>
        </w:rPr>
        <w:t>Gollagi</w:t>
      </w:r>
      <w:proofErr w:type="spellEnd"/>
      <w:r w:rsidRPr="003F78EF">
        <w:rPr>
          <w:rFonts w:ascii="Times New Roman" w:eastAsia="Times New Roman" w:hAnsi="Times New Roman" w:cs="Times New Roman"/>
          <w:sz w:val="24"/>
          <w:szCs w:val="24"/>
        </w:rPr>
        <w:t xml:space="preserve"> et al., 2019). However, limited research has been conducted under the specific </w:t>
      </w:r>
      <w:proofErr w:type="spellStart"/>
      <w:r w:rsidRPr="003F78EF">
        <w:rPr>
          <w:rFonts w:ascii="Times New Roman" w:eastAsia="Times New Roman" w:hAnsi="Times New Roman" w:cs="Times New Roman"/>
          <w:sz w:val="24"/>
          <w:szCs w:val="24"/>
        </w:rPr>
        <w:t>agro</w:t>
      </w:r>
      <w:proofErr w:type="spellEnd"/>
      <w:r w:rsidRPr="003F78EF">
        <w:rPr>
          <w:rFonts w:ascii="Times New Roman" w:eastAsia="Times New Roman" w:hAnsi="Times New Roman" w:cs="Times New Roman"/>
          <w:sz w:val="24"/>
          <w:szCs w:val="24"/>
        </w:rPr>
        <w:t xml:space="preserve">-climatic conditions of Erode, highlighting the necessity for location-specific studies aimed at </w:t>
      </w:r>
      <w:proofErr w:type="spellStart"/>
      <w:r w:rsidRPr="003F78EF">
        <w:rPr>
          <w:rFonts w:ascii="Times New Roman" w:eastAsia="Times New Roman" w:hAnsi="Times New Roman" w:cs="Times New Roman"/>
          <w:sz w:val="24"/>
          <w:szCs w:val="24"/>
        </w:rPr>
        <w:t>optimising</w:t>
      </w:r>
      <w:proofErr w:type="spellEnd"/>
      <w:r w:rsidRPr="003F78EF">
        <w:rPr>
          <w:rFonts w:ascii="Times New Roman" w:eastAsia="Times New Roman" w:hAnsi="Times New Roman" w:cs="Times New Roman"/>
          <w:sz w:val="24"/>
          <w:szCs w:val="24"/>
        </w:rPr>
        <w:t xml:space="preserve"> propagation techniques for improved establishment and productivity.</w:t>
      </w:r>
    </w:p>
    <w:p w14:paraId="5847D115" w14:textId="77777777" w:rsidR="00BA6D72" w:rsidRDefault="00BA6D72" w:rsidP="003F78EF">
      <w:pPr>
        <w:pStyle w:val="NormalWeb"/>
        <w:spacing w:before="0" w:beforeAutospacing="0" w:after="0" w:afterAutospacing="0"/>
        <w:jc w:val="both"/>
      </w:pPr>
    </w:p>
    <w:p w14:paraId="2340A04A" w14:textId="24B515C6" w:rsidR="00BA6D72" w:rsidRPr="00E9608C" w:rsidRDefault="00A1171E" w:rsidP="00E9608C">
      <w:pPr>
        <w:pStyle w:val="NormalWeb"/>
        <w:spacing w:before="0" w:beforeAutospacing="0" w:after="0" w:afterAutospacing="0"/>
        <w:jc w:val="both"/>
        <w:rPr>
          <w:b/>
        </w:rPr>
      </w:pPr>
      <w:r w:rsidRPr="008B7340">
        <w:rPr>
          <w:b/>
        </w:rPr>
        <w:t>Material and methods</w:t>
      </w:r>
    </w:p>
    <w:p w14:paraId="16D1573D" w14:textId="77777777" w:rsidR="00E9608C" w:rsidRPr="00E9608C" w:rsidRDefault="00E9608C" w:rsidP="00E9608C">
      <w:pPr>
        <w:spacing w:before="100" w:beforeAutospacing="1" w:after="100" w:afterAutospacing="1" w:line="240" w:lineRule="auto"/>
        <w:ind w:firstLine="0"/>
        <w:rPr>
          <w:rFonts w:ascii="Times New Roman" w:eastAsia="Times New Roman" w:hAnsi="Times New Roman" w:cs="Times New Roman"/>
          <w:sz w:val="24"/>
          <w:szCs w:val="24"/>
        </w:rPr>
      </w:pPr>
      <w:r w:rsidRPr="00E9608C">
        <w:rPr>
          <w:rFonts w:ascii="Times New Roman" w:eastAsia="Times New Roman" w:hAnsi="Times New Roman" w:cs="Times New Roman"/>
          <w:sz w:val="24"/>
          <w:szCs w:val="24"/>
        </w:rPr>
        <w:t xml:space="preserve">The present investigation was conducted during 2022–2023 at a farmer-managed nursery located in </w:t>
      </w:r>
      <w:proofErr w:type="spellStart"/>
      <w:r w:rsidRPr="00E9608C">
        <w:rPr>
          <w:rFonts w:ascii="Times New Roman" w:eastAsia="Times New Roman" w:hAnsi="Times New Roman" w:cs="Times New Roman"/>
          <w:sz w:val="24"/>
          <w:szCs w:val="24"/>
        </w:rPr>
        <w:t>Mandaripalayam</w:t>
      </w:r>
      <w:proofErr w:type="spellEnd"/>
      <w:r w:rsidRPr="00E9608C">
        <w:rPr>
          <w:rFonts w:ascii="Times New Roman" w:eastAsia="Times New Roman" w:hAnsi="Times New Roman" w:cs="Times New Roman"/>
          <w:sz w:val="24"/>
          <w:szCs w:val="24"/>
        </w:rPr>
        <w:t xml:space="preserve"> </w:t>
      </w:r>
      <w:proofErr w:type="spellStart"/>
      <w:r w:rsidRPr="00E9608C">
        <w:rPr>
          <w:rFonts w:ascii="Times New Roman" w:eastAsia="Times New Roman" w:hAnsi="Times New Roman" w:cs="Times New Roman"/>
          <w:sz w:val="24"/>
          <w:szCs w:val="24"/>
        </w:rPr>
        <w:t>Pudur</w:t>
      </w:r>
      <w:proofErr w:type="spellEnd"/>
      <w:r w:rsidRPr="00E9608C">
        <w:rPr>
          <w:rFonts w:ascii="Times New Roman" w:eastAsia="Times New Roman" w:hAnsi="Times New Roman" w:cs="Times New Roman"/>
          <w:sz w:val="24"/>
          <w:szCs w:val="24"/>
        </w:rPr>
        <w:t xml:space="preserve">, Erode District, Tamil Nadu. The experiment was laid out in a Completely </w:t>
      </w:r>
      <w:proofErr w:type="spellStart"/>
      <w:r w:rsidRPr="00E9608C">
        <w:rPr>
          <w:rFonts w:ascii="Times New Roman" w:eastAsia="Times New Roman" w:hAnsi="Times New Roman" w:cs="Times New Roman"/>
          <w:sz w:val="24"/>
          <w:szCs w:val="24"/>
        </w:rPr>
        <w:t>Randomised</w:t>
      </w:r>
      <w:proofErr w:type="spellEnd"/>
      <w:r w:rsidRPr="00E9608C">
        <w:rPr>
          <w:rFonts w:ascii="Times New Roman" w:eastAsia="Times New Roman" w:hAnsi="Times New Roman" w:cs="Times New Roman"/>
          <w:sz w:val="24"/>
          <w:szCs w:val="24"/>
        </w:rPr>
        <w:t xml:space="preserve"> Design (CRD) comprising ten treatments with three replications. A total of 450 hardwood cuttings of the fig cultivar ‘Afghan’ were </w:t>
      </w:r>
      <w:proofErr w:type="spellStart"/>
      <w:r w:rsidRPr="00E9608C">
        <w:rPr>
          <w:rFonts w:ascii="Times New Roman" w:eastAsia="Times New Roman" w:hAnsi="Times New Roman" w:cs="Times New Roman"/>
          <w:sz w:val="24"/>
          <w:szCs w:val="24"/>
        </w:rPr>
        <w:t>utilised</w:t>
      </w:r>
      <w:proofErr w:type="spellEnd"/>
      <w:r w:rsidRPr="00E9608C">
        <w:rPr>
          <w:rFonts w:ascii="Times New Roman" w:eastAsia="Times New Roman" w:hAnsi="Times New Roman" w:cs="Times New Roman"/>
          <w:sz w:val="24"/>
          <w:szCs w:val="24"/>
        </w:rPr>
        <w:t>, with each replication consisting of 15 cuttings, each planted individually in polyethylene bags. The rooting medium was prepared using a mixture of sand, red earth, and soil in a 1:1:1 ratio (</w:t>
      </w:r>
      <w:proofErr w:type="spellStart"/>
      <w:r w:rsidRPr="00E9608C">
        <w:rPr>
          <w:rFonts w:ascii="Times New Roman" w:eastAsia="Times New Roman" w:hAnsi="Times New Roman" w:cs="Times New Roman"/>
          <w:sz w:val="24"/>
          <w:szCs w:val="24"/>
        </w:rPr>
        <w:t>Jeevanantham</w:t>
      </w:r>
      <w:proofErr w:type="spellEnd"/>
      <w:r w:rsidRPr="00E9608C">
        <w:rPr>
          <w:rFonts w:ascii="Times New Roman" w:eastAsia="Times New Roman" w:hAnsi="Times New Roman" w:cs="Times New Roman"/>
          <w:sz w:val="24"/>
          <w:szCs w:val="24"/>
        </w:rPr>
        <w:t xml:space="preserve"> et al., 2025).</w:t>
      </w:r>
    </w:p>
    <w:p w14:paraId="780C8836" w14:textId="77777777" w:rsidR="00E9608C" w:rsidRPr="00E9608C" w:rsidRDefault="00E9608C" w:rsidP="00E9608C">
      <w:pPr>
        <w:spacing w:before="100" w:beforeAutospacing="1" w:after="100" w:afterAutospacing="1" w:line="240" w:lineRule="auto"/>
        <w:ind w:firstLine="0"/>
        <w:rPr>
          <w:rFonts w:ascii="Times New Roman" w:eastAsia="Times New Roman" w:hAnsi="Times New Roman" w:cs="Times New Roman"/>
          <w:sz w:val="24"/>
          <w:szCs w:val="24"/>
        </w:rPr>
      </w:pPr>
      <w:r w:rsidRPr="00E9608C">
        <w:rPr>
          <w:rFonts w:ascii="Times New Roman" w:eastAsia="Times New Roman" w:hAnsi="Times New Roman" w:cs="Times New Roman"/>
          <w:sz w:val="24"/>
          <w:szCs w:val="24"/>
        </w:rPr>
        <w:t>The study was carried out under controlled mist chamber conditions, with temperature maintained between 35 and 38°C and relative humidity at approximately 90%. Intermittent misting was applied manually for five minutes at four-hour intervals using nozzles positioned at a height of 1.8 m. Hardwood cuttings were collected from healthy and mature plants of the ‘Afghan’ cultivar. The basal ends of the cuttings were treated using the quick-dip method for 30 seconds in aqueous solutions of different auxins, namely indole-3-butyric acid (IBA), indole-3-acetic acid (IAA), and naphthalene acetic acid (NAA), at varying concentrations.</w:t>
      </w:r>
    </w:p>
    <w:p w14:paraId="13D283A5" w14:textId="77777777" w:rsidR="00E9608C" w:rsidRPr="00E9608C" w:rsidRDefault="00E9608C" w:rsidP="00E9608C">
      <w:pPr>
        <w:spacing w:before="100" w:beforeAutospacing="1" w:after="100" w:afterAutospacing="1" w:line="240" w:lineRule="auto"/>
        <w:ind w:firstLine="0"/>
        <w:rPr>
          <w:rFonts w:ascii="Times New Roman" w:eastAsia="Times New Roman" w:hAnsi="Times New Roman" w:cs="Times New Roman"/>
          <w:sz w:val="24"/>
          <w:szCs w:val="24"/>
        </w:rPr>
      </w:pPr>
      <w:r w:rsidRPr="00E9608C">
        <w:rPr>
          <w:rFonts w:ascii="Times New Roman" w:eastAsia="Times New Roman" w:hAnsi="Times New Roman" w:cs="Times New Roman"/>
          <w:sz w:val="24"/>
          <w:szCs w:val="24"/>
        </w:rPr>
        <w:t xml:space="preserve">The treatment details included IBA at 1500 ppm (T₁), 2500 ppm (T₂), and 3500 ppm (T₃); IAA at 1500 ppm (T₄), 2500 ppm (T₅), and 3500 ppm (T₆); and NAA at 1500 ppm (T₇), 2500 ppm (T₈), and 3500 ppm (T₉), along with an untreated control (T₁₀). Observations were recorded at 90 days after treatment (DAT), and the data obtained were subjected to statistical analysis in accordance with the standard procedures described by </w:t>
      </w:r>
      <w:proofErr w:type="spellStart"/>
      <w:r w:rsidRPr="00E9608C">
        <w:rPr>
          <w:rFonts w:ascii="Times New Roman" w:eastAsia="Times New Roman" w:hAnsi="Times New Roman" w:cs="Times New Roman"/>
          <w:sz w:val="24"/>
          <w:szCs w:val="24"/>
        </w:rPr>
        <w:t>Panse</w:t>
      </w:r>
      <w:proofErr w:type="spellEnd"/>
      <w:r w:rsidRPr="00E9608C">
        <w:rPr>
          <w:rFonts w:ascii="Times New Roman" w:eastAsia="Times New Roman" w:hAnsi="Times New Roman" w:cs="Times New Roman"/>
          <w:sz w:val="24"/>
          <w:szCs w:val="24"/>
        </w:rPr>
        <w:t xml:space="preserve"> and </w:t>
      </w:r>
      <w:proofErr w:type="spellStart"/>
      <w:r w:rsidRPr="00E9608C">
        <w:rPr>
          <w:rFonts w:ascii="Times New Roman" w:eastAsia="Times New Roman" w:hAnsi="Times New Roman" w:cs="Times New Roman"/>
          <w:sz w:val="24"/>
          <w:szCs w:val="24"/>
        </w:rPr>
        <w:t>Sukhatme</w:t>
      </w:r>
      <w:proofErr w:type="spellEnd"/>
      <w:r w:rsidRPr="00E9608C">
        <w:rPr>
          <w:rFonts w:ascii="Times New Roman" w:eastAsia="Times New Roman" w:hAnsi="Times New Roman" w:cs="Times New Roman"/>
          <w:sz w:val="24"/>
          <w:szCs w:val="24"/>
        </w:rPr>
        <w:t xml:space="preserve"> (1985). The significance of treatment effects was evaluated using the critical difference (CD) at the 5 per cent level.</w:t>
      </w:r>
    </w:p>
    <w:p w14:paraId="0999F449" w14:textId="7800E8A1" w:rsidR="007F0AF1" w:rsidRPr="003A553C" w:rsidRDefault="007F0AF1" w:rsidP="00BA6D72">
      <w:pPr>
        <w:spacing w:before="120" w:after="120" w:line="240" w:lineRule="auto"/>
        <w:rPr>
          <w:rFonts w:ascii="Times New Roman" w:hAnsi="Times New Roman" w:cs="Times New Roman"/>
          <w:sz w:val="24"/>
          <w:szCs w:val="24"/>
        </w:rPr>
      </w:pPr>
    </w:p>
    <w:p w14:paraId="723D4F43" w14:textId="77777777" w:rsidR="002B29DA" w:rsidRPr="002B29DA" w:rsidRDefault="00282459" w:rsidP="002B29DA">
      <w:pPr>
        <w:spacing w:after="0" w:line="240" w:lineRule="auto"/>
        <w:ind w:firstLine="0"/>
        <w:rPr>
          <w:rFonts w:ascii="Times New Roman" w:hAnsi="Times New Roman" w:cs="Times New Roman"/>
          <w:b/>
          <w:sz w:val="24"/>
          <w:szCs w:val="24"/>
        </w:rPr>
      </w:pPr>
      <w:r w:rsidRPr="008B7340">
        <w:rPr>
          <w:rFonts w:ascii="Times New Roman" w:hAnsi="Times New Roman" w:cs="Times New Roman"/>
          <w:b/>
          <w:sz w:val="24"/>
          <w:szCs w:val="24"/>
        </w:rPr>
        <w:t xml:space="preserve">Results and discussion </w:t>
      </w:r>
    </w:p>
    <w:p w14:paraId="3516A6C4" w14:textId="77777777" w:rsidR="00664CCD" w:rsidRPr="00664CCD" w:rsidRDefault="002B29DA" w:rsidP="00810E60">
      <w:pPr>
        <w:spacing w:after="0" w:line="240" w:lineRule="auto"/>
        <w:rPr>
          <w:rFonts w:ascii="Times New Roman" w:hAnsi="Times New Roman" w:cs="Times New Roman"/>
          <w:sz w:val="24"/>
          <w:szCs w:val="24"/>
        </w:rPr>
      </w:pPr>
      <w:r w:rsidRPr="00664CCD">
        <w:rPr>
          <w:rFonts w:ascii="Times New Roman" w:hAnsi="Times New Roman" w:cs="Times New Roman"/>
          <w:sz w:val="24"/>
          <w:szCs w:val="24"/>
        </w:rPr>
        <w:t xml:space="preserve">The parameters measured to evaluate the effect of growth regulators on the shoot </w:t>
      </w:r>
      <w:r w:rsidRPr="00810E60">
        <w:rPr>
          <w:rFonts w:ascii="Times New Roman" w:hAnsi="Times New Roman" w:cs="Times New Roman"/>
          <w:sz w:val="24"/>
          <w:szCs w:val="24"/>
        </w:rPr>
        <w:t>development</w:t>
      </w:r>
      <w:r w:rsidRPr="00664CCD">
        <w:rPr>
          <w:rFonts w:ascii="Times New Roman" w:hAnsi="Times New Roman" w:cs="Times New Roman"/>
          <w:sz w:val="24"/>
          <w:szCs w:val="24"/>
        </w:rPr>
        <w:t xml:space="preserve"> of fig (</w:t>
      </w:r>
      <w:r w:rsidRPr="008A79D1">
        <w:rPr>
          <w:rFonts w:ascii="Times New Roman" w:hAnsi="Times New Roman" w:cs="Times New Roman"/>
          <w:i/>
          <w:iCs/>
          <w:sz w:val="24"/>
          <w:szCs w:val="24"/>
        </w:rPr>
        <w:t>Ficus carica</w:t>
      </w:r>
      <w:r w:rsidRPr="00664CCD">
        <w:rPr>
          <w:rFonts w:ascii="Times New Roman" w:hAnsi="Times New Roman" w:cs="Times New Roman"/>
          <w:sz w:val="24"/>
          <w:szCs w:val="24"/>
        </w:rPr>
        <w:t xml:space="preserve"> L.) hardwood cuttings included </w:t>
      </w:r>
      <w:r w:rsidRPr="00664CCD">
        <w:rPr>
          <w:rStyle w:val="Strong"/>
          <w:rFonts w:ascii="Times New Roman" w:hAnsi="Times New Roman" w:cs="Times New Roman"/>
          <w:b w:val="0"/>
          <w:sz w:val="24"/>
          <w:szCs w:val="24"/>
        </w:rPr>
        <w:t>number of days taken for sprouting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shoot length (cm)</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fresh weight of shoots per cutting (g)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dry weight of shoots per cutting (g)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shoot diameter (mm)</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number of leaves per cutting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leaf length (cm)</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leaf width (cm)</w:t>
      </w:r>
      <w:r w:rsidR="00AA6C10">
        <w:rPr>
          <w:rFonts w:ascii="Times New Roman" w:hAnsi="Times New Roman" w:cs="Times New Roman"/>
          <w:sz w:val="24"/>
          <w:szCs w:val="24"/>
        </w:rPr>
        <w:t xml:space="preserve"> and</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survival percentage (%)</w:t>
      </w:r>
      <w:r w:rsidRPr="00664CCD">
        <w:rPr>
          <w:rFonts w:ascii="Times New Roman" w:hAnsi="Times New Roman" w:cs="Times New Roman"/>
          <w:b/>
          <w:sz w:val="24"/>
          <w:szCs w:val="24"/>
        </w:rPr>
        <w:t xml:space="preserve">. </w:t>
      </w:r>
      <w:r w:rsidRPr="00664CCD">
        <w:rPr>
          <w:rFonts w:ascii="Times New Roman" w:hAnsi="Times New Roman" w:cs="Times New Roman"/>
          <w:sz w:val="24"/>
          <w:szCs w:val="24"/>
        </w:rPr>
        <w:t>Observations were recorded for each treatment and replication to assess the influence of varying concentrations of auxins, particularly IBA, on vegetative growth performance. The collected data were subjected to statistical analysis to determine the significance of differences among treatments for all measured parameters</w:t>
      </w:r>
      <w:r w:rsidR="00664CCD" w:rsidRPr="00664CCD">
        <w:rPr>
          <w:rFonts w:ascii="Times New Roman" w:hAnsi="Times New Roman" w:cs="Times New Roman"/>
          <w:sz w:val="24"/>
          <w:szCs w:val="24"/>
        </w:rPr>
        <w:t>.</w:t>
      </w:r>
    </w:p>
    <w:p w14:paraId="4108768F" w14:textId="3285F495" w:rsidR="00810E60" w:rsidRDefault="00664CCD" w:rsidP="00810E60">
      <w:pPr>
        <w:spacing w:after="0" w:line="240" w:lineRule="auto"/>
        <w:rPr>
          <w:rFonts w:ascii="Times New Roman" w:hAnsi="Times New Roman" w:cs="Times New Roman"/>
          <w:sz w:val="24"/>
          <w:szCs w:val="24"/>
        </w:rPr>
      </w:pPr>
      <w:r w:rsidRPr="00664CCD">
        <w:rPr>
          <w:rFonts w:ascii="Times New Roman" w:hAnsi="Times New Roman" w:cs="Times New Roman"/>
          <w:sz w:val="24"/>
          <w:szCs w:val="24"/>
        </w:rPr>
        <w:lastRenderedPageBreak/>
        <w:t>The earliest sprouting was recorded in T</w:t>
      </w:r>
      <w:r w:rsidRPr="00664CCD">
        <w:rPr>
          <w:rFonts w:ascii="Cambria Math" w:hAnsi="Cambria Math" w:cs="Times New Roman"/>
          <w:sz w:val="24"/>
          <w:szCs w:val="24"/>
        </w:rPr>
        <w:t>₃</w:t>
      </w:r>
      <w:r w:rsidRPr="00664CCD">
        <w:rPr>
          <w:rFonts w:ascii="Times New Roman" w:hAnsi="Times New Roman" w:cs="Times New Roman"/>
          <w:sz w:val="24"/>
          <w:szCs w:val="24"/>
        </w:rPr>
        <w:t xml:space="preserve"> (IBA @ 3500 ppm) with 10.70 days, followed by T</w:t>
      </w:r>
      <w:r w:rsidRPr="00664CCD">
        <w:rPr>
          <w:rFonts w:ascii="Cambria Math" w:hAnsi="Cambria Math" w:cs="Times New Roman"/>
          <w:sz w:val="24"/>
          <w:szCs w:val="24"/>
        </w:rPr>
        <w:t>₂</w:t>
      </w:r>
      <w:r w:rsidRPr="00664CCD">
        <w:rPr>
          <w:rFonts w:ascii="Times New Roman" w:hAnsi="Times New Roman" w:cs="Times New Roman"/>
          <w:sz w:val="24"/>
          <w:szCs w:val="24"/>
        </w:rPr>
        <w:t xml:space="preserve"> (IBA @ 2500 ppm) with 12.57 days and T</w:t>
      </w:r>
      <w:r w:rsidRPr="00664CCD">
        <w:rPr>
          <w:rFonts w:ascii="Times New Roman" w:hAnsi="Cambria Math" w:cs="Times New Roman"/>
          <w:sz w:val="24"/>
          <w:szCs w:val="24"/>
        </w:rPr>
        <w:t>₆</w:t>
      </w:r>
      <w:r w:rsidRPr="00664CCD">
        <w:rPr>
          <w:rFonts w:ascii="Times New Roman" w:hAnsi="Times New Roman" w:cs="Times New Roman"/>
          <w:sz w:val="24"/>
          <w:szCs w:val="24"/>
        </w:rPr>
        <w:t xml:space="preserve"> (IBA @ 1500 ppm) with 14.13 days. The maximum duration for sprouting (24.01 days) was noted in T</w:t>
      </w:r>
      <w:r w:rsidRPr="00664CCD">
        <w:rPr>
          <w:rFonts w:cs="Times New Roman"/>
          <w:sz w:val="24"/>
          <w:szCs w:val="24"/>
        </w:rPr>
        <w:t>₁₀</w:t>
      </w:r>
      <w:r w:rsidRPr="00664CCD">
        <w:rPr>
          <w:rFonts w:ascii="Times New Roman" w:hAnsi="Times New Roman" w:cs="Times New Roman"/>
          <w:sz w:val="24"/>
          <w:szCs w:val="24"/>
        </w:rPr>
        <w:t xml:space="preserve"> (control). This may be attributed to the effective utilization of stored reserves such as carbohydrates and nitrogen, facilitated by the applied auxin (</w:t>
      </w:r>
      <w:r w:rsidR="00465FB9">
        <w:rPr>
          <w:rFonts w:ascii="Times New Roman" w:hAnsi="Times New Roman" w:cs="Times New Roman"/>
          <w:sz w:val="24"/>
          <w:szCs w:val="24"/>
        </w:rPr>
        <w:t xml:space="preserve">Madhavan </w:t>
      </w:r>
      <w:r w:rsidR="002A4917" w:rsidRPr="002A4917">
        <w:rPr>
          <w:rFonts w:ascii="Times New Roman" w:hAnsi="Times New Roman" w:cs="Times New Roman"/>
          <w:i/>
          <w:iCs/>
          <w:sz w:val="24"/>
          <w:szCs w:val="24"/>
        </w:rPr>
        <w:t>et al</w:t>
      </w:r>
      <w:r w:rsidR="00465FB9" w:rsidRPr="00B651C0">
        <w:rPr>
          <w:rFonts w:ascii="Times New Roman" w:hAnsi="Times New Roman" w:cs="Times New Roman"/>
          <w:sz w:val="24"/>
          <w:szCs w:val="24"/>
        </w:rPr>
        <w:t>.</w:t>
      </w:r>
      <w:r w:rsidR="00465FB9">
        <w:rPr>
          <w:rFonts w:ascii="Times New Roman" w:hAnsi="Times New Roman" w:cs="Times New Roman"/>
          <w:sz w:val="24"/>
          <w:szCs w:val="24"/>
        </w:rPr>
        <w:t>,</w:t>
      </w:r>
      <w:r w:rsidR="00465FB9" w:rsidRPr="00B651C0">
        <w:rPr>
          <w:rFonts w:ascii="Times New Roman" w:hAnsi="Times New Roman" w:cs="Times New Roman"/>
          <w:sz w:val="24"/>
          <w:szCs w:val="24"/>
        </w:rPr>
        <w:t xml:space="preserve"> 2025</w:t>
      </w:r>
      <w:r w:rsidR="00024803">
        <w:rPr>
          <w:rFonts w:ascii="Times New Roman" w:hAnsi="Times New Roman" w:cs="Times New Roman"/>
          <w:sz w:val="24"/>
          <w:szCs w:val="24"/>
        </w:rPr>
        <w:t>a</w:t>
      </w:r>
      <w:r w:rsidR="00465FB9">
        <w:rPr>
          <w:rFonts w:ascii="Times New Roman" w:hAnsi="Times New Roman" w:cs="Times New Roman"/>
          <w:sz w:val="24"/>
          <w:szCs w:val="24"/>
        </w:rPr>
        <w:t xml:space="preserve">, </w:t>
      </w:r>
      <w:r w:rsidRPr="00664CCD">
        <w:rPr>
          <w:rFonts w:ascii="Times New Roman" w:hAnsi="Times New Roman" w:cs="Times New Roman"/>
          <w:sz w:val="24"/>
          <w:szCs w:val="24"/>
        </w:rPr>
        <w:t>Kaur and Kaur, 2017). Auxins likely enhanced the accumulation of endogenous auxins at the basal portion of the cuttings, inhibiting the downward translocation of assimilates and promoting faster physiological changes necessary for rooting and sprouting. The stimulation of cell division and early callus formation by IBA may also account for this accelerated response (</w:t>
      </w:r>
      <w:r w:rsidR="00465FB9">
        <w:rPr>
          <w:rFonts w:ascii="Times New Roman" w:hAnsi="Times New Roman" w:cs="Times New Roman"/>
          <w:sz w:val="24"/>
          <w:szCs w:val="24"/>
        </w:rPr>
        <w:t xml:space="preserve">Madhavan </w:t>
      </w:r>
      <w:r w:rsidR="002A4917" w:rsidRPr="002A4917">
        <w:rPr>
          <w:rFonts w:ascii="Times New Roman" w:hAnsi="Times New Roman" w:cs="Times New Roman"/>
          <w:i/>
          <w:iCs/>
          <w:sz w:val="24"/>
          <w:szCs w:val="24"/>
        </w:rPr>
        <w:t>et al</w:t>
      </w:r>
      <w:r w:rsidR="00465FB9" w:rsidRPr="00B651C0">
        <w:rPr>
          <w:rFonts w:ascii="Times New Roman" w:hAnsi="Times New Roman" w:cs="Times New Roman"/>
          <w:sz w:val="24"/>
          <w:szCs w:val="24"/>
        </w:rPr>
        <w:t>.</w:t>
      </w:r>
      <w:r w:rsidR="00465FB9">
        <w:rPr>
          <w:rFonts w:ascii="Times New Roman" w:hAnsi="Times New Roman" w:cs="Times New Roman"/>
          <w:sz w:val="24"/>
          <w:szCs w:val="24"/>
        </w:rPr>
        <w:t>,</w:t>
      </w:r>
      <w:r w:rsidR="00465FB9" w:rsidRPr="00B651C0">
        <w:rPr>
          <w:rFonts w:ascii="Times New Roman" w:hAnsi="Times New Roman" w:cs="Times New Roman"/>
          <w:sz w:val="24"/>
          <w:szCs w:val="24"/>
        </w:rPr>
        <w:t xml:space="preserve"> 2025</w:t>
      </w:r>
      <w:r w:rsidR="00024803">
        <w:rPr>
          <w:rFonts w:ascii="Times New Roman" w:hAnsi="Times New Roman" w:cs="Times New Roman"/>
          <w:sz w:val="24"/>
          <w:szCs w:val="24"/>
        </w:rPr>
        <w:t>a</w:t>
      </w:r>
      <w:r w:rsidR="00465FB9">
        <w:rPr>
          <w:rFonts w:ascii="Times New Roman" w:hAnsi="Times New Roman" w:cs="Times New Roman"/>
          <w:sz w:val="24"/>
          <w:szCs w:val="24"/>
        </w:rPr>
        <w:t xml:space="preserve">, </w:t>
      </w:r>
      <w:r w:rsidRPr="00664CCD">
        <w:rPr>
          <w:rFonts w:ascii="Times New Roman" w:hAnsi="Times New Roman" w:cs="Times New Roman"/>
          <w:sz w:val="24"/>
          <w:szCs w:val="24"/>
        </w:rPr>
        <w:t xml:space="preserve">Ghosh </w:t>
      </w:r>
      <w:r w:rsidR="002A4917" w:rsidRPr="002A4917">
        <w:rPr>
          <w:rFonts w:ascii="Times New Roman" w:hAnsi="Times New Roman" w:cs="Times New Roman"/>
          <w:i/>
          <w:iCs/>
          <w:sz w:val="24"/>
          <w:szCs w:val="24"/>
        </w:rPr>
        <w:t>et al</w:t>
      </w:r>
      <w:r w:rsidRPr="00664CCD">
        <w:rPr>
          <w:rFonts w:ascii="Times New Roman" w:hAnsi="Times New Roman" w:cs="Times New Roman"/>
          <w:sz w:val="24"/>
          <w:szCs w:val="24"/>
        </w:rPr>
        <w:t xml:space="preserve">., 2017). Additionally, the presence of endogenous auxins has been reported to facilitate early bud break and sprouting, as documented in cherry by Samim </w:t>
      </w:r>
      <w:r w:rsidR="002A4917" w:rsidRPr="002A4917">
        <w:rPr>
          <w:rFonts w:ascii="Times New Roman" w:hAnsi="Times New Roman" w:cs="Times New Roman"/>
          <w:i/>
          <w:iCs/>
          <w:sz w:val="24"/>
          <w:szCs w:val="24"/>
        </w:rPr>
        <w:t>et al</w:t>
      </w:r>
      <w:r w:rsidRPr="00664CCD">
        <w:rPr>
          <w:rFonts w:ascii="Times New Roman" w:hAnsi="Times New Roman" w:cs="Times New Roman"/>
          <w:sz w:val="24"/>
          <w:szCs w:val="24"/>
        </w:rPr>
        <w:t xml:space="preserve">. (2018). IBA is considered one of the most effective auxins </w:t>
      </w:r>
    </w:p>
    <w:p w14:paraId="64EBB390" w14:textId="77777777" w:rsidR="00282459" w:rsidRPr="008B7340" w:rsidRDefault="00282459" w:rsidP="006F4F41">
      <w:pPr>
        <w:spacing w:after="0"/>
        <w:ind w:firstLine="0"/>
        <w:rPr>
          <w:rFonts w:ascii="Times New Roman" w:hAnsi="Times New Roman" w:cs="Times New Roman"/>
          <w:b/>
          <w:bCs/>
          <w:sz w:val="24"/>
          <w:szCs w:val="24"/>
        </w:rPr>
        <w:sectPr w:rsidR="00282459" w:rsidRPr="008B7340" w:rsidSect="004516CF">
          <w:pgSz w:w="12240" w:h="15840"/>
          <w:pgMar w:top="1440" w:right="1440" w:bottom="1440" w:left="1440" w:header="720" w:footer="720" w:gutter="0"/>
          <w:cols w:space="720"/>
          <w:docGrid w:linePitch="360"/>
        </w:sectPr>
      </w:pPr>
    </w:p>
    <w:p w14:paraId="41548A48" w14:textId="77777777" w:rsidR="006F4F41" w:rsidRPr="00771B04" w:rsidRDefault="006F4F41" w:rsidP="007F0AF1">
      <w:pPr>
        <w:pStyle w:val="NormalWeb"/>
        <w:jc w:val="both"/>
        <w:rPr>
          <w:b/>
        </w:rPr>
      </w:pPr>
      <w:r w:rsidRPr="008B7340">
        <w:rPr>
          <w:b/>
        </w:rPr>
        <w:lastRenderedPageBreak/>
        <w:t>Table 1. A</w:t>
      </w:r>
      <w:r w:rsidR="00FA78B8">
        <w:rPr>
          <w:b/>
        </w:rPr>
        <w:t xml:space="preserve">uxin Enrichment Enhances Sprouting, </w:t>
      </w:r>
      <w:r w:rsidR="00FA78B8">
        <w:rPr>
          <w:b/>
          <w:bCs/>
        </w:rPr>
        <w:t>Shoot development</w:t>
      </w:r>
      <w:r w:rsidRPr="008B7340">
        <w:rPr>
          <w:b/>
        </w:rPr>
        <w:t xml:space="preserve"> and </w:t>
      </w:r>
      <w:r w:rsidRPr="008B7340">
        <w:rPr>
          <w:b/>
          <w:bCs/>
        </w:rPr>
        <w:t xml:space="preserve">Biomass </w:t>
      </w:r>
      <w:r w:rsidRPr="008B7340">
        <w:rPr>
          <w:b/>
        </w:rPr>
        <w:t>in Fig (</w:t>
      </w:r>
      <w:r w:rsidRPr="009A204B">
        <w:rPr>
          <w:b/>
          <w:i/>
          <w:iCs/>
        </w:rPr>
        <w:t>Fi</w:t>
      </w:r>
      <w:r w:rsidR="002727FE" w:rsidRPr="009A204B">
        <w:rPr>
          <w:b/>
          <w:i/>
          <w:iCs/>
        </w:rPr>
        <w:t>cus carica</w:t>
      </w:r>
      <w:r w:rsidR="002727FE">
        <w:rPr>
          <w:b/>
        </w:rPr>
        <w:t xml:space="preserve"> L.) Hardwood Cuttings at</w:t>
      </w:r>
      <w:r w:rsidR="00BB3E14">
        <w:rPr>
          <w:b/>
        </w:rPr>
        <w:t xml:space="preserve"> 90 DAT</w:t>
      </w:r>
    </w:p>
    <w:tbl>
      <w:tblPr>
        <w:tblStyle w:val="TableGrid"/>
        <w:tblW w:w="4895" w:type="pct"/>
        <w:jc w:val="center"/>
        <w:tblLook w:val="04A0" w:firstRow="1" w:lastRow="0" w:firstColumn="1" w:lastColumn="0" w:noHBand="0" w:noVBand="1"/>
      </w:tblPr>
      <w:tblGrid>
        <w:gridCol w:w="1475"/>
        <w:gridCol w:w="1268"/>
        <w:gridCol w:w="1266"/>
        <w:gridCol w:w="1267"/>
        <w:gridCol w:w="1267"/>
        <w:gridCol w:w="1272"/>
        <w:gridCol w:w="1249"/>
        <w:gridCol w:w="1249"/>
        <w:gridCol w:w="1241"/>
        <w:gridCol w:w="1345"/>
      </w:tblGrid>
      <w:tr w:rsidR="00771B04" w:rsidRPr="008B7340" w14:paraId="393F4A75" w14:textId="77777777" w:rsidTr="00771B04">
        <w:trPr>
          <w:trHeight w:val="576"/>
          <w:jc w:val="center"/>
        </w:trPr>
        <w:tc>
          <w:tcPr>
            <w:tcW w:w="572" w:type="pct"/>
            <w:vAlign w:val="center"/>
          </w:tcPr>
          <w:p w14:paraId="6349C65E"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Treatment Number</w:t>
            </w:r>
          </w:p>
        </w:tc>
        <w:tc>
          <w:tcPr>
            <w:tcW w:w="492" w:type="pct"/>
            <w:vAlign w:val="center"/>
          </w:tcPr>
          <w:p w14:paraId="204BF8AA" w14:textId="77777777" w:rsidR="00771B04" w:rsidRPr="00785D20" w:rsidRDefault="00771B04" w:rsidP="00A363B2">
            <w:pPr>
              <w:jc w:val="center"/>
              <w:rPr>
                <w:rFonts w:ascii="Times New Roman" w:hAnsi="Times New Roman" w:cs="Times New Roman"/>
                <w:b/>
                <w:bCs/>
                <w:sz w:val="24"/>
                <w:szCs w:val="24"/>
                <w:lang w:val="en-US"/>
              </w:rPr>
            </w:pPr>
            <w:r w:rsidRPr="00785D20">
              <w:rPr>
                <w:rFonts w:ascii="Times New Roman" w:hAnsi="Times New Roman" w:cs="Times New Roman"/>
                <w:b/>
                <w:bCs/>
                <w:sz w:val="24"/>
                <w:szCs w:val="24"/>
                <w:lang w:val="en-US"/>
              </w:rPr>
              <w:t>Number of days taken for sprouting</w:t>
            </w:r>
          </w:p>
        </w:tc>
        <w:tc>
          <w:tcPr>
            <w:tcW w:w="491" w:type="pct"/>
            <w:vAlign w:val="center"/>
          </w:tcPr>
          <w:p w14:paraId="1D8F568B"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Shoot length (cm)</w:t>
            </w:r>
          </w:p>
        </w:tc>
        <w:tc>
          <w:tcPr>
            <w:tcW w:w="491" w:type="pct"/>
            <w:vAlign w:val="center"/>
          </w:tcPr>
          <w:p w14:paraId="1EF7E299" w14:textId="77777777" w:rsidR="00771B04" w:rsidRPr="00785D20" w:rsidRDefault="00771B04" w:rsidP="006A1CB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Fresh</w:t>
            </w:r>
            <w:r w:rsidRPr="007B3A28">
              <w:rPr>
                <w:rFonts w:ascii="Times New Roman" w:hAnsi="Times New Roman" w:cs="Times New Roman"/>
                <w:b/>
                <w:bCs/>
                <w:sz w:val="24"/>
                <w:szCs w:val="24"/>
                <w:lang w:val="en-US"/>
              </w:rPr>
              <w:t xml:space="preserve"> weight</w:t>
            </w:r>
            <w:r>
              <w:rPr>
                <w:rFonts w:ascii="Times New Roman" w:hAnsi="Times New Roman" w:cs="Times New Roman"/>
                <w:b/>
                <w:bCs/>
                <w:sz w:val="24"/>
                <w:szCs w:val="24"/>
                <w:lang w:val="en-US"/>
              </w:rPr>
              <w:t xml:space="preserve"> of shoots</w:t>
            </w:r>
            <w:r w:rsidRPr="007B3A28">
              <w:rPr>
                <w:rFonts w:ascii="Times New Roman" w:hAnsi="Times New Roman" w:cs="Times New Roman"/>
                <w:b/>
                <w:bCs/>
                <w:sz w:val="24"/>
                <w:szCs w:val="24"/>
                <w:lang w:val="en-US"/>
              </w:rPr>
              <w:t xml:space="preserve"> (g) </w:t>
            </w:r>
          </w:p>
        </w:tc>
        <w:tc>
          <w:tcPr>
            <w:tcW w:w="491" w:type="pct"/>
            <w:vAlign w:val="center"/>
          </w:tcPr>
          <w:p w14:paraId="26BCC1BA" w14:textId="77777777" w:rsidR="00771B04" w:rsidRPr="00785D20" w:rsidRDefault="00771B04" w:rsidP="006A1CB3">
            <w:pPr>
              <w:jc w:val="center"/>
              <w:rPr>
                <w:rFonts w:ascii="Times New Roman" w:hAnsi="Times New Roman" w:cs="Times New Roman"/>
                <w:b/>
                <w:bCs/>
                <w:sz w:val="24"/>
                <w:szCs w:val="24"/>
                <w:lang w:val="en-US"/>
              </w:rPr>
            </w:pPr>
            <w:r w:rsidRPr="007B3A28">
              <w:rPr>
                <w:rFonts w:ascii="Times New Roman" w:hAnsi="Times New Roman" w:cs="Times New Roman"/>
                <w:b/>
                <w:bCs/>
                <w:sz w:val="24"/>
                <w:szCs w:val="24"/>
                <w:lang w:val="en-US"/>
              </w:rPr>
              <w:t xml:space="preserve">Dry weight </w:t>
            </w:r>
            <w:r>
              <w:rPr>
                <w:rFonts w:ascii="Times New Roman" w:hAnsi="Times New Roman" w:cs="Times New Roman"/>
                <w:b/>
                <w:bCs/>
                <w:sz w:val="24"/>
                <w:szCs w:val="24"/>
                <w:lang w:val="en-US"/>
              </w:rPr>
              <w:t>of sh</w:t>
            </w:r>
            <w:r w:rsidRPr="007B3A28">
              <w:rPr>
                <w:rFonts w:ascii="Times New Roman" w:hAnsi="Times New Roman" w:cs="Times New Roman"/>
                <w:b/>
                <w:bCs/>
                <w:sz w:val="24"/>
                <w:szCs w:val="24"/>
                <w:lang w:val="en-US"/>
              </w:rPr>
              <w:t>oot</w:t>
            </w:r>
            <w:r>
              <w:rPr>
                <w:rFonts w:ascii="Times New Roman" w:hAnsi="Times New Roman" w:cs="Times New Roman"/>
                <w:b/>
                <w:bCs/>
                <w:sz w:val="24"/>
                <w:szCs w:val="24"/>
                <w:lang w:val="en-US"/>
              </w:rPr>
              <w:t>s</w:t>
            </w:r>
            <w:r w:rsidRPr="007B3A28">
              <w:rPr>
                <w:rFonts w:ascii="Times New Roman" w:hAnsi="Times New Roman" w:cs="Times New Roman"/>
                <w:b/>
                <w:bCs/>
                <w:sz w:val="24"/>
                <w:szCs w:val="24"/>
                <w:lang w:val="en-US"/>
              </w:rPr>
              <w:t xml:space="preserve"> (g) </w:t>
            </w:r>
          </w:p>
        </w:tc>
        <w:tc>
          <w:tcPr>
            <w:tcW w:w="493" w:type="pct"/>
            <w:vAlign w:val="center"/>
          </w:tcPr>
          <w:p w14:paraId="3260D49D"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Shoot diameter (mm)</w:t>
            </w:r>
          </w:p>
        </w:tc>
        <w:tc>
          <w:tcPr>
            <w:tcW w:w="484" w:type="pct"/>
            <w:vAlign w:val="center"/>
          </w:tcPr>
          <w:p w14:paraId="47C94EEC"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Number of leaves per cutting</w:t>
            </w:r>
          </w:p>
        </w:tc>
        <w:tc>
          <w:tcPr>
            <w:tcW w:w="484" w:type="pct"/>
            <w:vAlign w:val="center"/>
          </w:tcPr>
          <w:p w14:paraId="10E57CF1"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Leaf length (cm)</w:t>
            </w:r>
          </w:p>
        </w:tc>
        <w:tc>
          <w:tcPr>
            <w:tcW w:w="481" w:type="pct"/>
            <w:vAlign w:val="center"/>
          </w:tcPr>
          <w:p w14:paraId="4EF6EEC9" w14:textId="77777777" w:rsidR="00771B04"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Leaf width (cm)</w:t>
            </w:r>
          </w:p>
        </w:tc>
        <w:tc>
          <w:tcPr>
            <w:tcW w:w="521" w:type="pct"/>
            <w:vAlign w:val="center"/>
          </w:tcPr>
          <w:p w14:paraId="72336890"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Survival Percentage (%)</w:t>
            </w:r>
          </w:p>
        </w:tc>
      </w:tr>
      <w:tr w:rsidR="00771B04" w:rsidRPr="008B7340" w14:paraId="5151A321" w14:textId="77777777" w:rsidTr="00771B04">
        <w:trPr>
          <w:trHeight w:val="576"/>
          <w:jc w:val="center"/>
        </w:trPr>
        <w:tc>
          <w:tcPr>
            <w:tcW w:w="572" w:type="pct"/>
            <w:vAlign w:val="center"/>
          </w:tcPr>
          <w:p w14:paraId="4C1844F1"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1</w:t>
            </w:r>
          </w:p>
        </w:tc>
        <w:tc>
          <w:tcPr>
            <w:tcW w:w="492" w:type="pct"/>
            <w:vAlign w:val="center"/>
          </w:tcPr>
          <w:p w14:paraId="5A19B49B"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17.01</w:t>
            </w:r>
          </w:p>
        </w:tc>
        <w:tc>
          <w:tcPr>
            <w:tcW w:w="491" w:type="pct"/>
            <w:vAlign w:val="center"/>
          </w:tcPr>
          <w:p w14:paraId="27327D18"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16.96</w:t>
            </w:r>
          </w:p>
        </w:tc>
        <w:tc>
          <w:tcPr>
            <w:tcW w:w="491" w:type="pct"/>
            <w:vAlign w:val="center"/>
          </w:tcPr>
          <w:p w14:paraId="56F5D2F1"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37.79</w:t>
            </w:r>
          </w:p>
        </w:tc>
        <w:tc>
          <w:tcPr>
            <w:tcW w:w="491" w:type="pct"/>
            <w:vAlign w:val="center"/>
          </w:tcPr>
          <w:p w14:paraId="2FAA3D7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26.97</w:t>
            </w:r>
          </w:p>
        </w:tc>
        <w:tc>
          <w:tcPr>
            <w:tcW w:w="493" w:type="pct"/>
            <w:vAlign w:val="center"/>
          </w:tcPr>
          <w:p w14:paraId="3105F1BA"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8.37</w:t>
            </w:r>
          </w:p>
        </w:tc>
        <w:tc>
          <w:tcPr>
            <w:tcW w:w="484" w:type="pct"/>
            <w:vAlign w:val="center"/>
          </w:tcPr>
          <w:p w14:paraId="4C17361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7.31</w:t>
            </w:r>
          </w:p>
        </w:tc>
        <w:tc>
          <w:tcPr>
            <w:tcW w:w="484" w:type="pct"/>
            <w:vAlign w:val="center"/>
          </w:tcPr>
          <w:p w14:paraId="3182580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12.02</w:t>
            </w:r>
          </w:p>
        </w:tc>
        <w:tc>
          <w:tcPr>
            <w:tcW w:w="481" w:type="pct"/>
            <w:vAlign w:val="center"/>
          </w:tcPr>
          <w:p w14:paraId="70772E2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9.97</w:t>
            </w:r>
          </w:p>
        </w:tc>
        <w:tc>
          <w:tcPr>
            <w:tcW w:w="521" w:type="pct"/>
            <w:vAlign w:val="center"/>
          </w:tcPr>
          <w:p w14:paraId="27325773"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73.80</w:t>
            </w:r>
          </w:p>
        </w:tc>
      </w:tr>
      <w:tr w:rsidR="00771B04" w:rsidRPr="008B7340" w14:paraId="3C398CF7" w14:textId="77777777" w:rsidTr="00771B04">
        <w:trPr>
          <w:trHeight w:val="576"/>
          <w:jc w:val="center"/>
        </w:trPr>
        <w:tc>
          <w:tcPr>
            <w:tcW w:w="572" w:type="pct"/>
            <w:vAlign w:val="center"/>
          </w:tcPr>
          <w:p w14:paraId="43EC0659"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2</w:t>
            </w:r>
          </w:p>
        </w:tc>
        <w:tc>
          <w:tcPr>
            <w:tcW w:w="492" w:type="pct"/>
            <w:vAlign w:val="center"/>
          </w:tcPr>
          <w:p w14:paraId="50BC6A9C"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12.57</w:t>
            </w:r>
          </w:p>
        </w:tc>
        <w:tc>
          <w:tcPr>
            <w:tcW w:w="491" w:type="pct"/>
            <w:vAlign w:val="center"/>
          </w:tcPr>
          <w:p w14:paraId="6752BA3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20.28</w:t>
            </w:r>
          </w:p>
        </w:tc>
        <w:tc>
          <w:tcPr>
            <w:tcW w:w="491" w:type="pct"/>
            <w:vAlign w:val="center"/>
          </w:tcPr>
          <w:p w14:paraId="6BBDA345"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44.26</w:t>
            </w:r>
          </w:p>
        </w:tc>
        <w:tc>
          <w:tcPr>
            <w:tcW w:w="491" w:type="pct"/>
            <w:vAlign w:val="center"/>
          </w:tcPr>
          <w:p w14:paraId="652D741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32.65</w:t>
            </w:r>
          </w:p>
        </w:tc>
        <w:tc>
          <w:tcPr>
            <w:tcW w:w="493" w:type="pct"/>
            <w:vAlign w:val="center"/>
          </w:tcPr>
          <w:p w14:paraId="1BCC8C0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11.81</w:t>
            </w:r>
          </w:p>
        </w:tc>
        <w:tc>
          <w:tcPr>
            <w:tcW w:w="484" w:type="pct"/>
            <w:vAlign w:val="center"/>
          </w:tcPr>
          <w:p w14:paraId="112495F4"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9.56</w:t>
            </w:r>
          </w:p>
        </w:tc>
        <w:tc>
          <w:tcPr>
            <w:tcW w:w="484" w:type="pct"/>
            <w:vAlign w:val="center"/>
          </w:tcPr>
          <w:p w14:paraId="439967F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14.52</w:t>
            </w:r>
          </w:p>
        </w:tc>
        <w:tc>
          <w:tcPr>
            <w:tcW w:w="481" w:type="pct"/>
            <w:vAlign w:val="center"/>
          </w:tcPr>
          <w:p w14:paraId="6F363CA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12.40</w:t>
            </w:r>
          </w:p>
        </w:tc>
        <w:tc>
          <w:tcPr>
            <w:tcW w:w="521" w:type="pct"/>
            <w:vAlign w:val="center"/>
          </w:tcPr>
          <w:p w14:paraId="0EC1CF47"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83.55</w:t>
            </w:r>
          </w:p>
        </w:tc>
      </w:tr>
      <w:tr w:rsidR="00771B04" w:rsidRPr="008B7340" w14:paraId="118D0DC0" w14:textId="77777777" w:rsidTr="00771B04">
        <w:trPr>
          <w:trHeight w:val="576"/>
          <w:jc w:val="center"/>
        </w:trPr>
        <w:tc>
          <w:tcPr>
            <w:tcW w:w="572" w:type="pct"/>
            <w:vAlign w:val="center"/>
          </w:tcPr>
          <w:p w14:paraId="06E1C616"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3</w:t>
            </w:r>
          </w:p>
        </w:tc>
        <w:tc>
          <w:tcPr>
            <w:tcW w:w="492" w:type="pct"/>
            <w:vAlign w:val="center"/>
          </w:tcPr>
          <w:p w14:paraId="1E78F21E"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10.70</w:t>
            </w:r>
          </w:p>
        </w:tc>
        <w:tc>
          <w:tcPr>
            <w:tcW w:w="491" w:type="pct"/>
            <w:vAlign w:val="center"/>
          </w:tcPr>
          <w:p w14:paraId="20ED1E4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21.43</w:t>
            </w:r>
          </w:p>
        </w:tc>
        <w:tc>
          <w:tcPr>
            <w:tcW w:w="491" w:type="pct"/>
            <w:vAlign w:val="center"/>
          </w:tcPr>
          <w:p w14:paraId="43AE3D5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46.44</w:t>
            </w:r>
          </w:p>
        </w:tc>
        <w:tc>
          <w:tcPr>
            <w:tcW w:w="491" w:type="pct"/>
            <w:vAlign w:val="center"/>
          </w:tcPr>
          <w:p w14:paraId="0E730B85"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35.63</w:t>
            </w:r>
          </w:p>
        </w:tc>
        <w:tc>
          <w:tcPr>
            <w:tcW w:w="493" w:type="pct"/>
            <w:vAlign w:val="center"/>
          </w:tcPr>
          <w:p w14:paraId="6E8D9E8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12.98</w:t>
            </w:r>
          </w:p>
        </w:tc>
        <w:tc>
          <w:tcPr>
            <w:tcW w:w="484" w:type="pct"/>
            <w:vAlign w:val="center"/>
          </w:tcPr>
          <w:p w14:paraId="4A08214C"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10.59</w:t>
            </w:r>
          </w:p>
        </w:tc>
        <w:tc>
          <w:tcPr>
            <w:tcW w:w="484" w:type="pct"/>
            <w:vAlign w:val="center"/>
          </w:tcPr>
          <w:p w14:paraId="34F2428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15.56</w:t>
            </w:r>
          </w:p>
        </w:tc>
        <w:tc>
          <w:tcPr>
            <w:tcW w:w="481" w:type="pct"/>
            <w:vAlign w:val="center"/>
          </w:tcPr>
          <w:p w14:paraId="4CEF917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13.28</w:t>
            </w:r>
          </w:p>
        </w:tc>
        <w:tc>
          <w:tcPr>
            <w:tcW w:w="521" w:type="pct"/>
            <w:vAlign w:val="center"/>
          </w:tcPr>
          <w:p w14:paraId="1DAD045C"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87.88</w:t>
            </w:r>
          </w:p>
        </w:tc>
      </w:tr>
      <w:tr w:rsidR="00771B04" w:rsidRPr="008B7340" w14:paraId="344875D6" w14:textId="77777777" w:rsidTr="00771B04">
        <w:trPr>
          <w:trHeight w:val="576"/>
          <w:jc w:val="center"/>
        </w:trPr>
        <w:tc>
          <w:tcPr>
            <w:tcW w:w="572" w:type="pct"/>
            <w:vAlign w:val="center"/>
          </w:tcPr>
          <w:p w14:paraId="6B55276F"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4</w:t>
            </w:r>
          </w:p>
        </w:tc>
        <w:tc>
          <w:tcPr>
            <w:tcW w:w="492" w:type="pct"/>
            <w:vAlign w:val="center"/>
          </w:tcPr>
          <w:p w14:paraId="3CD6BF5E"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17.30</w:t>
            </w:r>
          </w:p>
        </w:tc>
        <w:tc>
          <w:tcPr>
            <w:tcW w:w="491" w:type="pct"/>
            <w:vAlign w:val="center"/>
          </w:tcPr>
          <w:p w14:paraId="15783E4F"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15.86</w:t>
            </w:r>
          </w:p>
        </w:tc>
        <w:tc>
          <w:tcPr>
            <w:tcW w:w="491" w:type="pct"/>
            <w:vAlign w:val="center"/>
          </w:tcPr>
          <w:p w14:paraId="40FB294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35.66</w:t>
            </w:r>
          </w:p>
        </w:tc>
        <w:tc>
          <w:tcPr>
            <w:tcW w:w="491" w:type="pct"/>
            <w:vAlign w:val="center"/>
          </w:tcPr>
          <w:p w14:paraId="7E6B54B1"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25.30</w:t>
            </w:r>
          </w:p>
        </w:tc>
        <w:tc>
          <w:tcPr>
            <w:tcW w:w="493" w:type="pct"/>
            <w:vAlign w:val="center"/>
          </w:tcPr>
          <w:p w14:paraId="769D0A9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8.01</w:t>
            </w:r>
          </w:p>
        </w:tc>
        <w:tc>
          <w:tcPr>
            <w:tcW w:w="484" w:type="pct"/>
            <w:vAlign w:val="center"/>
          </w:tcPr>
          <w:p w14:paraId="01ABA869"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6.58</w:t>
            </w:r>
          </w:p>
        </w:tc>
        <w:tc>
          <w:tcPr>
            <w:tcW w:w="484" w:type="pct"/>
            <w:vAlign w:val="center"/>
          </w:tcPr>
          <w:p w14:paraId="3168732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11.22</w:t>
            </w:r>
          </w:p>
        </w:tc>
        <w:tc>
          <w:tcPr>
            <w:tcW w:w="481" w:type="pct"/>
            <w:vAlign w:val="center"/>
          </w:tcPr>
          <w:p w14:paraId="0F15683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9.99</w:t>
            </w:r>
          </w:p>
        </w:tc>
        <w:tc>
          <w:tcPr>
            <w:tcW w:w="521" w:type="pct"/>
            <w:vAlign w:val="center"/>
          </w:tcPr>
          <w:p w14:paraId="434B2147"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69.99</w:t>
            </w:r>
          </w:p>
        </w:tc>
      </w:tr>
      <w:tr w:rsidR="00771B04" w:rsidRPr="008B7340" w14:paraId="025D5A9D" w14:textId="77777777" w:rsidTr="00771B04">
        <w:trPr>
          <w:trHeight w:val="576"/>
          <w:jc w:val="center"/>
        </w:trPr>
        <w:tc>
          <w:tcPr>
            <w:tcW w:w="572" w:type="pct"/>
            <w:vAlign w:val="center"/>
          </w:tcPr>
          <w:p w14:paraId="5ADD72CD"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5</w:t>
            </w:r>
          </w:p>
        </w:tc>
        <w:tc>
          <w:tcPr>
            <w:tcW w:w="492" w:type="pct"/>
            <w:vAlign w:val="center"/>
          </w:tcPr>
          <w:p w14:paraId="7C89F71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15.72</w:t>
            </w:r>
          </w:p>
        </w:tc>
        <w:tc>
          <w:tcPr>
            <w:tcW w:w="491" w:type="pct"/>
            <w:vAlign w:val="center"/>
          </w:tcPr>
          <w:p w14:paraId="53D823C9"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18.07</w:t>
            </w:r>
          </w:p>
        </w:tc>
        <w:tc>
          <w:tcPr>
            <w:tcW w:w="491" w:type="pct"/>
            <w:vAlign w:val="center"/>
          </w:tcPr>
          <w:p w14:paraId="25E1C35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39.92</w:t>
            </w:r>
          </w:p>
        </w:tc>
        <w:tc>
          <w:tcPr>
            <w:tcW w:w="491" w:type="pct"/>
            <w:vAlign w:val="center"/>
          </w:tcPr>
          <w:p w14:paraId="610FBAF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28.30</w:t>
            </w:r>
          </w:p>
        </w:tc>
        <w:tc>
          <w:tcPr>
            <w:tcW w:w="493" w:type="pct"/>
            <w:vAlign w:val="center"/>
          </w:tcPr>
          <w:p w14:paraId="3384982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9.47</w:t>
            </w:r>
          </w:p>
        </w:tc>
        <w:tc>
          <w:tcPr>
            <w:tcW w:w="484" w:type="pct"/>
            <w:vAlign w:val="center"/>
          </w:tcPr>
          <w:p w14:paraId="00CEFF9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8.09</w:t>
            </w:r>
          </w:p>
        </w:tc>
        <w:tc>
          <w:tcPr>
            <w:tcW w:w="484" w:type="pct"/>
            <w:vAlign w:val="center"/>
          </w:tcPr>
          <w:p w14:paraId="2031214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12.80</w:t>
            </w:r>
          </w:p>
        </w:tc>
        <w:tc>
          <w:tcPr>
            <w:tcW w:w="481" w:type="pct"/>
            <w:vAlign w:val="center"/>
          </w:tcPr>
          <w:p w14:paraId="17D5475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10.78</w:t>
            </w:r>
          </w:p>
        </w:tc>
        <w:tc>
          <w:tcPr>
            <w:tcW w:w="521" w:type="pct"/>
            <w:vAlign w:val="center"/>
          </w:tcPr>
          <w:p w14:paraId="6C1F2863"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76.87</w:t>
            </w:r>
          </w:p>
        </w:tc>
      </w:tr>
      <w:tr w:rsidR="00771B04" w:rsidRPr="008B7340" w14:paraId="5ADEBA6E" w14:textId="77777777" w:rsidTr="00771B04">
        <w:trPr>
          <w:trHeight w:val="576"/>
          <w:jc w:val="center"/>
        </w:trPr>
        <w:tc>
          <w:tcPr>
            <w:tcW w:w="572" w:type="pct"/>
            <w:vAlign w:val="center"/>
          </w:tcPr>
          <w:p w14:paraId="5269DF79"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6</w:t>
            </w:r>
          </w:p>
        </w:tc>
        <w:tc>
          <w:tcPr>
            <w:tcW w:w="492" w:type="pct"/>
            <w:vAlign w:val="center"/>
          </w:tcPr>
          <w:p w14:paraId="42AF05C4"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14.13</w:t>
            </w:r>
          </w:p>
        </w:tc>
        <w:tc>
          <w:tcPr>
            <w:tcW w:w="491" w:type="pct"/>
            <w:vAlign w:val="center"/>
          </w:tcPr>
          <w:p w14:paraId="4F7D14C2"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19.16</w:t>
            </w:r>
          </w:p>
        </w:tc>
        <w:tc>
          <w:tcPr>
            <w:tcW w:w="491" w:type="pct"/>
            <w:vAlign w:val="center"/>
          </w:tcPr>
          <w:p w14:paraId="0C92272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42.01</w:t>
            </w:r>
          </w:p>
        </w:tc>
        <w:tc>
          <w:tcPr>
            <w:tcW w:w="491" w:type="pct"/>
            <w:vAlign w:val="center"/>
          </w:tcPr>
          <w:p w14:paraId="5DF5B4E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30.42</w:t>
            </w:r>
          </w:p>
        </w:tc>
        <w:tc>
          <w:tcPr>
            <w:tcW w:w="493" w:type="pct"/>
            <w:vAlign w:val="center"/>
          </w:tcPr>
          <w:p w14:paraId="3628D2D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10.57</w:t>
            </w:r>
          </w:p>
        </w:tc>
        <w:tc>
          <w:tcPr>
            <w:tcW w:w="484" w:type="pct"/>
            <w:vAlign w:val="center"/>
          </w:tcPr>
          <w:p w14:paraId="572C3C72"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8.77</w:t>
            </w:r>
          </w:p>
        </w:tc>
        <w:tc>
          <w:tcPr>
            <w:tcW w:w="484" w:type="pct"/>
            <w:vAlign w:val="center"/>
          </w:tcPr>
          <w:p w14:paraId="5717B4C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13.49</w:t>
            </w:r>
          </w:p>
        </w:tc>
        <w:tc>
          <w:tcPr>
            <w:tcW w:w="481" w:type="pct"/>
            <w:vAlign w:val="center"/>
          </w:tcPr>
          <w:p w14:paraId="4380496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11.55</w:t>
            </w:r>
          </w:p>
        </w:tc>
        <w:tc>
          <w:tcPr>
            <w:tcW w:w="521" w:type="pct"/>
            <w:vAlign w:val="center"/>
          </w:tcPr>
          <w:p w14:paraId="2B8CFD50"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80.03</w:t>
            </w:r>
          </w:p>
        </w:tc>
      </w:tr>
      <w:tr w:rsidR="00771B04" w:rsidRPr="008B7340" w14:paraId="3B5BD494" w14:textId="77777777" w:rsidTr="00771B04">
        <w:trPr>
          <w:trHeight w:val="576"/>
          <w:jc w:val="center"/>
        </w:trPr>
        <w:tc>
          <w:tcPr>
            <w:tcW w:w="572" w:type="pct"/>
            <w:vAlign w:val="center"/>
          </w:tcPr>
          <w:p w14:paraId="2DA2FC08"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7</w:t>
            </w:r>
          </w:p>
        </w:tc>
        <w:tc>
          <w:tcPr>
            <w:tcW w:w="492" w:type="pct"/>
            <w:vAlign w:val="center"/>
          </w:tcPr>
          <w:p w14:paraId="60AB923A"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22.02</w:t>
            </w:r>
          </w:p>
        </w:tc>
        <w:tc>
          <w:tcPr>
            <w:tcW w:w="491" w:type="pct"/>
            <w:vAlign w:val="center"/>
          </w:tcPr>
          <w:p w14:paraId="3115945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12.52</w:t>
            </w:r>
          </w:p>
        </w:tc>
        <w:tc>
          <w:tcPr>
            <w:tcW w:w="491" w:type="pct"/>
            <w:vAlign w:val="center"/>
          </w:tcPr>
          <w:p w14:paraId="23E7815A"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29.21</w:t>
            </w:r>
          </w:p>
        </w:tc>
        <w:tc>
          <w:tcPr>
            <w:tcW w:w="491" w:type="pct"/>
            <w:vAlign w:val="center"/>
          </w:tcPr>
          <w:p w14:paraId="035A2DB2"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21.43</w:t>
            </w:r>
          </w:p>
        </w:tc>
        <w:tc>
          <w:tcPr>
            <w:tcW w:w="493" w:type="pct"/>
            <w:vAlign w:val="center"/>
          </w:tcPr>
          <w:p w14:paraId="3597AA8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5.56</w:t>
            </w:r>
          </w:p>
        </w:tc>
        <w:tc>
          <w:tcPr>
            <w:tcW w:w="484" w:type="pct"/>
            <w:vAlign w:val="center"/>
          </w:tcPr>
          <w:p w14:paraId="1675E4F9"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4.48</w:t>
            </w:r>
          </w:p>
        </w:tc>
        <w:tc>
          <w:tcPr>
            <w:tcW w:w="484" w:type="pct"/>
            <w:vAlign w:val="center"/>
          </w:tcPr>
          <w:p w14:paraId="43DDD57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9.26</w:t>
            </w:r>
          </w:p>
        </w:tc>
        <w:tc>
          <w:tcPr>
            <w:tcW w:w="481" w:type="pct"/>
            <w:vAlign w:val="center"/>
          </w:tcPr>
          <w:p w14:paraId="3052E1C4"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8.04</w:t>
            </w:r>
          </w:p>
        </w:tc>
        <w:tc>
          <w:tcPr>
            <w:tcW w:w="521" w:type="pct"/>
            <w:vAlign w:val="center"/>
          </w:tcPr>
          <w:p w14:paraId="76ABE422"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67.39</w:t>
            </w:r>
          </w:p>
        </w:tc>
      </w:tr>
      <w:tr w:rsidR="00771B04" w:rsidRPr="008B7340" w14:paraId="10E9A444" w14:textId="77777777" w:rsidTr="00771B04">
        <w:trPr>
          <w:trHeight w:val="576"/>
          <w:jc w:val="center"/>
        </w:trPr>
        <w:tc>
          <w:tcPr>
            <w:tcW w:w="572" w:type="pct"/>
            <w:vAlign w:val="center"/>
          </w:tcPr>
          <w:p w14:paraId="4CF6FEB7"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8</w:t>
            </w:r>
          </w:p>
        </w:tc>
        <w:tc>
          <w:tcPr>
            <w:tcW w:w="492" w:type="pct"/>
            <w:vAlign w:val="center"/>
          </w:tcPr>
          <w:p w14:paraId="3A96A13A"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20.22</w:t>
            </w:r>
          </w:p>
        </w:tc>
        <w:tc>
          <w:tcPr>
            <w:tcW w:w="491" w:type="pct"/>
            <w:vAlign w:val="center"/>
          </w:tcPr>
          <w:p w14:paraId="3FB3F361"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13.66</w:t>
            </w:r>
          </w:p>
        </w:tc>
        <w:tc>
          <w:tcPr>
            <w:tcW w:w="491" w:type="pct"/>
            <w:vAlign w:val="center"/>
          </w:tcPr>
          <w:p w14:paraId="758CAAC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31.33</w:t>
            </w:r>
          </w:p>
        </w:tc>
        <w:tc>
          <w:tcPr>
            <w:tcW w:w="491" w:type="pct"/>
            <w:vAlign w:val="center"/>
          </w:tcPr>
          <w:p w14:paraId="307F71C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22.86</w:t>
            </w:r>
          </w:p>
        </w:tc>
        <w:tc>
          <w:tcPr>
            <w:tcW w:w="493" w:type="pct"/>
            <w:vAlign w:val="center"/>
          </w:tcPr>
          <w:p w14:paraId="243C93A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6.52</w:t>
            </w:r>
          </w:p>
        </w:tc>
        <w:tc>
          <w:tcPr>
            <w:tcW w:w="484" w:type="pct"/>
            <w:vAlign w:val="center"/>
          </w:tcPr>
          <w:p w14:paraId="42F9DFB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5.19</w:t>
            </w:r>
          </w:p>
        </w:tc>
        <w:tc>
          <w:tcPr>
            <w:tcW w:w="484" w:type="pct"/>
            <w:vAlign w:val="center"/>
          </w:tcPr>
          <w:p w14:paraId="0707313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9.79</w:t>
            </w:r>
          </w:p>
        </w:tc>
        <w:tc>
          <w:tcPr>
            <w:tcW w:w="481" w:type="pct"/>
            <w:vAlign w:val="center"/>
          </w:tcPr>
          <w:p w14:paraId="39F8C3E2"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8.75</w:t>
            </w:r>
          </w:p>
        </w:tc>
        <w:tc>
          <w:tcPr>
            <w:tcW w:w="521" w:type="pct"/>
            <w:vAlign w:val="center"/>
          </w:tcPr>
          <w:p w14:paraId="177F7CF6"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63.81</w:t>
            </w:r>
          </w:p>
        </w:tc>
      </w:tr>
      <w:tr w:rsidR="00771B04" w:rsidRPr="008B7340" w14:paraId="0103E5E8" w14:textId="77777777" w:rsidTr="00771B04">
        <w:trPr>
          <w:trHeight w:val="576"/>
          <w:jc w:val="center"/>
        </w:trPr>
        <w:tc>
          <w:tcPr>
            <w:tcW w:w="572" w:type="pct"/>
            <w:vAlign w:val="center"/>
          </w:tcPr>
          <w:p w14:paraId="6E4F6F56"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9</w:t>
            </w:r>
          </w:p>
        </w:tc>
        <w:tc>
          <w:tcPr>
            <w:tcW w:w="492" w:type="pct"/>
            <w:vAlign w:val="center"/>
          </w:tcPr>
          <w:p w14:paraId="786F1DA4"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18.52</w:t>
            </w:r>
          </w:p>
        </w:tc>
        <w:tc>
          <w:tcPr>
            <w:tcW w:w="491" w:type="pct"/>
            <w:vAlign w:val="center"/>
          </w:tcPr>
          <w:p w14:paraId="59D10FE4"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14.78</w:t>
            </w:r>
          </w:p>
        </w:tc>
        <w:tc>
          <w:tcPr>
            <w:tcW w:w="491" w:type="pct"/>
            <w:vAlign w:val="center"/>
          </w:tcPr>
          <w:p w14:paraId="445B8CA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33.49</w:t>
            </w:r>
          </w:p>
        </w:tc>
        <w:tc>
          <w:tcPr>
            <w:tcW w:w="491" w:type="pct"/>
            <w:vAlign w:val="center"/>
          </w:tcPr>
          <w:p w14:paraId="072F889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24.08</w:t>
            </w:r>
          </w:p>
        </w:tc>
        <w:tc>
          <w:tcPr>
            <w:tcW w:w="493" w:type="pct"/>
            <w:vAlign w:val="center"/>
          </w:tcPr>
          <w:p w14:paraId="45979285"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7.09</w:t>
            </w:r>
          </w:p>
        </w:tc>
        <w:tc>
          <w:tcPr>
            <w:tcW w:w="484" w:type="pct"/>
            <w:vAlign w:val="center"/>
          </w:tcPr>
          <w:p w14:paraId="62DCE2B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5.89</w:t>
            </w:r>
          </w:p>
        </w:tc>
        <w:tc>
          <w:tcPr>
            <w:tcW w:w="484" w:type="pct"/>
            <w:vAlign w:val="center"/>
          </w:tcPr>
          <w:p w14:paraId="4EF25D9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10.50</w:t>
            </w:r>
          </w:p>
        </w:tc>
        <w:tc>
          <w:tcPr>
            <w:tcW w:w="481" w:type="pct"/>
            <w:vAlign w:val="center"/>
          </w:tcPr>
          <w:p w14:paraId="42FE801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9.28</w:t>
            </w:r>
          </w:p>
        </w:tc>
        <w:tc>
          <w:tcPr>
            <w:tcW w:w="521" w:type="pct"/>
            <w:vAlign w:val="center"/>
          </w:tcPr>
          <w:p w14:paraId="3885D332"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61.09</w:t>
            </w:r>
          </w:p>
        </w:tc>
      </w:tr>
      <w:tr w:rsidR="00771B04" w:rsidRPr="008B7340" w14:paraId="4494523F" w14:textId="77777777" w:rsidTr="00771B04">
        <w:trPr>
          <w:trHeight w:val="576"/>
          <w:jc w:val="center"/>
        </w:trPr>
        <w:tc>
          <w:tcPr>
            <w:tcW w:w="572" w:type="pct"/>
            <w:vAlign w:val="center"/>
          </w:tcPr>
          <w:p w14:paraId="0D97A65D" w14:textId="77777777" w:rsidR="00771B04" w:rsidRPr="001767F4" w:rsidRDefault="00771B04" w:rsidP="00A363B2">
            <w:pPr>
              <w:jc w:val="center"/>
              <w:rPr>
                <w:rFonts w:ascii="Times New Roman" w:hAnsi="Times New Roman" w:cs="Times New Roman"/>
                <w:b/>
                <w:sz w:val="24"/>
                <w:szCs w:val="24"/>
              </w:rPr>
            </w:pPr>
            <w:r w:rsidRPr="001767F4">
              <w:rPr>
                <w:rFonts w:ascii="Times New Roman" w:eastAsia="Times New Roman" w:hAnsi="Times New Roman" w:cs="Times New Roman"/>
                <w:b/>
                <w:sz w:val="24"/>
                <w:szCs w:val="24"/>
              </w:rPr>
              <w:t>T</w:t>
            </w:r>
            <w:r w:rsidRPr="001767F4">
              <w:rPr>
                <w:rFonts w:ascii="Times New Roman" w:eastAsia="Times New Roman" w:hAnsi="Times New Roman" w:cs="Times New Roman"/>
                <w:b/>
                <w:sz w:val="24"/>
                <w:szCs w:val="24"/>
                <w:vertAlign w:val="subscript"/>
              </w:rPr>
              <w:t>10</w:t>
            </w:r>
          </w:p>
        </w:tc>
        <w:tc>
          <w:tcPr>
            <w:tcW w:w="492" w:type="pct"/>
            <w:vAlign w:val="center"/>
          </w:tcPr>
          <w:p w14:paraId="0DD5F04B"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24.01</w:t>
            </w:r>
          </w:p>
        </w:tc>
        <w:tc>
          <w:tcPr>
            <w:tcW w:w="491" w:type="pct"/>
            <w:vAlign w:val="center"/>
          </w:tcPr>
          <w:p w14:paraId="63701631"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10.55</w:t>
            </w:r>
          </w:p>
        </w:tc>
        <w:tc>
          <w:tcPr>
            <w:tcW w:w="491" w:type="pct"/>
            <w:vAlign w:val="center"/>
          </w:tcPr>
          <w:p w14:paraId="5E104D0C"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24.89</w:t>
            </w:r>
          </w:p>
        </w:tc>
        <w:tc>
          <w:tcPr>
            <w:tcW w:w="491" w:type="pct"/>
            <w:vAlign w:val="center"/>
          </w:tcPr>
          <w:p w14:paraId="3268B574"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20.22</w:t>
            </w:r>
          </w:p>
        </w:tc>
        <w:tc>
          <w:tcPr>
            <w:tcW w:w="493" w:type="pct"/>
            <w:vAlign w:val="center"/>
          </w:tcPr>
          <w:p w14:paraId="7605F2C9"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4.18</w:t>
            </w:r>
          </w:p>
        </w:tc>
        <w:tc>
          <w:tcPr>
            <w:tcW w:w="484" w:type="pct"/>
            <w:vAlign w:val="center"/>
          </w:tcPr>
          <w:p w14:paraId="5D400C71"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3.27</w:t>
            </w:r>
          </w:p>
        </w:tc>
        <w:tc>
          <w:tcPr>
            <w:tcW w:w="484" w:type="pct"/>
            <w:vAlign w:val="center"/>
          </w:tcPr>
          <w:p w14:paraId="7D2A3BF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8.18</w:t>
            </w:r>
          </w:p>
        </w:tc>
        <w:tc>
          <w:tcPr>
            <w:tcW w:w="481" w:type="pct"/>
            <w:vAlign w:val="center"/>
          </w:tcPr>
          <w:p w14:paraId="584B68A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6.91</w:t>
            </w:r>
          </w:p>
        </w:tc>
        <w:tc>
          <w:tcPr>
            <w:tcW w:w="521" w:type="pct"/>
            <w:vAlign w:val="center"/>
          </w:tcPr>
          <w:p w14:paraId="5FFB3E5D"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57.50</w:t>
            </w:r>
          </w:p>
        </w:tc>
      </w:tr>
      <w:tr w:rsidR="00771B04" w:rsidRPr="008B7340" w14:paraId="2C10C061" w14:textId="77777777" w:rsidTr="00771B04">
        <w:trPr>
          <w:trHeight w:val="576"/>
          <w:jc w:val="center"/>
        </w:trPr>
        <w:tc>
          <w:tcPr>
            <w:tcW w:w="572" w:type="pct"/>
            <w:vAlign w:val="center"/>
          </w:tcPr>
          <w:p w14:paraId="09241A46" w14:textId="77777777" w:rsidR="00771B04" w:rsidRPr="008B7340" w:rsidRDefault="00771B04" w:rsidP="00A363B2">
            <w:pPr>
              <w:jc w:val="center"/>
              <w:rPr>
                <w:rFonts w:ascii="Times New Roman" w:hAnsi="Times New Roman" w:cs="Times New Roman"/>
                <w:b/>
                <w:bCs/>
                <w:sz w:val="24"/>
                <w:szCs w:val="24"/>
              </w:rPr>
            </w:pPr>
            <w:r w:rsidRPr="008B7340">
              <w:rPr>
                <w:rFonts w:ascii="Times New Roman" w:hAnsi="Times New Roman" w:cs="Times New Roman"/>
                <w:b/>
                <w:bCs/>
                <w:sz w:val="24"/>
                <w:szCs w:val="24"/>
              </w:rPr>
              <w:t>S. Ed.</w:t>
            </w:r>
          </w:p>
        </w:tc>
        <w:tc>
          <w:tcPr>
            <w:tcW w:w="492" w:type="pct"/>
            <w:vAlign w:val="center"/>
          </w:tcPr>
          <w:p w14:paraId="4910ABAC" w14:textId="77777777" w:rsidR="00771B04" w:rsidRPr="0079524B"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0.58</w:t>
            </w:r>
          </w:p>
        </w:tc>
        <w:tc>
          <w:tcPr>
            <w:tcW w:w="491" w:type="pct"/>
            <w:vAlign w:val="center"/>
          </w:tcPr>
          <w:p w14:paraId="1F96C0D3" w14:textId="77777777" w:rsidR="00771B04" w:rsidRPr="00BF5522"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0.51</w:t>
            </w:r>
          </w:p>
        </w:tc>
        <w:tc>
          <w:tcPr>
            <w:tcW w:w="491" w:type="pct"/>
            <w:vAlign w:val="center"/>
          </w:tcPr>
          <w:p w14:paraId="7570223C" w14:textId="77777777" w:rsidR="00771B04" w:rsidRPr="00BC54F4"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0.85</w:t>
            </w:r>
          </w:p>
        </w:tc>
        <w:tc>
          <w:tcPr>
            <w:tcW w:w="491" w:type="pct"/>
            <w:vAlign w:val="center"/>
          </w:tcPr>
          <w:p w14:paraId="69DE51DA" w14:textId="77777777" w:rsidR="00771B04" w:rsidRPr="00F053B1"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0.54</w:t>
            </w:r>
          </w:p>
        </w:tc>
        <w:tc>
          <w:tcPr>
            <w:tcW w:w="493" w:type="pct"/>
            <w:vAlign w:val="center"/>
          </w:tcPr>
          <w:p w14:paraId="10F7145B" w14:textId="77777777" w:rsidR="00771B04" w:rsidRPr="00694EBF"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0.43</w:t>
            </w:r>
          </w:p>
        </w:tc>
        <w:tc>
          <w:tcPr>
            <w:tcW w:w="484" w:type="pct"/>
            <w:vAlign w:val="center"/>
          </w:tcPr>
          <w:p w14:paraId="71D499B5"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0.33</w:t>
            </w:r>
          </w:p>
        </w:tc>
        <w:tc>
          <w:tcPr>
            <w:tcW w:w="484" w:type="pct"/>
            <w:vAlign w:val="center"/>
          </w:tcPr>
          <w:p w14:paraId="0419ACDE"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0.44</w:t>
            </w:r>
          </w:p>
        </w:tc>
        <w:tc>
          <w:tcPr>
            <w:tcW w:w="481" w:type="pct"/>
            <w:vAlign w:val="center"/>
          </w:tcPr>
          <w:p w14:paraId="68097AB7"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0.30</w:t>
            </w:r>
          </w:p>
        </w:tc>
        <w:tc>
          <w:tcPr>
            <w:tcW w:w="521" w:type="pct"/>
            <w:vAlign w:val="center"/>
          </w:tcPr>
          <w:p w14:paraId="4EB5B5EA"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0.83</w:t>
            </w:r>
          </w:p>
        </w:tc>
      </w:tr>
      <w:tr w:rsidR="00771B04" w:rsidRPr="008B7340" w14:paraId="6E875E0C" w14:textId="77777777" w:rsidTr="00771B04">
        <w:trPr>
          <w:trHeight w:val="576"/>
          <w:jc w:val="center"/>
        </w:trPr>
        <w:tc>
          <w:tcPr>
            <w:tcW w:w="572" w:type="pct"/>
            <w:vAlign w:val="center"/>
          </w:tcPr>
          <w:p w14:paraId="19B11212" w14:textId="77777777" w:rsidR="00771B04" w:rsidRPr="008B7340" w:rsidRDefault="00771B04" w:rsidP="00A363B2">
            <w:pPr>
              <w:jc w:val="center"/>
              <w:rPr>
                <w:rFonts w:ascii="Times New Roman" w:hAnsi="Times New Roman" w:cs="Times New Roman"/>
                <w:b/>
                <w:bCs/>
                <w:sz w:val="24"/>
                <w:szCs w:val="24"/>
              </w:rPr>
            </w:pPr>
            <w:r w:rsidRPr="008B7340">
              <w:rPr>
                <w:rFonts w:ascii="Times New Roman" w:hAnsi="Times New Roman" w:cs="Times New Roman"/>
                <w:b/>
                <w:bCs/>
                <w:sz w:val="24"/>
                <w:szCs w:val="24"/>
              </w:rPr>
              <w:t>C.D. (P=0.05)</w:t>
            </w:r>
          </w:p>
        </w:tc>
        <w:tc>
          <w:tcPr>
            <w:tcW w:w="492" w:type="pct"/>
            <w:vAlign w:val="center"/>
          </w:tcPr>
          <w:p w14:paraId="390F054C" w14:textId="77777777" w:rsidR="00771B04" w:rsidRPr="0079524B"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1.20</w:t>
            </w:r>
          </w:p>
        </w:tc>
        <w:tc>
          <w:tcPr>
            <w:tcW w:w="491" w:type="pct"/>
            <w:vAlign w:val="center"/>
          </w:tcPr>
          <w:p w14:paraId="104AF666" w14:textId="77777777" w:rsidR="00771B04" w:rsidRPr="00BF5522"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1.07</w:t>
            </w:r>
          </w:p>
        </w:tc>
        <w:tc>
          <w:tcPr>
            <w:tcW w:w="491" w:type="pct"/>
            <w:vAlign w:val="center"/>
          </w:tcPr>
          <w:p w14:paraId="26DB6CF7" w14:textId="77777777" w:rsidR="00771B04" w:rsidRPr="00BC54F4"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1.77</w:t>
            </w:r>
          </w:p>
        </w:tc>
        <w:tc>
          <w:tcPr>
            <w:tcW w:w="491" w:type="pct"/>
            <w:vAlign w:val="center"/>
          </w:tcPr>
          <w:p w14:paraId="4AF00543" w14:textId="77777777" w:rsidR="00771B04" w:rsidRPr="00F053B1"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1.13</w:t>
            </w:r>
          </w:p>
        </w:tc>
        <w:tc>
          <w:tcPr>
            <w:tcW w:w="493" w:type="pct"/>
            <w:vAlign w:val="center"/>
          </w:tcPr>
          <w:p w14:paraId="7506CAC1" w14:textId="77777777" w:rsidR="00771B04" w:rsidRPr="00694EBF"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0.91</w:t>
            </w:r>
          </w:p>
        </w:tc>
        <w:tc>
          <w:tcPr>
            <w:tcW w:w="484" w:type="pct"/>
            <w:vAlign w:val="center"/>
          </w:tcPr>
          <w:p w14:paraId="209D5224"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0.68</w:t>
            </w:r>
          </w:p>
        </w:tc>
        <w:tc>
          <w:tcPr>
            <w:tcW w:w="484" w:type="pct"/>
            <w:vAlign w:val="center"/>
          </w:tcPr>
          <w:p w14:paraId="4E64E4A7"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0.91</w:t>
            </w:r>
          </w:p>
        </w:tc>
        <w:tc>
          <w:tcPr>
            <w:tcW w:w="481" w:type="pct"/>
            <w:vAlign w:val="center"/>
          </w:tcPr>
          <w:p w14:paraId="0FA4AFA4"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0.63</w:t>
            </w:r>
          </w:p>
        </w:tc>
        <w:tc>
          <w:tcPr>
            <w:tcW w:w="521" w:type="pct"/>
            <w:vAlign w:val="center"/>
          </w:tcPr>
          <w:p w14:paraId="3BF2D94E"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1.73</w:t>
            </w:r>
          </w:p>
        </w:tc>
      </w:tr>
    </w:tbl>
    <w:p w14:paraId="5A2FF4F5" w14:textId="77777777" w:rsidR="00771B04" w:rsidRPr="008B7340" w:rsidRDefault="00771B04" w:rsidP="007F0AF1">
      <w:pPr>
        <w:pStyle w:val="NormalWeb"/>
        <w:jc w:val="both"/>
        <w:sectPr w:rsidR="00771B04" w:rsidRPr="008B7340" w:rsidSect="00977935">
          <w:pgSz w:w="15840" w:h="12240" w:orient="landscape"/>
          <w:pgMar w:top="1440" w:right="1440" w:bottom="1440" w:left="1440" w:header="720" w:footer="720" w:gutter="0"/>
          <w:cols w:space="720"/>
          <w:docGrid w:linePitch="360"/>
        </w:sectPr>
      </w:pPr>
    </w:p>
    <w:p w14:paraId="6B667AB6" w14:textId="2712B8E3" w:rsidR="006F0BA0" w:rsidRDefault="003C660E" w:rsidP="003C660E">
      <w:pPr>
        <w:spacing w:after="0" w:line="240" w:lineRule="auto"/>
        <w:ind w:firstLine="0"/>
        <w:rPr>
          <w:rFonts w:ascii="Times New Roman" w:hAnsi="Times New Roman" w:cs="Times New Roman"/>
          <w:sz w:val="24"/>
          <w:szCs w:val="24"/>
        </w:rPr>
      </w:pPr>
      <w:r w:rsidRPr="00664CCD">
        <w:rPr>
          <w:rFonts w:ascii="Times New Roman" w:hAnsi="Times New Roman" w:cs="Times New Roman"/>
          <w:sz w:val="24"/>
          <w:szCs w:val="24"/>
        </w:rPr>
        <w:lastRenderedPageBreak/>
        <w:t>due to its stability and limited translocation from the applic</w:t>
      </w:r>
      <w:r>
        <w:rPr>
          <w:rFonts w:ascii="Times New Roman" w:hAnsi="Times New Roman" w:cs="Times New Roman"/>
          <w:sz w:val="24"/>
          <w:szCs w:val="24"/>
        </w:rPr>
        <w:t>ation site</w:t>
      </w:r>
      <w:r w:rsidRPr="00664CCD">
        <w:rPr>
          <w:rFonts w:ascii="Times New Roman" w:hAnsi="Times New Roman" w:cs="Times New Roman"/>
          <w:sz w:val="24"/>
          <w:szCs w:val="24"/>
        </w:rPr>
        <w:t xml:space="preserve">. These findings are consistent with earlier reports by Mewar </w:t>
      </w:r>
      <w:r w:rsidRPr="002A4917">
        <w:rPr>
          <w:rFonts w:ascii="Times New Roman" w:hAnsi="Times New Roman" w:cs="Times New Roman"/>
          <w:i/>
          <w:iCs/>
          <w:sz w:val="24"/>
          <w:szCs w:val="24"/>
        </w:rPr>
        <w:t>et al</w:t>
      </w:r>
      <w:r w:rsidRPr="00664CCD">
        <w:rPr>
          <w:rFonts w:ascii="Times New Roman" w:hAnsi="Times New Roman" w:cs="Times New Roman"/>
          <w:sz w:val="24"/>
          <w:szCs w:val="24"/>
        </w:rPr>
        <w:t>. (2016) in wild fig, Joseph and Sobhana (2020) in</w:t>
      </w:r>
      <w:r>
        <w:rPr>
          <w:rFonts w:ascii="Times New Roman" w:hAnsi="Times New Roman" w:cs="Times New Roman"/>
          <w:sz w:val="24"/>
          <w:szCs w:val="24"/>
        </w:rPr>
        <w:t xml:space="preserve"> </w:t>
      </w:r>
      <w:r w:rsidR="006F0BA0" w:rsidRPr="00664CCD">
        <w:rPr>
          <w:rFonts w:ascii="Times New Roman" w:hAnsi="Times New Roman" w:cs="Times New Roman"/>
          <w:sz w:val="24"/>
          <w:szCs w:val="24"/>
        </w:rPr>
        <w:t xml:space="preserve">passion fruit, Sujin </w:t>
      </w:r>
      <w:r w:rsidR="006F0BA0" w:rsidRPr="002A4917">
        <w:rPr>
          <w:rFonts w:ascii="Times New Roman" w:hAnsi="Times New Roman" w:cs="Times New Roman"/>
          <w:i/>
          <w:iCs/>
          <w:sz w:val="24"/>
          <w:szCs w:val="24"/>
        </w:rPr>
        <w:t>et al</w:t>
      </w:r>
      <w:r w:rsidR="006F0BA0" w:rsidRPr="00664CCD">
        <w:rPr>
          <w:rFonts w:ascii="Times New Roman" w:hAnsi="Times New Roman" w:cs="Times New Roman"/>
          <w:sz w:val="24"/>
          <w:szCs w:val="24"/>
        </w:rPr>
        <w:t>. (2020) in guava</w:t>
      </w:r>
      <w:r w:rsidR="006F0BA0">
        <w:rPr>
          <w:rFonts w:ascii="Times New Roman" w:hAnsi="Times New Roman" w:cs="Times New Roman"/>
          <w:sz w:val="24"/>
          <w:szCs w:val="24"/>
        </w:rPr>
        <w:t xml:space="preserve">, </w:t>
      </w:r>
      <w:r w:rsidR="006F0BA0" w:rsidRPr="00664CCD">
        <w:rPr>
          <w:rFonts w:ascii="Times New Roman" w:hAnsi="Times New Roman" w:cs="Times New Roman"/>
          <w:sz w:val="24"/>
          <w:szCs w:val="24"/>
        </w:rPr>
        <w:t xml:space="preserve">Tanwar </w:t>
      </w:r>
      <w:r w:rsidR="006F0BA0" w:rsidRPr="002A4917">
        <w:rPr>
          <w:rFonts w:ascii="Times New Roman" w:hAnsi="Times New Roman" w:cs="Times New Roman"/>
          <w:i/>
          <w:iCs/>
          <w:sz w:val="24"/>
          <w:szCs w:val="24"/>
        </w:rPr>
        <w:t>et al</w:t>
      </w:r>
      <w:r w:rsidR="006F0BA0" w:rsidRPr="00664CCD">
        <w:rPr>
          <w:rFonts w:ascii="Times New Roman" w:hAnsi="Times New Roman" w:cs="Times New Roman"/>
          <w:sz w:val="24"/>
          <w:szCs w:val="24"/>
        </w:rPr>
        <w:t>. (2020) in pomegranate</w:t>
      </w:r>
      <w:r w:rsidR="006F0BA0">
        <w:rPr>
          <w:rFonts w:ascii="Times New Roman" w:hAnsi="Times New Roman" w:cs="Times New Roman"/>
          <w:sz w:val="24"/>
          <w:szCs w:val="24"/>
        </w:rPr>
        <w:t xml:space="preserve"> and </w:t>
      </w:r>
      <w:proofErr w:type="spellStart"/>
      <w:r w:rsidR="006F0BA0" w:rsidRPr="00F01562">
        <w:rPr>
          <w:rFonts w:ascii="Times New Roman" w:hAnsi="Times New Roman" w:cs="Times New Roman"/>
          <w:sz w:val="24"/>
          <w:szCs w:val="24"/>
        </w:rPr>
        <w:t>Vigneswari</w:t>
      </w:r>
      <w:proofErr w:type="spellEnd"/>
      <w:r w:rsidR="006F0BA0" w:rsidRPr="00F01562">
        <w:rPr>
          <w:rFonts w:ascii="Times New Roman" w:hAnsi="Times New Roman" w:cs="Times New Roman"/>
          <w:sz w:val="24"/>
          <w:szCs w:val="24"/>
        </w:rPr>
        <w:t xml:space="preserve"> </w:t>
      </w:r>
      <w:r w:rsidR="006F0BA0" w:rsidRPr="002A4917">
        <w:rPr>
          <w:rFonts w:ascii="Times New Roman" w:hAnsi="Times New Roman" w:cs="Times New Roman"/>
          <w:i/>
          <w:iCs/>
          <w:sz w:val="24"/>
          <w:szCs w:val="24"/>
        </w:rPr>
        <w:t>et al</w:t>
      </w:r>
      <w:r w:rsidR="006F0BA0" w:rsidRPr="00F01562">
        <w:rPr>
          <w:rFonts w:ascii="Times New Roman" w:hAnsi="Times New Roman" w:cs="Times New Roman"/>
          <w:sz w:val="24"/>
          <w:szCs w:val="24"/>
        </w:rPr>
        <w:t>.</w:t>
      </w:r>
      <w:r w:rsidR="006F0BA0">
        <w:rPr>
          <w:rFonts w:ascii="Times New Roman" w:hAnsi="Times New Roman" w:cs="Times New Roman"/>
          <w:sz w:val="24"/>
          <w:szCs w:val="24"/>
        </w:rPr>
        <w:t xml:space="preserve"> (</w:t>
      </w:r>
      <w:r w:rsidR="006F0BA0" w:rsidRPr="00F01562">
        <w:rPr>
          <w:rFonts w:ascii="Times New Roman" w:hAnsi="Times New Roman" w:cs="Times New Roman"/>
          <w:sz w:val="24"/>
          <w:szCs w:val="24"/>
        </w:rPr>
        <w:t>2025</w:t>
      </w:r>
      <w:r w:rsidR="006F0BA0">
        <w:rPr>
          <w:rFonts w:ascii="Times New Roman" w:hAnsi="Times New Roman" w:cs="Times New Roman"/>
          <w:sz w:val="24"/>
          <w:szCs w:val="24"/>
        </w:rPr>
        <w:t>) in bush pepper</w:t>
      </w:r>
      <w:r w:rsidR="006F0BA0" w:rsidRPr="00664CCD">
        <w:rPr>
          <w:rFonts w:ascii="Times New Roman" w:hAnsi="Times New Roman" w:cs="Times New Roman"/>
          <w:sz w:val="24"/>
          <w:szCs w:val="24"/>
        </w:rPr>
        <w:t>.</w:t>
      </w:r>
    </w:p>
    <w:p w14:paraId="730ADD61" w14:textId="77777777" w:rsidR="00C77397" w:rsidRDefault="00C77397" w:rsidP="00C77397">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t>Maximum shoot length was observed in T</w:t>
      </w:r>
      <w:r w:rsidRPr="00810E60">
        <w:rPr>
          <w:rFonts w:ascii="Cambria Math" w:hAnsi="Cambria Math" w:cs="Times New Roman"/>
          <w:sz w:val="24"/>
          <w:szCs w:val="24"/>
        </w:rPr>
        <w:t>₃</w:t>
      </w:r>
      <w:r w:rsidRPr="00810E60">
        <w:rPr>
          <w:rFonts w:ascii="Times New Roman" w:hAnsi="Times New Roman" w:cs="Times New Roman"/>
          <w:sz w:val="24"/>
          <w:szCs w:val="24"/>
        </w:rPr>
        <w:t xml:space="preserve"> (21.43 cm),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(20.28 cm) and T</w:t>
      </w:r>
      <w:r w:rsidRPr="00810E60">
        <w:rPr>
          <w:rFonts w:ascii="Times New Roman" w:hAnsi="Cambria Math" w:cs="Times New Roman"/>
          <w:sz w:val="24"/>
          <w:szCs w:val="24"/>
        </w:rPr>
        <w:t>₆</w:t>
      </w:r>
      <w:r w:rsidRPr="00810E60">
        <w:rPr>
          <w:rFonts w:ascii="Times New Roman" w:hAnsi="Times New Roman" w:cs="Times New Roman"/>
          <w:sz w:val="24"/>
          <w:szCs w:val="24"/>
        </w:rPr>
        <w:t xml:space="preserve"> (19.16 cm). The lowest shoot length was recorded in T</w:t>
      </w:r>
      <w:r w:rsidRPr="00810E60">
        <w:rPr>
          <w:rFonts w:ascii="Cambria Math" w:hAnsi="Cambria Math" w:cs="Times New Roman"/>
          <w:sz w:val="24"/>
          <w:szCs w:val="24"/>
        </w:rPr>
        <w:t>₁₀</w:t>
      </w:r>
      <w:r w:rsidRPr="00810E60">
        <w:rPr>
          <w:rFonts w:ascii="Times New Roman" w:hAnsi="Times New Roman" w:cs="Times New Roman"/>
          <w:sz w:val="24"/>
          <w:szCs w:val="24"/>
        </w:rPr>
        <w:t xml:space="preserve"> (10.55 cm). The increased shoot length may be attributed to enhanced cell elongation induced by elevated auxin concentrations, promoting linear shoot growth (Hiral, 2017). Moreover, the development of a robust root system may have improved the uptake of water and nutrients, supporting shoot elongation. These results </w:t>
      </w:r>
    </w:p>
    <w:p w14:paraId="7CD54BEB" w14:textId="1BA1C3E6" w:rsidR="007A2BE8" w:rsidRDefault="007A2BE8" w:rsidP="007A2BE8">
      <w:pPr>
        <w:spacing w:after="0" w:line="240" w:lineRule="auto"/>
        <w:ind w:firstLine="0"/>
        <w:rPr>
          <w:rFonts w:ascii="Times New Roman" w:hAnsi="Times New Roman" w:cs="Times New Roman"/>
          <w:sz w:val="24"/>
          <w:szCs w:val="24"/>
        </w:rPr>
      </w:pPr>
      <w:r w:rsidRPr="00810E60">
        <w:rPr>
          <w:rFonts w:ascii="Times New Roman" w:hAnsi="Times New Roman" w:cs="Times New Roman"/>
          <w:sz w:val="24"/>
          <w:szCs w:val="24"/>
        </w:rPr>
        <w:t xml:space="preserve">align with previous studies by Baghel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(2016) in guava, Munde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(2016) in pomegranate, Patel and Patel (2018) in fig</w:t>
      </w:r>
      <w:r w:rsidR="00C77397">
        <w:rPr>
          <w:rFonts w:ascii="Times New Roman" w:hAnsi="Times New Roman" w:cs="Times New Roman"/>
          <w:sz w:val="24"/>
          <w:szCs w:val="24"/>
        </w:rPr>
        <w:t xml:space="preserve">, </w:t>
      </w:r>
      <w:r w:rsidRPr="00810E60">
        <w:rPr>
          <w:rFonts w:ascii="Times New Roman" w:hAnsi="Times New Roman" w:cs="Times New Roman"/>
          <w:sz w:val="24"/>
          <w:szCs w:val="24"/>
        </w:rPr>
        <w:t xml:space="preserve">Mewar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(2016) in wild fig</w:t>
      </w:r>
      <w:r w:rsidR="00C77397">
        <w:rPr>
          <w:rFonts w:ascii="Times New Roman" w:hAnsi="Times New Roman" w:cs="Times New Roman"/>
          <w:sz w:val="24"/>
          <w:szCs w:val="24"/>
        </w:rPr>
        <w:t xml:space="preserve"> and Sharvesh (2026) in Kokum</w:t>
      </w:r>
      <w:r w:rsidRPr="00810E60">
        <w:rPr>
          <w:rFonts w:ascii="Times New Roman" w:hAnsi="Times New Roman" w:cs="Times New Roman"/>
          <w:sz w:val="24"/>
          <w:szCs w:val="24"/>
        </w:rPr>
        <w:t>.</w:t>
      </w:r>
    </w:p>
    <w:p w14:paraId="1DCE6C50" w14:textId="2366F445" w:rsidR="00810E60" w:rsidRDefault="00A43C20" w:rsidP="007A2B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treatment </w:t>
      </w:r>
      <w:r w:rsidR="007A2BE8" w:rsidRPr="00810E60">
        <w:rPr>
          <w:rFonts w:ascii="Times New Roman" w:hAnsi="Times New Roman" w:cs="Times New Roman"/>
          <w:sz w:val="24"/>
          <w:szCs w:val="24"/>
        </w:rPr>
        <w:t>T</w:t>
      </w:r>
      <w:r w:rsidR="007A2BE8" w:rsidRPr="00810E60">
        <w:rPr>
          <w:rFonts w:ascii="Cambria Math" w:hAnsi="Cambria Math" w:cs="Times New Roman"/>
          <w:sz w:val="24"/>
          <w:szCs w:val="24"/>
        </w:rPr>
        <w:t>₃</w:t>
      </w:r>
      <w:r w:rsidR="007A2BE8" w:rsidRPr="00810E60">
        <w:rPr>
          <w:rFonts w:ascii="Times New Roman" w:hAnsi="Times New Roman" w:cs="Times New Roman"/>
          <w:sz w:val="24"/>
          <w:szCs w:val="24"/>
        </w:rPr>
        <w:t xml:space="preserve"> registered the highest fresh shoot weight (46.44 g), followed by T</w:t>
      </w:r>
      <w:r w:rsidR="007A2BE8" w:rsidRPr="00810E60">
        <w:rPr>
          <w:rFonts w:ascii="Cambria Math" w:hAnsi="Cambria Math" w:cs="Times New Roman"/>
          <w:sz w:val="24"/>
          <w:szCs w:val="24"/>
        </w:rPr>
        <w:t>₂</w:t>
      </w:r>
      <w:r w:rsidR="007A2BE8" w:rsidRPr="00810E60">
        <w:rPr>
          <w:rFonts w:ascii="Times New Roman" w:hAnsi="Times New Roman" w:cs="Times New Roman"/>
          <w:sz w:val="24"/>
          <w:szCs w:val="24"/>
        </w:rPr>
        <w:t xml:space="preserve"> (44.26 g) and T</w:t>
      </w:r>
      <w:r w:rsidR="007A2BE8" w:rsidRPr="00810E60">
        <w:rPr>
          <w:rFonts w:ascii="Cambria Math" w:hAnsi="Cambria Math" w:cs="Times New Roman"/>
          <w:sz w:val="24"/>
          <w:szCs w:val="24"/>
        </w:rPr>
        <w:t>₆</w:t>
      </w:r>
      <w:r w:rsidR="007A2BE8" w:rsidRPr="00810E60">
        <w:rPr>
          <w:rFonts w:ascii="Times New Roman" w:hAnsi="Times New Roman" w:cs="Times New Roman"/>
          <w:sz w:val="24"/>
          <w:szCs w:val="24"/>
        </w:rPr>
        <w:t xml:space="preserve"> (42.01 g). The minimum fresh weight was noted in T</w:t>
      </w:r>
      <w:r w:rsidR="007A2BE8" w:rsidRPr="00810E60">
        <w:rPr>
          <w:rFonts w:ascii="Cambria Math" w:hAnsi="Cambria Math" w:cs="Times New Roman"/>
          <w:sz w:val="24"/>
          <w:szCs w:val="24"/>
        </w:rPr>
        <w:t>₁₀</w:t>
      </w:r>
      <w:r w:rsidR="007A2BE8" w:rsidRPr="00810E60">
        <w:rPr>
          <w:rFonts w:ascii="Times New Roman" w:hAnsi="Times New Roman" w:cs="Times New Roman"/>
          <w:sz w:val="24"/>
          <w:szCs w:val="24"/>
        </w:rPr>
        <w:t xml:space="preserve"> (24.89 g). This increase in biomass may be due to the enhanced permeability of cells to moisture and nutrients under auxin treatment, leading to increased cell expansion and shoot growth (Kaur</w:t>
      </w:r>
      <w:r w:rsidR="007A2BE8">
        <w:rPr>
          <w:rFonts w:ascii="Times New Roman" w:hAnsi="Times New Roman" w:cs="Times New Roman"/>
          <w:sz w:val="24"/>
          <w:szCs w:val="24"/>
        </w:rPr>
        <w:t xml:space="preserve"> and Kaur, 2017). Auxin-induced </w:t>
      </w:r>
      <w:r w:rsidR="00810E60" w:rsidRPr="00810E60">
        <w:rPr>
          <w:rFonts w:ascii="Times New Roman" w:hAnsi="Times New Roman" w:cs="Times New Roman"/>
          <w:sz w:val="24"/>
          <w:szCs w:val="24"/>
        </w:rPr>
        <w:t xml:space="preserve">vegetative growth also supports greater accumulation of photosynthates and hydrolyzed starch, thereby elevating sugar concentration and shoot biomass (Neelima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2018). Additionally, IBA-treated cuttings exhibited increased shoot proliferation, which contributed to the higher fresh weight (</w:t>
      </w:r>
      <w:proofErr w:type="spellStart"/>
      <w:r w:rsidR="00F01562" w:rsidRPr="00F01562">
        <w:rPr>
          <w:rFonts w:ascii="Times New Roman" w:hAnsi="Times New Roman" w:cs="Times New Roman"/>
          <w:sz w:val="24"/>
          <w:szCs w:val="24"/>
        </w:rPr>
        <w:t>Vigneswari</w:t>
      </w:r>
      <w:proofErr w:type="spellEnd"/>
      <w:r w:rsidR="00F01562" w:rsidRPr="00F01562">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F01562" w:rsidRPr="00F01562">
        <w:rPr>
          <w:rFonts w:ascii="Times New Roman" w:hAnsi="Times New Roman" w:cs="Times New Roman"/>
          <w:sz w:val="24"/>
          <w:szCs w:val="24"/>
        </w:rPr>
        <w:t>., 2025</w:t>
      </w:r>
      <w:r w:rsidR="00F01562">
        <w:rPr>
          <w:rFonts w:ascii="Times New Roman" w:hAnsi="Times New Roman" w:cs="Times New Roman"/>
          <w:sz w:val="24"/>
          <w:szCs w:val="24"/>
        </w:rPr>
        <w:t xml:space="preserve">, </w:t>
      </w:r>
      <w:r w:rsidR="00810E60" w:rsidRPr="00810E60">
        <w:rPr>
          <w:rFonts w:ascii="Times New Roman" w:hAnsi="Times New Roman" w:cs="Times New Roman"/>
          <w:sz w:val="24"/>
          <w:szCs w:val="24"/>
        </w:rPr>
        <w:t xml:space="preserve">Hiral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2017). These findings are supported by Ghosh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(2017) in Phalsa and Sujin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(2020) in guava.</w:t>
      </w:r>
    </w:p>
    <w:p w14:paraId="131DE8F2" w14:textId="77258673" w:rsidR="00810E60" w:rsidRDefault="00810E60" w:rsidP="00810E60">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t>The maximum dry weight of shoots was found in T</w:t>
      </w:r>
      <w:r w:rsidRPr="00810E60">
        <w:rPr>
          <w:rFonts w:ascii="Cambria Math" w:hAnsi="Cambria Math" w:cs="Times New Roman"/>
          <w:sz w:val="24"/>
          <w:szCs w:val="24"/>
        </w:rPr>
        <w:t>₃</w:t>
      </w:r>
      <w:r w:rsidRPr="00810E60">
        <w:rPr>
          <w:rFonts w:ascii="Times New Roman" w:hAnsi="Times New Roman" w:cs="Times New Roman"/>
          <w:sz w:val="24"/>
          <w:szCs w:val="24"/>
        </w:rPr>
        <w:t xml:space="preserve"> (35.63 g),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(32.65 g) and T</w:t>
      </w:r>
      <w:r w:rsidRPr="00810E60">
        <w:rPr>
          <w:rFonts w:ascii="Cambria Math" w:hAnsi="Cambria Math" w:cs="Times New Roman"/>
          <w:sz w:val="24"/>
          <w:szCs w:val="24"/>
        </w:rPr>
        <w:t>₆</w:t>
      </w:r>
      <w:r w:rsidRPr="00810E60">
        <w:rPr>
          <w:rFonts w:ascii="Times New Roman" w:hAnsi="Times New Roman" w:cs="Times New Roman"/>
          <w:sz w:val="24"/>
          <w:szCs w:val="24"/>
        </w:rPr>
        <w:t xml:space="preserve"> (30.42 g), whereas the lowest dry weight was recorded in T</w:t>
      </w:r>
      <w:r w:rsidRPr="00810E60">
        <w:rPr>
          <w:rFonts w:ascii="Cambria Math" w:hAnsi="Cambria Math" w:cs="Times New Roman"/>
          <w:sz w:val="24"/>
          <w:szCs w:val="24"/>
        </w:rPr>
        <w:t>₁₀</w:t>
      </w:r>
      <w:r w:rsidRPr="00810E60">
        <w:rPr>
          <w:rFonts w:ascii="Times New Roman" w:hAnsi="Times New Roman" w:cs="Times New Roman"/>
          <w:sz w:val="24"/>
          <w:szCs w:val="24"/>
        </w:rPr>
        <w:t xml:space="preserve"> (20.32 g). The increase in dry biomass is likely a result of improved shoot number and growth due to auxin application. This may also be due to increased leaf production and shoot girth, which enhanced photosynthesis and dry matter accumulation (</w:t>
      </w:r>
      <w:r w:rsidR="00465FB9">
        <w:rPr>
          <w:rFonts w:ascii="Times New Roman" w:hAnsi="Times New Roman" w:cs="Times New Roman"/>
          <w:sz w:val="24"/>
          <w:szCs w:val="24"/>
        </w:rPr>
        <w:t xml:space="preserve">Madhavan </w:t>
      </w:r>
      <w:r w:rsidR="002A4917" w:rsidRPr="002A4917">
        <w:rPr>
          <w:rFonts w:ascii="Times New Roman" w:hAnsi="Times New Roman" w:cs="Times New Roman"/>
          <w:i/>
          <w:iCs/>
          <w:sz w:val="24"/>
          <w:szCs w:val="24"/>
        </w:rPr>
        <w:t>et al</w:t>
      </w:r>
      <w:r w:rsidR="00465FB9" w:rsidRPr="00B651C0">
        <w:rPr>
          <w:rFonts w:ascii="Times New Roman" w:hAnsi="Times New Roman" w:cs="Times New Roman"/>
          <w:sz w:val="24"/>
          <w:szCs w:val="24"/>
        </w:rPr>
        <w:t>.</w:t>
      </w:r>
      <w:r w:rsidR="00465FB9">
        <w:rPr>
          <w:rFonts w:ascii="Times New Roman" w:hAnsi="Times New Roman" w:cs="Times New Roman"/>
          <w:sz w:val="24"/>
          <w:szCs w:val="24"/>
        </w:rPr>
        <w:t>,</w:t>
      </w:r>
      <w:r w:rsidR="00465FB9" w:rsidRPr="00B651C0">
        <w:rPr>
          <w:rFonts w:ascii="Times New Roman" w:hAnsi="Times New Roman" w:cs="Times New Roman"/>
          <w:sz w:val="24"/>
          <w:szCs w:val="24"/>
        </w:rPr>
        <w:t xml:space="preserve"> 2025</w:t>
      </w:r>
      <w:r w:rsidR="00024803">
        <w:rPr>
          <w:rFonts w:ascii="Times New Roman" w:hAnsi="Times New Roman" w:cs="Times New Roman"/>
          <w:sz w:val="24"/>
          <w:szCs w:val="24"/>
        </w:rPr>
        <w:t>a</w:t>
      </w:r>
      <w:r w:rsidR="00465FB9">
        <w:rPr>
          <w:rFonts w:ascii="Times New Roman" w:hAnsi="Times New Roman" w:cs="Times New Roman"/>
          <w:sz w:val="24"/>
          <w:szCs w:val="24"/>
        </w:rPr>
        <w:t xml:space="preserve">, </w:t>
      </w:r>
      <w:proofErr w:type="spellStart"/>
      <w:r w:rsidR="00B651C0" w:rsidRPr="00B651C0">
        <w:rPr>
          <w:rFonts w:ascii="Times New Roman" w:hAnsi="Times New Roman" w:cs="Times New Roman"/>
          <w:sz w:val="24"/>
          <w:szCs w:val="24"/>
        </w:rPr>
        <w:t>Muruganandam</w:t>
      </w:r>
      <w:proofErr w:type="spellEnd"/>
      <w:r w:rsidR="00B651C0" w:rsidRPr="00B651C0">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B651C0" w:rsidRPr="00B651C0">
        <w:rPr>
          <w:rFonts w:ascii="Times New Roman" w:hAnsi="Times New Roman" w:cs="Times New Roman"/>
          <w:sz w:val="24"/>
          <w:szCs w:val="24"/>
        </w:rPr>
        <w:t>.</w:t>
      </w:r>
      <w:r w:rsidR="00B651C0">
        <w:rPr>
          <w:rFonts w:ascii="Times New Roman" w:hAnsi="Times New Roman" w:cs="Times New Roman"/>
          <w:sz w:val="24"/>
          <w:szCs w:val="24"/>
        </w:rPr>
        <w:t>,</w:t>
      </w:r>
      <w:r w:rsidR="00B651C0" w:rsidRPr="00B651C0">
        <w:rPr>
          <w:rFonts w:ascii="Times New Roman" w:hAnsi="Times New Roman" w:cs="Times New Roman"/>
          <w:sz w:val="24"/>
          <w:szCs w:val="24"/>
        </w:rPr>
        <w:t xml:space="preserve"> 2025,</w:t>
      </w:r>
      <w:r w:rsidR="00B651C0">
        <w:t xml:space="preserve"> </w:t>
      </w:r>
      <w:proofErr w:type="spellStart"/>
      <w:r w:rsidRPr="00810E60">
        <w:rPr>
          <w:rFonts w:ascii="Times New Roman" w:hAnsi="Times New Roman" w:cs="Times New Roman"/>
          <w:sz w:val="24"/>
          <w:szCs w:val="24"/>
        </w:rPr>
        <w:t>Kotiyal</w:t>
      </w:r>
      <w:proofErr w:type="spellEnd"/>
      <w:r w:rsidRPr="00810E60">
        <w:rPr>
          <w:rFonts w:ascii="Times New Roman" w:hAnsi="Times New Roman" w:cs="Times New Roman"/>
          <w:sz w:val="24"/>
          <w:szCs w:val="24"/>
        </w:rPr>
        <w:t xml:space="preserve"> and </w:t>
      </w:r>
      <w:proofErr w:type="spellStart"/>
      <w:r w:rsidRPr="00810E60">
        <w:rPr>
          <w:rFonts w:ascii="Times New Roman" w:hAnsi="Times New Roman" w:cs="Times New Roman"/>
          <w:sz w:val="24"/>
          <w:szCs w:val="24"/>
        </w:rPr>
        <w:t>Nautiyal</w:t>
      </w:r>
      <w:proofErr w:type="spellEnd"/>
      <w:r w:rsidRPr="00810E60">
        <w:rPr>
          <w:rFonts w:ascii="Times New Roman" w:hAnsi="Times New Roman" w:cs="Times New Roman"/>
          <w:sz w:val="24"/>
          <w:szCs w:val="24"/>
        </w:rPr>
        <w:t>, 2019). Early sprouting and longer shoots might have further contributed to biomass gains (</w:t>
      </w:r>
      <w:r w:rsidR="00EC39DC">
        <w:rPr>
          <w:rFonts w:ascii="Times New Roman" w:hAnsi="Times New Roman" w:cs="Times New Roman"/>
          <w:sz w:val="24"/>
          <w:szCs w:val="24"/>
        </w:rPr>
        <w:t xml:space="preserve">Madhavan </w:t>
      </w:r>
      <w:r w:rsidR="00EC39DC" w:rsidRPr="002A4917">
        <w:rPr>
          <w:rFonts w:ascii="Times New Roman" w:hAnsi="Times New Roman" w:cs="Times New Roman"/>
          <w:i/>
          <w:iCs/>
          <w:sz w:val="24"/>
          <w:szCs w:val="24"/>
        </w:rPr>
        <w:t>et al</w:t>
      </w:r>
      <w:r w:rsidR="00EC39DC">
        <w:rPr>
          <w:rFonts w:ascii="Times New Roman" w:hAnsi="Times New Roman" w:cs="Times New Roman"/>
          <w:sz w:val="24"/>
          <w:szCs w:val="24"/>
        </w:rPr>
        <w:t>., 2025b</w:t>
      </w:r>
      <w:r w:rsidR="00F1563B">
        <w:rPr>
          <w:rFonts w:ascii="Times New Roman" w:hAnsi="Times New Roman" w:cs="Times New Roman"/>
          <w:sz w:val="24"/>
          <w:szCs w:val="24"/>
        </w:rPr>
        <w:t xml:space="preserve"> and 2025c</w:t>
      </w:r>
      <w:r w:rsidR="00EC39DC">
        <w:rPr>
          <w:rFonts w:ascii="Times New Roman" w:hAnsi="Times New Roman" w:cs="Times New Roman"/>
          <w:sz w:val="24"/>
          <w:szCs w:val="24"/>
        </w:rPr>
        <w:t xml:space="preserve">, </w:t>
      </w:r>
      <w:r w:rsidRPr="00810E60">
        <w:rPr>
          <w:rFonts w:ascii="Times New Roman" w:hAnsi="Times New Roman" w:cs="Times New Roman"/>
          <w:sz w:val="24"/>
          <w:szCs w:val="24"/>
        </w:rPr>
        <w:t xml:space="preserve">Neelima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2018). The trend in dry weight closely followed that of fresh weight. Similar trends have been reported by Kaur and Kaur (2017), Hiral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(2017) in fig</w:t>
      </w:r>
      <w:r w:rsidR="00AA6C10">
        <w:rPr>
          <w:rFonts w:ascii="Times New Roman" w:hAnsi="Times New Roman" w:cs="Times New Roman"/>
          <w:sz w:val="24"/>
          <w:szCs w:val="24"/>
        </w:rPr>
        <w:t xml:space="preserve"> and</w:t>
      </w:r>
      <w:r w:rsidRPr="00810E60">
        <w:rPr>
          <w:rFonts w:ascii="Times New Roman" w:hAnsi="Times New Roman" w:cs="Times New Roman"/>
          <w:sz w:val="24"/>
          <w:szCs w:val="24"/>
        </w:rPr>
        <w:t xml:space="preserve"> Sujin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(2020) in guava.</w:t>
      </w:r>
    </w:p>
    <w:p w14:paraId="7D7E4202" w14:textId="6219B0D6" w:rsidR="00810E60" w:rsidRDefault="00810E60" w:rsidP="00810E60">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t>Cuttings in T</w:t>
      </w:r>
      <w:r w:rsidRPr="00810E60">
        <w:rPr>
          <w:rFonts w:ascii="Cambria Math" w:hAnsi="Cambria Math" w:cs="Times New Roman"/>
          <w:sz w:val="24"/>
          <w:szCs w:val="24"/>
        </w:rPr>
        <w:t>₃</w:t>
      </w:r>
      <w:r w:rsidRPr="00810E60">
        <w:rPr>
          <w:rFonts w:ascii="Times New Roman" w:hAnsi="Times New Roman" w:cs="Times New Roman"/>
          <w:sz w:val="24"/>
          <w:szCs w:val="24"/>
        </w:rPr>
        <w:t xml:space="preserve"> showed the highest shoot diameter (12.98 mm),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(11.81 mm) and T</w:t>
      </w:r>
      <w:r w:rsidRPr="00810E60">
        <w:rPr>
          <w:rFonts w:ascii="Cambria Math" w:hAnsi="Cambria Math" w:cs="Times New Roman"/>
          <w:sz w:val="24"/>
          <w:szCs w:val="24"/>
        </w:rPr>
        <w:t>₆</w:t>
      </w:r>
      <w:r w:rsidRPr="00810E60">
        <w:rPr>
          <w:rFonts w:ascii="Times New Roman" w:hAnsi="Times New Roman" w:cs="Times New Roman"/>
          <w:sz w:val="24"/>
          <w:szCs w:val="24"/>
        </w:rPr>
        <w:t xml:space="preserve"> (10.57 mm). The least diameter (4.38 mm) was found in T</w:t>
      </w:r>
      <w:r w:rsidRPr="00810E60">
        <w:rPr>
          <w:rFonts w:ascii="Cambria Math" w:hAnsi="Cambria Math" w:cs="Times New Roman"/>
          <w:sz w:val="24"/>
          <w:szCs w:val="24"/>
        </w:rPr>
        <w:t>₁₀</w:t>
      </w:r>
      <w:r w:rsidRPr="00810E60">
        <w:rPr>
          <w:rFonts w:ascii="Times New Roman" w:hAnsi="Times New Roman" w:cs="Times New Roman"/>
          <w:sz w:val="24"/>
          <w:szCs w:val="24"/>
        </w:rPr>
        <w:t>. The increased girth could be attributed to improved nutrient and water uptake, supported by a vigorous root system and a higher number of leaves, resulting in enhanced carbohydrate assimilation. Enhanced vascular activity due to increased rooting efficiency might also explain the increase in shoot diameter (</w:t>
      </w:r>
      <w:proofErr w:type="spellStart"/>
      <w:r w:rsidR="00B651C0" w:rsidRPr="00B651C0">
        <w:rPr>
          <w:rFonts w:ascii="Times New Roman" w:hAnsi="Times New Roman" w:cs="Times New Roman"/>
          <w:sz w:val="24"/>
          <w:szCs w:val="24"/>
        </w:rPr>
        <w:t>Muruganandam</w:t>
      </w:r>
      <w:proofErr w:type="spellEnd"/>
      <w:r w:rsidR="00B651C0" w:rsidRPr="00B651C0">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B651C0" w:rsidRPr="00B651C0">
        <w:rPr>
          <w:rFonts w:ascii="Times New Roman" w:hAnsi="Times New Roman" w:cs="Times New Roman"/>
          <w:sz w:val="24"/>
          <w:szCs w:val="24"/>
        </w:rPr>
        <w:t>.</w:t>
      </w:r>
      <w:r w:rsidR="00B651C0">
        <w:rPr>
          <w:rFonts w:ascii="Times New Roman" w:hAnsi="Times New Roman" w:cs="Times New Roman"/>
          <w:sz w:val="24"/>
          <w:szCs w:val="24"/>
        </w:rPr>
        <w:t>,</w:t>
      </w:r>
      <w:r w:rsidR="00B651C0" w:rsidRPr="00B651C0">
        <w:rPr>
          <w:rFonts w:ascii="Times New Roman" w:hAnsi="Times New Roman" w:cs="Times New Roman"/>
          <w:sz w:val="24"/>
          <w:szCs w:val="24"/>
        </w:rPr>
        <w:t xml:space="preserve"> 2025</w:t>
      </w:r>
      <w:r w:rsidR="00B651C0">
        <w:rPr>
          <w:rFonts w:ascii="Times New Roman" w:hAnsi="Times New Roman" w:cs="Times New Roman"/>
          <w:sz w:val="24"/>
          <w:szCs w:val="24"/>
        </w:rPr>
        <w:t xml:space="preserve">, </w:t>
      </w:r>
      <w:r w:rsidRPr="00810E60">
        <w:rPr>
          <w:rFonts w:ascii="Times New Roman" w:hAnsi="Times New Roman" w:cs="Times New Roman"/>
          <w:sz w:val="24"/>
          <w:szCs w:val="24"/>
        </w:rPr>
        <w:t xml:space="preserve">Pushpa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2023). These findings are corroborated by Bhosale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(2014) in pomegranate and Dhand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(2019) in pear.</w:t>
      </w:r>
    </w:p>
    <w:p w14:paraId="6FB74C79" w14:textId="012BB3BA" w:rsidR="00810E60" w:rsidRDefault="00A43C20" w:rsidP="00810E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treatment </w:t>
      </w:r>
      <w:r w:rsidR="00810E60" w:rsidRPr="00810E60">
        <w:rPr>
          <w:rFonts w:ascii="Times New Roman" w:hAnsi="Times New Roman" w:cs="Times New Roman"/>
          <w:sz w:val="24"/>
          <w:szCs w:val="24"/>
        </w:rPr>
        <w:t>T</w:t>
      </w:r>
      <w:r w:rsidR="00810E60" w:rsidRPr="00810E60">
        <w:rPr>
          <w:rFonts w:ascii="Cambria Math" w:hAnsi="Cambria Math" w:cs="Times New Roman"/>
          <w:sz w:val="24"/>
          <w:szCs w:val="24"/>
        </w:rPr>
        <w:t>₃</w:t>
      </w:r>
      <w:r w:rsidR="00810E60" w:rsidRPr="00810E60">
        <w:rPr>
          <w:rFonts w:ascii="Times New Roman" w:hAnsi="Times New Roman" w:cs="Times New Roman"/>
          <w:sz w:val="24"/>
          <w:szCs w:val="24"/>
        </w:rPr>
        <w:t xml:space="preserve"> produced the maximum number of leaves (10.59), followed by T</w:t>
      </w:r>
      <w:r w:rsidR="00810E60" w:rsidRPr="00810E60">
        <w:rPr>
          <w:rFonts w:ascii="Cambria Math" w:hAnsi="Cambria Math" w:cs="Times New Roman"/>
          <w:sz w:val="24"/>
          <w:szCs w:val="24"/>
        </w:rPr>
        <w:t>₂</w:t>
      </w:r>
      <w:r w:rsidR="00810E60" w:rsidRPr="00810E60">
        <w:rPr>
          <w:rFonts w:ascii="Times New Roman" w:hAnsi="Times New Roman" w:cs="Times New Roman"/>
          <w:sz w:val="24"/>
          <w:szCs w:val="24"/>
        </w:rPr>
        <w:t xml:space="preserve"> (9.56) and T</w:t>
      </w:r>
      <w:r w:rsidR="00810E60" w:rsidRPr="00810E60">
        <w:rPr>
          <w:rFonts w:ascii="Cambria Math" w:hAnsi="Cambria Math" w:cs="Times New Roman"/>
          <w:sz w:val="24"/>
          <w:szCs w:val="24"/>
        </w:rPr>
        <w:t>₆</w:t>
      </w:r>
      <w:r w:rsidR="00810E60" w:rsidRPr="00810E60">
        <w:rPr>
          <w:rFonts w:ascii="Times New Roman" w:hAnsi="Times New Roman" w:cs="Times New Roman"/>
          <w:sz w:val="24"/>
          <w:szCs w:val="24"/>
        </w:rPr>
        <w:t xml:space="preserve"> (8.77), whereas T</w:t>
      </w:r>
      <w:r w:rsidR="00810E60" w:rsidRPr="00810E60">
        <w:rPr>
          <w:rFonts w:ascii="Cambria Math" w:hAnsi="Cambria Math" w:cs="Times New Roman"/>
          <w:sz w:val="24"/>
          <w:szCs w:val="24"/>
        </w:rPr>
        <w:t>₁₀</w:t>
      </w:r>
      <w:r w:rsidR="00810E60" w:rsidRPr="00810E60">
        <w:rPr>
          <w:rFonts w:ascii="Times New Roman" w:hAnsi="Times New Roman" w:cs="Times New Roman"/>
          <w:sz w:val="24"/>
          <w:szCs w:val="24"/>
        </w:rPr>
        <w:t xml:space="preserve"> recorded the lowest (3.91). The auxin-mediated increase in rooting might have improved water and nutrient uptake, leading to higher leaf production. Auxins are also known to stimulate primary shoot development and leaf emergence (</w:t>
      </w:r>
      <w:proofErr w:type="spellStart"/>
      <w:r w:rsidR="00810E60" w:rsidRPr="00810E60">
        <w:rPr>
          <w:rFonts w:ascii="Times New Roman" w:hAnsi="Times New Roman" w:cs="Times New Roman"/>
          <w:sz w:val="24"/>
          <w:szCs w:val="24"/>
        </w:rPr>
        <w:t>Khapare</w:t>
      </w:r>
      <w:proofErr w:type="spellEnd"/>
      <w:r w:rsidR="00810E60" w:rsidRPr="00810E60">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2012). Moreover, the increase in photosynthetic activity due to higher leaf numbers could have created a positive feedback loop, enhancing further growth. The diversion of assimilates towards leaf bud development, a site of endogenous auxin production, could also explain this increase (</w:t>
      </w:r>
      <w:proofErr w:type="spellStart"/>
      <w:r w:rsidR="002A4917">
        <w:rPr>
          <w:rFonts w:ascii="Times New Roman" w:hAnsi="Times New Roman" w:cs="Times New Roman"/>
          <w:sz w:val="24"/>
          <w:szCs w:val="24"/>
        </w:rPr>
        <w:t>Vigneswari</w:t>
      </w:r>
      <w:proofErr w:type="spellEnd"/>
      <w:r w:rsidR="002A4917">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2A4917">
        <w:rPr>
          <w:rFonts w:ascii="Times New Roman" w:hAnsi="Times New Roman" w:cs="Times New Roman"/>
          <w:i/>
          <w:iCs/>
          <w:sz w:val="24"/>
          <w:szCs w:val="24"/>
        </w:rPr>
        <w:t xml:space="preserve">., </w:t>
      </w:r>
      <w:r w:rsidR="002A4917" w:rsidRPr="002A4917">
        <w:rPr>
          <w:rFonts w:ascii="Times New Roman" w:hAnsi="Times New Roman" w:cs="Times New Roman"/>
          <w:sz w:val="24"/>
          <w:szCs w:val="24"/>
        </w:rPr>
        <w:t>2025</w:t>
      </w:r>
      <w:r w:rsidR="00B651C0">
        <w:rPr>
          <w:rFonts w:ascii="Times New Roman" w:hAnsi="Times New Roman" w:cs="Times New Roman"/>
          <w:sz w:val="24"/>
          <w:szCs w:val="24"/>
        </w:rPr>
        <w:t xml:space="preserve">, </w:t>
      </w:r>
      <w:r w:rsidR="00810E60" w:rsidRPr="00810E60">
        <w:rPr>
          <w:rFonts w:ascii="Times New Roman" w:hAnsi="Times New Roman" w:cs="Times New Roman"/>
          <w:sz w:val="24"/>
          <w:szCs w:val="24"/>
        </w:rPr>
        <w:t xml:space="preserve">Fazli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2001). These results are in agreement with those of Kumar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(2004) in sweet lime, Paul and Aditi (2009) in water apple, Tomar (2011) in </w:t>
      </w:r>
      <w:r w:rsidR="00810E60" w:rsidRPr="00810E60">
        <w:rPr>
          <w:rFonts w:ascii="Times New Roman" w:hAnsi="Times New Roman" w:cs="Times New Roman"/>
          <w:sz w:val="24"/>
          <w:szCs w:val="24"/>
        </w:rPr>
        <w:lastRenderedPageBreak/>
        <w:t xml:space="preserve">jackfruit, Raut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(2015) in karonda, Peter and Prasad (2016) in lemon, Munde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(2016) and Mehta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(2018) in pomegranate.</w:t>
      </w:r>
    </w:p>
    <w:p w14:paraId="30A1775D" w14:textId="79A32A5A" w:rsidR="00FB6C7E" w:rsidRDefault="00810E60" w:rsidP="00FB6C7E">
      <w:pPr>
        <w:spacing w:after="0" w:line="240" w:lineRule="auto"/>
        <w:rPr>
          <w:rFonts w:ascii="Times New Roman" w:eastAsia="Times New Roman" w:hAnsi="Times New Roman" w:cs="Times New Roman"/>
          <w:sz w:val="24"/>
          <w:szCs w:val="24"/>
        </w:rPr>
      </w:pPr>
      <w:r w:rsidRPr="00810E60">
        <w:rPr>
          <w:rFonts w:ascii="Times New Roman" w:hAnsi="Times New Roman" w:cs="Times New Roman"/>
          <w:sz w:val="24"/>
          <w:szCs w:val="24"/>
        </w:rPr>
        <w:t>The largest leaf length (15.56 cm) and width (13.28 cm) were recorded in T</w:t>
      </w:r>
      <w:r w:rsidRPr="00810E60">
        <w:rPr>
          <w:rFonts w:ascii="Cambria Math" w:hAnsi="Cambria Math" w:cs="Times New Roman"/>
          <w:sz w:val="24"/>
          <w:szCs w:val="24"/>
        </w:rPr>
        <w:t>₃</w:t>
      </w:r>
      <w:r w:rsidRPr="00810E60">
        <w:rPr>
          <w:rFonts w:ascii="Times New Roman" w:hAnsi="Times New Roman" w:cs="Times New Roman"/>
          <w:sz w:val="24"/>
          <w:szCs w:val="24"/>
        </w:rPr>
        <w:t>,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(14.52 cm length, 12.40 cm width) and T</w:t>
      </w:r>
      <w:r w:rsidRPr="00810E60">
        <w:rPr>
          <w:rFonts w:ascii="Cambria Math" w:hAnsi="Cambria Math" w:cs="Times New Roman"/>
          <w:sz w:val="24"/>
          <w:szCs w:val="24"/>
        </w:rPr>
        <w:t>₆</w:t>
      </w:r>
      <w:r w:rsidRPr="00810E60">
        <w:rPr>
          <w:rFonts w:ascii="Times New Roman" w:hAnsi="Times New Roman" w:cs="Times New Roman"/>
          <w:sz w:val="24"/>
          <w:szCs w:val="24"/>
        </w:rPr>
        <w:t xml:space="preserve"> (13.49 cm length, 11.55 cm width). The smallest leaf size was observed in T</w:t>
      </w:r>
      <w:r w:rsidRPr="00810E60">
        <w:rPr>
          <w:rFonts w:ascii="Cambria Math" w:hAnsi="Cambria Math" w:cs="Times New Roman"/>
          <w:sz w:val="24"/>
          <w:szCs w:val="24"/>
        </w:rPr>
        <w:t>₁₀</w:t>
      </w:r>
      <w:r w:rsidRPr="00810E60">
        <w:rPr>
          <w:rFonts w:ascii="Times New Roman" w:hAnsi="Times New Roman" w:cs="Times New Roman"/>
          <w:sz w:val="24"/>
          <w:szCs w:val="24"/>
        </w:rPr>
        <w:t xml:space="preserve"> (9.01 cm length, 6.93 cm width). The increased leaf dimensions are likely a result of improved vegetative vigor induced by higher auxin concentrations. Auxins enhance cell permeability and nutrient uptake, resulting in cell enlargement and overall organ growth (Pushpa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2023). These results are consistent with the findings of Kaur and Kaur (2017) in fig and Patel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(2020) in pomegranate.</w:t>
      </w:r>
      <w:r w:rsidR="00FB6C7E">
        <w:rPr>
          <w:rFonts w:ascii="Times New Roman" w:hAnsi="Times New Roman" w:cs="Times New Roman"/>
          <w:sz w:val="24"/>
          <w:szCs w:val="24"/>
        </w:rPr>
        <w:t xml:space="preserve"> </w:t>
      </w:r>
      <w:r w:rsidR="00FB6C7E" w:rsidRPr="00FB6C7E">
        <w:rPr>
          <w:rFonts w:ascii="Times New Roman" w:eastAsia="Times New Roman" w:hAnsi="Times New Roman" w:cs="Times New Roman"/>
          <w:sz w:val="24"/>
          <w:szCs w:val="24"/>
        </w:rPr>
        <w:t>Survival percentage varied significantly among the growth regulator treatments. The highest survival rate (87.88%) was recorded with IBA at 3500 ppm (T₃), followed by IBA at 2500 ppm (T₂) with 83.55%, whereas the lowest survival percentage (57.50%) was observed in the untreated control (T₁₀).</w:t>
      </w:r>
      <w:r w:rsidR="00FB6C7E">
        <w:rPr>
          <w:rFonts w:ascii="Times New Roman" w:hAnsi="Times New Roman" w:cs="Times New Roman"/>
          <w:sz w:val="24"/>
          <w:szCs w:val="24"/>
        </w:rPr>
        <w:t xml:space="preserve"> </w:t>
      </w:r>
      <w:r w:rsidR="00FB6C7E" w:rsidRPr="00FB6C7E">
        <w:rPr>
          <w:rFonts w:ascii="Times New Roman" w:eastAsia="Times New Roman" w:hAnsi="Times New Roman" w:cs="Times New Roman"/>
          <w:sz w:val="24"/>
          <w:szCs w:val="24"/>
        </w:rPr>
        <w:t xml:space="preserve">The enhanced survival observed at higher auxin concentrations may be attributed to the development of a more efficient root system, </w:t>
      </w:r>
      <w:proofErr w:type="spellStart"/>
      <w:r w:rsidR="00FB6C7E" w:rsidRPr="00FB6C7E">
        <w:rPr>
          <w:rFonts w:ascii="Times New Roman" w:eastAsia="Times New Roman" w:hAnsi="Times New Roman" w:cs="Times New Roman"/>
          <w:sz w:val="24"/>
          <w:szCs w:val="24"/>
        </w:rPr>
        <w:t>characterised</w:t>
      </w:r>
      <w:proofErr w:type="spellEnd"/>
      <w:r w:rsidR="00FB6C7E" w:rsidRPr="00FB6C7E">
        <w:rPr>
          <w:rFonts w:ascii="Times New Roman" w:eastAsia="Times New Roman" w:hAnsi="Times New Roman" w:cs="Times New Roman"/>
          <w:sz w:val="24"/>
          <w:szCs w:val="24"/>
        </w:rPr>
        <w:t xml:space="preserve"> by increased root number and length, which facilitates improved absorption of water and nutrients. Auxins such as IBA are known to promote root initiation and elongation, thereby enhancing the establishment and survival capacity of cuttings (Kaur and Kaur, 2017; </w:t>
      </w:r>
      <w:proofErr w:type="spellStart"/>
      <w:r w:rsidR="00FB6C7E" w:rsidRPr="00FB6C7E">
        <w:rPr>
          <w:rFonts w:ascii="Times New Roman" w:eastAsia="Times New Roman" w:hAnsi="Times New Roman" w:cs="Times New Roman"/>
          <w:sz w:val="24"/>
          <w:szCs w:val="24"/>
        </w:rPr>
        <w:t>Muruganandam</w:t>
      </w:r>
      <w:proofErr w:type="spellEnd"/>
      <w:r w:rsidR="00FB6C7E" w:rsidRPr="00FB6C7E">
        <w:rPr>
          <w:rFonts w:ascii="Times New Roman" w:eastAsia="Times New Roman" w:hAnsi="Times New Roman" w:cs="Times New Roman"/>
          <w:sz w:val="24"/>
          <w:szCs w:val="24"/>
        </w:rPr>
        <w:t xml:space="preserve"> et al., 2025). Furthermore, the presence of stored carbohydrates in hardwood cuttings, in conjunction with auxin treatment, likely contributed to improved root growth and nutrient uptake (Patel and Patel, 2018; </w:t>
      </w:r>
      <w:proofErr w:type="spellStart"/>
      <w:r w:rsidR="00FB6C7E" w:rsidRPr="00FB6C7E">
        <w:rPr>
          <w:rFonts w:ascii="Times New Roman" w:eastAsia="Times New Roman" w:hAnsi="Times New Roman" w:cs="Times New Roman"/>
          <w:sz w:val="24"/>
          <w:szCs w:val="24"/>
        </w:rPr>
        <w:t>Madhavan</w:t>
      </w:r>
      <w:proofErr w:type="spellEnd"/>
      <w:r w:rsidR="00FB6C7E" w:rsidRPr="00FB6C7E">
        <w:rPr>
          <w:rFonts w:ascii="Times New Roman" w:eastAsia="Times New Roman" w:hAnsi="Times New Roman" w:cs="Times New Roman"/>
          <w:sz w:val="24"/>
          <w:szCs w:val="24"/>
        </w:rPr>
        <w:t xml:space="preserve"> et al., 2026).</w:t>
      </w:r>
      <w:r w:rsidR="00FB6C7E">
        <w:rPr>
          <w:rFonts w:ascii="Times New Roman" w:hAnsi="Times New Roman" w:cs="Times New Roman"/>
          <w:sz w:val="24"/>
          <w:szCs w:val="24"/>
        </w:rPr>
        <w:t xml:space="preserve"> </w:t>
      </w:r>
      <w:r w:rsidR="00FB6C7E" w:rsidRPr="00FB6C7E">
        <w:rPr>
          <w:rFonts w:ascii="Times New Roman" w:eastAsia="Times New Roman" w:hAnsi="Times New Roman" w:cs="Times New Roman"/>
          <w:sz w:val="24"/>
          <w:szCs w:val="24"/>
        </w:rPr>
        <w:t>These findings are consistent with earlier reports in fig (</w:t>
      </w:r>
      <w:proofErr w:type="spellStart"/>
      <w:r w:rsidR="00FB6C7E" w:rsidRPr="00FB6C7E">
        <w:rPr>
          <w:rFonts w:ascii="Times New Roman" w:eastAsia="Times New Roman" w:hAnsi="Times New Roman" w:cs="Times New Roman"/>
          <w:sz w:val="24"/>
          <w:szCs w:val="24"/>
        </w:rPr>
        <w:t>Hiral</w:t>
      </w:r>
      <w:proofErr w:type="spellEnd"/>
      <w:r w:rsidR="00FB6C7E" w:rsidRPr="00FB6C7E">
        <w:rPr>
          <w:rFonts w:ascii="Times New Roman" w:eastAsia="Times New Roman" w:hAnsi="Times New Roman" w:cs="Times New Roman"/>
          <w:sz w:val="24"/>
          <w:szCs w:val="24"/>
        </w:rPr>
        <w:t xml:space="preserve"> et al., 2017; </w:t>
      </w:r>
      <w:proofErr w:type="spellStart"/>
      <w:r w:rsidR="00FB6C7E" w:rsidRPr="00FB6C7E">
        <w:rPr>
          <w:rFonts w:ascii="Times New Roman" w:eastAsia="Times New Roman" w:hAnsi="Times New Roman" w:cs="Times New Roman"/>
          <w:sz w:val="24"/>
          <w:szCs w:val="24"/>
        </w:rPr>
        <w:t>Mewar</w:t>
      </w:r>
      <w:proofErr w:type="spellEnd"/>
      <w:r w:rsidR="00FB6C7E" w:rsidRPr="00FB6C7E">
        <w:rPr>
          <w:rFonts w:ascii="Times New Roman" w:eastAsia="Times New Roman" w:hAnsi="Times New Roman" w:cs="Times New Roman"/>
          <w:sz w:val="24"/>
          <w:szCs w:val="24"/>
        </w:rPr>
        <w:t xml:space="preserve"> et al., 2016), as well as in other horticultural crops such as pomegranate (</w:t>
      </w:r>
      <w:proofErr w:type="spellStart"/>
      <w:r w:rsidR="00FB6C7E" w:rsidRPr="00FB6C7E">
        <w:rPr>
          <w:rFonts w:ascii="Times New Roman" w:eastAsia="Times New Roman" w:hAnsi="Times New Roman" w:cs="Times New Roman"/>
          <w:sz w:val="24"/>
          <w:szCs w:val="24"/>
        </w:rPr>
        <w:t>Tanwar</w:t>
      </w:r>
      <w:proofErr w:type="spellEnd"/>
      <w:r w:rsidR="00FB6C7E" w:rsidRPr="00FB6C7E">
        <w:rPr>
          <w:rFonts w:ascii="Times New Roman" w:eastAsia="Times New Roman" w:hAnsi="Times New Roman" w:cs="Times New Roman"/>
          <w:sz w:val="24"/>
          <w:szCs w:val="24"/>
        </w:rPr>
        <w:t xml:space="preserve"> et al., 2020), guava (</w:t>
      </w:r>
      <w:proofErr w:type="spellStart"/>
      <w:r w:rsidR="00FB6C7E" w:rsidRPr="00FB6C7E">
        <w:rPr>
          <w:rFonts w:ascii="Times New Roman" w:eastAsia="Times New Roman" w:hAnsi="Times New Roman" w:cs="Times New Roman"/>
          <w:sz w:val="24"/>
          <w:szCs w:val="24"/>
        </w:rPr>
        <w:t>Gayathiri</w:t>
      </w:r>
      <w:proofErr w:type="spellEnd"/>
      <w:r w:rsidR="00FB6C7E" w:rsidRPr="00FB6C7E">
        <w:rPr>
          <w:rFonts w:ascii="Times New Roman" w:eastAsia="Times New Roman" w:hAnsi="Times New Roman" w:cs="Times New Roman"/>
          <w:sz w:val="24"/>
          <w:szCs w:val="24"/>
        </w:rPr>
        <w:t xml:space="preserve"> and </w:t>
      </w:r>
      <w:proofErr w:type="spellStart"/>
      <w:r w:rsidR="00FB6C7E" w:rsidRPr="00FB6C7E">
        <w:rPr>
          <w:rFonts w:ascii="Times New Roman" w:eastAsia="Times New Roman" w:hAnsi="Times New Roman" w:cs="Times New Roman"/>
          <w:sz w:val="24"/>
          <w:szCs w:val="24"/>
        </w:rPr>
        <w:t>Vijayaraj</w:t>
      </w:r>
      <w:proofErr w:type="spellEnd"/>
      <w:r w:rsidR="00FB6C7E" w:rsidRPr="00FB6C7E">
        <w:rPr>
          <w:rFonts w:ascii="Times New Roman" w:eastAsia="Times New Roman" w:hAnsi="Times New Roman" w:cs="Times New Roman"/>
          <w:sz w:val="24"/>
          <w:szCs w:val="24"/>
        </w:rPr>
        <w:t>, 2020), and bush pepper (</w:t>
      </w:r>
      <w:proofErr w:type="spellStart"/>
      <w:r w:rsidR="00FB6C7E" w:rsidRPr="00FB6C7E">
        <w:rPr>
          <w:rFonts w:ascii="Times New Roman" w:eastAsia="Times New Roman" w:hAnsi="Times New Roman" w:cs="Times New Roman"/>
          <w:sz w:val="24"/>
          <w:szCs w:val="24"/>
        </w:rPr>
        <w:t>Vigneswari</w:t>
      </w:r>
      <w:proofErr w:type="spellEnd"/>
      <w:r w:rsidR="00FB6C7E" w:rsidRPr="00FB6C7E">
        <w:rPr>
          <w:rFonts w:ascii="Times New Roman" w:eastAsia="Times New Roman" w:hAnsi="Times New Roman" w:cs="Times New Roman"/>
          <w:sz w:val="24"/>
          <w:szCs w:val="24"/>
        </w:rPr>
        <w:t xml:space="preserve"> et al., 2025), thereby reinforcing the positive role of auxin application in enhancing cutting survival and establishment.</w:t>
      </w:r>
    </w:p>
    <w:p w14:paraId="039CB84F" w14:textId="77777777" w:rsidR="00FB6C7E" w:rsidRPr="00FB6C7E" w:rsidRDefault="00FB6C7E" w:rsidP="00FB6C7E">
      <w:pPr>
        <w:spacing w:after="0" w:line="240" w:lineRule="auto"/>
        <w:rPr>
          <w:rFonts w:ascii="Times New Roman" w:hAnsi="Times New Roman" w:cs="Times New Roman"/>
          <w:sz w:val="24"/>
          <w:szCs w:val="24"/>
        </w:rPr>
      </w:pPr>
    </w:p>
    <w:p w14:paraId="34AE0704" w14:textId="77777777" w:rsidR="00365DA8" w:rsidRDefault="00501402" w:rsidP="00365DA8">
      <w:pPr>
        <w:spacing w:after="0" w:line="240" w:lineRule="auto"/>
        <w:ind w:firstLine="0"/>
        <w:rPr>
          <w:rFonts w:ascii="Times New Roman" w:eastAsia="Times New Roman" w:hAnsi="Times New Roman" w:cs="Times New Roman"/>
          <w:b/>
          <w:sz w:val="24"/>
          <w:szCs w:val="24"/>
        </w:rPr>
      </w:pPr>
      <w:r w:rsidRPr="008B7340">
        <w:rPr>
          <w:rFonts w:ascii="Times New Roman" w:eastAsia="Times New Roman" w:hAnsi="Times New Roman" w:cs="Times New Roman"/>
          <w:b/>
          <w:sz w:val="24"/>
          <w:szCs w:val="24"/>
        </w:rPr>
        <w:t>Conclusion</w:t>
      </w:r>
    </w:p>
    <w:p w14:paraId="134FF468" w14:textId="77777777" w:rsidR="00365DA8" w:rsidRPr="00365DA8" w:rsidRDefault="00365DA8" w:rsidP="00365DA8">
      <w:pPr>
        <w:spacing w:after="0" w:line="240" w:lineRule="auto"/>
        <w:rPr>
          <w:rFonts w:ascii="Times New Roman" w:eastAsia="Times New Roman" w:hAnsi="Times New Roman" w:cs="Times New Roman"/>
          <w:b/>
          <w:sz w:val="24"/>
          <w:szCs w:val="24"/>
        </w:rPr>
      </w:pPr>
      <w:r w:rsidRPr="00365DA8">
        <w:rPr>
          <w:rFonts w:ascii="Times New Roman" w:hAnsi="Times New Roman" w:cs="Times New Roman"/>
          <w:sz w:val="24"/>
          <w:szCs w:val="24"/>
        </w:rPr>
        <w:t xml:space="preserve">The application of </w:t>
      </w:r>
      <w:r w:rsidRPr="00365DA8">
        <w:rPr>
          <w:rStyle w:val="Strong"/>
          <w:rFonts w:ascii="Times New Roman" w:hAnsi="Times New Roman" w:cs="Times New Roman"/>
          <w:b w:val="0"/>
          <w:sz w:val="24"/>
          <w:szCs w:val="24"/>
        </w:rPr>
        <w:t>IBA @ 3500 ppm (T</w:t>
      </w:r>
      <w:r w:rsidRPr="00365DA8">
        <w:rPr>
          <w:rStyle w:val="Strong"/>
          <w:rFonts w:ascii="Cambria Math" w:hAnsi="Cambria Math" w:cs="Times New Roman"/>
          <w:b w:val="0"/>
          <w:sz w:val="24"/>
          <w:szCs w:val="24"/>
        </w:rPr>
        <w:t>₃</w:t>
      </w:r>
      <w:r w:rsidRPr="00365DA8">
        <w:rPr>
          <w:rStyle w:val="Strong"/>
          <w:rFonts w:ascii="Times New Roman" w:hAnsi="Times New Roman" w:cs="Times New Roman"/>
          <w:b w:val="0"/>
          <w:sz w:val="24"/>
          <w:szCs w:val="24"/>
        </w:rPr>
        <w:t>)</w:t>
      </w:r>
      <w:r w:rsidRPr="00365DA8">
        <w:rPr>
          <w:rFonts w:ascii="Times New Roman" w:hAnsi="Times New Roman" w:cs="Times New Roman"/>
          <w:sz w:val="24"/>
          <w:szCs w:val="24"/>
        </w:rPr>
        <w:t xml:space="preserve"> proved to be the most effective treatment across all evaluated parameters, significantly improving sprouting, shoot growth, biomass accumulation</w:t>
      </w:r>
      <w:r w:rsidR="00AA6C10">
        <w:rPr>
          <w:rFonts w:ascii="Times New Roman" w:hAnsi="Times New Roman" w:cs="Times New Roman"/>
          <w:sz w:val="24"/>
          <w:szCs w:val="24"/>
        </w:rPr>
        <w:t xml:space="preserve"> and</w:t>
      </w:r>
      <w:r w:rsidRPr="00365DA8">
        <w:rPr>
          <w:rFonts w:ascii="Times New Roman" w:hAnsi="Times New Roman" w:cs="Times New Roman"/>
          <w:sz w:val="24"/>
          <w:szCs w:val="24"/>
        </w:rPr>
        <w:t xml:space="preserve"> survival percentage in fig hardwood cuttings. This was followed </w:t>
      </w:r>
      <w:r w:rsidRPr="002A4917">
        <w:rPr>
          <w:rFonts w:ascii="Times New Roman" w:hAnsi="Times New Roman" w:cs="Times New Roman"/>
          <w:bCs/>
          <w:sz w:val="24"/>
          <w:szCs w:val="24"/>
        </w:rPr>
        <w:t>by</w:t>
      </w:r>
      <w:r w:rsidRPr="00365DA8">
        <w:rPr>
          <w:rFonts w:ascii="Times New Roman" w:hAnsi="Times New Roman" w:cs="Times New Roman"/>
          <w:b/>
          <w:sz w:val="24"/>
          <w:szCs w:val="24"/>
        </w:rPr>
        <w:t xml:space="preserve"> </w:t>
      </w:r>
      <w:r w:rsidRPr="00365DA8">
        <w:rPr>
          <w:rStyle w:val="Strong"/>
          <w:rFonts w:ascii="Times New Roman" w:hAnsi="Times New Roman" w:cs="Times New Roman"/>
          <w:b w:val="0"/>
          <w:sz w:val="24"/>
          <w:szCs w:val="24"/>
        </w:rPr>
        <w:t>IBA @ 2500 ppm (T</w:t>
      </w:r>
      <w:r w:rsidRPr="00365DA8">
        <w:rPr>
          <w:rStyle w:val="Strong"/>
          <w:rFonts w:ascii="Cambria Math" w:hAnsi="Cambria Math" w:cs="Times New Roman"/>
          <w:b w:val="0"/>
          <w:sz w:val="24"/>
          <w:szCs w:val="24"/>
        </w:rPr>
        <w:t>₂</w:t>
      </w:r>
      <w:r w:rsidRPr="00365DA8">
        <w:rPr>
          <w:rStyle w:val="Strong"/>
          <w:rFonts w:ascii="Times New Roman" w:hAnsi="Times New Roman" w:cs="Times New Roman"/>
          <w:b w:val="0"/>
          <w:sz w:val="24"/>
          <w:szCs w:val="24"/>
        </w:rPr>
        <w:t>)</w:t>
      </w:r>
      <w:r w:rsidRPr="00365DA8">
        <w:rPr>
          <w:rFonts w:ascii="Times New Roman" w:hAnsi="Times New Roman" w:cs="Times New Roman"/>
          <w:b/>
          <w:sz w:val="24"/>
          <w:szCs w:val="24"/>
        </w:rPr>
        <w:t xml:space="preserve"> </w:t>
      </w:r>
      <w:r w:rsidRPr="00365DA8">
        <w:rPr>
          <w:rFonts w:ascii="Times New Roman" w:hAnsi="Times New Roman" w:cs="Times New Roman"/>
          <w:sz w:val="24"/>
          <w:szCs w:val="24"/>
        </w:rPr>
        <w:t xml:space="preserve">and </w:t>
      </w:r>
      <w:r w:rsidRPr="00365DA8">
        <w:rPr>
          <w:rStyle w:val="Strong"/>
          <w:rFonts w:ascii="Times New Roman" w:hAnsi="Times New Roman" w:cs="Times New Roman"/>
          <w:b w:val="0"/>
          <w:sz w:val="24"/>
          <w:szCs w:val="24"/>
        </w:rPr>
        <w:t>IBA @ 1500 ppm (T</w:t>
      </w:r>
      <w:r w:rsidRPr="00365DA8">
        <w:rPr>
          <w:rStyle w:val="Strong"/>
          <w:rFonts w:ascii="Times New Roman" w:hAnsi="Cambria Math" w:cs="Times New Roman"/>
          <w:b w:val="0"/>
          <w:sz w:val="24"/>
          <w:szCs w:val="24"/>
        </w:rPr>
        <w:t>₆</w:t>
      </w:r>
      <w:r w:rsidRPr="00365DA8">
        <w:rPr>
          <w:rStyle w:val="Strong"/>
          <w:rFonts w:ascii="Times New Roman" w:hAnsi="Times New Roman" w:cs="Times New Roman"/>
          <w:b w:val="0"/>
          <w:sz w:val="24"/>
          <w:szCs w:val="24"/>
        </w:rPr>
        <w:t>)</w:t>
      </w:r>
      <w:r w:rsidRPr="00365DA8">
        <w:rPr>
          <w:rFonts w:ascii="Times New Roman" w:hAnsi="Times New Roman" w:cs="Times New Roman"/>
          <w:b/>
          <w:sz w:val="24"/>
          <w:szCs w:val="24"/>
        </w:rPr>
        <w:t>.</w:t>
      </w:r>
      <w:r w:rsidRPr="00365DA8">
        <w:rPr>
          <w:rFonts w:ascii="Times New Roman" w:hAnsi="Times New Roman" w:cs="Times New Roman"/>
          <w:sz w:val="24"/>
          <w:szCs w:val="24"/>
        </w:rPr>
        <w:t xml:space="preserve"> The control treatment consistently recorded the lowest values, indicating the necessity of auxin enrichment for successful clonal propagation in fig.</w:t>
      </w:r>
    </w:p>
    <w:p w14:paraId="7D5FE5FC" w14:textId="77777777" w:rsidR="00EF7AAB" w:rsidRPr="00F41C09" w:rsidRDefault="00EF7AAB" w:rsidP="00143764">
      <w:pPr>
        <w:spacing w:after="0" w:line="240" w:lineRule="auto"/>
        <w:ind w:firstLine="0"/>
        <w:rPr>
          <w:rFonts w:ascii="Times New Roman" w:eastAsia="Times New Roman" w:hAnsi="Times New Roman" w:cs="Times New Roman"/>
          <w:sz w:val="24"/>
          <w:szCs w:val="24"/>
        </w:rPr>
      </w:pPr>
      <w:r w:rsidRPr="00F41C09">
        <w:rPr>
          <w:rFonts w:ascii="Times New Roman" w:eastAsia="Times New Roman" w:hAnsi="Times New Roman" w:cs="Times New Roman"/>
          <w:b/>
          <w:bCs/>
          <w:sz w:val="24"/>
          <w:szCs w:val="24"/>
        </w:rPr>
        <w:t>Acknowledgement</w:t>
      </w:r>
    </w:p>
    <w:p w14:paraId="6306FB31" w14:textId="77777777" w:rsidR="00EF7AAB" w:rsidRPr="00BE52D1" w:rsidRDefault="00EF7AAB" w:rsidP="00143764">
      <w:pPr>
        <w:spacing w:after="0" w:line="240" w:lineRule="auto"/>
        <w:rPr>
          <w:rFonts w:ascii="Times New Roman" w:eastAsia="Times New Roman" w:hAnsi="Times New Roman" w:cs="Times New Roman"/>
          <w:sz w:val="24"/>
          <w:szCs w:val="24"/>
        </w:rPr>
      </w:pPr>
      <w:r w:rsidRPr="00F41C09">
        <w:rPr>
          <w:rFonts w:ascii="Times New Roman" w:eastAsia="Times New Roman" w:hAnsi="Times New Roman" w:cs="Times New Roman"/>
          <w:sz w:val="24"/>
          <w:szCs w:val="24"/>
        </w:rPr>
        <w:t>The authors thank the Department of Horticulture, Annamalai University, for providing facilities and support. We also ack</w:t>
      </w:r>
      <w:r>
        <w:rPr>
          <w:rFonts w:ascii="Times New Roman" w:eastAsia="Times New Roman" w:hAnsi="Times New Roman" w:cs="Times New Roman"/>
          <w:sz w:val="24"/>
          <w:szCs w:val="24"/>
        </w:rPr>
        <w:t xml:space="preserve">nowledge the farmers of </w:t>
      </w:r>
      <w:proofErr w:type="spellStart"/>
      <w:r>
        <w:rPr>
          <w:rFonts w:ascii="Times New Roman" w:eastAsia="Times New Roman" w:hAnsi="Times New Roman" w:cs="Times New Roman"/>
          <w:sz w:val="24"/>
          <w:szCs w:val="24"/>
        </w:rPr>
        <w:t>Karavalli</w:t>
      </w:r>
      <w:proofErr w:type="spellEnd"/>
      <w:r w:rsidRPr="00F41C09">
        <w:rPr>
          <w:rFonts w:ascii="Times New Roman" w:eastAsia="Times New Roman" w:hAnsi="Times New Roman" w:cs="Times New Roman"/>
          <w:sz w:val="24"/>
          <w:szCs w:val="24"/>
        </w:rPr>
        <w:t xml:space="preserve"> village for their cooperation during the study.</w:t>
      </w:r>
    </w:p>
    <w:p w14:paraId="1DDF7061" w14:textId="376A3B79" w:rsidR="00EF7AAB" w:rsidRPr="00F16A23" w:rsidRDefault="00EF7AAB" w:rsidP="00BD1BBC">
      <w:pPr>
        <w:spacing w:after="0" w:line="240" w:lineRule="auto"/>
        <w:ind w:firstLine="0"/>
        <w:rPr>
          <w:rFonts w:ascii="Times New Roman" w:eastAsia="Times New Roman" w:hAnsi="Times New Roman" w:cs="Times New Roman"/>
          <w:b/>
          <w:sz w:val="24"/>
          <w:szCs w:val="24"/>
        </w:rPr>
      </w:pPr>
      <w:r w:rsidRPr="00F16A23">
        <w:rPr>
          <w:rFonts w:ascii="Times New Roman" w:eastAsia="Times New Roman" w:hAnsi="Times New Roman" w:cs="Times New Roman"/>
          <w:b/>
          <w:sz w:val="24"/>
          <w:szCs w:val="24"/>
        </w:rPr>
        <w:t xml:space="preserve">Conflict of </w:t>
      </w:r>
      <w:r w:rsidR="008A79D1" w:rsidRPr="00F16A23">
        <w:rPr>
          <w:rFonts w:ascii="Times New Roman" w:eastAsia="Times New Roman" w:hAnsi="Times New Roman" w:cs="Times New Roman"/>
          <w:b/>
          <w:sz w:val="24"/>
          <w:szCs w:val="24"/>
        </w:rPr>
        <w:t>interest</w:t>
      </w:r>
    </w:p>
    <w:p w14:paraId="1FE6EA18" w14:textId="19A805ED" w:rsidR="002B29DA" w:rsidRDefault="00EF7AAB" w:rsidP="00BD1BBC">
      <w:pPr>
        <w:spacing w:after="0" w:line="240" w:lineRule="auto"/>
        <w:rPr>
          <w:rFonts w:ascii="Times New Roman" w:hAnsi="Times New Roman" w:cs="Times New Roman"/>
          <w:sz w:val="24"/>
          <w:szCs w:val="24"/>
        </w:rPr>
      </w:pPr>
      <w:r w:rsidRPr="00F16A23">
        <w:rPr>
          <w:rFonts w:ascii="Times New Roman" w:hAnsi="Times New Roman" w:cs="Times New Roman"/>
          <w:sz w:val="24"/>
          <w:szCs w:val="24"/>
        </w:rPr>
        <w:t>The authors declare that there is no conflict of interest regarding the publication of this manuscript.</w:t>
      </w:r>
    </w:p>
    <w:p w14:paraId="250FAFCD" w14:textId="77777777" w:rsidR="00D562AE" w:rsidRPr="00D562AE" w:rsidRDefault="00D562AE" w:rsidP="00D562AE">
      <w:pPr>
        <w:pStyle w:val="NormalWeb"/>
        <w:spacing w:before="0" w:beforeAutospacing="0" w:after="0" w:afterAutospacing="0" w:line="360" w:lineRule="auto"/>
        <w:jc w:val="both"/>
        <w:rPr>
          <w:b/>
          <w:bCs/>
        </w:rPr>
      </w:pPr>
      <w:r w:rsidRPr="00D562AE">
        <w:rPr>
          <w:b/>
          <w:bCs/>
        </w:rPr>
        <w:t>Author contribution statement</w:t>
      </w:r>
    </w:p>
    <w:p w14:paraId="1D1640B6" w14:textId="3B10F3E2" w:rsidR="00D562AE" w:rsidRDefault="00D562AE" w:rsidP="00D562AE">
      <w:pPr>
        <w:pStyle w:val="NormalWeb"/>
        <w:spacing w:before="0" w:beforeAutospacing="0" w:after="0" w:afterAutospacing="0" w:line="360" w:lineRule="auto"/>
        <w:jc w:val="both"/>
        <w:rPr>
          <w:lang w:val="en-IN"/>
        </w:rPr>
      </w:pPr>
      <w:r>
        <w:rPr>
          <w:lang w:val="en-IN"/>
        </w:rPr>
        <w:tab/>
      </w:r>
      <w:proofErr w:type="spellStart"/>
      <w:r w:rsidRPr="00D562AE">
        <w:rPr>
          <w:lang w:val="en-IN"/>
        </w:rPr>
        <w:t>Muruganandam</w:t>
      </w:r>
      <w:proofErr w:type="spellEnd"/>
      <w:r w:rsidRPr="00D562AE">
        <w:rPr>
          <w:lang w:val="en-IN"/>
        </w:rPr>
        <w:t xml:space="preserve"> C and </w:t>
      </w:r>
      <w:proofErr w:type="spellStart"/>
      <w:r w:rsidRPr="00D562AE">
        <w:rPr>
          <w:lang w:val="en-IN"/>
        </w:rPr>
        <w:t>Sharvesh</w:t>
      </w:r>
      <w:proofErr w:type="spellEnd"/>
      <w:r w:rsidRPr="00D562AE">
        <w:rPr>
          <w:lang w:val="en-IN"/>
        </w:rPr>
        <w:t xml:space="preserve"> S designed the article. </w:t>
      </w:r>
      <w:proofErr w:type="spellStart"/>
      <w:r w:rsidRPr="00D562AE">
        <w:rPr>
          <w:lang w:val="en-IN"/>
        </w:rPr>
        <w:t>Sharvesh</w:t>
      </w:r>
      <w:proofErr w:type="spellEnd"/>
      <w:r w:rsidRPr="00D562AE">
        <w:rPr>
          <w:lang w:val="en-IN"/>
        </w:rPr>
        <w:t xml:space="preserve"> S, </w:t>
      </w:r>
      <w:proofErr w:type="spellStart"/>
      <w:r w:rsidRPr="00D562AE">
        <w:rPr>
          <w:lang w:val="en-IN"/>
        </w:rPr>
        <w:t>Kalidasan</w:t>
      </w:r>
      <w:proofErr w:type="spellEnd"/>
      <w:r w:rsidRPr="00D562AE">
        <w:rPr>
          <w:lang w:val="en-IN"/>
        </w:rPr>
        <w:t xml:space="preserve"> T and </w:t>
      </w:r>
      <w:proofErr w:type="spellStart"/>
      <w:r w:rsidRPr="00D562AE">
        <w:rPr>
          <w:lang w:val="en-IN"/>
        </w:rPr>
        <w:t>Vallarasu</w:t>
      </w:r>
      <w:proofErr w:type="spellEnd"/>
      <w:r w:rsidRPr="00D562AE">
        <w:rPr>
          <w:lang w:val="en-IN"/>
        </w:rPr>
        <w:t xml:space="preserve"> V performed literature mining and prepared the draft manuscript. Sharvesh S reviewed and edited the manuscript. All authors have read and approved the final manuscript.</w:t>
      </w:r>
    </w:p>
    <w:p w14:paraId="3E17E3CF" w14:textId="77777777" w:rsidR="00B609F2" w:rsidRDefault="00B609F2" w:rsidP="00B609F2">
      <w:pPr>
        <w:rPr>
          <w:highlight w:val="yellow"/>
        </w:rPr>
      </w:pPr>
      <w:r>
        <w:rPr>
          <w:highlight w:val="yellow"/>
        </w:rPr>
        <w:t>Disclaimer (Artificial intelligence)</w:t>
      </w:r>
    </w:p>
    <w:p w14:paraId="358B591C" w14:textId="77777777" w:rsidR="00B609F2" w:rsidRDefault="00B609F2" w:rsidP="00B609F2">
      <w:pPr>
        <w:rPr>
          <w:highlight w:val="yellow"/>
        </w:rPr>
      </w:pPr>
      <w:r>
        <w:rPr>
          <w:highlight w:val="yellow"/>
        </w:rPr>
        <w:lastRenderedPageBreak/>
        <w:t>Author(s) hereby declare that NO generative AI technologies such as Large Language Models (</w:t>
      </w:r>
      <w:proofErr w:type="spellStart"/>
      <w:r>
        <w:rPr>
          <w:highlight w:val="yellow"/>
        </w:rPr>
        <w:t>ChatGPT</w:t>
      </w:r>
      <w:proofErr w:type="spellEnd"/>
      <w:r>
        <w:rPr>
          <w:highlight w:val="yellow"/>
        </w:rPr>
        <w:t xml:space="preserve">, COPILOT, etc.) and text-to-image generators have been used during the writing or editing of this manuscript. </w:t>
      </w:r>
    </w:p>
    <w:p w14:paraId="3DE66A01" w14:textId="77777777" w:rsidR="00B609F2" w:rsidRDefault="00B609F2" w:rsidP="00B609F2"/>
    <w:p w14:paraId="1468E88A" w14:textId="77777777" w:rsidR="00B609F2" w:rsidRPr="00D562AE" w:rsidRDefault="00B609F2" w:rsidP="00D562AE">
      <w:pPr>
        <w:pStyle w:val="NormalWeb"/>
        <w:spacing w:before="0" w:beforeAutospacing="0" w:after="0" w:afterAutospacing="0" w:line="360" w:lineRule="auto"/>
        <w:jc w:val="both"/>
        <w:rPr>
          <w:lang w:val="en-IN"/>
        </w:rPr>
      </w:pPr>
    </w:p>
    <w:p w14:paraId="78AF5EAD" w14:textId="77777777" w:rsidR="00A07FF9" w:rsidRDefault="003C1CB8" w:rsidP="00BD1BBC">
      <w:pPr>
        <w:pStyle w:val="ds-markdown-paragraph"/>
        <w:shd w:val="clear" w:color="auto" w:fill="FFFFFF"/>
        <w:spacing w:before="0" w:beforeAutospacing="0" w:after="0" w:afterAutospacing="0"/>
        <w:jc w:val="both"/>
        <w:rPr>
          <w:b/>
          <w:color w:val="000000" w:themeColor="text1"/>
        </w:rPr>
      </w:pPr>
      <w:r w:rsidRPr="003C1CB8">
        <w:rPr>
          <w:b/>
          <w:color w:val="000000" w:themeColor="text1"/>
        </w:rPr>
        <w:t xml:space="preserve">Reference </w:t>
      </w:r>
    </w:p>
    <w:p w14:paraId="7AD00962" w14:textId="77777777" w:rsidR="003C1CB8" w:rsidRPr="003C1CB8" w:rsidRDefault="003C1CB8" w:rsidP="00EF7AAB">
      <w:pPr>
        <w:pStyle w:val="ds-markdown-paragraph"/>
        <w:shd w:val="clear" w:color="auto" w:fill="FFFFFF"/>
        <w:spacing w:before="0" w:beforeAutospacing="0" w:after="0" w:afterAutospacing="0"/>
        <w:jc w:val="both"/>
        <w:rPr>
          <w:b/>
          <w:color w:val="000000" w:themeColor="text1"/>
        </w:rPr>
      </w:pPr>
    </w:p>
    <w:p w14:paraId="0735100C"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Abbo, S., Gopher, A., &amp; Lev-</w:t>
      </w:r>
      <w:proofErr w:type="spellStart"/>
      <w:r w:rsidRPr="008A79D1">
        <w:rPr>
          <w:lang w:val="en-IN"/>
        </w:rPr>
        <w:t>Yadun</w:t>
      </w:r>
      <w:proofErr w:type="spellEnd"/>
      <w:r w:rsidRPr="008A79D1">
        <w:rPr>
          <w:lang w:val="en-IN"/>
        </w:rPr>
        <w:t xml:space="preserve">, S. (2015). Fruit domestication in the Near East. </w:t>
      </w:r>
      <w:r w:rsidRPr="008A79D1">
        <w:rPr>
          <w:i/>
          <w:iCs/>
          <w:lang w:val="en-IN"/>
        </w:rPr>
        <w:t>Plant Breeding Reviews, 39</w:t>
      </w:r>
      <w:r w:rsidRPr="008A79D1">
        <w:rPr>
          <w:lang w:val="en-IN"/>
        </w:rPr>
        <w:t>, 325–378.</w:t>
      </w:r>
    </w:p>
    <w:p w14:paraId="19B5602C"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Baghel, M., Raut, U. A., &amp; Ramteke, V. (2016). Effect of IBA concentrations and time of air-layering in guava cv. L-49. </w:t>
      </w:r>
      <w:r w:rsidRPr="008A79D1">
        <w:rPr>
          <w:i/>
          <w:iCs/>
          <w:lang w:val="en-IN"/>
        </w:rPr>
        <w:t>Research Journal of Agricultural Sciences, 7</w:t>
      </w:r>
      <w:r w:rsidRPr="008A79D1">
        <w:rPr>
          <w:lang w:val="en-IN"/>
        </w:rPr>
        <w:t>(1), 117–120.</w:t>
      </w:r>
    </w:p>
    <w:p w14:paraId="5E373A3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Bhosale, V. P., Shinde, S. M., </w:t>
      </w:r>
      <w:proofErr w:type="spellStart"/>
      <w:r w:rsidRPr="008A79D1">
        <w:rPr>
          <w:lang w:val="en-IN"/>
        </w:rPr>
        <w:t>Turkhade</w:t>
      </w:r>
      <w:proofErr w:type="spellEnd"/>
      <w:r w:rsidRPr="008A79D1">
        <w:rPr>
          <w:lang w:val="en-IN"/>
        </w:rPr>
        <w:t>, P. D., Deshmukh, S. B., &amp; Sawant, S. N. (2014). Response of different media and PGRs on rooting and survival of air layers in pomegranate (</w:t>
      </w:r>
      <w:r w:rsidRPr="008A79D1">
        <w:rPr>
          <w:i/>
          <w:iCs/>
          <w:lang w:val="en-IN"/>
        </w:rPr>
        <w:t>Punica granatum</w:t>
      </w:r>
      <w:r w:rsidRPr="008A79D1">
        <w:rPr>
          <w:lang w:val="en-IN"/>
        </w:rPr>
        <w:t xml:space="preserve"> L.) cv. Sindhuri. </w:t>
      </w:r>
      <w:r w:rsidRPr="008A79D1">
        <w:rPr>
          <w:i/>
          <w:iCs/>
          <w:lang w:val="en-IN"/>
        </w:rPr>
        <w:t>Annals of Horticulture, 7</w:t>
      </w:r>
      <w:r w:rsidRPr="008A79D1">
        <w:rPr>
          <w:lang w:val="en-IN"/>
        </w:rPr>
        <w:t>(1), 73–77.</w:t>
      </w:r>
    </w:p>
    <w:p w14:paraId="07C1661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Dahale, M., </w:t>
      </w:r>
      <w:proofErr w:type="spellStart"/>
      <w:r w:rsidRPr="008A79D1">
        <w:rPr>
          <w:lang w:val="en-IN"/>
        </w:rPr>
        <w:t>Ningot</w:t>
      </w:r>
      <w:proofErr w:type="spellEnd"/>
      <w:r w:rsidRPr="008A79D1">
        <w:rPr>
          <w:lang w:val="en-IN"/>
        </w:rPr>
        <w:t xml:space="preserve">, E. P., &amp; Deepa, N. M. (2018). Effect of plant growth regulators on rooting and survival of hardwood cuttings in fig. </w:t>
      </w:r>
      <w:r w:rsidRPr="008A79D1">
        <w:rPr>
          <w:i/>
          <w:iCs/>
          <w:lang w:val="en-IN"/>
        </w:rPr>
        <w:t>International Journal of Current Microbiology and Applied Sciences, 5</w:t>
      </w:r>
      <w:r w:rsidRPr="008A79D1">
        <w:rPr>
          <w:lang w:val="en-IN"/>
        </w:rPr>
        <w:t>, 2386–2391.</w:t>
      </w:r>
    </w:p>
    <w:p w14:paraId="217546FC" w14:textId="77777777" w:rsidR="00B737E0" w:rsidRPr="008A79D1" w:rsidRDefault="00B737E0" w:rsidP="008A79D1">
      <w:pPr>
        <w:pStyle w:val="NormalWeb"/>
        <w:spacing w:before="0" w:beforeAutospacing="0" w:after="0" w:afterAutospacing="0"/>
        <w:ind w:left="720" w:hanging="720"/>
        <w:jc w:val="both"/>
        <w:rPr>
          <w:lang w:val="en-IN"/>
        </w:rPr>
      </w:pPr>
      <w:r w:rsidRPr="00645D03">
        <w:rPr>
          <w:lang w:val="en-IN"/>
        </w:rPr>
        <w:t xml:space="preserve">Dhand, A., Kaur, V., &amp; Kaur, A. (2019). </w:t>
      </w:r>
      <w:r w:rsidRPr="008A79D1">
        <w:rPr>
          <w:lang w:val="en-IN"/>
        </w:rPr>
        <w:t xml:space="preserve">Effect of IBA and sucrose on performance of cuttings in pear cv. </w:t>
      </w:r>
      <w:proofErr w:type="spellStart"/>
      <w:r w:rsidRPr="008A79D1">
        <w:rPr>
          <w:lang w:val="en-IN"/>
        </w:rPr>
        <w:t>Patharnakh</w:t>
      </w:r>
      <w:proofErr w:type="spellEnd"/>
      <w:r w:rsidRPr="008A79D1">
        <w:rPr>
          <w:lang w:val="en-IN"/>
        </w:rPr>
        <w:t xml:space="preserve">. </w:t>
      </w:r>
      <w:r w:rsidRPr="008A79D1">
        <w:rPr>
          <w:i/>
          <w:iCs/>
          <w:lang w:val="en-IN"/>
        </w:rPr>
        <w:t>International Journal of Current Microbiology and Applied Sciences, 8</w:t>
      </w:r>
      <w:r w:rsidRPr="008A79D1">
        <w:rPr>
          <w:lang w:val="en-IN"/>
        </w:rPr>
        <w:t>(7), 545–551.</w:t>
      </w:r>
    </w:p>
    <w:p w14:paraId="2B30FCDA"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Fazli Wahab, Nabi, G., Ali, N., &amp; Shah, M. (2001). Rooting response of semi-hardwood cuttings of guava (</w:t>
      </w:r>
      <w:r w:rsidRPr="008A79D1">
        <w:rPr>
          <w:i/>
          <w:iCs/>
          <w:lang w:val="en-IN"/>
        </w:rPr>
        <w:t>Psidium guajava</w:t>
      </w:r>
      <w:r w:rsidRPr="008A79D1">
        <w:rPr>
          <w:lang w:val="en-IN"/>
        </w:rPr>
        <w:t xml:space="preserve"> L.) to various concentrations of different auxins. </w:t>
      </w:r>
      <w:r w:rsidRPr="008A79D1">
        <w:rPr>
          <w:i/>
          <w:iCs/>
          <w:lang w:val="en-IN"/>
        </w:rPr>
        <w:t>Online Journal of Biological Sciences, 1</w:t>
      </w:r>
      <w:r w:rsidRPr="008A79D1">
        <w:rPr>
          <w:lang w:val="en-IN"/>
        </w:rPr>
        <w:t>(4), 184–187.</w:t>
      </w:r>
    </w:p>
    <w:p w14:paraId="1160FFBB"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Gayathiri, M., &amp; Vijayaraj, S. (2020). Response of plant growth regulators on rooting of hardwood cuttings in guava (</w:t>
      </w:r>
      <w:r w:rsidRPr="008A79D1">
        <w:rPr>
          <w:i/>
          <w:iCs/>
          <w:lang w:val="en-IN"/>
        </w:rPr>
        <w:t>Psidium guajava</w:t>
      </w:r>
      <w:r w:rsidRPr="008A79D1">
        <w:rPr>
          <w:lang w:val="en-IN"/>
        </w:rPr>
        <w:t xml:space="preserve"> L.) cv. Lucknow-49. </w:t>
      </w:r>
      <w:r w:rsidRPr="008A79D1">
        <w:rPr>
          <w:i/>
          <w:iCs/>
          <w:lang w:val="en-IN"/>
        </w:rPr>
        <w:t>Plant Archives, 20</w:t>
      </w:r>
      <w:r w:rsidRPr="008A79D1">
        <w:rPr>
          <w:lang w:val="en-IN"/>
        </w:rPr>
        <w:t>(1), 3011–3013.</w:t>
      </w:r>
    </w:p>
    <w:p w14:paraId="513F55D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Ghosh, A., Dey, K., Mani, A., Bauri, F. K., &amp; Mishra, D. K. (2017). Efficacy of different levels of IBA and NAA on rooting of phalsa (</w:t>
      </w:r>
      <w:r w:rsidRPr="008A79D1">
        <w:rPr>
          <w:i/>
          <w:iCs/>
          <w:lang w:val="en-IN"/>
        </w:rPr>
        <w:t>Grewia asiatica</w:t>
      </w:r>
      <w:r w:rsidRPr="008A79D1">
        <w:rPr>
          <w:lang w:val="en-IN"/>
        </w:rPr>
        <w:t xml:space="preserve"> L.) cuttings. </w:t>
      </w:r>
      <w:r w:rsidRPr="008A79D1">
        <w:rPr>
          <w:i/>
          <w:iCs/>
          <w:lang w:val="en-IN"/>
        </w:rPr>
        <w:t>International Journal of Chemical Studies, 5</w:t>
      </w:r>
      <w:r w:rsidRPr="008A79D1">
        <w:rPr>
          <w:lang w:val="en-IN"/>
        </w:rPr>
        <w:t>(6), 567–571.</w:t>
      </w:r>
    </w:p>
    <w:p w14:paraId="05CC0533"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Gollagi</w:t>
      </w:r>
      <w:proofErr w:type="spellEnd"/>
      <w:r w:rsidRPr="008A79D1">
        <w:rPr>
          <w:lang w:val="en-IN"/>
        </w:rPr>
        <w:t>, S. G., Ravi, G. K., Veena, G. L., &amp; Muralidhara, B. M. (2019). Role of plant growth regulators in guava (</w:t>
      </w:r>
      <w:r w:rsidRPr="008A79D1">
        <w:rPr>
          <w:i/>
          <w:iCs/>
          <w:lang w:val="en-IN"/>
        </w:rPr>
        <w:t>Psidium guajava</w:t>
      </w:r>
      <w:r w:rsidRPr="008A79D1">
        <w:rPr>
          <w:lang w:val="en-IN"/>
        </w:rPr>
        <w:t xml:space="preserve"> L.) cultivation. </w:t>
      </w:r>
      <w:r w:rsidRPr="008A79D1">
        <w:rPr>
          <w:i/>
          <w:iCs/>
          <w:lang w:val="en-IN"/>
        </w:rPr>
        <w:t>Journal of Pharmacognosy and Phytochemistry, 8</w:t>
      </w:r>
      <w:r w:rsidRPr="008A79D1">
        <w:rPr>
          <w:lang w:val="en-IN"/>
        </w:rPr>
        <w:t>(3), 805–808.</w:t>
      </w:r>
    </w:p>
    <w:p w14:paraId="7EF039EF"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Hamed, M., Khalifa, M., El </w:t>
      </w:r>
      <w:proofErr w:type="spellStart"/>
      <w:r w:rsidRPr="008A79D1">
        <w:rPr>
          <w:lang w:val="en-IN"/>
        </w:rPr>
        <w:t>Hassab</w:t>
      </w:r>
      <w:proofErr w:type="spellEnd"/>
      <w:r w:rsidRPr="008A79D1">
        <w:rPr>
          <w:lang w:val="en-IN"/>
        </w:rPr>
        <w:t xml:space="preserve">, M. A., </w:t>
      </w:r>
      <w:proofErr w:type="spellStart"/>
      <w:r w:rsidRPr="008A79D1">
        <w:rPr>
          <w:lang w:val="en-IN"/>
        </w:rPr>
        <w:t>Abourehab</w:t>
      </w:r>
      <w:proofErr w:type="spellEnd"/>
      <w:r w:rsidRPr="008A79D1">
        <w:rPr>
          <w:lang w:val="en-IN"/>
        </w:rPr>
        <w:t xml:space="preserve">, M. A., Al Kamaly, O., Alanazi, A. S., &amp; Mansour, F. R. (2023). The potential roles of </w:t>
      </w:r>
      <w:r w:rsidRPr="008A79D1">
        <w:rPr>
          <w:i/>
          <w:iCs/>
          <w:lang w:val="en-IN"/>
        </w:rPr>
        <w:t>Ficus carica</w:t>
      </w:r>
      <w:r w:rsidRPr="008A79D1">
        <w:rPr>
          <w:lang w:val="en-IN"/>
        </w:rPr>
        <w:t xml:space="preserve"> extract in the management of COVID-19 viral infections: A computer-aided drug design study. </w:t>
      </w:r>
      <w:r w:rsidRPr="008A79D1">
        <w:rPr>
          <w:i/>
          <w:iCs/>
          <w:lang w:val="en-IN"/>
        </w:rPr>
        <w:t>Current Computer-Aided Drug Design, 20</w:t>
      </w:r>
      <w:r w:rsidRPr="008A79D1">
        <w:rPr>
          <w:lang w:val="en-IN"/>
        </w:rPr>
        <w:t>, 974–987.</w:t>
      </w:r>
    </w:p>
    <w:p w14:paraId="60EB7FCE"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Hssaini, L., </w:t>
      </w:r>
      <w:proofErr w:type="spellStart"/>
      <w:r w:rsidRPr="008A79D1">
        <w:rPr>
          <w:lang w:val="en-IN"/>
        </w:rPr>
        <w:t>Charafi</w:t>
      </w:r>
      <w:proofErr w:type="spellEnd"/>
      <w:r w:rsidRPr="008A79D1">
        <w:rPr>
          <w:lang w:val="en-IN"/>
        </w:rPr>
        <w:t xml:space="preserve">, J., </w:t>
      </w:r>
      <w:proofErr w:type="spellStart"/>
      <w:r w:rsidRPr="008A79D1">
        <w:rPr>
          <w:lang w:val="en-IN"/>
        </w:rPr>
        <w:t>Razouk</w:t>
      </w:r>
      <w:proofErr w:type="spellEnd"/>
      <w:r w:rsidRPr="008A79D1">
        <w:rPr>
          <w:lang w:val="en-IN"/>
        </w:rPr>
        <w:t xml:space="preserve">, R., Hernández, F., </w:t>
      </w:r>
      <w:proofErr w:type="spellStart"/>
      <w:r w:rsidRPr="008A79D1">
        <w:rPr>
          <w:lang w:val="en-IN"/>
        </w:rPr>
        <w:t>Fauconnier</w:t>
      </w:r>
      <w:proofErr w:type="spellEnd"/>
      <w:r w:rsidRPr="008A79D1">
        <w:rPr>
          <w:lang w:val="en-IN"/>
        </w:rPr>
        <w:t xml:space="preserve">, M. L., </w:t>
      </w:r>
      <w:proofErr w:type="spellStart"/>
      <w:r w:rsidRPr="008A79D1">
        <w:rPr>
          <w:lang w:val="en-IN"/>
        </w:rPr>
        <w:t>Ennahli</w:t>
      </w:r>
      <w:proofErr w:type="spellEnd"/>
      <w:r w:rsidRPr="008A79D1">
        <w:rPr>
          <w:lang w:val="en-IN"/>
        </w:rPr>
        <w:t>, S., &amp; Hanine, H. (2020). Assessment of morphological traits and fruit metabolites in eleven fig varieties (</w:t>
      </w:r>
      <w:r w:rsidRPr="008A79D1">
        <w:rPr>
          <w:i/>
          <w:iCs/>
          <w:lang w:val="en-IN"/>
        </w:rPr>
        <w:t>Ficus carica</w:t>
      </w:r>
      <w:r w:rsidRPr="008A79D1">
        <w:rPr>
          <w:lang w:val="en-IN"/>
        </w:rPr>
        <w:t xml:space="preserve"> L.). </w:t>
      </w:r>
      <w:r w:rsidRPr="008A79D1">
        <w:rPr>
          <w:i/>
          <w:iCs/>
          <w:lang w:val="en-IN"/>
        </w:rPr>
        <w:t>International Journal of Fruit Science, 20</w:t>
      </w:r>
      <w:r w:rsidRPr="008A79D1">
        <w:rPr>
          <w:lang w:val="en-IN"/>
        </w:rPr>
        <w:t>(2), 8–28.</w:t>
      </w:r>
    </w:p>
    <w:p w14:paraId="4592F6F3" w14:textId="56199558"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Jeevanantham, V., Sharvesh, S., Sathappan, C. T., &amp; </w:t>
      </w:r>
      <w:proofErr w:type="spellStart"/>
      <w:r w:rsidRPr="008A79D1">
        <w:rPr>
          <w:lang w:val="en-IN"/>
        </w:rPr>
        <w:t>Muruganandham</w:t>
      </w:r>
      <w:proofErr w:type="spellEnd"/>
      <w:r w:rsidRPr="008A79D1">
        <w:rPr>
          <w:lang w:val="en-IN"/>
        </w:rPr>
        <w:t>, C. (2025). Effect of various potting media on growth characteristics of phalsa cuttings (</w:t>
      </w:r>
      <w:proofErr w:type="spellStart"/>
      <w:r w:rsidRPr="008A79D1">
        <w:rPr>
          <w:i/>
          <w:iCs/>
          <w:lang w:val="en-IN"/>
        </w:rPr>
        <w:t>Grewia</w:t>
      </w:r>
      <w:proofErr w:type="spellEnd"/>
      <w:r w:rsidRPr="008A79D1">
        <w:rPr>
          <w:i/>
          <w:iCs/>
          <w:lang w:val="en-IN"/>
        </w:rPr>
        <w:t xml:space="preserve"> </w:t>
      </w:r>
      <w:proofErr w:type="spellStart"/>
      <w:r w:rsidRPr="008A79D1">
        <w:rPr>
          <w:i/>
          <w:iCs/>
          <w:lang w:val="en-IN"/>
        </w:rPr>
        <w:t>subinaequalis</w:t>
      </w:r>
      <w:proofErr w:type="spellEnd"/>
      <w:r w:rsidRPr="008A79D1">
        <w:rPr>
          <w:lang w:val="en-IN"/>
        </w:rPr>
        <w:t xml:space="preserve"> L.). </w:t>
      </w:r>
      <w:r w:rsidRPr="008A79D1">
        <w:rPr>
          <w:i/>
          <w:iCs/>
          <w:lang w:val="en-IN"/>
        </w:rPr>
        <w:t>Journal of Krishi Vigyan</w:t>
      </w:r>
      <w:r w:rsidRPr="008A79D1">
        <w:rPr>
          <w:lang w:val="en-IN"/>
        </w:rPr>
        <w:t xml:space="preserve">. </w:t>
      </w:r>
      <w:hyperlink r:id="rId5" w:history="1">
        <w:r w:rsidR="003E6C1B" w:rsidRPr="00685C56">
          <w:rPr>
            <w:rStyle w:val="Hyperlink"/>
            <w:lang w:val="en-IN"/>
          </w:rPr>
          <w:t>https://doi.org/10.5958/2349-4433.2025.00054.8</w:t>
        </w:r>
      </w:hyperlink>
    </w:p>
    <w:p w14:paraId="32189E72"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lastRenderedPageBreak/>
        <w:t>Joseph, A. V., &amp; Sobhana, A. (2020). Propagation studies in passion fruit (</w:t>
      </w:r>
      <w:r w:rsidRPr="008A79D1">
        <w:rPr>
          <w:i/>
          <w:iCs/>
          <w:lang w:val="en-IN"/>
        </w:rPr>
        <w:t>Passiflora edulis</w:t>
      </w:r>
      <w:r w:rsidRPr="008A79D1">
        <w:rPr>
          <w:lang w:val="en-IN"/>
        </w:rPr>
        <w:t xml:space="preserve"> Sims.) using cuttings. </w:t>
      </w:r>
      <w:r w:rsidRPr="008A79D1">
        <w:rPr>
          <w:i/>
          <w:iCs/>
          <w:lang w:val="en-IN"/>
        </w:rPr>
        <w:t>European Journal of Medicinal Plants, 31</w:t>
      </w:r>
      <w:r w:rsidRPr="008A79D1">
        <w:rPr>
          <w:lang w:val="en-IN"/>
        </w:rPr>
        <w:t>(10), 57–63.</w:t>
      </w:r>
    </w:p>
    <w:p w14:paraId="758350E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Kaur, A., &amp; Kaur, A. (2017). Effect of IBA concentrations on success of cuttings of fig cv. Brown Turkey. </w:t>
      </w:r>
      <w:r w:rsidRPr="008A79D1">
        <w:rPr>
          <w:i/>
          <w:iCs/>
          <w:lang w:val="en-IN"/>
        </w:rPr>
        <w:t>International Journal of Recent Scientific Research, 8</w:t>
      </w:r>
      <w:r w:rsidRPr="008A79D1">
        <w:rPr>
          <w:lang w:val="en-IN"/>
        </w:rPr>
        <w:t>(11), 21576–21579.</w:t>
      </w:r>
    </w:p>
    <w:p w14:paraId="49C3B7C9"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Khapare</w:t>
      </w:r>
      <w:proofErr w:type="spellEnd"/>
      <w:r w:rsidRPr="008A79D1">
        <w:rPr>
          <w:lang w:val="en-IN"/>
        </w:rPr>
        <w:t xml:space="preserve">, L., Dahale, M., &amp; </w:t>
      </w:r>
      <w:proofErr w:type="spellStart"/>
      <w:r w:rsidRPr="008A79D1">
        <w:rPr>
          <w:lang w:val="en-IN"/>
        </w:rPr>
        <w:t>Bhusari</w:t>
      </w:r>
      <w:proofErr w:type="spellEnd"/>
      <w:r w:rsidRPr="008A79D1">
        <w:rPr>
          <w:lang w:val="en-IN"/>
        </w:rPr>
        <w:t>, R. (2012). Effect of plant growth regulators on rooting in cuttings of fig (</w:t>
      </w:r>
      <w:r w:rsidRPr="008A79D1">
        <w:rPr>
          <w:i/>
          <w:iCs/>
          <w:lang w:val="en-IN"/>
        </w:rPr>
        <w:t>Ficus carica</w:t>
      </w:r>
      <w:r w:rsidRPr="008A79D1">
        <w:rPr>
          <w:lang w:val="en-IN"/>
        </w:rPr>
        <w:t xml:space="preserve"> L.) cv. Dinker. </w:t>
      </w:r>
      <w:r w:rsidRPr="008A79D1">
        <w:rPr>
          <w:i/>
          <w:iCs/>
          <w:lang w:val="en-IN"/>
        </w:rPr>
        <w:t>Asian Science, 1</w:t>
      </w:r>
      <w:r w:rsidRPr="008A79D1">
        <w:rPr>
          <w:lang w:val="en-IN"/>
        </w:rPr>
        <w:t>, 25–27.</w:t>
      </w:r>
    </w:p>
    <w:p w14:paraId="746E7C3F"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Kotiyal</w:t>
      </w:r>
      <w:proofErr w:type="spellEnd"/>
      <w:r w:rsidRPr="008A79D1">
        <w:rPr>
          <w:lang w:val="en-IN"/>
        </w:rPr>
        <w:t xml:space="preserve">, A., &amp; Nautiyal, A. R. (2019). Evaluation of IBA levels on vegetative and rooting performance of dormant cuttings of plum cv. Santa Rosa under mist. </w:t>
      </w:r>
      <w:r w:rsidRPr="008A79D1">
        <w:rPr>
          <w:i/>
          <w:iCs/>
          <w:lang w:val="en-IN"/>
        </w:rPr>
        <w:t>International Journal of Current Microbiology and Applied Sciences, 8</w:t>
      </w:r>
      <w:r w:rsidRPr="008A79D1">
        <w:rPr>
          <w:lang w:val="en-IN"/>
        </w:rPr>
        <w:t>(10), 693–697.</w:t>
      </w:r>
    </w:p>
    <w:p w14:paraId="4DA1821C"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nn-NO"/>
        </w:rPr>
        <w:t xml:space="preserve">Kumar, S., Shukla, H. S., &amp; Kumar, S. (2004). </w:t>
      </w:r>
      <w:r w:rsidRPr="008A79D1">
        <w:rPr>
          <w:lang w:val="en-IN"/>
        </w:rPr>
        <w:t>Effect of IBA and PHB on regeneration of sweet lime (</w:t>
      </w:r>
      <w:r w:rsidRPr="008A79D1">
        <w:rPr>
          <w:i/>
          <w:iCs/>
          <w:lang w:val="en-IN"/>
        </w:rPr>
        <w:t xml:space="preserve">Citrus </w:t>
      </w:r>
      <w:proofErr w:type="spellStart"/>
      <w:r w:rsidRPr="008A79D1">
        <w:rPr>
          <w:i/>
          <w:iCs/>
          <w:lang w:val="en-IN"/>
        </w:rPr>
        <w:t>limettioides</w:t>
      </w:r>
      <w:proofErr w:type="spellEnd"/>
      <w:r w:rsidRPr="008A79D1">
        <w:rPr>
          <w:lang w:val="en-IN"/>
        </w:rPr>
        <w:t xml:space="preserve"> Tanaka) through stem cuttings. </w:t>
      </w:r>
      <w:r w:rsidRPr="008A79D1">
        <w:rPr>
          <w:i/>
          <w:iCs/>
          <w:lang w:val="en-IN"/>
        </w:rPr>
        <w:t>Progressive Agriculture, 4</w:t>
      </w:r>
      <w:r w:rsidRPr="008A79D1">
        <w:rPr>
          <w:lang w:val="en-IN"/>
        </w:rPr>
        <w:t>(1), 54–56.</w:t>
      </w:r>
    </w:p>
    <w:p w14:paraId="2696355A"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Madhavan, S., Rosika, P., &amp; Sharvesh, S. (2025a). Auxin-mediated growth enhancement for efficient clonal propagation of </w:t>
      </w:r>
      <w:proofErr w:type="spellStart"/>
      <w:r w:rsidRPr="008A79D1">
        <w:rPr>
          <w:lang w:val="en-IN"/>
        </w:rPr>
        <w:t>Thippili</w:t>
      </w:r>
      <w:proofErr w:type="spellEnd"/>
      <w:r w:rsidRPr="008A79D1">
        <w:rPr>
          <w:lang w:val="en-IN"/>
        </w:rPr>
        <w:t xml:space="preserve"> (</w:t>
      </w:r>
      <w:r w:rsidRPr="008A79D1">
        <w:rPr>
          <w:i/>
          <w:iCs/>
          <w:lang w:val="en-IN"/>
        </w:rPr>
        <w:t xml:space="preserve">Piper </w:t>
      </w:r>
      <w:proofErr w:type="spellStart"/>
      <w:r w:rsidRPr="008A79D1">
        <w:rPr>
          <w:i/>
          <w:iCs/>
          <w:lang w:val="en-IN"/>
        </w:rPr>
        <w:t>longum</w:t>
      </w:r>
      <w:proofErr w:type="spellEnd"/>
      <w:r w:rsidRPr="008A79D1">
        <w:rPr>
          <w:lang w:val="en-IN"/>
        </w:rPr>
        <w:t xml:space="preserve"> L.). </w:t>
      </w:r>
      <w:r w:rsidRPr="008A79D1">
        <w:rPr>
          <w:i/>
          <w:iCs/>
          <w:lang w:val="en-IN"/>
        </w:rPr>
        <w:t>Indian Journal of Natural Sciences, 16</w:t>
      </w:r>
      <w:r w:rsidRPr="008A79D1">
        <w:rPr>
          <w:lang w:val="en-IN"/>
        </w:rPr>
        <w:t>(93), 103399</w:t>
      </w:r>
      <w:r>
        <w:rPr>
          <w:lang w:val="en-IN"/>
        </w:rPr>
        <w:t>-</w:t>
      </w:r>
      <w:r w:rsidRPr="0012193F">
        <w:rPr>
          <w:lang w:val="en-IN"/>
        </w:rPr>
        <w:t>103404</w:t>
      </w:r>
      <w:r w:rsidRPr="008A79D1">
        <w:rPr>
          <w:lang w:val="en-IN"/>
        </w:rPr>
        <w:t>.</w:t>
      </w:r>
    </w:p>
    <w:p w14:paraId="6B89766A" w14:textId="77777777" w:rsidR="00B737E0" w:rsidRDefault="00B737E0" w:rsidP="008A79D1">
      <w:pPr>
        <w:pStyle w:val="NormalWeb"/>
        <w:spacing w:before="0" w:beforeAutospacing="0" w:after="0" w:afterAutospacing="0"/>
        <w:ind w:left="720" w:hanging="720"/>
        <w:jc w:val="both"/>
      </w:pPr>
      <w:r w:rsidRPr="008A79D1">
        <w:rPr>
          <w:lang w:val="en-IN"/>
        </w:rPr>
        <w:t>Madhavan, S., Sharvesh, S., &amp; Pragathi, T. (2025b). Organic nutrient strategies for improving growth dynamics and flowering in coriander (</w:t>
      </w:r>
      <w:r w:rsidRPr="008A79D1">
        <w:rPr>
          <w:i/>
          <w:iCs/>
          <w:lang w:val="en-IN"/>
        </w:rPr>
        <w:t>Coriandrum sativum</w:t>
      </w:r>
      <w:r w:rsidRPr="008A79D1">
        <w:rPr>
          <w:lang w:val="en-IN"/>
        </w:rPr>
        <w:t xml:space="preserve"> L.). </w:t>
      </w:r>
      <w:r w:rsidRPr="008A79D1">
        <w:rPr>
          <w:i/>
          <w:iCs/>
          <w:lang w:val="en-IN"/>
        </w:rPr>
        <w:t>Journal of Advances in Biology &amp; Biotechnology, 28</w:t>
      </w:r>
      <w:r w:rsidRPr="008A79D1">
        <w:rPr>
          <w:lang w:val="en-IN"/>
        </w:rPr>
        <w:t xml:space="preserve">(9), 1773–1779. </w:t>
      </w:r>
      <w:hyperlink r:id="rId6" w:tgtFrame="_new" w:history="1">
        <w:r w:rsidRPr="008A79D1">
          <w:rPr>
            <w:rStyle w:val="Hyperlink"/>
            <w:color w:val="auto"/>
            <w:lang w:val="en-IN"/>
          </w:rPr>
          <w:t>https://doi.org/10.9734/jabb/2025/v28i93022</w:t>
        </w:r>
      </w:hyperlink>
    </w:p>
    <w:p w14:paraId="1B7FFC72" w14:textId="45C0E6E3" w:rsidR="00B737E0" w:rsidRPr="00B737E0" w:rsidRDefault="00B737E0" w:rsidP="008A79D1">
      <w:pPr>
        <w:pStyle w:val="NormalWeb"/>
        <w:spacing w:before="0" w:beforeAutospacing="0" w:after="0" w:afterAutospacing="0"/>
        <w:ind w:left="720" w:hanging="720"/>
        <w:jc w:val="both"/>
      </w:pPr>
      <w:r w:rsidRPr="00916816">
        <w:rPr>
          <w:lang w:val="en-IN"/>
        </w:rPr>
        <w:t xml:space="preserve">Madhavan, S., Pragathi, T., &amp; </w:t>
      </w:r>
      <w:r w:rsidRPr="00B737E0">
        <w:rPr>
          <w:lang w:val="en-IN"/>
        </w:rPr>
        <w:t>Sharvesh, S.</w:t>
      </w:r>
      <w:r w:rsidRPr="00916816">
        <w:rPr>
          <w:lang w:val="en-IN"/>
        </w:rPr>
        <w:t xml:space="preserve"> (2025</w:t>
      </w:r>
      <w:r>
        <w:rPr>
          <w:lang w:val="en-IN"/>
        </w:rPr>
        <w:t>c</w:t>
      </w:r>
      <w:r w:rsidRPr="00916816">
        <w:rPr>
          <w:lang w:val="en-IN"/>
        </w:rPr>
        <w:t>). Enhancing coriander (</w:t>
      </w:r>
      <w:r w:rsidRPr="00916816">
        <w:rPr>
          <w:i/>
          <w:iCs/>
          <w:lang w:val="en-IN"/>
        </w:rPr>
        <w:t>Coriandrum sativum</w:t>
      </w:r>
      <w:r w:rsidRPr="00916816">
        <w:rPr>
          <w:lang w:val="en-IN"/>
        </w:rPr>
        <w:t xml:space="preserve"> L.) performance through sustainable organic practices. </w:t>
      </w:r>
      <w:r w:rsidRPr="00916816">
        <w:rPr>
          <w:i/>
          <w:iCs/>
          <w:lang w:val="en-IN"/>
        </w:rPr>
        <w:t>International Journal of Advanced Biochemistry Research</w:t>
      </w:r>
      <w:r w:rsidRPr="00916816">
        <w:rPr>
          <w:lang w:val="en-IN"/>
        </w:rPr>
        <w:t xml:space="preserve">. </w:t>
      </w:r>
      <w:hyperlink r:id="rId7" w:history="1">
        <w:r w:rsidRPr="00D310F4">
          <w:rPr>
            <w:rStyle w:val="Hyperlink"/>
            <w:lang w:val="en-IN"/>
          </w:rPr>
          <w:t>https://doi.org/10.33545/26174693.2025.v9.i9so.5657</w:t>
        </w:r>
      </w:hyperlink>
      <w:r>
        <w:rPr>
          <w:lang w:val="en-IN"/>
        </w:rPr>
        <w:t xml:space="preserve"> </w:t>
      </w:r>
    </w:p>
    <w:p w14:paraId="1390AD9B"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Madhavan, S., Sharvesh, S., &amp; Rosika, P. (2026). Auxin enrichment for enhanced rooting and biomass production in clonal propagation of </w:t>
      </w:r>
      <w:proofErr w:type="spellStart"/>
      <w:r w:rsidRPr="008A79D1">
        <w:rPr>
          <w:lang w:val="en-IN"/>
        </w:rPr>
        <w:t>Thippili</w:t>
      </w:r>
      <w:proofErr w:type="spellEnd"/>
      <w:r w:rsidRPr="008A79D1">
        <w:rPr>
          <w:lang w:val="en-IN"/>
        </w:rPr>
        <w:t xml:space="preserve"> (</w:t>
      </w:r>
      <w:r w:rsidRPr="008A79D1">
        <w:rPr>
          <w:i/>
          <w:iCs/>
          <w:lang w:val="en-IN"/>
        </w:rPr>
        <w:t xml:space="preserve">Piper </w:t>
      </w:r>
      <w:proofErr w:type="spellStart"/>
      <w:r w:rsidRPr="008A79D1">
        <w:rPr>
          <w:i/>
          <w:iCs/>
          <w:lang w:val="en-IN"/>
        </w:rPr>
        <w:t>longum</w:t>
      </w:r>
      <w:proofErr w:type="spellEnd"/>
      <w:r w:rsidRPr="008A79D1">
        <w:rPr>
          <w:lang w:val="en-IN"/>
        </w:rPr>
        <w:t xml:space="preserve"> L.). </w:t>
      </w:r>
      <w:r w:rsidRPr="008A79D1">
        <w:rPr>
          <w:i/>
          <w:iCs/>
          <w:lang w:val="en-IN"/>
        </w:rPr>
        <w:t>Indian Journal of Applied &amp; Pure Biology, 41</w:t>
      </w:r>
      <w:r w:rsidRPr="008A79D1">
        <w:rPr>
          <w:lang w:val="en-IN"/>
        </w:rPr>
        <w:t>(1), 593–597.</w:t>
      </w:r>
    </w:p>
    <w:p w14:paraId="3060D8C5"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Mewar, D., &amp; Naithani, D. C. (2016). Effect of different IBA concentrations and planting time on stem cuttings of wild fig (</w:t>
      </w:r>
      <w:proofErr w:type="spellStart"/>
      <w:r w:rsidRPr="008A79D1">
        <w:rPr>
          <w:i/>
          <w:iCs/>
          <w:lang w:val="en-IN"/>
        </w:rPr>
        <w:t>Ficus</w:t>
      </w:r>
      <w:proofErr w:type="spellEnd"/>
      <w:r w:rsidRPr="008A79D1">
        <w:rPr>
          <w:i/>
          <w:iCs/>
          <w:lang w:val="en-IN"/>
        </w:rPr>
        <w:t xml:space="preserve"> </w:t>
      </w:r>
      <w:proofErr w:type="spellStart"/>
      <w:r w:rsidRPr="008A79D1">
        <w:rPr>
          <w:i/>
          <w:iCs/>
          <w:lang w:val="en-IN"/>
        </w:rPr>
        <w:t>palmata</w:t>
      </w:r>
      <w:proofErr w:type="spellEnd"/>
      <w:r w:rsidRPr="008A79D1">
        <w:rPr>
          <w:lang w:val="en-IN"/>
        </w:rPr>
        <w:t xml:space="preserve"> </w:t>
      </w:r>
      <w:proofErr w:type="spellStart"/>
      <w:r w:rsidRPr="008A79D1">
        <w:rPr>
          <w:lang w:val="en-IN"/>
        </w:rPr>
        <w:t>Forsk</w:t>
      </w:r>
      <w:proofErr w:type="spellEnd"/>
      <w:r w:rsidRPr="008A79D1">
        <w:rPr>
          <w:lang w:val="en-IN"/>
        </w:rPr>
        <w:t xml:space="preserve">.). </w:t>
      </w:r>
      <w:r w:rsidRPr="008A79D1">
        <w:rPr>
          <w:i/>
          <w:iCs/>
          <w:lang w:val="en-IN"/>
        </w:rPr>
        <w:t>Plant Archives, 16</w:t>
      </w:r>
      <w:r w:rsidRPr="008A79D1">
        <w:rPr>
          <w:lang w:val="en-IN"/>
        </w:rPr>
        <w:t>(2), 959–962.</w:t>
      </w:r>
    </w:p>
    <w:p w14:paraId="0E68BFA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Munde, G. R., </w:t>
      </w:r>
      <w:proofErr w:type="spellStart"/>
      <w:r w:rsidRPr="008A79D1">
        <w:rPr>
          <w:lang w:val="en-IN"/>
        </w:rPr>
        <w:t>Nainwad</w:t>
      </w:r>
      <w:proofErr w:type="spellEnd"/>
      <w:r w:rsidRPr="008A79D1">
        <w:rPr>
          <w:lang w:val="en-IN"/>
        </w:rPr>
        <w:t xml:space="preserve">, R. V., Maske, S. N., &amp; Pawar, J. V. (2016). Effect of IBA and other chemicals on air layering in pomegranate cv. Bhagwa. </w:t>
      </w:r>
      <w:proofErr w:type="spellStart"/>
      <w:r w:rsidRPr="008A79D1">
        <w:rPr>
          <w:i/>
          <w:iCs/>
          <w:lang w:val="en-IN"/>
        </w:rPr>
        <w:t>Bioinfolet</w:t>
      </w:r>
      <w:proofErr w:type="spellEnd"/>
      <w:r w:rsidRPr="008A79D1">
        <w:rPr>
          <w:i/>
          <w:iCs/>
          <w:lang w:val="en-IN"/>
        </w:rPr>
        <w:t>, 13</w:t>
      </w:r>
      <w:r w:rsidRPr="008A79D1">
        <w:rPr>
          <w:lang w:val="en-IN"/>
        </w:rPr>
        <w:t>(2a), 291–293.</w:t>
      </w:r>
    </w:p>
    <w:p w14:paraId="638D4B73"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Muruganandam</w:t>
      </w:r>
      <w:proofErr w:type="spellEnd"/>
      <w:r w:rsidRPr="008A79D1">
        <w:rPr>
          <w:lang w:val="en-IN"/>
        </w:rPr>
        <w:t xml:space="preserve">, C., Sharvesh, S., &amp; </w:t>
      </w:r>
      <w:proofErr w:type="spellStart"/>
      <w:r w:rsidRPr="008A79D1">
        <w:rPr>
          <w:lang w:val="en-IN"/>
        </w:rPr>
        <w:t>Vallarasu</w:t>
      </w:r>
      <w:proofErr w:type="spellEnd"/>
      <w:r w:rsidRPr="008A79D1">
        <w:rPr>
          <w:lang w:val="en-IN"/>
        </w:rPr>
        <w:t xml:space="preserve">, V. (2025). Auxin-induced rooting and biomass enhancement in </w:t>
      </w:r>
      <w:r w:rsidRPr="008A79D1">
        <w:rPr>
          <w:i/>
          <w:iCs/>
          <w:lang w:val="en-IN"/>
        </w:rPr>
        <w:t>Ficus carica</w:t>
      </w:r>
      <w:r w:rsidRPr="008A79D1">
        <w:rPr>
          <w:lang w:val="en-IN"/>
        </w:rPr>
        <w:t xml:space="preserve"> L. cv. Afghan. </w:t>
      </w:r>
      <w:r w:rsidRPr="008A79D1">
        <w:rPr>
          <w:i/>
          <w:iCs/>
          <w:lang w:val="en-IN"/>
        </w:rPr>
        <w:t>Plant Archives, 25</w:t>
      </w:r>
      <w:r w:rsidRPr="008A79D1">
        <w:rPr>
          <w:lang w:val="en-IN"/>
        </w:rPr>
        <w:t xml:space="preserve">(Supplement 2), 1941–1945. </w:t>
      </w:r>
      <w:hyperlink r:id="rId8" w:tgtFrame="_new" w:history="1">
        <w:r w:rsidRPr="008A79D1">
          <w:rPr>
            <w:rStyle w:val="Hyperlink"/>
            <w:color w:val="auto"/>
            <w:lang w:val="en-IN"/>
          </w:rPr>
          <w:t>https://doi.org/10.51470/PLANTARCHIVES.2025.v25.supplement-2.246</w:t>
        </w:r>
      </w:hyperlink>
    </w:p>
    <w:p w14:paraId="3E94563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Neelima, N., Shukla, N., Sharma, G., &amp; Sahu, J. K. (2018). Effect of different IBA concentration on survivability and rooting of jasmine (</w:t>
      </w:r>
      <w:r w:rsidRPr="008A79D1">
        <w:rPr>
          <w:i/>
          <w:iCs/>
          <w:lang w:val="en-IN"/>
        </w:rPr>
        <w:t xml:space="preserve">Jasminum </w:t>
      </w:r>
      <w:proofErr w:type="spellStart"/>
      <w:r w:rsidRPr="008A79D1">
        <w:rPr>
          <w:i/>
          <w:iCs/>
          <w:lang w:val="en-IN"/>
        </w:rPr>
        <w:t>sambac</w:t>
      </w:r>
      <w:proofErr w:type="spellEnd"/>
      <w:r w:rsidRPr="008A79D1">
        <w:rPr>
          <w:lang w:val="en-IN"/>
        </w:rPr>
        <w:t xml:space="preserve"> L.) stem cuttings. </w:t>
      </w:r>
      <w:r w:rsidRPr="008A79D1">
        <w:rPr>
          <w:i/>
          <w:iCs/>
          <w:lang w:val="en-IN"/>
        </w:rPr>
        <w:t>Journal of Pharmacognosy and Phytochemistry, 7</w:t>
      </w:r>
      <w:r w:rsidRPr="008A79D1">
        <w:rPr>
          <w:lang w:val="en-IN"/>
        </w:rPr>
        <w:t>(1S), 614–617.</w:t>
      </w:r>
    </w:p>
    <w:p w14:paraId="5BBB605A"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Panse, V. G., &amp; </w:t>
      </w:r>
      <w:proofErr w:type="spellStart"/>
      <w:r w:rsidRPr="008A79D1">
        <w:rPr>
          <w:lang w:val="en-IN"/>
        </w:rPr>
        <w:t>Sukhatme</w:t>
      </w:r>
      <w:proofErr w:type="spellEnd"/>
      <w:r w:rsidRPr="008A79D1">
        <w:rPr>
          <w:lang w:val="en-IN"/>
        </w:rPr>
        <w:t xml:space="preserve">, P. V. (1985). </w:t>
      </w:r>
      <w:r w:rsidRPr="008A79D1">
        <w:rPr>
          <w:i/>
          <w:iCs/>
          <w:lang w:val="en-IN"/>
        </w:rPr>
        <w:t>Statistical methods for agricultural workers</w:t>
      </w:r>
      <w:r w:rsidRPr="008A79D1">
        <w:rPr>
          <w:lang w:val="en-IN"/>
        </w:rPr>
        <w:t>. ICAR.</w:t>
      </w:r>
    </w:p>
    <w:p w14:paraId="3E6C52A2"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Patel, H. R., Patel, M. G., &amp; Singh, S. (201</w:t>
      </w:r>
      <w:r>
        <w:rPr>
          <w:lang w:val="en-IN"/>
        </w:rPr>
        <w:t>5</w:t>
      </w:r>
      <w:r w:rsidRPr="008A79D1">
        <w:rPr>
          <w:lang w:val="en-IN"/>
        </w:rPr>
        <w:t xml:space="preserve">). Effect of different levels of IBA and NAA on rooting of hardwood and semi-hardwood cutting in fig. </w:t>
      </w:r>
      <w:r w:rsidRPr="008A79D1">
        <w:rPr>
          <w:i/>
          <w:iCs/>
          <w:lang w:val="en-IN"/>
        </w:rPr>
        <w:t>International Journal of Agricultural Science Research, 7</w:t>
      </w:r>
      <w:r w:rsidRPr="008A79D1">
        <w:rPr>
          <w:lang w:val="en-IN"/>
        </w:rPr>
        <w:t>(4), 519–523.</w:t>
      </w:r>
    </w:p>
    <w:p w14:paraId="5CAAE6F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Patel, K. D., Butani, A. M., </w:t>
      </w:r>
      <w:proofErr w:type="spellStart"/>
      <w:r w:rsidRPr="008A79D1">
        <w:rPr>
          <w:lang w:val="en-IN"/>
        </w:rPr>
        <w:t>Thummar</w:t>
      </w:r>
      <w:proofErr w:type="spellEnd"/>
      <w:r w:rsidRPr="008A79D1">
        <w:rPr>
          <w:lang w:val="en-IN"/>
        </w:rPr>
        <w:t>, B. V., Purohit</w:t>
      </w:r>
      <w:bookmarkStart w:id="0" w:name="_GoBack"/>
      <w:bookmarkEnd w:id="0"/>
      <w:r w:rsidRPr="008A79D1">
        <w:rPr>
          <w:lang w:val="en-IN"/>
        </w:rPr>
        <w:t xml:space="preserve">, H. P., &amp; </w:t>
      </w:r>
      <w:proofErr w:type="spellStart"/>
      <w:r w:rsidRPr="008A79D1">
        <w:rPr>
          <w:lang w:val="en-IN"/>
        </w:rPr>
        <w:t>Trambadiya</w:t>
      </w:r>
      <w:proofErr w:type="spellEnd"/>
      <w:r w:rsidRPr="008A79D1">
        <w:rPr>
          <w:lang w:val="en-IN"/>
        </w:rPr>
        <w:t>, R. D. (2020). Response of different media and IBA on rooting and survival percentage of hardwood cutting in pomegranate (</w:t>
      </w:r>
      <w:r w:rsidRPr="008A79D1">
        <w:rPr>
          <w:i/>
          <w:iCs/>
          <w:lang w:val="en-IN"/>
        </w:rPr>
        <w:t>Punica granatum</w:t>
      </w:r>
      <w:r w:rsidRPr="008A79D1">
        <w:rPr>
          <w:lang w:val="en-IN"/>
        </w:rPr>
        <w:t xml:space="preserve"> L.) cv. Bhagwa. </w:t>
      </w:r>
      <w:r w:rsidRPr="008A79D1">
        <w:rPr>
          <w:i/>
          <w:iCs/>
          <w:lang w:val="en-IN"/>
        </w:rPr>
        <w:t>Journal of Pharmacognosy and Phytochemistry, 9</w:t>
      </w:r>
      <w:r w:rsidRPr="008A79D1">
        <w:rPr>
          <w:lang w:val="en-IN"/>
        </w:rPr>
        <w:t>(5), 322–329.</w:t>
      </w:r>
    </w:p>
    <w:p w14:paraId="236AA07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Patel, R. H., &amp; Patel, M. J. (2018). Role of auxins on rooting of different types of cuttings in fig. </w:t>
      </w:r>
      <w:r w:rsidRPr="008A79D1">
        <w:rPr>
          <w:i/>
          <w:iCs/>
          <w:lang w:val="en-IN"/>
        </w:rPr>
        <w:t>International Journal of Current Microbiology and Applied Sciences, 7</w:t>
      </w:r>
      <w:r w:rsidRPr="008A79D1">
        <w:rPr>
          <w:lang w:val="en-IN"/>
        </w:rPr>
        <w:t>(3), 1317–1322.</w:t>
      </w:r>
    </w:p>
    <w:p w14:paraId="4C99D050"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lastRenderedPageBreak/>
        <w:t>Paul, R., &amp; Aditi, C. (2009). IBA and NAA of 1000 ppm induce improved rooting characters in air layers of water apple (</w:t>
      </w:r>
      <w:proofErr w:type="spellStart"/>
      <w:r w:rsidRPr="008A79D1">
        <w:rPr>
          <w:i/>
          <w:iCs/>
          <w:lang w:val="en-IN"/>
        </w:rPr>
        <w:t>Syzygium</w:t>
      </w:r>
      <w:proofErr w:type="spellEnd"/>
      <w:r w:rsidRPr="008A79D1">
        <w:rPr>
          <w:i/>
          <w:iCs/>
          <w:lang w:val="en-IN"/>
        </w:rPr>
        <w:t xml:space="preserve"> </w:t>
      </w:r>
      <w:proofErr w:type="spellStart"/>
      <w:r w:rsidRPr="008A79D1">
        <w:rPr>
          <w:i/>
          <w:iCs/>
          <w:lang w:val="en-IN"/>
        </w:rPr>
        <w:t>javanica</w:t>
      </w:r>
      <w:proofErr w:type="spellEnd"/>
      <w:r w:rsidRPr="008A79D1">
        <w:rPr>
          <w:lang w:val="en-IN"/>
        </w:rPr>
        <w:t xml:space="preserve"> L.). </w:t>
      </w:r>
      <w:r w:rsidRPr="008A79D1">
        <w:rPr>
          <w:i/>
          <w:iCs/>
          <w:lang w:val="en-IN"/>
        </w:rPr>
        <w:t>Bulgarian Journal of Agricultural Science, 15</w:t>
      </w:r>
      <w:r w:rsidRPr="008A79D1">
        <w:rPr>
          <w:lang w:val="en-IN"/>
        </w:rPr>
        <w:t>(2), 123–128.</w:t>
      </w:r>
    </w:p>
    <w:p w14:paraId="43D96EEB" w14:textId="77777777" w:rsidR="00B737E0" w:rsidRPr="008A79D1" w:rsidRDefault="00B737E0" w:rsidP="008A79D1">
      <w:pPr>
        <w:pStyle w:val="NormalWeb"/>
        <w:spacing w:before="0" w:beforeAutospacing="0" w:after="0" w:afterAutospacing="0"/>
        <w:ind w:left="720" w:hanging="720"/>
        <w:jc w:val="both"/>
        <w:rPr>
          <w:lang w:val="en-IN"/>
        </w:rPr>
      </w:pPr>
      <w:r w:rsidRPr="00EF057F">
        <w:rPr>
          <w:lang w:val="en-IN"/>
        </w:rPr>
        <w:t xml:space="preserve">Peter, L., &amp; Prasad, V. M. (2016). </w:t>
      </w:r>
      <w:r w:rsidRPr="008A79D1">
        <w:rPr>
          <w:lang w:val="en-IN"/>
        </w:rPr>
        <w:t>Effect of different levels of indole-3-butyric acid on growth of air-layered lemon (</w:t>
      </w:r>
      <w:r w:rsidRPr="008A79D1">
        <w:rPr>
          <w:i/>
          <w:iCs/>
          <w:lang w:val="en-IN"/>
        </w:rPr>
        <w:t>Citrus limon</w:t>
      </w:r>
      <w:r w:rsidRPr="008A79D1">
        <w:rPr>
          <w:lang w:val="en-IN"/>
        </w:rPr>
        <w:t xml:space="preserve"> L.) cv. Assam lemon. </w:t>
      </w:r>
      <w:r w:rsidRPr="008A79D1">
        <w:rPr>
          <w:i/>
          <w:iCs/>
          <w:lang w:val="en-IN"/>
        </w:rPr>
        <w:t>International Journal of Life Sciences Scientific Research, 2</w:t>
      </w:r>
      <w:r w:rsidRPr="008A79D1">
        <w:rPr>
          <w:lang w:val="en-IN"/>
        </w:rPr>
        <w:t>(5), 599–603.</w:t>
      </w:r>
    </w:p>
    <w:p w14:paraId="07810FC1"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Prabhuling</w:t>
      </w:r>
      <w:proofErr w:type="spellEnd"/>
      <w:r w:rsidRPr="008A79D1">
        <w:rPr>
          <w:lang w:val="en-IN"/>
        </w:rPr>
        <w:t>, G., &amp; Huchesh, H. (2018). Direct in vitro regeneration in fig (</w:t>
      </w:r>
      <w:r w:rsidRPr="008A79D1">
        <w:rPr>
          <w:i/>
          <w:iCs/>
          <w:lang w:val="en-IN"/>
        </w:rPr>
        <w:t>Ficus carica</w:t>
      </w:r>
      <w:r w:rsidRPr="008A79D1">
        <w:rPr>
          <w:lang w:val="en-IN"/>
        </w:rPr>
        <w:t xml:space="preserve"> L.) cv. Brown Turkey. </w:t>
      </w:r>
      <w:r w:rsidRPr="008A79D1">
        <w:rPr>
          <w:i/>
          <w:iCs/>
          <w:lang w:val="en-IN"/>
        </w:rPr>
        <w:t>Research Journal of Biotechnology, 13</w:t>
      </w:r>
      <w:r w:rsidRPr="008A79D1">
        <w:rPr>
          <w:lang w:val="en-IN"/>
        </w:rPr>
        <w:t>(5), 77–83.</w:t>
      </w:r>
    </w:p>
    <w:p w14:paraId="7D46258B"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Pushpa, K., Pandey, C. S., </w:t>
      </w:r>
      <w:proofErr w:type="spellStart"/>
      <w:r w:rsidRPr="008A79D1">
        <w:rPr>
          <w:lang w:val="en-IN"/>
        </w:rPr>
        <w:t>Homeshvari</w:t>
      </w:r>
      <w:proofErr w:type="spellEnd"/>
      <w:r w:rsidRPr="008A79D1">
        <w:rPr>
          <w:lang w:val="en-IN"/>
        </w:rPr>
        <w:t>, J., Jatav, P., &amp; Patidar, M. (2023). Effect of IBA and bio-inoculants on fig (</w:t>
      </w:r>
      <w:r w:rsidRPr="008A79D1">
        <w:rPr>
          <w:i/>
          <w:iCs/>
          <w:lang w:val="en-IN"/>
        </w:rPr>
        <w:t>Ficus carica</w:t>
      </w:r>
      <w:r w:rsidRPr="008A79D1">
        <w:rPr>
          <w:lang w:val="en-IN"/>
        </w:rPr>
        <w:t xml:space="preserve"> L.) hardwood cuttings for growth and success. </w:t>
      </w:r>
      <w:r w:rsidRPr="008A79D1">
        <w:rPr>
          <w:i/>
          <w:iCs/>
          <w:lang w:val="en-IN"/>
        </w:rPr>
        <w:t>Biological Forum – An International Journal, 15</w:t>
      </w:r>
      <w:r w:rsidRPr="008A79D1">
        <w:rPr>
          <w:lang w:val="en-IN"/>
        </w:rPr>
        <w:t>(10), 278–285.</w:t>
      </w:r>
    </w:p>
    <w:p w14:paraId="071B3BD0" w14:textId="77777777" w:rsidR="00B737E0" w:rsidRPr="008A79D1" w:rsidRDefault="00B737E0" w:rsidP="008A79D1">
      <w:pPr>
        <w:pStyle w:val="NormalWeb"/>
        <w:spacing w:before="0" w:beforeAutospacing="0" w:after="0" w:afterAutospacing="0"/>
        <w:ind w:left="720" w:hanging="720"/>
        <w:jc w:val="both"/>
        <w:rPr>
          <w:lang w:val="en-IN"/>
        </w:rPr>
      </w:pPr>
      <w:r w:rsidRPr="00EF057F">
        <w:rPr>
          <w:lang w:val="en-IN"/>
        </w:rPr>
        <w:t xml:space="preserve">Raut, U. A., Jadhav, G. G., </w:t>
      </w:r>
      <w:proofErr w:type="spellStart"/>
      <w:r w:rsidRPr="00EF057F">
        <w:rPr>
          <w:lang w:val="en-IN"/>
        </w:rPr>
        <w:t>Bhogave</w:t>
      </w:r>
      <w:proofErr w:type="spellEnd"/>
      <w:r w:rsidRPr="00EF057F">
        <w:rPr>
          <w:lang w:val="en-IN"/>
        </w:rPr>
        <w:t xml:space="preserve">, A. F., &amp; Deshmukh, M. S. (2015). </w:t>
      </w:r>
      <w:r w:rsidRPr="008A79D1">
        <w:rPr>
          <w:lang w:val="en-IN"/>
        </w:rPr>
        <w:t>Effect of different IBA levels on air layering of karonda (</w:t>
      </w:r>
      <w:r w:rsidRPr="008A79D1">
        <w:rPr>
          <w:i/>
          <w:iCs/>
          <w:lang w:val="en-IN"/>
        </w:rPr>
        <w:t>Carissa carandas</w:t>
      </w:r>
      <w:r w:rsidRPr="008A79D1">
        <w:rPr>
          <w:lang w:val="en-IN"/>
        </w:rPr>
        <w:t xml:space="preserve"> L.). </w:t>
      </w:r>
      <w:r w:rsidRPr="008A79D1">
        <w:rPr>
          <w:i/>
          <w:iCs/>
          <w:lang w:val="en-IN"/>
        </w:rPr>
        <w:t>Research on Crops, 16</w:t>
      </w:r>
      <w:r w:rsidRPr="008A79D1">
        <w:rPr>
          <w:lang w:val="en-IN"/>
        </w:rPr>
        <w:t>(3), 537–541.</w:t>
      </w:r>
    </w:p>
    <w:p w14:paraId="3AD246D9" w14:textId="77777777" w:rsidR="00B737E0" w:rsidRPr="008A79D1" w:rsidRDefault="00B737E0" w:rsidP="008A79D1">
      <w:pPr>
        <w:pStyle w:val="NormalWeb"/>
        <w:spacing w:before="0" w:beforeAutospacing="0" w:after="0" w:afterAutospacing="0"/>
        <w:ind w:left="720" w:hanging="720"/>
        <w:jc w:val="both"/>
        <w:rPr>
          <w:lang w:val="en-IN"/>
        </w:rPr>
      </w:pPr>
      <w:r w:rsidRPr="00EF057F">
        <w:rPr>
          <w:lang w:val="en-IN"/>
        </w:rPr>
        <w:t xml:space="preserve">Samim, A. K., Shivakumar, B. S., Y. K., H. S., &amp; Ganapathi, M. (2018). </w:t>
      </w:r>
      <w:r w:rsidRPr="008A79D1">
        <w:rPr>
          <w:lang w:val="en-IN"/>
        </w:rPr>
        <w:t>Study on rooting of stem cutting in Barbados cherry (</w:t>
      </w:r>
      <w:r w:rsidRPr="008A79D1">
        <w:rPr>
          <w:i/>
          <w:iCs/>
          <w:lang w:val="en-IN"/>
        </w:rPr>
        <w:t>Malpighia glabra</w:t>
      </w:r>
      <w:r w:rsidRPr="008A79D1">
        <w:rPr>
          <w:lang w:val="en-IN"/>
        </w:rPr>
        <w:t xml:space="preserve"> L.) under hill zone of Karnataka. </w:t>
      </w:r>
      <w:r w:rsidRPr="008A79D1">
        <w:rPr>
          <w:i/>
          <w:iCs/>
          <w:lang w:val="en-IN"/>
        </w:rPr>
        <w:t>Journal of Pharmacognosy and Phytochemistry, 7</w:t>
      </w:r>
      <w:r w:rsidRPr="008A79D1">
        <w:rPr>
          <w:lang w:val="en-IN"/>
        </w:rPr>
        <w:t>(3S), 418–421.</w:t>
      </w:r>
    </w:p>
    <w:p w14:paraId="2FF4B3B9" w14:textId="77777777" w:rsidR="00B737E0" w:rsidRPr="003A1B74" w:rsidRDefault="00B737E0" w:rsidP="003C1CB8">
      <w:pPr>
        <w:pStyle w:val="NormalWeb"/>
        <w:spacing w:before="0" w:beforeAutospacing="0" w:after="0" w:afterAutospacing="0"/>
        <w:ind w:left="720" w:hanging="720"/>
        <w:jc w:val="both"/>
      </w:pPr>
      <w:r w:rsidRPr="003A1B74">
        <w:t xml:space="preserve">Sharvesh, S. (2022). </w:t>
      </w:r>
      <w:r w:rsidRPr="003A1B74">
        <w:rPr>
          <w:i/>
          <w:iCs/>
        </w:rPr>
        <w:t>Seed germination studies in kokum</w:t>
      </w:r>
      <w:r w:rsidRPr="003A1B74">
        <w:t xml:space="preserve"> (Master’s thesis, Annamalai University).</w:t>
      </w:r>
    </w:p>
    <w:p w14:paraId="599F7F3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Singh, G., &amp; </w:t>
      </w:r>
      <w:proofErr w:type="spellStart"/>
      <w:r w:rsidRPr="008A79D1">
        <w:rPr>
          <w:lang w:val="en-IN"/>
        </w:rPr>
        <w:t>Ratt</w:t>
      </w:r>
      <w:r>
        <w:rPr>
          <w:lang w:val="en-IN"/>
        </w:rPr>
        <w:t>e</w:t>
      </w:r>
      <w:r w:rsidRPr="008A79D1">
        <w:rPr>
          <w:lang w:val="en-IN"/>
        </w:rPr>
        <w:t>npal</w:t>
      </w:r>
      <w:proofErr w:type="spellEnd"/>
      <w:r w:rsidRPr="008A79D1">
        <w:rPr>
          <w:lang w:val="en-IN"/>
        </w:rPr>
        <w:t>, H. S. (2017). Effect of IBA on quantitative measurement responses of nursery plants of fig (</w:t>
      </w:r>
      <w:r w:rsidRPr="008A79D1">
        <w:rPr>
          <w:i/>
          <w:iCs/>
          <w:lang w:val="en-IN"/>
        </w:rPr>
        <w:t>Ficus carica</w:t>
      </w:r>
      <w:r w:rsidRPr="008A79D1">
        <w:rPr>
          <w:lang w:val="en-IN"/>
        </w:rPr>
        <w:t xml:space="preserve"> L.) cv. Brown Turkey. </w:t>
      </w:r>
      <w:r w:rsidRPr="008A79D1">
        <w:rPr>
          <w:i/>
          <w:iCs/>
          <w:lang w:val="en-IN"/>
        </w:rPr>
        <w:t>Chemical Science Review and Letters, 6</w:t>
      </w:r>
      <w:r w:rsidRPr="008A79D1">
        <w:rPr>
          <w:lang w:val="en-IN"/>
        </w:rPr>
        <w:t>(24), 2593–2599.</w:t>
      </w:r>
    </w:p>
    <w:p w14:paraId="56E07E54" w14:textId="77777777" w:rsidR="00B737E0" w:rsidRPr="008A79D1" w:rsidRDefault="00B737E0" w:rsidP="008A79D1">
      <w:pPr>
        <w:pStyle w:val="NormalWeb"/>
        <w:spacing w:before="0" w:beforeAutospacing="0" w:after="0" w:afterAutospacing="0"/>
        <w:ind w:left="720" w:hanging="720"/>
        <w:jc w:val="both"/>
        <w:rPr>
          <w:lang w:val="en-IN"/>
        </w:rPr>
      </w:pPr>
      <w:r w:rsidRPr="00EF057F">
        <w:rPr>
          <w:lang w:val="en-IN"/>
        </w:rPr>
        <w:t xml:space="preserve">Sujin, G. S., </w:t>
      </w:r>
      <w:proofErr w:type="spellStart"/>
      <w:r w:rsidRPr="00EF057F">
        <w:rPr>
          <w:lang w:val="en-IN"/>
        </w:rPr>
        <w:t>Muraleedharan</w:t>
      </w:r>
      <w:proofErr w:type="spellEnd"/>
      <w:r w:rsidRPr="00EF057F">
        <w:rPr>
          <w:lang w:val="en-IN"/>
        </w:rPr>
        <w:t xml:space="preserve">, A., Kumar, S., &amp; </w:t>
      </w:r>
      <w:proofErr w:type="spellStart"/>
      <w:r w:rsidRPr="00EF057F">
        <w:rPr>
          <w:lang w:val="en-IN"/>
        </w:rPr>
        <w:t>Markandayan</w:t>
      </w:r>
      <w:proofErr w:type="spellEnd"/>
      <w:r w:rsidRPr="00EF057F">
        <w:rPr>
          <w:lang w:val="en-IN"/>
        </w:rPr>
        <w:t xml:space="preserve">, A. (2020). </w:t>
      </w:r>
      <w:r w:rsidRPr="008A79D1">
        <w:rPr>
          <w:lang w:val="en-IN"/>
        </w:rPr>
        <w:t>Effect of PGRs on root and shoot parameters of hardwood cuttings in guava (</w:t>
      </w:r>
      <w:r w:rsidRPr="008A79D1">
        <w:rPr>
          <w:i/>
          <w:iCs/>
          <w:lang w:val="en-IN"/>
        </w:rPr>
        <w:t>Psidium guajava</w:t>
      </w:r>
      <w:r w:rsidRPr="008A79D1">
        <w:rPr>
          <w:lang w:val="en-IN"/>
        </w:rPr>
        <w:t xml:space="preserve"> L.) cv. Lucknow-49. </w:t>
      </w:r>
      <w:r w:rsidRPr="008A79D1">
        <w:rPr>
          <w:i/>
          <w:iCs/>
          <w:lang w:val="en-IN"/>
        </w:rPr>
        <w:t>Plant Archives, 20</w:t>
      </w:r>
      <w:r w:rsidRPr="008A79D1">
        <w:rPr>
          <w:lang w:val="en-IN"/>
        </w:rPr>
        <w:t>, 3741–3746.</w:t>
      </w:r>
    </w:p>
    <w:p w14:paraId="7D5B476F"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Tanwar, D. R., Bairwa, H. L., </w:t>
      </w:r>
      <w:proofErr w:type="spellStart"/>
      <w:r w:rsidRPr="008A79D1">
        <w:rPr>
          <w:lang w:val="en-IN"/>
        </w:rPr>
        <w:t>Lakhawat</w:t>
      </w:r>
      <w:proofErr w:type="spellEnd"/>
      <w:r w:rsidRPr="008A79D1">
        <w:rPr>
          <w:lang w:val="en-IN"/>
        </w:rPr>
        <w:t xml:space="preserve">, S. S., </w:t>
      </w:r>
      <w:proofErr w:type="spellStart"/>
      <w:r w:rsidRPr="008A79D1">
        <w:rPr>
          <w:lang w:val="en-IN"/>
        </w:rPr>
        <w:t>Mahawer</w:t>
      </w:r>
      <w:proofErr w:type="spellEnd"/>
      <w:r w:rsidRPr="008A79D1">
        <w:rPr>
          <w:lang w:val="en-IN"/>
        </w:rPr>
        <w:t>, L. N., &amp; Choudhary, R. C. (2020). Effect of IBA and rooting media on hardwood cuttings of pomegranate (</w:t>
      </w:r>
      <w:r w:rsidRPr="008A79D1">
        <w:rPr>
          <w:i/>
          <w:iCs/>
          <w:lang w:val="en-IN"/>
        </w:rPr>
        <w:t>Punica granatum</w:t>
      </w:r>
      <w:r w:rsidRPr="008A79D1">
        <w:rPr>
          <w:lang w:val="en-IN"/>
        </w:rPr>
        <w:t xml:space="preserve"> L.) cv. Bhagwa. </w:t>
      </w:r>
      <w:r w:rsidRPr="008A79D1">
        <w:rPr>
          <w:i/>
          <w:iCs/>
          <w:lang w:val="en-IN"/>
        </w:rPr>
        <w:t>International Journal of Environment and Climate Change, 10</w:t>
      </w:r>
      <w:r w:rsidRPr="008A79D1">
        <w:rPr>
          <w:lang w:val="en-IN"/>
        </w:rPr>
        <w:t>(12), 609–617.</w:t>
      </w:r>
    </w:p>
    <w:p w14:paraId="31D0753F"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Tomar, Y. K. (2011). Effect of various concentrations of bioregulators and time of air layering on multiplication of jackfruit (</w:t>
      </w:r>
      <w:r w:rsidRPr="008A79D1">
        <w:rPr>
          <w:i/>
          <w:iCs/>
          <w:lang w:val="en-IN"/>
        </w:rPr>
        <w:t>Artocarpus heterophyllus</w:t>
      </w:r>
      <w:r w:rsidRPr="008A79D1">
        <w:rPr>
          <w:lang w:val="en-IN"/>
        </w:rPr>
        <w:t xml:space="preserve"> Lam.). </w:t>
      </w:r>
      <w:r w:rsidRPr="008A79D1">
        <w:rPr>
          <w:i/>
          <w:iCs/>
          <w:lang w:val="en-IN"/>
        </w:rPr>
        <w:t>International Journal of Current Research, 3</w:t>
      </w:r>
      <w:r w:rsidRPr="008A79D1">
        <w:rPr>
          <w:lang w:val="en-IN"/>
        </w:rPr>
        <w:t>(6), 316–318.</w:t>
      </w:r>
    </w:p>
    <w:p w14:paraId="252EB88C" w14:textId="77777777" w:rsidR="00B737E0" w:rsidRDefault="00B737E0" w:rsidP="00B737E0">
      <w:pPr>
        <w:pStyle w:val="NormalWeb"/>
        <w:spacing w:before="0" w:beforeAutospacing="0" w:after="0" w:afterAutospacing="0"/>
        <w:ind w:left="720" w:hanging="720"/>
        <w:jc w:val="both"/>
      </w:pPr>
      <w:proofErr w:type="spellStart"/>
      <w:r w:rsidRPr="008A79D1">
        <w:rPr>
          <w:lang w:val="en-IN"/>
        </w:rPr>
        <w:t>Vigneswari</w:t>
      </w:r>
      <w:proofErr w:type="spellEnd"/>
      <w:r w:rsidRPr="008A79D1">
        <w:rPr>
          <w:lang w:val="en-IN"/>
        </w:rPr>
        <w:t xml:space="preserve">, G., </w:t>
      </w:r>
      <w:proofErr w:type="spellStart"/>
      <w:r w:rsidRPr="008A79D1">
        <w:rPr>
          <w:lang w:val="en-IN"/>
        </w:rPr>
        <w:t>Samlind</w:t>
      </w:r>
      <w:proofErr w:type="spellEnd"/>
      <w:r w:rsidRPr="008A79D1">
        <w:rPr>
          <w:lang w:val="en-IN"/>
        </w:rPr>
        <w:t xml:space="preserve"> </w:t>
      </w:r>
      <w:proofErr w:type="spellStart"/>
      <w:r w:rsidRPr="008A79D1">
        <w:rPr>
          <w:lang w:val="en-IN"/>
        </w:rPr>
        <w:t>Sujin</w:t>
      </w:r>
      <w:proofErr w:type="spellEnd"/>
      <w:r w:rsidRPr="008A79D1">
        <w:rPr>
          <w:lang w:val="en-IN"/>
        </w:rPr>
        <w:t>, G., &amp; Sharvesh, S. (2025). Efficacy of growth regulators on sprouting of bush pepper cuttings (</w:t>
      </w:r>
      <w:r w:rsidRPr="008A79D1">
        <w:rPr>
          <w:i/>
          <w:iCs/>
          <w:lang w:val="en-IN"/>
        </w:rPr>
        <w:t>Piper nigrum</w:t>
      </w:r>
      <w:r w:rsidRPr="008A79D1">
        <w:rPr>
          <w:lang w:val="en-IN"/>
        </w:rPr>
        <w:t xml:space="preserve"> L.). </w:t>
      </w:r>
      <w:r w:rsidRPr="008A79D1">
        <w:rPr>
          <w:i/>
          <w:iCs/>
          <w:lang w:val="en-IN"/>
        </w:rPr>
        <w:t>Journal of Plantation Crops, 53</w:t>
      </w:r>
      <w:r w:rsidRPr="008A79D1">
        <w:rPr>
          <w:lang w:val="en-IN"/>
        </w:rPr>
        <w:t xml:space="preserve">(2), 312–315. </w:t>
      </w:r>
      <w:hyperlink r:id="rId9" w:tgtFrame="_new" w:history="1">
        <w:r w:rsidRPr="008A79D1">
          <w:rPr>
            <w:rStyle w:val="Hyperlink"/>
            <w:color w:val="auto"/>
            <w:lang w:val="en-IN"/>
          </w:rPr>
          <w:t>https://doi.org/10.5958/2349-4433.2025.00056.0</w:t>
        </w:r>
      </w:hyperlink>
    </w:p>
    <w:p w14:paraId="5DFC0B80" w14:textId="77777777" w:rsidR="00B737E0" w:rsidRPr="008A79D1" w:rsidRDefault="00B737E0" w:rsidP="008A79D1">
      <w:pPr>
        <w:pStyle w:val="NormalWeb"/>
        <w:spacing w:before="0" w:beforeAutospacing="0" w:after="0" w:afterAutospacing="0"/>
        <w:ind w:left="720" w:hanging="720"/>
        <w:jc w:val="both"/>
        <w:rPr>
          <w:lang w:val="en-IN"/>
        </w:rPr>
      </w:pPr>
    </w:p>
    <w:sectPr w:rsidR="00B737E0" w:rsidRPr="008A79D1" w:rsidSect="00451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C27AF"/>
    <w:multiLevelType w:val="hybridMultilevel"/>
    <w:tmpl w:val="54166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C64AE"/>
    <w:multiLevelType w:val="multilevel"/>
    <w:tmpl w:val="76DAE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D0A81"/>
    <w:multiLevelType w:val="hybridMultilevel"/>
    <w:tmpl w:val="B10A78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34E88"/>
    <w:multiLevelType w:val="hybridMultilevel"/>
    <w:tmpl w:val="109A5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207C9"/>
    <w:multiLevelType w:val="hybridMultilevel"/>
    <w:tmpl w:val="AC1E7382"/>
    <w:lvl w:ilvl="0" w:tplc="FFFFFFF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E5E7B60"/>
    <w:multiLevelType w:val="multilevel"/>
    <w:tmpl w:val="A53A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2665D1"/>
    <w:multiLevelType w:val="hybridMultilevel"/>
    <w:tmpl w:val="109A5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F6456"/>
    <w:multiLevelType w:val="multilevel"/>
    <w:tmpl w:val="279A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8507B7"/>
    <w:multiLevelType w:val="hybridMultilevel"/>
    <w:tmpl w:val="E37A83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B351A8"/>
    <w:multiLevelType w:val="hybridMultilevel"/>
    <w:tmpl w:val="D444DB9A"/>
    <w:lvl w:ilvl="0" w:tplc="4009000F">
      <w:start w:val="1"/>
      <w:numFmt w:val="decimal"/>
      <w:lvlText w:val="%1."/>
      <w:lvlJc w:val="left"/>
      <w:pPr>
        <w:ind w:left="1604" w:hanging="360"/>
      </w:pPr>
    </w:lvl>
    <w:lvl w:ilvl="1" w:tplc="40090019" w:tentative="1">
      <w:start w:val="1"/>
      <w:numFmt w:val="lowerLetter"/>
      <w:lvlText w:val="%2."/>
      <w:lvlJc w:val="left"/>
      <w:pPr>
        <w:ind w:left="2324" w:hanging="360"/>
      </w:pPr>
    </w:lvl>
    <w:lvl w:ilvl="2" w:tplc="4009001B" w:tentative="1">
      <w:start w:val="1"/>
      <w:numFmt w:val="lowerRoman"/>
      <w:lvlText w:val="%3."/>
      <w:lvlJc w:val="right"/>
      <w:pPr>
        <w:ind w:left="3044" w:hanging="180"/>
      </w:pPr>
    </w:lvl>
    <w:lvl w:ilvl="3" w:tplc="4009000F" w:tentative="1">
      <w:start w:val="1"/>
      <w:numFmt w:val="decimal"/>
      <w:lvlText w:val="%4."/>
      <w:lvlJc w:val="left"/>
      <w:pPr>
        <w:ind w:left="3764" w:hanging="360"/>
      </w:pPr>
    </w:lvl>
    <w:lvl w:ilvl="4" w:tplc="40090019" w:tentative="1">
      <w:start w:val="1"/>
      <w:numFmt w:val="lowerLetter"/>
      <w:lvlText w:val="%5."/>
      <w:lvlJc w:val="left"/>
      <w:pPr>
        <w:ind w:left="4484" w:hanging="360"/>
      </w:pPr>
    </w:lvl>
    <w:lvl w:ilvl="5" w:tplc="4009001B" w:tentative="1">
      <w:start w:val="1"/>
      <w:numFmt w:val="lowerRoman"/>
      <w:lvlText w:val="%6."/>
      <w:lvlJc w:val="right"/>
      <w:pPr>
        <w:ind w:left="5204" w:hanging="180"/>
      </w:pPr>
    </w:lvl>
    <w:lvl w:ilvl="6" w:tplc="4009000F" w:tentative="1">
      <w:start w:val="1"/>
      <w:numFmt w:val="decimal"/>
      <w:lvlText w:val="%7."/>
      <w:lvlJc w:val="left"/>
      <w:pPr>
        <w:ind w:left="5924" w:hanging="360"/>
      </w:pPr>
    </w:lvl>
    <w:lvl w:ilvl="7" w:tplc="40090019" w:tentative="1">
      <w:start w:val="1"/>
      <w:numFmt w:val="lowerLetter"/>
      <w:lvlText w:val="%8."/>
      <w:lvlJc w:val="left"/>
      <w:pPr>
        <w:ind w:left="6644" w:hanging="360"/>
      </w:pPr>
    </w:lvl>
    <w:lvl w:ilvl="8" w:tplc="4009001B" w:tentative="1">
      <w:start w:val="1"/>
      <w:numFmt w:val="lowerRoman"/>
      <w:lvlText w:val="%9."/>
      <w:lvlJc w:val="right"/>
      <w:pPr>
        <w:ind w:left="7364" w:hanging="180"/>
      </w:pPr>
    </w:lvl>
  </w:abstractNum>
  <w:abstractNum w:abstractNumId="10" w15:restartNumberingAfterBreak="0">
    <w:nsid w:val="49EC1B80"/>
    <w:multiLevelType w:val="hybridMultilevel"/>
    <w:tmpl w:val="60EA619E"/>
    <w:lvl w:ilvl="0" w:tplc="DBBA17E6">
      <w:start w:val="1"/>
      <w:numFmt w:val="decimal"/>
      <w:lvlText w:val="%1."/>
      <w:lvlJc w:val="left"/>
      <w:pPr>
        <w:ind w:left="360" w:hanging="360"/>
      </w:pPr>
      <w:rPr>
        <w:rFonts w:hint="default"/>
      </w:rPr>
    </w:lvl>
    <w:lvl w:ilvl="1" w:tplc="7A1056F2">
      <w:start w:val="1"/>
      <w:numFmt w:val="decimal"/>
      <w:lvlText w:val="%2."/>
      <w:lvlJc w:val="left"/>
      <w:pPr>
        <w:ind w:left="1080" w:hanging="360"/>
      </w:pPr>
      <w:rPr>
        <w:rFonts w:hint="default"/>
        <w:b/>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4DF27F0A"/>
    <w:multiLevelType w:val="hybridMultilevel"/>
    <w:tmpl w:val="0CEADBF4"/>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b/>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70B30BE"/>
    <w:multiLevelType w:val="multilevel"/>
    <w:tmpl w:val="2B84B17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8"/>
  </w:num>
  <w:num w:numId="4">
    <w:abstractNumId w:val="3"/>
  </w:num>
  <w:num w:numId="5">
    <w:abstractNumId w:val="5"/>
  </w:num>
  <w:num w:numId="6">
    <w:abstractNumId w:val="7"/>
  </w:num>
  <w:num w:numId="7">
    <w:abstractNumId w:val="1"/>
  </w:num>
  <w:num w:numId="8">
    <w:abstractNumId w:val="12"/>
  </w:num>
  <w:num w:numId="9">
    <w:abstractNumId w:val="0"/>
  </w:num>
  <w:num w:numId="10">
    <w:abstractNumId w:val="9"/>
  </w:num>
  <w:num w:numId="11">
    <w:abstractNumId w:val="10"/>
  </w:num>
  <w:num w:numId="12">
    <w:abstractNumId w:val="1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SxNDYzNzQ0NTQ0NzVU0lEKTi0uzszPAykwqgUA0tXgEywAAAA="/>
  </w:docVars>
  <w:rsids>
    <w:rsidRoot w:val="0055031C"/>
    <w:rsid w:val="00024803"/>
    <w:rsid w:val="00067236"/>
    <w:rsid w:val="000949EE"/>
    <w:rsid w:val="000F5400"/>
    <w:rsid w:val="0012193F"/>
    <w:rsid w:val="00143764"/>
    <w:rsid w:val="0014393B"/>
    <w:rsid w:val="001767F4"/>
    <w:rsid w:val="00180761"/>
    <w:rsid w:val="001853DC"/>
    <w:rsid w:val="001B1538"/>
    <w:rsid w:val="001C19AF"/>
    <w:rsid w:val="002042B1"/>
    <w:rsid w:val="00215BCC"/>
    <w:rsid w:val="00245803"/>
    <w:rsid w:val="00271703"/>
    <w:rsid w:val="002727FE"/>
    <w:rsid w:val="00282459"/>
    <w:rsid w:val="002A4917"/>
    <w:rsid w:val="002B29DA"/>
    <w:rsid w:val="003248D4"/>
    <w:rsid w:val="00332020"/>
    <w:rsid w:val="00342158"/>
    <w:rsid w:val="00365DA8"/>
    <w:rsid w:val="003858E5"/>
    <w:rsid w:val="003A1B74"/>
    <w:rsid w:val="003A553C"/>
    <w:rsid w:val="003C1CB8"/>
    <w:rsid w:val="003C660E"/>
    <w:rsid w:val="003D62B0"/>
    <w:rsid w:val="003E6C1B"/>
    <w:rsid w:val="003F78EF"/>
    <w:rsid w:val="00404ADD"/>
    <w:rsid w:val="004343E4"/>
    <w:rsid w:val="004433A0"/>
    <w:rsid w:val="004516CF"/>
    <w:rsid w:val="00465FB9"/>
    <w:rsid w:val="004915FA"/>
    <w:rsid w:val="004A0E41"/>
    <w:rsid w:val="004B798F"/>
    <w:rsid w:val="004F6D91"/>
    <w:rsid w:val="00501402"/>
    <w:rsid w:val="00505909"/>
    <w:rsid w:val="00510378"/>
    <w:rsid w:val="005251C2"/>
    <w:rsid w:val="0055031C"/>
    <w:rsid w:val="005B4E3B"/>
    <w:rsid w:val="005D28D5"/>
    <w:rsid w:val="0060653F"/>
    <w:rsid w:val="00621666"/>
    <w:rsid w:val="00633470"/>
    <w:rsid w:val="00645D03"/>
    <w:rsid w:val="006533B2"/>
    <w:rsid w:val="00664CCD"/>
    <w:rsid w:val="0067173A"/>
    <w:rsid w:val="0068100A"/>
    <w:rsid w:val="0069259D"/>
    <w:rsid w:val="006A1CB3"/>
    <w:rsid w:val="006C5FC3"/>
    <w:rsid w:val="006E332D"/>
    <w:rsid w:val="006F0BA0"/>
    <w:rsid w:val="006F4F41"/>
    <w:rsid w:val="007263B3"/>
    <w:rsid w:val="007401CE"/>
    <w:rsid w:val="00753B27"/>
    <w:rsid w:val="00771B04"/>
    <w:rsid w:val="0079799F"/>
    <w:rsid w:val="007A2BE8"/>
    <w:rsid w:val="007B48F5"/>
    <w:rsid w:val="007E609A"/>
    <w:rsid w:val="007F0AF1"/>
    <w:rsid w:val="00810E60"/>
    <w:rsid w:val="00833105"/>
    <w:rsid w:val="00853A52"/>
    <w:rsid w:val="00873379"/>
    <w:rsid w:val="008951CD"/>
    <w:rsid w:val="008A2973"/>
    <w:rsid w:val="008A79D1"/>
    <w:rsid w:val="008A7CB4"/>
    <w:rsid w:val="008B7340"/>
    <w:rsid w:val="008E6A4C"/>
    <w:rsid w:val="009214CF"/>
    <w:rsid w:val="00921559"/>
    <w:rsid w:val="00962326"/>
    <w:rsid w:val="0096641B"/>
    <w:rsid w:val="00977935"/>
    <w:rsid w:val="00993121"/>
    <w:rsid w:val="009A204B"/>
    <w:rsid w:val="009A6355"/>
    <w:rsid w:val="00A017D6"/>
    <w:rsid w:val="00A07FF9"/>
    <w:rsid w:val="00A1171E"/>
    <w:rsid w:val="00A43C20"/>
    <w:rsid w:val="00A70A3C"/>
    <w:rsid w:val="00A72CC9"/>
    <w:rsid w:val="00A837EF"/>
    <w:rsid w:val="00A93EF4"/>
    <w:rsid w:val="00AA6C10"/>
    <w:rsid w:val="00AA7BA1"/>
    <w:rsid w:val="00AF0398"/>
    <w:rsid w:val="00B609F2"/>
    <w:rsid w:val="00B635BD"/>
    <w:rsid w:val="00B651C0"/>
    <w:rsid w:val="00B737E0"/>
    <w:rsid w:val="00BA6D72"/>
    <w:rsid w:val="00BB3E14"/>
    <w:rsid w:val="00BD1BBC"/>
    <w:rsid w:val="00C20404"/>
    <w:rsid w:val="00C25241"/>
    <w:rsid w:val="00C5336D"/>
    <w:rsid w:val="00C77397"/>
    <w:rsid w:val="00C905CF"/>
    <w:rsid w:val="00CB2598"/>
    <w:rsid w:val="00CB6002"/>
    <w:rsid w:val="00CC0AA2"/>
    <w:rsid w:val="00D27FF3"/>
    <w:rsid w:val="00D446D2"/>
    <w:rsid w:val="00D45555"/>
    <w:rsid w:val="00D562AE"/>
    <w:rsid w:val="00D615CD"/>
    <w:rsid w:val="00D93B26"/>
    <w:rsid w:val="00E2184D"/>
    <w:rsid w:val="00E47E46"/>
    <w:rsid w:val="00E5284C"/>
    <w:rsid w:val="00E9608C"/>
    <w:rsid w:val="00EC39DC"/>
    <w:rsid w:val="00EF057F"/>
    <w:rsid w:val="00EF7AAB"/>
    <w:rsid w:val="00F01562"/>
    <w:rsid w:val="00F1051F"/>
    <w:rsid w:val="00F1563B"/>
    <w:rsid w:val="00F6005A"/>
    <w:rsid w:val="00F93B9F"/>
    <w:rsid w:val="00F95C42"/>
    <w:rsid w:val="00FA78B8"/>
    <w:rsid w:val="00FB2256"/>
    <w:rsid w:val="00FB6C7E"/>
    <w:rsid w:val="00FF00B1"/>
    <w:rsid w:val="00FF65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045E"/>
  <w15:docId w15:val="{2189E0A6-AB10-4ECE-9735-99DCA2B2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62AE"/>
  </w:style>
  <w:style w:type="paragraph" w:styleId="Heading3">
    <w:name w:val="heading 3"/>
    <w:basedOn w:val="Normal"/>
    <w:link w:val="Heading3Char"/>
    <w:uiPriority w:val="9"/>
    <w:qFormat/>
    <w:rsid w:val="004B798F"/>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031C"/>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55031C"/>
    <w:rPr>
      <w:i/>
      <w:iCs/>
    </w:rPr>
  </w:style>
  <w:style w:type="table" w:styleId="TableGrid">
    <w:name w:val="Table Grid"/>
    <w:basedOn w:val="TableNormal"/>
    <w:uiPriority w:val="39"/>
    <w:rsid w:val="00833105"/>
    <w:pPr>
      <w:spacing w:after="0" w:line="240" w:lineRule="auto"/>
      <w:ind w:firstLine="0"/>
      <w:jc w:val="left"/>
    </w:pPr>
    <w:rPr>
      <w:kern w:val="2"/>
      <w:lang w:val="en-IN"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B798F"/>
    <w:rPr>
      <w:rFonts w:ascii="Times New Roman" w:eastAsia="Times New Roman" w:hAnsi="Times New Roman" w:cs="Times New Roman"/>
      <w:b/>
      <w:bCs/>
      <w:sz w:val="27"/>
      <w:szCs w:val="27"/>
    </w:rPr>
  </w:style>
  <w:style w:type="character" w:styleId="Strong">
    <w:name w:val="Strong"/>
    <w:basedOn w:val="DefaultParagraphFont"/>
    <w:uiPriority w:val="22"/>
    <w:qFormat/>
    <w:rsid w:val="004B798F"/>
    <w:rPr>
      <w:b/>
      <w:bCs/>
    </w:rPr>
  </w:style>
  <w:style w:type="character" w:customStyle="1" w:styleId="mord">
    <w:name w:val="mord"/>
    <w:basedOn w:val="DefaultParagraphFont"/>
    <w:rsid w:val="005251C2"/>
  </w:style>
  <w:style w:type="character" w:customStyle="1" w:styleId="mspace">
    <w:name w:val="mspace"/>
    <w:basedOn w:val="DefaultParagraphFont"/>
    <w:rsid w:val="005251C2"/>
  </w:style>
  <w:style w:type="paragraph" w:styleId="ListParagraph">
    <w:name w:val="List Paragraph"/>
    <w:basedOn w:val="Normal"/>
    <w:uiPriority w:val="34"/>
    <w:qFormat/>
    <w:rsid w:val="005251C2"/>
    <w:pPr>
      <w:ind w:left="720"/>
      <w:contextualSpacing/>
    </w:pPr>
  </w:style>
  <w:style w:type="paragraph" w:customStyle="1" w:styleId="ds-markdown-paragraph">
    <w:name w:val="ds-markdown-paragraph"/>
    <w:basedOn w:val="Normal"/>
    <w:rsid w:val="00C25241"/>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5241"/>
    <w:rPr>
      <w:color w:val="0000FF"/>
      <w:u w:val="single"/>
    </w:rPr>
  </w:style>
  <w:style w:type="paragraph" w:styleId="BodyText">
    <w:name w:val="Body Text"/>
    <w:basedOn w:val="Normal"/>
    <w:link w:val="BodyTextChar"/>
    <w:uiPriority w:val="1"/>
    <w:qFormat/>
    <w:rsid w:val="00664CCD"/>
    <w:pPr>
      <w:widowControl w:val="0"/>
      <w:autoSpaceDE w:val="0"/>
      <w:autoSpaceDN w:val="0"/>
      <w:spacing w:after="0" w:line="240" w:lineRule="auto"/>
      <w:ind w:firstLine="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64CCD"/>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D2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1075">
      <w:bodyDiv w:val="1"/>
      <w:marLeft w:val="0"/>
      <w:marRight w:val="0"/>
      <w:marTop w:val="0"/>
      <w:marBottom w:val="0"/>
      <w:divBdr>
        <w:top w:val="none" w:sz="0" w:space="0" w:color="auto"/>
        <w:left w:val="none" w:sz="0" w:space="0" w:color="auto"/>
        <w:bottom w:val="none" w:sz="0" w:space="0" w:color="auto"/>
        <w:right w:val="none" w:sz="0" w:space="0" w:color="auto"/>
      </w:divBdr>
    </w:div>
    <w:div w:id="173034287">
      <w:bodyDiv w:val="1"/>
      <w:marLeft w:val="0"/>
      <w:marRight w:val="0"/>
      <w:marTop w:val="0"/>
      <w:marBottom w:val="0"/>
      <w:divBdr>
        <w:top w:val="none" w:sz="0" w:space="0" w:color="auto"/>
        <w:left w:val="none" w:sz="0" w:space="0" w:color="auto"/>
        <w:bottom w:val="none" w:sz="0" w:space="0" w:color="auto"/>
        <w:right w:val="none" w:sz="0" w:space="0" w:color="auto"/>
      </w:divBdr>
    </w:div>
    <w:div w:id="262610680">
      <w:bodyDiv w:val="1"/>
      <w:marLeft w:val="0"/>
      <w:marRight w:val="0"/>
      <w:marTop w:val="0"/>
      <w:marBottom w:val="0"/>
      <w:divBdr>
        <w:top w:val="none" w:sz="0" w:space="0" w:color="auto"/>
        <w:left w:val="none" w:sz="0" w:space="0" w:color="auto"/>
        <w:bottom w:val="none" w:sz="0" w:space="0" w:color="auto"/>
        <w:right w:val="none" w:sz="0" w:space="0" w:color="auto"/>
      </w:divBdr>
    </w:div>
    <w:div w:id="282656828">
      <w:bodyDiv w:val="1"/>
      <w:marLeft w:val="0"/>
      <w:marRight w:val="0"/>
      <w:marTop w:val="0"/>
      <w:marBottom w:val="0"/>
      <w:divBdr>
        <w:top w:val="none" w:sz="0" w:space="0" w:color="auto"/>
        <w:left w:val="none" w:sz="0" w:space="0" w:color="auto"/>
        <w:bottom w:val="none" w:sz="0" w:space="0" w:color="auto"/>
        <w:right w:val="none" w:sz="0" w:space="0" w:color="auto"/>
      </w:divBdr>
    </w:div>
    <w:div w:id="328027846">
      <w:bodyDiv w:val="1"/>
      <w:marLeft w:val="0"/>
      <w:marRight w:val="0"/>
      <w:marTop w:val="0"/>
      <w:marBottom w:val="0"/>
      <w:divBdr>
        <w:top w:val="none" w:sz="0" w:space="0" w:color="auto"/>
        <w:left w:val="none" w:sz="0" w:space="0" w:color="auto"/>
        <w:bottom w:val="none" w:sz="0" w:space="0" w:color="auto"/>
        <w:right w:val="none" w:sz="0" w:space="0" w:color="auto"/>
      </w:divBdr>
    </w:div>
    <w:div w:id="408969429">
      <w:bodyDiv w:val="1"/>
      <w:marLeft w:val="0"/>
      <w:marRight w:val="0"/>
      <w:marTop w:val="0"/>
      <w:marBottom w:val="0"/>
      <w:divBdr>
        <w:top w:val="none" w:sz="0" w:space="0" w:color="auto"/>
        <w:left w:val="none" w:sz="0" w:space="0" w:color="auto"/>
        <w:bottom w:val="none" w:sz="0" w:space="0" w:color="auto"/>
        <w:right w:val="none" w:sz="0" w:space="0" w:color="auto"/>
      </w:divBdr>
    </w:div>
    <w:div w:id="486746115">
      <w:bodyDiv w:val="1"/>
      <w:marLeft w:val="0"/>
      <w:marRight w:val="0"/>
      <w:marTop w:val="0"/>
      <w:marBottom w:val="0"/>
      <w:divBdr>
        <w:top w:val="none" w:sz="0" w:space="0" w:color="auto"/>
        <w:left w:val="none" w:sz="0" w:space="0" w:color="auto"/>
        <w:bottom w:val="none" w:sz="0" w:space="0" w:color="auto"/>
        <w:right w:val="none" w:sz="0" w:space="0" w:color="auto"/>
      </w:divBdr>
    </w:div>
    <w:div w:id="589974442">
      <w:bodyDiv w:val="1"/>
      <w:marLeft w:val="0"/>
      <w:marRight w:val="0"/>
      <w:marTop w:val="0"/>
      <w:marBottom w:val="0"/>
      <w:divBdr>
        <w:top w:val="none" w:sz="0" w:space="0" w:color="auto"/>
        <w:left w:val="none" w:sz="0" w:space="0" w:color="auto"/>
        <w:bottom w:val="none" w:sz="0" w:space="0" w:color="auto"/>
        <w:right w:val="none" w:sz="0" w:space="0" w:color="auto"/>
      </w:divBdr>
    </w:div>
    <w:div w:id="619074809">
      <w:bodyDiv w:val="1"/>
      <w:marLeft w:val="0"/>
      <w:marRight w:val="0"/>
      <w:marTop w:val="0"/>
      <w:marBottom w:val="0"/>
      <w:divBdr>
        <w:top w:val="none" w:sz="0" w:space="0" w:color="auto"/>
        <w:left w:val="none" w:sz="0" w:space="0" w:color="auto"/>
        <w:bottom w:val="none" w:sz="0" w:space="0" w:color="auto"/>
        <w:right w:val="none" w:sz="0" w:space="0" w:color="auto"/>
      </w:divBdr>
    </w:div>
    <w:div w:id="708991465">
      <w:bodyDiv w:val="1"/>
      <w:marLeft w:val="0"/>
      <w:marRight w:val="0"/>
      <w:marTop w:val="0"/>
      <w:marBottom w:val="0"/>
      <w:divBdr>
        <w:top w:val="none" w:sz="0" w:space="0" w:color="auto"/>
        <w:left w:val="none" w:sz="0" w:space="0" w:color="auto"/>
        <w:bottom w:val="none" w:sz="0" w:space="0" w:color="auto"/>
        <w:right w:val="none" w:sz="0" w:space="0" w:color="auto"/>
      </w:divBdr>
    </w:div>
    <w:div w:id="787894997">
      <w:bodyDiv w:val="1"/>
      <w:marLeft w:val="0"/>
      <w:marRight w:val="0"/>
      <w:marTop w:val="0"/>
      <w:marBottom w:val="0"/>
      <w:divBdr>
        <w:top w:val="none" w:sz="0" w:space="0" w:color="auto"/>
        <w:left w:val="none" w:sz="0" w:space="0" w:color="auto"/>
        <w:bottom w:val="none" w:sz="0" w:space="0" w:color="auto"/>
        <w:right w:val="none" w:sz="0" w:space="0" w:color="auto"/>
      </w:divBdr>
    </w:div>
    <w:div w:id="826242514">
      <w:bodyDiv w:val="1"/>
      <w:marLeft w:val="0"/>
      <w:marRight w:val="0"/>
      <w:marTop w:val="0"/>
      <w:marBottom w:val="0"/>
      <w:divBdr>
        <w:top w:val="none" w:sz="0" w:space="0" w:color="auto"/>
        <w:left w:val="none" w:sz="0" w:space="0" w:color="auto"/>
        <w:bottom w:val="none" w:sz="0" w:space="0" w:color="auto"/>
        <w:right w:val="none" w:sz="0" w:space="0" w:color="auto"/>
      </w:divBdr>
    </w:div>
    <w:div w:id="874854197">
      <w:bodyDiv w:val="1"/>
      <w:marLeft w:val="0"/>
      <w:marRight w:val="0"/>
      <w:marTop w:val="0"/>
      <w:marBottom w:val="0"/>
      <w:divBdr>
        <w:top w:val="none" w:sz="0" w:space="0" w:color="auto"/>
        <w:left w:val="none" w:sz="0" w:space="0" w:color="auto"/>
        <w:bottom w:val="none" w:sz="0" w:space="0" w:color="auto"/>
        <w:right w:val="none" w:sz="0" w:space="0" w:color="auto"/>
      </w:divBdr>
    </w:div>
    <w:div w:id="1019699777">
      <w:bodyDiv w:val="1"/>
      <w:marLeft w:val="0"/>
      <w:marRight w:val="0"/>
      <w:marTop w:val="0"/>
      <w:marBottom w:val="0"/>
      <w:divBdr>
        <w:top w:val="none" w:sz="0" w:space="0" w:color="auto"/>
        <w:left w:val="none" w:sz="0" w:space="0" w:color="auto"/>
        <w:bottom w:val="none" w:sz="0" w:space="0" w:color="auto"/>
        <w:right w:val="none" w:sz="0" w:space="0" w:color="auto"/>
      </w:divBdr>
    </w:div>
    <w:div w:id="1043479659">
      <w:bodyDiv w:val="1"/>
      <w:marLeft w:val="0"/>
      <w:marRight w:val="0"/>
      <w:marTop w:val="0"/>
      <w:marBottom w:val="0"/>
      <w:divBdr>
        <w:top w:val="none" w:sz="0" w:space="0" w:color="auto"/>
        <w:left w:val="none" w:sz="0" w:space="0" w:color="auto"/>
        <w:bottom w:val="none" w:sz="0" w:space="0" w:color="auto"/>
        <w:right w:val="none" w:sz="0" w:space="0" w:color="auto"/>
      </w:divBdr>
    </w:div>
    <w:div w:id="1441216868">
      <w:bodyDiv w:val="1"/>
      <w:marLeft w:val="0"/>
      <w:marRight w:val="0"/>
      <w:marTop w:val="0"/>
      <w:marBottom w:val="0"/>
      <w:divBdr>
        <w:top w:val="none" w:sz="0" w:space="0" w:color="auto"/>
        <w:left w:val="none" w:sz="0" w:space="0" w:color="auto"/>
        <w:bottom w:val="none" w:sz="0" w:space="0" w:color="auto"/>
        <w:right w:val="none" w:sz="0" w:space="0" w:color="auto"/>
      </w:divBdr>
    </w:div>
    <w:div w:id="1549225832">
      <w:bodyDiv w:val="1"/>
      <w:marLeft w:val="0"/>
      <w:marRight w:val="0"/>
      <w:marTop w:val="0"/>
      <w:marBottom w:val="0"/>
      <w:divBdr>
        <w:top w:val="none" w:sz="0" w:space="0" w:color="auto"/>
        <w:left w:val="none" w:sz="0" w:space="0" w:color="auto"/>
        <w:bottom w:val="none" w:sz="0" w:space="0" w:color="auto"/>
        <w:right w:val="none" w:sz="0" w:space="0" w:color="auto"/>
      </w:divBdr>
    </w:div>
    <w:div w:id="1628703016">
      <w:bodyDiv w:val="1"/>
      <w:marLeft w:val="0"/>
      <w:marRight w:val="0"/>
      <w:marTop w:val="0"/>
      <w:marBottom w:val="0"/>
      <w:divBdr>
        <w:top w:val="none" w:sz="0" w:space="0" w:color="auto"/>
        <w:left w:val="none" w:sz="0" w:space="0" w:color="auto"/>
        <w:bottom w:val="none" w:sz="0" w:space="0" w:color="auto"/>
        <w:right w:val="none" w:sz="0" w:space="0" w:color="auto"/>
      </w:divBdr>
    </w:div>
    <w:div w:id="1696880631">
      <w:bodyDiv w:val="1"/>
      <w:marLeft w:val="0"/>
      <w:marRight w:val="0"/>
      <w:marTop w:val="0"/>
      <w:marBottom w:val="0"/>
      <w:divBdr>
        <w:top w:val="none" w:sz="0" w:space="0" w:color="auto"/>
        <w:left w:val="none" w:sz="0" w:space="0" w:color="auto"/>
        <w:bottom w:val="none" w:sz="0" w:space="0" w:color="auto"/>
        <w:right w:val="none" w:sz="0" w:space="0" w:color="auto"/>
      </w:divBdr>
    </w:div>
    <w:div w:id="1912035756">
      <w:bodyDiv w:val="1"/>
      <w:marLeft w:val="0"/>
      <w:marRight w:val="0"/>
      <w:marTop w:val="0"/>
      <w:marBottom w:val="0"/>
      <w:divBdr>
        <w:top w:val="none" w:sz="0" w:space="0" w:color="auto"/>
        <w:left w:val="none" w:sz="0" w:space="0" w:color="auto"/>
        <w:bottom w:val="none" w:sz="0" w:space="0" w:color="auto"/>
        <w:right w:val="none" w:sz="0" w:space="0" w:color="auto"/>
      </w:divBdr>
    </w:div>
    <w:div w:id="1991713479">
      <w:bodyDiv w:val="1"/>
      <w:marLeft w:val="0"/>
      <w:marRight w:val="0"/>
      <w:marTop w:val="0"/>
      <w:marBottom w:val="0"/>
      <w:divBdr>
        <w:top w:val="none" w:sz="0" w:space="0" w:color="auto"/>
        <w:left w:val="none" w:sz="0" w:space="0" w:color="auto"/>
        <w:bottom w:val="none" w:sz="0" w:space="0" w:color="auto"/>
        <w:right w:val="none" w:sz="0" w:space="0" w:color="auto"/>
      </w:divBdr>
    </w:div>
    <w:div w:id="2051608366">
      <w:bodyDiv w:val="1"/>
      <w:marLeft w:val="0"/>
      <w:marRight w:val="0"/>
      <w:marTop w:val="0"/>
      <w:marBottom w:val="0"/>
      <w:divBdr>
        <w:top w:val="none" w:sz="0" w:space="0" w:color="auto"/>
        <w:left w:val="none" w:sz="0" w:space="0" w:color="auto"/>
        <w:bottom w:val="none" w:sz="0" w:space="0" w:color="auto"/>
        <w:right w:val="none" w:sz="0" w:space="0" w:color="auto"/>
      </w:divBdr>
    </w:div>
    <w:div w:id="21254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1470/PLANTARCHIVES.2025.v25.supplement-2.246" TargetMode="External"/><Relationship Id="rId3" Type="http://schemas.openxmlformats.org/officeDocument/2006/relationships/settings" Target="settings.xml"/><Relationship Id="rId7" Type="http://schemas.openxmlformats.org/officeDocument/2006/relationships/hyperlink" Target="https://doi.org/10.33545/26174693.2025.v9.i9so.56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9734/jabb/2025/v28i93022" TargetMode="External"/><Relationship Id="rId11" Type="http://schemas.openxmlformats.org/officeDocument/2006/relationships/theme" Target="theme/theme1.xml"/><Relationship Id="rId5" Type="http://schemas.openxmlformats.org/officeDocument/2006/relationships/hyperlink" Target="https://doi.org/10.5958/2349-4433.2025.00054.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5958/2349-4433.2025.0005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9</Pages>
  <Words>3773</Words>
  <Characters>21512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sharvesh</dc:creator>
  <cp:lastModifiedBy>SDI PC New 16</cp:lastModifiedBy>
  <cp:revision>108</cp:revision>
  <dcterms:created xsi:type="dcterms:W3CDTF">2025-05-24T06:12:00Z</dcterms:created>
  <dcterms:modified xsi:type="dcterms:W3CDTF">2026-04-25T10:13:00Z</dcterms:modified>
</cp:coreProperties>
</file>