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E8F14" w14:textId="77777777" w:rsidR="00A64E78" w:rsidRPr="00BA7381" w:rsidRDefault="00A64E78">
      <w:pPr>
        <w:spacing w:before="100"/>
        <w:rPr>
          <w:color w:val="000000" w:themeColor="text1"/>
        </w:rPr>
      </w:pPr>
    </w:p>
    <w:p w14:paraId="44C2A7A5" w14:textId="618CF61F" w:rsidR="00311A6D" w:rsidRPr="008A58BF" w:rsidRDefault="00BE7919" w:rsidP="008F3906">
      <w:pPr>
        <w:spacing w:before="180"/>
        <w:jc w:val="center"/>
        <w:rPr>
          <w:b/>
          <w:bCs/>
          <w:color w:val="000000" w:themeColor="text1"/>
          <w:sz w:val="34"/>
          <w:szCs w:val="34"/>
        </w:rPr>
      </w:pPr>
      <w:r w:rsidRPr="00BE7919">
        <w:rPr>
          <w:b/>
          <w:bCs/>
          <w:color w:val="000000" w:themeColor="text1"/>
          <w:sz w:val="34"/>
          <w:szCs w:val="34"/>
        </w:rPr>
        <w:t>Emigration Intentions and Drivers among Residents of Colombo Municipal Council, Sri Lanka</w:t>
      </w:r>
    </w:p>
    <w:p w14:paraId="6D887035" w14:textId="77777777" w:rsidR="00A64E78" w:rsidRPr="008A58BF" w:rsidRDefault="00A64E78" w:rsidP="00D8325A">
      <w:pPr>
        <w:spacing w:line="276" w:lineRule="auto"/>
      </w:pPr>
    </w:p>
    <w:p w14:paraId="26459EC3" w14:textId="77777777" w:rsidR="00A64E78" w:rsidRPr="008A58BF" w:rsidRDefault="00AA2CF1" w:rsidP="00D8325A">
      <w:pPr>
        <w:spacing w:line="276" w:lineRule="auto"/>
        <w:jc w:val="both"/>
        <w:rPr>
          <w:sz w:val="23"/>
          <w:szCs w:val="23"/>
        </w:rPr>
      </w:pPr>
      <w:r w:rsidRPr="008A58BF">
        <w:rPr>
          <w:b/>
          <w:bCs/>
          <w:sz w:val="23"/>
          <w:szCs w:val="23"/>
        </w:rPr>
        <w:t>Abstract</w:t>
      </w:r>
    </w:p>
    <w:p w14:paraId="1D018CA0" w14:textId="2E3AD4AB" w:rsidR="009A575A" w:rsidRPr="008A58BF" w:rsidRDefault="00AA2CF1" w:rsidP="009A575A">
      <w:pPr>
        <w:jc w:val="both"/>
        <w:rPr>
          <w:color w:val="000000" w:themeColor="text1"/>
          <w:kern w:val="24"/>
        </w:rPr>
      </w:pPr>
      <w:r>
        <w:rPr>
          <w:sz w:val="23"/>
          <w:szCs w:val="23"/>
        </w:rPr>
        <w:t xml:space="preserve">Emigration has been a persistent feature of Sri Lanka's socio-economic landscape since the 1970s, but the 2022 economic crisis triggered an unprecedented surge, with foreign employment departures rising from 122,264 in 2021 to a record 311,161 in 2023. While existing research has examined national-level migration trends and the economic drivers of emigration, limited attention has been given to emigration intentions among highly </w:t>
      </w:r>
      <w:r>
        <w:rPr>
          <w:sz w:val="23"/>
          <w:szCs w:val="23"/>
          <w:highlight w:val="yellow"/>
        </w:rPr>
        <w:t>urbanised</w:t>
      </w:r>
      <w:r>
        <w:rPr>
          <w:sz w:val="23"/>
          <w:szCs w:val="23"/>
        </w:rPr>
        <w:t xml:space="preserve"> populations and their relationship with observed national migration patterns. This study examines the drivers of emigration intentions among residents of the Colombo Municipal Council (CMC), Sri Lanka’s most </w:t>
      </w:r>
      <w:r>
        <w:rPr>
          <w:sz w:val="23"/>
          <w:szCs w:val="23"/>
          <w:highlight w:val="yellow"/>
        </w:rPr>
        <w:t>urbanised</w:t>
      </w:r>
      <w:r>
        <w:rPr>
          <w:sz w:val="23"/>
          <w:szCs w:val="23"/>
        </w:rPr>
        <w:t xml:space="preserve"> and highly educated area, and compares them with national migration trends. A quantitative cross-sectional survey was conducted </w:t>
      </w:r>
      <w:r>
        <w:rPr>
          <w:sz w:val="23"/>
          <w:szCs w:val="23"/>
          <w:highlight w:val="yellow"/>
        </w:rPr>
        <w:t xml:space="preserve">using a structured questionnaire </w:t>
      </w:r>
      <w:r>
        <w:rPr>
          <w:sz w:val="23"/>
          <w:szCs w:val="23"/>
        </w:rPr>
        <w:t xml:space="preserve">among 69 residents of the Colombo Municipal Council (CMC), selected </w:t>
      </w:r>
      <w:r>
        <w:rPr>
          <w:sz w:val="23"/>
          <w:szCs w:val="23"/>
          <w:highlight w:val="yellow"/>
        </w:rPr>
        <w:t>through</w:t>
      </w:r>
      <w:r>
        <w:rPr>
          <w:sz w:val="23"/>
          <w:szCs w:val="23"/>
        </w:rPr>
        <w:t xml:space="preserve"> non-probability convenience </w:t>
      </w:r>
      <w:r>
        <w:rPr>
          <w:sz w:val="23"/>
          <w:szCs w:val="23"/>
          <w:highlight w:val="yellow"/>
        </w:rPr>
        <w:t>sampling.</w:t>
      </w:r>
      <w:r>
        <w:rPr>
          <w:sz w:val="23"/>
          <w:szCs w:val="23"/>
        </w:rPr>
        <w:t xml:space="preserve"> Data were </w:t>
      </w:r>
      <w:r>
        <w:rPr>
          <w:sz w:val="23"/>
          <w:szCs w:val="23"/>
          <w:highlight w:val="yellow"/>
        </w:rPr>
        <w:t>analysed</w:t>
      </w:r>
      <w:r>
        <w:rPr>
          <w:sz w:val="23"/>
          <w:szCs w:val="23"/>
        </w:rPr>
        <w:t xml:space="preserve"> using descriptive statistics, including frequencies and percentages, and the findings were compared with national migration statistics obtained from secondary sources. Emigration </w:t>
      </w:r>
      <w:r>
        <w:rPr>
          <w:sz w:val="23"/>
          <w:szCs w:val="23"/>
          <w:highlight w:val="yellow"/>
        </w:rPr>
        <w:t>intention</w:t>
      </w:r>
      <w:r>
        <w:rPr>
          <w:sz w:val="23"/>
          <w:szCs w:val="23"/>
        </w:rPr>
        <w:t xml:space="preserve"> among respondents was pervasive: 86.4% intended to migrate within the next five years, with economic factors</w:t>
      </w:r>
      <w:r>
        <w:rPr>
          <w:sz w:val="23"/>
          <w:szCs w:val="23"/>
          <w:highlight w:val="yellow"/>
        </w:rPr>
        <w:t xml:space="preserve"> being</w:t>
      </w:r>
      <w:r>
        <w:rPr>
          <w:sz w:val="23"/>
          <w:szCs w:val="23"/>
        </w:rPr>
        <w:t xml:space="preserve"> the dominant motivation, followed by educational and family reasons. Income dissatisfaction was near universal (95.5%), 90.9% believed </w:t>
      </w:r>
      <w:r>
        <w:rPr>
          <w:sz w:val="23"/>
          <w:szCs w:val="23"/>
          <w:highlight w:val="yellow"/>
        </w:rPr>
        <w:t xml:space="preserve">that </w:t>
      </w:r>
      <w:r>
        <w:rPr>
          <w:sz w:val="23"/>
          <w:szCs w:val="23"/>
        </w:rPr>
        <w:t xml:space="preserve">better opportunities </w:t>
      </w:r>
      <w:r>
        <w:rPr>
          <w:sz w:val="23"/>
          <w:szCs w:val="23"/>
          <w:highlight w:val="yellow"/>
        </w:rPr>
        <w:t>existed</w:t>
      </w:r>
      <w:r>
        <w:rPr>
          <w:sz w:val="23"/>
          <w:szCs w:val="23"/>
        </w:rPr>
        <w:t xml:space="preserve"> abroad, and only 22.7% rated their quality of life as good. The comparative analysis shows convergence in economic motivation but sharp divergence in gender and skill profiles: the sample was 63.6% female and 77.3% degree-holding, whereas only 44.7% of actual national departures are female and roughly 21% are classified as skilled. This gap points to constrained migration aspirations among urban women, who face regulatory barriers such as the Family Background Report requirement, and to a distinct brain-drain segment whose departure carries the greatest long-term developmental cost. The study concludes with six evidence-linked policy recommendations: improve income and economic stability, reduce the cost of living, improve urban quality of life, retain skilled human capital, create more quality employment opportunities, and strengthen political stability and good governance.</w:t>
      </w:r>
    </w:p>
    <w:p w14:paraId="5F7C924A" w14:textId="77777777" w:rsidR="009A575A" w:rsidRPr="008A58BF" w:rsidRDefault="009A575A" w:rsidP="009A575A"/>
    <w:p w14:paraId="4D4DECEC" w14:textId="77777777" w:rsidR="00A97D1D" w:rsidRPr="008A58BF" w:rsidRDefault="00A97D1D" w:rsidP="00D8325A">
      <w:pPr>
        <w:spacing w:line="276" w:lineRule="auto"/>
        <w:jc w:val="both"/>
        <w:rPr>
          <w:sz w:val="23"/>
          <w:szCs w:val="23"/>
        </w:rPr>
      </w:pPr>
    </w:p>
    <w:p w14:paraId="081AAE8C" w14:textId="01061B8E" w:rsidR="00A64E78" w:rsidRPr="008A58BF" w:rsidRDefault="00AA2CF1" w:rsidP="00D8325A">
      <w:pPr>
        <w:spacing w:line="276" w:lineRule="auto"/>
        <w:jc w:val="both"/>
        <w:rPr>
          <w:sz w:val="23"/>
          <w:szCs w:val="23"/>
        </w:rPr>
      </w:pPr>
      <w:r w:rsidRPr="008A58BF">
        <w:rPr>
          <w:b/>
          <w:bCs/>
          <w:sz w:val="23"/>
          <w:szCs w:val="23"/>
        </w:rPr>
        <w:t xml:space="preserve">Keywords: </w:t>
      </w:r>
      <w:r w:rsidRPr="008A58BF">
        <w:rPr>
          <w:i/>
          <w:iCs/>
          <w:sz w:val="23"/>
          <w:szCs w:val="23"/>
        </w:rPr>
        <w:t>migration, emigration drivers, Sri Lanka, Colombo Municipal Council, push-pull factors, brain drain</w:t>
      </w:r>
      <w:r w:rsidR="005B70D8" w:rsidRPr="008A58BF">
        <w:rPr>
          <w:i/>
          <w:iCs/>
          <w:sz w:val="23"/>
          <w:szCs w:val="23"/>
        </w:rPr>
        <w:t>.</w:t>
      </w:r>
    </w:p>
    <w:p w14:paraId="02A6ED7B" w14:textId="77777777" w:rsidR="00A64E78" w:rsidRPr="008A58BF" w:rsidRDefault="00A64E78" w:rsidP="00D8325A">
      <w:pPr>
        <w:spacing w:line="360" w:lineRule="auto"/>
        <w:jc w:val="both"/>
        <w:rPr>
          <w:sz w:val="23"/>
          <w:szCs w:val="23"/>
        </w:rPr>
        <w:sectPr w:rsidR="00A64E78" w:rsidRPr="008A58BF">
          <w:headerReference w:type="even" r:id="rId8"/>
          <w:headerReference w:type="default" r:id="rId9"/>
          <w:footerReference w:type="even" r:id="rId10"/>
          <w:footerReference w:type="default" r:id="rId11"/>
          <w:headerReference w:type="first" r:id="rId12"/>
          <w:footerReference w:type="first" r:id="rId13"/>
          <w:pgSz w:w="11906" w:h="16838"/>
          <w:pgMar w:top="1152" w:right="1152" w:bottom="1152" w:left="1152" w:header="708" w:footer="708" w:gutter="0"/>
          <w:cols w:space="720"/>
          <w:docGrid w:linePitch="360"/>
        </w:sectPr>
      </w:pPr>
    </w:p>
    <w:p w14:paraId="58F13923" w14:textId="18B1AB36" w:rsidR="00A64E78" w:rsidRPr="008A58BF" w:rsidRDefault="00A97D1D" w:rsidP="0047422D">
      <w:pPr>
        <w:pStyle w:val="Heading1"/>
        <w:numPr>
          <w:ilvl w:val="0"/>
          <w:numId w:val="4"/>
        </w:numPr>
        <w:pBdr>
          <w:bottom w:val="none" w:sz="0" w:space="0" w:color="auto"/>
        </w:pBdr>
        <w:rPr>
          <w:color w:val="000000" w:themeColor="text1"/>
        </w:rPr>
      </w:pPr>
      <w:r w:rsidRPr="008A58BF">
        <w:rPr>
          <w:color w:val="000000" w:themeColor="text1"/>
        </w:rPr>
        <w:lastRenderedPageBreak/>
        <w:t>Introduction</w:t>
      </w:r>
    </w:p>
    <w:p w14:paraId="08D44D9B" w14:textId="77777777" w:rsidR="00C503C2" w:rsidRPr="00C503C2" w:rsidRDefault="00C503C2" w:rsidP="00C503C2">
      <w:pPr>
        <w:pStyle w:val="NormalWeb"/>
        <w:spacing w:line="360" w:lineRule="auto"/>
        <w:jc w:val="both"/>
      </w:pPr>
      <w:r w:rsidRPr="00C503C2">
        <w:t xml:space="preserve">Migration is one of the most important demographic and socio-economic processes shaping contemporary societies. It affects population distribution, </w:t>
      </w:r>
      <w:proofErr w:type="spellStart"/>
      <w:r w:rsidRPr="00C503C2">
        <w:t>labour</w:t>
      </w:r>
      <w:proofErr w:type="spellEnd"/>
      <w:r w:rsidRPr="00C503C2">
        <w:t xml:space="preserve"> markets, household livelihoods, and national development. In Sri Lanka, migration to other countries for employment and permanent settlement is not a new phenomenon. It has continued since the 1970s, mainly reflecting people's efforts to find better employment opportunities, higher incomes, and improved living conditions. Although the scale, destinations, and reasons for migration have changed over time, emigration has remained an important feature of Sri Lanka's socio-economic landscape (Jayawardena, 2020).</w:t>
      </w:r>
    </w:p>
    <w:p>
      <w:pPr>
        <w:pStyle w:val="NormalWeb"/>
        <w:jc w:val="both"/>
      </w:pPr>
      <w:r>
        <w:rPr>
          <w:b/>
          <w:i w:val="0"/>
          <w:highlight w:val="yellow"/>
        </w:rPr>
        <w:t>Recent scholarship similarly situates contemporary Sri Lankan emigration within a longer history of transnational mobility while recognising the intensifying influence of the recent economic crisis (Handapangoda &amp; Withers, 2024).</w:t>
      </w:r>
    </w:p>
    <w:p w14:paraId="53B1EE34" w14:textId="77777777" w:rsidR="00C503C2" w:rsidRPr="00C503C2" w:rsidRDefault="00C503C2" w:rsidP="00C503C2">
      <w:pPr>
        <w:pStyle w:val="NormalWeb"/>
        <w:spacing w:line="360" w:lineRule="auto"/>
        <w:jc w:val="both"/>
      </w:pPr>
      <w:r w:rsidRPr="00C503C2">
        <w:t>The most recent and significant increase in emigration occurred in the aftermath of Sri Lanka's severe economic crisis in 2022. The country experienced shortages of fuel, medicine, and other essential commodities, prolonged power cuts, and a sharp rise in the cost of living, with inflation reaching approximately 70%. These economic difficulties, together with widespread public protests and political changes, weakened public confidence in the country's economic and political stability (</w:t>
      </w:r>
      <w:proofErr w:type="spellStart"/>
      <w:r w:rsidRPr="00C503C2">
        <w:t>Ranaraja</w:t>
      </w:r>
      <w:proofErr w:type="spellEnd"/>
      <w:r w:rsidRPr="00C503C2">
        <w:t>, 2025). In this context, seeking employment and better opportunities abroad became increasingly attractive to many Sri Lankans.</w:t>
      </w:r>
    </w:p>
    <w:p>
      <w:pPr>
        <w:pStyle w:val="NormalWeb"/>
        <w:jc w:val="both"/>
      </w:pPr>
      <w:r>
        <w:rPr>
          <w:b/>
          <w:i w:val="0"/>
          <w:highlight w:val="yellow"/>
        </w:rPr>
        <w:t>This economic orientation is also consistent with labour-migration scholarship that links adverse economic conditions and the search for better-paid employment to migration decisions (Kirika, 2022).</w:t>
      </w:r>
    </w:p>
    <w:p w14:paraId="6C0C11E3" w14:textId="1F946354" w:rsidR="00C503C2" w:rsidRPr="00C503C2" w:rsidRDefault="00C503C2" w:rsidP="00C503C2">
      <w:pPr>
        <w:pStyle w:val="NormalWeb"/>
        <w:spacing w:line="360" w:lineRule="auto"/>
        <w:jc w:val="both"/>
      </w:pPr>
      <w:proofErr w:type="spellStart"/>
      <w:proofErr w:type="spellEnd"/>
      <w:r>
        <w:t xml:space="preserve">At present, nearly 3 million Sri Lankans live and work overseas, of whom approximately 1.25 million are permanently settled outside their country of birth, equivalent to almost one in twenty of the population (Keshara, </w:t>
      </w:r>
      <w:r>
        <w:rPr>
          <w:highlight w:val="yellow"/>
        </w:rPr>
        <w:t>2025;</w:t>
      </w:r>
      <w:r>
        <w:t xml:space="preserve"> Ranaraja, 2025). Remittances from overseas workers have become a major source of foreign exchange, reaching USD 5.97 billion in 2023 and exceeding revenue from both garment exports and tea (Central Bank of Sri Lanka, 2023). While these remittances make an important contribution to household livelihoods and the national economy, the continued departure of educated, skilled, and professionally qualified people also raises concerns about the country's human capital. The loss of young graduates and skilled workers can affect sectors such as education, healthcare, public administration, and technical services and may create longer-term challenges for institutional capacity and sustainable development (Kaluarachchi &amp; Jayathilaka, 2024).</w:t>
      </w:r>
    </w:p>
    <w:p>
      <w:pPr>
        <w:pStyle w:val="NormalWeb"/>
        <w:jc w:val="both"/>
      </w:pPr>
      <w:r>
        <w:rPr>
          <w:b/>
          <w:i w:val="0"/>
          <w:highlight w:val="yellow"/>
        </w:rPr>
        <w:t>The relationship between labour migration, remittances, and household well-being is recognised in the migration literature, while recent Sri Lankan research also shows that remittance dynamics during crisis periods can be complex (Siriwardhane, 2021; Withers, 2024).</w:t>
      </w:r>
    </w:p>
    <w:p>
      <w:pPr>
        <w:pStyle w:val="NormalWeb"/>
        <w:jc w:val="both"/>
      </w:pPr>
      <w:r>
        <w:rPr>
          <w:b/>
          <w:i w:val="0"/>
          <w:highlight w:val="yellow"/>
        </w:rPr>
        <w:t>In addition, recent evidence on the migration of Sri Lankan doctors during the economic crisis underscores the human-capital concerns associated with the departure of qualified professionals (Niriella et al., 2025).</w:t>
      </w:r>
    </w:p>
    <w:p w14:paraId="4FE6FCF1" w14:textId="77777777" w:rsidR="00556030" w:rsidRPr="00556030" w:rsidRDefault="00556030" w:rsidP="00556030">
      <w:pPr>
        <w:pStyle w:val="Heading1"/>
        <w:pBdr>
          <w:bottom w:val="none" w:sz="0" w:space="0" w:color="auto"/>
        </w:pBdr>
        <w:spacing w:line="360" w:lineRule="auto"/>
        <w:jc w:val="both"/>
        <w:rPr>
          <w:b w:val="0"/>
          <w:bCs w:val="0"/>
          <w:color w:val="auto"/>
          <w:sz w:val="24"/>
          <w:szCs w:val="24"/>
        </w:rPr>
      </w:pPr>
      <w:r>
        <w:rPr>
          <w:b w:val="0"/>
          <w:bCs w:val="0"/>
          <w:color w:val="auto"/>
          <w:sz w:val="24"/>
          <w:szCs w:val="24"/>
        </w:rPr>
        <w:t xml:space="preserve">National migration statistics are essential for understanding the scale and characteristics of migration that has already occurred; however, they provide limited insight into the intentions, perceptions, and circumstances that precede actual migration. Migration intention is particularly important because individuals may develop plans to migrate before they actually leave the country. Recent Sri Lankan studies have identified economic conditions, employment opportunities, political circumstances, education, career prospects, and perceptions of future opportunities as important factors associated with migration intentions </w:t>
      </w:r>
      <w:r>
        <w:rPr>
          <w:b w:val="0"/>
          <w:bCs w:val="0"/>
          <w:color w:val="auto"/>
          <w:sz w:val="24"/>
          <w:szCs w:val="24"/>
          <w:highlight w:val="yellow"/>
        </w:rPr>
        <w:t>(Kaluarachchi</w:t>
      </w:r>
      <w:r>
        <w:rPr>
          <w:b w:val="0"/>
          <w:bCs w:val="0"/>
          <w:color w:val="auto"/>
          <w:sz w:val="24"/>
          <w:szCs w:val="24"/>
        </w:rPr>
        <w:t xml:space="preserve"> &amp; Jayathilaka, 2024; Marawila et al., </w:t>
      </w:r>
      <w:r>
        <w:rPr>
          <w:b w:val="0"/>
          <w:bCs w:val="0"/>
          <w:color w:val="auto"/>
          <w:sz w:val="24"/>
          <w:szCs w:val="24"/>
          <w:highlight w:val="yellow"/>
        </w:rPr>
        <w:t xml:space="preserve">2023, </w:t>
      </w:r>
      <w:r>
        <w:rPr>
          <w:b w:val="0"/>
          <w:bCs w:val="0"/>
          <w:color w:val="auto"/>
          <w:sz w:val="24"/>
          <w:szCs w:val="24"/>
        </w:rPr>
        <w:t xml:space="preserve">2026). </w:t>
      </w:r>
    </w:p>
    <w:p w14:paraId="6B8280FD" w14:textId="013ED7C1" w:rsidR="00556030" w:rsidRPr="00556030" w:rsidRDefault="00556030" w:rsidP="00556030">
      <w:pPr>
        <w:pStyle w:val="Heading1"/>
        <w:pBdr>
          <w:bottom w:val="none" w:sz="0" w:space="0" w:color="auto"/>
        </w:pBdr>
        <w:spacing w:line="360" w:lineRule="auto"/>
        <w:jc w:val="both"/>
        <w:rPr>
          <w:b w:val="0"/>
          <w:bCs w:val="0"/>
          <w:color w:val="auto"/>
          <w:sz w:val="24"/>
          <w:szCs w:val="24"/>
        </w:rPr>
      </w:pPr>
      <w:r w:rsidRPr="00556030">
        <w:rPr>
          <w:b w:val="0"/>
          <w:bCs w:val="0"/>
          <w:color w:val="auto"/>
          <w:sz w:val="24"/>
          <w:szCs w:val="24"/>
        </w:rPr>
        <w:t xml:space="preserve">This distinction is particularly relevant in Sri Lanka following the economic crisis. Evidence indicates that young and educated Sri Lankans have shown relatively strong aspirations to migrate, reflecting concerns regarding employment opportunities and future prospects (Institute of Policy Studies of Sri Lanka [IPS], 2022). A national survey conducted during the economic crisis also found that more than two-thirds of respondents had considered moving abroad, although the study cautioned that its highly educated online sample limited </w:t>
      </w:r>
      <w:proofErr w:type="spellStart"/>
      <w:r w:rsidRPr="00556030">
        <w:rPr>
          <w:b w:val="0"/>
          <w:bCs w:val="0"/>
          <w:color w:val="auto"/>
          <w:sz w:val="24"/>
          <w:szCs w:val="24"/>
        </w:rPr>
        <w:t>generalisability</w:t>
      </w:r>
      <w:proofErr w:type="spellEnd"/>
      <w:r w:rsidRPr="00556030">
        <w:rPr>
          <w:b w:val="0"/>
          <w:bCs w:val="0"/>
          <w:color w:val="auto"/>
          <w:sz w:val="24"/>
          <w:szCs w:val="24"/>
        </w:rPr>
        <w:t xml:space="preserve"> (</w:t>
      </w:r>
      <w:proofErr w:type="spellStart"/>
      <w:r w:rsidR="00465A43" w:rsidRPr="00465A43">
        <w:rPr>
          <w:b w:val="0"/>
          <w:bCs w:val="0"/>
          <w:color w:val="auto"/>
          <w:sz w:val="24"/>
          <w:szCs w:val="24"/>
        </w:rPr>
        <w:t>Sooriyaarachchi</w:t>
      </w:r>
      <w:proofErr w:type="spellEnd"/>
      <w:r w:rsidR="00465A43" w:rsidRPr="00465A43">
        <w:rPr>
          <w:b w:val="0"/>
          <w:bCs w:val="0"/>
          <w:color w:val="auto"/>
          <w:sz w:val="24"/>
          <w:szCs w:val="24"/>
        </w:rPr>
        <w:t xml:space="preserve"> &amp; Jayawardena</w:t>
      </w:r>
      <w:r w:rsidRPr="00556030">
        <w:rPr>
          <w:b w:val="0"/>
          <w:bCs w:val="0"/>
          <w:color w:val="auto"/>
          <w:sz w:val="24"/>
          <w:szCs w:val="24"/>
        </w:rPr>
        <w:t>, 202</w:t>
      </w:r>
      <w:r w:rsidR="00465A43">
        <w:rPr>
          <w:b w:val="0"/>
          <w:bCs w:val="0"/>
          <w:color w:val="auto"/>
          <w:sz w:val="24"/>
          <w:szCs w:val="24"/>
        </w:rPr>
        <w:t>5</w:t>
      </w:r>
      <w:r w:rsidRPr="00556030">
        <w:rPr>
          <w:b w:val="0"/>
          <w:bCs w:val="0"/>
          <w:color w:val="auto"/>
          <w:sz w:val="24"/>
          <w:szCs w:val="24"/>
        </w:rPr>
        <w:t xml:space="preserve">). More recent research similarly shows that economic instability, social well-being, personal aspirations, and frustration are associated with skilled migration tendencies among Sri Lankan professionals (Jayasooriya et al., 2025). </w:t>
      </w:r>
    </w:p>
    <w:p w14:paraId="089B6924" w14:textId="6DF3D37A" w:rsidR="00556030" w:rsidRPr="00556030" w:rsidRDefault="00556030" w:rsidP="00556030">
      <w:pPr>
        <w:pStyle w:val="Heading1"/>
        <w:pBdr>
          <w:bottom w:val="none" w:sz="0" w:space="0" w:color="auto"/>
        </w:pBdr>
        <w:spacing w:line="360" w:lineRule="auto"/>
        <w:jc w:val="both"/>
        <w:rPr>
          <w:b w:val="0"/>
          <w:bCs w:val="0"/>
          <w:color w:val="auto"/>
          <w:sz w:val="24"/>
          <w:szCs w:val="24"/>
        </w:rPr>
      </w:pPr>
      <w:r w:rsidRPr="00556030">
        <w:rPr>
          <w:b w:val="0"/>
          <w:bCs w:val="0"/>
          <w:color w:val="auto"/>
          <w:sz w:val="24"/>
          <w:szCs w:val="24"/>
        </w:rPr>
        <w:t>The importance of examining migration intention is further demonstrated by recent research on Sri Lankan graduates and undergraduates. Studies have found that career goals, global educational opportunities, economic conditions, and other socio-political factors influence graduates' intentions to migrate (</w:t>
      </w:r>
      <w:proofErr w:type="spellStart"/>
      <w:r w:rsidR="00465A43" w:rsidRPr="00465A43">
        <w:rPr>
          <w:b w:val="0"/>
          <w:bCs w:val="0"/>
          <w:color w:val="auto"/>
          <w:sz w:val="24"/>
          <w:szCs w:val="24"/>
        </w:rPr>
        <w:t>Amarathunga</w:t>
      </w:r>
      <w:proofErr w:type="spellEnd"/>
      <w:r w:rsidRPr="00556030">
        <w:rPr>
          <w:b w:val="0"/>
          <w:bCs w:val="0"/>
          <w:color w:val="auto"/>
          <w:sz w:val="24"/>
          <w:szCs w:val="24"/>
        </w:rPr>
        <w:t xml:space="preserve"> et al., 2025; Marawila et al., 2026). Similarly, Kaluarachchi and Jayathilaka (2024) found that unemployment and higher education were positively associated with migration, while GDP per capita income and economic growth were negatively associated with migration. These findings suggest that migration should be understood not only as an outcome reflected in official statistics but also as a process shaped by individuals' perceptions of economic and social opportunities.</w:t>
      </w:r>
    </w:p>
    <w:p w14:paraId="4D1D4E0A" w14:textId="77777777" w:rsidR="00556030" w:rsidRPr="00556030" w:rsidRDefault="00556030" w:rsidP="00556030">
      <w:pPr>
        <w:pStyle w:val="Heading1"/>
        <w:pBdr>
          <w:bottom w:val="none" w:sz="0" w:space="0" w:color="auto"/>
        </w:pBdr>
        <w:spacing w:line="360" w:lineRule="auto"/>
        <w:jc w:val="both"/>
        <w:rPr>
          <w:b w:val="0"/>
          <w:bCs w:val="0"/>
          <w:color w:val="auto"/>
          <w:sz w:val="24"/>
          <w:szCs w:val="24"/>
        </w:rPr>
      </w:pPr>
      <w:proofErr w:type="spellStart"/>
      <w:proofErr w:type="spellEnd"/>
      <w:r>
        <w:rPr>
          <w:b w:val="0"/>
          <w:bCs w:val="0"/>
          <w:color w:val="auto"/>
          <w:sz w:val="24"/>
          <w:szCs w:val="24"/>
        </w:rPr>
        <w:t xml:space="preserve">National statistics nevertheless demonstrate the substantial scale of migration that has already occurred. According to the Sri Lanka Bureau of Foreign Employment (SLBFE), 314,786 Sri Lankans registered for foreign employment in 2024, while skilled workers accounted for approximately 77.7% of registrations. The Ministry of Foreign </w:t>
      </w:r>
      <w:r>
        <w:rPr>
          <w:b w:val="0"/>
          <w:bCs w:val="0"/>
          <w:color w:val="auto"/>
          <w:sz w:val="24"/>
          <w:szCs w:val="24"/>
          <w:highlight w:val="yellow"/>
        </w:rPr>
        <w:t>Affairs, Foreign Employment and Tourism (2025)</w:t>
      </w:r>
      <w:r>
        <w:rPr>
          <w:b w:val="0"/>
          <w:bCs w:val="0"/>
          <w:color w:val="auto"/>
          <w:sz w:val="24"/>
          <w:szCs w:val="24"/>
        </w:rPr>
        <w:t xml:space="preserve"> also reported that 313,642 persons departed for foreign employment in 2024, demonstrating the continued importance of international labour migration to Sri Lanka's economy. However, these statistics primarily capture migration that has already taken place and therefore cannot fully explain the aspirations and motivations of individuals who are considering migration but have not yet departed.</w:t>
      </w:r>
    </w:p>
    <w:p w14:paraId="7847A5CE" w14:textId="77777777" w:rsidR="00556030" w:rsidRPr="00556030" w:rsidRDefault="00556030" w:rsidP="00556030">
      <w:pPr>
        <w:pStyle w:val="Heading1"/>
        <w:pBdr>
          <w:bottom w:val="none" w:sz="0" w:space="0" w:color="auto"/>
        </w:pBdr>
        <w:spacing w:line="360" w:lineRule="auto"/>
        <w:jc w:val="both"/>
        <w:rPr>
          <w:b w:val="0"/>
          <w:bCs w:val="0"/>
          <w:color w:val="auto"/>
          <w:sz w:val="24"/>
          <w:szCs w:val="24"/>
        </w:rPr>
      </w:pPr>
      <w:r w:rsidRPr="00556030">
        <w:rPr>
          <w:b w:val="0"/>
          <w:bCs w:val="0"/>
          <w:color w:val="auto"/>
          <w:sz w:val="24"/>
          <w:szCs w:val="24"/>
        </w:rPr>
        <w:t xml:space="preserve">Against this background, the Colombo Municipal Council (CMC) provides a relevant urban setting for examining migration intentions among residents. The present study therefore examines the extent of emigration intention among CMC residents and identifies the major economic, employment-related, socio-economic, quality-of-life, political, and governance-related factors associated with </w:t>
      </w:r>
      <w:r w:rsidRPr="00556030">
        <w:rPr>
          <w:b w:val="0"/>
          <w:bCs w:val="0"/>
          <w:color w:val="auto"/>
          <w:sz w:val="24"/>
          <w:szCs w:val="24"/>
        </w:rPr>
        <w:lastRenderedPageBreak/>
        <w:t>these intentions. Rather than considering CMC in isolation, the study compares its findings with national migration trends. This comparison connects two perspectives that are often examined separately: national evidence of migration that has already occurred and local-level evidence of people's intentions to migrate. By bringing these perspectives together, the study contributes to a broader understanding of contemporary Sri Lankan emigration, particularly among an urban population.</w:t>
      </w:r>
    </w:p>
    <w:p w14:paraId="6FB0B74F" w14:textId="77777777" w:rsidR="00556030" w:rsidRPr="00556030" w:rsidRDefault="00556030" w:rsidP="00556030">
      <w:pPr>
        <w:pStyle w:val="Heading1"/>
        <w:pBdr>
          <w:bottom w:val="none" w:sz="0" w:space="0" w:color="auto"/>
        </w:pBdr>
        <w:spacing w:line="360" w:lineRule="auto"/>
        <w:jc w:val="both"/>
        <w:rPr>
          <w:b w:val="0"/>
          <w:bCs w:val="0"/>
          <w:color w:val="auto"/>
          <w:sz w:val="24"/>
          <w:szCs w:val="24"/>
        </w:rPr>
      </w:pPr>
      <w:r>
        <w:rPr>
          <w:b w:val="0"/>
          <w:bCs w:val="0"/>
          <w:color w:val="auto"/>
          <w:sz w:val="24"/>
          <w:szCs w:val="24"/>
        </w:rPr>
        <w:t xml:space="preserve">The study therefore addresses a research gap concerning the limited connection between national migration trends and individual-level migration intentions within specific urban contexts. Existing research has examined macroeconomic determinants of migration (Kaluarachchi &amp; Jayathilaka, 2024), student and graduate migration intentions (Marawila et al., </w:t>
      </w:r>
      <w:r>
        <w:rPr>
          <w:b w:val="0"/>
          <w:bCs w:val="0"/>
          <w:color w:val="auto"/>
          <w:sz w:val="24"/>
          <w:szCs w:val="24"/>
          <w:highlight w:val="yellow"/>
        </w:rPr>
        <w:t>2023,</w:t>
      </w:r>
      <w:r>
        <w:rPr>
          <w:b w:val="0"/>
          <w:bCs w:val="0"/>
          <w:color w:val="auto"/>
          <w:sz w:val="24"/>
          <w:szCs w:val="24"/>
        </w:rPr>
        <w:t xml:space="preserve"> 2026), and skilled migration during the economic crisis (Jayasooriya et al., 2025). However, there remains value in connecting these individual-level intentions with observed national migration trends within a specific urban context. The present study addresses this gap by examining migration intentions among CMC residents and relating their economic, social, political, and quality-of-life perceptions to the broader pattern of Sri Lankan migration.</w:t>
      </w:r>
    </w:p>
    <w:p w14:paraId="25F76FDC" w14:textId="1426AF41" w:rsidR="0047422D" w:rsidRPr="008A58BF" w:rsidRDefault="0047422D" w:rsidP="00A97D1D">
      <w:pPr>
        <w:pStyle w:val="Heading1"/>
        <w:pBdr>
          <w:bottom w:val="none" w:sz="0" w:space="0" w:color="auto"/>
        </w:pBdr>
        <w:rPr>
          <w:color w:val="000000" w:themeColor="text1"/>
        </w:rPr>
      </w:pPr>
      <w:r w:rsidRPr="008A58BF">
        <w:rPr>
          <w:color w:val="000000" w:themeColor="text1"/>
        </w:rPr>
        <w:t xml:space="preserve">Study Area </w:t>
      </w:r>
    </w:p>
    <w:p w14:paraId="43B331C9" w14:textId="77777777" w:rsidR="0047422D" w:rsidRPr="008A58BF" w:rsidRDefault="0047422D" w:rsidP="0047422D">
      <w:pPr>
        <w:pStyle w:val="Heading1"/>
        <w:pBdr>
          <w:bottom w:val="none" w:sz="0" w:space="0" w:color="auto"/>
        </w:pBdr>
        <w:spacing w:line="360" w:lineRule="auto"/>
        <w:jc w:val="both"/>
        <w:rPr>
          <w:b w:val="0"/>
          <w:bCs w:val="0"/>
          <w:color w:val="000000" w:themeColor="text1"/>
          <w:sz w:val="24"/>
          <w:szCs w:val="24"/>
        </w:rPr>
      </w:pPr>
      <w:proofErr w:type="spellStart"/>
      <w:proofErr w:type="spellEnd"/>
      <w:r>
        <w:rPr>
          <w:b w:val="0"/>
          <w:bCs w:val="0"/>
          <w:color w:val="000000" w:themeColor="text1"/>
          <w:sz w:val="24"/>
          <w:szCs w:val="24"/>
        </w:rPr>
        <w:t xml:space="preserve">The study was conducted within the Colombo Municipal Council (CMC) area, located in the Colombo District of the Western Province, Sri Lanka (Figure 1). As the country's capital city and principal urban centre, the CMC represents the administrative, commercial, financial, and economic hub of Sri Lanka. The municipality covers approximately 37.3 km² and is divided into 47 administrative wards, each </w:t>
      </w:r>
      <w:r>
        <w:rPr>
          <w:b w:val="0"/>
          <w:bCs w:val="0"/>
          <w:color w:val="000000" w:themeColor="text1"/>
          <w:sz w:val="24"/>
          <w:szCs w:val="24"/>
          <w:highlight w:val="yellow"/>
        </w:rPr>
        <w:t>characterised</w:t>
      </w:r>
      <w:r>
        <w:rPr>
          <w:b w:val="0"/>
          <w:bCs w:val="0"/>
          <w:color w:val="000000" w:themeColor="text1"/>
          <w:sz w:val="24"/>
          <w:szCs w:val="24"/>
        </w:rPr>
        <w:t xml:space="preserve"> by varying population densities, land-use patterns, and socio-economic conditions.</w:t>
      </w:r>
    </w:p>
    <w:p w14:paraId="66F95DFB" w14:textId="45EFE6A6" w:rsidR="004C5339" w:rsidRPr="008A58BF" w:rsidRDefault="004C5339" w:rsidP="0047422D">
      <w:pPr>
        <w:pStyle w:val="Heading1"/>
        <w:pBdr>
          <w:bottom w:val="none" w:sz="0" w:space="0" w:color="auto"/>
        </w:pBdr>
        <w:spacing w:line="360" w:lineRule="auto"/>
        <w:jc w:val="both"/>
        <w:rPr>
          <w:b w:val="0"/>
          <w:bCs w:val="0"/>
          <w:color w:val="000000" w:themeColor="text1"/>
          <w:sz w:val="24"/>
          <w:szCs w:val="24"/>
        </w:rPr>
      </w:pPr>
      <w:r w:rsidRPr="008A58BF">
        <w:rPr>
          <w:noProof/>
          <w:color w:val="000000" w:themeColor="text1"/>
        </w:rPr>
        <w:lastRenderedPageBreak/>
        <w:drawing>
          <wp:inline distT="0" distB="0" distL="0" distR="0" wp14:anchorId="1F7052A3" wp14:editId="331EF302">
            <wp:extent cx="5819794" cy="4114800"/>
            <wp:effectExtent l="0" t="0" r="9525" b="0"/>
            <wp:docPr id="3386985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9794" cy="4114800"/>
                    </a:xfrm>
                    <a:prstGeom prst="rect">
                      <a:avLst/>
                    </a:prstGeom>
                    <a:noFill/>
                  </pic:spPr>
                </pic:pic>
              </a:graphicData>
            </a:graphic>
          </wp:inline>
        </w:drawing>
      </w:r>
    </w:p>
    <w:p w14:paraId="03EB7123" w14:textId="4EDC5756" w:rsidR="004C5339" w:rsidRPr="008A58BF" w:rsidRDefault="004C5339" w:rsidP="004C5339">
      <w:pPr>
        <w:spacing w:before="80" w:after="80" w:line="360" w:lineRule="auto"/>
        <w:ind w:firstLine="720"/>
        <w:jc w:val="center"/>
        <w:rPr>
          <w:color w:val="000000" w:themeColor="text1"/>
        </w:rPr>
      </w:pPr>
      <w:r w:rsidRPr="008A58BF">
        <w:rPr>
          <w:b/>
          <w:bCs/>
          <w:color w:val="000000" w:themeColor="text1"/>
        </w:rPr>
        <w:t>Figure 1.</w:t>
      </w:r>
      <w:r w:rsidRPr="008A58BF">
        <w:rPr>
          <w:color w:val="000000" w:themeColor="text1"/>
        </w:rPr>
        <w:t xml:space="preserve"> </w:t>
      </w:r>
      <w:r w:rsidRPr="008A58BF">
        <w:rPr>
          <w:i/>
          <w:iCs/>
          <w:color w:val="000000" w:themeColor="text1"/>
        </w:rPr>
        <w:t>Location of the study</w:t>
      </w:r>
    </w:p>
    <w:p w14:paraId="5EE25EC9" w14:textId="77777777" w:rsidR="0047422D" w:rsidRPr="008A58BF" w:rsidRDefault="0047422D" w:rsidP="0047422D">
      <w:pPr>
        <w:pStyle w:val="Heading1"/>
        <w:pBdr>
          <w:bottom w:val="none" w:sz="0" w:space="0" w:color="auto"/>
        </w:pBdr>
        <w:spacing w:line="360" w:lineRule="auto"/>
        <w:jc w:val="both"/>
        <w:rPr>
          <w:b w:val="0"/>
          <w:bCs w:val="0"/>
          <w:color w:val="000000" w:themeColor="text1"/>
          <w:sz w:val="24"/>
          <w:szCs w:val="24"/>
        </w:rPr>
      </w:pPr>
      <w:r w:rsidRPr="008A58BF">
        <w:rPr>
          <w:b w:val="0"/>
          <w:bCs w:val="0"/>
          <w:color w:val="000000" w:themeColor="text1"/>
          <w:sz w:val="24"/>
          <w:szCs w:val="24"/>
        </w:rPr>
        <w:t>The CMC area was selected because it accommodates a highly diverse population comprising government employees, private-sector professionals, entrepreneurs, students, and self-employed individuals. It also contains the highest concentration of educational institutions, corporate headquarters, government offices, healthcare facilities, and commercial establishments in Sri Lanka. As a result, the area attracts people from across the country while simultaneously serving as one of the major origins of international migration.</w:t>
      </w:r>
    </w:p>
    <w:p w14:paraId="2D5B411A" w14:textId="77777777" w:rsidR="0047422D" w:rsidRPr="008A58BF" w:rsidRDefault="0047422D" w:rsidP="0047422D">
      <w:pPr>
        <w:pStyle w:val="Heading1"/>
        <w:pBdr>
          <w:bottom w:val="none" w:sz="0" w:space="0" w:color="auto"/>
        </w:pBdr>
        <w:spacing w:line="360" w:lineRule="auto"/>
        <w:jc w:val="both"/>
        <w:rPr>
          <w:b w:val="0"/>
          <w:bCs w:val="0"/>
          <w:color w:val="000000" w:themeColor="text1"/>
          <w:sz w:val="24"/>
          <w:szCs w:val="24"/>
        </w:rPr>
      </w:pPr>
      <w:r w:rsidRPr="008A58BF">
        <w:rPr>
          <w:b w:val="0"/>
          <w:bCs w:val="0"/>
          <w:color w:val="000000" w:themeColor="text1"/>
          <w:sz w:val="24"/>
          <w:szCs w:val="24"/>
        </w:rPr>
        <w:t>Following Sri Lanka's economic crisis in 2022, residents of the CMC experienced substantial increases in the cost of living, housing expenses, transportation costs, and employment uncertainty. Given its concentration of educated and economically active populations, the municipality provides an appropriate setting for examining migration intentions and identifying the socio-economic, political, and personal factors influencing residents' decisions to emigrate.</w:t>
      </w:r>
    </w:p>
    <w:p w14:paraId="3AFFA779" w14:textId="28409404" w:rsidR="0047422D" w:rsidRPr="00264B0C" w:rsidRDefault="0047422D" w:rsidP="00264B0C">
      <w:pPr>
        <w:pStyle w:val="Heading1"/>
        <w:pBdr>
          <w:bottom w:val="none" w:sz="0" w:space="0" w:color="auto"/>
        </w:pBdr>
        <w:spacing w:line="360" w:lineRule="auto"/>
        <w:jc w:val="both"/>
        <w:rPr>
          <w:b w:val="0"/>
          <w:bCs w:val="0"/>
          <w:color w:val="000000" w:themeColor="text1"/>
          <w:sz w:val="24"/>
          <w:szCs w:val="24"/>
        </w:rPr>
      </w:pPr>
      <w:proofErr w:type="spellStart"/>
      <w:proofErr w:type="spellEnd"/>
      <w:r>
        <w:rPr>
          <w:b w:val="0"/>
          <w:bCs w:val="0"/>
          <w:color w:val="000000" w:themeColor="text1"/>
          <w:sz w:val="24"/>
          <w:szCs w:val="24"/>
        </w:rPr>
        <w:t xml:space="preserve">The selection of the Colombo Municipal Council area is therefore justified by its strategic importance as Sri Lanka's foremost urban centre, its socio-economic diversity, and its prominence in generating skilled and professional migration. Findings from this study provide valuable insights into migration intentions within the country's most </w:t>
      </w:r>
      <w:r>
        <w:rPr>
          <w:b w:val="0"/>
          <w:bCs w:val="0"/>
          <w:color w:val="000000" w:themeColor="text1"/>
          <w:sz w:val="24"/>
          <w:szCs w:val="24"/>
          <w:highlight w:val="yellow"/>
        </w:rPr>
        <w:t>urbanised</w:t>
      </w:r>
      <w:r>
        <w:rPr>
          <w:b w:val="0"/>
          <w:bCs w:val="0"/>
          <w:color w:val="000000" w:themeColor="text1"/>
          <w:sz w:val="24"/>
          <w:szCs w:val="24"/>
        </w:rPr>
        <w:t xml:space="preserve"> environment and facilitate comparison with national migration trends.</w:t>
      </w:r>
    </w:p>
    <w:p>
      <w:pPr>
        <w:pStyle w:val="Heading1"/>
        <w:pBdr>
          <w:bottom w:val="none" w:sz="0" w:space="0" w:color="auto"/>
        </w:pBdr>
        <w:rPr>
          <w:color w:val="000000" w:themeColor="text1"/>
        </w:rPr>
      </w:pPr>
      <w:r>
        <w:rPr>
          <w:b/>
          <w:i w:val="0"/>
          <w:highlight w:val="yellow"/>
        </w:rPr>
        <w:t>Objective of the Study</w:t>
      </w:r>
    </w:p>
    <w:p>
      <w:pPr>
        <w:pStyle w:val="NormalWeb"/>
        <w:jc w:val="both"/>
      </w:pPr>
      <w:r>
        <w:rPr>
          <w:b/>
          <w:i w:val="0"/>
          <w:highlight w:val="yellow"/>
        </w:rPr>
        <w:t>The objective of this study is to examine the extent of emigration intention among residents of the Colombo Municipal Council, identify the principal economic, employment-related, socio-economic, quality-of-life, political, and governance-related factors associated with these intentions, and compare the findings with national migration trends.</w:t>
      </w:r>
    </w:p>
    <w:p w14:paraId="64C1B952" w14:textId="5523E6E0" w:rsidR="00B10E26" w:rsidRPr="008A58BF" w:rsidRDefault="00B10E26" w:rsidP="00B10E26">
      <w:pPr>
        <w:pStyle w:val="Heading1"/>
        <w:pBdr>
          <w:bottom w:val="none" w:sz="0" w:space="0" w:color="auto"/>
        </w:pBdr>
        <w:rPr>
          <w:color w:val="000000" w:themeColor="text1"/>
        </w:rPr>
      </w:pPr>
      <w:r w:rsidRPr="008A58BF">
        <w:rPr>
          <w:color w:val="000000" w:themeColor="text1"/>
        </w:rPr>
        <w:t>2</w:t>
      </w:r>
      <w:r w:rsidR="00DE54D1">
        <w:rPr>
          <w:color w:val="000000" w:themeColor="text1"/>
        </w:rPr>
        <w:t>.</w:t>
      </w:r>
      <w:r w:rsidRPr="008A58BF">
        <w:rPr>
          <w:color w:val="000000" w:themeColor="text1"/>
        </w:rPr>
        <w:t xml:space="preserve"> Method</w:t>
      </w:r>
      <w:r w:rsidR="00070A0A">
        <w:rPr>
          <w:color w:val="000000" w:themeColor="text1"/>
        </w:rPr>
        <w:t>ology</w:t>
      </w:r>
    </w:p>
    <w:p w14:paraId="49DD063C" w14:textId="77777777" w:rsidR="00790E63" w:rsidRDefault="00790E63" w:rsidP="00790E63">
      <w:pPr>
        <w:spacing w:before="60" w:line="360" w:lineRule="auto"/>
        <w:jc w:val="both"/>
        <w:rPr>
          <w:color w:val="000000" w:themeColor="text1"/>
        </w:rPr>
      </w:pPr>
      <w:r w:rsidRPr="00790E63">
        <w:rPr>
          <w:color w:val="000000" w:themeColor="text1"/>
        </w:rPr>
        <w:t>The study draws on both primary and secondary data. Primary data were collected in December 2023 through a structured questionnaire administered to residents of the Colombo Municipal Council (CMC). An exploratory and descriptive research design was adopted to examine emigration intentions and the socio-economic, quality-of-life, and political and governance factors associated with them. A total of 69 respondents were selected using non-probability convenience sampling. The sample size reflected the accessibility of respondents and the exploratory purpose of the study, which was to identify patterns in migration intentions and perceptions rather than generate population-level estimates. Given the small sample size and non-probability sampling approach, the findings are interpreted as indicative of the surveyed respondents' experiences and perceptions and are not considered statistically representative of the wider CMC or national population. The questionnaire covered six key dimensions: socio-demographic characteristics, migration intentions, drivers of emigration, economic perceptions, quality of life, and political and governance perceptions.</w:t>
      </w:r>
    </w:p>
    <w:p w14:paraId="1CED6D7D" w14:textId="77777777" w:rsidR="00790E63" w:rsidRPr="00790E63" w:rsidRDefault="00790E63" w:rsidP="00790E63">
      <w:pPr>
        <w:spacing w:before="60" w:line="360" w:lineRule="auto"/>
        <w:jc w:val="both"/>
        <w:rPr>
          <w:color w:val="000000" w:themeColor="text1"/>
        </w:rPr>
      </w:pPr>
    </w:p>
    <w:p w14:paraId="3F450C9B" w14:textId="77777777" w:rsidR="00790E63" w:rsidRPr="00790E63" w:rsidRDefault="00790E63" w:rsidP="00790E63">
      <w:pPr>
        <w:spacing w:before="60" w:line="360" w:lineRule="auto"/>
        <w:jc w:val="both"/>
        <w:rPr>
          <w:color w:val="000000" w:themeColor="text1"/>
        </w:rPr>
      </w:pPr>
      <w:r>
        <w:rPr>
          <w:color w:val="000000" w:themeColor="text1"/>
        </w:rPr>
        <w:t xml:space="preserve">Secondary data were obtained from information previously collected and published by other </w:t>
      </w:r>
      <w:r>
        <w:rPr>
          <w:color w:val="000000" w:themeColor="text1"/>
          <w:highlight w:val="yellow"/>
        </w:rPr>
        <w:t>organisations.</w:t>
      </w:r>
      <w:r>
        <w:rPr>
          <w:color w:val="000000" w:themeColor="text1"/>
        </w:rPr>
        <w:t xml:space="preserve"> The main sources included the Sri Lanka Bureau of Foreign Employment (SLBFE) Annual Report 2023, the Central Bank of Sri Lanka Annual Report, and other relevant reports and research publications. These sources provided the national and historical context for interpreting the survey findings and conducting a contextual comparison with national migration trends. The comparison is intended to identify broad similarities and differences rather than establish population-level relationships or make </w:t>
      </w:r>
      <w:r>
        <w:rPr>
          <w:color w:val="000000" w:themeColor="text1"/>
          <w:highlight w:val="yellow"/>
        </w:rPr>
        <w:t>generalisations</w:t>
      </w:r>
      <w:r>
        <w:rPr>
          <w:color w:val="000000" w:themeColor="text1"/>
        </w:rPr>
        <w:t xml:space="preserve"> beyond the surveyed sample.</w:t>
      </w:r>
    </w:p>
    <w:p w14:paraId="14EFF815" w14:textId="77777777" w:rsidR="00A64E78" w:rsidRPr="008A58BF" w:rsidRDefault="00A64E78">
      <w:pPr>
        <w:spacing w:before="60"/>
        <w:rPr>
          <w:color w:val="000000" w:themeColor="text1"/>
        </w:rPr>
      </w:pPr>
    </w:p>
    <w:p w14:paraId="550CF00E" w14:textId="41F72E62" w:rsidR="00A64E78" w:rsidRPr="008A58BF" w:rsidRDefault="00AA2CF1">
      <w:pPr>
        <w:pStyle w:val="Heading2"/>
        <w:rPr>
          <w:color w:val="000000" w:themeColor="text1"/>
        </w:rPr>
      </w:pPr>
      <w:r w:rsidRPr="008A58BF">
        <w:rPr>
          <w:color w:val="000000" w:themeColor="text1"/>
        </w:rPr>
        <w:t xml:space="preserve">2.3  Sampling </w:t>
      </w:r>
    </w:p>
    <w:p w14:paraId="7AEB2C7A" w14:textId="39866DD4" w:rsidR="00524FF7" w:rsidRPr="008A58BF" w:rsidRDefault="00BE5516" w:rsidP="00524FF7">
      <w:pPr>
        <w:pStyle w:val="NoSpacing"/>
        <w:spacing w:line="360" w:lineRule="auto"/>
        <w:jc w:val="both"/>
        <w:rPr>
          <w:rFonts w:ascii="Minion Pro" w:eastAsia="MingLiU" w:hAnsi="Minion Pro" w:cs="Times New Roman"/>
          <w:color w:val="000000" w:themeColor="text1"/>
          <w:sz w:val="24"/>
          <w:szCs w:val="24"/>
          <w:shd w:val="clear" w:color="auto" w:fill="FFFFFF"/>
          <w:lang w:bidi="si-LK"/>
        </w:rPr>
      </w:pPr>
      <w:proofErr w:type="spellStart"/>
      <w:proofErr w:type="spellEnd"/>
      <w:r>
        <w:rPr>
          <w:rFonts w:ascii="Minion Pro" w:eastAsia="MingLiU" w:hAnsi="Minion Pro" w:cs="Times New Roman"/>
          <w:color w:val="000000" w:themeColor="text1"/>
          <w:sz w:val="24"/>
          <w:szCs w:val="24"/>
          <w:shd w:val="clear" w:color="auto" w:fill="FFFFFF"/>
          <w:lang w:bidi="si-LK"/>
        </w:rPr>
        <w:tab/>
        <w:t xml:space="preserve">The sample size was calculated </w:t>
      </w:r>
      <w:r>
        <w:rPr>
          <w:rFonts w:ascii="Minion Pro" w:eastAsia="MingLiU" w:hAnsi="Minion Pro" w:cs="Times New Roman"/>
          <w:color w:val="000000" w:themeColor="text1"/>
          <w:sz w:val="24"/>
          <w:szCs w:val="24"/>
          <w:highlight w:val="yellow"/>
          <w:shd w:val="clear" w:color="auto" w:fill="FFFFFF"/>
          <w:lang w:bidi="si-LK"/>
        </w:rPr>
        <w:t>using</w:t>
      </w:r>
      <w:r>
        <w:rPr>
          <w:rFonts w:ascii="Minion Pro" w:eastAsia="MingLiU" w:hAnsi="Minion Pro" w:cs="Times New Roman"/>
          <w:color w:val="000000" w:themeColor="text1"/>
          <w:sz w:val="24"/>
          <w:szCs w:val="24"/>
          <w:shd w:val="clear" w:color="auto" w:fill="FFFFFF"/>
          <w:lang w:bidi="si-LK"/>
        </w:rPr>
        <w:t xml:space="preserve"> the formula presented by Taherdoost (2017). In the formula, n is the required sample size, p is the percentage occurrence of a state or condition (the default value is 50%), E is the percentage of maximum error required or the margin of error (the default value is 10%), and Z is the value corresponding to the required level of confidence (Z = 1.645 for a 90% confidence level).</w:t>
      </w:r>
    </w:p>
    <w:p w14:paraId="2B163CF5" w14:textId="77777777" w:rsidR="00524FF7" w:rsidRPr="008A58BF" w:rsidRDefault="00524FF7" w:rsidP="00524FF7">
      <w:pPr>
        <w:spacing w:line="360" w:lineRule="auto"/>
        <w:jc w:val="both"/>
        <w:rPr>
          <w:rFonts w:ascii="Minion Pro" w:eastAsia="MingLiU" w:hAnsi="Minion Pro"/>
          <w:color w:val="000000" w:themeColor="text1"/>
          <w:shd w:val="clear" w:color="auto" w:fill="FFFFFF"/>
        </w:rPr>
      </w:pPr>
      <m:oMathPara>
        <m:oMath>
          <m:r>
            <m:rPr>
              <m:sty m:val="p"/>
            </m:rPr>
            <w:rPr>
              <w:rFonts w:ascii="Cambria Math" w:hAnsi="Cambria Math" w:cs="Cambria Math"/>
              <w:color w:val="000000" w:themeColor="text1"/>
            </w:rPr>
            <m:t xml:space="preserve">n=p </m:t>
          </m:r>
          <m:d>
            <m:dPr>
              <m:ctrlPr>
                <w:rPr>
                  <w:rFonts w:ascii="Cambria Math" w:hAnsi="Cambria Math" w:cs="Cambria Math"/>
                  <w:color w:val="000000" w:themeColor="text1"/>
                </w:rPr>
              </m:ctrlPr>
            </m:dPr>
            <m:e>
              <m:r>
                <m:rPr>
                  <m:sty m:val="p"/>
                </m:rPr>
                <w:rPr>
                  <w:rFonts w:ascii="Cambria Math" w:hAnsi="Cambria Math" w:cs="Cambria Math"/>
                  <w:color w:val="000000" w:themeColor="text1"/>
                </w:rPr>
                <m:t>100-p</m:t>
              </m:r>
            </m:e>
          </m:d>
          <m:r>
            <m:rPr>
              <m:sty m:val="p"/>
            </m:rPr>
            <w:rPr>
              <w:rFonts w:ascii="Cambria Math" w:hAnsi="Cambria Math" w:cs="Cambria Math"/>
              <w:color w:val="000000" w:themeColor="text1"/>
            </w:rPr>
            <m:t xml:space="preserve"> </m:t>
          </m:r>
          <m:f>
            <m:fPr>
              <m:ctrlPr>
                <w:rPr>
                  <w:rFonts w:ascii="Cambria Math" w:hAnsi="Cambria Math" w:cs="Cambria Math"/>
                  <w:color w:val="000000" w:themeColor="text1"/>
                </w:rPr>
              </m:ctrlPr>
            </m:fPr>
            <m:num>
              <m:sSup>
                <m:sSupPr>
                  <m:ctrlPr>
                    <w:rPr>
                      <w:rFonts w:ascii="Cambria Math" w:hAnsi="Cambria Math" w:cs="Cambria Math"/>
                      <w:color w:val="000000" w:themeColor="text1"/>
                    </w:rPr>
                  </m:ctrlPr>
                </m:sSupPr>
                <m:e>
                  <m:r>
                    <m:rPr>
                      <m:sty m:val="p"/>
                    </m:rPr>
                    <w:rPr>
                      <w:rFonts w:ascii="Cambria Math" w:hAnsi="Cambria Math" w:cs="Cambria Math"/>
                      <w:color w:val="000000" w:themeColor="text1"/>
                    </w:rPr>
                    <m:t>z</m:t>
                  </m:r>
                </m:e>
                <m:sup>
                  <m:r>
                    <m:rPr>
                      <m:sty m:val="p"/>
                    </m:rPr>
                    <w:rPr>
                      <w:rFonts w:ascii="Cambria Math" w:hAnsi="Cambria Math" w:cs="Cambria Math"/>
                      <w:color w:val="000000" w:themeColor="text1"/>
                    </w:rPr>
                    <m:t>2</m:t>
                  </m:r>
                </m:sup>
              </m:sSup>
            </m:num>
            <m:den>
              <m:sSup>
                <m:sSupPr>
                  <m:ctrlPr>
                    <w:rPr>
                      <w:rFonts w:ascii="Cambria Math" w:hAnsi="Cambria Math" w:cs="Cambria Math"/>
                      <w:color w:val="000000" w:themeColor="text1"/>
                    </w:rPr>
                  </m:ctrlPr>
                </m:sSupPr>
                <m:e>
                  <m:r>
                    <m:rPr>
                      <m:sty m:val="p"/>
                    </m:rPr>
                    <w:rPr>
                      <w:rFonts w:ascii="Cambria Math" w:hAnsi="Cambria Math" w:cs="Cambria Math"/>
                      <w:color w:val="000000" w:themeColor="text1"/>
                    </w:rPr>
                    <m:t>E</m:t>
                  </m:r>
                </m:e>
                <m:sup>
                  <m:r>
                    <m:rPr>
                      <m:sty m:val="p"/>
                    </m:rPr>
                    <w:rPr>
                      <w:rFonts w:ascii="Cambria Math" w:hAnsi="Cambria Math" w:cs="Cambria Math"/>
                      <w:color w:val="000000" w:themeColor="text1"/>
                    </w:rPr>
                    <m:t>2</m:t>
                  </m:r>
                </m:sup>
              </m:sSup>
            </m:den>
          </m:f>
        </m:oMath>
      </m:oMathPara>
    </w:p>
    <w:p w14:paraId="35978B75" w14:textId="1D39D845" w:rsidR="00524FF7" w:rsidRPr="008A58BF" w:rsidRDefault="00524FF7" w:rsidP="00524FF7">
      <w:pPr>
        <w:spacing w:line="360" w:lineRule="auto"/>
        <w:jc w:val="both"/>
        <w:rPr>
          <w:rFonts w:ascii="Minion Pro" w:eastAsia="MingLiU" w:hAnsi="Minion Pro"/>
          <w:color w:val="000000" w:themeColor="text1"/>
          <w:shd w:val="clear" w:color="auto" w:fill="FFFFFF"/>
        </w:rPr>
      </w:pPr>
      <w:proofErr w:type="spellStart"/>
      <w:proofErr w:type="spellEnd"/>
      <w:proofErr w:type="spellStart"/>
      <w:proofErr w:type="spellEnd"/>
      <w:r>
        <w:rPr>
          <w:rFonts w:ascii="Minion Pro" w:eastAsia="MingLiU" w:hAnsi="Minion Pro"/>
          <w:color w:val="000000" w:themeColor="text1"/>
          <w:shd w:val="clear" w:color="auto" w:fill="FFFFFF"/>
        </w:rPr>
        <w:t xml:space="preserve">The formula returned a minimum required sample size of 69 at a 90% confidence level and a 10% margin of error; a total of 69 responses </w:t>
      </w:r>
      <w:r>
        <w:rPr>
          <w:rFonts w:ascii="Minion Pro" w:eastAsia="MingLiU" w:hAnsi="Minion Pro"/>
          <w:color w:val="000000" w:themeColor="text1"/>
          <w:highlight w:val="yellow"/>
          <w:shd w:val="clear" w:color="auto" w:fill="FFFFFF"/>
        </w:rPr>
        <w:t>were</w:t>
      </w:r>
      <w:r>
        <w:rPr>
          <w:rFonts w:ascii="Minion Pro" w:eastAsia="MingLiU" w:hAnsi="Minion Pro"/>
          <w:color w:val="000000" w:themeColor="text1"/>
          <w:shd w:val="clear" w:color="auto" w:fill="FFFFFF"/>
        </w:rPr>
        <w:t xml:space="preserve"> collected and analysed (Taherdoost, 2017).</w:t>
      </w:r>
    </w:p>
    <w:p w14:paraId="20FE1B73" w14:textId="4EF0919C" w:rsidR="00A64E78" w:rsidRPr="008A58BF" w:rsidRDefault="00AA2CF1">
      <w:pPr>
        <w:pStyle w:val="Heading2"/>
        <w:rPr>
          <w:color w:val="000000" w:themeColor="text1"/>
        </w:rPr>
      </w:pPr>
      <w:r w:rsidRPr="008A58BF">
        <w:rPr>
          <w:color w:val="000000" w:themeColor="text1"/>
        </w:rPr>
        <w:lastRenderedPageBreak/>
        <w:t xml:space="preserve">2.4  Analysis </w:t>
      </w:r>
    </w:p>
    <w:p w14:paraId="23F15D6F" w14:textId="76390B46" w:rsidR="009E7CC7" w:rsidRPr="008A58BF" w:rsidRDefault="00AA2CF1">
      <w:pPr>
        <w:spacing w:before="80" w:after="80" w:line="360" w:lineRule="auto"/>
        <w:ind w:firstLine="720"/>
        <w:jc w:val="both"/>
        <w:rPr>
          <w:color w:val="000000" w:themeColor="text1"/>
        </w:rPr>
      </w:pPr>
      <w:r>
        <w:rPr>
          <w:color w:val="000000" w:themeColor="text1"/>
        </w:rPr>
        <w:t xml:space="preserve">The survey data were </w:t>
      </w:r>
      <w:r>
        <w:rPr>
          <w:color w:val="000000" w:themeColor="text1"/>
          <w:highlight w:val="yellow"/>
        </w:rPr>
        <w:t>analysed</w:t>
      </w:r>
      <w:r>
        <w:rPr>
          <w:color w:val="000000" w:themeColor="text1"/>
        </w:rPr>
        <w:t xml:space="preserve"> in two ways. First, descriptive analysis was used to </w:t>
      </w:r>
      <w:r>
        <w:rPr>
          <w:color w:val="000000" w:themeColor="text1"/>
          <w:highlight w:val="yellow"/>
        </w:rPr>
        <w:t>summarise</w:t>
      </w:r>
      <w:r>
        <w:rPr>
          <w:color w:val="000000" w:themeColor="text1"/>
        </w:rPr>
        <w:t xml:space="preserve"> the </w:t>
      </w:r>
      <w:r>
        <w:rPr>
          <w:color w:val="000000" w:themeColor="text1"/>
          <w:highlight w:val="yellow"/>
        </w:rPr>
        <w:t>responses by</w:t>
      </w:r>
      <w:r>
        <w:rPr>
          <w:color w:val="000000" w:themeColor="text1"/>
        </w:rPr>
        <w:t xml:space="preserve"> counting how many people gave each answer and calculating percentages. </w:t>
      </w:r>
      <w:r>
        <w:rPr>
          <w:color w:val="000000" w:themeColor="text1"/>
          <w:highlight w:val="yellow"/>
        </w:rPr>
        <w:t>These</w:t>
      </w:r>
      <w:r>
        <w:rPr>
          <w:color w:val="000000" w:themeColor="text1"/>
        </w:rPr>
        <w:t xml:space="preserve"> </w:t>
      </w:r>
      <w:r>
        <w:rPr>
          <w:color w:val="000000" w:themeColor="text1"/>
          <w:highlight w:val="yellow"/>
        </w:rPr>
        <w:t>results are</w:t>
      </w:r>
      <w:r>
        <w:rPr>
          <w:color w:val="000000" w:themeColor="text1"/>
        </w:rPr>
        <w:t xml:space="preserve"> presented in tables and charts throughout the results section. The study employed a comparative analytical method to examine differences and similarities between primary survey findings and national-level migration statistics. The analysis focused on identifying areas of convergence and divergence related to migration motivations, gender composition, educational background, and employment characteristics. Quantitative survey data collected from residents in Colombo were compared with secondary national migration data to evaluate broader migration patterns and socio-economic trends. </w:t>
      </w:r>
    </w:p>
    <w:p w14:paraId="16AF3DC3" w14:textId="77777777" w:rsidR="00B10E26" w:rsidRPr="008A58BF" w:rsidRDefault="00B10E26">
      <w:pPr>
        <w:spacing w:before="80"/>
        <w:rPr>
          <w:color w:val="000000" w:themeColor="text1"/>
        </w:rPr>
      </w:pPr>
    </w:p>
    <w:p w14:paraId="33E42490" w14:textId="77777777" w:rsidR="00A64E78" w:rsidRPr="008A58BF" w:rsidRDefault="00AA2CF1" w:rsidP="00D830FA">
      <w:pPr>
        <w:pStyle w:val="Heading1"/>
        <w:pBdr>
          <w:bottom w:val="none" w:sz="0" w:space="0" w:color="auto"/>
        </w:pBdr>
        <w:rPr>
          <w:color w:val="000000" w:themeColor="text1"/>
        </w:rPr>
      </w:pPr>
      <w:r w:rsidRPr="008A58BF">
        <w:rPr>
          <w:color w:val="000000" w:themeColor="text1"/>
        </w:rPr>
        <w:t>3.  Results and Discussion</w:t>
      </w:r>
    </w:p>
    <w:p w14:paraId="20EA884A" w14:textId="77777777" w:rsidR="00D830FA" w:rsidRPr="008A58BF" w:rsidRDefault="00D830FA" w:rsidP="00DD7914">
      <w:pPr>
        <w:spacing w:before="80" w:after="80" w:line="360" w:lineRule="auto"/>
        <w:ind w:firstLine="720"/>
        <w:jc w:val="both"/>
        <w:rPr>
          <w:b/>
          <w:bCs/>
          <w:color w:val="000000" w:themeColor="text1"/>
        </w:rPr>
      </w:pPr>
    </w:p>
    <w:p w14:paraId="1619A195" w14:textId="205713C0" w:rsidR="00DD7914" w:rsidRPr="008A58BF" w:rsidRDefault="00DD7914" w:rsidP="00DD7914">
      <w:pPr>
        <w:spacing w:before="80" w:after="80" w:line="360" w:lineRule="auto"/>
        <w:ind w:firstLine="720"/>
        <w:jc w:val="both"/>
        <w:rPr>
          <w:color w:val="000000" w:themeColor="text1"/>
        </w:rPr>
      </w:pPr>
      <w:r w:rsidRPr="008A58BF">
        <w:rPr>
          <w:b/>
          <w:bCs/>
          <w:color w:val="000000" w:themeColor="text1"/>
        </w:rPr>
        <w:t>3.1 Sri Lanka’s Migration Trend at the National Level</w:t>
      </w:r>
    </w:p>
    <w:p w14:paraId="1E1EDE36" w14:textId="51019D60" w:rsidR="00DD7914" w:rsidRPr="008A58BF" w:rsidRDefault="00DD7914" w:rsidP="004C5339">
      <w:pPr>
        <w:spacing w:before="80" w:after="80" w:line="360" w:lineRule="auto"/>
        <w:ind w:firstLine="720"/>
        <w:jc w:val="both"/>
        <w:rPr>
          <w:color w:val="000000" w:themeColor="text1"/>
        </w:rPr>
      </w:pPr>
      <w:proofErr w:type="spellStart"/>
      <w:proofErr w:type="spellEnd"/>
      <w:proofErr w:type="spellStart"/>
      <w:proofErr w:type="spellEnd"/>
      <w:r>
        <w:rPr>
          <w:color w:val="000000" w:themeColor="text1"/>
        </w:rPr>
        <w:t xml:space="preserve">National statistics drawn from the Sri Lanka Bureau of Foreign Employment (SLBFE, 2023), the Central Bank of Sri Lanka (2023), and Ranaraja (2025) provide essential context for situating the primary survey findings within broader migration trends affecting the country as a whole. Sri Lanka's foreign employment departures demonstrate a dramatic post-pandemic recovery. After collapsing to 122,264 in 2021 due to COVID-19 disruptions, annual departures rebounded sharply to a record 311,161 in 2023. </w:t>
      </w:r>
      <w:r>
        <w:rPr>
          <w:color w:val="000000" w:themeColor="text1"/>
          <w:highlight w:val="yellow"/>
        </w:rPr>
        <w:t>This</w:t>
      </w:r>
      <w:r>
        <w:rPr>
          <w:color w:val="000000" w:themeColor="text1"/>
        </w:rPr>
        <w:t xml:space="preserve"> </w:t>
      </w:r>
      <w:r>
        <w:rPr>
          <w:color w:val="000000" w:themeColor="text1"/>
          <w:highlight w:val="yellow"/>
        </w:rPr>
        <w:t>represents</w:t>
      </w:r>
      <w:r>
        <w:rPr>
          <w:color w:val="000000" w:themeColor="text1"/>
        </w:rPr>
        <w:t xml:space="preserve"> a 154% increase in just two years </w:t>
      </w:r>
      <w:r>
        <w:rPr>
          <w:color w:val="000000" w:themeColor="text1"/>
          <w:highlight w:val="yellow"/>
        </w:rPr>
        <w:t>(Ranaraja,</w:t>
      </w:r>
      <w:r>
        <w:rPr>
          <w:color w:val="000000" w:themeColor="text1"/>
        </w:rPr>
        <w:t xml:space="preserve"> </w:t>
      </w:r>
      <w:r>
        <w:rPr>
          <w:color w:val="000000" w:themeColor="text1"/>
          <w:highlight w:val="yellow"/>
        </w:rPr>
        <w:t>2025;</w:t>
      </w:r>
      <w:r>
        <w:rPr>
          <w:color w:val="000000" w:themeColor="text1"/>
        </w:rPr>
        <w:t xml:space="preserve"> </w:t>
      </w:r>
      <w:r>
        <w:rPr>
          <w:color w:val="000000" w:themeColor="text1"/>
          <w:highlight w:val="yellow"/>
        </w:rPr>
        <w:t>SLBFE,</w:t>
      </w:r>
      <w:r>
        <w:rPr>
          <w:color w:val="000000" w:themeColor="text1"/>
        </w:rPr>
        <w:t xml:space="preserve"> </w:t>
      </w:r>
      <w:r>
        <w:rPr>
          <w:color w:val="000000" w:themeColor="text1"/>
          <w:highlight w:val="yellow"/>
        </w:rPr>
        <w:t>2023).</w:t>
      </w:r>
      <w:r>
        <w:rPr>
          <w:color w:val="000000" w:themeColor="text1"/>
        </w:rPr>
        <w:t xml:space="preserve"> This national-level surge confirms that emigration aspirations are not confined to the Colombo </w:t>
      </w:r>
      <w:r>
        <w:rPr>
          <w:color w:val="000000" w:themeColor="text1"/>
          <w:highlight w:val="yellow"/>
        </w:rPr>
        <w:t>District;</w:t>
      </w:r>
      <w:r>
        <w:rPr>
          <w:color w:val="000000" w:themeColor="text1"/>
        </w:rPr>
        <w:t xml:space="preserve"> the structural push factors driving people to seek employment abroad are operating across the country on an unprecedented scale.</w:t>
      </w:r>
    </w:p>
    <w:p w14:paraId="7E93896B" w14:textId="77777777" w:rsidR="00D830FA" w:rsidRPr="008A58BF" w:rsidRDefault="00D830FA" w:rsidP="004C5339">
      <w:pPr>
        <w:spacing w:before="80" w:after="80" w:line="360" w:lineRule="auto"/>
        <w:jc w:val="both"/>
        <w:rPr>
          <w:color w:val="000000" w:themeColor="text1"/>
        </w:rPr>
      </w:pPr>
    </w:p>
    <w:p w14:paraId="0FBBEA3F" w14:textId="6B5663D8" w:rsidR="00DD7914" w:rsidRPr="008A58BF" w:rsidRDefault="006B248A" w:rsidP="00DD7914">
      <w:pPr>
        <w:spacing w:before="80" w:after="80" w:line="360" w:lineRule="auto"/>
        <w:ind w:firstLine="720"/>
        <w:jc w:val="both"/>
        <w:rPr>
          <w:color w:val="000000" w:themeColor="text1"/>
        </w:rPr>
      </w:pPr>
      <w:r w:rsidRPr="008A58BF">
        <w:rPr>
          <w:b/>
          <w:bCs/>
          <w:color w:val="000000" w:themeColor="text1"/>
        </w:rPr>
        <w:t>3.</w:t>
      </w:r>
      <w:r w:rsidR="004C5339" w:rsidRPr="008A58BF">
        <w:rPr>
          <w:b/>
          <w:bCs/>
          <w:color w:val="000000" w:themeColor="text1"/>
        </w:rPr>
        <w:t>2</w:t>
      </w:r>
      <w:r w:rsidRPr="008A58BF">
        <w:rPr>
          <w:b/>
          <w:bCs/>
          <w:color w:val="000000" w:themeColor="text1"/>
        </w:rPr>
        <w:t>.</w:t>
      </w:r>
      <w:r w:rsidRPr="008A58BF">
        <w:rPr>
          <w:b/>
          <w:bCs/>
          <w:color w:val="000000" w:themeColor="text1"/>
        </w:rPr>
        <w:tab/>
        <w:t>Student Migration and the Education Emigration Pathway</w:t>
      </w:r>
    </w:p>
    <w:p w14:paraId="37163D4B" w14:textId="413ACD07" w:rsidR="00DD7914" w:rsidRPr="008A58BF" w:rsidRDefault="00DD7914" w:rsidP="00DD7914">
      <w:pPr>
        <w:spacing w:before="80" w:after="80" w:line="360" w:lineRule="auto"/>
        <w:ind w:firstLine="720"/>
        <w:jc w:val="both"/>
        <w:rPr>
          <w:color w:val="000000" w:themeColor="text1"/>
        </w:rPr>
      </w:pPr>
      <w:proofErr w:type="spellStart"/>
      <w:proofErr w:type="spellEnd"/>
      <w:r>
        <w:rPr>
          <w:color w:val="000000" w:themeColor="text1"/>
        </w:rPr>
        <w:t xml:space="preserve">Student migration has grown substantially over the review period, with outflows rising by 63% over five years and reaching a peak in 2024. Australia, Canada, and the United Kingdom are the principal destinations for Sri Lankan students studying abroad </w:t>
      </w:r>
      <w:r>
        <w:rPr>
          <w:color w:val="000000" w:themeColor="text1"/>
          <w:highlight w:val="yellow"/>
        </w:rPr>
        <w:t>(Ranaraja,</w:t>
      </w:r>
      <w:r>
        <w:rPr>
          <w:color w:val="000000" w:themeColor="text1"/>
        </w:rPr>
        <w:t xml:space="preserve"> 2025). What makes this trend particularly consequential for national development is that 83% of overseas students report no intention to return to Sri Lanka (Weeraratne et al., 2022). Within this group, 45% plan to remain abroad for employment and 38% intend to continue their studies overseas. Education-led migration has therefore effectively become a permanent emigration channel, systematically removing highly skilled young people at the point of their entry into productive adulthood before they can contribute to the country's economic recovery.</w:t>
      </w:r>
    </w:p>
    <w:p w14:paraId="7496E4D8" w14:textId="77777777" w:rsidR="008838BF" w:rsidRPr="008A58BF" w:rsidRDefault="008838BF" w:rsidP="00DD7914">
      <w:pPr>
        <w:spacing w:before="80" w:after="80" w:line="360" w:lineRule="auto"/>
        <w:ind w:firstLine="720"/>
        <w:jc w:val="both"/>
        <w:rPr>
          <w:b/>
          <w:bCs/>
          <w:color w:val="000000" w:themeColor="text1"/>
        </w:rPr>
      </w:pPr>
    </w:p>
    <w:p w14:paraId="3118E770" w14:textId="6C0B7FAF" w:rsidR="00DD7914" w:rsidRPr="008A58BF" w:rsidRDefault="00DD7914" w:rsidP="00DD7914">
      <w:pPr>
        <w:spacing w:before="80" w:after="80" w:line="360" w:lineRule="auto"/>
        <w:ind w:firstLine="720"/>
        <w:jc w:val="both"/>
        <w:rPr>
          <w:color w:val="000000" w:themeColor="text1"/>
        </w:rPr>
      </w:pPr>
      <w:r w:rsidRPr="008A58BF">
        <w:rPr>
          <w:b/>
          <w:bCs/>
          <w:color w:val="000000" w:themeColor="text1"/>
        </w:rPr>
        <w:t>3.</w:t>
      </w:r>
      <w:r w:rsidR="004C5339" w:rsidRPr="008A58BF">
        <w:rPr>
          <w:b/>
          <w:bCs/>
          <w:color w:val="000000" w:themeColor="text1"/>
        </w:rPr>
        <w:t>3</w:t>
      </w:r>
      <w:r w:rsidRPr="008A58BF">
        <w:rPr>
          <w:b/>
          <w:bCs/>
          <w:color w:val="000000" w:themeColor="text1"/>
        </w:rPr>
        <w:t>.  National Migration Statistics</w:t>
      </w:r>
    </w:p>
    <w:p w14:paraId="213D5A69" w14:textId="7FE7FB3F" w:rsidR="00DD7914" w:rsidRPr="008A58BF" w:rsidRDefault="00DD7914" w:rsidP="00DD7914">
      <w:pPr>
        <w:spacing w:before="80" w:after="80" w:line="360" w:lineRule="auto"/>
        <w:ind w:firstLine="720"/>
        <w:jc w:val="both"/>
        <w:rPr>
          <w:color w:val="000000" w:themeColor="text1"/>
        </w:rPr>
      </w:pPr>
      <w:proofErr w:type="spellStart"/>
      <w:proofErr w:type="spellEnd"/>
      <w:r>
        <w:rPr>
          <w:color w:val="000000" w:themeColor="text1"/>
        </w:rPr>
        <w:t xml:space="preserve">The gender composition of Sri Lankan </w:t>
      </w:r>
      <w:r>
        <w:rPr>
          <w:color w:val="000000" w:themeColor="text1"/>
          <w:highlight w:val="yellow"/>
        </w:rPr>
        <w:t>labour</w:t>
      </w:r>
      <w:r>
        <w:rPr>
          <w:color w:val="000000" w:themeColor="text1"/>
        </w:rPr>
        <w:t xml:space="preserve"> migration has shifted substantially over recent decades. Males now account for 55.3% of departures and females </w:t>
      </w:r>
      <w:r>
        <w:rPr>
          <w:color w:val="000000" w:themeColor="text1"/>
          <w:highlight w:val="yellow"/>
        </w:rPr>
        <w:t xml:space="preserve">for </w:t>
      </w:r>
      <w:r>
        <w:rPr>
          <w:color w:val="000000" w:themeColor="text1"/>
        </w:rPr>
        <w:t>44.7%,</w:t>
      </w:r>
      <w:r>
        <w:rPr>
          <w:color w:val="000000" w:themeColor="text1"/>
          <w:highlight w:val="yellow"/>
        </w:rPr>
        <w:t xml:space="preserve"> representing</w:t>
      </w:r>
      <w:r>
        <w:rPr>
          <w:color w:val="000000" w:themeColor="text1"/>
        </w:rPr>
        <w:t xml:space="preserve"> a near-reversal from </w:t>
      </w:r>
      <w:r>
        <w:rPr>
          <w:color w:val="000000" w:themeColor="text1"/>
          <w:highlight w:val="yellow"/>
        </w:rPr>
        <w:t>1986,</w:t>
      </w:r>
      <w:r>
        <w:rPr>
          <w:color w:val="000000" w:themeColor="text1"/>
        </w:rPr>
        <w:t xml:space="preserve"> when female migrants constituted approximately 76% of total departures </w:t>
      </w:r>
      <w:r>
        <w:rPr>
          <w:color w:val="000000" w:themeColor="text1"/>
          <w:highlight w:val="yellow"/>
        </w:rPr>
        <w:t>(Ranaraja,</w:t>
      </w:r>
      <w:r>
        <w:rPr>
          <w:color w:val="000000" w:themeColor="text1"/>
        </w:rPr>
        <w:t xml:space="preserve"> </w:t>
      </w:r>
      <w:r>
        <w:rPr>
          <w:color w:val="000000" w:themeColor="text1"/>
          <w:highlight w:val="yellow"/>
        </w:rPr>
        <w:t>2025;</w:t>
      </w:r>
      <w:r>
        <w:rPr>
          <w:color w:val="000000" w:themeColor="text1"/>
        </w:rPr>
        <w:t xml:space="preserve"> </w:t>
      </w:r>
      <w:r>
        <w:rPr>
          <w:color w:val="000000" w:themeColor="text1"/>
          <w:highlight w:val="yellow"/>
        </w:rPr>
        <w:t>SLBFE,</w:t>
      </w:r>
      <w:r>
        <w:rPr>
          <w:color w:val="000000" w:themeColor="text1"/>
        </w:rPr>
        <w:t xml:space="preserve"> </w:t>
      </w:r>
      <w:r>
        <w:rPr>
          <w:color w:val="000000" w:themeColor="text1"/>
          <w:highlight w:val="yellow"/>
        </w:rPr>
        <w:t>2023).</w:t>
      </w:r>
      <w:r>
        <w:rPr>
          <w:color w:val="000000" w:themeColor="text1"/>
        </w:rPr>
        <w:t xml:space="preserve"> This shift is attributable to the Family Background Report requirements, minimum age regulations, and documented cases of abuse that progressively restricted female domestic worker migration to the Middle East.</w:t>
      </w:r>
    </w:p>
    <w:p w14:paraId="49C2285D" w14:textId="7F3D95EA" w:rsidR="00DD7914" w:rsidRPr="008A58BF" w:rsidRDefault="00DD7914" w:rsidP="00DD7914">
      <w:pPr>
        <w:spacing w:before="80" w:after="80" w:line="360" w:lineRule="auto"/>
        <w:ind w:firstLine="720"/>
        <w:jc w:val="both"/>
        <w:rPr>
          <w:color w:val="000000" w:themeColor="text1"/>
        </w:rPr>
      </w:pPr>
      <w:proofErr w:type="spellStart"/>
      <w:proofErr w:type="spellEnd"/>
      <w:r>
        <w:rPr>
          <w:color w:val="000000" w:themeColor="text1"/>
        </w:rPr>
        <w:t xml:space="preserve">Skill-level disparities remain pronounced and are particularly stark among female migrants. Over 90% of Sri Lankan women who migrate for work are engaged in low-skilled or domestic work categories, a figure that stands in sharp contrast to Sri Lankan women's high literacy </w:t>
      </w:r>
      <w:r>
        <w:rPr>
          <w:color w:val="000000" w:themeColor="text1"/>
          <w:highlight w:val="yellow"/>
        </w:rPr>
        <w:t>rates, which are</w:t>
      </w:r>
      <w:r>
        <w:rPr>
          <w:color w:val="000000" w:themeColor="text1"/>
        </w:rPr>
        <w:t xml:space="preserve"> among the highest in Asia </w:t>
      </w:r>
      <w:r>
        <w:rPr>
          <w:color w:val="000000" w:themeColor="text1"/>
          <w:highlight w:val="yellow"/>
        </w:rPr>
        <w:t>(Ranaraja,</w:t>
      </w:r>
      <w:r>
        <w:rPr>
          <w:color w:val="000000" w:themeColor="text1"/>
        </w:rPr>
        <w:t xml:space="preserve"> </w:t>
      </w:r>
      <w:r>
        <w:rPr>
          <w:color w:val="000000" w:themeColor="text1"/>
          <w:highlight w:val="yellow"/>
        </w:rPr>
        <w:t>2025;</w:t>
      </w:r>
      <w:r>
        <w:rPr>
          <w:color w:val="000000" w:themeColor="text1"/>
        </w:rPr>
        <w:t xml:space="preserve"> </w:t>
      </w:r>
      <w:r>
        <w:rPr>
          <w:color w:val="000000" w:themeColor="text1"/>
          <w:highlight w:val="yellow"/>
        </w:rPr>
        <w:t>SLBFE,</w:t>
      </w:r>
      <w:r>
        <w:rPr>
          <w:color w:val="000000" w:themeColor="text1"/>
        </w:rPr>
        <w:t xml:space="preserve"> </w:t>
      </w:r>
      <w:r>
        <w:rPr>
          <w:color w:val="000000" w:themeColor="text1"/>
          <w:highlight w:val="yellow"/>
        </w:rPr>
        <w:t>2023).</w:t>
      </w:r>
      <w:r>
        <w:rPr>
          <w:color w:val="000000" w:themeColor="text1"/>
        </w:rPr>
        <w:t xml:space="preserve"> Among male migrants, approximately 38% are classified as skilled workers, 22% as </w:t>
      </w:r>
      <w:r>
        <w:rPr>
          <w:color w:val="000000" w:themeColor="text1"/>
          <w:highlight w:val="yellow"/>
        </w:rPr>
        <w:t>semi-skilled,</w:t>
      </w:r>
      <w:r>
        <w:rPr>
          <w:color w:val="000000" w:themeColor="text1"/>
        </w:rPr>
        <w:t xml:space="preserve"> and 35% as low-skilled, with the remaining 5% falling into other categories of the SLBFE classification, indicating a somewhat more diversified skill profile.</w:t>
      </w:r>
    </w:p>
    <w:p w14:paraId="389356CC" w14:textId="77777777" w:rsidR="00DD7914" w:rsidRPr="008A58BF" w:rsidRDefault="00DD7914" w:rsidP="00DD7914">
      <w:pPr>
        <w:spacing w:before="80" w:after="80" w:line="360" w:lineRule="auto"/>
        <w:ind w:firstLine="720"/>
        <w:jc w:val="both"/>
        <w:rPr>
          <w:color w:val="000000" w:themeColor="text1"/>
        </w:rPr>
      </w:pPr>
      <w:r w:rsidRPr="008A58BF">
        <w:rPr>
          <w:color w:val="000000" w:themeColor="text1"/>
        </w:rPr>
        <w:t xml:space="preserve">The Gulf states continue to dominate destination countries. Saudi Arabia received the largest share of Sri Lankan workers (63,929 departures in 2023), followed by Kuwait (62,277), Qatar (48,521), and the UAE (38,451). Notably, European destinations are growing in significance, with Romania recording 11,748 Sri Lankan arrivals and the UK 4,427. South Korea, under a bilateral </w:t>
      </w:r>
      <w:proofErr w:type="spellStart"/>
      <w:r w:rsidRPr="008A58BF">
        <w:rPr>
          <w:color w:val="000000" w:themeColor="text1"/>
        </w:rPr>
        <w:t>labour</w:t>
      </w:r>
      <w:proofErr w:type="spellEnd"/>
      <w:r w:rsidRPr="008A58BF">
        <w:rPr>
          <w:color w:val="000000" w:themeColor="text1"/>
        </w:rPr>
        <w:t xml:space="preserve"> agreement, received 9,746 Sri Lankan workers (SLBFE, 2023).</w:t>
      </w:r>
    </w:p>
    <w:p w14:paraId="441D4DF4" w14:textId="7EAE33D9" w:rsidR="00DD7914" w:rsidRPr="008A58BF" w:rsidRDefault="00DD7914" w:rsidP="00DD7914">
      <w:pPr>
        <w:spacing w:before="80" w:after="80" w:line="360" w:lineRule="auto"/>
        <w:ind w:firstLine="720"/>
        <w:jc w:val="both"/>
        <w:rPr>
          <w:color w:val="000000" w:themeColor="text1"/>
        </w:rPr>
      </w:pPr>
      <w:r w:rsidRPr="008A58BF">
        <w:rPr>
          <w:color w:val="000000" w:themeColor="text1"/>
        </w:rPr>
        <w:t>Finally, a critical structural driver of education-led emigration is the severe domestic bottleneck in tertiary education. Approximately 28,000 students qualify for university admission each year but are unable to secure a place within Sri Lanka's public university system (</w:t>
      </w:r>
      <w:proofErr w:type="spellStart"/>
      <w:r w:rsidRPr="008A58BF">
        <w:rPr>
          <w:color w:val="000000" w:themeColor="text1"/>
        </w:rPr>
        <w:t>Ranaraja</w:t>
      </w:r>
      <w:proofErr w:type="spellEnd"/>
      <w:r w:rsidRPr="008A58BF">
        <w:rPr>
          <w:color w:val="000000" w:themeColor="text1"/>
        </w:rPr>
        <w:t>, 2025). This supply-demand mismatch creates a structural compulsion to seek higher education abroad, a pathway that, as noted above, frequently converts into permanent emigration.</w:t>
      </w:r>
    </w:p>
    <w:p w14:paraId="24AD4EC1" w14:textId="77777777" w:rsidR="004C3825" w:rsidRPr="008A58BF" w:rsidRDefault="004C3825" w:rsidP="00DD7914">
      <w:pPr>
        <w:spacing w:before="80" w:after="80" w:line="360" w:lineRule="auto"/>
        <w:ind w:firstLine="720"/>
        <w:jc w:val="both"/>
        <w:rPr>
          <w:color w:val="000000" w:themeColor="text1"/>
        </w:rPr>
      </w:pPr>
    </w:p>
    <w:p w14:paraId="648854AA" w14:textId="5CF4F81C" w:rsidR="004C3825" w:rsidRPr="008A58BF" w:rsidRDefault="006B248A" w:rsidP="00252B6B">
      <w:pPr>
        <w:spacing w:before="80" w:after="80"/>
        <w:rPr>
          <w:color w:val="000000" w:themeColor="text1"/>
        </w:rPr>
      </w:pPr>
      <w:r w:rsidRPr="008A58BF">
        <w:rPr>
          <w:b/>
          <w:bCs/>
          <w:color w:val="000000" w:themeColor="text1"/>
        </w:rPr>
        <w:t>3.</w:t>
      </w:r>
      <w:r w:rsidR="004C5339" w:rsidRPr="008A58BF">
        <w:rPr>
          <w:b/>
          <w:bCs/>
          <w:color w:val="000000" w:themeColor="text1"/>
        </w:rPr>
        <w:t>4</w:t>
      </w:r>
      <w:r w:rsidRPr="008A58BF">
        <w:rPr>
          <w:b/>
          <w:bCs/>
          <w:color w:val="000000" w:themeColor="text1"/>
        </w:rPr>
        <w:tab/>
        <w:t>Drivers of Migration Intentions among Residents of the Colombo Municipal Council</w:t>
      </w:r>
    </w:p>
    <w:p w14:paraId="5C780BB0" w14:textId="77777777" w:rsidR="001C525A" w:rsidRPr="008A58BF" w:rsidRDefault="001C525A">
      <w:pPr>
        <w:spacing w:before="80" w:after="80" w:line="360" w:lineRule="auto"/>
        <w:ind w:firstLine="720"/>
        <w:jc w:val="both"/>
        <w:rPr>
          <w:b/>
          <w:bCs/>
          <w:color w:val="000000" w:themeColor="text1"/>
        </w:rPr>
      </w:pPr>
    </w:p>
    <w:p w14:paraId="599A65A4" w14:textId="6A99B63F" w:rsidR="00A64E78" w:rsidRPr="008A58BF" w:rsidRDefault="00AA2CF1">
      <w:pPr>
        <w:spacing w:before="80" w:after="80" w:line="360" w:lineRule="auto"/>
        <w:ind w:firstLine="720"/>
        <w:jc w:val="both"/>
        <w:rPr>
          <w:color w:val="000000" w:themeColor="text1"/>
        </w:rPr>
      </w:pPr>
      <w:r w:rsidRPr="008A58BF">
        <w:rPr>
          <w:color w:val="000000" w:themeColor="text1"/>
        </w:rPr>
        <w:t xml:space="preserve">The demographic profile of the 69 respondents is shown in Table 1. The majority were female (63.6%), aged 26–35 (59.1%), and held a bachelor's or postgraduate degree (77.3%). More than half </w:t>
      </w:r>
      <w:r w:rsidRPr="008A58BF">
        <w:rPr>
          <w:color w:val="000000" w:themeColor="text1"/>
        </w:rPr>
        <w:lastRenderedPageBreak/>
        <w:t>were employed in the government sector (54.5%), with the most common income bracket being Rs. 100,000 - 200,000 per month (27.3%).</w:t>
      </w:r>
    </w:p>
    <w:p w14:paraId="133A2FBB" w14:textId="77777777" w:rsidR="00A64E78" w:rsidRPr="008A58BF" w:rsidRDefault="00A64E78">
      <w:pPr>
        <w:spacing w:before="80"/>
        <w:rPr>
          <w:color w:val="000000" w:themeColor="text1"/>
        </w:rPr>
      </w:pPr>
    </w:p>
    <w:p w14:paraId="3A45C2AB" w14:textId="004AC50D" w:rsidR="00A64E78" w:rsidRPr="008A58BF" w:rsidRDefault="00AA2CF1">
      <w:pPr>
        <w:spacing w:before="80" w:after="80"/>
        <w:jc w:val="center"/>
        <w:rPr>
          <w:b/>
          <w:bCs/>
          <w:color w:val="000000" w:themeColor="text1"/>
          <w:sz w:val="22"/>
          <w:szCs w:val="22"/>
        </w:rPr>
      </w:pPr>
      <w:r w:rsidRPr="008A58BF">
        <w:rPr>
          <w:b/>
          <w:bCs/>
          <w:color w:val="000000" w:themeColor="text1"/>
          <w:sz w:val="22"/>
          <w:szCs w:val="22"/>
        </w:rPr>
        <w:t xml:space="preserve">Table 1: Demographic Profile of Respondents </w:t>
      </w:r>
    </w:p>
    <w:p w14:paraId="41320ABA" w14:textId="77777777" w:rsidR="00390B14" w:rsidRPr="008A58BF" w:rsidRDefault="00390B14">
      <w:pPr>
        <w:spacing w:before="80" w:after="80"/>
        <w:jc w:val="cente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160"/>
      </w:tblGrid>
      <w:tr w:rsidR="00390B14" w:rsidRPr="008A58BF" w14:paraId="11C27783" w14:textId="77777777" w:rsidTr="00C50086">
        <w:tc>
          <w:tcPr>
            <w:tcW w:w="2160" w:type="dxa"/>
          </w:tcPr>
          <w:p w14:paraId="24C7792B" w14:textId="77777777" w:rsidR="00390B14" w:rsidRPr="008A58BF" w:rsidRDefault="00390B14" w:rsidP="00C50086">
            <w:pPr>
              <w:rPr>
                <w:color w:val="000000" w:themeColor="text1"/>
              </w:rPr>
            </w:pPr>
            <w:r w:rsidRPr="008A58BF">
              <w:rPr>
                <w:color w:val="000000" w:themeColor="text1"/>
              </w:rPr>
              <w:t>Characteristic</w:t>
            </w:r>
          </w:p>
        </w:tc>
        <w:tc>
          <w:tcPr>
            <w:tcW w:w="2160" w:type="dxa"/>
          </w:tcPr>
          <w:p w14:paraId="13801AA0" w14:textId="77777777" w:rsidR="00390B14" w:rsidRPr="008A58BF" w:rsidRDefault="00390B14" w:rsidP="00C50086">
            <w:pPr>
              <w:rPr>
                <w:color w:val="000000" w:themeColor="text1"/>
              </w:rPr>
            </w:pPr>
            <w:r w:rsidRPr="008A58BF">
              <w:rPr>
                <w:color w:val="000000" w:themeColor="text1"/>
              </w:rPr>
              <w:t>Category</w:t>
            </w:r>
          </w:p>
        </w:tc>
        <w:tc>
          <w:tcPr>
            <w:tcW w:w="2160" w:type="dxa"/>
          </w:tcPr>
          <w:p w14:paraId="348A21DA" w14:textId="109F3FC9" w:rsidR="00390B14" w:rsidRPr="008A58BF" w:rsidRDefault="00390B14" w:rsidP="00C50086">
            <w:pPr>
              <w:rPr>
                <w:color w:val="000000" w:themeColor="text1"/>
              </w:rPr>
            </w:pPr>
            <w:r w:rsidRPr="008A58BF">
              <w:rPr>
                <w:color w:val="000000" w:themeColor="text1"/>
              </w:rPr>
              <w:t>Count</w:t>
            </w:r>
          </w:p>
        </w:tc>
        <w:tc>
          <w:tcPr>
            <w:tcW w:w="2160" w:type="dxa"/>
          </w:tcPr>
          <w:p w14:paraId="324164BD" w14:textId="77777777" w:rsidR="00390B14" w:rsidRPr="008A58BF" w:rsidRDefault="00390B14" w:rsidP="00C50086">
            <w:pPr>
              <w:rPr>
                <w:color w:val="000000" w:themeColor="text1"/>
              </w:rPr>
            </w:pPr>
            <w:r w:rsidRPr="008A58BF">
              <w:rPr>
                <w:color w:val="000000" w:themeColor="text1"/>
              </w:rPr>
              <w:t>Percentage (%)</w:t>
            </w:r>
          </w:p>
        </w:tc>
      </w:tr>
      <w:tr w:rsidR="00390B14" w:rsidRPr="008A58BF" w14:paraId="7A21F89F" w14:textId="77777777" w:rsidTr="00C50086">
        <w:tc>
          <w:tcPr>
            <w:tcW w:w="2160" w:type="dxa"/>
            <w:vMerge w:val="restart"/>
          </w:tcPr>
          <w:p w14:paraId="56CE049C" w14:textId="77777777" w:rsidR="00390B14" w:rsidRPr="008A58BF" w:rsidRDefault="00390B14" w:rsidP="00C50086">
            <w:pPr>
              <w:rPr>
                <w:color w:val="000000" w:themeColor="text1"/>
              </w:rPr>
            </w:pPr>
            <w:r w:rsidRPr="008A58BF">
              <w:rPr>
                <w:color w:val="000000" w:themeColor="text1"/>
              </w:rPr>
              <w:t>Gender</w:t>
            </w:r>
          </w:p>
          <w:p w14:paraId="6C6F8FB0" w14:textId="1AB6C9EE" w:rsidR="00390B14" w:rsidRPr="008A58BF" w:rsidRDefault="00390B14" w:rsidP="00C50086">
            <w:pPr>
              <w:rPr>
                <w:color w:val="000000" w:themeColor="text1"/>
              </w:rPr>
            </w:pPr>
          </w:p>
        </w:tc>
        <w:tc>
          <w:tcPr>
            <w:tcW w:w="2160" w:type="dxa"/>
          </w:tcPr>
          <w:p w14:paraId="0EE84E7F" w14:textId="77777777" w:rsidR="00390B14" w:rsidRPr="008A58BF" w:rsidRDefault="00390B14" w:rsidP="00C50086">
            <w:pPr>
              <w:rPr>
                <w:color w:val="000000" w:themeColor="text1"/>
              </w:rPr>
            </w:pPr>
            <w:r w:rsidRPr="008A58BF">
              <w:rPr>
                <w:color w:val="000000" w:themeColor="text1"/>
              </w:rPr>
              <w:t>Female</w:t>
            </w:r>
          </w:p>
        </w:tc>
        <w:tc>
          <w:tcPr>
            <w:tcW w:w="2160" w:type="dxa"/>
          </w:tcPr>
          <w:p w14:paraId="011825D9" w14:textId="77777777" w:rsidR="00390B14" w:rsidRPr="008A58BF" w:rsidRDefault="00390B14" w:rsidP="00C50086">
            <w:pPr>
              <w:rPr>
                <w:color w:val="000000" w:themeColor="text1"/>
              </w:rPr>
            </w:pPr>
            <w:r w:rsidRPr="008A58BF">
              <w:rPr>
                <w:color w:val="000000" w:themeColor="text1"/>
              </w:rPr>
              <w:t>44</w:t>
            </w:r>
          </w:p>
        </w:tc>
        <w:tc>
          <w:tcPr>
            <w:tcW w:w="2160" w:type="dxa"/>
          </w:tcPr>
          <w:p w14:paraId="1670A2CB" w14:textId="676EE962" w:rsidR="00390B14" w:rsidRPr="008A58BF" w:rsidRDefault="00390B14" w:rsidP="00C50086">
            <w:pPr>
              <w:rPr>
                <w:color w:val="000000" w:themeColor="text1"/>
              </w:rPr>
            </w:pPr>
            <w:r w:rsidRPr="008A58BF">
              <w:rPr>
                <w:color w:val="000000" w:themeColor="text1"/>
              </w:rPr>
              <w:t>63.</w:t>
            </w:r>
            <w:r w:rsidR="00BB76DA" w:rsidRPr="008A58BF">
              <w:rPr>
                <w:color w:val="000000" w:themeColor="text1"/>
              </w:rPr>
              <w:t>8</w:t>
            </w:r>
            <w:r w:rsidRPr="008A58BF">
              <w:rPr>
                <w:color w:val="000000" w:themeColor="text1"/>
              </w:rPr>
              <w:t>%</w:t>
            </w:r>
          </w:p>
        </w:tc>
      </w:tr>
      <w:tr w:rsidR="00390B14" w:rsidRPr="008A58BF" w14:paraId="3778BEC4" w14:textId="77777777" w:rsidTr="00C50086">
        <w:tc>
          <w:tcPr>
            <w:tcW w:w="2160" w:type="dxa"/>
            <w:vMerge/>
          </w:tcPr>
          <w:p w14:paraId="044BDDEB" w14:textId="37BFDEAB" w:rsidR="00390B14" w:rsidRPr="008A58BF" w:rsidRDefault="00390B14" w:rsidP="00C50086">
            <w:pPr>
              <w:rPr>
                <w:color w:val="000000" w:themeColor="text1"/>
              </w:rPr>
            </w:pPr>
          </w:p>
        </w:tc>
        <w:tc>
          <w:tcPr>
            <w:tcW w:w="2160" w:type="dxa"/>
          </w:tcPr>
          <w:p w14:paraId="6D8D3CB0" w14:textId="77777777" w:rsidR="00390B14" w:rsidRPr="008A58BF" w:rsidRDefault="00390B14" w:rsidP="00C50086">
            <w:pPr>
              <w:rPr>
                <w:color w:val="000000" w:themeColor="text1"/>
              </w:rPr>
            </w:pPr>
            <w:r w:rsidRPr="008A58BF">
              <w:rPr>
                <w:color w:val="000000" w:themeColor="text1"/>
              </w:rPr>
              <w:t>Male</w:t>
            </w:r>
          </w:p>
        </w:tc>
        <w:tc>
          <w:tcPr>
            <w:tcW w:w="2160" w:type="dxa"/>
          </w:tcPr>
          <w:p w14:paraId="5E5E0E3E" w14:textId="77777777" w:rsidR="00390B14" w:rsidRPr="008A58BF" w:rsidRDefault="00390B14" w:rsidP="00C50086">
            <w:pPr>
              <w:rPr>
                <w:color w:val="000000" w:themeColor="text1"/>
              </w:rPr>
            </w:pPr>
            <w:r w:rsidRPr="008A58BF">
              <w:rPr>
                <w:color w:val="000000" w:themeColor="text1"/>
              </w:rPr>
              <w:t>25</w:t>
            </w:r>
          </w:p>
        </w:tc>
        <w:tc>
          <w:tcPr>
            <w:tcW w:w="2160" w:type="dxa"/>
          </w:tcPr>
          <w:p w14:paraId="5955465A" w14:textId="4C45C9A4" w:rsidR="00390B14" w:rsidRPr="008A58BF" w:rsidRDefault="00390B14" w:rsidP="00C50086">
            <w:pPr>
              <w:rPr>
                <w:color w:val="000000" w:themeColor="text1"/>
              </w:rPr>
            </w:pPr>
            <w:r w:rsidRPr="008A58BF">
              <w:rPr>
                <w:color w:val="000000" w:themeColor="text1"/>
              </w:rPr>
              <w:t>36.</w:t>
            </w:r>
            <w:r w:rsidR="00BB76DA" w:rsidRPr="008A58BF">
              <w:rPr>
                <w:color w:val="000000" w:themeColor="text1"/>
              </w:rPr>
              <w:t>2</w:t>
            </w:r>
            <w:r w:rsidRPr="008A58BF">
              <w:rPr>
                <w:color w:val="000000" w:themeColor="text1"/>
              </w:rPr>
              <w:t>%</w:t>
            </w:r>
          </w:p>
        </w:tc>
      </w:tr>
      <w:tr w:rsidR="00390B14" w:rsidRPr="008A58BF" w14:paraId="7FDA640A" w14:textId="77777777" w:rsidTr="00C50086">
        <w:tc>
          <w:tcPr>
            <w:tcW w:w="2160" w:type="dxa"/>
            <w:vMerge w:val="restart"/>
          </w:tcPr>
          <w:p w14:paraId="0C30E823" w14:textId="77777777" w:rsidR="00390B14" w:rsidRPr="008A58BF" w:rsidRDefault="00390B14" w:rsidP="00C50086">
            <w:pPr>
              <w:rPr>
                <w:color w:val="000000" w:themeColor="text1"/>
              </w:rPr>
            </w:pPr>
            <w:r w:rsidRPr="008A58BF">
              <w:rPr>
                <w:color w:val="000000" w:themeColor="text1"/>
              </w:rPr>
              <w:t>Age Group</w:t>
            </w:r>
          </w:p>
          <w:p w14:paraId="2E3B3767" w14:textId="58A2D43C" w:rsidR="00390B14" w:rsidRPr="008A58BF" w:rsidRDefault="00390B14" w:rsidP="00C50086">
            <w:pPr>
              <w:rPr>
                <w:color w:val="000000" w:themeColor="text1"/>
              </w:rPr>
            </w:pPr>
          </w:p>
        </w:tc>
        <w:tc>
          <w:tcPr>
            <w:tcW w:w="2160" w:type="dxa"/>
          </w:tcPr>
          <w:p w14:paraId="30C927DC" w14:textId="77777777" w:rsidR="00390B14" w:rsidRPr="008A58BF" w:rsidRDefault="00390B14" w:rsidP="00C50086">
            <w:pPr>
              <w:rPr>
                <w:color w:val="000000" w:themeColor="text1"/>
              </w:rPr>
            </w:pPr>
            <w:r w:rsidRPr="008A58BF">
              <w:rPr>
                <w:color w:val="000000" w:themeColor="text1"/>
              </w:rPr>
              <w:t>18–25</w:t>
            </w:r>
          </w:p>
        </w:tc>
        <w:tc>
          <w:tcPr>
            <w:tcW w:w="2160" w:type="dxa"/>
          </w:tcPr>
          <w:p w14:paraId="300AFAAA" w14:textId="77777777" w:rsidR="00390B14" w:rsidRPr="008A58BF" w:rsidRDefault="00390B14" w:rsidP="00C50086">
            <w:pPr>
              <w:rPr>
                <w:color w:val="000000" w:themeColor="text1"/>
              </w:rPr>
            </w:pPr>
            <w:r w:rsidRPr="008A58BF">
              <w:rPr>
                <w:color w:val="000000" w:themeColor="text1"/>
              </w:rPr>
              <w:t>16</w:t>
            </w:r>
          </w:p>
        </w:tc>
        <w:tc>
          <w:tcPr>
            <w:tcW w:w="2160" w:type="dxa"/>
          </w:tcPr>
          <w:p w14:paraId="303F1A22" w14:textId="7C1A587D" w:rsidR="00390B14" w:rsidRPr="008A58BF" w:rsidRDefault="00390B14" w:rsidP="00C50086">
            <w:pPr>
              <w:rPr>
                <w:color w:val="000000" w:themeColor="text1"/>
              </w:rPr>
            </w:pPr>
            <w:r w:rsidRPr="008A58BF">
              <w:rPr>
                <w:color w:val="000000" w:themeColor="text1"/>
              </w:rPr>
              <w:t>2</w:t>
            </w:r>
            <w:r w:rsidR="00BB76DA" w:rsidRPr="008A58BF">
              <w:rPr>
                <w:color w:val="000000" w:themeColor="text1"/>
              </w:rPr>
              <w:t>3</w:t>
            </w:r>
            <w:r w:rsidRPr="008A58BF">
              <w:rPr>
                <w:color w:val="000000" w:themeColor="text1"/>
              </w:rPr>
              <w:t>.</w:t>
            </w:r>
            <w:r w:rsidR="00BB76DA" w:rsidRPr="008A58BF">
              <w:rPr>
                <w:color w:val="000000" w:themeColor="text1"/>
              </w:rPr>
              <w:t>2</w:t>
            </w:r>
            <w:r w:rsidRPr="008A58BF">
              <w:rPr>
                <w:color w:val="000000" w:themeColor="text1"/>
              </w:rPr>
              <w:t>%</w:t>
            </w:r>
          </w:p>
        </w:tc>
      </w:tr>
      <w:tr w:rsidR="00390B14" w:rsidRPr="008A58BF" w14:paraId="03E69673" w14:textId="77777777" w:rsidTr="00C50086">
        <w:tc>
          <w:tcPr>
            <w:tcW w:w="2160" w:type="dxa"/>
            <w:vMerge/>
          </w:tcPr>
          <w:p w14:paraId="783CBDBA" w14:textId="217121F8" w:rsidR="00390B14" w:rsidRPr="008A58BF" w:rsidRDefault="00390B14" w:rsidP="00C50086">
            <w:pPr>
              <w:rPr>
                <w:color w:val="000000" w:themeColor="text1"/>
              </w:rPr>
            </w:pPr>
          </w:p>
        </w:tc>
        <w:tc>
          <w:tcPr>
            <w:tcW w:w="2160" w:type="dxa"/>
          </w:tcPr>
          <w:p w14:paraId="4D479091" w14:textId="77777777" w:rsidR="00390B14" w:rsidRPr="008A58BF" w:rsidRDefault="00390B14" w:rsidP="00C50086">
            <w:pPr>
              <w:rPr>
                <w:color w:val="000000" w:themeColor="text1"/>
              </w:rPr>
            </w:pPr>
            <w:r w:rsidRPr="008A58BF">
              <w:rPr>
                <w:color w:val="000000" w:themeColor="text1"/>
              </w:rPr>
              <w:t>26–35</w:t>
            </w:r>
          </w:p>
        </w:tc>
        <w:tc>
          <w:tcPr>
            <w:tcW w:w="2160" w:type="dxa"/>
          </w:tcPr>
          <w:p w14:paraId="4D81D83A" w14:textId="77777777" w:rsidR="00390B14" w:rsidRPr="008A58BF" w:rsidRDefault="00390B14" w:rsidP="00C50086">
            <w:pPr>
              <w:rPr>
                <w:color w:val="000000" w:themeColor="text1"/>
              </w:rPr>
            </w:pPr>
            <w:r w:rsidRPr="008A58BF">
              <w:rPr>
                <w:color w:val="000000" w:themeColor="text1"/>
              </w:rPr>
              <w:t>41</w:t>
            </w:r>
          </w:p>
        </w:tc>
        <w:tc>
          <w:tcPr>
            <w:tcW w:w="2160" w:type="dxa"/>
          </w:tcPr>
          <w:p w14:paraId="095102D7" w14:textId="34E3D8ED" w:rsidR="00390B14" w:rsidRPr="008A58BF" w:rsidRDefault="00390B14" w:rsidP="00C50086">
            <w:pPr>
              <w:rPr>
                <w:color w:val="000000" w:themeColor="text1"/>
              </w:rPr>
            </w:pPr>
            <w:r w:rsidRPr="008A58BF">
              <w:rPr>
                <w:color w:val="000000" w:themeColor="text1"/>
              </w:rPr>
              <w:t>59.</w:t>
            </w:r>
            <w:r w:rsidR="00BB76DA" w:rsidRPr="008A58BF">
              <w:rPr>
                <w:color w:val="000000" w:themeColor="text1"/>
              </w:rPr>
              <w:t>4</w:t>
            </w:r>
            <w:r w:rsidRPr="008A58BF">
              <w:rPr>
                <w:color w:val="000000" w:themeColor="text1"/>
              </w:rPr>
              <w:t>%</w:t>
            </w:r>
          </w:p>
        </w:tc>
      </w:tr>
      <w:tr w:rsidR="00390B14" w:rsidRPr="008A58BF" w14:paraId="1B11E0EC" w14:textId="77777777" w:rsidTr="00C50086">
        <w:tc>
          <w:tcPr>
            <w:tcW w:w="2160" w:type="dxa"/>
            <w:vMerge/>
          </w:tcPr>
          <w:p w14:paraId="402670ED" w14:textId="2822DBD7" w:rsidR="00390B14" w:rsidRPr="008A58BF" w:rsidRDefault="00390B14" w:rsidP="00C50086">
            <w:pPr>
              <w:rPr>
                <w:color w:val="000000" w:themeColor="text1"/>
              </w:rPr>
            </w:pPr>
          </w:p>
        </w:tc>
        <w:tc>
          <w:tcPr>
            <w:tcW w:w="2160" w:type="dxa"/>
          </w:tcPr>
          <w:p w14:paraId="1DC701F3" w14:textId="77777777" w:rsidR="00390B14" w:rsidRPr="008A58BF" w:rsidRDefault="00390B14" w:rsidP="00C50086">
            <w:pPr>
              <w:rPr>
                <w:color w:val="000000" w:themeColor="text1"/>
              </w:rPr>
            </w:pPr>
            <w:r w:rsidRPr="008A58BF">
              <w:rPr>
                <w:color w:val="000000" w:themeColor="text1"/>
              </w:rPr>
              <w:t>36–45</w:t>
            </w:r>
          </w:p>
        </w:tc>
        <w:tc>
          <w:tcPr>
            <w:tcW w:w="2160" w:type="dxa"/>
          </w:tcPr>
          <w:p w14:paraId="76A2968C" w14:textId="77777777" w:rsidR="00390B14" w:rsidRPr="008A58BF" w:rsidRDefault="00390B14" w:rsidP="00C50086">
            <w:pPr>
              <w:rPr>
                <w:color w:val="000000" w:themeColor="text1"/>
              </w:rPr>
            </w:pPr>
            <w:r w:rsidRPr="008A58BF">
              <w:rPr>
                <w:color w:val="000000" w:themeColor="text1"/>
              </w:rPr>
              <w:t>9</w:t>
            </w:r>
          </w:p>
        </w:tc>
        <w:tc>
          <w:tcPr>
            <w:tcW w:w="2160" w:type="dxa"/>
          </w:tcPr>
          <w:p w14:paraId="56767FCE" w14:textId="0E8E4E21" w:rsidR="00390B14" w:rsidRPr="008A58BF" w:rsidRDefault="00390B14" w:rsidP="00C50086">
            <w:pPr>
              <w:rPr>
                <w:color w:val="000000" w:themeColor="text1"/>
              </w:rPr>
            </w:pPr>
            <w:r w:rsidRPr="008A58BF">
              <w:rPr>
                <w:color w:val="000000" w:themeColor="text1"/>
              </w:rPr>
              <w:t>13.</w:t>
            </w:r>
            <w:r w:rsidR="00BB76DA" w:rsidRPr="008A58BF">
              <w:rPr>
                <w:color w:val="000000" w:themeColor="text1"/>
              </w:rPr>
              <w:t>0</w:t>
            </w:r>
            <w:r w:rsidRPr="008A58BF">
              <w:rPr>
                <w:color w:val="000000" w:themeColor="text1"/>
              </w:rPr>
              <w:t>%</w:t>
            </w:r>
          </w:p>
        </w:tc>
      </w:tr>
      <w:tr w:rsidR="00390B14" w:rsidRPr="008A58BF" w14:paraId="12C3AB9E" w14:textId="77777777" w:rsidTr="00C50086">
        <w:tc>
          <w:tcPr>
            <w:tcW w:w="2160" w:type="dxa"/>
            <w:vMerge/>
          </w:tcPr>
          <w:p w14:paraId="17EE8478" w14:textId="36B2F6D9" w:rsidR="00390B14" w:rsidRPr="008A58BF" w:rsidRDefault="00390B14" w:rsidP="00C50086">
            <w:pPr>
              <w:rPr>
                <w:color w:val="000000" w:themeColor="text1"/>
              </w:rPr>
            </w:pPr>
          </w:p>
        </w:tc>
        <w:tc>
          <w:tcPr>
            <w:tcW w:w="2160" w:type="dxa"/>
          </w:tcPr>
          <w:p w14:paraId="345CB50E" w14:textId="77777777" w:rsidR="00390B14" w:rsidRPr="008A58BF" w:rsidRDefault="00390B14" w:rsidP="00C50086">
            <w:pPr>
              <w:rPr>
                <w:color w:val="000000" w:themeColor="text1"/>
              </w:rPr>
            </w:pPr>
            <w:r w:rsidRPr="008A58BF">
              <w:rPr>
                <w:color w:val="000000" w:themeColor="text1"/>
              </w:rPr>
              <w:t>46–55</w:t>
            </w:r>
          </w:p>
        </w:tc>
        <w:tc>
          <w:tcPr>
            <w:tcW w:w="2160" w:type="dxa"/>
          </w:tcPr>
          <w:p w14:paraId="639A9C2C" w14:textId="77777777" w:rsidR="00390B14" w:rsidRPr="008A58BF" w:rsidRDefault="00390B14" w:rsidP="00C50086">
            <w:pPr>
              <w:rPr>
                <w:color w:val="000000" w:themeColor="text1"/>
              </w:rPr>
            </w:pPr>
            <w:r w:rsidRPr="008A58BF">
              <w:rPr>
                <w:color w:val="000000" w:themeColor="text1"/>
              </w:rPr>
              <w:t>3</w:t>
            </w:r>
          </w:p>
        </w:tc>
        <w:tc>
          <w:tcPr>
            <w:tcW w:w="2160" w:type="dxa"/>
          </w:tcPr>
          <w:p w14:paraId="3D6625C4" w14:textId="41679299" w:rsidR="00390B14" w:rsidRPr="008A58BF" w:rsidRDefault="00390B14" w:rsidP="00C50086">
            <w:pPr>
              <w:rPr>
                <w:color w:val="000000" w:themeColor="text1"/>
              </w:rPr>
            </w:pPr>
            <w:r w:rsidRPr="008A58BF">
              <w:rPr>
                <w:color w:val="000000" w:themeColor="text1"/>
              </w:rPr>
              <w:t>4.</w:t>
            </w:r>
            <w:r w:rsidR="00BB76DA" w:rsidRPr="008A58BF">
              <w:rPr>
                <w:color w:val="000000" w:themeColor="text1"/>
              </w:rPr>
              <w:t>3</w:t>
            </w:r>
            <w:r w:rsidRPr="008A58BF">
              <w:rPr>
                <w:color w:val="000000" w:themeColor="text1"/>
              </w:rPr>
              <w:t>%</w:t>
            </w:r>
          </w:p>
        </w:tc>
      </w:tr>
      <w:tr w:rsidR="00390B14" w:rsidRPr="008A58BF" w14:paraId="18CAC602" w14:textId="77777777" w:rsidTr="00C50086">
        <w:tc>
          <w:tcPr>
            <w:tcW w:w="2160" w:type="dxa"/>
            <w:vMerge w:val="restart"/>
          </w:tcPr>
          <w:p w14:paraId="4B8A2DC2" w14:textId="77777777" w:rsidR="00390B14" w:rsidRPr="008A58BF" w:rsidRDefault="00390B14" w:rsidP="00C50086">
            <w:pPr>
              <w:rPr>
                <w:color w:val="000000" w:themeColor="text1"/>
              </w:rPr>
            </w:pPr>
            <w:r w:rsidRPr="008A58BF">
              <w:rPr>
                <w:color w:val="000000" w:themeColor="text1"/>
              </w:rPr>
              <w:t>Education</w:t>
            </w:r>
          </w:p>
          <w:p w14:paraId="779B96F3" w14:textId="3ADE99F2" w:rsidR="00390B14" w:rsidRPr="008A58BF" w:rsidRDefault="00390B14" w:rsidP="00C50086">
            <w:pPr>
              <w:rPr>
                <w:color w:val="000000" w:themeColor="text1"/>
              </w:rPr>
            </w:pPr>
          </w:p>
        </w:tc>
        <w:tc>
          <w:tcPr>
            <w:tcW w:w="2160" w:type="dxa"/>
          </w:tcPr>
          <w:p w14:paraId="26FADE37" w14:textId="77777777" w:rsidR="00390B14" w:rsidRPr="008A58BF" w:rsidRDefault="00390B14" w:rsidP="00C50086">
            <w:pPr>
              <w:rPr>
                <w:color w:val="000000" w:themeColor="text1"/>
              </w:rPr>
            </w:pPr>
            <w:r w:rsidRPr="008A58BF">
              <w:rPr>
                <w:color w:val="000000" w:themeColor="text1"/>
              </w:rPr>
              <w:t>A/L</w:t>
            </w:r>
          </w:p>
        </w:tc>
        <w:tc>
          <w:tcPr>
            <w:tcW w:w="2160" w:type="dxa"/>
          </w:tcPr>
          <w:p w14:paraId="012BBA3A" w14:textId="77777777" w:rsidR="00390B14" w:rsidRPr="008A58BF" w:rsidRDefault="00390B14" w:rsidP="00C50086">
            <w:pPr>
              <w:rPr>
                <w:color w:val="000000" w:themeColor="text1"/>
              </w:rPr>
            </w:pPr>
            <w:r w:rsidRPr="008A58BF">
              <w:rPr>
                <w:color w:val="000000" w:themeColor="text1"/>
              </w:rPr>
              <w:t>13</w:t>
            </w:r>
          </w:p>
        </w:tc>
        <w:tc>
          <w:tcPr>
            <w:tcW w:w="2160" w:type="dxa"/>
          </w:tcPr>
          <w:p w14:paraId="0593F92C" w14:textId="03D0A449" w:rsidR="00390B14" w:rsidRPr="008A58BF" w:rsidRDefault="00390B14" w:rsidP="00C50086">
            <w:pPr>
              <w:rPr>
                <w:color w:val="000000" w:themeColor="text1"/>
              </w:rPr>
            </w:pPr>
            <w:r w:rsidRPr="008A58BF">
              <w:rPr>
                <w:color w:val="000000" w:themeColor="text1"/>
              </w:rPr>
              <w:t>18.</w:t>
            </w:r>
            <w:r w:rsidR="00BB76DA" w:rsidRPr="008A58BF">
              <w:rPr>
                <w:color w:val="000000" w:themeColor="text1"/>
              </w:rPr>
              <w:t>8</w:t>
            </w:r>
            <w:r w:rsidRPr="008A58BF">
              <w:rPr>
                <w:color w:val="000000" w:themeColor="text1"/>
              </w:rPr>
              <w:t>%</w:t>
            </w:r>
          </w:p>
        </w:tc>
      </w:tr>
      <w:tr w:rsidR="00390B14" w:rsidRPr="008A58BF" w14:paraId="36F7967D" w14:textId="77777777" w:rsidTr="00C50086">
        <w:tc>
          <w:tcPr>
            <w:tcW w:w="2160" w:type="dxa"/>
            <w:vMerge/>
          </w:tcPr>
          <w:p w14:paraId="361B0277" w14:textId="00B8C5D5" w:rsidR="00390B14" w:rsidRPr="008A58BF" w:rsidRDefault="00390B14" w:rsidP="00C50086">
            <w:pPr>
              <w:rPr>
                <w:color w:val="000000" w:themeColor="text1"/>
              </w:rPr>
            </w:pPr>
          </w:p>
        </w:tc>
        <w:tc>
          <w:tcPr>
            <w:tcW w:w="2160" w:type="dxa"/>
          </w:tcPr>
          <w:p w14:paraId="453A7198" w14:textId="77777777" w:rsidR="00390B14" w:rsidRPr="008A58BF" w:rsidRDefault="00390B14" w:rsidP="00C50086">
            <w:pPr>
              <w:rPr>
                <w:color w:val="000000" w:themeColor="text1"/>
              </w:rPr>
            </w:pPr>
            <w:r w:rsidRPr="008A58BF">
              <w:rPr>
                <w:color w:val="000000" w:themeColor="text1"/>
              </w:rPr>
              <w:t>Bachelor’s</w:t>
            </w:r>
          </w:p>
        </w:tc>
        <w:tc>
          <w:tcPr>
            <w:tcW w:w="2160" w:type="dxa"/>
          </w:tcPr>
          <w:p w14:paraId="6E24A284" w14:textId="77777777" w:rsidR="00390B14" w:rsidRPr="008A58BF" w:rsidRDefault="00390B14" w:rsidP="00C50086">
            <w:pPr>
              <w:rPr>
                <w:color w:val="000000" w:themeColor="text1"/>
              </w:rPr>
            </w:pPr>
            <w:r w:rsidRPr="008A58BF">
              <w:rPr>
                <w:color w:val="000000" w:themeColor="text1"/>
              </w:rPr>
              <w:t>41</w:t>
            </w:r>
          </w:p>
        </w:tc>
        <w:tc>
          <w:tcPr>
            <w:tcW w:w="2160" w:type="dxa"/>
          </w:tcPr>
          <w:p w14:paraId="0E7B9B0A" w14:textId="566A7FA1" w:rsidR="00390B14" w:rsidRPr="008A58BF" w:rsidRDefault="00390B14" w:rsidP="00C50086">
            <w:pPr>
              <w:rPr>
                <w:color w:val="000000" w:themeColor="text1"/>
              </w:rPr>
            </w:pPr>
            <w:r w:rsidRPr="008A58BF">
              <w:rPr>
                <w:color w:val="000000" w:themeColor="text1"/>
              </w:rPr>
              <w:t>59.</w:t>
            </w:r>
            <w:r w:rsidR="00BB76DA" w:rsidRPr="008A58BF">
              <w:rPr>
                <w:color w:val="000000" w:themeColor="text1"/>
              </w:rPr>
              <w:t>4</w:t>
            </w:r>
            <w:r w:rsidRPr="008A58BF">
              <w:rPr>
                <w:color w:val="000000" w:themeColor="text1"/>
              </w:rPr>
              <w:t>%</w:t>
            </w:r>
          </w:p>
        </w:tc>
      </w:tr>
      <w:tr w:rsidR="00390B14" w:rsidRPr="008A58BF" w14:paraId="7BBB267A" w14:textId="77777777" w:rsidTr="00C50086">
        <w:tc>
          <w:tcPr>
            <w:tcW w:w="2160" w:type="dxa"/>
            <w:vMerge/>
          </w:tcPr>
          <w:p w14:paraId="53551AAB" w14:textId="6AACE3C8" w:rsidR="00390B14" w:rsidRPr="008A58BF" w:rsidRDefault="00390B14" w:rsidP="00C50086">
            <w:pPr>
              <w:rPr>
                <w:color w:val="000000" w:themeColor="text1"/>
              </w:rPr>
            </w:pPr>
          </w:p>
        </w:tc>
        <w:tc>
          <w:tcPr>
            <w:tcW w:w="2160" w:type="dxa"/>
          </w:tcPr>
          <w:p w14:paraId="02ECE31F" w14:textId="77777777" w:rsidR="00390B14" w:rsidRPr="008A58BF" w:rsidRDefault="00390B14" w:rsidP="00C50086">
            <w:pPr>
              <w:rPr>
                <w:color w:val="000000" w:themeColor="text1"/>
              </w:rPr>
            </w:pPr>
            <w:r w:rsidRPr="008A58BF">
              <w:rPr>
                <w:color w:val="000000" w:themeColor="text1"/>
              </w:rPr>
              <w:t>Postgraduate</w:t>
            </w:r>
          </w:p>
        </w:tc>
        <w:tc>
          <w:tcPr>
            <w:tcW w:w="2160" w:type="dxa"/>
          </w:tcPr>
          <w:p w14:paraId="54D1DD4C" w14:textId="77777777" w:rsidR="00390B14" w:rsidRPr="008A58BF" w:rsidRDefault="00390B14" w:rsidP="00C50086">
            <w:pPr>
              <w:rPr>
                <w:color w:val="000000" w:themeColor="text1"/>
              </w:rPr>
            </w:pPr>
            <w:r w:rsidRPr="008A58BF">
              <w:rPr>
                <w:color w:val="000000" w:themeColor="text1"/>
              </w:rPr>
              <w:t>13</w:t>
            </w:r>
          </w:p>
        </w:tc>
        <w:tc>
          <w:tcPr>
            <w:tcW w:w="2160" w:type="dxa"/>
          </w:tcPr>
          <w:p w14:paraId="12239FEE" w14:textId="31FBCF0C" w:rsidR="00390B14" w:rsidRPr="008A58BF" w:rsidRDefault="00390B14" w:rsidP="00C50086">
            <w:pPr>
              <w:rPr>
                <w:color w:val="000000" w:themeColor="text1"/>
              </w:rPr>
            </w:pPr>
            <w:r w:rsidRPr="008A58BF">
              <w:rPr>
                <w:color w:val="000000" w:themeColor="text1"/>
              </w:rPr>
              <w:t>18.</w:t>
            </w:r>
            <w:r w:rsidR="00BB76DA" w:rsidRPr="008A58BF">
              <w:rPr>
                <w:color w:val="000000" w:themeColor="text1"/>
              </w:rPr>
              <w:t>8</w:t>
            </w:r>
            <w:r w:rsidRPr="008A58BF">
              <w:rPr>
                <w:color w:val="000000" w:themeColor="text1"/>
              </w:rPr>
              <w:t>%</w:t>
            </w:r>
          </w:p>
        </w:tc>
      </w:tr>
      <w:tr w:rsidR="00390B14" w:rsidRPr="008A58BF" w14:paraId="16790A46" w14:textId="77777777" w:rsidTr="00C50086">
        <w:tc>
          <w:tcPr>
            <w:tcW w:w="2160" w:type="dxa"/>
            <w:vMerge/>
          </w:tcPr>
          <w:p w14:paraId="55C01F4A" w14:textId="7FE885DF" w:rsidR="00390B14" w:rsidRPr="008A58BF" w:rsidRDefault="00390B14" w:rsidP="00C50086">
            <w:pPr>
              <w:rPr>
                <w:color w:val="000000" w:themeColor="text1"/>
              </w:rPr>
            </w:pPr>
          </w:p>
        </w:tc>
        <w:tc>
          <w:tcPr>
            <w:tcW w:w="2160" w:type="dxa"/>
          </w:tcPr>
          <w:p w14:paraId="467D3538" w14:textId="77777777" w:rsidR="00390B14" w:rsidRPr="008A58BF" w:rsidRDefault="00390B14" w:rsidP="00C50086">
            <w:pPr>
              <w:rPr>
                <w:color w:val="000000" w:themeColor="text1"/>
              </w:rPr>
            </w:pPr>
            <w:r w:rsidRPr="008A58BF">
              <w:rPr>
                <w:color w:val="000000" w:themeColor="text1"/>
              </w:rPr>
              <w:t>Other</w:t>
            </w:r>
          </w:p>
        </w:tc>
        <w:tc>
          <w:tcPr>
            <w:tcW w:w="2160" w:type="dxa"/>
          </w:tcPr>
          <w:p w14:paraId="4C6F8F4B" w14:textId="77777777" w:rsidR="00390B14" w:rsidRPr="008A58BF" w:rsidRDefault="00390B14" w:rsidP="00C50086">
            <w:pPr>
              <w:rPr>
                <w:color w:val="000000" w:themeColor="text1"/>
              </w:rPr>
            </w:pPr>
            <w:r w:rsidRPr="008A58BF">
              <w:rPr>
                <w:color w:val="000000" w:themeColor="text1"/>
              </w:rPr>
              <w:t>3</w:t>
            </w:r>
          </w:p>
        </w:tc>
        <w:tc>
          <w:tcPr>
            <w:tcW w:w="2160" w:type="dxa"/>
          </w:tcPr>
          <w:p w14:paraId="6ED903F0" w14:textId="317123C6" w:rsidR="00390B14" w:rsidRPr="008A58BF" w:rsidRDefault="00390B14" w:rsidP="00C50086">
            <w:pPr>
              <w:rPr>
                <w:color w:val="000000" w:themeColor="text1"/>
              </w:rPr>
            </w:pPr>
            <w:r w:rsidRPr="008A58BF">
              <w:rPr>
                <w:color w:val="000000" w:themeColor="text1"/>
              </w:rPr>
              <w:t>4.</w:t>
            </w:r>
            <w:r w:rsidR="00BB76DA" w:rsidRPr="008A58BF">
              <w:rPr>
                <w:color w:val="000000" w:themeColor="text1"/>
              </w:rPr>
              <w:t>3</w:t>
            </w:r>
            <w:r w:rsidRPr="008A58BF">
              <w:rPr>
                <w:color w:val="000000" w:themeColor="text1"/>
              </w:rPr>
              <w:t>%</w:t>
            </w:r>
          </w:p>
        </w:tc>
      </w:tr>
      <w:tr w:rsidR="00390B14" w:rsidRPr="008A58BF" w14:paraId="2FFF57BB" w14:textId="77777777" w:rsidTr="00C50086">
        <w:tc>
          <w:tcPr>
            <w:tcW w:w="2160" w:type="dxa"/>
            <w:vMerge w:val="restart"/>
          </w:tcPr>
          <w:p w14:paraId="0B2DD081" w14:textId="77777777" w:rsidR="00390B14" w:rsidRPr="008A58BF" w:rsidRDefault="00390B14" w:rsidP="00C50086">
            <w:pPr>
              <w:rPr>
                <w:color w:val="000000" w:themeColor="text1"/>
              </w:rPr>
            </w:pPr>
            <w:r w:rsidRPr="008A58BF">
              <w:rPr>
                <w:color w:val="000000" w:themeColor="text1"/>
              </w:rPr>
              <w:t>Occupation</w:t>
            </w:r>
          </w:p>
          <w:p w14:paraId="3C8BCB1D" w14:textId="4C3C2830" w:rsidR="00390B14" w:rsidRPr="008A58BF" w:rsidRDefault="00390B14" w:rsidP="00C50086">
            <w:pPr>
              <w:rPr>
                <w:color w:val="000000" w:themeColor="text1"/>
              </w:rPr>
            </w:pPr>
          </w:p>
        </w:tc>
        <w:tc>
          <w:tcPr>
            <w:tcW w:w="2160" w:type="dxa"/>
          </w:tcPr>
          <w:p w14:paraId="59FBED67" w14:textId="77777777" w:rsidR="00390B14" w:rsidRPr="008A58BF" w:rsidRDefault="00390B14" w:rsidP="00C50086">
            <w:pPr>
              <w:rPr>
                <w:color w:val="000000" w:themeColor="text1"/>
              </w:rPr>
            </w:pPr>
            <w:r w:rsidRPr="008A58BF">
              <w:rPr>
                <w:color w:val="000000" w:themeColor="text1"/>
              </w:rPr>
              <w:t>Government</w:t>
            </w:r>
          </w:p>
        </w:tc>
        <w:tc>
          <w:tcPr>
            <w:tcW w:w="2160" w:type="dxa"/>
          </w:tcPr>
          <w:p w14:paraId="30CF6867" w14:textId="77777777" w:rsidR="00390B14" w:rsidRPr="008A58BF" w:rsidRDefault="00390B14" w:rsidP="00C50086">
            <w:pPr>
              <w:rPr>
                <w:color w:val="000000" w:themeColor="text1"/>
              </w:rPr>
            </w:pPr>
            <w:r w:rsidRPr="008A58BF">
              <w:rPr>
                <w:color w:val="000000" w:themeColor="text1"/>
              </w:rPr>
              <w:t>38</w:t>
            </w:r>
          </w:p>
        </w:tc>
        <w:tc>
          <w:tcPr>
            <w:tcW w:w="2160" w:type="dxa"/>
          </w:tcPr>
          <w:p w14:paraId="1FE5050C" w14:textId="3B90CB12" w:rsidR="00390B14" w:rsidRPr="008A58BF" w:rsidRDefault="00390B14" w:rsidP="00C50086">
            <w:pPr>
              <w:rPr>
                <w:color w:val="000000" w:themeColor="text1"/>
              </w:rPr>
            </w:pPr>
            <w:r w:rsidRPr="008A58BF">
              <w:rPr>
                <w:color w:val="000000" w:themeColor="text1"/>
              </w:rPr>
              <w:t>5</w:t>
            </w:r>
            <w:r w:rsidR="00BB76DA" w:rsidRPr="008A58BF">
              <w:rPr>
                <w:color w:val="000000" w:themeColor="text1"/>
              </w:rPr>
              <w:t>5</w:t>
            </w:r>
            <w:r w:rsidRPr="008A58BF">
              <w:rPr>
                <w:color w:val="000000" w:themeColor="text1"/>
              </w:rPr>
              <w:t>.5%</w:t>
            </w:r>
          </w:p>
        </w:tc>
      </w:tr>
      <w:tr w:rsidR="00390B14" w:rsidRPr="008A58BF" w14:paraId="06916869" w14:textId="77777777" w:rsidTr="00C50086">
        <w:tc>
          <w:tcPr>
            <w:tcW w:w="2160" w:type="dxa"/>
            <w:vMerge/>
          </w:tcPr>
          <w:p w14:paraId="71D56783" w14:textId="2CA32E23" w:rsidR="00390B14" w:rsidRPr="008A58BF" w:rsidRDefault="00390B14" w:rsidP="00C50086">
            <w:pPr>
              <w:rPr>
                <w:color w:val="000000" w:themeColor="text1"/>
              </w:rPr>
            </w:pPr>
          </w:p>
        </w:tc>
        <w:tc>
          <w:tcPr>
            <w:tcW w:w="2160" w:type="dxa"/>
          </w:tcPr>
          <w:p w14:paraId="22F110D7" w14:textId="77777777" w:rsidR="00390B14" w:rsidRPr="008A58BF" w:rsidRDefault="00390B14" w:rsidP="00C50086">
            <w:pPr>
              <w:rPr>
                <w:color w:val="000000" w:themeColor="text1"/>
              </w:rPr>
            </w:pPr>
            <w:r w:rsidRPr="008A58BF">
              <w:rPr>
                <w:color w:val="000000" w:themeColor="text1"/>
              </w:rPr>
              <w:t>Private</w:t>
            </w:r>
          </w:p>
        </w:tc>
        <w:tc>
          <w:tcPr>
            <w:tcW w:w="2160" w:type="dxa"/>
          </w:tcPr>
          <w:p w14:paraId="151FD283" w14:textId="77777777" w:rsidR="00390B14" w:rsidRPr="008A58BF" w:rsidRDefault="00390B14" w:rsidP="00C50086">
            <w:pPr>
              <w:rPr>
                <w:color w:val="000000" w:themeColor="text1"/>
              </w:rPr>
            </w:pPr>
            <w:r w:rsidRPr="008A58BF">
              <w:rPr>
                <w:color w:val="000000" w:themeColor="text1"/>
              </w:rPr>
              <w:t>19</w:t>
            </w:r>
          </w:p>
        </w:tc>
        <w:tc>
          <w:tcPr>
            <w:tcW w:w="2160" w:type="dxa"/>
          </w:tcPr>
          <w:p w14:paraId="00DBAD3B" w14:textId="5E84D4FF" w:rsidR="00390B14" w:rsidRPr="008A58BF" w:rsidRDefault="00390B14" w:rsidP="00C50086">
            <w:pPr>
              <w:rPr>
                <w:color w:val="000000" w:themeColor="text1"/>
              </w:rPr>
            </w:pPr>
            <w:r w:rsidRPr="008A58BF">
              <w:rPr>
                <w:color w:val="000000" w:themeColor="text1"/>
              </w:rPr>
              <w:t>27.</w:t>
            </w:r>
            <w:r w:rsidR="00BB76DA" w:rsidRPr="008A58BF">
              <w:rPr>
                <w:color w:val="000000" w:themeColor="text1"/>
              </w:rPr>
              <w:t>5</w:t>
            </w:r>
            <w:r w:rsidRPr="008A58BF">
              <w:rPr>
                <w:color w:val="000000" w:themeColor="text1"/>
              </w:rPr>
              <w:t>%</w:t>
            </w:r>
          </w:p>
        </w:tc>
      </w:tr>
      <w:tr w:rsidR="00390B14" w:rsidRPr="008A58BF" w14:paraId="199CAECC" w14:textId="77777777" w:rsidTr="00C50086">
        <w:tc>
          <w:tcPr>
            <w:tcW w:w="2160" w:type="dxa"/>
            <w:vMerge/>
          </w:tcPr>
          <w:p w14:paraId="135F2B90" w14:textId="0331E5DB" w:rsidR="00390B14" w:rsidRPr="008A58BF" w:rsidRDefault="00390B14" w:rsidP="00C50086">
            <w:pPr>
              <w:rPr>
                <w:color w:val="000000" w:themeColor="text1"/>
              </w:rPr>
            </w:pPr>
          </w:p>
        </w:tc>
        <w:tc>
          <w:tcPr>
            <w:tcW w:w="2160" w:type="dxa"/>
          </w:tcPr>
          <w:p w14:paraId="4516E0C0" w14:textId="77777777" w:rsidR="00390B14" w:rsidRPr="008A58BF" w:rsidRDefault="00390B14" w:rsidP="00C50086">
            <w:pPr>
              <w:rPr>
                <w:color w:val="000000" w:themeColor="text1"/>
              </w:rPr>
            </w:pPr>
            <w:r w:rsidRPr="008A58BF">
              <w:rPr>
                <w:color w:val="000000" w:themeColor="text1"/>
              </w:rPr>
              <w:t>Other</w:t>
            </w:r>
          </w:p>
        </w:tc>
        <w:tc>
          <w:tcPr>
            <w:tcW w:w="2160" w:type="dxa"/>
          </w:tcPr>
          <w:p w14:paraId="19B9117B" w14:textId="77777777" w:rsidR="00390B14" w:rsidRPr="008A58BF" w:rsidRDefault="00390B14" w:rsidP="00C50086">
            <w:pPr>
              <w:rPr>
                <w:color w:val="000000" w:themeColor="text1"/>
              </w:rPr>
            </w:pPr>
            <w:r w:rsidRPr="008A58BF">
              <w:rPr>
                <w:color w:val="000000" w:themeColor="text1"/>
              </w:rPr>
              <w:t>12</w:t>
            </w:r>
          </w:p>
        </w:tc>
        <w:tc>
          <w:tcPr>
            <w:tcW w:w="2160" w:type="dxa"/>
          </w:tcPr>
          <w:p w14:paraId="6BE05EAB" w14:textId="77777777" w:rsidR="00390B14" w:rsidRPr="008A58BF" w:rsidRDefault="00390B14" w:rsidP="00C50086">
            <w:pPr>
              <w:rPr>
                <w:color w:val="000000" w:themeColor="text1"/>
              </w:rPr>
            </w:pPr>
            <w:r w:rsidRPr="008A58BF">
              <w:rPr>
                <w:color w:val="000000" w:themeColor="text1"/>
              </w:rPr>
              <w:t>17.4%</w:t>
            </w:r>
          </w:p>
        </w:tc>
      </w:tr>
      <w:tr w:rsidR="00390B14" w:rsidRPr="008A58BF" w14:paraId="4DC14A97" w14:textId="77777777" w:rsidTr="00C50086">
        <w:tc>
          <w:tcPr>
            <w:tcW w:w="2160" w:type="dxa"/>
            <w:vMerge w:val="restart"/>
          </w:tcPr>
          <w:p w14:paraId="20D9593E" w14:textId="77777777" w:rsidR="00390B14" w:rsidRPr="008A58BF" w:rsidRDefault="00390B14" w:rsidP="00C50086">
            <w:pPr>
              <w:rPr>
                <w:color w:val="000000" w:themeColor="text1"/>
              </w:rPr>
            </w:pPr>
            <w:r w:rsidRPr="008A58BF">
              <w:rPr>
                <w:color w:val="000000" w:themeColor="text1"/>
              </w:rPr>
              <w:t>Monthly Income</w:t>
            </w:r>
          </w:p>
          <w:p w14:paraId="2AEA9882" w14:textId="52922903" w:rsidR="00390B14" w:rsidRPr="008A58BF" w:rsidRDefault="00390B14" w:rsidP="00C50086">
            <w:pPr>
              <w:rPr>
                <w:color w:val="000000" w:themeColor="text1"/>
              </w:rPr>
            </w:pPr>
          </w:p>
        </w:tc>
        <w:tc>
          <w:tcPr>
            <w:tcW w:w="2160" w:type="dxa"/>
          </w:tcPr>
          <w:p w14:paraId="04E98940" w14:textId="77777777" w:rsidR="00390B14" w:rsidRPr="008A58BF" w:rsidRDefault="00390B14" w:rsidP="00C50086">
            <w:pPr>
              <w:rPr>
                <w:color w:val="000000" w:themeColor="text1"/>
              </w:rPr>
            </w:pPr>
            <w:r w:rsidRPr="008A58BF">
              <w:rPr>
                <w:color w:val="000000" w:themeColor="text1"/>
              </w:rPr>
              <w:t>&lt; Rs. 50,000</w:t>
            </w:r>
          </w:p>
        </w:tc>
        <w:tc>
          <w:tcPr>
            <w:tcW w:w="2160" w:type="dxa"/>
          </w:tcPr>
          <w:p w14:paraId="0E42FD72" w14:textId="77777777" w:rsidR="00390B14" w:rsidRPr="008A58BF" w:rsidRDefault="00390B14" w:rsidP="00C50086">
            <w:pPr>
              <w:rPr>
                <w:color w:val="000000" w:themeColor="text1"/>
              </w:rPr>
            </w:pPr>
            <w:r w:rsidRPr="008A58BF">
              <w:rPr>
                <w:color w:val="000000" w:themeColor="text1"/>
              </w:rPr>
              <w:t>13</w:t>
            </w:r>
          </w:p>
        </w:tc>
        <w:tc>
          <w:tcPr>
            <w:tcW w:w="2160" w:type="dxa"/>
          </w:tcPr>
          <w:p w14:paraId="3B01C3CC" w14:textId="03506434" w:rsidR="00390B14" w:rsidRPr="008A58BF" w:rsidRDefault="00390B14" w:rsidP="00C50086">
            <w:pPr>
              <w:rPr>
                <w:color w:val="000000" w:themeColor="text1"/>
              </w:rPr>
            </w:pPr>
            <w:r w:rsidRPr="008A58BF">
              <w:rPr>
                <w:color w:val="000000" w:themeColor="text1"/>
              </w:rPr>
              <w:t>18.</w:t>
            </w:r>
            <w:r w:rsidR="00BB76DA" w:rsidRPr="008A58BF">
              <w:rPr>
                <w:color w:val="000000" w:themeColor="text1"/>
              </w:rPr>
              <w:t>8</w:t>
            </w:r>
            <w:r w:rsidRPr="008A58BF">
              <w:rPr>
                <w:color w:val="000000" w:themeColor="text1"/>
              </w:rPr>
              <w:t>%</w:t>
            </w:r>
          </w:p>
        </w:tc>
      </w:tr>
      <w:tr w:rsidR="00390B14" w:rsidRPr="008A58BF" w14:paraId="535A0C6D" w14:textId="77777777" w:rsidTr="00C50086">
        <w:tc>
          <w:tcPr>
            <w:tcW w:w="2160" w:type="dxa"/>
            <w:vMerge/>
          </w:tcPr>
          <w:p w14:paraId="0B5768C3" w14:textId="7F70AE3D" w:rsidR="00390B14" w:rsidRPr="008A58BF" w:rsidRDefault="00390B14" w:rsidP="00C50086">
            <w:pPr>
              <w:rPr>
                <w:color w:val="000000" w:themeColor="text1"/>
              </w:rPr>
            </w:pPr>
          </w:p>
        </w:tc>
        <w:tc>
          <w:tcPr>
            <w:tcW w:w="2160" w:type="dxa"/>
          </w:tcPr>
          <w:p w14:paraId="335AB584" w14:textId="77777777" w:rsidR="00390B14" w:rsidRPr="008A58BF" w:rsidRDefault="00390B14" w:rsidP="00C50086">
            <w:pPr>
              <w:rPr>
                <w:color w:val="000000" w:themeColor="text1"/>
              </w:rPr>
            </w:pPr>
            <w:r w:rsidRPr="008A58BF">
              <w:rPr>
                <w:color w:val="000000" w:themeColor="text1"/>
              </w:rPr>
              <w:t>50–100k</w:t>
            </w:r>
          </w:p>
        </w:tc>
        <w:tc>
          <w:tcPr>
            <w:tcW w:w="2160" w:type="dxa"/>
          </w:tcPr>
          <w:p w14:paraId="39F25707" w14:textId="77777777" w:rsidR="00390B14" w:rsidRPr="008A58BF" w:rsidRDefault="00390B14" w:rsidP="00C50086">
            <w:pPr>
              <w:rPr>
                <w:color w:val="000000" w:themeColor="text1"/>
              </w:rPr>
            </w:pPr>
            <w:r w:rsidRPr="008A58BF">
              <w:rPr>
                <w:color w:val="000000" w:themeColor="text1"/>
              </w:rPr>
              <w:t>16</w:t>
            </w:r>
          </w:p>
        </w:tc>
        <w:tc>
          <w:tcPr>
            <w:tcW w:w="2160" w:type="dxa"/>
          </w:tcPr>
          <w:p w14:paraId="21018BB9" w14:textId="74266EBC" w:rsidR="00390B14" w:rsidRPr="008A58BF" w:rsidRDefault="00390B14" w:rsidP="00C50086">
            <w:pPr>
              <w:rPr>
                <w:color w:val="000000" w:themeColor="text1"/>
              </w:rPr>
            </w:pPr>
            <w:r w:rsidRPr="008A58BF">
              <w:rPr>
                <w:color w:val="000000" w:themeColor="text1"/>
              </w:rPr>
              <w:t>2</w:t>
            </w:r>
            <w:r w:rsidR="00BB76DA" w:rsidRPr="008A58BF">
              <w:rPr>
                <w:color w:val="000000" w:themeColor="text1"/>
              </w:rPr>
              <w:t>3</w:t>
            </w:r>
            <w:r w:rsidRPr="008A58BF">
              <w:rPr>
                <w:color w:val="000000" w:themeColor="text1"/>
              </w:rPr>
              <w:t>.</w:t>
            </w:r>
            <w:r w:rsidR="00BB76DA" w:rsidRPr="008A58BF">
              <w:rPr>
                <w:color w:val="000000" w:themeColor="text1"/>
              </w:rPr>
              <w:t>1</w:t>
            </w:r>
            <w:r w:rsidRPr="008A58BF">
              <w:rPr>
                <w:color w:val="000000" w:themeColor="text1"/>
              </w:rPr>
              <w:t>%</w:t>
            </w:r>
          </w:p>
        </w:tc>
      </w:tr>
      <w:tr w:rsidR="00390B14" w:rsidRPr="008A58BF" w14:paraId="4731E021" w14:textId="77777777" w:rsidTr="00C50086">
        <w:tc>
          <w:tcPr>
            <w:tcW w:w="2160" w:type="dxa"/>
            <w:vMerge/>
          </w:tcPr>
          <w:p w14:paraId="409B91BB" w14:textId="1261AD8B" w:rsidR="00390B14" w:rsidRPr="008A58BF" w:rsidRDefault="00390B14" w:rsidP="00C50086">
            <w:pPr>
              <w:rPr>
                <w:color w:val="000000" w:themeColor="text1"/>
              </w:rPr>
            </w:pPr>
          </w:p>
        </w:tc>
        <w:tc>
          <w:tcPr>
            <w:tcW w:w="2160" w:type="dxa"/>
          </w:tcPr>
          <w:p w14:paraId="2B328E7F" w14:textId="77777777" w:rsidR="00390B14" w:rsidRPr="008A58BF" w:rsidRDefault="00390B14" w:rsidP="00C50086">
            <w:pPr>
              <w:rPr>
                <w:color w:val="000000" w:themeColor="text1"/>
              </w:rPr>
            </w:pPr>
            <w:r w:rsidRPr="008A58BF">
              <w:rPr>
                <w:color w:val="000000" w:themeColor="text1"/>
              </w:rPr>
              <w:t>100–200k</w:t>
            </w:r>
          </w:p>
        </w:tc>
        <w:tc>
          <w:tcPr>
            <w:tcW w:w="2160" w:type="dxa"/>
          </w:tcPr>
          <w:p w14:paraId="4D9176A0" w14:textId="77777777" w:rsidR="00390B14" w:rsidRPr="008A58BF" w:rsidRDefault="00390B14" w:rsidP="00C50086">
            <w:pPr>
              <w:rPr>
                <w:color w:val="000000" w:themeColor="text1"/>
              </w:rPr>
            </w:pPr>
            <w:r w:rsidRPr="008A58BF">
              <w:rPr>
                <w:color w:val="000000" w:themeColor="text1"/>
              </w:rPr>
              <w:t>19</w:t>
            </w:r>
          </w:p>
        </w:tc>
        <w:tc>
          <w:tcPr>
            <w:tcW w:w="2160" w:type="dxa"/>
          </w:tcPr>
          <w:p w14:paraId="6080C5D1" w14:textId="3833435B" w:rsidR="00390B14" w:rsidRPr="008A58BF" w:rsidRDefault="00390B14" w:rsidP="00C50086">
            <w:pPr>
              <w:rPr>
                <w:color w:val="000000" w:themeColor="text1"/>
              </w:rPr>
            </w:pPr>
            <w:r w:rsidRPr="008A58BF">
              <w:rPr>
                <w:color w:val="000000" w:themeColor="text1"/>
              </w:rPr>
              <w:t>27.</w:t>
            </w:r>
            <w:r w:rsidR="00BB76DA" w:rsidRPr="008A58BF">
              <w:rPr>
                <w:color w:val="000000" w:themeColor="text1"/>
              </w:rPr>
              <w:t>5</w:t>
            </w:r>
            <w:r w:rsidRPr="008A58BF">
              <w:rPr>
                <w:color w:val="000000" w:themeColor="text1"/>
              </w:rPr>
              <w:t>%</w:t>
            </w:r>
          </w:p>
        </w:tc>
      </w:tr>
      <w:tr w:rsidR="00390B14" w:rsidRPr="008A58BF" w14:paraId="5ACB025F" w14:textId="77777777" w:rsidTr="00C50086">
        <w:tc>
          <w:tcPr>
            <w:tcW w:w="2160" w:type="dxa"/>
            <w:vMerge/>
          </w:tcPr>
          <w:p w14:paraId="5F703FD5" w14:textId="209E3603" w:rsidR="00390B14" w:rsidRPr="008A58BF" w:rsidRDefault="00390B14" w:rsidP="00C50086">
            <w:pPr>
              <w:rPr>
                <w:color w:val="000000" w:themeColor="text1"/>
              </w:rPr>
            </w:pPr>
          </w:p>
        </w:tc>
        <w:tc>
          <w:tcPr>
            <w:tcW w:w="2160" w:type="dxa"/>
          </w:tcPr>
          <w:p w14:paraId="704DB328" w14:textId="77777777" w:rsidR="00390B14" w:rsidRPr="008A58BF" w:rsidRDefault="00390B14" w:rsidP="00C50086">
            <w:pPr>
              <w:rPr>
                <w:color w:val="000000" w:themeColor="text1"/>
              </w:rPr>
            </w:pPr>
            <w:r w:rsidRPr="008A58BF">
              <w:rPr>
                <w:color w:val="000000" w:themeColor="text1"/>
              </w:rPr>
              <w:t>200–500k</w:t>
            </w:r>
          </w:p>
        </w:tc>
        <w:tc>
          <w:tcPr>
            <w:tcW w:w="2160" w:type="dxa"/>
          </w:tcPr>
          <w:p w14:paraId="6FDEEB22" w14:textId="77777777" w:rsidR="00390B14" w:rsidRPr="008A58BF" w:rsidRDefault="00390B14" w:rsidP="00C50086">
            <w:pPr>
              <w:rPr>
                <w:color w:val="000000" w:themeColor="text1"/>
              </w:rPr>
            </w:pPr>
            <w:r w:rsidRPr="008A58BF">
              <w:rPr>
                <w:color w:val="000000" w:themeColor="text1"/>
              </w:rPr>
              <w:t>13</w:t>
            </w:r>
          </w:p>
        </w:tc>
        <w:tc>
          <w:tcPr>
            <w:tcW w:w="2160" w:type="dxa"/>
          </w:tcPr>
          <w:p w14:paraId="55EF5CE1" w14:textId="4ADEF7E2" w:rsidR="00390B14" w:rsidRPr="008A58BF" w:rsidRDefault="00390B14" w:rsidP="00C50086">
            <w:pPr>
              <w:rPr>
                <w:color w:val="000000" w:themeColor="text1"/>
              </w:rPr>
            </w:pPr>
            <w:r w:rsidRPr="008A58BF">
              <w:rPr>
                <w:color w:val="000000" w:themeColor="text1"/>
              </w:rPr>
              <w:t>18.</w:t>
            </w:r>
            <w:r w:rsidR="0059300C" w:rsidRPr="008A58BF">
              <w:rPr>
                <w:color w:val="000000" w:themeColor="text1"/>
              </w:rPr>
              <w:t>8</w:t>
            </w:r>
            <w:r w:rsidRPr="008A58BF">
              <w:rPr>
                <w:color w:val="000000" w:themeColor="text1"/>
              </w:rPr>
              <w:t>%</w:t>
            </w:r>
          </w:p>
        </w:tc>
      </w:tr>
      <w:tr w:rsidR="00390B14" w:rsidRPr="008A58BF" w14:paraId="05AA211C" w14:textId="77777777" w:rsidTr="00C50086">
        <w:tc>
          <w:tcPr>
            <w:tcW w:w="2160" w:type="dxa"/>
            <w:vMerge/>
          </w:tcPr>
          <w:p w14:paraId="3926E029" w14:textId="3C65DC0D" w:rsidR="00390B14" w:rsidRPr="008A58BF" w:rsidRDefault="00390B14" w:rsidP="00C50086">
            <w:pPr>
              <w:rPr>
                <w:color w:val="000000" w:themeColor="text1"/>
              </w:rPr>
            </w:pPr>
          </w:p>
        </w:tc>
        <w:tc>
          <w:tcPr>
            <w:tcW w:w="2160" w:type="dxa"/>
          </w:tcPr>
          <w:p w14:paraId="23726315" w14:textId="77777777" w:rsidR="00390B14" w:rsidRPr="008A58BF" w:rsidRDefault="00390B14" w:rsidP="00C50086">
            <w:pPr>
              <w:rPr>
                <w:color w:val="000000" w:themeColor="text1"/>
              </w:rPr>
            </w:pPr>
            <w:r w:rsidRPr="008A58BF">
              <w:rPr>
                <w:color w:val="000000" w:themeColor="text1"/>
              </w:rPr>
              <w:t>&gt; 500k</w:t>
            </w:r>
          </w:p>
        </w:tc>
        <w:tc>
          <w:tcPr>
            <w:tcW w:w="2160" w:type="dxa"/>
          </w:tcPr>
          <w:p w14:paraId="764FDC77" w14:textId="77777777" w:rsidR="00390B14" w:rsidRPr="008A58BF" w:rsidRDefault="00390B14" w:rsidP="00C50086">
            <w:pPr>
              <w:rPr>
                <w:color w:val="000000" w:themeColor="text1"/>
              </w:rPr>
            </w:pPr>
            <w:r w:rsidRPr="008A58BF">
              <w:rPr>
                <w:color w:val="000000" w:themeColor="text1"/>
              </w:rPr>
              <w:t>9</w:t>
            </w:r>
          </w:p>
        </w:tc>
        <w:tc>
          <w:tcPr>
            <w:tcW w:w="2160" w:type="dxa"/>
          </w:tcPr>
          <w:p w14:paraId="70C9B824" w14:textId="19C6CD54" w:rsidR="00390B14" w:rsidRPr="008A58BF" w:rsidRDefault="00390B14" w:rsidP="00C50086">
            <w:pPr>
              <w:rPr>
                <w:color w:val="000000" w:themeColor="text1"/>
              </w:rPr>
            </w:pPr>
            <w:r w:rsidRPr="008A58BF">
              <w:rPr>
                <w:color w:val="000000" w:themeColor="text1"/>
              </w:rPr>
              <w:t>13.</w:t>
            </w:r>
            <w:r w:rsidR="0059300C" w:rsidRPr="008A58BF">
              <w:rPr>
                <w:color w:val="000000" w:themeColor="text1"/>
              </w:rPr>
              <w:t>0</w:t>
            </w:r>
            <w:r w:rsidRPr="008A58BF">
              <w:rPr>
                <w:color w:val="000000" w:themeColor="text1"/>
              </w:rPr>
              <w:t>%</w:t>
            </w:r>
          </w:p>
        </w:tc>
      </w:tr>
    </w:tbl>
    <w:p w14:paraId="21D5C706" w14:textId="77777777" w:rsidR="00390B14" w:rsidRPr="008A58BF" w:rsidRDefault="00390B14">
      <w:pPr>
        <w:spacing w:before="80" w:after="80"/>
        <w:jc w:val="center"/>
        <w:rPr>
          <w:color w:val="000000" w:themeColor="text1"/>
        </w:rPr>
      </w:pPr>
    </w:p>
    <w:p w14:paraId="62E2D111" w14:textId="4BBD54F9" w:rsidR="00390B14" w:rsidRPr="008A58BF" w:rsidRDefault="00A028AA" w:rsidP="00390B14">
      <w:pPr>
        <w:spacing w:before="80" w:line="360" w:lineRule="auto"/>
        <w:jc w:val="both"/>
        <w:rPr>
          <w:color w:val="000000" w:themeColor="text1"/>
        </w:rPr>
      </w:pPr>
      <w:r>
        <w:rPr>
          <w:color w:val="000000" w:themeColor="text1"/>
          <w:highlight w:val="yellow"/>
        </w:rPr>
        <w:t>Based</w:t>
      </w:r>
      <w:r>
        <w:rPr>
          <w:color w:val="000000" w:themeColor="text1"/>
        </w:rPr>
        <w:t xml:space="preserve"> </w:t>
      </w:r>
      <w:r>
        <w:rPr>
          <w:color w:val="000000" w:themeColor="text1"/>
          <w:highlight w:val="yellow"/>
        </w:rPr>
        <w:t>on</w:t>
      </w:r>
      <w:r>
        <w:rPr>
          <w:color w:val="000000" w:themeColor="text1"/>
        </w:rPr>
        <w:t xml:space="preserve"> the data, two key points emerge from the findings. </w:t>
      </w:r>
      <w:r>
        <w:rPr>
          <w:color w:val="000000" w:themeColor="text1"/>
          <w:highlight w:val="yellow"/>
        </w:rPr>
        <w:t>First,</w:t>
      </w:r>
      <w:r>
        <w:rPr>
          <w:color w:val="000000" w:themeColor="text1"/>
        </w:rPr>
        <w:t xml:space="preserve"> more than half of the respondents are employed in the government sector, a category typically associated with stable and secure employment. However, the persistence of strong migration intentions within this group indicates that job security alone is insufficient when wages and living standards do not align with the rising cost of living. </w:t>
      </w:r>
      <w:r>
        <w:rPr>
          <w:color w:val="000000" w:themeColor="text1"/>
          <w:highlight w:val="yellow"/>
        </w:rPr>
        <w:t xml:space="preserve">In addition, </w:t>
      </w:r>
      <w:r>
        <w:rPr>
          <w:color w:val="000000" w:themeColor="text1"/>
        </w:rPr>
        <w:t xml:space="preserve">78.2% of respondents possess a university-level </w:t>
      </w:r>
      <w:r>
        <w:rPr>
          <w:color w:val="000000" w:themeColor="text1"/>
          <w:highlight w:val="yellow"/>
        </w:rPr>
        <w:t>education,</w:t>
      </w:r>
      <w:r>
        <w:rPr>
          <w:color w:val="000000" w:themeColor="text1"/>
        </w:rPr>
        <w:t xml:space="preserve"> including </w:t>
      </w:r>
      <w:r>
        <w:rPr>
          <w:color w:val="000000" w:themeColor="text1"/>
          <w:highlight w:val="yellow"/>
        </w:rPr>
        <w:t>bachelor's</w:t>
      </w:r>
      <w:r>
        <w:rPr>
          <w:color w:val="000000" w:themeColor="text1"/>
        </w:rPr>
        <w:t xml:space="preserve"> and </w:t>
      </w:r>
      <w:r>
        <w:rPr>
          <w:color w:val="000000" w:themeColor="text1"/>
          <w:highlight w:val="yellow"/>
        </w:rPr>
        <w:t>postgraduate</w:t>
      </w:r>
      <w:r>
        <w:rPr>
          <w:color w:val="000000" w:themeColor="text1"/>
        </w:rPr>
        <w:t xml:space="preserve"> degrees, highlighting that migration is largely driven by highly educated individuals. This underscores a significant future risk of brain drain.</w:t>
      </w:r>
    </w:p>
    <w:p w14:paraId="29348066" w14:textId="77777777" w:rsidR="00A64E78" w:rsidRPr="008A58BF" w:rsidRDefault="00A64E78">
      <w:pPr>
        <w:spacing w:before="80"/>
        <w:rPr>
          <w:color w:val="000000" w:themeColor="text1"/>
        </w:rPr>
      </w:pPr>
    </w:p>
    <w:p w14:paraId="213BF61F" w14:textId="52289439" w:rsidR="00A028AA" w:rsidRPr="008A58BF" w:rsidRDefault="004C5339">
      <w:pPr>
        <w:pStyle w:val="Heading2"/>
        <w:rPr>
          <w:color w:val="000000" w:themeColor="text1"/>
        </w:rPr>
      </w:pPr>
      <w:r w:rsidRPr="008A58BF">
        <w:rPr>
          <w:color w:val="000000" w:themeColor="text1"/>
        </w:rPr>
        <w:t xml:space="preserve">3.4.1. </w:t>
      </w:r>
      <w:r w:rsidR="00A028AA" w:rsidRPr="008A58BF">
        <w:rPr>
          <w:color w:val="000000" w:themeColor="text1"/>
        </w:rPr>
        <w:t>Motivation for Emigration</w:t>
      </w:r>
    </w:p>
    <w:p w14:paraId="396933B3" w14:textId="22C2963E" w:rsidR="00A64E78" w:rsidRPr="008A58BF" w:rsidRDefault="00AA2CF1">
      <w:pPr>
        <w:spacing w:before="80" w:after="80" w:line="360" w:lineRule="auto"/>
        <w:ind w:firstLine="720"/>
        <w:jc w:val="both"/>
        <w:rPr>
          <w:color w:val="000000" w:themeColor="text1"/>
        </w:rPr>
      </w:pPr>
      <w:r>
        <w:rPr>
          <w:color w:val="000000" w:themeColor="text1"/>
        </w:rPr>
        <w:t xml:space="preserve">86.4% of respondents </w:t>
      </w:r>
      <w:r>
        <w:rPr>
          <w:color w:val="000000" w:themeColor="text1"/>
          <w:highlight w:val="yellow"/>
        </w:rPr>
        <w:t>reported that</w:t>
      </w:r>
      <w:r>
        <w:rPr>
          <w:color w:val="000000" w:themeColor="text1"/>
        </w:rPr>
        <w:t xml:space="preserve"> they were actively planning to emigrate within the next five years. Only 13.6% had no plans to leave. The following figures show the most important findings from the survey.</w:t>
      </w:r>
    </w:p>
    <w:p w14:paraId="13F12209" w14:textId="77777777" w:rsidR="00A64E78" w:rsidRPr="008A58BF" w:rsidRDefault="00A64E78">
      <w:pPr>
        <w:spacing w:before="80"/>
        <w:rPr>
          <w:color w:val="000000" w:themeColor="text1"/>
        </w:rPr>
      </w:pPr>
    </w:p>
    <w:p w14:paraId="24B37C1A" w14:textId="01A6585A" w:rsidR="00A64E78" w:rsidRPr="008A58BF" w:rsidRDefault="006B248A">
      <w:pPr>
        <w:spacing w:before="100" w:after="50"/>
        <w:jc w:val="center"/>
        <w:rPr>
          <w:color w:val="000000" w:themeColor="text1"/>
        </w:rPr>
      </w:pPr>
      <w:r w:rsidRPr="008A58BF">
        <w:rPr>
          <w:noProof/>
          <w:color w:val="000000" w:themeColor="text1"/>
        </w:rPr>
        <w:lastRenderedPageBreak/>
        <w:drawing>
          <wp:inline distT="0" distB="0" distL="0" distR="0" wp14:anchorId="65982C24" wp14:editId="6AA85460">
            <wp:extent cx="6097270" cy="2738120"/>
            <wp:effectExtent l="0" t="0" r="17780" b="5080"/>
            <wp:docPr id="1790045772" name="Chart 1">
              <a:extLst xmlns:a="http://schemas.openxmlformats.org/drawingml/2006/main">
                <a:ext uri="{FF2B5EF4-FFF2-40B4-BE49-F238E27FC236}">
                  <a16:creationId xmlns:a16="http://schemas.microsoft.com/office/drawing/2014/main" id="{DAFB9AFA-DFF8-4AEA-9E5B-9384046C0D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4ACBA34" w14:textId="37B5A34D" w:rsidR="00A64E78" w:rsidRPr="008A58BF" w:rsidRDefault="00AA2CF1">
      <w:pPr>
        <w:spacing w:before="40" w:after="160"/>
        <w:jc w:val="center"/>
        <w:rPr>
          <w:color w:val="000000" w:themeColor="text1"/>
        </w:rPr>
      </w:pPr>
      <w:r w:rsidRPr="008A58BF">
        <w:rPr>
          <w:b/>
          <w:bCs/>
          <w:i/>
          <w:iCs/>
          <w:color w:val="000000" w:themeColor="text1"/>
          <w:sz w:val="21"/>
          <w:szCs w:val="21"/>
        </w:rPr>
        <w:t>Figure 2: Primary Motivation for Emigration</w:t>
      </w:r>
    </w:p>
    <w:p w14:paraId="41701EAE" w14:textId="77777777" w:rsidR="00A64E78" w:rsidRPr="008A58BF" w:rsidRDefault="00A64E78">
      <w:pPr>
        <w:spacing w:before="60"/>
        <w:rPr>
          <w:color w:val="000000" w:themeColor="text1"/>
        </w:rPr>
      </w:pPr>
    </w:p>
    <w:p w14:paraId="0555BF1F" w14:textId="721A4A1F" w:rsidR="00A64E78" w:rsidRPr="008A58BF" w:rsidRDefault="00AA2CF1" w:rsidP="00DE54D1">
      <w:pPr>
        <w:spacing w:before="80" w:after="80" w:line="360" w:lineRule="auto"/>
        <w:ind w:firstLine="720"/>
        <w:jc w:val="both"/>
        <w:rPr>
          <w:color w:val="000000" w:themeColor="text1"/>
        </w:rPr>
      </w:pPr>
      <w:r>
        <w:rPr>
          <w:color w:val="000000" w:themeColor="text1"/>
        </w:rPr>
        <w:t xml:space="preserve">Figure 2 shows the primary motivation for emigration. Economic reasons </w:t>
      </w:r>
      <w:r>
        <w:rPr>
          <w:color w:val="000000" w:themeColor="text1"/>
          <w:highlight w:val="yellow"/>
        </w:rPr>
        <w:t>were</w:t>
      </w:r>
      <w:r>
        <w:rPr>
          <w:color w:val="000000" w:themeColor="text1"/>
        </w:rPr>
        <w:t xml:space="preserve"> overwhelmingly</w:t>
      </w:r>
      <w:r>
        <w:rPr>
          <w:color w:val="000000" w:themeColor="text1"/>
          <w:highlight w:val="yellow"/>
        </w:rPr>
        <w:t xml:space="preserve"> dominant:</w:t>
      </w:r>
      <w:r>
        <w:rPr>
          <w:color w:val="000000" w:themeColor="text1"/>
        </w:rPr>
        <w:t xml:space="preserve"> 63.6% of respondents cited financial and employment concerns as their main motivation. Educational opportunities and family reasons each accounted for 13.6%, while personal development motivated 9.1%. </w:t>
      </w:r>
      <w:r>
        <w:rPr>
          <w:color w:val="000000" w:themeColor="text1"/>
          <w:highlight w:val="yellow"/>
        </w:rPr>
        <w:t>Notably,</w:t>
      </w:r>
      <w:r>
        <w:rPr>
          <w:color w:val="000000" w:themeColor="text1"/>
        </w:rPr>
        <w:t xml:space="preserve"> </w:t>
      </w:r>
      <w:r>
        <w:rPr>
          <w:color w:val="000000" w:themeColor="text1"/>
          <w:highlight w:val="yellow"/>
        </w:rPr>
        <w:t>no</w:t>
      </w:r>
      <w:r>
        <w:rPr>
          <w:color w:val="000000" w:themeColor="text1"/>
        </w:rPr>
        <w:t xml:space="preserve"> respondents listed political or social factors as their primary reason, even though 90.9% described Sri Lanka as politically unstable. This </w:t>
      </w:r>
      <w:r>
        <w:rPr>
          <w:color w:val="000000" w:themeColor="text1"/>
          <w:highlight w:val="yellow"/>
        </w:rPr>
        <w:t>suggests</w:t>
      </w:r>
      <w:r>
        <w:rPr>
          <w:color w:val="000000" w:themeColor="text1"/>
        </w:rPr>
        <w:t xml:space="preserve"> that politics does not directly push people to </w:t>
      </w:r>
      <w:r>
        <w:rPr>
          <w:color w:val="000000" w:themeColor="text1"/>
          <w:highlight w:val="yellow"/>
        </w:rPr>
        <w:t>leave</w:t>
      </w:r>
      <w:r>
        <w:rPr>
          <w:color w:val="000000" w:themeColor="text1"/>
        </w:rPr>
        <w:t xml:space="preserve"> but</w:t>
      </w:r>
      <w:r>
        <w:rPr>
          <w:color w:val="000000" w:themeColor="text1"/>
        </w:rPr>
        <w:t xml:space="preserve"> deepens economic pessimism by reducing confidence that the government can improve conditions.</w:t>
      </w:r>
    </w:p>
    <w:p w14:paraId="4591CDCC" w14:textId="77777777" w:rsidR="00A64E78" w:rsidRPr="008A58BF" w:rsidRDefault="00A64E78">
      <w:pPr>
        <w:spacing w:before="60"/>
        <w:rPr>
          <w:color w:val="000000" w:themeColor="text1"/>
        </w:rPr>
      </w:pPr>
    </w:p>
    <w:p w14:paraId="0590D42B" w14:textId="1CBBA816" w:rsidR="00A64E78" w:rsidRPr="008A58BF" w:rsidRDefault="006B248A">
      <w:pPr>
        <w:spacing w:before="100" w:after="50"/>
        <w:jc w:val="center"/>
        <w:rPr>
          <w:color w:val="000000" w:themeColor="text1"/>
        </w:rPr>
      </w:pPr>
      <w:r w:rsidRPr="008A58BF">
        <w:rPr>
          <w:noProof/>
          <w:color w:val="000000" w:themeColor="text1"/>
        </w:rPr>
        <w:lastRenderedPageBreak/>
        <w:drawing>
          <wp:inline distT="0" distB="0" distL="0" distR="0" wp14:anchorId="662C1AF3" wp14:editId="375A2FD1">
            <wp:extent cx="6097270" cy="4065905"/>
            <wp:effectExtent l="0" t="0" r="17780" b="10795"/>
            <wp:docPr id="1728847225" name="Chart 1">
              <a:extLst xmlns:a="http://schemas.openxmlformats.org/drawingml/2006/main">
                <a:ext uri="{FF2B5EF4-FFF2-40B4-BE49-F238E27FC236}">
                  <a16:creationId xmlns:a16="http://schemas.microsoft.com/office/drawing/2014/main" id="{FA155CEB-2EC5-E467-2B86-940A0C0A14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4E62900" w14:textId="315F0569" w:rsidR="00684A7B" w:rsidRPr="008A58BF" w:rsidRDefault="00AA2CF1">
      <w:pPr>
        <w:spacing w:before="40" w:after="160"/>
        <w:jc w:val="center"/>
        <w:rPr>
          <w:b/>
          <w:bCs/>
          <w:i/>
          <w:iCs/>
          <w:color w:val="000000" w:themeColor="text1"/>
          <w:sz w:val="21"/>
          <w:szCs w:val="21"/>
        </w:rPr>
      </w:pPr>
      <w:r w:rsidRPr="008A58BF">
        <w:rPr>
          <w:b/>
          <w:bCs/>
          <w:i/>
          <w:iCs/>
          <w:color w:val="000000" w:themeColor="text1"/>
          <w:sz w:val="21"/>
          <w:szCs w:val="21"/>
        </w:rPr>
        <w:t xml:space="preserve">Figure 3:  Push – Pull Factors for Migration </w:t>
      </w:r>
    </w:p>
    <w:p w14:paraId="18391408" w14:textId="77777777" w:rsidR="00684A7B" w:rsidRPr="008A58BF" w:rsidRDefault="00684A7B">
      <w:pPr>
        <w:spacing w:before="40" w:after="160"/>
        <w:jc w:val="center"/>
        <w:rPr>
          <w:b/>
          <w:bCs/>
          <w:i/>
          <w:iCs/>
          <w:color w:val="000000" w:themeColor="text1"/>
          <w:sz w:val="21"/>
          <w:szCs w:val="21"/>
        </w:rPr>
      </w:pPr>
    </w:p>
    <w:p w14:paraId="5A625EED" w14:textId="3D6CB4FE" w:rsidR="00A64E78" w:rsidRPr="008A58BF" w:rsidRDefault="00AA2CF1">
      <w:pPr>
        <w:spacing w:before="80" w:after="80" w:line="360" w:lineRule="auto"/>
        <w:ind w:firstLine="720"/>
        <w:jc w:val="both"/>
        <w:rPr>
          <w:color w:val="000000" w:themeColor="text1"/>
        </w:rPr>
      </w:pPr>
      <w:r>
        <w:rPr>
          <w:color w:val="000000" w:themeColor="text1"/>
        </w:rPr>
        <w:t xml:space="preserve">Figure 3 shows the push-pull factors across five key dimensions. 'Push' refers to how strongly domestic conditions are driving people away; 'pull' refers to how strongly foreign opportunities are attracting them. Both forces are simultaneously high across all five </w:t>
      </w:r>
      <w:r>
        <w:rPr>
          <w:color w:val="000000" w:themeColor="text1"/>
          <w:highlight w:val="yellow"/>
        </w:rPr>
        <w:t>dimensions:</w:t>
      </w:r>
      <w:r>
        <w:rPr>
          <w:color w:val="000000" w:themeColor="text1"/>
        </w:rPr>
        <w:t xml:space="preserve"> dissatisfaction with local conditions ranges from 36.4% to 95.5%, while belief in better foreign conditions ranges from 68.2% to 90.9%. This double pressure explains why emigration intentions are so high even among people who are employed and earning a reasonable income.</w:t>
      </w:r>
    </w:p>
    <w:p w14:paraId="5515B160" w14:textId="7E14CD95" w:rsidR="00A64E78" w:rsidRPr="008A58BF" w:rsidRDefault="00A64E78">
      <w:pPr>
        <w:spacing w:before="100" w:after="50"/>
        <w:jc w:val="center"/>
        <w:rPr>
          <w:color w:val="000000" w:themeColor="text1"/>
        </w:rPr>
      </w:pPr>
    </w:p>
    <w:p w14:paraId="6389B688" w14:textId="77777777" w:rsidR="00A64E78" w:rsidRPr="008A58BF" w:rsidRDefault="00A64E78">
      <w:pPr>
        <w:spacing w:before="60"/>
        <w:rPr>
          <w:color w:val="000000" w:themeColor="text1"/>
        </w:rPr>
      </w:pPr>
    </w:p>
    <w:p w14:paraId="352C7CD6" w14:textId="4B4E306A" w:rsidR="00A64E78" w:rsidRPr="008A58BF" w:rsidRDefault="00DD7914">
      <w:pPr>
        <w:spacing w:before="80" w:after="80" w:line="360" w:lineRule="auto"/>
        <w:ind w:firstLine="720"/>
        <w:jc w:val="both"/>
        <w:rPr>
          <w:color w:val="000000" w:themeColor="text1"/>
        </w:rPr>
      </w:pPr>
      <w:r>
        <w:rPr>
          <w:color w:val="000000" w:themeColor="text1"/>
          <w:highlight w:val="yellow"/>
        </w:rPr>
        <w:t>According</w:t>
      </w:r>
      <w:r>
        <w:rPr>
          <w:color w:val="000000" w:themeColor="text1"/>
        </w:rPr>
        <w:t xml:space="preserve"> </w:t>
      </w:r>
      <w:r>
        <w:rPr>
          <w:color w:val="000000" w:themeColor="text1"/>
          <w:highlight w:val="yellow"/>
        </w:rPr>
        <w:t>to</w:t>
      </w:r>
      <w:r>
        <w:rPr>
          <w:color w:val="000000" w:themeColor="text1"/>
        </w:rPr>
        <w:t xml:space="preserve"> the study, motivations differ by gender and age. Male respondents are more strongly economically driven (75.0%) than </w:t>
      </w:r>
      <w:r>
        <w:rPr>
          <w:color w:val="000000" w:themeColor="text1"/>
          <w:highlight w:val="yellow"/>
        </w:rPr>
        <w:t>female respondents.</w:t>
      </w:r>
      <w:r>
        <w:rPr>
          <w:color w:val="000000" w:themeColor="text1"/>
        </w:rPr>
        <w:t xml:space="preserve"> Family-related reasons were cited only by female respondents (21.4%), reflecting the greater family care responsibilities that women carry in Sri Lankan society. Looking at age groups, the youngest respondents </w:t>
      </w:r>
      <w:r>
        <w:rPr>
          <w:color w:val="000000" w:themeColor="text1"/>
          <w:highlight w:val="yellow"/>
        </w:rPr>
        <w:t>(18–25)</w:t>
      </w:r>
      <w:r>
        <w:rPr>
          <w:color w:val="000000" w:themeColor="text1"/>
        </w:rPr>
        <w:t xml:space="preserve"> split equally between economic and educational motivations (40% each), while the main working-age group </w:t>
      </w:r>
      <w:r>
        <w:rPr>
          <w:color w:val="000000" w:themeColor="text1"/>
          <w:highlight w:val="yellow"/>
        </w:rPr>
        <w:t>(26–35)</w:t>
      </w:r>
      <w:r>
        <w:rPr>
          <w:color w:val="000000" w:themeColor="text1"/>
        </w:rPr>
        <w:t xml:space="preserve"> is heavily economically motivated (68.4%). Older respondents </w:t>
      </w:r>
      <w:r>
        <w:rPr>
          <w:color w:val="000000" w:themeColor="text1"/>
          <w:highlight w:val="yellow"/>
        </w:rPr>
        <w:t>(36–45)</w:t>
      </w:r>
      <w:r>
        <w:rPr>
          <w:color w:val="000000" w:themeColor="text1"/>
        </w:rPr>
        <w:t xml:space="preserve"> are the most likely to cite family reasons (33.3%), especially concerns about their children's safety and education.</w:t>
      </w:r>
    </w:p>
    <w:p w14:paraId="1027A0F6" w14:textId="77777777" w:rsidR="00684A7B" w:rsidRPr="008A58BF" w:rsidRDefault="00684A7B">
      <w:pPr>
        <w:spacing w:before="80" w:after="80" w:line="360" w:lineRule="auto"/>
        <w:ind w:firstLine="720"/>
        <w:jc w:val="both"/>
        <w:rPr>
          <w:color w:val="000000" w:themeColor="text1"/>
        </w:rPr>
      </w:pPr>
    </w:p>
    <w:p w14:paraId="26CB4BA7" w14:textId="77777777" w:rsidR="00684A7B" w:rsidRPr="008A58BF" w:rsidRDefault="00684A7B">
      <w:pPr>
        <w:spacing w:before="80" w:after="80" w:line="360" w:lineRule="auto"/>
        <w:ind w:firstLine="720"/>
        <w:jc w:val="both"/>
        <w:rPr>
          <w:color w:val="000000" w:themeColor="text1"/>
        </w:rPr>
      </w:pPr>
    </w:p>
    <w:p w14:paraId="1186DEAC" w14:textId="27EF8A93" w:rsidR="001C5A91" w:rsidRPr="008A58BF" w:rsidRDefault="00AA2CF1" w:rsidP="001C5A91">
      <w:pPr>
        <w:spacing w:before="80" w:after="80"/>
        <w:rPr>
          <w:b/>
          <w:bCs/>
          <w:color w:val="000000" w:themeColor="text1"/>
        </w:rPr>
      </w:pPr>
      <w:r w:rsidRPr="008A58BF">
        <w:rPr>
          <w:b/>
          <w:bCs/>
          <w:color w:val="000000" w:themeColor="text1"/>
        </w:rPr>
        <w:lastRenderedPageBreak/>
        <w:t>3.</w:t>
      </w:r>
      <w:r w:rsidR="004C5339" w:rsidRPr="008A58BF">
        <w:rPr>
          <w:b/>
          <w:bCs/>
          <w:color w:val="000000" w:themeColor="text1"/>
        </w:rPr>
        <w:t xml:space="preserve">4.2. </w:t>
      </w:r>
      <w:r w:rsidRPr="008A58BF">
        <w:rPr>
          <w:b/>
          <w:bCs/>
          <w:color w:val="000000" w:themeColor="text1"/>
        </w:rPr>
        <w:t>Key Indicators of Migration Intentions among Residents of the Colombo Municipal Council</w:t>
      </w:r>
    </w:p>
    <w:p w14:paraId="4633AD4D" w14:textId="77777777" w:rsidR="001C5A91" w:rsidRPr="008A58BF" w:rsidRDefault="001C5A91" w:rsidP="001C5A91">
      <w:pPr>
        <w:spacing w:before="80" w:after="80" w:line="360" w:lineRule="auto"/>
        <w:jc w:val="both"/>
        <w:rPr>
          <w:color w:val="000000" w:themeColor="text1"/>
        </w:rPr>
      </w:pPr>
    </w:p>
    <w:p w14:paraId="41A90DFF" w14:textId="5306586A" w:rsidR="002D2BFA" w:rsidRPr="008A58BF" w:rsidRDefault="002D2BFA" w:rsidP="004C5339">
      <w:pPr>
        <w:spacing w:before="80" w:after="80" w:line="360" w:lineRule="auto"/>
        <w:jc w:val="both"/>
        <w:rPr>
          <w:color w:val="000000" w:themeColor="text1"/>
        </w:rPr>
      </w:pPr>
      <w:r>
        <w:rPr>
          <w:color w:val="000000" w:themeColor="text1"/>
        </w:rPr>
        <w:t xml:space="preserve">The survey findings reveal a strong tendency towards emigration among respondents, with 86.4% expressing their intention to migrate abroad. This indicates that migration aspirations are not limited to specific social groups but are widespread, including among educated and employed individuals. A major factor contributing to this intention is the low level of income satisfaction, </w:t>
      </w:r>
      <w:r>
        <w:rPr>
          <w:color w:val="000000" w:themeColor="text1"/>
          <w:highlight w:val="yellow"/>
        </w:rPr>
        <w:t>with</w:t>
      </w:r>
      <w:r>
        <w:rPr>
          <w:color w:val="000000" w:themeColor="text1"/>
        </w:rPr>
        <w:t xml:space="preserve"> only 4.5% of respondents </w:t>
      </w:r>
      <w:r>
        <w:rPr>
          <w:color w:val="000000" w:themeColor="text1"/>
          <w:highlight w:val="yellow"/>
        </w:rPr>
        <w:t>reporting</w:t>
      </w:r>
      <w:r>
        <w:rPr>
          <w:color w:val="000000" w:themeColor="text1"/>
        </w:rPr>
        <w:t xml:space="preserve"> </w:t>
      </w:r>
      <w:r>
        <w:rPr>
          <w:color w:val="000000" w:themeColor="text1"/>
          <w:highlight w:val="yellow"/>
        </w:rPr>
        <w:t>satisfaction</w:t>
      </w:r>
      <w:r>
        <w:rPr>
          <w:color w:val="000000" w:themeColor="text1"/>
        </w:rPr>
        <w:t xml:space="preserve"> with their income, while 95.5% expressed dissatisfaction. This represents the most consistent negative perception identified in the study and reflects concerns regarding economic security and financial stability.</w:t>
      </w:r>
    </w:p>
    <w:p w14:paraId="0D8ACDFA" w14:textId="4DF7E061" w:rsidR="002D2BFA" w:rsidRPr="008A58BF" w:rsidRDefault="002D2BFA" w:rsidP="002D2BFA">
      <w:pPr>
        <w:spacing w:before="80" w:after="80" w:line="360" w:lineRule="auto"/>
        <w:ind w:firstLine="720"/>
        <w:jc w:val="both"/>
        <w:rPr>
          <w:color w:val="000000" w:themeColor="text1"/>
        </w:rPr>
      </w:pPr>
      <w:r>
        <w:rPr>
          <w:color w:val="000000" w:themeColor="text1"/>
        </w:rPr>
        <w:t xml:space="preserve">Employment-related perceptions further highlight the challenges faced by respondents. Although 27.2% considered job opportunities </w:t>
      </w:r>
      <w:r>
        <w:rPr>
          <w:color w:val="000000" w:themeColor="text1"/>
          <w:highlight w:val="yellow"/>
        </w:rPr>
        <w:t>to be</w:t>
      </w:r>
      <w:r>
        <w:rPr>
          <w:color w:val="000000" w:themeColor="text1"/>
        </w:rPr>
        <w:t xml:space="preserve"> good, 36.4% rated them as fair and another 36.4% as poor, indicating limited confidence in the domestic employment environment. </w:t>
      </w:r>
      <w:r>
        <w:rPr>
          <w:color w:val="000000" w:themeColor="text1"/>
          <w:highlight w:val="yellow"/>
        </w:rPr>
        <w:t>In particular,</w:t>
      </w:r>
      <w:r>
        <w:rPr>
          <w:color w:val="000000" w:themeColor="text1"/>
        </w:rPr>
        <w:t xml:space="preserve"> dissatisfaction was higher among </w:t>
      </w:r>
      <w:r>
        <w:rPr>
          <w:color w:val="000000" w:themeColor="text1"/>
          <w:highlight w:val="yellow"/>
        </w:rPr>
        <w:t>government-sector</w:t>
      </w:r>
      <w:r>
        <w:rPr>
          <w:color w:val="000000" w:themeColor="text1"/>
        </w:rPr>
        <w:t xml:space="preserve"> employees, with 50% reporting poor job opportunities. In contrast, 90.9% of respondents believed that better opportunities </w:t>
      </w:r>
      <w:r>
        <w:rPr>
          <w:color w:val="000000" w:themeColor="text1"/>
          <w:highlight w:val="yellow"/>
        </w:rPr>
        <w:t>existed</w:t>
      </w:r>
      <w:r>
        <w:rPr>
          <w:color w:val="000000" w:themeColor="text1"/>
        </w:rPr>
        <w:t xml:space="preserve"> abroad, demonstrating the influence of perceived economic advantages and improved career prospects in shaping migration decisions.</w:t>
      </w:r>
    </w:p>
    <w:p w14:paraId="210C973C" w14:textId="77777777" w:rsidR="002D2BFA" w:rsidRPr="008A58BF" w:rsidRDefault="002D2BFA" w:rsidP="002D2BFA">
      <w:pPr>
        <w:spacing w:before="80" w:after="80" w:line="360" w:lineRule="auto"/>
        <w:ind w:firstLine="720"/>
        <w:jc w:val="both"/>
        <w:rPr>
          <w:color w:val="000000" w:themeColor="text1"/>
        </w:rPr>
      </w:pPr>
      <w:r>
        <w:rPr>
          <w:color w:val="000000" w:themeColor="text1"/>
          <w:highlight w:val="yellow"/>
        </w:rPr>
        <w:t>Perceptions of quality</w:t>
      </w:r>
      <w:r>
        <w:rPr>
          <w:color w:val="000000" w:themeColor="text1"/>
        </w:rPr>
        <w:t xml:space="preserve"> of life</w:t>
      </w:r>
      <w:r>
        <w:rPr>
          <w:color w:val="000000" w:themeColor="text1"/>
        </w:rPr>
        <w:t xml:space="preserve"> also contributed significantly to migration intentions. Only 22.7% of respondents considered their quality of life </w:t>
      </w:r>
      <w:r>
        <w:rPr>
          <w:color w:val="000000" w:themeColor="text1"/>
          <w:highlight w:val="yellow"/>
        </w:rPr>
        <w:t>to be</w:t>
      </w:r>
      <w:r>
        <w:rPr>
          <w:color w:val="000000" w:themeColor="text1"/>
        </w:rPr>
        <w:t xml:space="preserve"> good, while 31.8% rated it as fair and 45.5% as poor. Thus, nearly three-quarters of respondents (77.3%) expressed a moderate to negative perception of their current living conditions. Similarly, political instability emerged as a major concern, with 90.9% of respondents perceiving the country’s political situation as unstable. This suggests that governance-related uncertainties have become an important push factor influencing migration decisions.</w:t>
      </w:r>
    </w:p>
    <w:p w14:paraId="7B12A119" w14:textId="20127727" w:rsidR="002D2BFA" w:rsidRPr="008A58BF" w:rsidRDefault="002D2BFA" w:rsidP="002D2BFA">
      <w:pPr>
        <w:spacing w:before="80" w:after="80" w:line="360" w:lineRule="auto"/>
        <w:ind w:firstLine="720"/>
        <w:jc w:val="both"/>
        <w:rPr>
          <w:color w:val="000000" w:themeColor="text1"/>
        </w:rPr>
      </w:pPr>
      <w:r w:rsidRPr="008A58BF">
        <w:rPr>
          <w:color w:val="000000" w:themeColor="text1"/>
        </w:rPr>
        <w:t>Furthermore, perceptions regarding government support for overseas migration were largely negative. While 36.4% considered government support to be adequate, 63.6% perceived it as poor</w:t>
      </w:r>
      <w:r w:rsidR="00BA7381" w:rsidRPr="008A58BF">
        <w:rPr>
          <w:color w:val="000000" w:themeColor="text1"/>
        </w:rPr>
        <w:t>.</w:t>
      </w:r>
      <w:r w:rsidRPr="008A58BF">
        <w:rPr>
          <w:color w:val="000000" w:themeColor="text1"/>
        </w:rPr>
        <w:t xml:space="preserve"> Despite the increasing importance of overseas employment and remittances, respondents indicated limited confidence in institutional support mechanisms. Regarding major economic concerns, the highest-ranked issues were the high cost of living and economic instability, each identified by 37.9% of respondents as the most significant challenge. Overall, the findings demonstrate that economic pressures, limited employment opportunities, declining quality of life, and political uncertainty collectively contribute to strong migration intentions among respondents.</w:t>
      </w:r>
    </w:p>
    <w:p w14:paraId="116EE68E" w14:textId="2D167E3B" w:rsidR="00A64E78" w:rsidRPr="008A58BF" w:rsidRDefault="00AA2CF1">
      <w:pPr>
        <w:spacing w:before="80" w:after="80" w:line="360" w:lineRule="auto"/>
        <w:ind w:firstLine="720"/>
        <w:jc w:val="both"/>
        <w:rPr>
          <w:color w:val="000000" w:themeColor="text1"/>
        </w:rPr>
      </w:pPr>
      <w:r w:rsidRPr="008A58BF">
        <w:rPr>
          <w:color w:val="000000" w:themeColor="text1"/>
        </w:rPr>
        <w:t xml:space="preserve">Open-ended responses gave important personal context to these numbers. Several respondents mentioned fears about their children's futures: 'Not safe for kids and the future of the </w:t>
      </w:r>
      <w:r w:rsidRPr="008A58BF">
        <w:rPr>
          <w:color w:val="000000" w:themeColor="text1"/>
        </w:rPr>
        <w:lastRenderedPageBreak/>
        <w:t>next generation is questionable.' Others pointed to the direct cost-of-living pressure: 'My salary is not enough to live the comfortable life I want.' The deterioration of social trust was also noted: 'Overall quality of society is degrading as a result of the poor financial status of people.' These voices confirm that the desire to emigrate is not purely about salary; it is about a broader loss of confidence in Sri Lanka's future.</w:t>
      </w:r>
    </w:p>
    <w:p w14:paraId="668F8B15" w14:textId="77777777" w:rsidR="00A64E78" w:rsidRPr="008A58BF" w:rsidRDefault="00A64E78">
      <w:pPr>
        <w:spacing w:before="80"/>
        <w:rPr>
          <w:color w:val="000000" w:themeColor="text1"/>
        </w:rPr>
      </w:pPr>
    </w:p>
    <w:p w14:paraId="412BD855" w14:textId="426C309D" w:rsidR="00637403" w:rsidRPr="008A58BF" w:rsidRDefault="004C5339" w:rsidP="004C5339">
      <w:pPr>
        <w:spacing w:before="80" w:after="80" w:line="360" w:lineRule="auto"/>
        <w:jc w:val="both"/>
        <w:rPr>
          <w:color w:val="000000" w:themeColor="text1"/>
        </w:rPr>
      </w:pPr>
      <w:proofErr w:type="spellStart"/>
      <w:proofErr w:type="spellEnd"/>
      <w:r>
        <w:rPr>
          <w:color w:val="000000" w:themeColor="text1"/>
          <w:highlight w:val="yellow"/>
        </w:rPr>
        <w:t>In</w:t>
      </w:r>
      <w:r>
        <w:rPr>
          <w:color w:val="000000" w:themeColor="text1"/>
        </w:rPr>
        <w:t xml:space="preserve"> comparison,</w:t>
      </w:r>
      <w:r>
        <w:rPr>
          <w:color w:val="000000" w:themeColor="text1"/>
        </w:rPr>
        <w:t xml:space="preserve"> the two sources </w:t>
      </w:r>
      <w:r>
        <w:rPr>
          <w:color w:val="000000" w:themeColor="text1"/>
          <w:highlight w:val="yellow"/>
        </w:rPr>
        <w:t>converge in terms of economic motivation:</w:t>
      </w:r>
      <w:r>
        <w:rPr>
          <w:color w:val="000000" w:themeColor="text1"/>
        </w:rPr>
        <w:t xml:space="preserve"> 63.6% of respondents named economic factors as their primary reason for wanting to leave, </w:t>
      </w:r>
      <w:r>
        <w:rPr>
          <w:color w:val="000000" w:themeColor="text1"/>
          <w:highlight w:val="yellow"/>
        </w:rPr>
        <w:t>compared with</w:t>
      </w:r>
      <w:r>
        <w:rPr>
          <w:color w:val="000000" w:themeColor="text1"/>
        </w:rPr>
        <w:t xml:space="preserve"> the </w:t>
      </w:r>
      <w:r>
        <w:rPr>
          <w:color w:val="000000" w:themeColor="text1"/>
          <w:highlight w:val="yellow"/>
        </w:rPr>
        <w:t>more than</w:t>
      </w:r>
      <w:r>
        <w:rPr>
          <w:color w:val="000000" w:themeColor="text1"/>
        </w:rPr>
        <w:t xml:space="preserve"> 79% of migration decisions that Ranaraja (2025) attributes to economic drivers. The gap of roughly fifteen percentage points is itself informative. It reflects the higher educational profile of the Colombo sample, among whom educational advancement and career development sit alongside wage considerations rather than being displaced by them.</w:t>
      </w:r>
    </w:p>
    <w:p w14:paraId="71B859E2" w14:textId="77777777" w:rsidR="00413936" w:rsidRPr="00413936" w:rsidRDefault="00413936" w:rsidP="00413936">
      <w:pPr>
        <w:pStyle w:val="Heading1"/>
        <w:pBdr>
          <w:bottom w:val="none" w:sz="0" w:space="0" w:color="auto"/>
        </w:pBdr>
        <w:spacing w:line="360" w:lineRule="auto"/>
        <w:jc w:val="both"/>
        <w:rPr>
          <w:b w:val="0"/>
          <w:bCs w:val="0"/>
          <w:color w:val="000000" w:themeColor="text1"/>
          <w:sz w:val="24"/>
          <w:szCs w:val="24"/>
        </w:rPr>
      </w:pPr>
      <w:proofErr w:type="spellStart"/>
      <w:proofErr w:type="spellEnd"/>
      <w:proofErr w:type="spellStart"/>
      <w:proofErr w:type="spellEnd"/>
      <w:r>
        <w:rPr>
          <w:b w:val="0"/>
          <w:bCs w:val="0"/>
          <w:color w:val="000000" w:themeColor="text1"/>
          <w:sz w:val="24"/>
          <w:szCs w:val="24"/>
        </w:rPr>
        <w:t xml:space="preserve">Regarding gender, the two sources show a notable difference. Women constituted 63.6% of the survey respondents who expressed migration intentions, compared with 44.7% of actual national departures reported by the SLBFE </w:t>
      </w:r>
      <w:r>
        <w:rPr>
          <w:b w:val="0"/>
          <w:bCs w:val="0"/>
          <w:color w:val="000000" w:themeColor="text1"/>
          <w:sz w:val="24"/>
          <w:szCs w:val="24"/>
          <w:highlight w:val="yellow"/>
        </w:rPr>
        <w:t>(2023)</w:t>
      </w:r>
      <w:r>
        <w:rPr>
          <w:b w:val="0"/>
          <w:bCs w:val="0"/>
          <w:color w:val="000000" w:themeColor="text1"/>
          <w:sz w:val="24"/>
          <w:szCs w:val="24"/>
        </w:rPr>
        <w:t xml:space="preserve"> </w:t>
      </w:r>
      <w:r>
        <w:rPr>
          <w:b w:val="0"/>
          <w:bCs w:val="0"/>
          <w:color w:val="000000" w:themeColor="text1"/>
          <w:sz w:val="24"/>
          <w:szCs w:val="24"/>
          <w:highlight w:val="yellow"/>
        </w:rPr>
        <w:t>and</w:t>
      </w:r>
      <w:r>
        <w:rPr>
          <w:b w:val="0"/>
          <w:bCs w:val="0"/>
          <w:color w:val="000000" w:themeColor="text1"/>
          <w:sz w:val="24"/>
          <w:szCs w:val="24"/>
        </w:rPr>
        <w:t xml:space="preserve"> </w:t>
      </w:r>
      <w:r>
        <w:rPr>
          <w:b w:val="0"/>
          <w:bCs w:val="0"/>
          <w:color w:val="000000" w:themeColor="text1"/>
          <w:sz w:val="24"/>
          <w:szCs w:val="24"/>
          <w:highlight w:val="yellow"/>
        </w:rPr>
        <w:t>Ranaraja (2025).</w:t>
      </w:r>
      <w:r>
        <w:rPr>
          <w:b w:val="0"/>
          <w:bCs w:val="0"/>
          <w:color w:val="000000" w:themeColor="text1"/>
          <w:sz w:val="24"/>
          <w:szCs w:val="24"/>
        </w:rPr>
        <w:t xml:space="preserve"> This difference suggests a possible gap between migration aspirations among the surveyed CMC residents and observed national migration outcomes. However, given the small sample size and non-probability convenience sampling used in this study, the finding should be interpreted cautiously and cannot be </w:t>
      </w:r>
      <w:r>
        <w:rPr>
          <w:b w:val="0"/>
          <w:bCs w:val="0"/>
          <w:color w:val="000000" w:themeColor="text1"/>
          <w:sz w:val="24"/>
          <w:szCs w:val="24"/>
          <w:highlight w:val="yellow"/>
        </w:rPr>
        <w:t>generalised</w:t>
      </w:r>
      <w:r>
        <w:rPr>
          <w:b w:val="0"/>
          <w:bCs w:val="0"/>
          <w:color w:val="000000" w:themeColor="text1"/>
          <w:sz w:val="24"/>
          <w:szCs w:val="24"/>
        </w:rPr>
        <w:t xml:space="preserve"> to all women in Colombo or Sri Lanka. Ranaraja (2025) identifies several regulatory and institutional factors that may influence women's migration, including the Family Background Report requirement and the minimum age requirement for female migrant domestic workers. These factors provide an important contextual explanation for understanding women's migration decisions, although their specific contribution to the difference observed in this study cannot be established from the available data. The findings therefore suggest the need for further research into the relationship between women's migration aspirations, institutional constraints, and actual migration outcomes.</w:t>
      </w:r>
    </w:p>
    <w:p w14:paraId="485D285D" w14:textId="77777777" w:rsidR="00413936" w:rsidRDefault="00413936" w:rsidP="00413936">
      <w:pPr>
        <w:pStyle w:val="Heading1"/>
        <w:pBdr>
          <w:bottom w:val="none" w:sz="0" w:space="0" w:color="auto"/>
        </w:pBdr>
        <w:spacing w:line="360" w:lineRule="auto"/>
        <w:jc w:val="both"/>
        <w:rPr>
          <w:b w:val="0"/>
          <w:bCs w:val="0"/>
          <w:color w:val="000000" w:themeColor="text1"/>
          <w:sz w:val="24"/>
          <w:szCs w:val="24"/>
        </w:rPr>
      </w:pPr>
      <w:r w:rsidRPr="00413936">
        <w:rPr>
          <w:b w:val="0"/>
          <w:bCs w:val="0"/>
          <w:color w:val="000000" w:themeColor="text1"/>
          <w:sz w:val="24"/>
          <w:szCs w:val="24"/>
        </w:rPr>
        <w:t>The relatively high proportion of degree-holding respondents also indicates the potential relevance of skilled migration to human-capital retention. However, the present study does not directly measure brain drain or its long-term developmental consequences. Therefore, the findings should be understood as highlighting a potential human-capital concern rather than demonstrating the magnitude or developmental impact of brain drain.</w:t>
      </w:r>
    </w:p>
    <w:p w14:paraId="1F51A22B" w14:textId="77777777" w:rsidR="00413936" w:rsidRDefault="00413936" w:rsidP="00413936">
      <w:pPr>
        <w:pStyle w:val="Heading1"/>
        <w:pBdr>
          <w:bottom w:val="none" w:sz="0" w:space="0" w:color="auto"/>
        </w:pBdr>
        <w:spacing w:line="360" w:lineRule="auto"/>
        <w:jc w:val="both"/>
        <w:rPr>
          <w:b w:val="0"/>
          <w:bCs w:val="0"/>
          <w:color w:val="000000" w:themeColor="text1"/>
          <w:sz w:val="24"/>
          <w:szCs w:val="24"/>
        </w:rPr>
      </w:pPr>
    </w:p>
    <w:p w14:paraId="034EE715" w14:textId="77777777" w:rsidR="00413936" w:rsidRPr="00413936" w:rsidRDefault="00413936" w:rsidP="00413936">
      <w:pPr>
        <w:pStyle w:val="Heading1"/>
        <w:pBdr>
          <w:bottom w:val="none" w:sz="0" w:space="0" w:color="auto"/>
        </w:pBdr>
        <w:spacing w:line="360" w:lineRule="auto"/>
        <w:jc w:val="both"/>
        <w:rPr>
          <w:b w:val="0"/>
          <w:bCs w:val="0"/>
          <w:color w:val="000000" w:themeColor="text1"/>
          <w:sz w:val="24"/>
          <w:szCs w:val="24"/>
        </w:rPr>
      </w:pPr>
    </w:p>
    <w:p w14:paraId="4D5EA5AF" w14:textId="5FE01E80" w:rsidR="00776A10" w:rsidRPr="008A58BF" w:rsidRDefault="00AA2CF1" w:rsidP="00776A10">
      <w:pPr>
        <w:pStyle w:val="Heading1"/>
        <w:pBdr>
          <w:bottom w:val="none" w:sz="0" w:space="0" w:color="auto"/>
        </w:pBdr>
        <w:rPr>
          <w:color w:val="000000" w:themeColor="text1"/>
        </w:rPr>
      </w:pPr>
      <w:r w:rsidRPr="008A58BF">
        <w:rPr>
          <w:color w:val="000000" w:themeColor="text1"/>
        </w:rPr>
        <w:lastRenderedPageBreak/>
        <w:t>Conclusion and Recommendations</w:t>
      </w:r>
    </w:p>
    <w:p w14:paraId="21518CD9" w14:textId="5615F47F" w:rsidR="00F6083D" w:rsidRPr="008A58BF" w:rsidRDefault="00AA2CF1">
      <w:pPr>
        <w:pStyle w:val="Heading2"/>
        <w:rPr>
          <w:color w:val="000000" w:themeColor="text1"/>
        </w:rPr>
      </w:pPr>
      <w:r w:rsidRPr="008A58BF">
        <w:rPr>
          <w:color w:val="000000" w:themeColor="text1"/>
        </w:rPr>
        <w:t>Conclusions</w:t>
      </w:r>
    </w:p>
    <w:p w14:paraId="72F86DE5" w14:textId="77777777" w:rsidR="00F6083D" w:rsidRPr="008A58BF" w:rsidRDefault="00F6083D" w:rsidP="00F6083D">
      <w:pPr>
        <w:spacing w:before="60" w:line="360" w:lineRule="auto"/>
        <w:jc w:val="both"/>
        <w:rPr>
          <w:color w:val="000000" w:themeColor="text1"/>
        </w:rPr>
      </w:pPr>
      <w:r>
        <w:rPr>
          <w:color w:val="000000" w:themeColor="text1"/>
        </w:rPr>
        <w:t xml:space="preserve">This study </w:t>
      </w:r>
      <w:r>
        <w:rPr>
          <w:color w:val="000000" w:themeColor="text1"/>
          <w:highlight w:val="yellow"/>
        </w:rPr>
        <w:t>analysed</w:t>
      </w:r>
      <w:r>
        <w:rPr>
          <w:color w:val="000000" w:themeColor="text1"/>
        </w:rPr>
        <w:t xml:space="preserve"> migration trends in Sri Lanka by integrating national-level statistics with primary survey data from the Colombo District to understand both structural drivers and individual motivations. The findings show that migration is a long-term socio-economic process mainly driven by economic hardship, limited opportunities, and declining confidence in domestic development.</w:t>
      </w:r>
    </w:p>
    <w:p w14:paraId="3F9CD3B1" w14:textId="77777777" w:rsidR="00F6083D" w:rsidRPr="008A58BF" w:rsidRDefault="00F6083D" w:rsidP="00F6083D">
      <w:pPr>
        <w:spacing w:before="60" w:line="360" w:lineRule="auto"/>
        <w:jc w:val="both"/>
        <w:rPr>
          <w:color w:val="000000" w:themeColor="text1"/>
        </w:rPr>
      </w:pPr>
      <w:r w:rsidRPr="008A58BF">
        <w:rPr>
          <w:color w:val="000000" w:themeColor="text1"/>
        </w:rPr>
        <w:t>At the national level, Sri Lanka experienced a strong post-pandemic surge in foreign employment departures, reaching 311,161 in 2023. This reflects the continued importance of overseas employment as a major livelihood strategy. Remittances, which reached USD 5.97 billion in 2023, remain the country’s largest source of foreign exchange and support around one in eight households, highlighting strong economic dependence on migration. However, this reliance also creates vulnerability during economic instability. In addition, education-led migration is increasingly becoming permanent, as many students studying abroad do not return, contributing to significant brain drain due to limited local higher education capacity and better perceived opportunities overseas.</w:t>
      </w:r>
    </w:p>
    <w:p w14:paraId="7E71FD8C" w14:textId="2C14998A" w:rsidR="00F6083D" w:rsidRPr="008A58BF" w:rsidRDefault="00F6083D" w:rsidP="00F6083D">
      <w:pPr>
        <w:spacing w:before="60" w:line="360" w:lineRule="auto"/>
        <w:jc w:val="both"/>
        <w:rPr>
          <w:color w:val="000000" w:themeColor="text1"/>
        </w:rPr>
      </w:pPr>
      <w:r>
        <w:rPr>
          <w:color w:val="000000" w:themeColor="text1"/>
        </w:rPr>
        <w:t xml:space="preserve">Survey findings from Colombo strongly align with national trends. An overwhelming 86.4% of respondents intend to migrate within the next five years. The main driver is economic dissatisfaction, particularly low income, high cost of living, and limited job opportunities. The push–pull framework explains this </w:t>
      </w:r>
      <w:r>
        <w:rPr>
          <w:color w:val="000000" w:themeColor="text1"/>
          <w:highlight w:val="yellow"/>
        </w:rPr>
        <w:t>clearly:</w:t>
      </w:r>
      <w:r>
        <w:rPr>
          <w:color w:val="000000" w:themeColor="text1"/>
        </w:rPr>
        <w:t xml:space="preserve"> strong dissatisfaction with local conditions is matched by strong attraction to better opportunities abroad, creating powerful migration pressure even among employed and educated individuals.</w:t>
      </w:r>
    </w:p>
    <w:p w14:paraId="43665DC2" w14:textId="77777777" w:rsidR="006209D5" w:rsidRPr="008A58BF" w:rsidRDefault="00F6083D" w:rsidP="006209D5">
      <w:pPr>
        <w:spacing w:before="60" w:line="360" w:lineRule="auto"/>
        <w:jc w:val="both"/>
        <w:rPr>
          <w:color w:val="000000" w:themeColor="text1"/>
        </w:rPr>
      </w:pPr>
      <w:r w:rsidRPr="008A58BF">
        <w:rPr>
          <w:color w:val="000000" w:themeColor="text1"/>
        </w:rPr>
        <w:t>Although political instability is widely perceived, it does not directly cause migration but instead reduces trust in governance and weakens economic confidence. The study also highlights that migration is highly concentrated among educated individuals, with 77.3% holding university degrees, indicating a strong brain drain effect. Even government employees show high migration intentions, proving that job security alone is not enough without adequate wages and living standards.</w:t>
      </w:r>
    </w:p>
    <w:p w14:paraId="1389146B" w14:textId="77777777" w:rsidR="006209D5" w:rsidRPr="008A58BF" w:rsidRDefault="006209D5" w:rsidP="006209D5">
      <w:pPr>
        <w:spacing w:before="60" w:line="360" w:lineRule="auto"/>
        <w:jc w:val="both"/>
        <w:rPr>
          <w:color w:val="000000" w:themeColor="text1"/>
        </w:rPr>
      </w:pPr>
    </w:p>
    <w:p w14:paraId="72698981" w14:textId="77777777" w:rsidR="001E7EB9" w:rsidRPr="008A58BF" w:rsidRDefault="001E7EB9" w:rsidP="006209D5">
      <w:pPr>
        <w:spacing w:before="60" w:line="360" w:lineRule="auto"/>
        <w:jc w:val="both"/>
        <w:rPr>
          <w:color w:val="000000" w:themeColor="text1"/>
        </w:rPr>
      </w:pPr>
    </w:p>
    <w:p w14:paraId="357F91C1" w14:textId="77777777" w:rsidR="001E7EB9" w:rsidRPr="008A58BF" w:rsidRDefault="001E7EB9" w:rsidP="006209D5">
      <w:pPr>
        <w:spacing w:before="60" w:line="360" w:lineRule="auto"/>
        <w:jc w:val="both"/>
        <w:rPr>
          <w:color w:val="000000" w:themeColor="text1"/>
        </w:rPr>
      </w:pPr>
    </w:p>
    <w:p w14:paraId="074E14CC" w14:textId="77777777" w:rsidR="001E7EB9" w:rsidRPr="008A58BF" w:rsidRDefault="001E7EB9" w:rsidP="006209D5">
      <w:pPr>
        <w:spacing w:before="60" w:line="360" w:lineRule="auto"/>
        <w:jc w:val="both"/>
        <w:rPr>
          <w:color w:val="000000" w:themeColor="text1"/>
        </w:rPr>
      </w:pPr>
    </w:p>
    <w:p w14:paraId="30F1EAC6" w14:textId="77777777" w:rsidR="001E7EB9" w:rsidRPr="008A58BF" w:rsidRDefault="001E7EB9" w:rsidP="006209D5">
      <w:pPr>
        <w:spacing w:before="60" w:line="360" w:lineRule="auto"/>
        <w:jc w:val="both"/>
        <w:rPr>
          <w:color w:val="000000" w:themeColor="text1"/>
        </w:rPr>
      </w:pPr>
    </w:p>
    <w:p w14:paraId="62C91361" w14:textId="77777777" w:rsidR="001E7EB9" w:rsidRPr="008A58BF" w:rsidRDefault="001E7EB9" w:rsidP="006209D5">
      <w:pPr>
        <w:spacing w:before="60" w:line="360" w:lineRule="auto"/>
        <w:jc w:val="both"/>
        <w:rPr>
          <w:color w:val="000000" w:themeColor="text1"/>
        </w:rPr>
      </w:pPr>
    </w:p>
    <w:p w14:paraId="3941BD66" w14:textId="77777777" w:rsidR="001E7EB9" w:rsidRPr="008A58BF" w:rsidRDefault="001E7EB9" w:rsidP="006209D5">
      <w:pPr>
        <w:spacing w:before="60" w:line="360" w:lineRule="auto"/>
        <w:jc w:val="both"/>
        <w:rPr>
          <w:color w:val="000000" w:themeColor="text1"/>
        </w:rPr>
      </w:pPr>
    </w:p>
    <w:p w14:paraId="1ED101F0" w14:textId="77777777" w:rsidR="001E7EB9" w:rsidRPr="008A58BF" w:rsidRDefault="001E7EB9" w:rsidP="006209D5">
      <w:pPr>
        <w:spacing w:before="60" w:line="360" w:lineRule="auto"/>
        <w:jc w:val="both"/>
        <w:rPr>
          <w:color w:val="000000" w:themeColor="text1"/>
        </w:rPr>
      </w:pPr>
    </w:p>
    <w:p w14:paraId="77846CC9" w14:textId="77777777" w:rsidR="001E7EB9" w:rsidRPr="008A58BF" w:rsidRDefault="001E7EB9" w:rsidP="006209D5">
      <w:pPr>
        <w:spacing w:before="60" w:line="360" w:lineRule="auto"/>
        <w:jc w:val="both"/>
        <w:rPr>
          <w:color w:val="000000" w:themeColor="text1"/>
        </w:rPr>
      </w:pPr>
    </w:p>
    <w:p w14:paraId="0B99134A" w14:textId="77777777" w:rsidR="001E7EB9" w:rsidRPr="008A58BF" w:rsidRDefault="001E7EB9" w:rsidP="006209D5">
      <w:pPr>
        <w:spacing w:before="60" w:line="360" w:lineRule="auto"/>
        <w:jc w:val="both"/>
        <w:rPr>
          <w:color w:val="000000" w:themeColor="text1"/>
        </w:rPr>
      </w:pPr>
    </w:p>
    <w:p w14:paraId="368D6BAC" w14:textId="4927B64A" w:rsidR="00A64E78" w:rsidRPr="008A58BF" w:rsidRDefault="00AA2CF1" w:rsidP="006209D5">
      <w:pPr>
        <w:spacing w:before="60" w:line="360" w:lineRule="auto"/>
        <w:jc w:val="both"/>
        <w:rPr>
          <w:b/>
          <w:bCs/>
          <w:color w:val="000000" w:themeColor="text1"/>
        </w:rPr>
      </w:pPr>
      <w:r w:rsidRPr="008A58BF">
        <w:rPr>
          <w:b/>
          <w:bCs/>
          <w:color w:val="000000" w:themeColor="text1"/>
        </w:rPr>
        <w:t>Policy Recommendations</w:t>
      </w:r>
    </w:p>
    <w:p w14:paraId="6A6886F7" w14:textId="499683BC" w:rsidR="00A64E78" w:rsidRPr="008A58BF" w:rsidRDefault="00AA2CF1">
      <w:pPr>
        <w:spacing w:before="80" w:after="80" w:line="360" w:lineRule="auto"/>
        <w:ind w:firstLine="720"/>
        <w:jc w:val="both"/>
        <w:rPr>
          <w:color w:val="000000" w:themeColor="text1"/>
        </w:rPr>
      </w:pPr>
      <w:r w:rsidRPr="008A58BF">
        <w:rPr>
          <w:color w:val="000000" w:themeColor="text1"/>
        </w:rPr>
        <w:t>Based on the findings, the following six recommendations are made. Each is directly linked to the evidence from this study.</w:t>
      </w:r>
    </w:p>
    <w:p w14:paraId="70D9BAD8" w14:textId="2E48A155" w:rsidR="002D2BFA" w:rsidRPr="008A58BF" w:rsidRDefault="001E7EB9">
      <w:pPr>
        <w:spacing w:before="80" w:after="80" w:line="360" w:lineRule="auto"/>
        <w:ind w:firstLine="720"/>
        <w:jc w:val="both"/>
        <w:rPr>
          <w:color w:val="000000" w:themeColor="text1"/>
        </w:rPr>
      </w:pPr>
      <w:r w:rsidRPr="008A58BF">
        <w:rPr>
          <w:noProof/>
          <w:color w:val="000000" w:themeColor="text1"/>
        </w:rPr>
        <mc:AlternateContent>
          <mc:Choice Requires="wpg">
            <w:drawing>
              <wp:anchor distT="0" distB="0" distL="114300" distR="114300" simplePos="0" relativeHeight="251659264" behindDoc="0" locked="0" layoutInCell="1" allowOverlap="1" wp14:anchorId="1A6135D8" wp14:editId="48E1F535">
                <wp:simplePos x="0" y="0"/>
                <wp:positionH relativeFrom="margin">
                  <wp:align>center</wp:align>
                </wp:positionH>
                <wp:positionV relativeFrom="paragraph">
                  <wp:posOffset>152400</wp:posOffset>
                </wp:positionV>
                <wp:extent cx="3379553" cy="3377529"/>
                <wp:effectExtent l="0" t="0" r="11430" b="13970"/>
                <wp:wrapNone/>
                <wp:docPr id="2" name="Group 1">
                  <a:extLst xmlns:a="http://schemas.openxmlformats.org/drawingml/2006/main">
                    <a:ext uri="{FF2B5EF4-FFF2-40B4-BE49-F238E27FC236}">
                      <a16:creationId xmlns:a16="http://schemas.microsoft.com/office/drawing/2014/main" id="{4FB344D4-1D85-D5D4-C280-B3E17A24E48F}"/>
                    </a:ext>
                  </a:extLst>
                </wp:docPr>
                <wp:cNvGraphicFramePr/>
                <a:graphic xmlns:a="http://schemas.openxmlformats.org/drawingml/2006/main">
                  <a:graphicData uri="http://schemas.microsoft.com/office/word/2010/wordprocessingGroup">
                    <wpg:wgp>
                      <wpg:cNvGrpSpPr/>
                      <wpg:grpSpPr>
                        <a:xfrm>
                          <a:off x="0" y="0"/>
                          <a:ext cx="3379553" cy="3377529"/>
                          <a:chOff x="0" y="0"/>
                          <a:chExt cx="3379553" cy="3377529"/>
                        </a:xfrm>
                      </wpg:grpSpPr>
                      <wps:wsp>
                        <wps:cNvPr id="892605981" name="Freeform: Shape 892605981">
                          <a:extLst>
                            <a:ext uri="{FF2B5EF4-FFF2-40B4-BE49-F238E27FC236}">
                              <a16:creationId xmlns:a16="http://schemas.microsoft.com/office/drawing/2014/main" id="{6E462E7F-1412-8AB4-226A-B969AB6F7B91}"/>
                            </a:ext>
                          </a:extLst>
                        </wps:cNvPr>
                        <wps:cNvSpPr/>
                        <wps:spPr>
                          <a:xfrm>
                            <a:off x="1144377" y="0"/>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576688215" name="TextBox 16">
                          <a:extLst>
                            <a:ext uri="{FF2B5EF4-FFF2-40B4-BE49-F238E27FC236}">
                              <a16:creationId xmlns:a16="http://schemas.microsoft.com/office/drawing/2014/main" id="{777D23D5-ABC1-D28C-5B5B-F3FDD857D979}"/>
                            </a:ext>
                          </a:extLst>
                        </wps:cNvPr>
                        <wps:cNvSpPr txBox="1"/>
                        <wps:spPr>
                          <a:xfrm flipH="1">
                            <a:off x="1053386" y="225435"/>
                            <a:ext cx="1278890" cy="617220"/>
                          </a:xfrm>
                          <a:prstGeom prst="rect">
                            <a:avLst/>
                          </a:prstGeom>
                          <a:noFill/>
                        </wps:spPr>
                        <wps:txbx>
                          <w:txbxContent>
                            <w:p w14:paraId="652ED757" w14:textId="77777777" w:rsidR="001E7EB9" w:rsidRDefault="001E7EB9" w:rsidP="001E7EB9">
                              <w:pPr>
                                <w:jc w:val="center"/>
                                <w:rPr>
                                  <w:color w:val="000000" w:themeColor="text1"/>
                                  <w:kern w:val="24"/>
                                </w:rPr>
                              </w:pPr>
                              <w:r>
                                <w:rPr>
                                  <w:color w:val="000000" w:themeColor="text1"/>
                                  <w:kern w:val="24"/>
                                </w:rPr>
                                <w:t>Improve Income and Economic Stability</w:t>
                              </w:r>
                            </w:p>
                          </w:txbxContent>
                        </wps:txbx>
                        <wps:bodyPr wrap="square" rtlCol="0">
                          <a:spAutoFit/>
                        </wps:bodyPr>
                      </wps:wsp>
                      <wps:wsp>
                        <wps:cNvPr id="399493233" name="Freeform: Shape 399493233">
                          <a:extLst>
                            <a:ext uri="{FF2B5EF4-FFF2-40B4-BE49-F238E27FC236}">
                              <a16:creationId xmlns:a16="http://schemas.microsoft.com/office/drawing/2014/main" id="{731E7B45-5224-2059-6480-63A8C73EABD9}"/>
                            </a:ext>
                          </a:extLst>
                        </wps:cNvPr>
                        <wps:cNvSpPr/>
                        <wps:spPr>
                          <a:xfrm>
                            <a:off x="2282273" y="567012"/>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984550470" name="TextBox 31">
                          <a:extLst>
                            <a:ext uri="{FF2B5EF4-FFF2-40B4-BE49-F238E27FC236}">
                              <a16:creationId xmlns:a16="http://schemas.microsoft.com/office/drawing/2014/main" id="{1B7C3953-264E-EE8D-5AC5-E2C561BB8E70}"/>
                            </a:ext>
                          </a:extLst>
                        </wps:cNvPr>
                        <wps:cNvSpPr txBox="1"/>
                        <wps:spPr>
                          <a:xfrm>
                            <a:off x="2241602" y="845381"/>
                            <a:ext cx="1097280" cy="441960"/>
                          </a:xfrm>
                          <a:prstGeom prst="rect">
                            <a:avLst/>
                          </a:prstGeom>
                          <a:noFill/>
                        </wps:spPr>
                        <wps:txbx>
                          <w:txbxContent>
                            <w:p w14:paraId="5108239C" w14:textId="77777777" w:rsidR="001E7EB9" w:rsidRDefault="001E7EB9" w:rsidP="001E7EB9">
                              <w:pPr>
                                <w:jc w:val="center"/>
                                <w:rPr>
                                  <w:color w:val="000000" w:themeColor="text1"/>
                                  <w:kern w:val="24"/>
                                </w:rPr>
                              </w:pPr>
                              <w:r>
                                <w:rPr>
                                  <w:color w:val="000000" w:themeColor="text1"/>
                                  <w:kern w:val="24"/>
                                </w:rPr>
                                <w:t>Reduce the Cost of Living</w:t>
                              </w:r>
                            </w:p>
                          </w:txbxContent>
                        </wps:txbx>
                        <wps:bodyPr wrap="square" rtlCol="0">
                          <a:spAutoFit/>
                        </wps:bodyPr>
                      </wps:wsp>
                      <wps:wsp>
                        <wps:cNvPr id="480844812" name="Freeform: Shape 480844812">
                          <a:extLst>
                            <a:ext uri="{FF2B5EF4-FFF2-40B4-BE49-F238E27FC236}">
                              <a16:creationId xmlns:a16="http://schemas.microsoft.com/office/drawing/2014/main" id="{24DA1FF6-0D21-C52F-7A61-B665CB088A2A}"/>
                            </a:ext>
                          </a:extLst>
                        </wps:cNvPr>
                        <wps:cNvSpPr/>
                        <wps:spPr>
                          <a:xfrm>
                            <a:off x="2282273" y="1705946"/>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652316043" name="TextBox 39">
                          <a:extLst>
                            <a:ext uri="{FF2B5EF4-FFF2-40B4-BE49-F238E27FC236}">
                              <a16:creationId xmlns:a16="http://schemas.microsoft.com/office/drawing/2014/main" id="{E19F1CEC-DF28-1E91-EC0A-9A45571A5A30}"/>
                            </a:ext>
                          </a:extLst>
                        </wps:cNvPr>
                        <wps:cNvSpPr txBox="1"/>
                        <wps:spPr>
                          <a:xfrm>
                            <a:off x="2282217" y="1838762"/>
                            <a:ext cx="1097280" cy="617220"/>
                          </a:xfrm>
                          <a:prstGeom prst="rect">
                            <a:avLst/>
                          </a:prstGeom>
                          <a:noFill/>
                        </wps:spPr>
                        <wps:txbx>
                          <w:txbxContent>
                            <w:p w14:paraId="404AECF1" w14:textId="77777777" w:rsidR="001E7EB9" w:rsidRDefault="001E7EB9" w:rsidP="001E7EB9">
                              <w:pPr>
                                <w:jc w:val="center"/>
                                <w:rPr>
                                  <w:color w:val="000000" w:themeColor="text1"/>
                                  <w:kern w:val="24"/>
                                </w:rPr>
                              </w:pPr>
                              <w:r>
                                <w:rPr>
                                  <w:color w:val="000000" w:themeColor="text1"/>
                                  <w:kern w:val="24"/>
                                </w:rPr>
                                <w:t>Improve Urban Quality of Life</w:t>
                              </w:r>
                            </w:p>
                          </w:txbxContent>
                        </wps:txbx>
                        <wps:bodyPr wrap="square" rtlCol="0">
                          <a:spAutoFit/>
                        </wps:bodyPr>
                      </wps:wsp>
                      <wps:wsp>
                        <wps:cNvPr id="1429021412" name="Freeform: Shape 1429021412">
                          <a:extLst>
                            <a:ext uri="{FF2B5EF4-FFF2-40B4-BE49-F238E27FC236}">
                              <a16:creationId xmlns:a16="http://schemas.microsoft.com/office/drawing/2014/main" id="{E8EDA57C-C3CD-A97A-C468-BDDC00D536D7}"/>
                            </a:ext>
                          </a:extLst>
                        </wps:cNvPr>
                        <wps:cNvSpPr/>
                        <wps:spPr>
                          <a:xfrm>
                            <a:off x="1144377" y="2280249"/>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966413335" name="TextBox 45">
                          <a:extLst>
                            <a:ext uri="{FF2B5EF4-FFF2-40B4-BE49-F238E27FC236}">
                              <a16:creationId xmlns:a16="http://schemas.microsoft.com/office/drawing/2014/main" id="{C567790B-BCCB-7098-BC40-FF05C9D81F3F}"/>
                            </a:ext>
                          </a:extLst>
                        </wps:cNvPr>
                        <wps:cNvSpPr txBox="1"/>
                        <wps:spPr>
                          <a:xfrm flipH="1">
                            <a:off x="1164627" y="2504835"/>
                            <a:ext cx="1097280" cy="792480"/>
                          </a:xfrm>
                          <a:prstGeom prst="rect">
                            <a:avLst/>
                          </a:prstGeom>
                          <a:noFill/>
                        </wps:spPr>
                        <wps:txbx>
                          <w:txbxContent>
                            <w:p w14:paraId="1570A827" w14:textId="77D99CBF" w:rsidR="001E7EB9" w:rsidRDefault="00775855" w:rsidP="001E7EB9">
                              <w:pPr>
                                <w:jc w:val="center"/>
                                <w:rPr>
                                  <w:color w:val="000000" w:themeColor="text1"/>
                                  <w:kern w:val="24"/>
                                </w:rPr>
                              </w:pPr>
                              <w:r>
                                <w:rPr>
                                  <w:color w:val="000000" w:themeColor="text1"/>
                                  <w:kern w:val="24"/>
                                </w:rPr>
                                <w:t>Retaining</w:t>
                              </w:r>
                              <w:r w:rsidR="001E7EB9">
                                <w:rPr>
                                  <w:color w:val="000000" w:themeColor="text1"/>
                                  <w:kern w:val="24"/>
                                </w:rPr>
                                <w:t xml:space="preserve"> Skilled Human Capital</w:t>
                              </w:r>
                            </w:p>
                          </w:txbxContent>
                        </wps:txbx>
                        <wps:bodyPr wrap="square" rtlCol="0">
                          <a:spAutoFit/>
                        </wps:bodyPr>
                      </wps:wsp>
                      <wps:wsp>
                        <wps:cNvPr id="1683370444" name="Freeform: Shape 1683370444">
                          <a:extLst>
                            <a:ext uri="{FF2B5EF4-FFF2-40B4-BE49-F238E27FC236}">
                              <a16:creationId xmlns:a16="http://schemas.microsoft.com/office/drawing/2014/main" id="{59D4A79D-5BD3-A65D-B9B1-E009931840B1}"/>
                            </a:ext>
                          </a:extLst>
                        </wps:cNvPr>
                        <wps:cNvSpPr/>
                        <wps:spPr>
                          <a:xfrm>
                            <a:off x="0" y="1705946"/>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1876802699" name="TextBox 57">
                          <a:extLst>
                            <a:ext uri="{FF2B5EF4-FFF2-40B4-BE49-F238E27FC236}">
                              <a16:creationId xmlns:a16="http://schemas.microsoft.com/office/drawing/2014/main" id="{B0E0E045-3C8F-B456-C7FB-58C195D7B12E}"/>
                            </a:ext>
                          </a:extLst>
                        </wps:cNvPr>
                        <wps:cNvSpPr txBox="1"/>
                        <wps:spPr>
                          <a:xfrm flipH="1">
                            <a:off x="0" y="1921388"/>
                            <a:ext cx="1097280" cy="792480"/>
                          </a:xfrm>
                          <a:prstGeom prst="rect">
                            <a:avLst/>
                          </a:prstGeom>
                          <a:noFill/>
                        </wps:spPr>
                        <wps:txbx>
                          <w:txbxContent>
                            <w:p w14:paraId="1DEFA867" w14:textId="77777777" w:rsidR="001E7EB9" w:rsidRDefault="001E7EB9" w:rsidP="001E7EB9">
                              <w:pPr>
                                <w:jc w:val="center"/>
                                <w:rPr>
                                  <w:color w:val="000000" w:themeColor="text1"/>
                                  <w:kern w:val="24"/>
                                </w:rPr>
                              </w:pPr>
                              <w:r>
                                <w:rPr>
                                  <w:color w:val="000000" w:themeColor="text1"/>
                                  <w:kern w:val="24"/>
                                </w:rPr>
                                <w:t>Create More Quality Employment Opportunities</w:t>
                              </w:r>
                            </w:p>
                          </w:txbxContent>
                        </wps:txbx>
                        <wps:bodyPr wrap="square" rtlCol="0">
                          <a:spAutoFit/>
                        </wps:bodyPr>
                      </wps:wsp>
                      <wps:wsp>
                        <wps:cNvPr id="362571703" name="Freeform: Shape 362571703">
                          <a:extLst>
                            <a:ext uri="{FF2B5EF4-FFF2-40B4-BE49-F238E27FC236}">
                              <a16:creationId xmlns:a16="http://schemas.microsoft.com/office/drawing/2014/main" id="{8EA32DE6-17A7-C8AB-FBEA-69FB57489771}"/>
                            </a:ext>
                          </a:extLst>
                        </wps:cNvPr>
                        <wps:cNvSpPr/>
                        <wps:spPr>
                          <a:xfrm>
                            <a:off x="0" y="571397"/>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552733276" name="TextBox 67">
                          <a:extLst>
                            <a:ext uri="{FF2B5EF4-FFF2-40B4-BE49-F238E27FC236}">
                              <a16:creationId xmlns:a16="http://schemas.microsoft.com/office/drawing/2014/main" id="{53F7DD20-04CA-4847-063E-82CD53E304BB}"/>
                            </a:ext>
                          </a:extLst>
                        </wps:cNvPr>
                        <wps:cNvSpPr txBox="1"/>
                        <wps:spPr>
                          <a:xfrm flipH="1">
                            <a:off x="0" y="607712"/>
                            <a:ext cx="1097280" cy="967740"/>
                          </a:xfrm>
                          <a:prstGeom prst="rect">
                            <a:avLst/>
                          </a:prstGeom>
                          <a:noFill/>
                        </wps:spPr>
                        <wps:txbx>
                          <w:txbxContent>
                            <w:p w14:paraId="0E1C2ECB" w14:textId="77777777" w:rsidR="001E7EB9" w:rsidRDefault="001E7EB9" w:rsidP="001E7EB9">
                              <w:pPr>
                                <w:jc w:val="center"/>
                                <w:rPr>
                                  <w:color w:val="000000" w:themeColor="text1"/>
                                  <w:kern w:val="24"/>
                                </w:rPr>
                              </w:pPr>
                              <w:r>
                                <w:rPr>
                                  <w:color w:val="000000" w:themeColor="text1"/>
                                  <w:kern w:val="24"/>
                                </w:rPr>
                                <w:t>Strengthen Political Stability and Good Governance</w:t>
                              </w:r>
                            </w:p>
                          </w:txbxContent>
                        </wps:txbx>
                        <wps:bodyPr wrap="square" rtlCol="0">
                          <a:spAutoFit/>
                        </wps:bodyPr>
                      </wps:wsp>
                      <wps:wsp>
                        <wps:cNvPr id="1857622761" name="TextBox 91">
                          <a:extLst>
                            <a:ext uri="{FF2B5EF4-FFF2-40B4-BE49-F238E27FC236}">
                              <a16:creationId xmlns:a16="http://schemas.microsoft.com/office/drawing/2014/main" id="{843CB496-02AB-D214-C08A-6105732EA8B7}"/>
                            </a:ext>
                          </a:extLst>
                        </wps:cNvPr>
                        <wps:cNvSpPr txBox="1"/>
                        <wps:spPr>
                          <a:xfrm>
                            <a:off x="892303" y="1398261"/>
                            <a:ext cx="1597659" cy="503554"/>
                          </a:xfrm>
                          <a:prstGeom prst="rect">
                            <a:avLst/>
                          </a:prstGeom>
                          <a:noFill/>
                          <a:ln w="3175" cap="rnd">
                            <a:solidFill>
                              <a:schemeClr val="tx1"/>
                            </a:solidFill>
                            <a:round/>
                          </a:ln>
                          <a:effectLst>
                            <a:softEdge rad="635000"/>
                          </a:effectLst>
                        </wps:spPr>
                        <wps:txbx>
                          <w:txbxContent>
                            <w:p w14:paraId="6A3BDE23" w14:textId="77777777" w:rsidR="001E7EB9" w:rsidRDefault="001E7EB9" w:rsidP="001E7EB9">
                              <w:pPr>
                                <w:jc w:val="center"/>
                                <w:rPr>
                                  <w:b/>
                                  <w:bCs/>
                                  <w:color w:val="000000" w:themeColor="text1"/>
                                  <w:kern w:val="24"/>
                                  <w:sz w:val="28"/>
                                  <w:szCs w:val="28"/>
                                </w:rPr>
                              </w:pPr>
                              <w:r>
                                <w:rPr>
                                  <w:b/>
                                  <w:bCs/>
                                  <w:color w:val="000000" w:themeColor="text1"/>
                                  <w:kern w:val="24"/>
                                  <w:sz w:val="28"/>
                                  <w:szCs w:val="28"/>
                                </w:rPr>
                                <w:t xml:space="preserve">Policy </w:t>
                              </w:r>
                            </w:p>
                            <w:p w14:paraId="15C5CDFE" w14:textId="77777777" w:rsidR="001E7EB9" w:rsidRDefault="001E7EB9" w:rsidP="001E7EB9">
                              <w:pPr>
                                <w:jc w:val="center"/>
                                <w:rPr>
                                  <w:b/>
                                  <w:bCs/>
                                  <w:color w:val="000000" w:themeColor="text1"/>
                                  <w:kern w:val="24"/>
                                  <w:sz w:val="28"/>
                                  <w:szCs w:val="28"/>
                                </w:rPr>
                              </w:pPr>
                              <w:r>
                                <w:rPr>
                                  <w:b/>
                                  <w:bCs/>
                                  <w:color w:val="000000" w:themeColor="text1"/>
                                  <w:kern w:val="24"/>
                                  <w:sz w:val="28"/>
                                  <w:szCs w:val="28"/>
                                </w:rPr>
                                <w:t>Recommendations</w:t>
                              </w:r>
                            </w:p>
                          </w:txbxContent>
                        </wps:txbx>
                        <wps:bodyPr wrap="square" rtlCol="0">
                          <a:spAutoFit/>
                        </wps:bodyPr>
                      </wps:wsp>
                    </wpg:wgp>
                  </a:graphicData>
                </a:graphic>
              </wp:anchor>
            </w:drawing>
          </mc:Choice>
          <mc:Fallback>
            <w:pict>
              <v:group w14:anchorId="1A6135D8" id="Group 1" o:spid="_x0000_s1026" style="position:absolute;left:0;text-align:left;margin-left:0;margin-top:12pt;width:266.1pt;height:265.95pt;z-index:251659264;mso-position-horizontal:center;mso-position-horizontal-relative:margin" coordsize="33795,33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">
                <v:shape id="Freeform: Shape 892605981" o:spid="_x0000_s1027" style="position:absolute;left:11443;width:10973;height:10972;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type id="_x0000_t202" coordsize="21600,21600" o:spt="202" path="m,l,21600r21600,l21600,xe">
                  <v:stroke joinstyle="miter"/>
                  <v:path gradientshapeok="t" o:connecttype="rect"/>
                </v:shapetype>
                <v:shape id="TextBox 16" o:spid="_x0000_s1028" type="#_x0000_t202" style="position:absolute;left:10533;top:2254;width:12789;height:617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" filled="f" stroked="f">
                  <v:textbox style="mso-fit-shape-to-text:t">
                    <w:txbxContent>
                      <w:p w14:paraId="652ED757" w14:textId="77777777" w:rsidR="001E7EB9" w:rsidRDefault="001E7EB9" w:rsidP="001E7EB9">
                        <w:pPr>
                          <w:jc w:val="center"/>
                          <w:rPr>
                            <w:color w:val="000000" w:themeColor="text1"/>
                            <w:kern w:val="24"/>
                          </w:rPr>
                        </w:pPr>
                        <w:r>
                          <w:rPr>
                            <w:color w:val="000000" w:themeColor="text1"/>
                            <w:kern w:val="24"/>
                          </w:rPr>
                          <w:t>Improve Income and Economic Stability</w:t>
                        </w:r>
                      </w:p>
                    </w:txbxContent>
                  </v:textbox>
                </v:shape>
                <v:shape id="Freeform: Shape 399493233" o:spid="_x0000_s1029" style="position:absolute;left:22822;top:5670;width:10973;height:10972;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31" o:spid="_x0000_s1030" type="#_x0000_t202" style="position:absolute;left:22416;top:8453;width:10972;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" filled="f" stroked="f">
                  <v:textbox style="mso-fit-shape-to-text:t">
                    <w:txbxContent>
                      <w:p w14:paraId="5108239C" w14:textId="77777777" w:rsidR="001E7EB9" w:rsidRDefault="001E7EB9" w:rsidP="001E7EB9">
                        <w:pPr>
                          <w:jc w:val="center"/>
                          <w:rPr>
                            <w:color w:val="000000" w:themeColor="text1"/>
                            <w:kern w:val="24"/>
                          </w:rPr>
                        </w:pPr>
                        <w:r>
                          <w:rPr>
                            <w:color w:val="000000" w:themeColor="text1"/>
                            <w:kern w:val="24"/>
                          </w:rPr>
                          <w:t>Reduce the Cost of Living</w:t>
                        </w:r>
                      </w:p>
                    </w:txbxContent>
                  </v:textbox>
                </v:shape>
                <v:shape id="Freeform: Shape 480844812" o:spid="_x0000_s1031" style="position:absolute;left:22822;top:17059;width:10973;height:10973;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39" o:spid="_x0000_s1032" type="#_x0000_t202" style="position:absolute;left:22822;top:18387;width:10972;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" filled="f" stroked="f">
                  <v:textbox style="mso-fit-shape-to-text:t">
                    <w:txbxContent>
                      <w:p w14:paraId="404AECF1" w14:textId="77777777" w:rsidR="001E7EB9" w:rsidRDefault="001E7EB9" w:rsidP="001E7EB9">
                        <w:pPr>
                          <w:jc w:val="center"/>
                          <w:rPr>
                            <w:color w:val="000000" w:themeColor="text1"/>
                            <w:kern w:val="24"/>
                          </w:rPr>
                        </w:pPr>
                        <w:r>
                          <w:rPr>
                            <w:color w:val="000000" w:themeColor="text1"/>
                            <w:kern w:val="24"/>
                          </w:rPr>
                          <w:t>Improve Urban Quality of Life</w:t>
                        </w:r>
                      </w:p>
                    </w:txbxContent>
                  </v:textbox>
                </v:shape>
                <v:shape id="Freeform: Shape 1429021412" o:spid="_x0000_s1033" style="position:absolute;left:11443;top:22802;width:10973;height:10973;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45" o:spid="_x0000_s1034" type="#_x0000_t202" style="position:absolute;left:11646;top:25048;width:10973;height:792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" filled="f" stroked="f">
                  <v:textbox style="mso-fit-shape-to-text:t">
                    <w:txbxContent>
                      <w:p w14:paraId="1570A827" w14:textId="77D99CBF" w:rsidR="001E7EB9" w:rsidRDefault="00775855" w:rsidP="001E7EB9">
                        <w:pPr>
                          <w:jc w:val="center"/>
                          <w:rPr>
                            <w:color w:val="000000" w:themeColor="text1"/>
                            <w:kern w:val="24"/>
                          </w:rPr>
                        </w:pPr>
                        <w:r>
                          <w:rPr>
                            <w:color w:val="000000" w:themeColor="text1"/>
                            <w:kern w:val="24"/>
                          </w:rPr>
                          <w:t>Retaining</w:t>
                        </w:r>
                        <w:r w:rsidR="001E7EB9">
                          <w:rPr>
                            <w:color w:val="000000" w:themeColor="text1"/>
                            <w:kern w:val="24"/>
                          </w:rPr>
                          <w:t xml:space="preserve"> Skilled Human Capital</w:t>
                        </w:r>
                      </w:p>
                    </w:txbxContent>
                  </v:textbox>
                </v:shape>
                <v:shape id="Freeform: Shape 1683370444" o:spid="_x0000_s1035" style="position:absolute;top:17059;width:10972;height:10973;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57" o:spid="_x0000_s1036" type="#_x0000_t202" style="position:absolute;top:19213;width:10972;height:792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" filled="f" stroked="f">
                  <v:textbox style="mso-fit-shape-to-text:t">
                    <w:txbxContent>
                      <w:p w14:paraId="1DEFA867" w14:textId="77777777" w:rsidR="001E7EB9" w:rsidRDefault="001E7EB9" w:rsidP="001E7EB9">
                        <w:pPr>
                          <w:jc w:val="center"/>
                          <w:rPr>
                            <w:color w:val="000000" w:themeColor="text1"/>
                            <w:kern w:val="24"/>
                          </w:rPr>
                        </w:pPr>
                        <w:r>
                          <w:rPr>
                            <w:color w:val="000000" w:themeColor="text1"/>
                            <w:kern w:val="24"/>
                          </w:rPr>
                          <w:t>Create More Quality Employment Opportunities</w:t>
                        </w:r>
                      </w:p>
                    </w:txbxContent>
                  </v:textbox>
                </v:shape>
                <v:shape id="Freeform: Shape 362571703" o:spid="_x0000_s1037" style="position:absolute;top:5713;width:10972;height:10973;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67" o:spid="_x0000_s1038" type="#_x0000_t202" style="position:absolute;top:6077;width:10972;height:967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" filled="f" stroked="f">
                  <v:textbox style="mso-fit-shape-to-text:t">
                    <w:txbxContent>
                      <w:p w14:paraId="0E1C2ECB" w14:textId="77777777" w:rsidR="001E7EB9" w:rsidRDefault="001E7EB9" w:rsidP="001E7EB9">
                        <w:pPr>
                          <w:jc w:val="center"/>
                          <w:rPr>
                            <w:color w:val="000000" w:themeColor="text1"/>
                            <w:kern w:val="24"/>
                          </w:rPr>
                        </w:pPr>
                        <w:r>
                          <w:rPr>
                            <w:color w:val="000000" w:themeColor="text1"/>
                            <w:kern w:val="24"/>
                          </w:rPr>
                          <w:t>Strengthen Political Stability and Good Governance</w:t>
                        </w:r>
                      </w:p>
                    </w:txbxContent>
                  </v:textbox>
                </v:shape>
                <v:shape id="TextBox 91" o:spid="_x0000_s1039" type="#_x0000_t202" style="position:absolute;left:8923;top:13982;width:15976;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" filled="f" strokecolor="black [3213]" strokeweight=".25pt">
                  <v:stroke joinstyle="round" endcap="round"/>
                  <v:textbox style="mso-fit-shape-to-text:t">
                    <w:txbxContent>
                      <w:p w14:paraId="6A3BDE23" w14:textId="77777777" w:rsidR="001E7EB9" w:rsidRDefault="001E7EB9" w:rsidP="001E7EB9">
                        <w:pPr>
                          <w:jc w:val="center"/>
                          <w:rPr>
                            <w:b/>
                            <w:bCs/>
                            <w:color w:val="000000" w:themeColor="text1"/>
                            <w:kern w:val="24"/>
                            <w:sz w:val="28"/>
                            <w:szCs w:val="28"/>
                          </w:rPr>
                        </w:pPr>
                        <w:r>
                          <w:rPr>
                            <w:b/>
                            <w:bCs/>
                            <w:color w:val="000000" w:themeColor="text1"/>
                            <w:kern w:val="24"/>
                            <w:sz w:val="28"/>
                            <w:szCs w:val="28"/>
                          </w:rPr>
                          <w:t xml:space="preserve">Policy </w:t>
                        </w:r>
                      </w:p>
                      <w:p w14:paraId="15C5CDFE" w14:textId="77777777" w:rsidR="001E7EB9" w:rsidRDefault="001E7EB9" w:rsidP="001E7EB9">
                        <w:pPr>
                          <w:jc w:val="center"/>
                          <w:rPr>
                            <w:b/>
                            <w:bCs/>
                            <w:color w:val="000000" w:themeColor="text1"/>
                            <w:kern w:val="24"/>
                            <w:sz w:val="28"/>
                            <w:szCs w:val="28"/>
                          </w:rPr>
                        </w:pPr>
                        <w:r>
                          <w:rPr>
                            <w:b/>
                            <w:bCs/>
                            <w:color w:val="000000" w:themeColor="text1"/>
                            <w:kern w:val="24"/>
                            <w:sz w:val="28"/>
                            <w:szCs w:val="28"/>
                          </w:rPr>
                          <w:t>Recommendations</w:t>
                        </w:r>
                      </w:p>
                    </w:txbxContent>
                  </v:textbox>
                </v:shape>
                <w10:wrap anchorx="margin"/>
              </v:group>
            </w:pict>
          </mc:Fallback>
        </mc:AlternateContent>
      </w:r>
    </w:p>
    <w:p w14:paraId="0B6F13D7" w14:textId="4AE58900" w:rsidR="002D2BFA" w:rsidRPr="008A58BF" w:rsidRDefault="002D2BFA" w:rsidP="002D2BFA">
      <w:pPr>
        <w:spacing w:before="80" w:after="80" w:line="360" w:lineRule="auto"/>
        <w:ind w:firstLine="720"/>
        <w:jc w:val="center"/>
        <w:rPr>
          <w:color w:val="000000" w:themeColor="text1"/>
        </w:rPr>
      </w:pPr>
    </w:p>
    <w:p w14:paraId="0E294276" w14:textId="77777777" w:rsidR="002D2BFA" w:rsidRPr="008A58BF" w:rsidRDefault="002D2BFA">
      <w:pPr>
        <w:spacing w:before="80" w:after="80" w:line="360" w:lineRule="auto"/>
        <w:ind w:firstLine="720"/>
        <w:jc w:val="both"/>
        <w:rPr>
          <w:color w:val="000000" w:themeColor="text1"/>
        </w:rPr>
      </w:pPr>
    </w:p>
    <w:p w14:paraId="48923BDE" w14:textId="77777777" w:rsidR="002D2BFA" w:rsidRPr="008A58BF" w:rsidRDefault="002D2BFA">
      <w:pPr>
        <w:spacing w:before="80" w:after="80" w:line="360" w:lineRule="auto"/>
        <w:ind w:firstLine="720"/>
        <w:jc w:val="both"/>
        <w:rPr>
          <w:color w:val="000000" w:themeColor="text1"/>
        </w:rPr>
      </w:pPr>
    </w:p>
    <w:p w14:paraId="76C1154C" w14:textId="77777777" w:rsidR="002D2BFA" w:rsidRPr="008A58BF" w:rsidRDefault="002D2BFA">
      <w:pPr>
        <w:spacing w:before="80" w:after="80" w:line="360" w:lineRule="auto"/>
        <w:ind w:firstLine="720"/>
        <w:jc w:val="both"/>
        <w:rPr>
          <w:color w:val="000000" w:themeColor="text1"/>
        </w:rPr>
      </w:pPr>
    </w:p>
    <w:p w14:paraId="02F79DCD" w14:textId="77777777" w:rsidR="002D2BFA" w:rsidRPr="008A58BF" w:rsidRDefault="002D2BFA">
      <w:pPr>
        <w:spacing w:before="80" w:after="80" w:line="360" w:lineRule="auto"/>
        <w:ind w:firstLine="720"/>
        <w:jc w:val="both"/>
        <w:rPr>
          <w:color w:val="000000" w:themeColor="text1"/>
        </w:rPr>
      </w:pPr>
    </w:p>
    <w:p w14:paraId="47945304" w14:textId="77777777" w:rsidR="002D2BFA" w:rsidRPr="008A58BF" w:rsidRDefault="002D2BFA">
      <w:pPr>
        <w:spacing w:before="80" w:after="80" w:line="360" w:lineRule="auto"/>
        <w:ind w:firstLine="720"/>
        <w:jc w:val="both"/>
        <w:rPr>
          <w:color w:val="000000" w:themeColor="text1"/>
        </w:rPr>
      </w:pPr>
    </w:p>
    <w:p w14:paraId="0E3C52C5" w14:textId="77777777" w:rsidR="002D2BFA" w:rsidRPr="008A58BF" w:rsidRDefault="002D2BFA">
      <w:pPr>
        <w:spacing w:before="80" w:after="80" w:line="360" w:lineRule="auto"/>
        <w:ind w:firstLine="720"/>
        <w:jc w:val="both"/>
        <w:rPr>
          <w:color w:val="000000" w:themeColor="text1"/>
        </w:rPr>
      </w:pPr>
    </w:p>
    <w:p w14:paraId="19BFF9C5" w14:textId="77777777" w:rsidR="002D2BFA" w:rsidRPr="008A58BF" w:rsidRDefault="002D2BFA">
      <w:pPr>
        <w:spacing w:before="80" w:after="80" w:line="360" w:lineRule="auto"/>
        <w:ind w:firstLine="720"/>
        <w:jc w:val="both"/>
        <w:rPr>
          <w:color w:val="000000" w:themeColor="text1"/>
        </w:rPr>
      </w:pPr>
    </w:p>
    <w:p w14:paraId="1DF0CDEB" w14:textId="77777777" w:rsidR="002D2BFA" w:rsidRPr="008A58BF" w:rsidRDefault="002D2BFA">
      <w:pPr>
        <w:spacing w:before="80" w:after="80" w:line="360" w:lineRule="auto"/>
        <w:ind w:firstLine="720"/>
        <w:jc w:val="both"/>
        <w:rPr>
          <w:color w:val="000000" w:themeColor="text1"/>
        </w:rPr>
      </w:pPr>
    </w:p>
    <w:p w14:paraId="0210FC6A" w14:textId="7A7E825E" w:rsidR="002D2BFA" w:rsidRPr="008A58BF" w:rsidRDefault="002D2BFA">
      <w:pPr>
        <w:spacing w:before="80" w:after="80" w:line="360" w:lineRule="auto"/>
        <w:ind w:firstLine="720"/>
        <w:jc w:val="both"/>
        <w:rPr>
          <w:color w:val="000000" w:themeColor="text1"/>
        </w:rPr>
      </w:pPr>
    </w:p>
    <w:p w14:paraId="42279CDC" w14:textId="5635C660" w:rsidR="005840DB" w:rsidRPr="008A58BF" w:rsidRDefault="005840DB" w:rsidP="00616B67">
      <w:pPr>
        <w:spacing w:before="80" w:after="80" w:line="360" w:lineRule="auto"/>
        <w:ind w:firstLine="720"/>
        <w:jc w:val="center"/>
        <w:rPr>
          <w:color w:val="000000" w:themeColor="text1"/>
        </w:rPr>
      </w:pPr>
    </w:p>
    <w:p w14:paraId="3A54BE72" w14:textId="399F6C6E" w:rsidR="00D13B1B" w:rsidRPr="008A58BF" w:rsidRDefault="00D13B1B" w:rsidP="009A575A">
      <w:pPr>
        <w:spacing w:before="40" w:after="160"/>
        <w:jc w:val="center"/>
        <w:rPr>
          <w:b/>
          <w:bCs/>
          <w:i/>
          <w:iCs/>
          <w:color w:val="000000" w:themeColor="text1"/>
          <w:sz w:val="21"/>
          <w:szCs w:val="21"/>
        </w:rPr>
      </w:pPr>
      <w:r w:rsidRPr="008A58BF">
        <w:rPr>
          <w:b/>
          <w:bCs/>
          <w:i/>
          <w:iCs/>
          <w:color w:val="000000" w:themeColor="text1"/>
          <w:sz w:val="21"/>
          <w:szCs w:val="21"/>
        </w:rPr>
        <w:t xml:space="preserve">Figure </w:t>
      </w:r>
      <w:r w:rsidR="007F5255" w:rsidRPr="008A58BF">
        <w:rPr>
          <w:b/>
          <w:bCs/>
          <w:i/>
          <w:iCs/>
          <w:color w:val="000000" w:themeColor="text1"/>
          <w:sz w:val="21"/>
          <w:szCs w:val="21"/>
        </w:rPr>
        <w:t>4</w:t>
      </w:r>
      <w:r w:rsidRPr="008A58BF">
        <w:rPr>
          <w:b/>
          <w:bCs/>
          <w:i/>
          <w:iCs/>
          <w:color w:val="000000" w:themeColor="text1"/>
          <w:sz w:val="21"/>
          <w:szCs w:val="21"/>
        </w:rPr>
        <w:t>: Policy recommendation to control the brain drain of Sri Lanka</w:t>
      </w:r>
    </w:p>
    <w:p w14:paraId="470E97A2" w14:textId="77777777" w:rsidR="00A64E78" w:rsidRPr="008A58BF" w:rsidRDefault="00A64E78">
      <w:pPr>
        <w:spacing w:before="80"/>
        <w:rPr>
          <w:color w:val="000000" w:themeColor="text1"/>
        </w:rPr>
      </w:pPr>
    </w:p>
    <w:p w14:paraId="6FE8F6F4" w14:textId="533F83D1" w:rsidR="001E7EB9" w:rsidRPr="008A58BF" w:rsidRDefault="00AE1F24" w:rsidP="001E7EB9">
      <w:pPr>
        <w:spacing w:before="80" w:after="80" w:line="360" w:lineRule="auto"/>
        <w:jc w:val="both"/>
        <w:rPr>
          <w:color w:val="000000" w:themeColor="text1"/>
        </w:rPr>
      </w:pPr>
      <w:proofErr w:type="spellStart"/>
      <w:proofErr w:type="spellEnd"/>
      <w:r>
        <w:rPr>
          <w:color w:val="000000" w:themeColor="text1"/>
        </w:rPr>
        <w:t xml:space="preserve">Figure 4 presents a comprehensive set of integrated policy interventions to address the root causes and consequences of migration. The findings of this study indicate that income dissatisfaction, political instability, the high cost of living, poor quality of life, and limited employment opportunities are the major factors influencing migration intentions among urban residents in Sri Lanka. Since income dissatisfaction emerged as the strongest push factor, policies should focus on improving economic stability by increasing real wages, controlling inflation, and providing financial incentives for skilled professionals. Access to affordable housing and low-interest loan schemes for young professionals would also help reduce financial pressures and improve living standards, thereby reducing the motivation to migrate. In addition, measures to control the cost of living, such as </w:t>
      </w:r>
      <w:r>
        <w:rPr>
          <w:color w:val="000000" w:themeColor="text1"/>
          <w:highlight w:val="yellow"/>
        </w:rPr>
        <w:t>stabilising</w:t>
      </w:r>
      <w:r>
        <w:rPr>
          <w:color w:val="000000" w:themeColor="text1"/>
        </w:rPr>
        <w:t xml:space="preserve"> the prices of essential goods and services, improving public </w:t>
      </w:r>
      <w:r>
        <w:rPr>
          <w:color w:val="000000" w:themeColor="text1"/>
          <w:highlight w:val="yellow"/>
        </w:rPr>
        <w:t>transport,</w:t>
      </w:r>
      <w:r>
        <w:rPr>
          <w:color w:val="000000" w:themeColor="text1"/>
        </w:rPr>
        <w:t xml:space="preserve"> reducing utility costs, and expanding affordable housing programmes, are necessary to enhance the economic well-being of urban households.</w:t>
      </w:r>
    </w:p>
    <w:p w14:paraId="5756E194" w14:textId="77777777" w:rsidR="001E7EB9" w:rsidRPr="008A58BF" w:rsidRDefault="001E7EB9" w:rsidP="001E7EB9">
      <w:pPr>
        <w:spacing w:before="80" w:after="80" w:line="360" w:lineRule="auto"/>
        <w:jc w:val="both"/>
        <w:rPr>
          <w:color w:val="000000" w:themeColor="text1"/>
        </w:rPr>
      </w:pPr>
      <w:r>
        <w:rPr>
          <w:color w:val="000000" w:themeColor="text1"/>
        </w:rPr>
        <w:t xml:space="preserve">Political instability was identified as another major factor encouraging migration; therefore, strengthening democratic institutions, improving transparency, reducing corruption, and ensuring policy consistency are essential to building public confidence and creating a stable environment for economic and social development. Although poor job opportunities were a comparatively weaker push factor, better employment prospects abroad acted as a strong pull factor. Thus, policies should focus on attracting foreign investment, supporting innovation and technology sectors, promoting entrepreneurship, and creating </w:t>
      </w:r>
      <w:r>
        <w:rPr>
          <w:color w:val="000000" w:themeColor="text1"/>
          <w:highlight w:val="yellow"/>
        </w:rPr>
        <w:t>high-skill</w:t>
      </w:r>
      <w:r>
        <w:rPr>
          <w:color w:val="000000" w:themeColor="text1"/>
        </w:rPr>
        <w:t xml:space="preserve"> employment opportunities with clear career advancement pathways. Furthermore, improving the quality of urban life through investments in healthcare, education, public transport, environmental management, housing, and public safety would enhance the attractiveness of living in Sri Lanka and reduce migration intentions.</w:t>
      </w:r>
    </w:p>
    <w:p w14:paraId="3B18DD2F" w14:textId="77777777" w:rsidR="001E7EB9" w:rsidRDefault="001E7EB9" w:rsidP="001E7EB9">
      <w:pPr>
        <w:spacing w:before="80" w:after="80" w:line="360" w:lineRule="auto"/>
        <w:jc w:val="both"/>
        <w:rPr>
          <w:color w:val="000000" w:themeColor="text1"/>
        </w:rPr>
      </w:pPr>
      <w:r w:rsidRPr="008A58BF">
        <w:rPr>
          <w:color w:val="000000" w:themeColor="text1"/>
        </w:rPr>
        <w:t xml:space="preserve">Finally, targeted measures are needed to retain skilled professionals in sectors such as healthcare, education, engineering, and information technology. Competitive salaries, improved working conditions, research opportunities, and career development </w:t>
      </w:r>
      <w:proofErr w:type="spellStart"/>
      <w:r w:rsidRPr="008A58BF">
        <w:rPr>
          <w:color w:val="000000" w:themeColor="text1"/>
        </w:rPr>
        <w:t>programmes</w:t>
      </w:r>
      <w:proofErr w:type="spellEnd"/>
      <w:r w:rsidRPr="008A58BF">
        <w:rPr>
          <w:color w:val="000000" w:themeColor="text1"/>
        </w:rPr>
        <w:t xml:space="preserve"> would help reduce the outflow of human capital while contributing to national development. Together, these policy measures can address the key push factors identified in this study and support the retention of skilled and productive populations within urban Sri Lanka.</w:t>
      </w:r>
    </w:p>
    <w:p w14:paraId="3BA6698C" w14:textId="77777777" w:rsidR="00964FC5" w:rsidRDefault="00964FC5" w:rsidP="001E7EB9">
      <w:pPr>
        <w:spacing w:before="80" w:after="80" w:line="360" w:lineRule="auto"/>
        <w:jc w:val="both"/>
        <w:rPr>
          <w:color w:val="000000" w:themeColor="text1"/>
        </w:rPr>
      </w:pPr>
    </w:p>
    <w:p w14:paraId="27FC4443" w14:textId="77777777" w:rsidR="00964FC5" w:rsidRPr="00964FC5" w:rsidRDefault="00964FC5" w:rsidP="00964FC5">
      <w:pPr>
        <w:spacing w:before="80" w:after="80" w:line="360" w:lineRule="auto"/>
        <w:jc w:val="both"/>
        <w:rPr>
          <w:b/>
          <w:bCs/>
          <w:color w:val="000000" w:themeColor="text1"/>
        </w:rPr>
      </w:pPr>
      <w:r w:rsidRPr="00964FC5">
        <w:rPr>
          <w:b/>
          <w:bCs/>
          <w:color w:val="000000" w:themeColor="text1"/>
        </w:rPr>
        <w:t>Limitations of the Study</w:t>
      </w:r>
    </w:p>
    <w:p w14:paraId="13D38287" w14:textId="77777777" w:rsidR="00964FC5" w:rsidRDefault="00964FC5" w:rsidP="00964FC5">
      <w:pPr>
        <w:spacing w:before="80" w:after="80" w:line="360" w:lineRule="auto"/>
        <w:jc w:val="both"/>
        <w:rPr>
          <w:color w:val="000000" w:themeColor="text1"/>
        </w:rPr>
      </w:pPr>
      <w:r w:rsidRPr="00964FC5">
        <w:rPr>
          <w:color w:val="000000" w:themeColor="text1"/>
        </w:rPr>
        <w:t xml:space="preserve">The main limitations of the study were the limited availability and accessibility of reliable secondary and public-sector data, the focus on the Colombo Municipal Council, the relatively small sample size, and the fact that the study examined migration intentions rather than actual migration </w:t>
      </w:r>
      <w:proofErr w:type="spellStart"/>
      <w:r w:rsidRPr="00964FC5">
        <w:rPr>
          <w:color w:val="000000" w:themeColor="text1"/>
        </w:rPr>
        <w:t>behaviour</w:t>
      </w:r>
      <w:proofErr w:type="spellEnd"/>
      <w:r w:rsidRPr="00964FC5">
        <w:rPr>
          <w:color w:val="000000" w:themeColor="text1"/>
        </w:rPr>
        <w:t>.</w:t>
      </w:r>
    </w:p>
    <w:p w14:paraId="45ED9FC6" w14:textId="77777777" w:rsidR="00004E0E" w:rsidRPr="00004E0E" w:rsidRDefault="00004E0E" w:rsidP="00004E0E">
      <w:pPr>
        <w:spacing w:after="200" w:line="276" w:lineRule="auto"/>
        <w:rPr>
          <w:rFonts w:ascii="Calibri" w:eastAsia="Calibri" w:hAnsi="Calibri"/>
          <w:b/>
          <w:sz w:val="22"/>
          <w:szCs w:val="22"/>
          <w:lang w:bidi="ar-SA"/>
        </w:rPr>
      </w:pPr>
      <w:r w:rsidRPr="00004E0E">
        <w:rPr>
          <w:rFonts w:ascii="Calibri" w:eastAsia="Calibri" w:hAnsi="Calibri"/>
          <w:b/>
          <w:sz w:val="22"/>
          <w:szCs w:val="22"/>
          <w:lang w:bidi="ar-SA"/>
        </w:rPr>
        <w:t xml:space="preserve">Consent </w:t>
      </w:r>
    </w:p>
    <w:p w14:paraId="481755E2" w14:textId="77777777" w:rsidR="00004E0E" w:rsidRPr="00004E0E" w:rsidRDefault="00004E0E" w:rsidP="00004E0E">
      <w:pPr>
        <w:spacing w:after="200" w:line="276" w:lineRule="auto"/>
        <w:rPr>
          <w:rFonts w:ascii="Calibri" w:eastAsia="Calibri" w:hAnsi="Calibri"/>
          <w:sz w:val="22"/>
          <w:szCs w:val="22"/>
          <w:lang w:bidi="ar-SA"/>
        </w:rPr>
      </w:pPr>
      <w:r w:rsidRPr="00004E0E">
        <w:rPr>
          <w:rFonts w:ascii="Calibri" w:eastAsia="Calibri" w:hAnsi="Calibri"/>
          <w:sz w:val="22"/>
          <w:szCs w:val="22"/>
          <w:lang w:bidi="ar-SA"/>
        </w:rPr>
        <w:t>As per international standards or university standards</w:t>
      </w:r>
      <w:r w:rsidRPr="00004E0E">
        <w:rPr>
          <w:rFonts w:ascii="Calibri" w:eastAsia="Calibri" w:hAnsi="Calibri"/>
          <w:sz w:val="22"/>
          <w:szCs w:val="22"/>
          <w:highlight w:val="yellow"/>
          <w:lang w:bidi="ar-SA"/>
        </w:rPr>
        <w:t>, respondents’ written</w:t>
      </w:r>
      <w:r w:rsidRPr="00004E0E">
        <w:rPr>
          <w:rFonts w:ascii="Calibri" w:eastAsia="Calibri" w:hAnsi="Calibri"/>
          <w:sz w:val="22"/>
          <w:szCs w:val="22"/>
          <w:lang w:bidi="ar-SA"/>
        </w:rPr>
        <w:t xml:space="preserve"> consent has been collected and preserved by the author(s).</w:t>
      </w:r>
    </w:p>
    <w:p w14:paraId="1E532288" w14:textId="77777777" w:rsidR="00004E0E" w:rsidRPr="00964FC5" w:rsidRDefault="00004E0E" w:rsidP="00964FC5">
      <w:pPr>
        <w:spacing w:before="80" w:after="80" w:line="360" w:lineRule="auto"/>
        <w:jc w:val="both"/>
        <w:rPr>
          <w:color w:val="000000" w:themeColor="text1"/>
        </w:rPr>
      </w:pPr>
    </w:p>
    <w:p w14:paraId="55F4335E" w14:textId="77777777" w:rsidR="00802F6F" w:rsidRPr="00802F6F" w:rsidRDefault="00802F6F" w:rsidP="00802F6F">
      <w:pPr>
        <w:spacing w:after="160" w:line="259" w:lineRule="auto"/>
        <w:rPr>
          <w:rFonts w:ascii="Arial" w:eastAsia="Calibri" w:hAnsi="Arial" w:cs="Arial"/>
          <w:b/>
          <w:bCs/>
          <w:kern w:val="2"/>
          <w:sz w:val="22"/>
          <w:szCs w:val="22"/>
          <w:lang w:val="en-IN" w:bidi="ar-SA"/>
          <w14:ligatures w14:val="standardContextual"/>
        </w:rPr>
      </w:pPr>
      <w:r w:rsidRPr="00802F6F">
        <w:rPr>
          <w:rFonts w:ascii="Arial" w:eastAsia="Calibri" w:hAnsi="Arial" w:cs="Arial"/>
          <w:b/>
          <w:bCs/>
          <w:kern w:val="2"/>
          <w:sz w:val="22"/>
          <w:szCs w:val="22"/>
          <w:lang w:val="en-IN" w:bidi="ar-SA"/>
          <w14:ligatures w14:val="standardContextual"/>
        </w:rPr>
        <w:t>Declaration of AI Use</w:t>
      </w:r>
    </w:p>
    <w:p w14:paraId="14637112" w14:textId="77777777" w:rsidR="00802F6F" w:rsidRPr="00802F6F" w:rsidRDefault="00802F6F" w:rsidP="00802F6F">
      <w:pPr>
        <w:spacing w:after="160" w:line="259" w:lineRule="auto"/>
        <w:rPr>
          <w:rFonts w:ascii="Arial" w:eastAsia="Calibri" w:hAnsi="Arial" w:cs="Arial"/>
          <w:kern w:val="2"/>
          <w:sz w:val="22"/>
          <w:szCs w:val="22"/>
          <w:lang w:val="en-IN" w:bidi="ar-SA"/>
          <w14:ligatures w14:val="standardContextual"/>
        </w:rPr>
      </w:pPr>
      <w:r w:rsidRPr="00802F6F">
        <w:rPr>
          <w:rFonts w:ascii="Arial" w:eastAsia="Calibri" w:hAnsi="Arial" w:cs="Arial"/>
          <w:kern w:val="2"/>
          <w:sz w:val="22"/>
          <w:szCs w:val="22"/>
          <w:lang w:val="en-IN" w:bidi="ar-SA"/>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EC548BC" w14:textId="43EA1590" w:rsidR="00616B67" w:rsidRPr="008A58BF" w:rsidRDefault="00616B67" w:rsidP="00964FC5">
      <w:pPr>
        <w:spacing w:before="80" w:after="80" w:line="360" w:lineRule="auto"/>
        <w:jc w:val="both"/>
        <w:rPr>
          <w:color w:val="000000" w:themeColor="text1"/>
        </w:rPr>
      </w:pPr>
    </w:p>
    <w:p w14:paraId="15F2DDB7" w14:textId="77777777" w:rsidR="00A64E78" w:rsidRPr="008A58BF" w:rsidRDefault="00AA2CF1">
      <w:pPr>
        <w:pStyle w:val="Heading1"/>
        <w:rPr>
          <w:color w:val="000000" w:themeColor="text1"/>
        </w:rPr>
      </w:pPr>
      <w:r w:rsidRPr="008A58BF">
        <w:rPr>
          <w:color w:val="000000" w:themeColor="text1"/>
        </w:rPr>
        <w:t>References</w:t>
      </w:r>
    </w:p>
    <w:p w14:paraId="0BB8ABE8" w14:textId="0805613D" w:rsidR="00465A43" w:rsidRPr="00465A43" w:rsidRDefault="00465A43" w:rsidP="00465A43">
      <w:pPr>
        <w:spacing w:before="100" w:beforeAutospacing="1" w:after="100" w:afterAutospacing="1"/>
        <w:ind w:left="540" w:hanging="540"/>
        <w:jc w:val="both"/>
        <w:rPr>
          <w:lang w:bidi="ar-SA"/>
        </w:rPr>
      </w:pPr>
      <w:r w:rsidRPr="00465A43">
        <w:rPr>
          <w:lang w:val="nl-BE" w:bidi="ar-SA"/>
        </w:rPr>
        <w:t xml:space="preserve">Amarathunga, B., Samarakoon, S. M. R. K., &amp; Sarathkumara, S. M. N. N. (2025). </w:t>
      </w:r>
      <w:r w:rsidRPr="00465A43">
        <w:rPr>
          <w:lang w:bidi="ar-SA"/>
        </w:rPr>
        <w:t xml:space="preserve">Global ambitions, local challenges: The complex dynamics of graduate migration intentions in an emerging economy. </w:t>
      </w:r>
      <w:r w:rsidRPr="00465A43">
        <w:rPr>
          <w:i/>
          <w:iCs/>
          <w:lang w:bidi="ar-SA"/>
        </w:rPr>
        <w:t>International Journal of Educational Development, 115</w:t>
      </w:r>
      <w:r w:rsidRPr="00465A43">
        <w:rPr>
          <w:lang w:bidi="ar-SA"/>
        </w:rPr>
        <w:t xml:space="preserve">, 103285. </w:t>
      </w:r>
      <w:hyperlink r:id="rId27" w:history="1">
        <w:r w:rsidRPr="00465A43">
          <w:rPr>
            <w:color w:val="0000FF"/>
            <w:u w:val="single"/>
            <w:lang w:bidi="ar-SA"/>
          </w:rPr>
          <w:t>https://doi.org/10.1016/j.ijedudev.2025.103285</w:t>
        </w:r>
      </w:hyperlink>
    </w:p>
    <w:p w14:paraId="59580758" w14:textId="6FB03694" w:rsidR="00465A43" w:rsidRPr="00465A43" w:rsidRDefault="00465A43" w:rsidP="00465A43">
      <w:pPr>
        <w:spacing w:before="100" w:beforeAutospacing="1" w:after="100" w:afterAutospacing="1"/>
        <w:ind w:left="540" w:hanging="540"/>
        <w:jc w:val="both"/>
        <w:rPr>
          <w:lang w:bidi="ar-SA"/>
        </w:rPr>
      </w:pPr>
      <w:r w:rsidRPr="00465A43">
        <w:rPr>
          <w:lang w:bidi="ar-SA"/>
        </w:rPr>
        <w:lastRenderedPageBreak/>
        <w:t xml:space="preserve">Central Bank of Sri Lanka. (2023). </w:t>
      </w:r>
      <w:r w:rsidRPr="00465A43">
        <w:rPr>
          <w:i/>
          <w:iCs/>
          <w:lang w:bidi="ar-SA"/>
        </w:rPr>
        <w:t>Annual report 2023</w:t>
      </w:r>
      <w:r w:rsidRPr="00465A43">
        <w:rPr>
          <w:lang w:bidi="ar-SA"/>
        </w:rPr>
        <w:t xml:space="preserve">. </w:t>
      </w:r>
    </w:p>
    <w:p>
      <w:pPr>
        <w:jc w:val="both"/>
      </w:pPr>
      <w:r>
        <w:rPr>
          <w:b/>
          <w:i w:val="0"/>
          <w:highlight w:val="yellow"/>
        </w:rPr>
        <w:t xml:space="preserve">Handapangoda, W., &amp; Withers, M. (2024). Sri Lanka’s entanglements with transnational migration: Emerging trends and overlooked facets. </w:t>
      </w:r>
      <w:r>
        <w:rPr>
          <w:b/>
          <w:i/>
          <w:highlight w:val="yellow"/>
        </w:rPr>
        <w:t>Asian and Pacific Migration Journal</w:t>
      </w:r>
      <w:r>
        <w:rPr>
          <w:b/>
          <w:i w:val="0"/>
          <w:highlight w:val="yellow"/>
        </w:rPr>
        <w:t>, 33(2), 221–230. https://doi.org/10.1177/01171968241272274</w:t>
      </w:r>
    </w:p>
    <w:p w14:paraId="1644F944" w14:textId="415E8C2C" w:rsidR="00465A43" w:rsidRPr="00465A43" w:rsidRDefault="00465A43" w:rsidP="00465A43">
      <w:pPr>
        <w:spacing w:before="100" w:beforeAutospacing="1" w:after="100" w:afterAutospacing="1"/>
        <w:ind w:left="540" w:hanging="540"/>
        <w:jc w:val="both"/>
        <w:rPr>
          <w:lang w:bidi="ar-SA"/>
        </w:rPr>
      </w:pPr>
      <w:r w:rsidRPr="00465A43">
        <w:rPr>
          <w:lang w:bidi="ar-SA"/>
        </w:rPr>
        <w:t xml:space="preserve">Institute of Policy Studies of Sri Lanka. (2022). </w:t>
      </w:r>
      <w:r w:rsidRPr="00465A43">
        <w:rPr>
          <w:i/>
          <w:iCs/>
          <w:lang w:bidi="ar-SA"/>
        </w:rPr>
        <w:t>Sri Lanka: State of the economy 2022: From crisis to recovery: Driving policy action through SDGs</w:t>
      </w:r>
      <w:r w:rsidRPr="00465A43">
        <w:rPr>
          <w:lang w:bidi="ar-SA"/>
        </w:rPr>
        <w:t xml:space="preserve">. </w:t>
      </w:r>
    </w:p>
    <w:p w14:paraId="0A412878" w14:textId="77777777" w:rsidR="00465A43" w:rsidRPr="00465A43" w:rsidRDefault="00465A43" w:rsidP="00465A43">
      <w:pPr>
        <w:spacing w:before="100" w:beforeAutospacing="1" w:after="100" w:afterAutospacing="1"/>
        <w:ind w:left="540" w:hanging="540"/>
        <w:jc w:val="both"/>
        <w:rPr>
          <w:lang w:bidi="ar-SA"/>
        </w:rPr>
      </w:pPr>
      <w:r w:rsidRPr="00465A43">
        <w:rPr>
          <w:lang w:bidi="ar-SA"/>
        </w:rPr>
        <w:t xml:space="preserve">Jayasooriya, L. B., Jayasinghe, N. C., Ekanayake, I., &amp; </w:t>
      </w:r>
      <w:proofErr w:type="spellStart"/>
      <w:r w:rsidRPr="00465A43">
        <w:rPr>
          <w:lang w:bidi="ar-SA"/>
        </w:rPr>
        <w:t>Rangoda</w:t>
      </w:r>
      <w:proofErr w:type="spellEnd"/>
      <w:r w:rsidRPr="00465A43">
        <w:rPr>
          <w:lang w:bidi="ar-SA"/>
        </w:rPr>
        <w:t xml:space="preserve">, D. P. (2025). Perceived tendencies of skilled migration amidst the economic crisis in Sri Lanka: A case study of the education sector. </w:t>
      </w:r>
      <w:r w:rsidRPr="00465A43">
        <w:rPr>
          <w:i/>
          <w:iCs/>
          <w:lang w:bidi="ar-SA"/>
        </w:rPr>
        <w:t>Migration and Development</w:t>
      </w:r>
      <w:r w:rsidRPr="00465A43">
        <w:rPr>
          <w:lang w:bidi="ar-SA"/>
        </w:rPr>
        <w:t xml:space="preserve">. Advance online publication. </w:t>
      </w:r>
      <w:hyperlink r:id="rId20" w:history="1">
        <w:r w:rsidRPr="00465A43">
          <w:rPr>
            <w:color w:val="0000FF"/>
            <w:u w:val="single"/>
            <w:lang w:bidi="ar-SA"/>
          </w:rPr>
          <w:t>https://doi.org/10.1177/21632324251343691</w:t>
        </w:r>
      </w:hyperlink>
    </w:p>
    <w:p w14:paraId="00BA3679" w14:textId="77777777" w:rsidR="00465A43" w:rsidRPr="00465A43" w:rsidRDefault="00465A43" w:rsidP="00465A43">
      <w:pPr>
        <w:spacing w:before="100" w:beforeAutospacing="1" w:after="100" w:afterAutospacing="1"/>
        <w:ind w:left="540" w:hanging="540"/>
        <w:jc w:val="both"/>
        <w:rPr>
          <w:lang w:bidi="ar-SA"/>
        </w:rPr>
      </w:pPr>
      <w:r w:rsidRPr="00465A43">
        <w:rPr>
          <w:lang w:bidi="ar-SA"/>
        </w:rPr>
        <w:t xml:space="preserve">Jayawardena, P. (2020). Sri Lankan out-migration: Five key waves since independence. </w:t>
      </w:r>
      <w:r w:rsidRPr="00465A43">
        <w:rPr>
          <w:i/>
          <w:iCs/>
          <w:lang w:bidi="ar-SA"/>
        </w:rPr>
        <w:t>University of Colombo Review (Series III), 1</w:t>
      </w:r>
      <w:r w:rsidRPr="00465A43">
        <w:rPr>
          <w:lang w:bidi="ar-SA"/>
        </w:rPr>
        <w:t xml:space="preserve">(1), 101–118. </w:t>
      </w:r>
      <w:hyperlink r:id="rId21" w:history="1">
        <w:r w:rsidRPr="00465A43">
          <w:rPr>
            <w:color w:val="0000FF"/>
            <w:u w:val="single"/>
            <w:lang w:bidi="ar-SA"/>
          </w:rPr>
          <w:t>https://doi.org/10.4038/ucr.v1i1.32</w:t>
        </w:r>
      </w:hyperlink>
    </w:p>
    <w:p w14:paraId="60ECC4E1" w14:textId="77777777" w:rsidR="00465A43" w:rsidRPr="00465A43" w:rsidRDefault="00465A43" w:rsidP="00465A43">
      <w:pPr>
        <w:spacing w:before="100" w:beforeAutospacing="1" w:after="100" w:afterAutospacing="1"/>
        <w:ind w:left="540" w:hanging="540"/>
        <w:jc w:val="both"/>
        <w:rPr>
          <w:lang w:bidi="ar-SA"/>
        </w:rPr>
      </w:pPr>
      <w:r w:rsidRPr="00465A43">
        <w:rPr>
          <w:lang w:bidi="ar-SA"/>
        </w:rPr>
        <w:t xml:space="preserve">Kaluarachchi, S., &amp; Jayathilaka, R. (2024). Unveiling Sri Lanka’s brain drain and </w:t>
      </w:r>
      <w:proofErr w:type="spellStart"/>
      <w:r w:rsidRPr="00465A43">
        <w:rPr>
          <w:lang w:bidi="ar-SA"/>
        </w:rPr>
        <w:t>labour</w:t>
      </w:r>
      <w:proofErr w:type="spellEnd"/>
      <w:r w:rsidRPr="00465A43">
        <w:rPr>
          <w:lang w:bidi="ar-SA"/>
        </w:rPr>
        <w:t xml:space="preserve"> market pressure: A study of macroeconomic factors on migration. </w:t>
      </w:r>
      <w:r w:rsidRPr="00465A43">
        <w:rPr>
          <w:i/>
          <w:iCs/>
          <w:lang w:bidi="ar-SA"/>
        </w:rPr>
        <w:t>PLOS ONE, 19</w:t>
      </w:r>
      <w:r w:rsidRPr="00465A43">
        <w:rPr>
          <w:lang w:bidi="ar-SA"/>
        </w:rPr>
        <w:t xml:space="preserve">(3), e0300343. </w:t>
      </w:r>
      <w:hyperlink r:id="rId23" w:history="1">
        <w:r w:rsidRPr="00465A43">
          <w:rPr>
            <w:color w:val="0000FF"/>
            <w:u w:val="single"/>
            <w:lang w:bidi="ar-SA"/>
          </w:rPr>
          <w:t>https://doi.org/10.1371/journal.pone.0300343</w:t>
        </w:r>
      </w:hyperlink>
    </w:p>
    <w:p w14:paraId="7649E8D3" w14:textId="4687DB2E" w:rsidR="00465A43" w:rsidRPr="00465A43" w:rsidRDefault="00465A43" w:rsidP="00465A43">
      <w:pPr>
        <w:spacing w:before="100" w:beforeAutospacing="1" w:after="100" w:afterAutospacing="1"/>
        <w:ind w:left="540" w:hanging="540"/>
        <w:jc w:val="both"/>
        <w:rPr>
          <w:lang w:bidi="ar-SA"/>
        </w:rPr>
      </w:pPr>
      <w:r w:rsidRPr="00465A43">
        <w:rPr>
          <w:lang w:bidi="ar-SA"/>
        </w:rPr>
        <w:t xml:space="preserve">Keshara, H. (2025). </w:t>
      </w:r>
      <w:r w:rsidRPr="00465A43">
        <w:rPr>
          <w:i/>
          <w:iCs/>
          <w:lang w:bidi="ar-SA"/>
        </w:rPr>
        <w:t>Economic crisis-driven out-migration: A study of Sri Lanka 2019–2024</w:t>
      </w:r>
      <w:r w:rsidRPr="00465A43">
        <w:rPr>
          <w:lang w:bidi="ar-SA"/>
        </w:rPr>
        <w:t xml:space="preserve"> [Master’s thesis, Flinders University]. </w:t>
      </w:r>
    </w:p>
    <w:p>
      <w:pPr>
        <w:jc w:val="both"/>
      </w:pPr>
      <w:r>
        <w:rPr>
          <w:b/>
          <w:i w:val="0"/>
          <w:highlight w:val="yellow"/>
        </w:rPr>
        <w:t xml:space="preserve">Kirika, S. K. (2022). Prescriptive labour migration, national savings determination and income consumption rationality function. </w:t>
      </w:r>
      <w:r>
        <w:rPr>
          <w:b/>
          <w:i/>
          <w:highlight w:val="yellow"/>
        </w:rPr>
        <w:t>Journal of Economics and Trade</w:t>
      </w:r>
      <w:r>
        <w:rPr>
          <w:b/>
          <w:i w:val="0"/>
          <w:highlight w:val="yellow"/>
        </w:rPr>
        <w:t>, 7(2), 53–61. https://doi.org/10.56557/jet/2022/v7i28116</w:t>
      </w:r>
    </w:p>
    <w:p w14:paraId="59695767" w14:textId="3C16820C" w:rsidR="00465A43" w:rsidRPr="00465A43" w:rsidRDefault="00465A43" w:rsidP="00465A43">
      <w:pPr>
        <w:spacing w:before="100" w:beforeAutospacing="1" w:after="100" w:afterAutospacing="1"/>
        <w:ind w:left="540" w:hanging="540"/>
        <w:jc w:val="both"/>
        <w:rPr>
          <w:lang w:bidi="ar-SA"/>
        </w:rPr>
      </w:pPr>
      <w:r w:rsidRPr="00465A43">
        <w:rPr>
          <w:lang w:bidi="ar-SA"/>
        </w:rPr>
        <w:t xml:space="preserve">Marawila, R. S., Guruge, R. T., </w:t>
      </w:r>
      <w:proofErr w:type="spellStart"/>
      <w:r w:rsidRPr="00465A43">
        <w:rPr>
          <w:lang w:bidi="ar-SA"/>
        </w:rPr>
        <w:t>Wehella</w:t>
      </w:r>
      <w:proofErr w:type="spellEnd"/>
      <w:r w:rsidRPr="00465A43">
        <w:rPr>
          <w:lang w:bidi="ar-SA"/>
        </w:rPr>
        <w:t xml:space="preserve">, K. B. M., </w:t>
      </w:r>
      <w:proofErr w:type="spellStart"/>
      <w:r w:rsidRPr="00465A43">
        <w:rPr>
          <w:lang w:bidi="ar-SA"/>
        </w:rPr>
        <w:t>Udugahapattuwa</w:t>
      </w:r>
      <w:proofErr w:type="spellEnd"/>
      <w:r w:rsidRPr="00465A43">
        <w:rPr>
          <w:lang w:bidi="ar-SA"/>
        </w:rPr>
        <w:t xml:space="preserve">, T. C., Weerarathna, R. S., &amp; Rathnayake, R. M. N. M. (2023). </w:t>
      </w:r>
      <w:r w:rsidRPr="00465A43">
        <w:rPr>
          <w:i/>
          <w:iCs/>
          <w:lang w:bidi="ar-SA"/>
        </w:rPr>
        <w:t>Factors influencing migration intention of undergraduates: A study based on state &amp; non-state university students in Sri Lanka</w:t>
      </w:r>
      <w:r w:rsidRPr="00465A43">
        <w:rPr>
          <w:lang w:bidi="ar-SA"/>
        </w:rPr>
        <w:t xml:space="preserve">. Faculty of Management and Finance, University of Ruhuna. </w:t>
      </w:r>
    </w:p>
    <w:p w14:paraId="394AF57E" w14:textId="77777777" w:rsidR="00465A43" w:rsidRPr="00465A43" w:rsidRDefault="00465A43" w:rsidP="00465A43">
      <w:pPr>
        <w:spacing w:before="100" w:beforeAutospacing="1" w:after="100" w:afterAutospacing="1"/>
        <w:ind w:left="540" w:hanging="540"/>
        <w:jc w:val="both"/>
        <w:rPr>
          <w:lang w:bidi="ar-SA"/>
        </w:rPr>
      </w:pPr>
      <w:r w:rsidRPr="00465A43">
        <w:rPr>
          <w:lang w:bidi="ar-SA"/>
        </w:rPr>
        <w:t xml:space="preserve">Marawila, R., </w:t>
      </w:r>
      <w:proofErr w:type="spellStart"/>
      <w:r w:rsidRPr="00465A43">
        <w:rPr>
          <w:lang w:bidi="ar-SA"/>
        </w:rPr>
        <w:t>Weerarathna</w:t>
      </w:r>
      <w:proofErr w:type="spellEnd"/>
      <w:r w:rsidRPr="00465A43">
        <w:rPr>
          <w:lang w:bidi="ar-SA"/>
        </w:rPr>
        <w:t xml:space="preserve">, R., Rathnayake, N., Guruge, R., </w:t>
      </w:r>
      <w:proofErr w:type="spellStart"/>
      <w:r w:rsidRPr="00465A43">
        <w:rPr>
          <w:lang w:bidi="ar-SA"/>
        </w:rPr>
        <w:t>Wehella</w:t>
      </w:r>
      <w:proofErr w:type="spellEnd"/>
      <w:r w:rsidRPr="00465A43">
        <w:rPr>
          <w:lang w:bidi="ar-SA"/>
        </w:rPr>
        <w:t xml:space="preserve">, B., </w:t>
      </w:r>
      <w:proofErr w:type="spellStart"/>
      <w:r w:rsidRPr="00465A43">
        <w:rPr>
          <w:lang w:bidi="ar-SA"/>
        </w:rPr>
        <w:t>Udugahapattuwa</w:t>
      </w:r>
      <w:proofErr w:type="spellEnd"/>
      <w:r w:rsidRPr="00465A43">
        <w:rPr>
          <w:lang w:bidi="ar-SA"/>
        </w:rPr>
        <w:t xml:space="preserve">, T., &amp; </w:t>
      </w:r>
      <w:proofErr w:type="spellStart"/>
      <w:r w:rsidRPr="00465A43">
        <w:rPr>
          <w:lang w:bidi="ar-SA"/>
        </w:rPr>
        <w:t>Weligodapola</w:t>
      </w:r>
      <w:proofErr w:type="spellEnd"/>
      <w:r w:rsidRPr="00465A43">
        <w:rPr>
          <w:lang w:bidi="ar-SA"/>
        </w:rPr>
        <w:t xml:space="preserve">, M. (2026). Factors influencing migration intention of undergraduates in Sri </w:t>
      </w:r>
      <w:r w:rsidRPr="00465A43">
        <w:rPr>
          <w:lang w:bidi="ar-SA"/>
        </w:rPr>
        <w:lastRenderedPageBreak/>
        <w:t xml:space="preserve">Lanka: ‘About more than employment’. </w:t>
      </w:r>
      <w:r w:rsidRPr="00465A43">
        <w:rPr>
          <w:i/>
          <w:iCs/>
          <w:lang w:bidi="ar-SA"/>
        </w:rPr>
        <w:t>Social Sciences &amp; Humanities Open, 13</w:t>
      </w:r>
      <w:r w:rsidRPr="00465A43">
        <w:rPr>
          <w:lang w:bidi="ar-SA"/>
        </w:rPr>
        <w:t xml:space="preserve">, 102297. </w:t>
      </w:r>
      <w:hyperlink r:id="rId26" w:history="1">
        <w:r w:rsidRPr="00465A43">
          <w:rPr>
            <w:color w:val="0000FF"/>
            <w:u w:val="single"/>
            <w:lang w:bidi="ar-SA"/>
          </w:rPr>
          <w:t>https://doi.org/10.1016/j.ssaho.2025.102297</w:t>
        </w:r>
      </w:hyperlink>
    </w:p>
    <w:p>
      <w:pPr>
        <w:spacing w:before="100" w:beforeAutospacing="1" w:after="100" w:afterAutospacing="1"/>
        <w:ind w:left="540" w:hanging="540"/>
        <w:jc w:val="both"/>
        <w:rPr>
          <w:lang w:bidi="ar-SA"/>
        </w:rPr>
      </w:pPr>
      <w:r>
        <w:rPr>
          <w:highlight w:val="yellow"/>
        </w:rPr>
        <w:t xml:space="preserve">Ministry of Foreign Affairs, Foreign Employment and Tourism. (2025). </w:t>
      </w:r>
      <w:r>
        <w:rPr>
          <w:i/>
          <w:highlight w:val="yellow"/>
        </w:rPr>
        <w:t>Progress report of the Foreign Employment Division for the year 2024</w:t>
      </w:r>
      <w:r>
        <w:rPr>
          <w:highlight w:val="yellow"/>
        </w:rPr>
        <w:t>. Parliament of Sri Lanka. https://www.parliament.lk/files/pdf/budget/2025/progress-reports/pr-20250315-en.pdf</w:t>
      </w:r>
    </w:p>
    <w:p>
      <w:pPr>
        <w:jc w:val="both"/>
      </w:pPr>
      <w:r>
        <w:rPr>
          <w:b/>
          <w:i w:val="0"/>
          <w:highlight w:val="yellow"/>
        </w:rPr>
        <w:t xml:space="preserve">Niriella, M., Prabagar, K., Premaratna, P., Premaratna, R., Jayasinghe, S., de Silva, T., de Silva, N., &amp; de Silva, J. (2025). The exodus and its toll: Sri Lanka’s economic crisis and the migration of doctors. </w:t>
      </w:r>
      <w:r>
        <w:rPr>
          <w:b/>
          <w:i/>
          <w:highlight w:val="yellow"/>
        </w:rPr>
        <w:t>The International Journal of Health Planning and Management</w:t>
      </w:r>
      <w:r>
        <w:rPr>
          <w:b/>
          <w:i w:val="0"/>
          <w:highlight w:val="yellow"/>
        </w:rPr>
        <w:t>, 40(6), 1317–1325. https://doi.org/10.1002/hpm.70011</w:t>
      </w:r>
    </w:p>
    <w:p w14:paraId="5610B573" w14:textId="3EEA42EE" w:rsidR="00465A43" w:rsidRPr="00465A43" w:rsidRDefault="00465A43" w:rsidP="00465A43">
      <w:pPr>
        <w:spacing w:before="100" w:beforeAutospacing="1" w:after="100" w:afterAutospacing="1"/>
        <w:ind w:left="540" w:hanging="540"/>
        <w:jc w:val="both"/>
        <w:rPr>
          <w:lang w:bidi="ar-SA"/>
        </w:rPr>
      </w:pPr>
      <w:proofErr w:type="spellStart"/>
      <w:r w:rsidRPr="00465A43">
        <w:rPr>
          <w:lang w:bidi="ar-SA"/>
        </w:rPr>
        <w:t>Ranaraja</w:t>
      </w:r>
      <w:proofErr w:type="spellEnd"/>
      <w:r w:rsidRPr="00465A43">
        <w:rPr>
          <w:lang w:bidi="ar-SA"/>
        </w:rPr>
        <w:t xml:space="preserve">, S. (2025). </w:t>
      </w:r>
      <w:r w:rsidRPr="00465A43">
        <w:rPr>
          <w:i/>
          <w:iCs/>
          <w:lang w:bidi="ar-SA"/>
        </w:rPr>
        <w:t>Sri Lanka: Profile of migration</w:t>
      </w:r>
      <w:r w:rsidRPr="00465A43">
        <w:rPr>
          <w:lang w:bidi="ar-SA"/>
        </w:rPr>
        <w:t xml:space="preserve">. Friedrich Naumann Foundation for Freedom, South Asia. </w:t>
      </w:r>
    </w:p>
    <w:p>
      <w:pPr>
        <w:jc w:val="both"/>
      </w:pPr>
      <w:r>
        <w:rPr>
          <w:b/>
          <w:i w:val="0"/>
          <w:highlight w:val="yellow"/>
        </w:rPr>
        <w:t xml:space="preserve">Siriwardhane, D. (2021). Do labour migrants bring well-being to the households? Revisit the pathway from neoclassical to pluralism. </w:t>
      </w:r>
      <w:r>
        <w:rPr>
          <w:b/>
          <w:i/>
          <w:highlight w:val="yellow"/>
        </w:rPr>
        <w:t>South Asian Journal of Social Studies and Economics</w:t>
      </w:r>
      <w:r>
        <w:rPr>
          <w:b/>
          <w:i w:val="0"/>
          <w:highlight w:val="yellow"/>
        </w:rPr>
        <w:t>, 10(3), 44–58. https://doi.org/10.9734/sajsse/2021/v10i330266</w:t>
      </w:r>
    </w:p>
    <w:p w14:paraId="23038746" w14:textId="447C6671" w:rsidR="00465A43" w:rsidRPr="00465A43" w:rsidRDefault="00465A43" w:rsidP="00465A43">
      <w:pPr>
        <w:spacing w:before="100" w:beforeAutospacing="1" w:after="100" w:afterAutospacing="1"/>
        <w:ind w:left="540" w:hanging="540"/>
        <w:jc w:val="both"/>
        <w:rPr>
          <w:lang w:bidi="ar-SA"/>
        </w:rPr>
      </w:pPr>
      <w:proofErr w:type="spellStart"/>
      <w:r w:rsidRPr="00465A43">
        <w:rPr>
          <w:lang w:bidi="ar-SA"/>
        </w:rPr>
        <w:t>Sooriyaarachchi</w:t>
      </w:r>
      <w:proofErr w:type="spellEnd"/>
      <w:r w:rsidRPr="00465A43">
        <w:rPr>
          <w:lang w:bidi="ar-SA"/>
        </w:rPr>
        <w:t xml:space="preserve">, P., &amp; Jayawardena, R. (2025). Lifestyle changes during the economic crisis: A Sri Lankans survey. </w:t>
      </w:r>
      <w:r w:rsidRPr="00465A43">
        <w:rPr>
          <w:i/>
          <w:iCs/>
          <w:lang w:bidi="ar-SA"/>
        </w:rPr>
        <w:t>Journal of Public Health, 33</w:t>
      </w:r>
      <w:r w:rsidRPr="00465A43">
        <w:rPr>
          <w:lang w:bidi="ar-SA"/>
        </w:rPr>
        <w:t xml:space="preserve">, 427–434. </w:t>
      </w:r>
      <w:hyperlink r:id="rId25" w:history="1">
        <w:r w:rsidRPr="00465A43">
          <w:rPr>
            <w:color w:val="0000FF"/>
            <w:u w:val="single"/>
            <w:lang w:bidi="ar-SA"/>
          </w:rPr>
          <w:t>https://doi.org/10.1007/s10389-023-02030-z</w:t>
        </w:r>
      </w:hyperlink>
    </w:p>
    <w:p w14:paraId="5A0DDA96" w14:textId="1FE21271" w:rsidR="00465A43" w:rsidRPr="00465A43" w:rsidRDefault="00465A43" w:rsidP="00465A43">
      <w:pPr>
        <w:spacing w:before="100" w:beforeAutospacing="1" w:after="100" w:afterAutospacing="1"/>
        <w:ind w:left="540" w:hanging="540"/>
        <w:jc w:val="both"/>
        <w:rPr>
          <w:lang w:bidi="ar-SA"/>
        </w:rPr>
      </w:pPr>
      <w:r w:rsidRPr="00465A43">
        <w:rPr>
          <w:lang w:bidi="ar-SA"/>
        </w:rPr>
        <w:t xml:space="preserve">Sri Lanka Bureau of Foreign Employment. (2023). </w:t>
      </w:r>
      <w:r w:rsidRPr="00465A43">
        <w:rPr>
          <w:i/>
          <w:iCs/>
          <w:lang w:bidi="ar-SA"/>
        </w:rPr>
        <w:t>Annual report 2023</w:t>
      </w:r>
      <w:r w:rsidRPr="00465A43">
        <w:rPr>
          <w:lang w:bidi="ar-SA"/>
        </w:rPr>
        <w:t xml:space="preserve">. </w:t>
      </w:r>
    </w:p>
    <w:p w14:paraId="4C9AA122" w14:textId="4DDB5522" w:rsidR="00465A43" w:rsidRPr="00465A43" w:rsidRDefault="00465A43" w:rsidP="00465A43">
      <w:pPr>
        <w:spacing w:before="100" w:beforeAutospacing="1" w:after="100" w:afterAutospacing="1"/>
        <w:ind w:left="540" w:hanging="540"/>
        <w:jc w:val="both"/>
        <w:rPr>
          <w:lang w:bidi="ar-SA"/>
        </w:rPr>
      </w:pPr>
      <w:proofErr w:type="spellStart"/>
      <w:r w:rsidRPr="00465A43">
        <w:rPr>
          <w:lang w:bidi="ar-SA"/>
        </w:rPr>
        <w:t>Taherdoost</w:t>
      </w:r>
      <w:proofErr w:type="spellEnd"/>
      <w:r w:rsidRPr="00465A43">
        <w:rPr>
          <w:lang w:bidi="ar-SA"/>
        </w:rPr>
        <w:t xml:space="preserve">, H. (2017). Determining sample size: How to calculate survey sample size. </w:t>
      </w:r>
      <w:r w:rsidRPr="00465A43">
        <w:rPr>
          <w:i/>
          <w:iCs/>
          <w:lang w:bidi="ar-SA"/>
        </w:rPr>
        <w:t>International Journal of Economics and Management Systems, 2</w:t>
      </w:r>
      <w:r w:rsidRPr="00465A43">
        <w:rPr>
          <w:lang w:bidi="ar-SA"/>
        </w:rPr>
        <w:t xml:space="preserve">, 237–239. </w:t>
      </w:r>
    </w:p>
    <w:p w14:paraId="18EF25DD" w14:textId="163C3C4D" w:rsidR="00465A43" w:rsidRPr="00465A43" w:rsidRDefault="00465A43" w:rsidP="00465A43">
      <w:pPr>
        <w:spacing w:before="100" w:beforeAutospacing="1" w:after="100" w:afterAutospacing="1"/>
        <w:ind w:left="540" w:hanging="540"/>
        <w:jc w:val="both"/>
        <w:rPr>
          <w:lang w:bidi="ar-SA"/>
        </w:rPr>
      </w:pPr>
      <w:r w:rsidRPr="00465A43">
        <w:rPr>
          <w:lang w:bidi="ar-SA"/>
        </w:rPr>
        <w:t xml:space="preserve">Weeraratne, B., </w:t>
      </w:r>
      <w:proofErr w:type="spellStart"/>
      <w:r w:rsidRPr="00465A43">
        <w:rPr>
          <w:lang w:bidi="ar-SA"/>
        </w:rPr>
        <w:t>Weerasekera</w:t>
      </w:r>
      <w:proofErr w:type="spellEnd"/>
      <w:r w:rsidRPr="00465A43">
        <w:rPr>
          <w:lang w:bidi="ar-SA"/>
        </w:rPr>
        <w:t xml:space="preserve">, H., &amp; Bandara, T. (2022). </w:t>
      </w:r>
      <w:r w:rsidRPr="00465A43">
        <w:rPr>
          <w:i/>
          <w:iCs/>
          <w:lang w:bidi="ar-SA"/>
        </w:rPr>
        <w:t>Understanding student migration from Sri Lanka</w:t>
      </w:r>
      <w:r w:rsidRPr="00465A43">
        <w:rPr>
          <w:lang w:bidi="ar-SA"/>
        </w:rPr>
        <w:t xml:space="preserve"> [Policy discussion brief]. Institute of Policy Studies of Sri Lanka. </w:t>
      </w:r>
    </w:p>
    <w:p>
      <w:pPr>
        <w:jc w:val="both"/>
      </w:pPr>
      <w:r>
        <w:rPr>
          <w:b/>
          <w:i w:val="0"/>
          <w:highlight w:val="yellow"/>
        </w:rPr>
        <w:t xml:space="preserve">Withers, M. (2024). Are remittances “resilient?” Evidence from Sri Lanka between COVID-19 and the crisis. </w:t>
      </w:r>
      <w:r>
        <w:rPr>
          <w:b/>
          <w:i/>
          <w:highlight w:val="yellow"/>
        </w:rPr>
        <w:t>Asian and Pacific Migration Journal</w:t>
      </w:r>
      <w:r>
        <w:rPr>
          <w:b/>
          <w:i w:val="0"/>
          <w:highlight w:val="yellow"/>
        </w:rPr>
        <w:t>, 33(2), 231–257. https://doi.org/10.1177/01171968241266333</w:t>
      </w:r>
    </w:p>
    <w:p w14:paraId="1A4EC800" w14:textId="61E640FD" w:rsidR="00A64E78" w:rsidRPr="00127B95" w:rsidRDefault="00A64E78" w:rsidP="00465A43">
      <w:pPr>
        <w:spacing w:before="80" w:after="80" w:line="320" w:lineRule="auto"/>
        <w:ind w:left="720" w:hanging="720"/>
        <w:jc w:val="both"/>
        <w:rPr>
          <w:color w:val="000000" w:themeColor="text1"/>
          <w:sz w:val="22"/>
          <w:szCs w:val="22"/>
        </w:rPr>
      </w:pPr>
    </w:p>
    <w:sectPr w:rsidR="00A64E78" w:rsidRPr="00127B95">
      <w:headerReference w:type="even" r:id="rId32"/>
      <w:headerReference w:type="default" r:id="rId33"/>
      <w:footerReference w:type="default" r:id="rId34"/>
      <w:headerReference w:type="first" r:id="rId35"/>
      <w:pgSz w:w="11906" w:h="16838"/>
      <w:pgMar w:top="1152" w:right="1152" w:bottom="1152" w:left="1152"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1985B" w14:textId="77777777" w:rsidR="000852CB" w:rsidRDefault="000852CB">
      <w:r>
        <w:separator/>
      </w:r>
    </w:p>
  </w:endnote>
  <w:endnote w:type="continuationSeparator" w:id="0">
    <w:p w14:paraId="49D689FE" w14:textId="77777777" w:rsidR="000852CB" w:rsidRDefault="00085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Iskoola Pota">
    <w:charset w:val="00"/>
    <w:family w:val="swiss"/>
    <w:pitch w:val="variable"/>
    <w:sig w:usb0="00000003" w:usb1="00000000" w:usb2="00000200" w:usb3="00000000" w:csb0="00000001" w:csb1="00000000"/>
  </w:font>
  <w:font w:name="Minion Pro">
    <w:altName w:val="Cambria"/>
    <w:panose1 w:val="00000000000000000000"/>
    <w:charset w:val="00"/>
    <w:family w:val="roman"/>
    <w:notTrueType/>
    <w:pitch w:val="variable"/>
    <w:sig w:usb0="E00002AF" w:usb1="5000E07B" w:usb2="00000000" w:usb3="00000000" w:csb0="0000019F" w:csb1="00000000"/>
  </w:font>
  <w:font w:name="MingLiU">
    <w:panose1 w:val="02010609000101010101"/>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1CC4" w14:textId="77777777" w:rsidR="00212CA5" w:rsidRDefault="00212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45B2" w14:textId="77777777" w:rsidR="00212CA5" w:rsidRDefault="00212C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9730" w14:textId="77777777" w:rsidR="00212CA5" w:rsidRDefault="00212C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C2BD" w14:textId="58DF9FE8" w:rsidR="00A64E78" w:rsidRPr="00616B67" w:rsidRDefault="00A64E78" w:rsidP="00616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1AC85" w14:textId="77777777" w:rsidR="000852CB" w:rsidRDefault="000852CB">
      <w:r>
        <w:separator/>
      </w:r>
    </w:p>
  </w:footnote>
  <w:footnote w:type="continuationSeparator" w:id="0">
    <w:p w14:paraId="3E3D4845" w14:textId="77777777" w:rsidR="000852CB" w:rsidRDefault="00085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AD79" w14:textId="4A84C5AD" w:rsidR="00212CA5" w:rsidRDefault="00000000">
    <w:pPr>
      <w:pStyle w:val="Header"/>
    </w:pPr>
    <w:r>
      <w:rPr>
        <w:noProof/>
      </w:rPr>
      <w:pict w14:anchorId="747F16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88" o:spid="_x0000_s1026" type="#_x0000_t136" style="position:absolute;margin-left:0;margin-top:0;width:609.1pt;height:67.6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80351" w14:textId="692740F1" w:rsidR="00212CA5" w:rsidRDefault="00000000">
    <w:pPr>
      <w:pStyle w:val="Header"/>
    </w:pPr>
    <w:r>
      <w:rPr>
        <w:noProof/>
      </w:rPr>
      <w:pict w14:anchorId="3B73EB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89" o:spid="_x0000_s1027" type="#_x0000_t136" style="position:absolute;margin-left:0;margin-top:0;width:609.1pt;height:67.6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2017A" w14:textId="39B575C8" w:rsidR="00212CA5" w:rsidRDefault="00000000">
    <w:pPr>
      <w:pStyle w:val="Header"/>
    </w:pPr>
    <w:r>
      <w:rPr>
        <w:noProof/>
      </w:rPr>
      <w:pict w14:anchorId="75FE59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87" o:spid="_x0000_s1025" type="#_x0000_t136" style="position:absolute;margin-left:0;margin-top:0;width:609.1pt;height:67.6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4389" w14:textId="193101C8" w:rsidR="00212CA5" w:rsidRDefault="00000000">
    <w:pPr>
      <w:pStyle w:val="Header"/>
    </w:pPr>
    <w:r>
      <w:rPr>
        <w:noProof/>
      </w:rPr>
      <w:pict w14:anchorId="5D2CC2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91" o:spid="_x0000_s1031" type="#_x0000_t136" style="position:absolute;margin-left:0;margin-top:0;width:609.1pt;height:67.6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2F0995">
        <v:shape id="_x0000_s1030" type="#_x0000_t136" style="position:absolute;margin-left:0;margin-top:0;width:609.1pt;height:67.6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FAB64" w14:textId="0BF1FE24" w:rsidR="00A64E78" w:rsidRPr="00616B67" w:rsidRDefault="00000000" w:rsidP="00616B67">
    <w:pPr>
      <w:pStyle w:val="Header"/>
    </w:pPr>
    <w:r>
      <w:rPr>
        <w:noProof/>
      </w:rPr>
      <w:pict w14:anchorId="79F375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92" o:spid="_x0000_s1032" type="#_x0000_t136" style="position:absolute;margin-left:0;margin-top:0;width:609.1pt;height:67.6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E046B" w14:textId="36D43F55" w:rsidR="00212CA5" w:rsidRDefault="00000000">
    <w:pPr>
      <w:pStyle w:val="Header"/>
    </w:pPr>
    <w:r>
      <w:rPr>
        <w:noProof/>
      </w:rPr>
      <w:pict w14:anchorId="681633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90" o:spid="_x0000_s1029" type="#_x0000_t136" style="position:absolute;margin-left:0;margin-top:0;width:609.1pt;height:67.6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9E0CE10">
        <v:shape id="_x0000_s1028" type="#_x0000_t136" style="position:absolute;margin-left:0;margin-top:0;width:609.1pt;height:67.6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7060"/>
    <w:multiLevelType w:val="hybridMultilevel"/>
    <w:tmpl w:val="A91AE868"/>
    <w:lvl w:ilvl="0" w:tplc="A1CC81B6">
      <w:start w:val="1"/>
      <w:numFmt w:val="decimal"/>
      <w:lvlText w:val="%1."/>
      <w:lvlJc w:val="left"/>
      <w:pPr>
        <w:ind w:left="720" w:hanging="360"/>
      </w:pPr>
    </w:lvl>
    <w:lvl w:ilvl="1" w:tplc="9FF05CC8">
      <w:numFmt w:val="decimal"/>
      <w:lvlText w:val=""/>
      <w:lvlJc w:val="left"/>
    </w:lvl>
    <w:lvl w:ilvl="2" w:tplc="C7D6DBDA">
      <w:numFmt w:val="decimal"/>
      <w:lvlText w:val=""/>
      <w:lvlJc w:val="left"/>
    </w:lvl>
    <w:lvl w:ilvl="3" w:tplc="FE665DD0">
      <w:numFmt w:val="decimal"/>
      <w:lvlText w:val=""/>
      <w:lvlJc w:val="left"/>
    </w:lvl>
    <w:lvl w:ilvl="4" w:tplc="5E7C3DC8">
      <w:numFmt w:val="decimal"/>
      <w:lvlText w:val=""/>
      <w:lvlJc w:val="left"/>
    </w:lvl>
    <w:lvl w:ilvl="5" w:tplc="73867770">
      <w:numFmt w:val="decimal"/>
      <w:lvlText w:val=""/>
      <w:lvlJc w:val="left"/>
    </w:lvl>
    <w:lvl w:ilvl="6" w:tplc="7DF6BA14">
      <w:numFmt w:val="decimal"/>
      <w:lvlText w:val=""/>
      <w:lvlJc w:val="left"/>
    </w:lvl>
    <w:lvl w:ilvl="7" w:tplc="49269C68">
      <w:numFmt w:val="decimal"/>
      <w:lvlText w:val=""/>
      <w:lvlJc w:val="left"/>
    </w:lvl>
    <w:lvl w:ilvl="8" w:tplc="EF8ED67C">
      <w:numFmt w:val="decimal"/>
      <w:lvlText w:val=""/>
      <w:lvlJc w:val="left"/>
    </w:lvl>
  </w:abstractNum>
  <w:abstractNum w:abstractNumId="1" w15:restartNumberingAfterBreak="0">
    <w:nsid w:val="02825597"/>
    <w:multiLevelType w:val="hybridMultilevel"/>
    <w:tmpl w:val="6FD234BC"/>
    <w:lvl w:ilvl="0" w:tplc="6C264BFC">
      <w:start w:val="1"/>
      <w:numFmt w:val="bullet"/>
      <w:lvlText w:val="•"/>
      <w:lvlJc w:val="left"/>
      <w:pPr>
        <w:ind w:left="720" w:hanging="360"/>
      </w:pPr>
    </w:lvl>
    <w:lvl w:ilvl="1" w:tplc="51BAA4A2">
      <w:numFmt w:val="decimal"/>
      <w:lvlText w:val=""/>
      <w:lvlJc w:val="left"/>
    </w:lvl>
    <w:lvl w:ilvl="2" w:tplc="4CB40E02">
      <w:numFmt w:val="decimal"/>
      <w:lvlText w:val=""/>
      <w:lvlJc w:val="left"/>
    </w:lvl>
    <w:lvl w:ilvl="3" w:tplc="D87227D4">
      <w:numFmt w:val="decimal"/>
      <w:lvlText w:val=""/>
      <w:lvlJc w:val="left"/>
    </w:lvl>
    <w:lvl w:ilvl="4" w:tplc="48BE2802">
      <w:numFmt w:val="decimal"/>
      <w:lvlText w:val=""/>
      <w:lvlJc w:val="left"/>
    </w:lvl>
    <w:lvl w:ilvl="5" w:tplc="3F28310A">
      <w:numFmt w:val="decimal"/>
      <w:lvlText w:val=""/>
      <w:lvlJc w:val="left"/>
    </w:lvl>
    <w:lvl w:ilvl="6" w:tplc="AED00F4C">
      <w:numFmt w:val="decimal"/>
      <w:lvlText w:val=""/>
      <w:lvlJc w:val="left"/>
    </w:lvl>
    <w:lvl w:ilvl="7" w:tplc="4E62694A">
      <w:numFmt w:val="decimal"/>
      <w:lvlText w:val=""/>
      <w:lvlJc w:val="left"/>
    </w:lvl>
    <w:lvl w:ilvl="8" w:tplc="A19AFF58">
      <w:numFmt w:val="decimal"/>
      <w:lvlText w:val=""/>
      <w:lvlJc w:val="left"/>
    </w:lvl>
  </w:abstractNum>
  <w:abstractNum w:abstractNumId="2" w15:restartNumberingAfterBreak="0">
    <w:nsid w:val="02C31A41"/>
    <w:multiLevelType w:val="multilevel"/>
    <w:tmpl w:val="EE54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E5C2D"/>
    <w:multiLevelType w:val="hybridMultilevel"/>
    <w:tmpl w:val="7312E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BCC"/>
    <w:multiLevelType w:val="hybridMultilevel"/>
    <w:tmpl w:val="BD029806"/>
    <w:lvl w:ilvl="0" w:tplc="C4186F40">
      <w:start w:val="1"/>
      <w:numFmt w:val="bullet"/>
      <w:lvlText w:val="●"/>
      <w:lvlJc w:val="left"/>
      <w:pPr>
        <w:ind w:left="720" w:hanging="360"/>
      </w:pPr>
    </w:lvl>
    <w:lvl w:ilvl="1" w:tplc="45124BF0">
      <w:start w:val="1"/>
      <w:numFmt w:val="bullet"/>
      <w:lvlText w:val="○"/>
      <w:lvlJc w:val="left"/>
      <w:pPr>
        <w:ind w:left="1440" w:hanging="360"/>
      </w:pPr>
    </w:lvl>
    <w:lvl w:ilvl="2" w:tplc="BF688D80">
      <w:start w:val="1"/>
      <w:numFmt w:val="bullet"/>
      <w:lvlText w:val="■"/>
      <w:lvlJc w:val="left"/>
      <w:pPr>
        <w:ind w:left="2160" w:hanging="360"/>
      </w:pPr>
    </w:lvl>
    <w:lvl w:ilvl="3" w:tplc="E05A8290">
      <w:start w:val="1"/>
      <w:numFmt w:val="bullet"/>
      <w:lvlText w:val="●"/>
      <w:lvlJc w:val="left"/>
      <w:pPr>
        <w:ind w:left="2880" w:hanging="360"/>
      </w:pPr>
    </w:lvl>
    <w:lvl w:ilvl="4" w:tplc="600E82A4">
      <w:start w:val="1"/>
      <w:numFmt w:val="bullet"/>
      <w:lvlText w:val="○"/>
      <w:lvlJc w:val="left"/>
      <w:pPr>
        <w:ind w:left="3600" w:hanging="360"/>
      </w:pPr>
    </w:lvl>
    <w:lvl w:ilvl="5" w:tplc="683433F8">
      <w:start w:val="1"/>
      <w:numFmt w:val="bullet"/>
      <w:lvlText w:val="■"/>
      <w:lvlJc w:val="left"/>
      <w:pPr>
        <w:ind w:left="4320" w:hanging="360"/>
      </w:pPr>
    </w:lvl>
    <w:lvl w:ilvl="6" w:tplc="39A25E68">
      <w:start w:val="1"/>
      <w:numFmt w:val="bullet"/>
      <w:lvlText w:val="●"/>
      <w:lvlJc w:val="left"/>
      <w:pPr>
        <w:ind w:left="5040" w:hanging="360"/>
      </w:pPr>
    </w:lvl>
    <w:lvl w:ilvl="7" w:tplc="37B6B108">
      <w:start w:val="1"/>
      <w:numFmt w:val="bullet"/>
      <w:lvlText w:val="●"/>
      <w:lvlJc w:val="left"/>
      <w:pPr>
        <w:ind w:left="5760" w:hanging="360"/>
      </w:pPr>
    </w:lvl>
    <w:lvl w:ilvl="8" w:tplc="0BA2B15E">
      <w:start w:val="1"/>
      <w:numFmt w:val="bullet"/>
      <w:lvlText w:val="●"/>
      <w:lvlJc w:val="left"/>
      <w:pPr>
        <w:ind w:left="6480" w:hanging="360"/>
      </w:pPr>
    </w:lvl>
  </w:abstractNum>
  <w:num w:numId="1" w16cid:durableId="72706124">
    <w:abstractNumId w:val="4"/>
    <w:lvlOverride w:ilvl="0">
      <w:startOverride w:val="1"/>
    </w:lvlOverride>
  </w:num>
  <w:num w:numId="2" w16cid:durableId="1583028061">
    <w:abstractNumId w:val="1"/>
    <w:lvlOverride w:ilvl="0">
      <w:startOverride w:val="1"/>
    </w:lvlOverride>
  </w:num>
  <w:num w:numId="3" w16cid:durableId="1562404827">
    <w:abstractNumId w:val="2"/>
  </w:num>
  <w:num w:numId="4" w16cid:durableId="4073082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E78"/>
    <w:rsid w:val="00004E0E"/>
    <w:rsid w:val="0000511C"/>
    <w:rsid w:val="000054B4"/>
    <w:rsid w:val="000206C1"/>
    <w:rsid w:val="000537FF"/>
    <w:rsid w:val="00070A0A"/>
    <w:rsid w:val="000852CB"/>
    <w:rsid w:val="000B0B43"/>
    <w:rsid w:val="000B10D8"/>
    <w:rsid w:val="000C5DD6"/>
    <w:rsid w:val="000E3BBF"/>
    <w:rsid w:val="000F4402"/>
    <w:rsid w:val="00127B95"/>
    <w:rsid w:val="00134914"/>
    <w:rsid w:val="001467FA"/>
    <w:rsid w:val="00192502"/>
    <w:rsid w:val="001A7605"/>
    <w:rsid w:val="001B5B11"/>
    <w:rsid w:val="001C525A"/>
    <w:rsid w:val="001C5A91"/>
    <w:rsid w:val="001D6985"/>
    <w:rsid w:val="001E7EB9"/>
    <w:rsid w:val="00203C0A"/>
    <w:rsid w:val="00211A61"/>
    <w:rsid w:val="00212CA5"/>
    <w:rsid w:val="002337CF"/>
    <w:rsid w:val="00252B6B"/>
    <w:rsid w:val="0026024D"/>
    <w:rsid w:val="00264B0C"/>
    <w:rsid w:val="002C4EED"/>
    <w:rsid w:val="002D2BFA"/>
    <w:rsid w:val="00311A6D"/>
    <w:rsid w:val="00313A35"/>
    <w:rsid w:val="0033433F"/>
    <w:rsid w:val="003545AD"/>
    <w:rsid w:val="00374B75"/>
    <w:rsid w:val="00390B14"/>
    <w:rsid w:val="003B0391"/>
    <w:rsid w:val="003B372B"/>
    <w:rsid w:val="003C6863"/>
    <w:rsid w:val="00413936"/>
    <w:rsid w:val="00461FDD"/>
    <w:rsid w:val="00465A43"/>
    <w:rsid w:val="00467E38"/>
    <w:rsid w:val="0047422D"/>
    <w:rsid w:val="004B0653"/>
    <w:rsid w:val="004C3825"/>
    <w:rsid w:val="004C5339"/>
    <w:rsid w:val="004D1E2A"/>
    <w:rsid w:val="004E058D"/>
    <w:rsid w:val="005234B8"/>
    <w:rsid w:val="0052374B"/>
    <w:rsid w:val="00524FF7"/>
    <w:rsid w:val="00553565"/>
    <w:rsid w:val="00556030"/>
    <w:rsid w:val="005840DB"/>
    <w:rsid w:val="0059300C"/>
    <w:rsid w:val="00597BE4"/>
    <w:rsid w:val="005B70D8"/>
    <w:rsid w:val="005C78BB"/>
    <w:rsid w:val="005D730C"/>
    <w:rsid w:val="00616B67"/>
    <w:rsid w:val="006209D5"/>
    <w:rsid w:val="00627D2F"/>
    <w:rsid w:val="00635BC2"/>
    <w:rsid w:val="00637403"/>
    <w:rsid w:val="00684A7B"/>
    <w:rsid w:val="0068522E"/>
    <w:rsid w:val="006B10D1"/>
    <w:rsid w:val="006B248A"/>
    <w:rsid w:val="006B7F14"/>
    <w:rsid w:val="006E7AC7"/>
    <w:rsid w:val="00730EA0"/>
    <w:rsid w:val="00735297"/>
    <w:rsid w:val="00740985"/>
    <w:rsid w:val="00775855"/>
    <w:rsid w:val="00776A10"/>
    <w:rsid w:val="00790E63"/>
    <w:rsid w:val="007C1AB8"/>
    <w:rsid w:val="007D3066"/>
    <w:rsid w:val="007E16D5"/>
    <w:rsid w:val="007F5255"/>
    <w:rsid w:val="00802F6F"/>
    <w:rsid w:val="00810F80"/>
    <w:rsid w:val="008838BF"/>
    <w:rsid w:val="008A58BF"/>
    <w:rsid w:val="008D1C41"/>
    <w:rsid w:val="008F3906"/>
    <w:rsid w:val="00947072"/>
    <w:rsid w:val="00964FC5"/>
    <w:rsid w:val="00965BBA"/>
    <w:rsid w:val="009A575A"/>
    <w:rsid w:val="009C78E0"/>
    <w:rsid w:val="009D53E4"/>
    <w:rsid w:val="009E7CC7"/>
    <w:rsid w:val="00A01FA8"/>
    <w:rsid w:val="00A028AA"/>
    <w:rsid w:val="00A32071"/>
    <w:rsid w:val="00A44079"/>
    <w:rsid w:val="00A46127"/>
    <w:rsid w:val="00A53A67"/>
    <w:rsid w:val="00A64E78"/>
    <w:rsid w:val="00A938F1"/>
    <w:rsid w:val="00A97D1D"/>
    <w:rsid w:val="00AA2CF1"/>
    <w:rsid w:val="00AA6083"/>
    <w:rsid w:val="00AE1F24"/>
    <w:rsid w:val="00B10E26"/>
    <w:rsid w:val="00B12CCD"/>
    <w:rsid w:val="00B25B0B"/>
    <w:rsid w:val="00B458A3"/>
    <w:rsid w:val="00B47B34"/>
    <w:rsid w:val="00B646D1"/>
    <w:rsid w:val="00B66871"/>
    <w:rsid w:val="00B67315"/>
    <w:rsid w:val="00B82340"/>
    <w:rsid w:val="00BA7381"/>
    <w:rsid w:val="00BA7FEB"/>
    <w:rsid w:val="00BB76DA"/>
    <w:rsid w:val="00BD497A"/>
    <w:rsid w:val="00BE183A"/>
    <w:rsid w:val="00BE5516"/>
    <w:rsid w:val="00BE7919"/>
    <w:rsid w:val="00BF217D"/>
    <w:rsid w:val="00C11CA5"/>
    <w:rsid w:val="00C27C64"/>
    <w:rsid w:val="00C503C2"/>
    <w:rsid w:val="00C51EAD"/>
    <w:rsid w:val="00C74718"/>
    <w:rsid w:val="00CA5E84"/>
    <w:rsid w:val="00CC63A8"/>
    <w:rsid w:val="00D13B1B"/>
    <w:rsid w:val="00D23BE4"/>
    <w:rsid w:val="00D8018B"/>
    <w:rsid w:val="00D830FA"/>
    <w:rsid w:val="00D8325A"/>
    <w:rsid w:val="00D849D1"/>
    <w:rsid w:val="00DD7914"/>
    <w:rsid w:val="00DE54D1"/>
    <w:rsid w:val="00E545E6"/>
    <w:rsid w:val="00EB4E52"/>
    <w:rsid w:val="00ED4DA4"/>
    <w:rsid w:val="00ED73E9"/>
    <w:rsid w:val="00F31820"/>
    <w:rsid w:val="00F42FE2"/>
    <w:rsid w:val="00F6083D"/>
    <w:rsid w:val="00FC0C44"/>
    <w:rsid w:val="00FC67F9"/>
    <w:rsid w:val="00FD0EB0"/>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5A4B1"/>
  <w15:docId w15:val="{3E6E1429-D48B-4D27-B336-4E4FACCB5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si-LK"/>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8" w:space="2" w:color="1F4E79"/>
      </w:pBdr>
      <w:spacing w:before="320" w:after="140"/>
      <w:outlineLvl w:val="0"/>
    </w:pPr>
    <w:rPr>
      <w:b/>
      <w:bCs/>
      <w:color w:val="1F4E79"/>
      <w:sz w:val="28"/>
      <w:szCs w:val="28"/>
    </w:rPr>
  </w:style>
  <w:style w:type="paragraph" w:styleId="Heading2">
    <w:name w:val="heading 2"/>
    <w:uiPriority w:val="9"/>
    <w:unhideWhenUsed/>
    <w:qFormat/>
    <w:pPr>
      <w:spacing w:before="240" w:after="100"/>
      <w:outlineLvl w:val="1"/>
    </w:pPr>
    <w:rPr>
      <w:b/>
      <w:bCs/>
      <w:color w:val="2E75B6"/>
      <w:sz w:val="25"/>
      <w:szCs w:val="25"/>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461FDD"/>
    <w:rPr>
      <w:rFonts w:asciiTheme="minorHAnsi" w:eastAsiaTheme="minorEastAsia"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525A"/>
    <w:pPr>
      <w:tabs>
        <w:tab w:val="center" w:pos="4680"/>
        <w:tab w:val="right" w:pos="9360"/>
      </w:tabs>
    </w:pPr>
  </w:style>
  <w:style w:type="character" w:customStyle="1" w:styleId="HeaderChar">
    <w:name w:val="Header Char"/>
    <w:basedOn w:val="DefaultParagraphFont"/>
    <w:link w:val="Header"/>
    <w:uiPriority w:val="99"/>
    <w:rsid w:val="001C525A"/>
  </w:style>
  <w:style w:type="paragraph" w:styleId="Footer">
    <w:name w:val="footer"/>
    <w:basedOn w:val="Normal"/>
    <w:link w:val="FooterChar"/>
    <w:uiPriority w:val="99"/>
    <w:unhideWhenUsed/>
    <w:rsid w:val="001C525A"/>
    <w:pPr>
      <w:tabs>
        <w:tab w:val="center" w:pos="4680"/>
        <w:tab w:val="right" w:pos="9360"/>
      </w:tabs>
    </w:pPr>
  </w:style>
  <w:style w:type="character" w:customStyle="1" w:styleId="FooterChar">
    <w:name w:val="Footer Char"/>
    <w:basedOn w:val="DefaultParagraphFont"/>
    <w:link w:val="Footer"/>
    <w:uiPriority w:val="99"/>
    <w:rsid w:val="001C525A"/>
  </w:style>
  <w:style w:type="character" w:styleId="UnresolvedMention">
    <w:name w:val="Unresolved Mention"/>
    <w:basedOn w:val="DefaultParagraphFont"/>
    <w:uiPriority w:val="99"/>
    <w:semiHidden/>
    <w:unhideWhenUsed/>
    <w:rsid w:val="00252B6B"/>
    <w:rPr>
      <w:color w:val="605E5C"/>
      <w:shd w:val="clear" w:color="auto" w:fill="E1DFDD"/>
    </w:rPr>
  </w:style>
  <w:style w:type="paragraph" w:styleId="NoSpacing">
    <w:name w:val="No Spacing"/>
    <w:link w:val="NoSpacingChar"/>
    <w:uiPriority w:val="1"/>
    <w:qFormat/>
    <w:rsid w:val="00524FF7"/>
    <w:rPr>
      <w:rFonts w:asciiTheme="minorHAnsi" w:eastAsiaTheme="minorHAnsi" w:hAnsiTheme="minorHAnsi" w:cstheme="minorBidi"/>
      <w:kern w:val="2"/>
      <w:sz w:val="22"/>
      <w:szCs w:val="22"/>
      <w:lang w:bidi="ar-SA"/>
      <w14:ligatures w14:val="standardContextual"/>
    </w:rPr>
  </w:style>
  <w:style w:type="character" w:customStyle="1" w:styleId="NoSpacingChar">
    <w:name w:val="No Spacing Char"/>
    <w:link w:val="NoSpacing"/>
    <w:uiPriority w:val="1"/>
    <w:rsid w:val="00524FF7"/>
    <w:rPr>
      <w:rFonts w:asciiTheme="minorHAnsi" w:eastAsiaTheme="minorHAnsi" w:hAnsiTheme="minorHAnsi" w:cstheme="minorBidi"/>
      <w:kern w:val="2"/>
      <w:sz w:val="22"/>
      <w:szCs w:val="22"/>
      <w:lang w:bidi="ar-SA"/>
      <w14:ligatures w14:val="standardContextual"/>
    </w:rPr>
  </w:style>
  <w:style w:type="paragraph" w:styleId="NormalWeb">
    <w:name w:val="Normal (Web)"/>
    <w:basedOn w:val="Normal"/>
    <w:uiPriority w:val="99"/>
    <w:semiHidden/>
    <w:unhideWhenUsed/>
    <w:rsid w:val="0047422D"/>
    <w:pPr>
      <w:spacing w:before="100" w:beforeAutospacing="1" w:after="100" w:afterAutospacing="1"/>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234B8"/>
    <w:rPr>
      <w:b/>
      <w:bCs/>
    </w:rPr>
  </w:style>
  <w:style w:type="character" w:customStyle="1" w:styleId="CommentSubjectChar">
    <w:name w:val="Comment Subject Char"/>
    <w:basedOn w:val="CommentTextChar"/>
    <w:link w:val="CommentSubject"/>
    <w:uiPriority w:val="99"/>
    <w:semiHidden/>
    <w:rsid w:val="005234B8"/>
    <w:rPr>
      <w:b/>
      <w:bCs/>
      <w:sz w:val="20"/>
      <w:szCs w:val="20"/>
    </w:rPr>
  </w:style>
  <w:style w:type="character" w:styleId="Strong">
    <w:name w:val="Strong"/>
    <w:basedOn w:val="DefaultParagraphFont"/>
    <w:uiPriority w:val="22"/>
    <w:qFormat/>
    <w:rsid w:val="00C503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80/14672710802631152" TargetMode="External"/><Relationship Id="rId26" Type="http://schemas.openxmlformats.org/officeDocument/2006/relationships/hyperlink" Target="https://doi.org/10.1016/j.ssaho.2025.102297" TargetMode="External"/><Relationship Id="rId21" Type="http://schemas.openxmlformats.org/officeDocument/2006/relationships/hyperlink" Target="https://doi.org/10.4038/ucr.v1i1.32"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4324/9780203771587" TargetMode="External"/><Relationship Id="rId25" Type="http://schemas.openxmlformats.org/officeDocument/2006/relationships/hyperlink" Target="https://doi.org/10.1007/s10389-023-02030-z"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s://doi.org/10.1177/21632324251343691" TargetMode="External"/><Relationship Id="rId29" Type="http://schemas.openxmlformats.org/officeDocument/2006/relationships/hyperlink" Target="https://doi.org/10.2139/ssrn.29103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2307/2060063"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doi.org/10.1371/journal.pone.0300343" TargetMode="External"/><Relationship Id="rId28" Type="http://schemas.openxmlformats.org/officeDocument/2006/relationships/hyperlink" Target="https://doi.org/10.2307/2938462"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2307/1807860" TargetMode="External"/><Relationship Id="rId31" Type="http://schemas.openxmlformats.org/officeDocument/2006/relationships/hyperlink" Target="https://doi.org/10.5296/ber.v10i2.1698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1016/j.polsoc.2010.09.001" TargetMode="External"/><Relationship Id="rId27" Type="http://schemas.openxmlformats.org/officeDocument/2006/relationships/hyperlink" Target="https://doi.org/10.1016/j.ijedudev.2025.103285" TargetMode="External"/><Relationship Id="rId30" Type="http://schemas.openxmlformats.org/officeDocument/2006/relationships/hyperlink" Target="https://doi.org/10.2307/1805591" TargetMode="External"/><Relationship Id="rId35" Type="http://schemas.openxmlformats.org/officeDocument/2006/relationships/header" Target="header6.xml"/><Relationship Id="rId8" Type="http://schemas.openxmlformats.org/officeDocument/2006/relationships/header" Target="head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Desktop\Migration_Survey_Cha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SUS\Desktop\Migration_Survey_Chart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Data!$B$2</c:f>
              <c:strCache>
                <c:ptCount val="1"/>
                <c:pt idx="0">
                  <c:v>Percentage of Respondents (%)</c:v>
                </c:pt>
              </c:strCache>
            </c:strRef>
          </c:tx>
          <c:spPr>
            <a:solidFill>
              <a:schemeClr val="accent1"/>
            </a:solidFill>
            <a:ln>
              <a:noFill/>
            </a:ln>
            <a:effectLst/>
          </c:spPr>
          <c:invertIfNegative val="0"/>
          <c:dLbls>
            <c:dLbl>
              <c:idx val="0"/>
              <c:tx>
                <c:rich>
                  <a:bodyPr/>
                  <a:lstStyle/>
                  <a:p>
                    <a:fld id="{50F951F0-B8C9-4EC8-98D1-21EFC59FC30C}" type="VALUE">
                      <a:rPr lang="en-US"/>
                      <a:pPr/>
                      <a:t>[VALUE]</a:t>
                    </a:fld>
                    <a:r>
                      <a:rPr lang="en-US"/>
                      <a:t>%</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FF06-4FE9-9923-8190E4E1C75F}"/>
                </c:ext>
              </c:extLst>
            </c:dLbl>
            <c:dLbl>
              <c:idx val="1"/>
              <c:tx>
                <c:rich>
                  <a:bodyPr/>
                  <a:lstStyle/>
                  <a:p>
                    <a:fld id="{50631092-D3E8-4F19-B76E-87B5FDC99D7D}" type="VALUE">
                      <a:rPr lang="en-US"/>
                      <a:pPr/>
                      <a:t>[VALUE]</a:t>
                    </a:fld>
                    <a:r>
                      <a:rPr lang="en-US"/>
                      <a:t>%</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F06-4FE9-9923-8190E4E1C75F}"/>
                </c:ext>
              </c:extLst>
            </c:dLbl>
            <c:dLbl>
              <c:idx val="2"/>
              <c:tx>
                <c:rich>
                  <a:bodyPr/>
                  <a:lstStyle/>
                  <a:p>
                    <a:fld id="{D5112E0F-436E-40B1-B58A-58E9485112AE}" type="VALUE">
                      <a:rPr lang="en-US"/>
                      <a:pPr/>
                      <a:t>[VALUE]</a:t>
                    </a:fld>
                    <a:r>
                      <a:rPr lang="en-US"/>
                      <a:t>%</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FF06-4FE9-9923-8190E4E1C75F}"/>
                </c:ext>
              </c:extLst>
            </c:dLbl>
            <c:dLbl>
              <c:idx val="3"/>
              <c:tx>
                <c:rich>
                  <a:bodyPr/>
                  <a:lstStyle/>
                  <a:p>
                    <a:fld id="{D8516456-C37F-4180-AAA7-3942ED011B9A}" type="VALUE">
                      <a:rPr lang="en-US"/>
                      <a:pPr/>
                      <a:t>[VALUE]</a:t>
                    </a:fld>
                    <a:r>
                      <a:rPr lang="en-US"/>
                      <a:t>%</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F06-4FE9-9923-8190E4E1C75F}"/>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Data!$A$3:$A$6</c:f>
              <c:strCache>
                <c:ptCount val="4"/>
                <c:pt idx="0">
                  <c:v>Economic Factors</c:v>
                </c:pt>
                <c:pt idx="1">
                  <c:v>Educational Opportunities</c:v>
                </c:pt>
                <c:pt idx="2">
                  <c:v>Family Related Factors</c:v>
                </c:pt>
                <c:pt idx="3">
                  <c:v>Personal Development</c:v>
                </c:pt>
              </c:strCache>
            </c:strRef>
          </c:cat>
          <c:val>
            <c:numRef>
              <c:f>Data!$B$3:$B$6</c:f>
              <c:numCache>
                <c:formatCode>0.0</c:formatCode>
                <c:ptCount val="4"/>
                <c:pt idx="0">
                  <c:v>63.6</c:v>
                </c:pt>
                <c:pt idx="1">
                  <c:v>13.6</c:v>
                </c:pt>
                <c:pt idx="2">
                  <c:v>13.6</c:v>
                </c:pt>
                <c:pt idx="3">
                  <c:v>9.1</c:v>
                </c:pt>
              </c:numCache>
            </c:numRef>
          </c:val>
          <c:extLst>
            <c:ext xmlns:c16="http://schemas.microsoft.com/office/drawing/2014/chart" uri="{C3380CC4-5D6E-409C-BE32-E72D297353CC}">
              <c16:uniqueId val="{00000004-FF06-4FE9-9923-8190E4E1C75F}"/>
            </c:ext>
          </c:extLst>
        </c:ser>
        <c:dLbls>
          <c:showLegendKey val="0"/>
          <c:showVal val="1"/>
          <c:showCatName val="0"/>
          <c:showSerName val="0"/>
          <c:showPercent val="0"/>
          <c:showBubbleSize val="0"/>
        </c:dLbls>
        <c:gapWidth val="150"/>
        <c:overlap val="100"/>
        <c:axId val="523349064"/>
        <c:axId val="523350144"/>
      </c:barChart>
      <c:catAx>
        <c:axId val="523349064"/>
        <c:scaling>
          <c:orientation val="minMax"/>
        </c:scaling>
        <c:delete val="0"/>
        <c:axPos val="l"/>
        <c:title>
          <c:tx>
            <c:rich>
              <a:bodyPr rot="-5400000" spcFirstLastPara="1" vertOverflow="ellipsis" vert="horz" wrap="square" anchor="ctr" anchorCtr="1"/>
              <a:lstStyle/>
              <a:p>
                <a:pPr>
                  <a:defRPr sz="1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800">
                    <a:solidFill>
                      <a:schemeClr val="tx1"/>
                    </a:solidFill>
                    <a:latin typeface="Times New Roman" panose="02020603050405020304" pitchFamily="18" charset="0"/>
                    <a:cs typeface="Times New Roman" panose="02020603050405020304" pitchFamily="18" charset="0"/>
                  </a:rPr>
                  <a:t>Motivation</a:t>
                </a:r>
              </a:p>
            </c:rich>
          </c:tx>
          <c:overlay val="0"/>
          <c:spPr>
            <a:noFill/>
            <a:ln>
              <a:noFill/>
            </a:ln>
            <a:effectLst/>
          </c:spPr>
          <c:txPr>
            <a:bodyPr rot="-5400000" spcFirstLastPara="1" vertOverflow="ellipsis" vert="horz" wrap="square" anchor="ctr" anchorCtr="1"/>
            <a:lstStyle/>
            <a:p>
              <a:pPr>
                <a:defRPr sz="1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23350144"/>
        <c:crosses val="autoZero"/>
        <c:auto val="1"/>
        <c:lblAlgn val="ctr"/>
        <c:lblOffset val="0"/>
        <c:noMultiLvlLbl val="0"/>
      </c:catAx>
      <c:valAx>
        <c:axId val="5233501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lgn="ctr" rtl="0">
                  <a:defRPr lang="en-US" sz="1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800" b="0" i="0" u="none" strike="noStrike" kern="1200" baseline="0">
                    <a:solidFill>
                      <a:schemeClr val="tx1"/>
                    </a:solidFill>
                    <a:latin typeface="Times New Roman" panose="02020603050405020304" pitchFamily="18" charset="0"/>
                    <a:ea typeface="+mn-ea"/>
                    <a:cs typeface="Times New Roman" panose="02020603050405020304" pitchFamily="18" charset="0"/>
                  </a:rPr>
                  <a:t>Respondents (%)</a:t>
                </a:r>
              </a:p>
            </c:rich>
          </c:tx>
          <c:layout>
            <c:manualLayout>
              <c:xMode val="edge"/>
              <c:yMode val="edge"/>
              <c:x val="0.39675559717709724"/>
              <c:y val="0.83905380333951762"/>
            </c:manualLayout>
          </c:layout>
          <c:overlay val="0"/>
          <c:spPr>
            <a:noFill/>
            <a:ln>
              <a:noFill/>
            </a:ln>
            <a:effectLst/>
          </c:spPr>
          <c:txPr>
            <a:bodyPr rot="0" spcFirstLastPara="1" vertOverflow="ellipsis" vert="horz" wrap="square" anchor="ctr" anchorCtr="1"/>
            <a:lstStyle/>
            <a:p>
              <a:pPr algn="ctr" rtl="0">
                <a:defRPr lang="en-US" sz="1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233490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Charts!$B$2</c:f>
              <c:strCache>
                <c:ptCount val="1"/>
                <c:pt idx="0">
                  <c:v>Push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Charts!$A$3:$A$7</c:f>
              <c:strCache>
                <c:ptCount val="5"/>
                <c:pt idx="0">
                  <c:v>Income dissatisfaction</c:v>
                </c:pt>
                <c:pt idx="1">
                  <c:v>Poor quality of life</c:v>
                </c:pt>
                <c:pt idx="2">
                  <c:v>Unstable political env.</c:v>
                </c:pt>
                <c:pt idx="3">
                  <c:v>Poor job opportunities</c:v>
                </c:pt>
                <c:pt idx="4">
                  <c:v>High cost of living</c:v>
                </c:pt>
              </c:strCache>
            </c:strRef>
          </c:cat>
          <c:val>
            <c:numRef>
              <c:f>Charts!$B$3:$B$7</c:f>
              <c:numCache>
                <c:formatCode>0.0</c:formatCode>
                <c:ptCount val="5"/>
                <c:pt idx="0">
                  <c:v>95.5</c:v>
                </c:pt>
                <c:pt idx="1">
                  <c:v>45.5</c:v>
                </c:pt>
                <c:pt idx="2">
                  <c:v>90.9</c:v>
                </c:pt>
                <c:pt idx="3">
                  <c:v>36.4</c:v>
                </c:pt>
                <c:pt idx="4">
                  <c:v>63.6</c:v>
                </c:pt>
              </c:numCache>
            </c:numRef>
          </c:val>
          <c:extLst>
            <c:ext xmlns:c16="http://schemas.microsoft.com/office/drawing/2014/chart" uri="{C3380CC4-5D6E-409C-BE32-E72D297353CC}">
              <c16:uniqueId val="{00000000-8297-4E0E-9BAD-26C99C627EC9}"/>
            </c:ext>
          </c:extLst>
        </c:ser>
        <c:ser>
          <c:idx val="1"/>
          <c:order val="1"/>
          <c:tx>
            <c:strRef>
              <c:f>Charts!$C$2</c:f>
              <c:strCache>
                <c:ptCount val="1"/>
                <c:pt idx="0">
                  <c:v>Pull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Charts!$A$3:$A$7</c:f>
              <c:strCache>
                <c:ptCount val="5"/>
                <c:pt idx="0">
                  <c:v>Income dissatisfaction</c:v>
                </c:pt>
                <c:pt idx="1">
                  <c:v>Poor quality of life</c:v>
                </c:pt>
                <c:pt idx="2">
                  <c:v>Unstable political env.</c:v>
                </c:pt>
                <c:pt idx="3">
                  <c:v>Poor job opportunities</c:v>
                </c:pt>
                <c:pt idx="4">
                  <c:v>High cost of living</c:v>
                </c:pt>
              </c:strCache>
            </c:strRef>
          </c:cat>
          <c:val>
            <c:numRef>
              <c:f>Charts!$C$3:$C$7</c:f>
              <c:numCache>
                <c:formatCode>0.0</c:formatCode>
                <c:ptCount val="5"/>
                <c:pt idx="0">
                  <c:v>90.9</c:v>
                </c:pt>
                <c:pt idx="1">
                  <c:v>72.7</c:v>
                </c:pt>
                <c:pt idx="2">
                  <c:v>68.2</c:v>
                </c:pt>
                <c:pt idx="3">
                  <c:v>81.8</c:v>
                </c:pt>
                <c:pt idx="4">
                  <c:v>77.3</c:v>
                </c:pt>
              </c:numCache>
            </c:numRef>
          </c:val>
          <c:extLst>
            <c:ext xmlns:c16="http://schemas.microsoft.com/office/drawing/2014/chart" uri="{C3380CC4-5D6E-409C-BE32-E72D297353CC}">
              <c16:uniqueId val="{00000001-8297-4E0E-9BAD-26C99C627EC9}"/>
            </c:ext>
          </c:extLst>
        </c:ser>
        <c:dLbls>
          <c:dLblPos val="outEnd"/>
          <c:showLegendKey val="0"/>
          <c:showVal val="1"/>
          <c:showCatName val="0"/>
          <c:showSerName val="0"/>
          <c:showPercent val="0"/>
          <c:showBubbleSize val="0"/>
        </c:dLbls>
        <c:gapWidth val="182"/>
        <c:axId val="682073368"/>
        <c:axId val="682065808"/>
      </c:barChart>
      <c:catAx>
        <c:axId val="6820733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50">
                    <a:latin typeface="Times New Roman" panose="02020603050405020304" pitchFamily="18" charset="0"/>
                    <a:cs typeface="Times New Roman" panose="02020603050405020304" pitchFamily="18" charset="0"/>
                  </a:rPr>
                  <a:t>Pull</a:t>
                </a:r>
                <a:r>
                  <a:rPr lang="en-US" sz="1050" baseline="0">
                    <a:latin typeface="Times New Roman" panose="02020603050405020304" pitchFamily="18" charset="0"/>
                    <a:cs typeface="Times New Roman" panose="02020603050405020304" pitchFamily="18" charset="0"/>
                  </a:rPr>
                  <a:t> - Push Factors</a:t>
                </a:r>
                <a:endParaRPr lang="en-US" sz="105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2065808"/>
        <c:crosses val="autoZero"/>
        <c:auto val="1"/>
        <c:lblAlgn val="ctr"/>
        <c:lblOffset val="100"/>
        <c:noMultiLvlLbl val="0"/>
      </c:catAx>
      <c:valAx>
        <c:axId val="682065808"/>
        <c:scaling>
          <c:orientation val="minMax"/>
        </c:scaling>
        <c:delete val="0"/>
        <c:axPos val="b"/>
        <c:majorGridlines>
          <c:spPr>
            <a:ln w="9525" cap="flat" cmpd="sng" algn="ctr">
              <a:solidFill>
                <a:schemeClr val="tx1">
                  <a:lumMod val="15000"/>
                  <a:lumOff val="85000"/>
                </a:schemeClr>
              </a:solidFill>
              <a:round/>
            </a:ln>
            <a:effectLst/>
          </c:spPr>
        </c:majorGridlines>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2073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BE4ED-9BF1-4354-B578-AA8D8FA191CC}">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34</TotalTime>
  <Pages>18</Pages>
  <Words>5884</Words>
  <Characters>33542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Editor-90</cp:lastModifiedBy>
  <cp:revision>13</cp:revision>
  <cp:lastPrinted>2026-07-15T07:00:00Z</cp:lastPrinted>
  <dcterms:created xsi:type="dcterms:W3CDTF">2026-08-15T10:23:00Z</dcterms:created>
  <dcterms:modified xsi:type="dcterms:W3CDTF">2026-08-24T11:23:00Z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d0707457-7eab-401d-b75c-e09dc7c6224b</vt:lpwstr>
  </property>
</Properties>
</file>