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C7D95" w14:textId="77777777" w:rsidR="00775582" w:rsidRPr="00775582" w:rsidRDefault="00775582" w:rsidP="00412D3E">
      <w:pPr>
        <w:spacing w:before="100" w:beforeAutospacing="1" w:after="100" w:afterAutospacing="1"/>
        <w:jc w:val="both"/>
        <w:rPr>
          <w:b/>
          <w:bCs/>
          <w:i/>
          <w:iCs/>
          <w:sz w:val="32"/>
          <w:szCs w:val="32"/>
          <w:u w:val="single"/>
          <w:lang w:val="en-US"/>
        </w:rPr>
      </w:pPr>
      <w:r w:rsidRPr="00775582">
        <w:rPr>
          <w:b/>
          <w:bCs/>
          <w:i/>
          <w:iCs/>
          <w:sz w:val="32"/>
          <w:szCs w:val="32"/>
          <w:u w:val="single"/>
          <w:lang w:val="en-US"/>
        </w:rPr>
        <w:t>Review Article</w:t>
      </w:r>
    </w:p>
    <w:p w14:paraId="686AA9FF" w14:textId="77777777" w:rsidR="00B22ED9" w:rsidRDefault="00B22ED9" w:rsidP="00412D3E">
      <w:pPr>
        <w:pStyle w:val="Heading1"/>
        <w:spacing w:before="100" w:beforeAutospacing="1" w:after="100" w:afterAutospacing="1"/>
        <w:jc w:val="both"/>
        <w:rPr>
          <w:b/>
          <w:bCs/>
          <w:color w:val="auto"/>
        </w:rPr>
      </w:pPr>
      <w:r w:rsidRPr="00B22ED9">
        <w:rPr>
          <w:b/>
          <w:bCs/>
          <w:color w:val="auto"/>
        </w:rPr>
        <w:t xml:space="preserve">Investigating the Impact of Artificial Intelligence and Digital Platforms on Language Education in Bangladeshi Higher Education Institutions: Prospects and Obstacles </w:t>
      </w:r>
    </w:p>
    <w:p w14:paraId="5F0898EA" w14:textId="77777777" w:rsidR="00B22ED9" w:rsidRDefault="00B22ED9" w:rsidP="00412D3E">
      <w:pPr>
        <w:pStyle w:val="Heading1"/>
        <w:spacing w:before="100" w:beforeAutospacing="1" w:after="100" w:afterAutospacing="1"/>
        <w:jc w:val="both"/>
        <w:rPr>
          <w:b/>
          <w:bCs/>
          <w:color w:val="auto"/>
        </w:rPr>
      </w:pPr>
    </w:p>
    <w:p w14:paraId="67DF3DD2" w14:textId="77777777" w:rsidR="00D76725" w:rsidRDefault="00000000" w:rsidP="00412D3E">
      <w:pPr>
        <w:pStyle w:val="Heading1"/>
        <w:spacing w:before="100" w:beforeAutospacing="1" w:after="100" w:afterAutospacing="1"/>
        <w:jc w:val="both"/>
      </w:pPr>
      <w:r>
        <w:rPr>
          <w:b/>
          <w:bCs/>
          <w:color w:val="000000"/>
          <w:sz w:val="28"/>
          <w:szCs w:val="28"/>
        </w:rPr>
        <w:t>Abstract</w:t>
      </w:r>
    </w:p>
    <w:p w14:paraId="7A5381F1" w14:textId="77777777" w:rsidR="00D76725" w:rsidRDefault="00000000" w:rsidP="00412D3E">
      <w:pPr>
        <w:spacing w:before="100" w:beforeAutospacing="1" w:after="100" w:afterAutospacing="1"/>
        <w:jc w:val="both"/>
      </w:pPr>
      <w:r>
        <w:rPr>
          <w:sz w:val="24"/>
          <w:szCs w:val="24"/>
        </w:rPr>
        <w:t>Generative artificial intelligence and institutional digital platforms have entered university language classrooms in Bangladesh faster than the research base needed to evaluate them. This article critically reviews the evidence produced within and about Bangladeshi higher education, reading it against the wider international literature on computer-assisted language learning, automated feedback and generative writing tools. Sources were identified through structured searching of openly accessible scholarly indexes and citation databases, supplemented by backward and forward citation tracing and by examination of authoritative institutional documents, with the final search conducted on 5 June 2026. The synthesis is organised around five analytical problems: the structural and sociolinguistic conditions that precede adoption; the epistemic limits of the perception and acceptance studies that dominate the national corpus; the contested evidence on writing and feedback; the near-absence of evidence on speaking, interaction and multilingual practice; and the governance vacuum surrounding academic integrity. Three conclusions are reasonably secure. Adoption among Bangladeshi students and teachers is already extensive and largely informal; teacher preparedness is constrained by institutional rather than individual factors; and no study conducted in Bangladesh has yet measured language learning outcomes under controlled conditions. Claims about improved writing, speaking or engagement in this setting therefore rest almost entirely on self-report. The international experimental literature on which such claims are implicitly modelled reports effects that are heterogeneous, sensitive to learner digital literacy, and accompanied by evidence of cognitive offloading and reduced authorial control. The review argues that the prevailing framing of artificial intelligence as an access-equalising technology is inadequately supported in a system already stratified by uneven connectivity, examination-oriented assessment and contested medium-of-instruction policy. Priorities for subsequent work include outcome-based designs anchored in Bangladeshi curricula, investigation of tool performance on Bangla-English bilingual production, and empirical study of institutional policy formation rather than its absence.</w:t>
      </w:r>
    </w:p>
    <w:p w14:paraId="70AD06E4" w14:textId="77777777" w:rsidR="00D76725" w:rsidRDefault="00000000" w:rsidP="00412D3E">
      <w:pPr>
        <w:pStyle w:val="Heading1"/>
        <w:spacing w:before="100" w:beforeAutospacing="1" w:after="100" w:afterAutospacing="1"/>
        <w:jc w:val="both"/>
      </w:pPr>
      <w:r>
        <w:rPr>
          <w:b/>
          <w:bCs/>
          <w:color w:val="000000"/>
          <w:sz w:val="28"/>
          <w:szCs w:val="28"/>
        </w:rPr>
        <w:t>Keywords</w:t>
      </w:r>
    </w:p>
    <w:p w14:paraId="38EE3AE9" w14:textId="77777777" w:rsidR="00D76725" w:rsidRDefault="00000000" w:rsidP="00412D3E">
      <w:pPr>
        <w:spacing w:before="100" w:beforeAutospacing="1" w:after="100" w:afterAutospacing="1"/>
        <w:jc w:val="both"/>
      </w:pPr>
      <w:r>
        <w:rPr>
          <w:sz w:val="24"/>
          <w:szCs w:val="24"/>
        </w:rPr>
        <w:t>artificial intelligence in education; English language teaching; Bangladesh; higher education; generative artificial intelligence; automated writing evaluation; educational technology policy; digital divide</w:t>
      </w:r>
    </w:p>
    <w:p w14:paraId="2656CDA5" w14:textId="77777777" w:rsidR="00D76725" w:rsidRDefault="00000000" w:rsidP="00412D3E">
      <w:pPr>
        <w:pStyle w:val="Heading1"/>
        <w:spacing w:before="100" w:beforeAutospacing="1" w:after="100" w:afterAutospacing="1"/>
        <w:jc w:val="both"/>
      </w:pPr>
      <w:r>
        <w:rPr>
          <w:b/>
          <w:bCs/>
          <w:color w:val="000000"/>
          <w:sz w:val="28"/>
          <w:szCs w:val="28"/>
        </w:rPr>
        <w:t>1. Introduction</w:t>
      </w:r>
    </w:p>
    <w:p w14:paraId="6B1BF3FA" w14:textId="77777777" w:rsidR="00D76725" w:rsidRDefault="00000000" w:rsidP="00412D3E">
      <w:pPr>
        <w:spacing w:before="100" w:beforeAutospacing="1" w:after="100" w:afterAutospacing="1"/>
        <w:jc w:val="both"/>
      </w:pPr>
      <w:r>
        <w:rPr>
          <w:sz w:val="24"/>
          <w:szCs w:val="24"/>
        </w:rPr>
        <w:t xml:space="preserve">English occupies a position in Bangladeshi higher education that is simultaneously central and unstable. It is a compulsory school subject, a gatekeeper to graduate employment, the declared medium of instruction across most private universities and across the science, engineering and </w:t>
      </w:r>
      <w:r>
        <w:rPr>
          <w:sz w:val="24"/>
          <w:szCs w:val="24"/>
        </w:rPr>
        <w:lastRenderedPageBreak/>
        <w:t xml:space="preserve">business faculties of many public ones, and a persistent site of policy contestation (Chowdhury &amp; Kabir, 2014; Hamid, 2010; Hamid et al., 2013; Rahman et al., 2019). The institutional commitment to English has not translated into comparable outcomes. Studies of tertiary learners report weak spoken proficiency and limited academic writing capacity even after a decade or more of formal instruction (Islam &amp; </w:t>
      </w:r>
      <w:proofErr w:type="spellStart"/>
      <w:r>
        <w:rPr>
          <w:sz w:val="24"/>
          <w:szCs w:val="24"/>
        </w:rPr>
        <w:t>Stapa</w:t>
      </w:r>
      <w:proofErr w:type="spellEnd"/>
      <w:r>
        <w:rPr>
          <w:sz w:val="24"/>
          <w:szCs w:val="24"/>
        </w:rPr>
        <w:t>, 2021), an assessment regime whose backwash rewards memorisation over communicative competence (Ali &amp; Hamid, 2020; Islam et al., 2021), and medium-of-instruction arrangements that in practice divide student cohorts by prior schooling and socio-economic position (Karim et al., 2023; Rahman et al., 2020; Sultana &amp; Fang, 2024). Classroom practice frequently departs from official policy, with translanguaging serving as an unacknowledged resource for knowledge construction rather than an endorsed pedagogy (Rafi &amp; Morgan, 2023; Rahman &amp; Hu, 2025).</w:t>
      </w:r>
    </w:p>
    <w:p w14:paraId="2A6BB123" w14:textId="77777777" w:rsidR="00D76725" w:rsidRDefault="00000000" w:rsidP="00412D3E">
      <w:pPr>
        <w:spacing w:before="100" w:beforeAutospacing="1" w:after="100" w:afterAutospacing="1"/>
        <w:jc w:val="both"/>
      </w:pPr>
      <w:r>
        <w:rPr>
          <w:sz w:val="24"/>
          <w:szCs w:val="24"/>
        </w:rPr>
        <w:t>Digital technology entered this system incrementally and then abruptly. Early work examined mobile telephony as an instructional resource in university English classrooms (Begum, 2011), and later studies documented technology-assisted vocabulary programmes at tertiary level (Hasan et al., 2022) and blended arrangements in undergraduate language provision (Rabbi et al., 2024). The pandemic converted these experiments into system-wide obligation. Emergency remote instruction exposed rather than resolved the underlying constraints, generating evidence of uneven connectivity, device scarcity and psychological strain among undergraduates (Badiuzzaman et al., 2021; Saha et al., 2021), contested learning loss estimates (Asadullah &amp; Bhattacharjee, 2022), mixed institutional perceptions of online delivery (Rouf et al., 2024), and difficult reversion to campus teaching once restrictions lifted (</w:t>
      </w:r>
      <w:proofErr w:type="spellStart"/>
      <w:r>
        <w:rPr>
          <w:sz w:val="24"/>
          <w:szCs w:val="24"/>
        </w:rPr>
        <w:t>Mojumder</w:t>
      </w:r>
      <w:proofErr w:type="spellEnd"/>
      <w:r>
        <w:rPr>
          <w:sz w:val="24"/>
          <w:szCs w:val="24"/>
        </w:rPr>
        <w:t xml:space="preserve"> et al., 2025). The subsequent release of publicly accessible large language models added a second discontinuity, one that differs from earlier technologies because the capability it distributes is the production of fluent English text.</w:t>
      </w:r>
    </w:p>
    <w:p w14:paraId="7CE4E842" w14:textId="7ACA1DA7" w:rsidR="008A717F" w:rsidRPr="00412D3E" w:rsidRDefault="00000000" w:rsidP="00412D3E">
      <w:pPr>
        <w:spacing w:before="100" w:beforeAutospacing="1" w:after="100" w:afterAutospacing="1"/>
        <w:jc w:val="both"/>
      </w:pPr>
      <w:r>
        <w:rPr>
          <w:sz w:val="24"/>
          <w:szCs w:val="24"/>
        </w:rPr>
        <w:t xml:space="preserve">International scholarship on artificial intelligence in language education expanded rapidly across the same period. Bibliometric mapping shows sustained growth in applications to second language teaching and applied linguistics from the mid-1990s, clustering around natural language processing, robot-assisted learning and dialogue systems (Kartal &amp; Yeşilyurt, 2024). Systematic and scoping reviews have since consolidated the generative phase of this work (Lo et al., 2024; Qiao et al., 2025; Wang et al., 2025; </w:t>
      </w:r>
      <w:proofErr w:type="spellStart"/>
      <w:r>
        <w:rPr>
          <w:sz w:val="24"/>
          <w:szCs w:val="24"/>
        </w:rPr>
        <w:t>Wiboolyasarin</w:t>
      </w:r>
      <w:proofErr w:type="spellEnd"/>
      <w:r>
        <w:rPr>
          <w:sz w:val="24"/>
          <w:szCs w:val="24"/>
        </w:rPr>
        <w:t xml:space="preserve"> et al., 2025), while a substantial commentary literature in applied linguistics has interrogated what the technology means for the discipline itself, ranging from claims of co-evolution between learners and machine systems (Thorne, 2024) to sceptical appraisals of whether language teaching has been rendered redundant (Handley, 2024) and to arguments that open generative models change a great deal without altering the fundamentals of second language development (Chapelle, 2024; Kern, 2024).</w:t>
      </w:r>
      <w:r w:rsidR="00412D3E">
        <w:t xml:space="preserve"> </w:t>
      </w:r>
      <w:r w:rsidRPr="00412D3E">
        <w:rPr>
          <w:bCs/>
          <w:sz w:val="24"/>
          <w:szCs w:val="24"/>
          <w:highlight w:val="yellow"/>
        </w:rPr>
        <w:t>Recent systematic reviews further indicate that the evidence base remains concentrated in higher education and Asian EFL settings, with disproportionate attention to writing and learner perceptions and with persistent concerns about technological limitations, standardising language, and the adequacy of classroom integration (Crompton et al., 2024; Lai &amp; Lee, 2024; Lee et al., 2026).</w:t>
      </w:r>
    </w:p>
    <w:p w14:paraId="74AF28BB" w14:textId="77777777" w:rsidR="00D76725" w:rsidRDefault="00000000" w:rsidP="00412D3E">
      <w:pPr>
        <w:spacing w:before="100" w:beforeAutospacing="1" w:after="100" w:afterAutospacing="1"/>
        <w:jc w:val="both"/>
      </w:pPr>
      <w:r>
        <w:rPr>
          <w:sz w:val="24"/>
          <w:szCs w:val="24"/>
        </w:rPr>
        <w:t>Bangladeshi scholarship has followed quickly. Empirical studies now report student perceptions of artificial intelligence tools in writing development (Khan et al., 2024), teacher experience of classroom deployment (Munni &amp; Rafique, 2025; Tarannum et al., 2025), teacher attitudes and anticipated professional identity change (Hasan et al., 2026a, 2026b), instructor agency in generative writing instruction (</w:t>
      </w:r>
      <w:proofErr w:type="spellStart"/>
      <w:r>
        <w:rPr>
          <w:sz w:val="24"/>
          <w:szCs w:val="24"/>
        </w:rPr>
        <w:t>Ansaree</w:t>
      </w:r>
      <w:proofErr w:type="spellEnd"/>
      <w:r>
        <w:rPr>
          <w:sz w:val="24"/>
          <w:szCs w:val="24"/>
        </w:rPr>
        <w:t xml:space="preserve"> &amp; Uddin, 2026), disciplinary staff reasoning about academic integrity in English-medium universities (Nahiyan &amp; Rahman, 2026), and determinants of adoption modelled through acceptance frameworks (Akter et al., 2026; </w:t>
      </w:r>
      <w:proofErr w:type="spellStart"/>
      <w:r>
        <w:rPr>
          <w:sz w:val="24"/>
          <w:szCs w:val="24"/>
        </w:rPr>
        <w:t>Bristi</w:t>
      </w:r>
      <w:proofErr w:type="spellEnd"/>
      <w:r>
        <w:rPr>
          <w:sz w:val="24"/>
          <w:szCs w:val="24"/>
        </w:rPr>
        <w:t xml:space="preserve"> </w:t>
      </w:r>
      <w:r>
        <w:rPr>
          <w:sz w:val="24"/>
          <w:szCs w:val="24"/>
        </w:rPr>
        <w:lastRenderedPageBreak/>
        <w:t>et al., 2025; Kibria et al., 2026). The corpus is growing, recent and largely descriptive. Its accumulation has not yet been accompanied by an appraisal of what it collectively establishes.</w:t>
      </w:r>
    </w:p>
    <w:p w14:paraId="5464B80D" w14:textId="5EBFFDFC" w:rsidR="008A717F" w:rsidRPr="00412D3E" w:rsidRDefault="00000000" w:rsidP="00412D3E">
      <w:pPr>
        <w:spacing w:before="100" w:beforeAutospacing="1" w:after="100" w:afterAutospacing="1"/>
        <w:jc w:val="both"/>
      </w:pPr>
      <w:r>
        <w:rPr>
          <w:sz w:val="24"/>
          <w:szCs w:val="24"/>
        </w:rPr>
        <w:t>Existing reviews do not fill that role. The most substantial pre-generative synthesis covers work published between 2015 and 2021 and therefore predates the technologies now in use (</w:t>
      </w:r>
      <w:proofErr w:type="spellStart"/>
      <w:r>
        <w:rPr>
          <w:sz w:val="24"/>
          <w:szCs w:val="24"/>
        </w:rPr>
        <w:t>Sharadgah</w:t>
      </w:r>
      <w:proofErr w:type="spellEnd"/>
      <w:r>
        <w:rPr>
          <w:sz w:val="24"/>
          <w:szCs w:val="24"/>
        </w:rPr>
        <w:t xml:space="preserve"> &amp; Sa'di, 2022). More recent syntheses are analytically valuable but geographically skewed. A scoping review of forty-three studies published in indexed journals between 2022 and 2024 found concentration in Chinese higher education, heavy dependence on a single commercial model, inconsistent reporting of tool versions and prompts, and absence of explicit theoretical framing in almost half of the sample (Wang et al., 2025). A systematic review restricted to experimental and pre-post designs between 2014 and 2023 found university students and the skills of speaking and writing to be the dominant foci, with few studies grounded in educational theory and effectiveness remaining inconclusive (Qiao et al., 2025). A review of chatbot studies reported improvement in productive skills alongside limitations in emotional responsiveness and complex language processing (</w:t>
      </w:r>
      <w:proofErr w:type="spellStart"/>
      <w:r>
        <w:rPr>
          <w:sz w:val="24"/>
          <w:szCs w:val="24"/>
        </w:rPr>
        <w:t>Wiboolyasarin</w:t>
      </w:r>
      <w:proofErr w:type="spellEnd"/>
      <w:r>
        <w:rPr>
          <w:sz w:val="24"/>
          <w:szCs w:val="24"/>
        </w:rPr>
        <w:t xml:space="preserve"> et al., 2025). None of these treats low- and middle-income settings as an analytical category, an omission noted directly in work on teacher-facing applications in resource-constrained systems (Landa-Blanco, 2026) and developed conceptually in arguments about algorithmic dependence and the concentration of educational artificial intelligence infrastructure within a small number of Global North providers (Ahmed, 2026).</w:t>
      </w:r>
      <w:r w:rsidR="00412D3E">
        <w:t xml:space="preserve"> </w:t>
      </w:r>
      <w:r w:rsidRPr="00412D3E">
        <w:rPr>
          <w:bCs/>
          <w:sz w:val="24"/>
          <w:szCs w:val="24"/>
          <w:highlight w:val="yellow"/>
        </w:rPr>
        <w:t>Recent Global Englishes research further suggests that general-purpose generative systems may default to standardised English norms unless their outputs are deliberately contextualised, reinforcing the need to examine their fit with the bilingual practices already documented in Bangladeshi universities (Lee et al., 2025).</w:t>
      </w:r>
    </w:p>
    <w:p w14:paraId="36F59C2C" w14:textId="77777777" w:rsidR="00D76725" w:rsidRDefault="00000000" w:rsidP="00412D3E">
      <w:pPr>
        <w:spacing w:before="100" w:beforeAutospacing="1" w:after="100" w:afterAutospacing="1"/>
        <w:jc w:val="both"/>
      </w:pPr>
      <w:r>
        <w:rPr>
          <w:sz w:val="24"/>
          <w:szCs w:val="24"/>
        </w:rPr>
        <w:t>A review of the Bangladeshi evidence is therefore not a matter of regional completeness. The national corpus has expanded to a size at which its internal patterns can be examined, and those patterns raise questions that the international syntheses cannot answer: whether the findings reported in Bangladesh are consistent with the international experimental record, whether the mechanisms proposed to explain benefit are plausible under Bangladeshi infrastructural and assessment conditions, and whether the methods used can support the inferences drawn from them.</w:t>
      </w:r>
    </w:p>
    <w:p w14:paraId="07750879" w14:textId="77777777" w:rsidR="00D76725" w:rsidRDefault="00000000" w:rsidP="00412D3E">
      <w:pPr>
        <w:pStyle w:val="Heading2"/>
        <w:spacing w:before="100" w:beforeAutospacing="1" w:after="100" w:afterAutospacing="1"/>
        <w:jc w:val="both"/>
      </w:pPr>
      <w:r>
        <w:rPr>
          <w:b/>
          <w:bCs/>
          <w:color w:val="000000"/>
        </w:rPr>
        <w:t>1.1 Scope, Research Gap and Objectives</w:t>
      </w:r>
    </w:p>
    <w:p w14:paraId="2FD2BE2F" w14:textId="77777777" w:rsidR="00D76725" w:rsidRDefault="00000000" w:rsidP="00412D3E">
      <w:pPr>
        <w:spacing w:before="100" w:beforeAutospacing="1" w:after="100" w:afterAutospacing="1"/>
        <w:jc w:val="both"/>
      </w:pPr>
      <w:r>
        <w:rPr>
          <w:sz w:val="24"/>
          <w:szCs w:val="24"/>
        </w:rPr>
        <w:t>This review examines empirical and conceptual scholarship on artificial intelligence tools and digital learning platforms as they bear on English language education in Bangladeshi higher education institutions, understood as public and private universities and degree-awarding colleges. Artificial intelligence tools are taken to include generative language models, conversational agents, automated writing evaluation and written corrective feedback systems, machine translation, and integrity-detection software. Digital platforms are taken to include learning management systems, videoconferencing environments and social platforms used for instructional purposes. The review covers language learning outcomes, classroom practice, teacher and learner perception and behaviour, institutional policy and assessment integrity.</w:t>
      </w:r>
    </w:p>
    <w:p w14:paraId="42D6DBB4" w14:textId="77777777" w:rsidR="00D76725" w:rsidRDefault="00000000" w:rsidP="00412D3E">
      <w:pPr>
        <w:spacing w:before="100" w:beforeAutospacing="1" w:after="100" w:afterAutospacing="1"/>
        <w:jc w:val="both"/>
      </w:pPr>
      <w:r>
        <w:rPr>
          <w:sz w:val="24"/>
          <w:szCs w:val="24"/>
        </w:rPr>
        <w:t>The research gap addressed is the absence of a critical appraisal that treats the Bangladeshi evidence base as its object of analysis rather than as a source of illustrative examples. Prior syntheses either predate generative systems, aggregate across contexts in which Bangladesh is unrepresented, or describe national findings without testing them against the methodological standards and contradictory results available in the wider literature.</w:t>
      </w:r>
    </w:p>
    <w:p w14:paraId="60C1C8CB" w14:textId="653F368A" w:rsidR="00D76725" w:rsidRPr="00412D3E" w:rsidRDefault="00000000" w:rsidP="00412D3E">
      <w:pPr>
        <w:spacing w:before="100" w:beforeAutospacing="1" w:after="100" w:afterAutospacing="1"/>
        <w:jc w:val="both"/>
      </w:pPr>
      <w:r>
        <w:rPr>
          <w:sz w:val="24"/>
          <w:szCs w:val="24"/>
        </w:rPr>
        <w:lastRenderedPageBreak/>
        <w:t>Several exclusions define the boundary of the review. Primary and secondary schooling is not covered, except where evidence from those sectors is necessary to explain the preparation of entering undergraduates. Artificial intelligence applied to institutional administration, admissions or learning analytics is outside scope unless it bears directly on language instruction. Languages other than English are not covered, since English is the language around which Bangladeshi tertiary policy and practice are organised. Technical natural language processing research on Bangla is discussed only where it establishes limits on the performance of tools used by learners, and is not reviewed as a field in its own right.</w:t>
      </w:r>
      <w:r w:rsidR="00412D3E">
        <w:t xml:space="preserve"> </w:t>
      </w:r>
      <w:r w:rsidRPr="00412D3E">
        <w:rPr>
          <w:bCs/>
          <w:sz w:val="24"/>
          <w:szCs w:val="24"/>
          <w:highlight w:val="yellow"/>
        </w:rPr>
        <w:t>Four objectives follow. The first is to establish what the Bangladeshi evidence base can and cannot support, distinguishing findings about behaviour and attitude from claims about learning. The second is to compare that evidence with the international record on automated feedback, conversational practice and machine translation, identifying where the two converge, where they conflict, and why. The third is to evaluate the mechanisms through which benefit is proposed to occur and to assess their plausibility given documented conditions of connectivity, assessment and language policy in Bangladesh. The fourth is to derive research priorities that would materially reduce present uncertainty.</w:t>
      </w:r>
    </w:p>
    <w:p w14:paraId="05410903" w14:textId="77777777" w:rsidR="00D76725" w:rsidRDefault="00000000" w:rsidP="00412D3E">
      <w:pPr>
        <w:pStyle w:val="Heading1"/>
        <w:spacing w:before="100" w:beforeAutospacing="1" w:after="100" w:afterAutospacing="1"/>
        <w:jc w:val="both"/>
      </w:pPr>
      <w:r>
        <w:rPr>
          <w:b/>
          <w:bCs/>
          <w:color w:val="000000"/>
          <w:sz w:val="28"/>
          <w:szCs w:val="28"/>
        </w:rPr>
        <w:t>2. Methods for Literature Selection</w:t>
      </w:r>
    </w:p>
    <w:p w14:paraId="2B0375D5" w14:textId="77777777" w:rsidR="00D76725" w:rsidRDefault="00000000" w:rsidP="00412D3E">
      <w:pPr>
        <w:pStyle w:val="Heading2"/>
        <w:spacing w:before="100" w:beforeAutospacing="1" w:after="100" w:afterAutospacing="1"/>
        <w:jc w:val="both"/>
      </w:pPr>
      <w:r>
        <w:rPr>
          <w:b/>
          <w:bCs/>
          <w:color w:val="000000"/>
        </w:rPr>
        <w:t>2.1 Review Design and Rationale</w:t>
      </w:r>
    </w:p>
    <w:p w14:paraId="3ECC39A1" w14:textId="77777777" w:rsidR="00D76725" w:rsidRDefault="00000000" w:rsidP="00412D3E">
      <w:pPr>
        <w:spacing w:before="100" w:beforeAutospacing="1" w:after="100" w:afterAutospacing="1"/>
        <w:jc w:val="both"/>
      </w:pPr>
      <w:r>
        <w:rPr>
          <w:sz w:val="24"/>
          <w:szCs w:val="24"/>
        </w:rPr>
        <w:t>A critical narrative design was selected because the review question concerns the coherence, adequacy and interpretive limits of a heterogeneous body of work rather than the pooled magnitude of a defined intervention effect. The Bangladeshi literature comprises qualitative interview studies, open-ended surveys, mixed-methods designs and structural equation models applied to divergent constructs, with no shared outcome measure and no comparable comparison conditions. Meta-analysis is therefore unavailable, and a systematic review protocol would impose a screening apparatus onto a corpus too small and too methodologically dispersed to reward it. Guidance on selecting review type supports this reasoning, distinguishing questions about the state and quality of a field from questions about effect estimation (</w:t>
      </w:r>
      <w:proofErr w:type="spellStart"/>
      <w:r>
        <w:rPr>
          <w:sz w:val="24"/>
          <w:szCs w:val="24"/>
        </w:rPr>
        <w:t>Varpio</w:t>
      </w:r>
      <w:proofErr w:type="spellEnd"/>
      <w:r>
        <w:rPr>
          <w:sz w:val="24"/>
          <w:szCs w:val="24"/>
        </w:rPr>
        <w:t xml:space="preserve"> et al., 2024), and the argument that narrative synthesis occupies a legitimate rather than subordinate epistemic position is established in methodological commentary (Greenhalgh et al., 2018).</w:t>
      </w:r>
    </w:p>
    <w:p w14:paraId="3BCBB9BE" w14:textId="77777777" w:rsidR="00D76725" w:rsidRDefault="00000000" w:rsidP="00412D3E">
      <w:pPr>
        <w:spacing w:before="100" w:beforeAutospacing="1" w:after="100" w:afterAutospacing="1"/>
        <w:jc w:val="both"/>
      </w:pPr>
      <w:r>
        <w:rPr>
          <w:sz w:val="24"/>
          <w:szCs w:val="24"/>
        </w:rPr>
        <w:t>Narrative design does not license reduced transparency. Reporting followed the domains specified by the Scale for the Assessment of Narrative Review Articles, which requires explicit justification of importance, statement of aims, description of literature search, referencing of claims to evidence, appropriate presentation of evidence quality, and adequate presentation of data (</w:t>
      </w:r>
      <w:proofErr w:type="spellStart"/>
      <w:r>
        <w:rPr>
          <w:sz w:val="24"/>
          <w:szCs w:val="24"/>
        </w:rPr>
        <w:t>Baethge</w:t>
      </w:r>
      <w:proofErr w:type="spellEnd"/>
      <w:r>
        <w:rPr>
          <w:sz w:val="24"/>
          <w:szCs w:val="24"/>
        </w:rPr>
        <w:t xml:space="preserve"> et al., 2019). Procedural guidance on narrative review conduct in education research informed the sequencing of scope definition, iterative searching and thematic development (Sukhera, 2022). Every substantive claim in the synthesis is attributed, and the strength attached to each claim is calibrated to the design of the studies supporting it.</w:t>
      </w:r>
    </w:p>
    <w:p w14:paraId="11A18937" w14:textId="77777777" w:rsidR="00D76725" w:rsidRDefault="00000000" w:rsidP="00412D3E">
      <w:pPr>
        <w:pStyle w:val="Heading2"/>
        <w:spacing w:before="100" w:beforeAutospacing="1" w:after="100" w:afterAutospacing="1"/>
        <w:jc w:val="both"/>
      </w:pPr>
      <w:r>
        <w:rPr>
          <w:b/>
          <w:bCs/>
          <w:color w:val="000000"/>
        </w:rPr>
        <w:t>2.2 Information Sources</w:t>
      </w:r>
    </w:p>
    <w:p w14:paraId="7D19B8A0" w14:textId="77777777" w:rsidR="00D76725" w:rsidRDefault="00000000" w:rsidP="00412D3E">
      <w:pPr>
        <w:spacing w:before="100" w:beforeAutospacing="1" w:after="100" w:afterAutospacing="1"/>
        <w:jc w:val="both"/>
      </w:pPr>
      <w:r>
        <w:rPr>
          <w:sz w:val="24"/>
          <w:szCs w:val="24"/>
        </w:rPr>
        <w:t xml:space="preserve">Searching was conducted through openly accessible scholarly indexes and bibliographic infrastructure that could be queried directly during the preparation of this review. These were </w:t>
      </w:r>
      <w:proofErr w:type="spellStart"/>
      <w:r>
        <w:rPr>
          <w:sz w:val="24"/>
          <w:szCs w:val="24"/>
        </w:rPr>
        <w:t>OpenAlex</w:t>
      </w:r>
      <w:proofErr w:type="spellEnd"/>
      <w:r>
        <w:rPr>
          <w:sz w:val="24"/>
          <w:szCs w:val="24"/>
        </w:rPr>
        <w:t xml:space="preserve">, </w:t>
      </w:r>
      <w:proofErr w:type="spellStart"/>
      <w:r>
        <w:rPr>
          <w:sz w:val="24"/>
          <w:szCs w:val="24"/>
        </w:rPr>
        <w:t>Crossref</w:t>
      </w:r>
      <w:proofErr w:type="spellEnd"/>
      <w:r>
        <w:rPr>
          <w:sz w:val="24"/>
          <w:szCs w:val="24"/>
        </w:rPr>
        <w:t xml:space="preserve"> Metadata Search, the Semantic Scholar Academic Graph, the Directory of Open Access Journals, and Bangladesh Journals Online. Digital object identifiers were resolved through the international resolution service maintained by the DOI Foundation, and </w:t>
      </w:r>
      <w:r>
        <w:rPr>
          <w:sz w:val="24"/>
          <w:szCs w:val="24"/>
        </w:rPr>
        <w:lastRenderedPageBreak/>
        <w:t>bibliographic details were checked against publisher and journal landing pages where these were reachable.</w:t>
      </w:r>
    </w:p>
    <w:p w14:paraId="5ECCD46C" w14:textId="77777777" w:rsidR="00D76725" w:rsidRDefault="00000000" w:rsidP="00412D3E">
      <w:pPr>
        <w:spacing w:before="100" w:beforeAutospacing="1" w:after="100" w:afterAutospacing="1"/>
        <w:jc w:val="both"/>
      </w:pPr>
      <w:r>
        <w:rPr>
          <w:sz w:val="24"/>
          <w:szCs w:val="24"/>
        </w:rPr>
        <w:t>Institutional sources were consulted directly on the websites of the issuing bodies. These comprised the United Nations Educational, Scientific and Cultural Organization and the Information and Communication Technology Division of the Government of the People's Republic of Bangladesh.</w:t>
      </w:r>
    </w:p>
    <w:p w14:paraId="72FE2EA3" w14:textId="77777777" w:rsidR="00D76725" w:rsidRDefault="00000000" w:rsidP="00412D3E">
      <w:pPr>
        <w:spacing w:before="100" w:beforeAutospacing="1" w:after="100" w:afterAutospacing="1"/>
        <w:jc w:val="both"/>
      </w:pPr>
      <w:r>
        <w:rPr>
          <w:sz w:val="24"/>
          <w:szCs w:val="24"/>
        </w:rPr>
        <w:t>Subscription-restricted databases, including Web of Science Core Collection, Scopus and Embase, were not accessible during the preparation of this review, and no search of those resources was performed. This constraint is stated rather than concealed because it bears on coverage. Records indexed exclusively in those services, and grey literature held in institutional repositories not harvested by the indexes listed above, may not have been retrieved. Searching was supplemented by backward citation tracing from retrieved articles, by forward citation tracing through the citation graphs available in the open indexes, by related-record retrieval, and by inspection of the reference lists of recent reviews in the field.</w:t>
      </w:r>
    </w:p>
    <w:p w14:paraId="1C5029A4" w14:textId="77777777" w:rsidR="00D76725" w:rsidRDefault="00000000" w:rsidP="00412D3E">
      <w:pPr>
        <w:pStyle w:val="Heading2"/>
        <w:spacing w:before="100" w:beforeAutospacing="1" w:after="100" w:afterAutospacing="1"/>
        <w:jc w:val="both"/>
      </w:pPr>
      <w:r>
        <w:rPr>
          <w:b/>
          <w:bCs/>
          <w:color w:val="000000"/>
        </w:rPr>
        <w:t>2.3 Search Strategy and Search Period</w:t>
      </w:r>
    </w:p>
    <w:p w14:paraId="4A5A26F5" w14:textId="77777777" w:rsidR="00D76725" w:rsidRDefault="00000000" w:rsidP="00412D3E">
      <w:pPr>
        <w:spacing w:before="100" w:beforeAutospacing="1" w:after="100" w:afterAutospacing="1"/>
        <w:jc w:val="both"/>
      </w:pPr>
      <w:r>
        <w:rPr>
          <w:sz w:val="24"/>
          <w:szCs w:val="24"/>
        </w:rPr>
        <w:t>Search concepts were derived from the review question and combined with Boolean operators. The first concept captured the technology, using terms including artificial intelligence, generative artificial intelligence, large language model, ChatGPT, chatbot, automated writing evaluation, automated written corrective feedback, machine translation, learning management system and digital platform. The second captured the educational domain, using English language teaching, English as a foreign language, second language writing, second language speaking, language education, applied linguistics and English-medium instruction. The third captured setting, using Bangladesh, Bangladeshi, tertiary, higher education, university and South Asia. The fourth captured the analytical dimensions of interest, using perception, attitude, adoption, acceptance, teacher agency, professional development, academic integrity, digital divide, equity, policy and assessment.</w:t>
      </w:r>
    </w:p>
    <w:p w14:paraId="7F956F8C" w14:textId="77777777" w:rsidR="00D76725" w:rsidRDefault="00000000" w:rsidP="00412D3E">
      <w:pPr>
        <w:spacing w:before="100" w:beforeAutospacing="1" w:after="100" w:afterAutospacing="1"/>
        <w:jc w:val="both"/>
      </w:pPr>
      <w:r>
        <w:rPr>
          <w:sz w:val="24"/>
          <w:szCs w:val="24"/>
        </w:rPr>
        <w:t>Representative strings included the following. For the national evidence base: ("artificial intelligence" OR "generative AI" OR ChatGPT OR chatbot) AND ("English language teaching" OR EFL OR "language education") AND (Bangladesh OR Bangladeshi). For the mechanism literature: ("automated writing evaluation" OR "automated written corrective feedback" OR "AI feedback") AND ("second language" OR L2 OR EFL) AND (engagement OR revision OR "writing quality"). For the structural literature: ("digital divide" OR connectivity OR "online learning") AND (Bangladesh) AND (university OR tertiary OR "higher education"). For the governance literature: ("academic integrity" OR "AI detection" OR "assessment policy") AND ("generative AI" OR "large language model") AND ("higher education").</w:t>
      </w:r>
    </w:p>
    <w:p w14:paraId="22E5594E" w14:textId="77777777" w:rsidR="00D76725" w:rsidRDefault="00000000" w:rsidP="00412D3E">
      <w:pPr>
        <w:spacing w:before="100" w:beforeAutospacing="1" w:after="100" w:afterAutospacing="1"/>
        <w:jc w:val="both"/>
      </w:pPr>
      <w:r>
        <w:rPr>
          <w:sz w:val="24"/>
          <w:szCs w:val="24"/>
        </w:rPr>
        <w:t>The search period opened in 2009, the year in which the national digital development agenda was formally adopted and from which sustained empirical attention to information and communication technology in Bangladeshi English language teaching can be traced. Foundational publications preceding that year were admitted where they were necessary to explain the historical development of language-in-education policy or the antecedents of present assessment practice. The final search was conducted on 5 June 2026, and no source published after that date was included.</w:t>
      </w:r>
    </w:p>
    <w:p w14:paraId="539FBA29" w14:textId="77777777" w:rsidR="00D76725" w:rsidRDefault="00000000" w:rsidP="00412D3E">
      <w:pPr>
        <w:pStyle w:val="Heading2"/>
        <w:spacing w:before="100" w:beforeAutospacing="1" w:after="100" w:afterAutospacing="1"/>
        <w:jc w:val="both"/>
      </w:pPr>
      <w:r>
        <w:rPr>
          <w:b/>
          <w:bCs/>
          <w:color w:val="000000"/>
        </w:rPr>
        <w:lastRenderedPageBreak/>
        <w:t>2.4 Eligibility Criteria</w:t>
      </w:r>
    </w:p>
    <w:p w14:paraId="31B592E8" w14:textId="77777777" w:rsidR="00D76725" w:rsidRDefault="00000000" w:rsidP="00412D3E">
      <w:pPr>
        <w:spacing w:before="100" w:beforeAutospacing="1" w:after="100" w:afterAutospacing="1"/>
        <w:jc w:val="both"/>
      </w:pPr>
      <w:r>
        <w:rPr>
          <w:sz w:val="24"/>
          <w:szCs w:val="24"/>
        </w:rPr>
        <w:t>Publications were eligible if they were peer-reviewed journal articles, authoritative institutional reports or scholarly books, and if they addressed at least one of the following: the use of artificial intelligence tools or digital platforms in language teaching or learning; language-in-education policy, assessment or medium of instruction in Bangladesh; the structural conditions governing digital participation in Bangladeshi education; or the methodological conduct of literature reviews. Studies from outside Bangladesh were eligible where they supplied experimental, longitudinal or synthetic evidence on mechanisms that the Bangladeshi corpus asserts but does not test.</w:t>
      </w:r>
    </w:p>
    <w:p w14:paraId="1DD1AA38" w14:textId="77777777" w:rsidR="00D76725" w:rsidRDefault="00000000" w:rsidP="00412D3E">
      <w:pPr>
        <w:spacing w:before="100" w:beforeAutospacing="1" w:after="100" w:afterAutospacing="1"/>
        <w:jc w:val="both"/>
      </w:pPr>
      <w:r>
        <w:rPr>
          <w:sz w:val="24"/>
          <w:szCs w:val="24"/>
        </w:rPr>
        <w:t>Publications were excluded if bibliographic identity could not be confirmed, if the source was a preprint for which peer-reviewed evidence on the same question was available, if the outlet was a trade publication, promotional material, personal weblog or anonymous webpage, or if the record was a conference abstract without a retrievable full text. Records whose page ranges, volume details or author sequences could not be reconciled across at least two authoritative bibliographic sources were excluded rather than reported with uncertain metadata. No language restriction was applied at the search stage, although all retained sources were published in English, which is itself a limitation.</w:t>
      </w:r>
    </w:p>
    <w:p w14:paraId="0F7BFB51" w14:textId="77777777" w:rsidR="00D76725" w:rsidRDefault="00000000" w:rsidP="00412D3E">
      <w:pPr>
        <w:pStyle w:val="Heading2"/>
        <w:spacing w:before="100" w:beforeAutospacing="1" w:after="100" w:afterAutospacing="1"/>
        <w:jc w:val="both"/>
      </w:pPr>
      <w:r>
        <w:rPr>
          <w:b/>
          <w:bCs/>
          <w:color w:val="000000"/>
        </w:rPr>
        <w:t>2.5 Screening, Duplicate Handling and Study Selection</w:t>
      </w:r>
    </w:p>
    <w:p w14:paraId="22650528" w14:textId="77777777" w:rsidR="00D76725" w:rsidRDefault="00000000" w:rsidP="00412D3E">
      <w:pPr>
        <w:spacing w:before="100" w:beforeAutospacing="1" w:after="100" w:afterAutospacing="1"/>
        <w:jc w:val="both"/>
      </w:pPr>
      <w:r>
        <w:rPr>
          <w:sz w:val="24"/>
          <w:szCs w:val="24"/>
        </w:rPr>
        <w:t>Titles and abstracts were screened against the eligibility criteria, and records passing this stage were assessed on the basis of the full record where the full text was openly accessible, or on the basis of the complete abstract and verified bibliographic metadata where it was not. Duplicates arising from multiple deposits of the same work, most commonly preprint servers, repository copies and version-of-record entries carrying distinct identifiers, were resolved in favour of the version of record and the remaining entries discarded. Where the same research team reported overlapping datasets in separate articles, both were retained only when they addressed distinct research questions, and the relationship between them is stated in the synthesis.</w:t>
      </w:r>
    </w:p>
    <w:p w14:paraId="188381E3" w14:textId="77777777" w:rsidR="00D76725" w:rsidRDefault="00000000" w:rsidP="00412D3E">
      <w:pPr>
        <w:spacing w:before="100" w:beforeAutospacing="1" w:after="100" w:afterAutospacing="1"/>
        <w:jc w:val="both"/>
      </w:pPr>
      <w:r>
        <w:rPr>
          <w:sz w:val="24"/>
          <w:szCs w:val="24"/>
        </w:rPr>
        <w:t xml:space="preserve">Sources that could not be verified bibliographically were removed at this stage, as were sources whose only accessible form was an unofficial hosted copy. Screening counts are not reported. This review did not employ a systematic selection procedure with independent double screening and documented record flows, and presenting numerical counts would imply a degree of </w:t>
      </w:r>
      <w:proofErr w:type="spellStart"/>
      <w:r>
        <w:rPr>
          <w:sz w:val="24"/>
          <w:szCs w:val="24"/>
        </w:rPr>
        <w:t>proceduralisation</w:t>
      </w:r>
      <w:proofErr w:type="spellEnd"/>
      <w:r>
        <w:rPr>
          <w:sz w:val="24"/>
          <w:szCs w:val="24"/>
        </w:rPr>
        <w:t xml:space="preserve"> that was not applied. No flow diagram is provided for the same reason.</w:t>
      </w:r>
    </w:p>
    <w:p w14:paraId="081A9758" w14:textId="77777777" w:rsidR="00D76725" w:rsidRDefault="00000000" w:rsidP="00412D3E">
      <w:pPr>
        <w:pStyle w:val="Heading2"/>
        <w:spacing w:before="100" w:beforeAutospacing="1" w:after="100" w:afterAutospacing="1"/>
        <w:jc w:val="both"/>
      </w:pPr>
      <w:r>
        <w:rPr>
          <w:b/>
          <w:bCs/>
          <w:color w:val="000000"/>
        </w:rPr>
        <w:t>2.6 Critical Appraisal and Evidence Synthesis</w:t>
      </w:r>
    </w:p>
    <w:p w14:paraId="7F2CAF15" w14:textId="77777777" w:rsidR="00D76725" w:rsidRDefault="00000000" w:rsidP="00412D3E">
      <w:pPr>
        <w:spacing w:before="100" w:beforeAutospacing="1" w:after="100" w:afterAutospacing="1"/>
        <w:jc w:val="both"/>
      </w:pPr>
      <w:r>
        <w:rPr>
          <w:sz w:val="24"/>
          <w:szCs w:val="24"/>
        </w:rPr>
        <w:t xml:space="preserve">Each retained empirical study was appraised against criteria appropriate to its design: adequacy of the design for the research question, sampling frame and representativeness, presence and comparability of control or comparison conditions, validity of the outcome measures, transparency of instrumentation and analytic procedure, treatment of confounding, adequacy of statistical reporting, and the correspondence between the strength of the reported claims and the evidence adduced for them. Reviews and syntheses were appraised on the transparency of their inclusion criteria, the scope of their search, and the degree to which their conclusions were qualified by the heterogeneity of the studies they aggregated. Conceptual and commentary pieces were treated as arguments to be evaluated rather than as evidence of effect. No formal risk-of-bias instrument was applied, because the retained studies do not share a design family </w:t>
      </w:r>
      <w:r>
        <w:rPr>
          <w:sz w:val="24"/>
          <w:szCs w:val="24"/>
        </w:rPr>
        <w:lastRenderedPageBreak/>
        <w:t>to which any single recognised instrument would be appropriate, and because the reporting in many of the retained studies is insufficiently detailed for reliable scoring.</w:t>
      </w:r>
    </w:p>
    <w:p w14:paraId="7045A798" w14:textId="77777777" w:rsidR="00D76725" w:rsidRDefault="00000000" w:rsidP="00412D3E">
      <w:pPr>
        <w:spacing w:before="100" w:beforeAutospacing="1" w:after="100" w:afterAutospacing="1"/>
        <w:jc w:val="both"/>
      </w:pPr>
      <w:r>
        <w:rPr>
          <w:sz w:val="24"/>
          <w:szCs w:val="24"/>
        </w:rPr>
        <w:t>Themes were developed inductively from repeated engagement with the retained sources and then tested by deliberately searching for disconfirming evidence within each theme. Where findings conflicted, the disagreement was retained and examined for its likely source, distinguishing among differences in participant population, tool version, task type, duration of exposure, outcome construct and analytic strategy. Convergence was treated as informative only where the converging studies employed independent samples and non-identical designs. Where a mechanism was proposed in one literature and asserted in another without being tested, that asymmetry is stated explicitly rather than resolved by inference.</w:t>
      </w:r>
    </w:p>
    <w:p w14:paraId="3B3B72DF" w14:textId="77777777" w:rsidR="00D76725" w:rsidRDefault="00000000" w:rsidP="00412D3E">
      <w:pPr>
        <w:pStyle w:val="Heading1"/>
        <w:spacing w:before="100" w:beforeAutospacing="1" w:after="100" w:afterAutospacing="1"/>
        <w:jc w:val="both"/>
      </w:pPr>
      <w:r>
        <w:rPr>
          <w:b/>
          <w:bCs/>
          <w:color w:val="000000"/>
          <w:sz w:val="28"/>
          <w:szCs w:val="28"/>
        </w:rPr>
        <w:t>3. The Structural and Sociolinguistic Substrate of Technology Adoption</w:t>
      </w:r>
    </w:p>
    <w:p w14:paraId="72B2AA34" w14:textId="77777777" w:rsidR="00D76725" w:rsidRDefault="00000000" w:rsidP="00412D3E">
      <w:pPr>
        <w:spacing w:before="100" w:beforeAutospacing="1" w:after="100" w:afterAutospacing="1"/>
        <w:jc w:val="both"/>
      </w:pPr>
      <w:r>
        <w:rPr>
          <w:sz w:val="24"/>
          <w:szCs w:val="24"/>
        </w:rPr>
        <w:t>Discussion of artificial intelligence in Bangladeshi language classrooms frequently proceeds as though the technology encounters a neutral setting. It does not. The conditions into which these tools arrive are documented in a substantial body of work that predates them, and those conditions determine which affordances can be realised, by whom, and at what cost. Three domains are analytically prior: language policy and medium of instruction, infrastructural access, and the assessment regime.</w:t>
      </w:r>
    </w:p>
    <w:p w14:paraId="4B387AE3" w14:textId="77777777" w:rsidR="00D76725" w:rsidRDefault="00000000" w:rsidP="00412D3E">
      <w:pPr>
        <w:pStyle w:val="Heading2"/>
        <w:spacing w:before="100" w:beforeAutospacing="1" w:after="100" w:afterAutospacing="1"/>
        <w:jc w:val="both"/>
      </w:pPr>
      <w:r>
        <w:rPr>
          <w:b/>
          <w:bCs/>
          <w:color w:val="000000"/>
        </w:rPr>
        <w:t>3.1 Language policy, medium of instruction and the proficiency problem</w:t>
      </w:r>
    </w:p>
    <w:p w14:paraId="50CF22D1" w14:textId="77777777" w:rsidR="00D76725" w:rsidRDefault="00000000" w:rsidP="00412D3E">
      <w:pPr>
        <w:spacing w:before="100" w:beforeAutospacing="1" w:after="100" w:afterAutospacing="1"/>
        <w:jc w:val="both"/>
      </w:pPr>
      <w:r>
        <w:rPr>
          <w:sz w:val="24"/>
          <w:szCs w:val="24"/>
        </w:rPr>
        <w:t>Bangladeshi language-in-education policy has been characterised as internally contradictory over an extended period. Critical policy analysis describes a settlement in which English is promoted as an instrument of development and global participation while the capacity required to deliver it is not provisioned, producing a gap between declared ambition and classroom reality (Hamid, 2010). Historical accounts of the relationship between English and national identity trace this tension to the founding politics of the state and to successive attempts to reconcile Bangla nationalism with the perceived economic necessity of English (Chowdhury &amp; Kabir, 2014). The consequences are visible at tertiary entry. Comprehensive appraisal of English language teaching in the country identifies persistent difficulties in teacher preparation, curriculum implementation and assessment alignment (Rahman et al., 2019), and analysis of the assessment system documents a negative washback dynamic in which examination formats reward reproduction rather than communicative use (Ali &amp; Hamid, 2020; Islam et al., 2021). Private supplementary tutoring, empirically documented as widespread at secondary level, further ties attainment to household expenditure (Hamid et al., 2009).</w:t>
      </w:r>
    </w:p>
    <w:p w14:paraId="3577894A" w14:textId="77777777" w:rsidR="00D76725" w:rsidRDefault="00000000" w:rsidP="00412D3E">
      <w:pPr>
        <w:spacing w:before="100" w:beforeAutospacing="1" w:after="100" w:afterAutospacing="1"/>
        <w:jc w:val="both"/>
      </w:pPr>
      <w:r>
        <w:rPr>
          <w:sz w:val="24"/>
          <w:szCs w:val="24"/>
        </w:rPr>
        <w:t>Medium-of-instruction arrangements compound this. Case study evidence from private universities describes institutional divides in which declared English-medium policy coexists with variable practice and with student and staff ideologies that differ sharply by faculty and by prior schooling (Hamid et al., 2013). Comparative work across public and private institutions finds distinct ideological positions rather than a single national settlement (Rahman et al., 2020), and survey-based analysis identifies genuine ambivalence among stakeholders about whether Bangla, English or a bilingual arrangement should prevail (Karim et al., 2023). Classroom research shows that the resolution adopted in practice is often translanguaging. Ethnographic and discourse-analytic studies document students and lecturers drawing on Bangla and English together to construct disciplinary knowledge, while institutional policy continues to frame such practice as deficit (Rafi &amp; Morgan, 2023; Rahman &amp; Hu, 2025). Comparative analysis across Bangladeshi and Chinese tertiary settings positions mother-</w:t>
      </w:r>
      <w:r>
        <w:rPr>
          <w:sz w:val="24"/>
          <w:szCs w:val="24"/>
        </w:rPr>
        <w:lastRenderedPageBreak/>
        <w:t xml:space="preserve">tongue-based translanguaging as a viable but institutionally unsupported response to the difficulties of English-medium instruction (Sultana &amp; Fang, 2024). Documented outcomes remain weak, with sustained difficulty in spoken production reported among private university undergraduates and attributed to limited practice opportunity, examination pressure and instructional emphasis on form (Islam &amp; </w:t>
      </w:r>
      <w:proofErr w:type="spellStart"/>
      <w:r>
        <w:rPr>
          <w:sz w:val="24"/>
          <w:szCs w:val="24"/>
        </w:rPr>
        <w:t>Stapa</w:t>
      </w:r>
      <w:proofErr w:type="spellEnd"/>
      <w:r>
        <w:rPr>
          <w:sz w:val="24"/>
          <w:szCs w:val="24"/>
        </w:rPr>
        <w:t>, 2021).</w:t>
      </w:r>
    </w:p>
    <w:p w14:paraId="45DA9BCC" w14:textId="77777777" w:rsidR="00D76725" w:rsidRDefault="00000000" w:rsidP="00412D3E">
      <w:pPr>
        <w:spacing w:before="100" w:beforeAutospacing="1" w:after="100" w:afterAutospacing="1"/>
        <w:jc w:val="both"/>
      </w:pPr>
      <w:r>
        <w:rPr>
          <w:sz w:val="24"/>
          <w:szCs w:val="24"/>
        </w:rPr>
        <w:t>This matters for the appraisal of artificial intelligence claims in two ways. The capability that generative systems distribute most reliably is the production of fluent, conventionally correct English prose. In a system where English proficiency functions as a stratifying credential, a technology that substitutes for that proficiency does not straightforwardly extend access; it may instead decouple the credential from the competence it was intended to certify. The second implication concerns the bilingual reality of the classroom. Tools optimised on English-dominant corpora, deployed into settings where meaning is routinely constructed across Bangla and English, are unlikely to support the translanguaging practices that the classroom evidence shows to be operative, and the Bangladeshi corpus has not examined this interaction.</w:t>
      </w:r>
    </w:p>
    <w:p w14:paraId="6E97B8A0" w14:textId="77777777" w:rsidR="00D76725" w:rsidRDefault="00000000" w:rsidP="00412D3E">
      <w:pPr>
        <w:pStyle w:val="Heading2"/>
        <w:spacing w:before="100" w:beforeAutospacing="1" w:after="100" w:afterAutospacing="1"/>
        <w:jc w:val="both"/>
      </w:pPr>
      <w:r>
        <w:rPr>
          <w:b/>
          <w:bCs/>
          <w:color w:val="000000"/>
        </w:rPr>
        <w:t>3.2 Connectivity, device access and the stratification of digital participation</w:t>
      </w:r>
    </w:p>
    <w:p w14:paraId="4D92B1F5" w14:textId="77777777" w:rsidR="00D76725" w:rsidRDefault="00000000" w:rsidP="00412D3E">
      <w:pPr>
        <w:spacing w:before="100" w:beforeAutospacing="1" w:after="100" w:afterAutospacing="1"/>
        <w:jc w:val="both"/>
      </w:pPr>
      <w:r>
        <w:rPr>
          <w:sz w:val="24"/>
          <w:szCs w:val="24"/>
        </w:rPr>
        <w:t>The pandemic produced the most substantial body of evidence on digital participation in Bangladeshi higher education. Survey work identified a latent divide in which nominal connectivity coexisted with inadequate bandwidth, device sharing and unreliable electricity, with the burden falling disproportionately on students outside metropolitan areas (Badiuzzaman et al., 2021). Research on undergraduates in Dhaka reported measurable psychological consequences associated with exclusion from emergency online provision (Saha et al., 2021), and institutional perception studies found that staff and students regarded online delivery as a partial substitute rather than an equivalent mode (Rouf et al., 2024). Comparative analysis of the developing-country experience situates these findings within a broader framework in which access, capability and outcome operate as successive filters rather than as a single binary (Mathrani et al., 2022).</w:t>
      </w:r>
    </w:p>
    <w:p w14:paraId="0FC1EA22" w14:textId="77777777" w:rsidR="00D76725" w:rsidRDefault="00000000" w:rsidP="00412D3E">
      <w:pPr>
        <w:spacing w:before="100" w:beforeAutospacing="1" w:after="100" w:afterAutospacing="1"/>
        <w:jc w:val="both"/>
      </w:pPr>
      <w:r>
        <w:rPr>
          <w:sz w:val="24"/>
          <w:szCs w:val="24"/>
        </w:rPr>
        <w:t>The evidence on learning loss is not uniform. Analysis of Bangladeshi household data during the closure period found patterns of technology use and time allocation that complicate the assumption of uniform detriment, indicating that digital access alone did not determine educational outcomes and that substitution effects varied by household characteristics (Asadullah &amp; Bhattacharjee, 2022). This is a useful corrective. It does not overturn the access findings, but it does indicate that the relationship between connectivity and learning is mediated by factors that the descriptive access literature has not modelled. Post-pandemic work adds a further complication, documenting difficulty in reverting to campus-based instruction and reporting that neither students nor institutions retained the digital practices developed under emergency conditions (</w:t>
      </w:r>
      <w:proofErr w:type="spellStart"/>
      <w:r>
        <w:rPr>
          <w:sz w:val="24"/>
          <w:szCs w:val="24"/>
        </w:rPr>
        <w:t>Mojumder</w:t>
      </w:r>
      <w:proofErr w:type="spellEnd"/>
      <w:r>
        <w:rPr>
          <w:sz w:val="24"/>
          <w:szCs w:val="24"/>
        </w:rPr>
        <w:t xml:space="preserve"> et al., 2025).</w:t>
      </w:r>
    </w:p>
    <w:p w14:paraId="1D3FE3EF" w14:textId="77777777" w:rsidR="00D76725" w:rsidRDefault="00000000" w:rsidP="00412D3E">
      <w:pPr>
        <w:spacing w:before="100" w:beforeAutospacing="1" w:after="100" w:afterAutospacing="1"/>
        <w:jc w:val="both"/>
      </w:pPr>
      <w:r>
        <w:rPr>
          <w:sz w:val="24"/>
          <w:szCs w:val="24"/>
        </w:rPr>
        <w:t xml:space="preserve">Comparative survey evidence contributes a specific and pertinent finding. In a cross-national study of student engagement with generative systems that sampled from both a high-income and a Bangladeshi population, differences emerged in technological infrastructure and, notably, in privacy concern, with Bangladeshi respondents reporting greater apprehension about data security (Bhuiyan et al., 2026). This is one of the few directly comparative datapoints available, and it suggests that the constraints operating in Bangladesh are not reducible to bandwidth. Conceptual work on algorithmic dependence develops the point further, arguing that reliance on proprietary systems developed within Global North epistemic and regulatory contexts embeds assumptions about originality, relevance and authority that </w:t>
      </w:r>
      <w:r>
        <w:rPr>
          <w:sz w:val="24"/>
          <w:szCs w:val="24"/>
        </w:rPr>
        <w:lastRenderedPageBreak/>
        <w:t>shape which knowledge is rendered legitimate (Ahmed, 2026). That argument is conceptual rather than empirical, and it should be treated as a hypothesis about Bangladeshi higher education rather than as a demonstrated finding, but it identifies a dimension of the problem that infrastructure-focused studies do not reach.</w:t>
      </w:r>
    </w:p>
    <w:p w14:paraId="3718098A" w14:textId="77777777" w:rsidR="00D76725" w:rsidRDefault="00000000" w:rsidP="00412D3E">
      <w:pPr>
        <w:pStyle w:val="Heading2"/>
        <w:spacing w:before="100" w:beforeAutospacing="1" w:after="100" w:afterAutospacing="1"/>
        <w:jc w:val="both"/>
      </w:pPr>
      <w:r>
        <w:rPr>
          <w:b/>
          <w:bCs/>
          <w:color w:val="000000"/>
        </w:rPr>
        <w:t>3.3 Assessment culture and the limits of tool-led reform</w:t>
      </w:r>
    </w:p>
    <w:p w14:paraId="3032B213" w14:textId="77777777" w:rsidR="00D76725" w:rsidRDefault="00000000" w:rsidP="00412D3E">
      <w:pPr>
        <w:spacing w:before="100" w:beforeAutospacing="1" w:after="100" w:afterAutospacing="1"/>
        <w:jc w:val="both"/>
      </w:pPr>
      <w:r>
        <w:rPr>
          <w:sz w:val="24"/>
          <w:szCs w:val="24"/>
        </w:rPr>
        <w:t>The assessment system is the third structural determinant, and it is the one most directly disrupted by generative writing tools. Where examination formats and coursework tasks reward the production of conventionally correct expository English, a technology that produces such English on demand does not merely assist performance; it substitutes for the construct being assessed. Analysis of the secondary system establishes that examination washback in Bangladesh is strong and that it shapes instructional priorities well upstream of the examination itself (Ali &amp; Hamid, 2020), while review of the tertiary assessment landscape identifies limited use of formative practice and heavy reliance on summative written examination (Islam et al., 2021).</w:t>
      </w:r>
    </w:p>
    <w:p w14:paraId="23E64C8F" w14:textId="77777777" w:rsidR="00D76725" w:rsidRDefault="00000000" w:rsidP="00412D3E">
      <w:pPr>
        <w:spacing w:before="100" w:beforeAutospacing="1" w:after="100" w:afterAutospacing="1"/>
        <w:jc w:val="both"/>
      </w:pPr>
      <w:r>
        <w:rPr>
          <w:sz w:val="24"/>
          <w:szCs w:val="24"/>
        </w:rPr>
        <w:t>Qualitative evidence from Bangladeshi universities indicates that this tension is already recognised by practitioners. Interviews spanning students, faculty and information technology staff describe widespread use of generative platforms for conceptual clarification alongside acute concern about their use in assignment completion, and identify a gap between institutional commitment to regulating unethical use and any operative mechanism for doing so (Eva et al., 2024). Research with disciplinary teachers in English-medium universities finds diverse attitudes, with most participants expressing reservations about the suitability of generative tools for developing academic writing capacity, and identifies the development of students' ethical literacy as a more promising response than enforcement (Nahiyan &amp; Rahman, 2026). The convergence between these two studies is meaningful because they sample different populations and employ different theoretical framings, and both arrive at the conclusion that the binding constraint is institutional rather than technological.</w:t>
      </w:r>
    </w:p>
    <w:p w14:paraId="5513D2A1" w14:textId="77777777" w:rsidR="00D76725" w:rsidRDefault="00000000" w:rsidP="00412D3E">
      <w:pPr>
        <w:spacing w:before="100" w:beforeAutospacing="1" w:after="100" w:afterAutospacing="1"/>
        <w:jc w:val="both"/>
      </w:pPr>
      <w:r>
        <w:rPr>
          <w:sz w:val="24"/>
          <w:szCs w:val="24"/>
        </w:rPr>
        <w:t>Table 1 summarises the structural conditions identified in this section, the evidence supporting each, and the implication each carries for the interpretation of artificial intelligence adoption claims. The table is intended to make explicit the analytical priority argued for above: each condition constrains the mechanisms through which benefit could plausibly operate, and none of them is addressed by tool provision alone. The final column identifies, for each condition, the specific inferential risk that follows when it is disregarded.</w:t>
      </w:r>
    </w:p>
    <w:p w14:paraId="74844BAB" w14:textId="77777777" w:rsidR="00D76725" w:rsidRDefault="00000000" w:rsidP="00412D3E">
      <w:pPr>
        <w:spacing w:before="100" w:beforeAutospacing="1" w:after="100" w:afterAutospacing="1"/>
        <w:jc w:val="both"/>
      </w:pPr>
      <w:r>
        <w:rPr>
          <w:b/>
          <w:bCs/>
          <w:sz w:val="22"/>
          <w:szCs w:val="22"/>
        </w:rPr>
        <w:t>Table 1. Structural conditions preceding artificial intelligence adoption in Bangladeshi tertiary language education and their inferential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52"/>
        <w:gridCol w:w="2788"/>
        <w:gridCol w:w="2788"/>
        <w:gridCol w:w="1488"/>
      </w:tblGrid>
      <w:tr w:rsidR="00D76725" w14:paraId="5A3A83AD" w14:textId="77777777" w:rsidTr="009F144E">
        <w:trPr>
          <w:tblHeader/>
        </w:trPr>
        <w:tc>
          <w:tcPr>
            <w:tcW w:w="1082" w:type="pct"/>
            <w:shd w:val="clear" w:color="auto" w:fill="E8E8E8"/>
            <w:tcMar>
              <w:top w:w="60" w:type="dxa"/>
              <w:left w:w="80" w:type="dxa"/>
              <w:bottom w:w="60" w:type="dxa"/>
              <w:right w:w="80" w:type="dxa"/>
            </w:tcMar>
          </w:tcPr>
          <w:p w14:paraId="1257CF84" w14:textId="77777777" w:rsidR="00D76725" w:rsidRDefault="00000000" w:rsidP="00412D3E">
            <w:pPr>
              <w:spacing w:before="100" w:beforeAutospacing="1" w:after="100" w:afterAutospacing="1"/>
              <w:jc w:val="both"/>
            </w:pPr>
            <w:r>
              <w:rPr>
                <w:b/>
                <w:bCs/>
                <w:sz w:val="18"/>
                <w:szCs w:val="18"/>
              </w:rPr>
              <w:t>Structural condition</w:t>
            </w:r>
          </w:p>
        </w:tc>
        <w:tc>
          <w:tcPr>
            <w:tcW w:w="1546" w:type="pct"/>
            <w:shd w:val="clear" w:color="auto" w:fill="E8E8E8"/>
            <w:tcMar>
              <w:top w:w="60" w:type="dxa"/>
              <w:left w:w="80" w:type="dxa"/>
              <w:bottom w:w="60" w:type="dxa"/>
              <w:right w:w="80" w:type="dxa"/>
            </w:tcMar>
          </w:tcPr>
          <w:p w14:paraId="4DC0C01D" w14:textId="77777777" w:rsidR="00D76725" w:rsidRDefault="00000000" w:rsidP="00412D3E">
            <w:pPr>
              <w:spacing w:before="100" w:beforeAutospacing="1" w:after="100" w:afterAutospacing="1"/>
              <w:jc w:val="both"/>
            </w:pPr>
            <w:r>
              <w:rPr>
                <w:b/>
                <w:bCs/>
                <w:sz w:val="18"/>
                <w:szCs w:val="18"/>
              </w:rPr>
              <w:t>Documented characteristics</w:t>
            </w:r>
          </w:p>
        </w:tc>
        <w:tc>
          <w:tcPr>
            <w:tcW w:w="1546" w:type="pct"/>
            <w:shd w:val="clear" w:color="auto" w:fill="E8E8E8"/>
            <w:tcMar>
              <w:top w:w="60" w:type="dxa"/>
              <w:left w:w="80" w:type="dxa"/>
              <w:bottom w:w="60" w:type="dxa"/>
              <w:right w:w="80" w:type="dxa"/>
            </w:tcMar>
          </w:tcPr>
          <w:p w14:paraId="7696E51C" w14:textId="77777777" w:rsidR="00D76725" w:rsidRDefault="00000000" w:rsidP="00412D3E">
            <w:pPr>
              <w:spacing w:before="100" w:beforeAutospacing="1" w:after="100" w:afterAutospacing="1"/>
              <w:jc w:val="both"/>
            </w:pPr>
            <w:r>
              <w:rPr>
                <w:b/>
                <w:bCs/>
                <w:sz w:val="18"/>
                <w:szCs w:val="18"/>
              </w:rPr>
              <w:t>Implication for interpreting adoption claims</w:t>
            </w:r>
          </w:p>
        </w:tc>
        <w:tc>
          <w:tcPr>
            <w:tcW w:w="825" w:type="pct"/>
            <w:shd w:val="clear" w:color="auto" w:fill="E8E8E8"/>
            <w:tcMar>
              <w:top w:w="60" w:type="dxa"/>
              <w:left w:w="80" w:type="dxa"/>
              <w:bottom w:w="60" w:type="dxa"/>
              <w:right w:w="80" w:type="dxa"/>
            </w:tcMar>
          </w:tcPr>
          <w:p w14:paraId="15E05571" w14:textId="77777777" w:rsidR="00D76725" w:rsidRDefault="00000000" w:rsidP="00412D3E">
            <w:pPr>
              <w:spacing w:before="100" w:beforeAutospacing="1" w:after="100" w:afterAutospacing="1"/>
              <w:jc w:val="both"/>
            </w:pPr>
            <w:r>
              <w:rPr>
                <w:b/>
                <w:bCs/>
                <w:sz w:val="18"/>
                <w:szCs w:val="18"/>
              </w:rPr>
              <w:t>Supporting references</w:t>
            </w:r>
          </w:p>
        </w:tc>
      </w:tr>
      <w:tr w:rsidR="00D76725" w14:paraId="1BAD79CE" w14:textId="77777777" w:rsidTr="009F144E">
        <w:tc>
          <w:tcPr>
            <w:tcW w:w="1082" w:type="pct"/>
            <w:tcMar>
              <w:top w:w="60" w:type="dxa"/>
              <w:left w:w="80" w:type="dxa"/>
              <w:bottom w:w="60" w:type="dxa"/>
              <w:right w:w="80" w:type="dxa"/>
            </w:tcMar>
          </w:tcPr>
          <w:p w14:paraId="11DA6376" w14:textId="77777777" w:rsidR="00D76725" w:rsidRDefault="00000000" w:rsidP="00412D3E">
            <w:pPr>
              <w:spacing w:before="100" w:beforeAutospacing="1" w:after="100" w:afterAutospacing="1"/>
              <w:jc w:val="both"/>
            </w:pPr>
            <w:r>
              <w:rPr>
                <w:sz w:val="18"/>
                <w:szCs w:val="18"/>
              </w:rPr>
              <w:t>Language-in-education policy</w:t>
            </w:r>
          </w:p>
        </w:tc>
        <w:tc>
          <w:tcPr>
            <w:tcW w:w="1546" w:type="pct"/>
            <w:tcMar>
              <w:top w:w="60" w:type="dxa"/>
              <w:left w:w="80" w:type="dxa"/>
              <w:bottom w:w="60" w:type="dxa"/>
              <w:right w:w="80" w:type="dxa"/>
            </w:tcMar>
          </w:tcPr>
          <w:p w14:paraId="022650A8" w14:textId="77777777" w:rsidR="00D76725" w:rsidRDefault="00000000" w:rsidP="00412D3E">
            <w:pPr>
              <w:spacing w:before="100" w:beforeAutospacing="1" w:after="100" w:afterAutospacing="1"/>
              <w:jc w:val="both"/>
            </w:pPr>
            <w:r>
              <w:rPr>
                <w:sz w:val="18"/>
                <w:szCs w:val="18"/>
              </w:rPr>
              <w:t>Declared commitment to English unmatched by teacher capacity and curriculum provision; contested relationship between Bangla and English</w:t>
            </w:r>
          </w:p>
        </w:tc>
        <w:tc>
          <w:tcPr>
            <w:tcW w:w="1546" w:type="pct"/>
            <w:tcMar>
              <w:top w:w="60" w:type="dxa"/>
              <w:left w:w="80" w:type="dxa"/>
              <w:bottom w:w="60" w:type="dxa"/>
              <w:right w:w="80" w:type="dxa"/>
            </w:tcMar>
          </w:tcPr>
          <w:p w14:paraId="12F0E5A5" w14:textId="77777777" w:rsidR="00D76725" w:rsidRDefault="00000000" w:rsidP="00412D3E">
            <w:pPr>
              <w:spacing w:before="100" w:beforeAutospacing="1" w:after="100" w:afterAutospacing="1"/>
              <w:jc w:val="both"/>
            </w:pPr>
            <w:r>
              <w:rPr>
                <w:sz w:val="18"/>
                <w:szCs w:val="18"/>
              </w:rPr>
              <w:t>Benefit attributed to tools may reflect compensation for prior instructional deficit rather than pedagogical gain</w:t>
            </w:r>
          </w:p>
        </w:tc>
        <w:tc>
          <w:tcPr>
            <w:tcW w:w="825" w:type="pct"/>
            <w:tcMar>
              <w:top w:w="60" w:type="dxa"/>
              <w:left w:w="80" w:type="dxa"/>
              <w:bottom w:w="60" w:type="dxa"/>
              <w:right w:w="80" w:type="dxa"/>
            </w:tcMar>
          </w:tcPr>
          <w:p w14:paraId="3EA6AFA7" w14:textId="77777777" w:rsidR="00D76725" w:rsidRDefault="00000000" w:rsidP="00412D3E">
            <w:pPr>
              <w:spacing w:before="100" w:beforeAutospacing="1" w:after="100" w:afterAutospacing="1"/>
              <w:jc w:val="both"/>
            </w:pPr>
            <w:r>
              <w:rPr>
                <w:sz w:val="18"/>
                <w:szCs w:val="18"/>
              </w:rPr>
              <w:t>Chowdhury &amp; Kabir (2014); Hamid (2010); Rahman et al. (2019)</w:t>
            </w:r>
          </w:p>
        </w:tc>
      </w:tr>
      <w:tr w:rsidR="00D76725" w14:paraId="23AD5080" w14:textId="77777777" w:rsidTr="009F144E">
        <w:tc>
          <w:tcPr>
            <w:tcW w:w="1082" w:type="pct"/>
            <w:tcMar>
              <w:top w:w="60" w:type="dxa"/>
              <w:left w:w="80" w:type="dxa"/>
              <w:bottom w:w="60" w:type="dxa"/>
              <w:right w:w="80" w:type="dxa"/>
            </w:tcMar>
          </w:tcPr>
          <w:p w14:paraId="69268908" w14:textId="77777777" w:rsidR="00D76725" w:rsidRDefault="00000000" w:rsidP="00412D3E">
            <w:pPr>
              <w:spacing w:before="100" w:beforeAutospacing="1" w:after="100" w:afterAutospacing="1"/>
              <w:jc w:val="both"/>
            </w:pPr>
            <w:r>
              <w:rPr>
                <w:sz w:val="18"/>
                <w:szCs w:val="18"/>
              </w:rPr>
              <w:t>Medium of instruction</w:t>
            </w:r>
          </w:p>
        </w:tc>
        <w:tc>
          <w:tcPr>
            <w:tcW w:w="1546" w:type="pct"/>
            <w:tcMar>
              <w:top w:w="60" w:type="dxa"/>
              <w:left w:w="80" w:type="dxa"/>
              <w:bottom w:w="60" w:type="dxa"/>
              <w:right w:w="80" w:type="dxa"/>
            </w:tcMar>
          </w:tcPr>
          <w:p w14:paraId="0663F6C4" w14:textId="77777777" w:rsidR="00D76725" w:rsidRDefault="00000000" w:rsidP="00412D3E">
            <w:pPr>
              <w:spacing w:before="100" w:beforeAutospacing="1" w:after="100" w:afterAutospacing="1"/>
              <w:jc w:val="both"/>
            </w:pPr>
            <w:r>
              <w:rPr>
                <w:sz w:val="18"/>
                <w:szCs w:val="18"/>
              </w:rPr>
              <w:t>English-medium policy applied unevenly across and within institutions; divergent ideologies by faculty and prior schooling</w:t>
            </w:r>
          </w:p>
        </w:tc>
        <w:tc>
          <w:tcPr>
            <w:tcW w:w="1546" w:type="pct"/>
            <w:tcMar>
              <w:top w:w="60" w:type="dxa"/>
              <w:left w:w="80" w:type="dxa"/>
              <w:bottom w:w="60" w:type="dxa"/>
              <w:right w:w="80" w:type="dxa"/>
            </w:tcMar>
          </w:tcPr>
          <w:p w14:paraId="43FE5E2C" w14:textId="77777777" w:rsidR="00D76725" w:rsidRDefault="00000000" w:rsidP="00412D3E">
            <w:pPr>
              <w:spacing w:before="100" w:beforeAutospacing="1" w:after="100" w:afterAutospacing="1"/>
              <w:jc w:val="both"/>
            </w:pPr>
            <w:r>
              <w:rPr>
                <w:sz w:val="18"/>
                <w:szCs w:val="18"/>
              </w:rPr>
              <w:t>Aggregate national findings mask cohort-level variation; samples drawn from single institution types are not generalisable</w:t>
            </w:r>
          </w:p>
        </w:tc>
        <w:tc>
          <w:tcPr>
            <w:tcW w:w="825" w:type="pct"/>
            <w:tcMar>
              <w:top w:w="60" w:type="dxa"/>
              <w:left w:w="80" w:type="dxa"/>
              <w:bottom w:w="60" w:type="dxa"/>
              <w:right w:w="80" w:type="dxa"/>
            </w:tcMar>
          </w:tcPr>
          <w:p w14:paraId="106F94D4" w14:textId="77777777" w:rsidR="00D76725" w:rsidRDefault="00000000" w:rsidP="00412D3E">
            <w:pPr>
              <w:spacing w:before="100" w:beforeAutospacing="1" w:after="100" w:afterAutospacing="1"/>
              <w:jc w:val="both"/>
            </w:pPr>
            <w:r>
              <w:rPr>
                <w:sz w:val="18"/>
                <w:szCs w:val="18"/>
              </w:rPr>
              <w:t>Hamid et al. (2013); Karim et al. (2023); Rahman et al. (2020)</w:t>
            </w:r>
          </w:p>
        </w:tc>
      </w:tr>
      <w:tr w:rsidR="00D76725" w14:paraId="3B7545AC" w14:textId="77777777" w:rsidTr="009F144E">
        <w:tc>
          <w:tcPr>
            <w:tcW w:w="1082" w:type="pct"/>
            <w:tcMar>
              <w:top w:w="60" w:type="dxa"/>
              <w:left w:w="80" w:type="dxa"/>
              <w:bottom w:w="60" w:type="dxa"/>
              <w:right w:w="80" w:type="dxa"/>
            </w:tcMar>
          </w:tcPr>
          <w:p w14:paraId="4AF5FCEA" w14:textId="77777777" w:rsidR="00D76725" w:rsidRDefault="00000000" w:rsidP="00412D3E">
            <w:pPr>
              <w:spacing w:before="100" w:beforeAutospacing="1" w:after="100" w:afterAutospacing="1"/>
              <w:jc w:val="both"/>
            </w:pPr>
            <w:r>
              <w:rPr>
                <w:sz w:val="18"/>
                <w:szCs w:val="18"/>
              </w:rPr>
              <w:lastRenderedPageBreak/>
              <w:t>Bilingual classroom practice</w:t>
            </w:r>
          </w:p>
        </w:tc>
        <w:tc>
          <w:tcPr>
            <w:tcW w:w="1546" w:type="pct"/>
            <w:tcMar>
              <w:top w:w="60" w:type="dxa"/>
              <w:left w:w="80" w:type="dxa"/>
              <w:bottom w:w="60" w:type="dxa"/>
              <w:right w:w="80" w:type="dxa"/>
            </w:tcMar>
          </w:tcPr>
          <w:p w14:paraId="59F4829C" w14:textId="77777777" w:rsidR="00D76725" w:rsidRDefault="00000000" w:rsidP="00412D3E">
            <w:pPr>
              <w:spacing w:before="100" w:beforeAutospacing="1" w:after="100" w:afterAutospacing="1"/>
              <w:jc w:val="both"/>
            </w:pPr>
            <w:r>
              <w:rPr>
                <w:sz w:val="18"/>
                <w:szCs w:val="18"/>
              </w:rPr>
              <w:t>Translanguaging routinely used for knowledge construction despite monolingual policy framing</w:t>
            </w:r>
          </w:p>
        </w:tc>
        <w:tc>
          <w:tcPr>
            <w:tcW w:w="1546" w:type="pct"/>
            <w:tcMar>
              <w:top w:w="60" w:type="dxa"/>
              <w:left w:w="80" w:type="dxa"/>
              <w:bottom w:w="60" w:type="dxa"/>
              <w:right w:w="80" w:type="dxa"/>
            </w:tcMar>
          </w:tcPr>
          <w:p w14:paraId="14438034" w14:textId="77777777" w:rsidR="00D76725" w:rsidRDefault="00000000" w:rsidP="00412D3E">
            <w:pPr>
              <w:spacing w:before="100" w:beforeAutospacing="1" w:after="100" w:afterAutospacing="1"/>
              <w:jc w:val="both"/>
            </w:pPr>
            <w:r>
              <w:rPr>
                <w:sz w:val="18"/>
                <w:szCs w:val="18"/>
              </w:rPr>
              <w:t>English-optimised tools may not support documented classroom practice; interaction untested in national corpus</w:t>
            </w:r>
          </w:p>
        </w:tc>
        <w:tc>
          <w:tcPr>
            <w:tcW w:w="825" w:type="pct"/>
            <w:tcMar>
              <w:top w:w="60" w:type="dxa"/>
              <w:left w:w="80" w:type="dxa"/>
              <w:bottom w:w="60" w:type="dxa"/>
              <w:right w:w="80" w:type="dxa"/>
            </w:tcMar>
          </w:tcPr>
          <w:p w14:paraId="7C9A0315" w14:textId="77777777" w:rsidR="00D76725" w:rsidRDefault="00000000" w:rsidP="00412D3E">
            <w:pPr>
              <w:spacing w:before="100" w:beforeAutospacing="1" w:after="100" w:afterAutospacing="1"/>
              <w:jc w:val="both"/>
            </w:pPr>
            <w:r>
              <w:rPr>
                <w:sz w:val="18"/>
                <w:szCs w:val="18"/>
              </w:rPr>
              <w:t>Rafi &amp; Morgan (2023); Rahman &amp; Hu (2025); Sultana &amp; Fang (2024)</w:t>
            </w:r>
          </w:p>
        </w:tc>
      </w:tr>
      <w:tr w:rsidR="00D76725" w14:paraId="551E4065" w14:textId="77777777" w:rsidTr="009F144E">
        <w:tc>
          <w:tcPr>
            <w:tcW w:w="1082" w:type="pct"/>
            <w:tcMar>
              <w:top w:w="60" w:type="dxa"/>
              <w:left w:w="80" w:type="dxa"/>
              <w:bottom w:w="60" w:type="dxa"/>
              <w:right w:w="80" w:type="dxa"/>
            </w:tcMar>
          </w:tcPr>
          <w:p w14:paraId="1CFEB9DE" w14:textId="77777777" w:rsidR="00D76725" w:rsidRDefault="00000000" w:rsidP="00412D3E">
            <w:pPr>
              <w:spacing w:before="100" w:beforeAutospacing="1" w:after="100" w:afterAutospacing="1"/>
              <w:jc w:val="both"/>
            </w:pPr>
            <w:r>
              <w:rPr>
                <w:sz w:val="18"/>
                <w:szCs w:val="18"/>
              </w:rPr>
              <w:t>Connectivity and device access</w:t>
            </w:r>
          </w:p>
        </w:tc>
        <w:tc>
          <w:tcPr>
            <w:tcW w:w="1546" w:type="pct"/>
            <w:tcMar>
              <w:top w:w="60" w:type="dxa"/>
              <w:left w:w="80" w:type="dxa"/>
              <w:bottom w:w="60" w:type="dxa"/>
              <w:right w:w="80" w:type="dxa"/>
            </w:tcMar>
          </w:tcPr>
          <w:p w14:paraId="732D4014" w14:textId="77777777" w:rsidR="00D76725" w:rsidRDefault="00000000" w:rsidP="00412D3E">
            <w:pPr>
              <w:spacing w:before="100" w:beforeAutospacing="1" w:after="100" w:afterAutospacing="1"/>
              <w:jc w:val="both"/>
            </w:pPr>
            <w:r>
              <w:rPr>
                <w:sz w:val="18"/>
                <w:szCs w:val="18"/>
              </w:rPr>
              <w:t>Latent divide behind nominal access; bandwidth, device sharing and power supply constraints concentrated outside metropolitan areas</w:t>
            </w:r>
          </w:p>
        </w:tc>
        <w:tc>
          <w:tcPr>
            <w:tcW w:w="1546" w:type="pct"/>
            <w:tcMar>
              <w:top w:w="60" w:type="dxa"/>
              <w:left w:w="80" w:type="dxa"/>
              <w:bottom w:w="60" w:type="dxa"/>
              <w:right w:w="80" w:type="dxa"/>
            </w:tcMar>
          </w:tcPr>
          <w:p w14:paraId="2A003594" w14:textId="77777777" w:rsidR="00D76725" w:rsidRDefault="00000000" w:rsidP="00412D3E">
            <w:pPr>
              <w:spacing w:before="100" w:beforeAutospacing="1" w:after="100" w:afterAutospacing="1"/>
              <w:jc w:val="both"/>
            </w:pPr>
            <w:r>
              <w:rPr>
                <w:sz w:val="18"/>
                <w:szCs w:val="18"/>
              </w:rPr>
              <w:t>Convenience samples of connected students overstate population-level access; equity claims require access data</w:t>
            </w:r>
          </w:p>
        </w:tc>
        <w:tc>
          <w:tcPr>
            <w:tcW w:w="825" w:type="pct"/>
            <w:tcMar>
              <w:top w:w="60" w:type="dxa"/>
              <w:left w:w="80" w:type="dxa"/>
              <w:bottom w:w="60" w:type="dxa"/>
              <w:right w:w="80" w:type="dxa"/>
            </w:tcMar>
          </w:tcPr>
          <w:p w14:paraId="65144169" w14:textId="77777777" w:rsidR="00D76725" w:rsidRDefault="00000000" w:rsidP="00412D3E">
            <w:pPr>
              <w:spacing w:before="100" w:beforeAutospacing="1" w:after="100" w:afterAutospacing="1"/>
              <w:jc w:val="both"/>
            </w:pPr>
            <w:r>
              <w:rPr>
                <w:sz w:val="18"/>
                <w:szCs w:val="18"/>
              </w:rPr>
              <w:t>Badiuzzaman et al. (2021); Mathrani et al. (2022); Saha et al. (2021)</w:t>
            </w:r>
          </w:p>
        </w:tc>
      </w:tr>
      <w:tr w:rsidR="00D76725" w14:paraId="1A8B008F" w14:textId="77777777" w:rsidTr="009F144E">
        <w:tc>
          <w:tcPr>
            <w:tcW w:w="1082" w:type="pct"/>
            <w:tcMar>
              <w:top w:w="60" w:type="dxa"/>
              <w:left w:w="80" w:type="dxa"/>
              <w:bottom w:w="60" w:type="dxa"/>
              <w:right w:w="80" w:type="dxa"/>
            </w:tcMar>
          </w:tcPr>
          <w:p w14:paraId="04994813" w14:textId="77777777" w:rsidR="00D76725" w:rsidRDefault="00000000" w:rsidP="00412D3E">
            <w:pPr>
              <w:spacing w:before="100" w:beforeAutospacing="1" w:after="100" w:afterAutospacing="1"/>
              <w:jc w:val="both"/>
            </w:pPr>
            <w:r>
              <w:rPr>
                <w:sz w:val="18"/>
                <w:szCs w:val="18"/>
              </w:rPr>
              <w:t>Data privacy concern</w:t>
            </w:r>
          </w:p>
        </w:tc>
        <w:tc>
          <w:tcPr>
            <w:tcW w:w="1546" w:type="pct"/>
            <w:tcMar>
              <w:top w:w="60" w:type="dxa"/>
              <w:left w:w="80" w:type="dxa"/>
              <w:bottom w:w="60" w:type="dxa"/>
              <w:right w:w="80" w:type="dxa"/>
            </w:tcMar>
          </w:tcPr>
          <w:p w14:paraId="076EAB2A" w14:textId="77777777" w:rsidR="00D76725" w:rsidRDefault="00000000" w:rsidP="00412D3E">
            <w:pPr>
              <w:spacing w:before="100" w:beforeAutospacing="1" w:after="100" w:afterAutospacing="1"/>
              <w:jc w:val="both"/>
            </w:pPr>
            <w:r>
              <w:rPr>
                <w:sz w:val="18"/>
                <w:szCs w:val="18"/>
              </w:rPr>
              <w:t>Elevated privacy and data-security apprehension among Bangladeshi students relative to a high-income comparator</w:t>
            </w:r>
          </w:p>
        </w:tc>
        <w:tc>
          <w:tcPr>
            <w:tcW w:w="1546" w:type="pct"/>
            <w:tcMar>
              <w:top w:w="60" w:type="dxa"/>
              <w:left w:w="80" w:type="dxa"/>
              <w:bottom w:w="60" w:type="dxa"/>
              <w:right w:w="80" w:type="dxa"/>
            </w:tcMar>
          </w:tcPr>
          <w:p w14:paraId="3BA92ED1" w14:textId="77777777" w:rsidR="00D76725" w:rsidRDefault="00000000" w:rsidP="00412D3E">
            <w:pPr>
              <w:spacing w:before="100" w:beforeAutospacing="1" w:after="100" w:afterAutospacing="1"/>
              <w:jc w:val="both"/>
            </w:pPr>
            <w:r>
              <w:rPr>
                <w:sz w:val="18"/>
                <w:szCs w:val="18"/>
              </w:rPr>
              <w:t>Adoption intention may be suppressed by concerns absent from acceptance models developed elsewhere</w:t>
            </w:r>
          </w:p>
        </w:tc>
        <w:tc>
          <w:tcPr>
            <w:tcW w:w="825" w:type="pct"/>
            <w:tcMar>
              <w:top w:w="60" w:type="dxa"/>
              <w:left w:w="80" w:type="dxa"/>
              <w:bottom w:w="60" w:type="dxa"/>
              <w:right w:w="80" w:type="dxa"/>
            </w:tcMar>
          </w:tcPr>
          <w:p w14:paraId="6475E97B" w14:textId="77777777" w:rsidR="00D76725" w:rsidRDefault="00000000" w:rsidP="00412D3E">
            <w:pPr>
              <w:spacing w:before="100" w:beforeAutospacing="1" w:after="100" w:afterAutospacing="1"/>
              <w:jc w:val="both"/>
            </w:pPr>
            <w:r>
              <w:rPr>
                <w:sz w:val="18"/>
                <w:szCs w:val="18"/>
              </w:rPr>
              <w:t>Bhuiyan et al. (2026)</w:t>
            </w:r>
          </w:p>
        </w:tc>
      </w:tr>
      <w:tr w:rsidR="00D76725" w14:paraId="42F86409" w14:textId="77777777" w:rsidTr="009F144E">
        <w:tc>
          <w:tcPr>
            <w:tcW w:w="1082" w:type="pct"/>
            <w:tcMar>
              <w:top w:w="60" w:type="dxa"/>
              <w:left w:w="80" w:type="dxa"/>
              <w:bottom w:w="60" w:type="dxa"/>
              <w:right w:w="80" w:type="dxa"/>
            </w:tcMar>
          </w:tcPr>
          <w:p w14:paraId="61A11E80" w14:textId="77777777" w:rsidR="00D76725" w:rsidRDefault="00000000" w:rsidP="00412D3E">
            <w:pPr>
              <w:spacing w:before="100" w:beforeAutospacing="1" w:after="100" w:afterAutospacing="1"/>
              <w:jc w:val="both"/>
            </w:pPr>
            <w:r>
              <w:rPr>
                <w:sz w:val="18"/>
                <w:szCs w:val="18"/>
              </w:rPr>
              <w:t>Assessment regime</w:t>
            </w:r>
          </w:p>
        </w:tc>
        <w:tc>
          <w:tcPr>
            <w:tcW w:w="1546" w:type="pct"/>
            <w:tcMar>
              <w:top w:w="60" w:type="dxa"/>
              <w:left w:w="80" w:type="dxa"/>
              <w:bottom w:w="60" w:type="dxa"/>
              <w:right w:w="80" w:type="dxa"/>
            </w:tcMar>
          </w:tcPr>
          <w:p w14:paraId="7D1C094F" w14:textId="77777777" w:rsidR="00D76725" w:rsidRDefault="00000000" w:rsidP="00412D3E">
            <w:pPr>
              <w:spacing w:before="100" w:beforeAutospacing="1" w:after="100" w:afterAutospacing="1"/>
              <w:jc w:val="both"/>
            </w:pPr>
            <w:r>
              <w:rPr>
                <w:sz w:val="18"/>
                <w:szCs w:val="18"/>
              </w:rPr>
              <w:t>Strong examination washback; limited formative practice; heavy reliance on summative written work</w:t>
            </w:r>
          </w:p>
        </w:tc>
        <w:tc>
          <w:tcPr>
            <w:tcW w:w="1546" w:type="pct"/>
            <w:tcMar>
              <w:top w:w="60" w:type="dxa"/>
              <w:left w:w="80" w:type="dxa"/>
              <w:bottom w:w="60" w:type="dxa"/>
              <w:right w:w="80" w:type="dxa"/>
            </w:tcMar>
          </w:tcPr>
          <w:p w14:paraId="379E22B9" w14:textId="77777777" w:rsidR="00D76725" w:rsidRDefault="00000000" w:rsidP="00412D3E">
            <w:pPr>
              <w:spacing w:before="100" w:beforeAutospacing="1" w:after="100" w:afterAutospacing="1"/>
              <w:jc w:val="both"/>
            </w:pPr>
            <w:r>
              <w:rPr>
                <w:sz w:val="18"/>
                <w:szCs w:val="18"/>
              </w:rPr>
              <w:t>Generative tools substitute for the assessed construct rather than supporting it; integrity effects are structural</w:t>
            </w:r>
          </w:p>
        </w:tc>
        <w:tc>
          <w:tcPr>
            <w:tcW w:w="825" w:type="pct"/>
            <w:tcMar>
              <w:top w:w="60" w:type="dxa"/>
              <w:left w:w="80" w:type="dxa"/>
              <w:bottom w:w="60" w:type="dxa"/>
              <w:right w:w="80" w:type="dxa"/>
            </w:tcMar>
          </w:tcPr>
          <w:p w14:paraId="48A6D2F9" w14:textId="77777777" w:rsidR="00D76725" w:rsidRDefault="00000000" w:rsidP="00412D3E">
            <w:pPr>
              <w:spacing w:before="100" w:beforeAutospacing="1" w:after="100" w:afterAutospacing="1"/>
              <w:jc w:val="both"/>
            </w:pPr>
            <w:r>
              <w:rPr>
                <w:sz w:val="18"/>
                <w:szCs w:val="18"/>
              </w:rPr>
              <w:t>Ali &amp; Hamid (2020); Islam et al. (2021)</w:t>
            </w:r>
          </w:p>
        </w:tc>
      </w:tr>
      <w:tr w:rsidR="00D76725" w14:paraId="4BC0B8AA" w14:textId="77777777" w:rsidTr="009F144E">
        <w:tc>
          <w:tcPr>
            <w:tcW w:w="1082" w:type="pct"/>
            <w:tcMar>
              <w:top w:w="60" w:type="dxa"/>
              <w:left w:w="80" w:type="dxa"/>
              <w:bottom w:w="60" w:type="dxa"/>
              <w:right w:w="80" w:type="dxa"/>
            </w:tcMar>
          </w:tcPr>
          <w:p w14:paraId="4E229558" w14:textId="77777777" w:rsidR="00D76725" w:rsidRDefault="00000000" w:rsidP="00412D3E">
            <w:pPr>
              <w:spacing w:before="100" w:beforeAutospacing="1" w:after="100" w:afterAutospacing="1"/>
              <w:jc w:val="both"/>
            </w:pPr>
            <w:r>
              <w:rPr>
                <w:sz w:val="18"/>
                <w:szCs w:val="18"/>
              </w:rPr>
              <w:t>Institutional governance</w:t>
            </w:r>
          </w:p>
        </w:tc>
        <w:tc>
          <w:tcPr>
            <w:tcW w:w="1546" w:type="pct"/>
            <w:tcMar>
              <w:top w:w="60" w:type="dxa"/>
              <w:left w:w="80" w:type="dxa"/>
              <w:bottom w:w="60" w:type="dxa"/>
              <w:right w:w="80" w:type="dxa"/>
            </w:tcMar>
          </w:tcPr>
          <w:p w14:paraId="1FC83646" w14:textId="77777777" w:rsidR="00D76725" w:rsidRDefault="00000000" w:rsidP="00412D3E">
            <w:pPr>
              <w:spacing w:before="100" w:beforeAutospacing="1" w:after="100" w:afterAutospacing="1"/>
              <w:jc w:val="both"/>
            </w:pPr>
            <w:r>
              <w:rPr>
                <w:sz w:val="18"/>
                <w:szCs w:val="18"/>
              </w:rPr>
              <w:t>Recognised gap between stated commitment to regulate use and operative mechanisms</w:t>
            </w:r>
          </w:p>
        </w:tc>
        <w:tc>
          <w:tcPr>
            <w:tcW w:w="1546" w:type="pct"/>
            <w:tcMar>
              <w:top w:w="60" w:type="dxa"/>
              <w:left w:w="80" w:type="dxa"/>
              <w:bottom w:w="60" w:type="dxa"/>
              <w:right w:w="80" w:type="dxa"/>
            </w:tcMar>
          </w:tcPr>
          <w:p w14:paraId="5ED6E515" w14:textId="77777777" w:rsidR="00D76725" w:rsidRDefault="00000000" w:rsidP="00412D3E">
            <w:pPr>
              <w:spacing w:before="100" w:beforeAutospacing="1" w:after="100" w:afterAutospacing="1"/>
              <w:jc w:val="both"/>
            </w:pPr>
            <w:r>
              <w:rPr>
                <w:sz w:val="18"/>
                <w:szCs w:val="18"/>
              </w:rPr>
              <w:t>Absence of policy is a study finding, not a background condition, and requires direct investigation</w:t>
            </w:r>
          </w:p>
        </w:tc>
        <w:tc>
          <w:tcPr>
            <w:tcW w:w="825" w:type="pct"/>
            <w:tcMar>
              <w:top w:w="60" w:type="dxa"/>
              <w:left w:w="80" w:type="dxa"/>
              <w:bottom w:w="60" w:type="dxa"/>
              <w:right w:w="80" w:type="dxa"/>
            </w:tcMar>
          </w:tcPr>
          <w:p w14:paraId="751F45AB" w14:textId="77777777" w:rsidR="00D76725" w:rsidRDefault="00000000" w:rsidP="00412D3E">
            <w:pPr>
              <w:spacing w:before="100" w:beforeAutospacing="1" w:after="100" w:afterAutospacing="1"/>
              <w:jc w:val="both"/>
            </w:pPr>
            <w:r>
              <w:rPr>
                <w:sz w:val="18"/>
                <w:szCs w:val="18"/>
              </w:rPr>
              <w:t>Eva et al. (2024); Nahiyan &amp; Rahman (2026)</w:t>
            </w:r>
          </w:p>
        </w:tc>
      </w:tr>
    </w:tbl>
    <w:p w14:paraId="3B79423A" w14:textId="77777777" w:rsidR="00D76725" w:rsidRDefault="00000000" w:rsidP="00412D3E">
      <w:pPr>
        <w:spacing w:before="100" w:beforeAutospacing="1" w:after="100" w:afterAutospacing="1"/>
        <w:jc w:val="both"/>
      </w:pPr>
      <w:r>
        <w:rPr>
          <w:i/>
          <w:iCs/>
          <w:sz w:val="18"/>
          <w:szCs w:val="18"/>
        </w:rPr>
        <w:t>Note. The table reports conditions established in the cited literature prior to, or independently of, the introduction of generative artificial intelligence. It does not claim to be exhaustive of all structural determinants operating in Bangladeshi higher education.</w:t>
      </w:r>
    </w:p>
    <w:p w14:paraId="35EE7733" w14:textId="77777777" w:rsidR="00D76725" w:rsidRDefault="00000000" w:rsidP="00412D3E">
      <w:pPr>
        <w:pStyle w:val="Heading1"/>
        <w:spacing w:before="100" w:beforeAutospacing="1" w:after="100" w:afterAutospacing="1"/>
        <w:jc w:val="both"/>
      </w:pPr>
      <w:r>
        <w:rPr>
          <w:b/>
          <w:bCs/>
          <w:color w:val="000000"/>
          <w:sz w:val="28"/>
          <w:szCs w:val="28"/>
        </w:rPr>
        <w:t>4. Perception, Acceptance and the Dominance of Self-Report</w:t>
      </w:r>
    </w:p>
    <w:p w14:paraId="185FA7FC" w14:textId="77777777" w:rsidR="00D76725" w:rsidRDefault="00000000" w:rsidP="00412D3E">
      <w:pPr>
        <w:spacing w:before="100" w:beforeAutospacing="1" w:after="100" w:afterAutospacing="1"/>
        <w:jc w:val="both"/>
      </w:pPr>
      <w:r>
        <w:rPr>
          <w:sz w:val="24"/>
          <w:szCs w:val="24"/>
        </w:rPr>
        <w:t>The Bangladeshi corpus on artificial intelligence in language education is dominated by two design families: qualitative or mixed-methods studies of perception and experience, and quantitative studies modelling adoption intention. Both are legitimate. Neither measures learning. This section establishes what the corpus supports, examines the explanatory ceiling of acceptance modelling, and considers the consequences of the resulting methodological concentration.</w:t>
      </w:r>
    </w:p>
    <w:p w14:paraId="28BC3AD3" w14:textId="77777777" w:rsidR="00D76725" w:rsidRDefault="00000000" w:rsidP="00412D3E">
      <w:pPr>
        <w:pStyle w:val="Heading2"/>
        <w:spacing w:before="100" w:beforeAutospacing="1" w:after="100" w:afterAutospacing="1"/>
        <w:jc w:val="both"/>
      </w:pPr>
      <w:r>
        <w:rPr>
          <w:b/>
          <w:bCs/>
          <w:color w:val="000000"/>
        </w:rPr>
        <w:t>4.1 What the Bangladeshi corpus establishes</w:t>
      </w:r>
    </w:p>
    <w:p w14:paraId="5829870B" w14:textId="77777777" w:rsidR="00D76725" w:rsidRDefault="00000000" w:rsidP="00412D3E">
      <w:pPr>
        <w:spacing w:before="100" w:beforeAutospacing="1" w:after="100" w:afterAutospacing="1"/>
        <w:jc w:val="both"/>
      </w:pPr>
      <w:r>
        <w:rPr>
          <w:sz w:val="24"/>
          <w:szCs w:val="24"/>
        </w:rPr>
        <w:t xml:space="preserve">The most secure finding is that use is widespread. Thematic analysis of an open-ended survey of seventeen tertiary English teachers across public and private universities found regular use of integrity-detection software, a general-purpose generative model and a commercial writing assistant, with most participants treating these as efficient auxiliary tools for work on writing, vocabulary, grammar and materials design (Munni &amp; Rafique, 2025). A larger mixed-methods study surveying one hundred and twenty-three English teachers across twenty universities, supplemented by interviews, reported a comparable pattern of engagement alongside perceived improvement in teaching strategy and time management (Hasan et al., 2026b). On the student side, a sequential mixed-methods design combining a survey of seventy participants with ten interviews reported broadly positive perceptions of artificial intelligence tools for writing development, tempered by identified barriers including technical difficulty, plagiarism risk and misconceptions about tool capability (Khan et al., 2024). Qualitative interview work with ten university instructors experimenting with generative tools in first-year writing instruction </w:t>
      </w:r>
      <w:r>
        <w:rPr>
          <w:sz w:val="24"/>
          <w:szCs w:val="24"/>
        </w:rPr>
        <w:lastRenderedPageBreak/>
        <w:t>documented adaptive customisation of generated materials to learners' linguistic and cultural circumstances (</w:t>
      </w:r>
      <w:proofErr w:type="spellStart"/>
      <w:r>
        <w:rPr>
          <w:sz w:val="24"/>
          <w:szCs w:val="24"/>
        </w:rPr>
        <w:t>Ansaree</w:t>
      </w:r>
      <w:proofErr w:type="spellEnd"/>
      <w:r>
        <w:rPr>
          <w:sz w:val="24"/>
          <w:szCs w:val="24"/>
        </w:rPr>
        <w:t xml:space="preserve"> &amp; Uddin, 2026).</w:t>
      </w:r>
    </w:p>
    <w:p w14:paraId="4C2E9B65" w14:textId="77777777" w:rsidR="00D76725" w:rsidRDefault="00000000" w:rsidP="00412D3E">
      <w:pPr>
        <w:spacing w:before="100" w:beforeAutospacing="1" w:after="100" w:afterAutospacing="1"/>
        <w:jc w:val="both"/>
      </w:pPr>
      <w:r>
        <w:rPr>
          <w:sz w:val="24"/>
          <w:szCs w:val="24"/>
        </w:rPr>
        <w:t>Complementary mixed-methods work on teacher perception and usage of a general-purpose generative model in the Bangladeshi context reports a similar profile of instrumental adoption for lesson preparation and language support, drawn from a separate sample of tertiary English teachers (Tarannum et al., 2025). Evidence from the secondary sector, while outside the primary scope of this review, is relevant to the preparation of entering undergraduates and shows the same combination of reported benefit for pronunciation work and written organisation with concern about plagiarism, over-reliance, insufficient practical training and inadequate institutional support (Akhter &amp; Hossain, 2026). The recurrence of an identical concern profile across educational levels indicates that the pattern is systemic rather than particular to tertiary provision.</w:t>
      </w:r>
    </w:p>
    <w:p w14:paraId="330C48D6" w14:textId="77777777" w:rsidR="00D76725" w:rsidRDefault="00000000" w:rsidP="00412D3E">
      <w:pPr>
        <w:spacing w:before="100" w:beforeAutospacing="1" w:after="100" w:afterAutospacing="1"/>
        <w:jc w:val="both"/>
      </w:pPr>
      <w:r>
        <w:rPr>
          <w:sz w:val="24"/>
          <w:szCs w:val="24"/>
        </w:rPr>
        <w:t>The second reasonably secure finding is that teacher preparedness is perceived as inadequate by teachers themselves. An early national survey of university teachers found limited understanding of artificial intelligence and its classroom applications, alongside willingness to regard it as an educational possibility (Shirin, 2022). Later work is consistent. Teachers in the open-ended survey study reported concern about their own readiness and about student misuse (Munni &amp; Rafique, 2025), and the mixed-methods survey of teachers across twenty universities found that those who had received artificial intelligence training performed significantly better than those who had not at recognising machine-generated English content, while teacher designation showed no significant association with perceived challenges (Hasan et al., 2026b). The training finding is the more informative of the two, because it identifies a modifiable variable rather than a demographic correlate, and because it was tested rather than asserted.</w:t>
      </w:r>
    </w:p>
    <w:p w14:paraId="7952F6BB" w14:textId="77777777" w:rsidR="00D76725" w:rsidRDefault="00000000" w:rsidP="00412D3E">
      <w:pPr>
        <w:spacing w:before="100" w:beforeAutospacing="1" w:after="100" w:afterAutospacing="1"/>
        <w:jc w:val="both"/>
      </w:pPr>
      <w:r>
        <w:rPr>
          <w:sz w:val="24"/>
          <w:szCs w:val="24"/>
        </w:rPr>
        <w:t>The third finding concerns concern itself. Reservation about academic integrity is present in every teacher-facing Bangladeshi study retrieved, and in the disciplinary-teacher study it is the organising theme rather than a peripheral caveat (Nahiyan &amp; Rahman, 2026). The consistency of this result across sampling frames and analytic approaches makes it one of the more robust conclusions available from the national literature, although it establishes the prevalence of a perception rather than the prevalence of the behaviour that occasions it.</w:t>
      </w:r>
    </w:p>
    <w:p w14:paraId="7ED05E96" w14:textId="77777777" w:rsidR="00D76725" w:rsidRDefault="00000000" w:rsidP="00412D3E">
      <w:pPr>
        <w:spacing w:before="100" w:beforeAutospacing="1" w:after="100" w:afterAutospacing="1"/>
        <w:jc w:val="both"/>
      </w:pPr>
      <w:r>
        <w:rPr>
          <w:sz w:val="24"/>
          <w:szCs w:val="24"/>
        </w:rPr>
        <w:t>What the corpus does not establish is any effect on language proficiency. No retrieved study conducted in Bangladesh employed a controlled or quasi-experimental design with pre- and post-intervention measurement of a language outcome. Reports of improvement in writing, vocabulary or organisation are reports of perceived improvement, elicited from participants who are aware of the purpose of the research and who have no independent basis for evaluating counterfactual performance. This is not a defect peculiar to Bangladeshi scholarship. International scoping work found that approximately two-fifths of studies of generative artificial intelligence in language education examined user perception rather than impact (Wang et al., 2025). The distinction matters more acutely in Bangladesh, however, because the policy inferences being drawn from the national corpus concern resource allocation and curriculum change.</w:t>
      </w:r>
    </w:p>
    <w:p w14:paraId="1AC9AE09" w14:textId="77777777" w:rsidR="00D76725" w:rsidRDefault="00000000" w:rsidP="00412D3E">
      <w:pPr>
        <w:pStyle w:val="Heading2"/>
        <w:spacing w:before="100" w:beforeAutospacing="1" w:after="100" w:afterAutospacing="1"/>
        <w:jc w:val="both"/>
      </w:pPr>
      <w:r>
        <w:rPr>
          <w:b/>
          <w:bCs/>
          <w:color w:val="000000"/>
        </w:rPr>
        <w:t>4.2 Acceptance modelling and its explanatory ceiling</w:t>
      </w:r>
    </w:p>
    <w:p w14:paraId="46264764" w14:textId="77777777" w:rsidR="00D76725" w:rsidRDefault="00000000" w:rsidP="00412D3E">
      <w:pPr>
        <w:spacing w:before="100" w:beforeAutospacing="1" w:after="100" w:afterAutospacing="1"/>
        <w:jc w:val="both"/>
      </w:pPr>
      <w:r>
        <w:rPr>
          <w:sz w:val="24"/>
          <w:szCs w:val="24"/>
        </w:rPr>
        <w:t xml:space="preserve">A second cluster of Bangladeshi work applies technology acceptance frameworks. A survey of one hundred and fifty-nine first-year students at public and private universities found that both cognitive and affective attitudes significantly predicted behavioural intention to use a </w:t>
      </w:r>
      <w:r>
        <w:rPr>
          <w:sz w:val="24"/>
          <w:szCs w:val="24"/>
        </w:rPr>
        <w:lastRenderedPageBreak/>
        <w:t>generative model for academic writing, with affective attitude the stronger predictor and a partial mediating relationship between the two constructs (</w:t>
      </w:r>
      <w:proofErr w:type="spellStart"/>
      <w:r>
        <w:rPr>
          <w:sz w:val="24"/>
          <w:szCs w:val="24"/>
        </w:rPr>
        <w:t>Bristi</w:t>
      </w:r>
      <w:proofErr w:type="spellEnd"/>
      <w:r>
        <w:rPr>
          <w:sz w:val="24"/>
          <w:szCs w:val="24"/>
        </w:rPr>
        <w:t xml:space="preserve"> et al., 2025). A study of three hundred and seven students applying the unified theory of acceptance and use of technology, with additional psychological constructs, found performance expectancy, effort expectancy, facilitating conditions, self-efficacy and technological awareness to be significant determinants of actual use, and identified through decomposition analysis a gap in use by educational attainment, with higher-education students using the tool more than secondary-level students (Akter et al., 2026). A further study applying the extended unified framework to public and private university students found habit, hedonic motivation, effort expectancy, social influence and mobility to be significant, with gender and institution type acting as moderators (Kibria et al., 2026). Related work on career management among business graduates using the technology acceptance model reports that institutional environment moderates the relationship between technology-based education and graduate outcomes (Rahman &amp; Joof, 2026).</w:t>
      </w:r>
    </w:p>
    <w:p w14:paraId="458DA30A" w14:textId="77777777" w:rsidR="00D76725" w:rsidRDefault="00000000" w:rsidP="00412D3E">
      <w:pPr>
        <w:spacing w:before="100" w:beforeAutospacing="1" w:after="100" w:afterAutospacing="1"/>
        <w:jc w:val="both"/>
      </w:pPr>
      <w:r>
        <w:rPr>
          <w:sz w:val="24"/>
          <w:szCs w:val="24"/>
        </w:rPr>
        <w:t>These studies are internally competent and their statistical procedures are appropriate to their designs. The difficulty is architectural. Acceptance frameworks were formulated to explain the adoption of discretionary workplace technologies, and their dependent variable is intention or self-reported use. Applying them to a technology that is already in near-universal informal use among students answers a question of diminishing interest. The finding that performance expectancy predicts intention is close to definitional, and its replication across national contexts, evidenced in cross-country analysis of adoption and anxiety (Budhathoki et al., 2024) and in business-school populations elsewhere (Al-</w:t>
      </w:r>
      <w:proofErr w:type="spellStart"/>
      <w:r>
        <w:rPr>
          <w:sz w:val="24"/>
          <w:szCs w:val="24"/>
        </w:rPr>
        <w:t>Okaily</w:t>
      </w:r>
      <w:proofErr w:type="spellEnd"/>
      <w:r>
        <w:rPr>
          <w:sz w:val="24"/>
          <w:szCs w:val="24"/>
        </w:rPr>
        <w:t xml:space="preserve"> et al., 2025), indicates generality rather than local insight.</w:t>
      </w:r>
    </w:p>
    <w:p w14:paraId="65B49D0F" w14:textId="77777777" w:rsidR="00D76725" w:rsidRDefault="00000000" w:rsidP="00412D3E">
      <w:pPr>
        <w:spacing w:before="100" w:beforeAutospacing="1" w:after="100" w:afterAutospacing="1"/>
        <w:jc w:val="both"/>
      </w:pPr>
      <w:r>
        <w:rPr>
          <w:sz w:val="24"/>
          <w:szCs w:val="24"/>
        </w:rPr>
        <w:t>Two features of the Bangladeshi acceptance literature nevertheless repay attention. The educational-attainment gap identified through decomposition analysis is a genuine finding about stratification rather than about psychology, and it aligns with the structural evidence reviewed in Section 3 (Akter et al., 2026). The moderating role of institution type is similarly substantive, since the public and private sectors differ systematically in medium-of-instruction practice and student composition (Kibria et al., 2026; Rahman et al., 2020). Neither finding follows from acceptance theory; both emerge from the covariates rather than from the model. This suggests that the productive contribution of this literature lies in what it documents about differential access and use, not in what it explains about intention.</w:t>
      </w:r>
    </w:p>
    <w:p w14:paraId="5CFA2DE7" w14:textId="77777777" w:rsidR="00D76725" w:rsidRDefault="00000000" w:rsidP="00412D3E">
      <w:pPr>
        <w:pStyle w:val="Heading2"/>
        <w:spacing w:before="100" w:beforeAutospacing="1" w:after="100" w:afterAutospacing="1"/>
        <w:jc w:val="both"/>
      </w:pPr>
      <w:r>
        <w:rPr>
          <w:b/>
          <w:bCs/>
          <w:color w:val="000000"/>
        </w:rPr>
        <w:t>4.3 Consequences of methodological concentration</w:t>
      </w:r>
    </w:p>
    <w:p w14:paraId="04BFCE83" w14:textId="77777777" w:rsidR="00D76725" w:rsidRDefault="00000000" w:rsidP="00412D3E">
      <w:pPr>
        <w:spacing w:before="100" w:beforeAutospacing="1" w:after="100" w:afterAutospacing="1"/>
        <w:jc w:val="both"/>
      </w:pPr>
      <w:r>
        <w:rPr>
          <w:sz w:val="24"/>
          <w:szCs w:val="24"/>
        </w:rPr>
        <w:t>The concentration of the national corpus in perception and acceptance designs produces three specific problems. The first is inferential inflation, in that studies designed to characterise attitudes routinely conclude with recommendations about curriculum integration and teacher training that would require outcome evidence to justify. The second is sampling opacity. Several retrieved studies employ convenience or purposive samples of connected, urban, digitally engaged participants, which is defensible for exploratory work but systematically excludes the population for whom the access constraints documented in Section 3.2 are binding. Claims about equity effects cannot be sustained on samples selected for access.</w:t>
      </w:r>
    </w:p>
    <w:p w14:paraId="4D623807" w14:textId="77777777" w:rsidR="00D76725" w:rsidRDefault="00000000" w:rsidP="00412D3E">
      <w:pPr>
        <w:spacing w:before="100" w:beforeAutospacing="1" w:after="100" w:afterAutospacing="1"/>
        <w:jc w:val="both"/>
      </w:pPr>
      <w:r>
        <w:rPr>
          <w:sz w:val="24"/>
          <w:szCs w:val="24"/>
        </w:rPr>
        <w:t xml:space="preserve">Evidence from a comparable regional setting illustrates why the distinction between perception and outcome is not pedantic. An explanatory sequential mixed-methods study in Thai higher education found high student acceptance of generative tools across performance expectancy, effort expectancy, facilitating conditions and use behaviour, together with qualitative reports of improved efficiency, engagement and linguistic confidence, yet found no statistically </w:t>
      </w:r>
      <w:r>
        <w:rPr>
          <w:sz w:val="24"/>
          <w:szCs w:val="24"/>
        </w:rPr>
        <w:lastRenderedPageBreak/>
        <w:t xml:space="preserve">significant difference in tool usage between higher- and lower-performing students and no significant correlation between performance expectancy and grade point average (Waluyo &amp; </w:t>
      </w:r>
      <w:proofErr w:type="spellStart"/>
      <w:r>
        <w:rPr>
          <w:sz w:val="24"/>
          <w:szCs w:val="24"/>
        </w:rPr>
        <w:t>Kusumastuti</w:t>
      </w:r>
      <w:proofErr w:type="spellEnd"/>
      <w:r>
        <w:rPr>
          <w:sz w:val="24"/>
          <w:szCs w:val="24"/>
        </w:rPr>
        <w:t>, 2024). Reported engagement and reported benefit were, in that study, unrelated to attainment. Student-facing research on generative artificial intelligence for academic communication reaches a compatible conclusion, documenting appreciation of the support offered alongside uncertainty about its legitimacy and about the boundary between assistance and substitution (Liu et al., 2024). Bangladeshi studies reporting perceived benefit have not tested the corresponding relationship, and the Thai finding indicates that it should not be assumed.</w:t>
      </w:r>
    </w:p>
    <w:p w14:paraId="4C0C4679" w14:textId="77777777" w:rsidR="00D76725" w:rsidRDefault="00000000" w:rsidP="00412D3E">
      <w:pPr>
        <w:spacing w:before="100" w:beforeAutospacing="1" w:after="100" w:afterAutospacing="1"/>
        <w:jc w:val="both"/>
      </w:pPr>
      <w:r>
        <w:rPr>
          <w:sz w:val="24"/>
          <w:szCs w:val="24"/>
        </w:rPr>
        <w:t>The third problem is temporal. The tools under study change on a cycle measured in months, and the retrieved studies rarely specify model version, interface, or the prompts through which the tool was engaged. International scoping work identified this reporting deficiency and recommended systematic documentation of version and prompt pattern as a precondition for cumulative knowledge (Wang et al., 2025). Without it, the national corpus cannot support longitudinal comparison, and findings reported in 2024 may describe a capability profile no longer available to learners.</w:t>
      </w:r>
    </w:p>
    <w:p w14:paraId="0DF8794F" w14:textId="77777777" w:rsidR="00D76725" w:rsidRDefault="00000000" w:rsidP="00412D3E">
      <w:pPr>
        <w:spacing w:before="100" w:beforeAutospacing="1" w:after="100" w:afterAutospacing="1"/>
        <w:jc w:val="both"/>
      </w:pPr>
      <w:r>
        <w:rPr>
          <w:sz w:val="24"/>
          <w:szCs w:val="24"/>
        </w:rPr>
        <w:t>Table 2 characterises the principal Bangladeshi empirical studies retrieved, specifying design, participants, the construct actually measured and the limitation most relevant to interpretation. Its purpose is analytical rather than descriptive: reading down the fourth column establishes that the national evidence base measures perception, attitude and intention almost exclusively, and reading down the fifth establishes that the limitations are structural to the design family rather than incidental to individual studies. The table underlines the argument that the corpus has reached the limits of what its dominant methods can deliver.</w:t>
      </w:r>
    </w:p>
    <w:p w14:paraId="10528E04" w14:textId="77777777" w:rsidR="00D76725" w:rsidRDefault="00000000" w:rsidP="00412D3E">
      <w:pPr>
        <w:spacing w:before="100" w:beforeAutospacing="1" w:after="100" w:afterAutospacing="1"/>
        <w:jc w:val="both"/>
      </w:pPr>
      <w:r>
        <w:rPr>
          <w:b/>
          <w:bCs/>
          <w:sz w:val="22"/>
          <w:szCs w:val="22"/>
        </w:rPr>
        <w:t>Table 2. Design characteristics of principal Bangladeshi empirical studies on artificial intelligence in tertiary language education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75"/>
        <w:gridCol w:w="1264"/>
        <w:gridCol w:w="1306"/>
        <w:gridCol w:w="1601"/>
        <w:gridCol w:w="1938"/>
        <w:gridCol w:w="1432"/>
      </w:tblGrid>
      <w:tr w:rsidR="00D76725" w14:paraId="7F933DF1" w14:textId="77777777" w:rsidTr="009F144E">
        <w:trPr>
          <w:tblHeader/>
        </w:trPr>
        <w:tc>
          <w:tcPr>
            <w:tcW w:w="818" w:type="pct"/>
            <w:shd w:val="clear" w:color="auto" w:fill="E8E8E8"/>
            <w:tcMar>
              <w:top w:w="60" w:type="dxa"/>
              <w:left w:w="80" w:type="dxa"/>
              <w:bottom w:w="60" w:type="dxa"/>
              <w:right w:w="80" w:type="dxa"/>
            </w:tcMar>
          </w:tcPr>
          <w:p w14:paraId="4A1ED96A" w14:textId="77777777" w:rsidR="00D76725" w:rsidRDefault="00000000" w:rsidP="00412D3E">
            <w:pPr>
              <w:spacing w:before="100" w:beforeAutospacing="1" w:after="100" w:afterAutospacing="1"/>
              <w:jc w:val="both"/>
            </w:pPr>
            <w:r>
              <w:rPr>
                <w:b/>
                <w:bCs/>
                <w:sz w:val="18"/>
                <w:szCs w:val="18"/>
              </w:rPr>
              <w:t>Study</w:t>
            </w:r>
          </w:p>
        </w:tc>
        <w:tc>
          <w:tcPr>
            <w:tcW w:w="701" w:type="pct"/>
            <w:shd w:val="clear" w:color="auto" w:fill="E8E8E8"/>
            <w:tcMar>
              <w:top w:w="60" w:type="dxa"/>
              <w:left w:w="80" w:type="dxa"/>
              <w:bottom w:w="60" w:type="dxa"/>
              <w:right w:w="80" w:type="dxa"/>
            </w:tcMar>
          </w:tcPr>
          <w:p w14:paraId="1C87868F" w14:textId="77777777" w:rsidR="00D76725" w:rsidRDefault="00000000" w:rsidP="00412D3E">
            <w:pPr>
              <w:spacing w:before="100" w:beforeAutospacing="1" w:after="100" w:afterAutospacing="1"/>
              <w:jc w:val="both"/>
            </w:pPr>
            <w:r>
              <w:rPr>
                <w:b/>
                <w:bCs/>
                <w:sz w:val="18"/>
                <w:szCs w:val="18"/>
              </w:rPr>
              <w:t>Design</w:t>
            </w:r>
          </w:p>
        </w:tc>
        <w:tc>
          <w:tcPr>
            <w:tcW w:w="724" w:type="pct"/>
            <w:shd w:val="clear" w:color="auto" w:fill="E8E8E8"/>
            <w:tcMar>
              <w:top w:w="60" w:type="dxa"/>
              <w:left w:w="80" w:type="dxa"/>
              <w:bottom w:w="60" w:type="dxa"/>
              <w:right w:w="80" w:type="dxa"/>
            </w:tcMar>
          </w:tcPr>
          <w:p w14:paraId="1641E7A1" w14:textId="77777777" w:rsidR="00D76725" w:rsidRDefault="00000000" w:rsidP="00412D3E">
            <w:pPr>
              <w:spacing w:before="100" w:beforeAutospacing="1" w:after="100" w:afterAutospacing="1"/>
              <w:jc w:val="both"/>
            </w:pPr>
            <w:r>
              <w:rPr>
                <w:b/>
                <w:bCs/>
                <w:sz w:val="18"/>
                <w:szCs w:val="18"/>
              </w:rPr>
              <w:t>Participants</w:t>
            </w:r>
          </w:p>
        </w:tc>
        <w:tc>
          <w:tcPr>
            <w:tcW w:w="888" w:type="pct"/>
            <w:shd w:val="clear" w:color="auto" w:fill="E8E8E8"/>
            <w:tcMar>
              <w:top w:w="60" w:type="dxa"/>
              <w:left w:w="80" w:type="dxa"/>
              <w:bottom w:w="60" w:type="dxa"/>
              <w:right w:w="80" w:type="dxa"/>
            </w:tcMar>
          </w:tcPr>
          <w:p w14:paraId="795FD07E" w14:textId="77777777" w:rsidR="00D76725" w:rsidRDefault="00000000" w:rsidP="00412D3E">
            <w:pPr>
              <w:spacing w:before="100" w:beforeAutospacing="1" w:after="100" w:afterAutospacing="1"/>
              <w:jc w:val="both"/>
            </w:pPr>
            <w:r>
              <w:rPr>
                <w:b/>
                <w:bCs/>
                <w:sz w:val="18"/>
                <w:szCs w:val="18"/>
              </w:rPr>
              <w:t>Construct measured</w:t>
            </w:r>
          </w:p>
        </w:tc>
        <w:tc>
          <w:tcPr>
            <w:tcW w:w="1075" w:type="pct"/>
            <w:shd w:val="clear" w:color="auto" w:fill="E8E8E8"/>
            <w:tcMar>
              <w:top w:w="60" w:type="dxa"/>
              <w:left w:w="80" w:type="dxa"/>
              <w:bottom w:w="60" w:type="dxa"/>
              <w:right w:w="80" w:type="dxa"/>
            </w:tcMar>
          </w:tcPr>
          <w:p w14:paraId="6BCE7D23" w14:textId="77777777" w:rsidR="00D76725" w:rsidRDefault="00000000" w:rsidP="00412D3E">
            <w:pPr>
              <w:spacing w:before="100" w:beforeAutospacing="1" w:after="100" w:afterAutospacing="1"/>
              <w:jc w:val="both"/>
            </w:pPr>
            <w:r>
              <w:rPr>
                <w:b/>
                <w:bCs/>
                <w:sz w:val="18"/>
                <w:szCs w:val="18"/>
              </w:rPr>
              <w:t>Principal interpretive limitation</w:t>
            </w:r>
          </w:p>
        </w:tc>
        <w:tc>
          <w:tcPr>
            <w:tcW w:w="794" w:type="pct"/>
            <w:shd w:val="clear" w:color="auto" w:fill="E8E8E8"/>
            <w:tcMar>
              <w:top w:w="60" w:type="dxa"/>
              <w:left w:w="80" w:type="dxa"/>
              <w:bottom w:w="60" w:type="dxa"/>
              <w:right w:w="80" w:type="dxa"/>
            </w:tcMar>
          </w:tcPr>
          <w:p w14:paraId="6BA3A238" w14:textId="77777777" w:rsidR="00D76725" w:rsidRDefault="00000000" w:rsidP="00412D3E">
            <w:pPr>
              <w:spacing w:before="100" w:beforeAutospacing="1" w:after="100" w:afterAutospacing="1"/>
              <w:jc w:val="both"/>
            </w:pPr>
            <w:r>
              <w:rPr>
                <w:b/>
                <w:bCs/>
                <w:sz w:val="18"/>
                <w:szCs w:val="18"/>
              </w:rPr>
              <w:t>Supporting references</w:t>
            </w:r>
          </w:p>
        </w:tc>
      </w:tr>
      <w:tr w:rsidR="00D76725" w14:paraId="5E4F1EA4" w14:textId="77777777" w:rsidTr="009F144E">
        <w:tc>
          <w:tcPr>
            <w:tcW w:w="818" w:type="pct"/>
            <w:tcMar>
              <w:top w:w="60" w:type="dxa"/>
              <w:left w:w="80" w:type="dxa"/>
              <w:bottom w:w="60" w:type="dxa"/>
              <w:right w:w="80" w:type="dxa"/>
            </w:tcMar>
          </w:tcPr>
          <w:p w14:paraId="4EBC53A4" w14:textId="77777777" w:rsidR="00D76725" w:rsidRDefault="00000000" w:rsidP="00412D3E">
            <w:pPr>
              <w:spacing w:before="100" w:beforeAutospacing="1" w:after="100" w:afterAutospacing="1"/>
              <w:jc w:val="both"/>
            </w:pPr>
            <w:r>
              <w:rPr>
                <w:sz w:val="18"/>
                <w:szCs w:val="18"/>
              </w:rPr>
              <w:t>Teacher perceptions of artificial intelligence as a teaching tool</w:t>
            </w:r>
          </w:p>
        </w:tc>
        <w:tc>
          <w:tcPr>
            <w:tcW w:w="701" w:type="pct"/>
            <w:tcMar>
              <w:top w:w="60" w:type="dxa"/>
              <w:left w:w="80" w:type="dxa"/>
              <w:bottom w:w="60" w:type="dxa"/>
              <w:right w:w="80" w:type="dxa"/>
            </w:tcMar>
          </w:tcPr>
          <w:p w14:paraId="29E1959E" w14:textId="77777777" w:rsidR="00D76725" w:rsidRDefault="00000000" w:rsidP="00412D3E">
            <w:pPr>
              <w:spacing w:before="100" w:beforeAutospacing="1" w:after="100" w:afterAutospacing="1"/>
              <w:jc w:val="both"/>
            </w:pPr>
            <w:r>
              <w:rPr>
                <w:sz w:val="18"/>
                <w:szCs w:val="18"/>
              </w:rPr>
              <w:t>Survey</w:t>
            </w:r>
          </w:p>
        </w:tc>
        <w:tc>
          <w:tcPr>
            <w:tcW w:w="724" w:type="pct"/>
            <w:tcMar>
              <w:top w:w="60" w:type="dxa"/>
              <w:left w:w="80" w:type="dxa"/>
              <w:bottom w:w="60" w:type="dxa"/>
              <w:right w:w="80" w:type="dxa"/>
            </w:tcMar>
          </w:tcPr>
          <w:p w14:paraId="4E359C79" w14:textId="77777777" w:rsidR="00D76725" w:rsidRDefault="00000000" w:rsidP="00412D3E">
            <w:pPr>
              <w:spacing w:before="100" w:beforeAutospacing="1" w:after="100" w:afterAutospacing="1"/>
              <w:jc w:val="both"/>
            </w:pPr>
            <w:r>
              <w:rPr>
                <w:sz w:val="18"/>
                <w:szCs w:val="18"/>
              </w:rPr>
              <w:t>University teachers</w:t>
            </w:r>
          </w:p>
        </w:tc>
        <w:tc>
          <w:tcPr>
            <w:tcW w:w="888" w:type="pct"/>
            <w:tcMar>
              <w:top w:w="60" w:type="dxa"/>
              <w:left w:w="80" w:type="dxa"/>
              <w:bottom w:w="60" w:type="dxa"/>
              <w:right w:w="80" w:type="dxa"/>
            </w:tcMar>
          </w:tcPr>
          <w:p w14:paraId="79C0B222" w14:textId="77777777" w:rsidR="00D76725" w:rsidRDefault="00000000" w:rsidP="00412D3E">
            <w:pPr>
              <w:spacing w:before="100" w:beforeAutospacing="1" w:after="100" w:afterAutospacing="1"/>
              <w:jc w:val="both"/>
            </w:pPr>
            <w:r>
              <w:rPr>
                <w:sz w:val="18"/>
                <w:szCs w:val="18"/>
              </w:rPr>
              <w:t>Awareness and attitude</w:t>
            </w:r>
          </w:p>
        </w:tc>
        <w:tc>
          <w:tcPr>
            <w:tcW w:w="1075" w:type="pct"/>
            <w:tcMar>
              <w:top w:w="60" w:type="dxa"/>
              <w:left w:w="80" w:type="dxa"/>
              <w:bottom w:w="60" w:type="dxa"/>
              <w:right w:w="80" w:type="dxa"/>
            </w:tcMar>
          </w:tcPr>
          <w:p w14:paraId="707EBCEE" w14:textId="77777777" w:rsidR="00D76725" w:rsidRDefault="00000000" w:rsidP="00412D3E">
            <w:pPr>
              <w:spacing w:before="100" w:beforeAutospacing="1" w:after="100" w:afterAutospacing="1"/>
              <w:jc w:val="both"/>
            </w:pPr>
            <w:r>
              <w:rPr>
                <w:sz w:val="18"/>
                <w:szCs w:val="18"/>
              </w:rPr>
              <w:t>Early instrument; limited reporting of sampling frame</w:t>
            </w:r>
          </w:p>
        </w:tc>
        <w:tc>
          <w:tcPr>
            <w:tcW w:w="794" w:type="pct"/>
            <w:tcMar>
              <w:top w:w="60" w:type="dxa"/>
              <w:left w:w="80" w:type="dxa"/>
              <w:bottom w:w="60" w:type="dxa"/>
              <w:right w:w="80" w:type="dxa"/>
            </w:tcMar>
          </w:tcPr>
          <w:p w14:paraId="4922FCF5" w14:textId="77777777" w:rsidR="00D76725" w:rsidRDefault="00000000" w:rsidP="00412D3E">
            <w:pPr>
              <w:spacing w:before="100" w:beforeAutospacing="1" w:after="100" w:afterAutospacing="1"/>
              <w:jc w:val="both"/>
            </w:pPr>
            <w:r>
              <w:rPr>
                <w:sz w:val="18"/>
                <w:szCs w:val="18"/>
              </w:rPr>
              <w:t>Shirin (2022)</w:t>
            </w:r>
          </w:p>
        </w:tc>
      </w:tr>
      <w:tr w:rsidR="00D76725" w14:paraId="0DCC6949" w14:textId="77777777" w:rsidTr="009F144E">
        <w:tc>
          <w:tcPr>
            <w:tcW w:w="818" w:type="pct"/>
            <w:tcMar>
              <w:top w:w="60" w:type="dxa"/>
              <w:left w:w="80" w:type="dxa"/>
              <w:bottom w:w="60" w:type="dxa"/>
              <w:right w:w="80" w:type="dxa"/>
            </w:tcMar>
          </w:tcPr>
          <w:p w14:paraId="1C57590A" w14:textId="77777777" w:rsidR="00D76725" w:rsidRDefault="00000000" w:rsidP="00412D3E">
            <w:pPr>
              <w:spacing w:before="100" w:beforeAutospacing="1" w:after="100" w:afterAutospacing="1"/>
              <w:jc w:val="both"/>
            </w:pPr>
            <w:r>
              <w:rPr>
                <w:sz w:val="18"/>
                <w:szCs w:val="18"/>
              </w:rPr>
              <w:t>Student perceptions of artificial intelligence tools for writing</w:t>
            </w:r>
          </w:p>
        </w:tc>
        <w:tc>
          <w:tcPr>
            <w:tcW w:w="701" w:type="pct"/>
            <w:tcMar>
              <w:top w:w="60" w:type="dxa"/>
              <w:left w:w="80" w:type="dxa"/>
              <w:bottom w:w="60" w:type="dxa"/>
              <w:right w:w="80" w:type="dxa"/>
            </w:tcMar>
          </w:tcPr>
          <w:p w14:paraId="5DFF97D8" w14:textId="77777777" w:rsidR="00D76725" w:rsidRDefault="00000000" w:rsidP="00412D3E">
            <w:pPr>
              <w:spacing w:before="100" w:beforeAutospacing="1" w:after="100" w:afterAutospacing="1"/>
              <w:jc w:val="both"/>
            </w:pPr>
            <w:r>
              <w:rPr>
                <w:sz w:val="18"/>
                <w:szCs w:val="18"/>
              </w:rPr>
              <w:t>Sequential mixed methods</w:t>
            </w:r>
          </w:p>
        </w:tc>
        <w:tc>
          <w:tcPr>
            <w:tcW w:w="724" w:type="pct"/>
            <w:tcMar>
              <w:top w:w="60" w:type="dxa"/>
              <w:left w:w="80" w:type="dxa"/>
              <w:bottom w:w="60" w:type="dxa"/>
              <w:right w:w="80" w:type="dxa"/>
            </w:tcMar>
          </w:tcPr>
          <w:p w14:paraId="317110B0" w14:textId="77777777" w:rsidR="00D76725" w:rsidRDefault="00000000" w:rsidP="00412D3E">
            <w:pPr>
              <w:spacing w:before="100" w:beforeAutospacing="1" w:after="100" w:afterAutospacing="1"/>
              <w:jc w:val="both"/>
            </w:pPr>
            <w:r>
              <w:rPr>
                <w:sz w:val="18"/>
                <w:szCs w:val="18"/>
              </w:rPr>
              <w:t>70 survey and 10 interview participants</w:t>
            </w:r>
          </w:p>
        </w:tc>
        <w:tc>
          <w:tcPr>
            <w:tcW w:w="888" w:type="pct"/>
            <w:tcMar>
              <w:top w:w="60" w:type="dxa"/>
              <w:left w:w="80" w:type="dxa"/>
              <w:bottom w:w="60" w:type="dxa"/>
              <w:right w:w="80" w:type="dxa"/>
            </w:tcMar>
          </w:tcPr>
          <w:p w14:paraId="5999F3E5" w14:textId="77777777" w:rsidR="00D76725" w:rsidRDefault="00000000" w:rsidP="00412D3E">
            <w:pPr>
              <w:spacing w:before="100" w:beforeAutospacing="1" w:after="100" w:afterAutospacing="1"/>
              <w:jc w:val="both"/>
            </w:pPr>
            <w:r>
              <w:rPr>
                <w:sz w:val="18"/>
                <w:szCs w:val="18"/>
              </w:rPr>
              <w:t>Perceived usefulness, barriers, accessibility</w:t>
            </w:r>
          </w:p>
        </w:tc>
        <w:tc>
          <w:tcPr>
            <w:tcW w:w="1075" w:type="pct"/>
            <w:tcMar>
              <w:top w:w="60" w:type="dxa"/>
              <w:left w:w="80" w:type="dxa"/>
              <w:bottom w:w="60" w:type="dxa"/>
              <w:right w:w="80" w:type="dxa"/>
            </w:tcMar>
          </w:tcPr>
          <w:p w14:paraId="022E8EBB" w14:textId="77777777" w:rsidR="00D76725" w:rsidRDefault="00000000" w:rsidP="00412D3E">
            <w:pPr>
              <w:spacing w:before="100" w:beforeAutospacing="1" w:after="100" w:afterAutospacing="1"/>
              <w:jc w:val="both"/>
            </w:pPr>
            <w:r>
              <w:rPr>
                <w:sz w:val="18"/>
                <w:szCs w:val="18"/>
              </w:rPr>
              <w:t>Perceived rather than measured writing gain; single-institution sampling</w:t>
            </w:r>
          </w:p>
        </w:tc>
        <w:tc>
          <w:tcPr>
            <w:tcW w:w="794" w:type="pct"/>
            <w:tcMar>
              <w:top w:w="60" w:type="dxa"/>
              <w:left w:w="80" w:type="dxa"/>
              <w:bottom w:w="60" w:type="dxa"/>
              <w:right w:w="80" w:type="dxa"/>
            </w:tcMar>
          </w:tcPr>
          <w:p w14:paraId="4F265D0C" w14:textId="77777777" w:rsidR="00D76725" w:rsidRDefault="00000000" w:rsidP="00412D3E">
            <w:pPr>
              <w:spacing w:before="100" w:beforeAutospacing="1" w:after="100" w:afterAutospacing="1"/>
              <w:jc w:val="both"/>
            </w:pPr>
            <w:r>
              <w:rPr>
                <w:sz w:val="18"/>
                <w:szCs w:val="18"/>
              </w:rPr>
              <w:t>Khan et al. (2024)</w:t>
            </w:r>
          </w:p>
        </w:tc>
      </w:tr>
      <w:tr w:rsidR="00D76725" w14:paraId="4D32F373" w14:textId="77777777" w:rsidTr="009F144E">
        <w:tc>
          <w:tcPr>
            <w:tcW w:w="818" w:type="pct"/>
            <w:tcMar>
              <w:top w:w="60" w:type="dxa"/>
              <w:left w:w="80" w:type="dxa"/>
              <w:bottom w:w="60" w:type="dxa"/>
              <w:right w:w="80" w:type="dxa"/>
            </w:tcMar>
          </w:tcPr>
          <w:p w14:paraId="75EFCA6A" w14:textId="77777777" w:rsidR="00D76725" w:rsidRDefault="00000000" w:rsidP="00412D3E">
            <w:pPr>
              <w:spacing w:before="100" w:beforeAutospacing="1" w:after="100" w:afterAutospacing="1"/>
              <w:jc w:val="both"/>
            </w:pPr>
            <w:r>
              <w:rPr>
                <w:sz w:val="18"/>
                <w:szCs w:val="18"/>
              </w:rPr>
              <w:t>Teacher experiences of artificial intelligence tools in English classrooms</w:t>
            </w:r>
          </w:p>
        </w:tc>
        <w:tc>
          <w:tcPr>
            <w:tcW w:w="701" w:type="pct"/>
            <w:tcMar>
              <w:top w:w="60" w:type="dxa"/>
              <w:left w:w="80" w:type="dxa"/>
              <w:bottom w:w="60" w:type="dxa"/>
              <w:right w:w="80" w:type="dxa"/>
            </w:tcMar>
          </w:tcPr>
          <w:p w14:paraId="0B354DDB" w14:textId="77777777" w:rsidR="00D76725" w:rsidRDefault="00000000" w:rsidP="00412D3E">
            <w:pPr>
              <w:spacing w:before="100" w:beforeAutospacing="1" w:after="100" w:afterAutospacing="1"/>
              <w:jc w:val="both"/>
            </w:pPr>
            <w:r>
              <w:rPr>
                <w:sz w:val="18"/>
                <w:szCs w:val="18"/>
              </w:rPr>
              <w:t>Qualitative open-ended survey</w:t>
            </w:r>
          </w:p>
        </w:tc>
        <w:tc>
          <w:tcPr>
            <w:tcW w:w="724" w:type="pct"/>
            <w:tcMar>
              <w:top w:w="60" w:type="dxa"/>
              <w:left w:w="80" w:type="dxa"/>
              <w:bottom w:w="60" w:type="dxa"/>
              <w:right w:w="80" w:type="dxa"/>
            </w:tcMar>
          </w:tcPr>
          <w:p w14:paraId="16F87C17" w14:textId="77777777" w:rsidR="00D76725" w:rsidRDefault="00000000" w:rsidP="00412D3E">
            <w:pPr>
              <w:spacing w:before="100" w:beforeAutospacing="1" w:after="100" w:afterAutospacing="1"/>
              <w:jc w:val="both"/>
            </w:pPr>
            <w:r>
              <w:rPr>
                <w:sz w:val="18"/>
                <w:szCs w:val="18"/>
              </w:rPr>
              <w:t>17 teachers, public and private universities</w:t>
            </w:r>
          </w:p>
        </w:tc>
        <w:tc>
          <w:tcPr>
            <w:tcW w:w="888" w:type="pct"/>
            <w:tcMar>
              <w:top w:w="60" w:type="dxa"/>
              <w:left w:w="80" w:type="dxa"/>
              <w:bottom w:w="60" w:type="dxa"/>
              <w:right w:w="80" w:type="dxa"/>
            </w:tcMar>
          </w:tcPr>
          <w:p w14:paraId="55BD344E" w14:textId="77777777" w:rsidR="00D76725" w:rsidRDefault="00000000" w:rsidP="00412D3E">
            <w:pPr>
              <w:spacing w:before="100" w:beforeAutospacing="1" w:after="100" w:afterAutospacing="1"/>
              <w:jc w:val="both"/>
            </w:pPr>
            <w:r>
              <w:rPr>
                <w:sz w:val="18"/>
                <w:szCs w:val="18"/>
              </w:rPr>
              <w:t>Reported practice and concern</w:t>
            </w:r>
          </w:p>
        </w:tc>
        <w:tc>
          <w:tcPr>
            <w:tcW w:w="1075" w:type="pct"/>
            <w:tcMar>
              <w:top w:w="60" w:type="dxa"/>
              <w:left w:w="80" w:type="dxa"/>
              <w:bottom w:w="60" w:type="dxa"/>
              <w:right w:w="80" w:type="dxa"/>
            </w:tcMar>
          </w:tcPr>
          <w:p w14:paraId="568C65C8" w14:textId="77777777" w:rsidR="00D76725" w:rsidRDefault="00000000" w:rsidP="00412D3E">
            <w:pPr>
              <w:spacing w:before="100" w:beforeAutospacing="1" w:after="100" w:afterAutospacing="1"/>
              <w:jc w:val="both"/>
            </w:pPr>
            <w:r>
              <w:rPr>
                <w:sz w:val="18"/>
                <w:szCs w:val="18"/>
              </w:rPr>
              <w:t>Small purposive sample; no observation of classroom use</w:t>
            </w:r>
          </w:p>
        </w:tc>
        <w:tc>
          <w:tcPr>
            <w:tcW w:w="794" w:type="pct"/>
            <w:tcMar>
              <w:top w:w="60" w:type="dxa"/>
              <w:left w:w="80" w:type="dxa"/>
              <w:bottom w:w="60" w:type="dxa"/>
              <w:right w:w="80" w:type="dxa"/>
            </w:tcMar>
          </w:tcPr>
          <w:p w14:paraId="63299481" w14:textId="77777777" w:rsidR="00D76725" w:rsidRDefault="00000000" w:rsidP="00412D3E">
            <w:pPr>
              <w:spacing w:before="100" w:beforeAutospacing="1" w:after="100" w:afterAutospacing="1"/>
              <w:jc w:val="both"/>
            </w:pPr>
            <w:r>
              <w:rPr>
                <w:sz w:val="18"/>
                <w:szCs w:val="18"/>
              </w:rPr>
              <w:t>Munni &amp; Rafique (2025)</w:t>
            </w:r>
          </w:p>
        </w:tc>
      </w:tr>
      <w:tr w:rsidR="00D76725" w14:paraId="0B3EC38E" w14:textId="77777777" w:rsidTr="009F144E">
        <w:tc>
          <w:tcPr>
            <w:tcW w:w="818" w:type="pct"/>
            <w:tcMar>
              <w:top w:w="60" w:type="dxa"/>
              <w:left w:w="80" w:type="dxa"/>
              <w:bottom w:w="60" w:type="dxa"/>
              <w:right w:w="80" w:type="dxa"/>
            </w:tcMar>
          </w:tcPr>
          <w:p w14:paraId="36B273C5" w14:textId="77777777" w:rsidR="00D76725" w:rsidRDefault="00000000" w:rsidP="00412D3E">
            <w:pPr>
              <w:spacing w:before="100" w:beforeAutospacing="1" w:after="100" w:afterAutospacing="1"/>
              <w:jc w:val="both"/>
            </w:pPr>
            <w:r>
              <w:rPr>
                <w:sz w:val="18"/>
                <w:szCs w:val="18"/>
              </w:rPr>
              <w:t>Teacher perception and usage of a generative model</w:t>
            </w:r>
          </w:p>
        </w:tc>
        <w:tc>
          <w:tcPr>
            <w:tcW w:w="701" w:type="pct"/>
            <w:tcMar>
              <w:top w:w="60" w:type="dxa"/>
              <w:left w:w="80" w:type="dxa"/>
              <w:bottom w:w="60" w:type="dxa"/>
              <w:right w:w="80" w:type="dxa"/>
            </w:tcMar>
          </w:tcPr>
          <w:p w14:paraId="7710231B" w14:textId="77777777" w:rsidR="00D76725" w:rsidRDefault="00000000" w:rsidP="00412D3E">
            <w:pPr>
              <w:spacing w:before="100" w:beforeAutospacing="1" w:after="100" w:afterAutospacing="1"/>
              <w:jc w:val="both"/>
            </w:pPr>
            <w:r>
              <w:rPr>
                <w:sz w:val="18"/>
                <w:szCs w:val="18"/>
              </w:rPr>
              <w:t>Mixed methods</w:t>
            </w:r>
          </w:p>
        </w:tc>
        <w:tc>
          <w:tcPr>
            <w:tcW w:w="724" w:type="pct"/>
            <w:tcMar>
              <w:top w:w="60" w:type="dxa"/>
              <w:left w:w="80" w:type="dxa"/>
              <w:bottom w:w="60" w:type="dxa"/>
              <w:right w:w="80" w:type="dxa"/>
            </w:tcMar>
          </w:tcPr>
          <w:p w14:paraId="411FBB25" w14:textId="77777777" w:rsidR="00D76725" w:rsidRDefault="00000000" w:rsidP="00412D3E">
            <w:pPr>
              <w:spacing w:before="100" w:beforeAutospacing="1" w:after="100" w:afterAutospacing="1"/>
              <w:jc w:val="both"/>
            </w:pPr>
            <w:r>
              <w:rPr>
                <w:sz w:val="18"/>
                <w:szCs w:val="18"/>
              </w:rPr>
              <w:t>Tertiary English teachers</w:t>
            </w:r>
          </w:p>
        </w:tc>
        <w:tc>
          <w:tcPr>
            <w:tcW w:w="888" w:type="pct"/>
            <w:tcMar>
              <w:top w:w="60" w:type="dxa"/>
              <w:left w:w="80" w:type="dxa"/>
              <w:bottom w:w="60" w:type="dxa"/>
              <w:right w:w="80" w:type="dxa"/>
            </w:tcMar>
          </w:tcPr>
          <w:p w14:paraId="795B497D" w14:textId="77777777" w:rsidR="00D76725" w:rsidRDefault="00000000" w:rsidP="00412D3E">
            <w:pPr>
              <w:spacing w:before="100" w:beforeAutospacing="1" w:after="100" w:afterAutospacing="1"/>
              <w:jc w:val="both"/>
            </w:pPr>
            <w:r>
              <w:rPr>
                <w:sz w:val="18"/>
                <w:szCs w:val="18"/>
              </w:rPr>
              <w:t>Perception and reported usage</w:t>
            </w:r>
          </w:p>
        </w:tc>
        <w:tc>
          <w:tcPr>
            <w:tcW w:w="1075" w:type="pct"/>
            <w:tcMar>
              <w:top w:w="60" w:type="dxa"/>
              <w:left w:w="80" w:type="dxa"/>
              <w:bottom w:w="60" w:type="dxa"/>
              <w:right w:w="80" w:type="dxa"/>
            </w:tcMar>
          </w:tcPr>
          <w:p w14:paraId="3E1F3274" w14:textId="77777777" w:rsidR="00D76725" w:rsidRDefault="00000000" w:rsidP="00412D3E">
            <w:pPr>
              <w:spacing w:before="100" w:beforeAutospacing="1" w:after="100" w:afterAutospacing="1"/>
              <w:jc w:val="both"/>
            </w:pPr>
            <w:r>
              <w:rPr>
                <w:sz w:val="18"/>
                <w:szCs w:val="18"/>
              </w:rPr>
              <w:t>Self-report; tool version not fixed across data collection</w:t>
            </w:r>
          </w:p>
        </w:tc>
        <w:tc>
          <w:tcPr>
            <w:tcW w:w="794" w:type="pct"/>
            <w:tcMar>
              <w:top w:w="60" w:type="dxa"/>
              <w:left w:w="80" w:type="dxa"/>
              <w:bottom w:w="60" w:type="dxa"/>
              <w:right w:w="80" w:type="dxa"/>
            </w:tcMar>
          </w:tcPr>
          <w:p w14:paraId="4DDF514D" w14:textId="77777777" w:rsidR="00D76725" w:rsidRDefault="00000000" w:rsidP="00412D3E">
            <w:pPr>
              <w:spacing w:before="100" w:beforeAutospacing="1" w:after="100" w:afterAutospacing="1"/>
              <w:jc w:val="both"/>
            </w:pPr>
            <w:r>
              <w:rPr>
                <w:sz w:val="18"/>
                <w:szCs w:val="18"/>
              </w:rPr>
              <w:t>Tarannum et al. (2025)</w:t>
            </w:r>
          </w:p>
        </w:tc>
      </w:tr>
      <w:tr w:rsidR="00D76725" w14:paraId="6F3528D4" w14:textId="77777777" w:rsidTr="009F144E">
        <w:tc>
          <w:tcPr>
            <w:tcW w:w="818" w:type="pct"/>
            <w:tcMar>
              <w:top w:w="60" w:type="dxa"/>
              <w:left w:w="80" w:type="dxa"/>
              <w:bottom w:w="60" w:type="dxa"/>
              <w:right w:w="80" w:type="dxa"/>
            </w:tcMar>
          </w:tcPr>
          <w:p w14:paraId="01E0C421" w14:textId="77777777" w:rsidR="00D76725" w:rsidRDefault="00000000" w:rsidP="00412D3E">
            <w:pPr>
              <w:spacing w:before="100" w:beforeAutospacing="1" w:after="100" w:afterAutospacing="1"/>
              <w:jc w:val="both"/>
            </w:pPr>
            <w:r>
              <w:rPr>
                <w:sz w:val="18"/>
                <w:szCs w:val="18"/>
              </w:rPr>
              <w:t xml:space="preserve">Teacher vision for the future role of artificial </w:t>
            </w:r>
            <w:r>
              <w:rPr>
                <w:sz w:val="18"/>
                <w:szCs w:val="18"/>
              </w:rPr>
              <w:lastRenderedPageBreak/>
              <w:t>intelligence and professional identity</w:t>
            </w:r>
          </w:p>
        </w:tc>
        <w:tc>
          <w:tcPr>
            <w:tcW w:w="701" w:type="pct"/>
            <w:tcMar>
              <w:top w:w="60" w:type="dxa"/>
              <w:left w:w="80" w:type="dxa"/>
              <w:bottom w:w="60" w:type="dxa"/>
              <w:right w:w="80" w:type="dxa"/>
            </w:tcMar>
          </w:tcPr>
          <w:p w14:paraId="26D0D98A" w14:textId="77777777" w:rsidR="00D76725" w:rsidRDefault="00000000" w:rsidP="00412D3E">
            <w:pPr>
              <w:spacing w:before="100" w:beforeAutospacing="1" w:after="100" w:afterAutospacing="1"/>
              <w:jc w:val="both"/>
            </w:pPr>
            <w:r>
              <w:rPr>
                <w:sz w:val="18"/>
                <w:szCs w:val="18"/>
              </w:rPr>
              <w:lastRenderedPageBreak/>
              <w:t>Mixed methods</w:t>
            </w:r>
          </w:p>
        </w:tc>
        <w:tc>
          <w:tcPr>
            <w:tcW w:w="724" w:type="pct"/>
            <w:tcMar>
              <w:top w:w="60" w:type="dxa"/>
              <w:left w:w="80" w:type="dxa"/>
              <w:bottom w:w="60" w:type="dxa"/>
              <w:right w:w="80" w:type="dxa"/>
            </w:tcMar>
          </w:tcPr>
          <w:p w14:paraId="35365BC7" w14:textId="77777777" w:rsidR="00D76725" w:rsidRDefault="00000000" w:rsidP="00412D3E">
            <w:pPr>
              <w:spacing w:before="100" w:beforeAutospacing="1" w:after="100" w:afterAutospacing="1"/>
              <w:jc w:val="both"/>
            </w:pPr>
            <w:r>
              <w:rPr>
                <w:sz w:val="18"/>
                <w:szCs w:val="18"/>
              </w:rPr>
              <w:t xml:space="preserve">123 teachers across 20 </w:t>
            </w:r>
            <w:r>
              <w:rPr>
                <w:sz w:val="18"/>
                <w:szCs w:val="18"/>
              </w:rPr>
              <w:lastRenderedPageBreak/>
              <w:t>universities; 5 interviews</w:t>
            </w:r>
          </w:p>
        </w:tc>
        <w:tc>
          <w:tcPr>
            <w:tcW w:w="888" w:type="pct"/>
            <w:tcMar>
              <w:top w:w="60" w:type="dxa"/>
              <w:left w:w="80" w:type="dxa"/>
              <w:bottom w:w="60" w:type="dxa"/>
              <w:right w:w="80" w:type="dxa"/>
            </w:tcMar>
          </w:tcPr>
          <w:p w14:paraId="016BA735" w14:textId="77777777" w:rsidR="00D76725" w:rsidRDefault="00000000" w:rsidP="00412D3E">
            <w:pPr>
              <w:spacing w:before="100" w:beforeAutospacing="1" w:after="100" w:afterAutospacing="1"/>
              <w:jc w:val="both"/>
            </w:pPr>
            <w:r>
              <w:rPr>
                <w:sz w:val="18"/>
                <w:szCs w:val="18"/>
              </w:rPr>
              <w:lastRenderedPageBreak/>
              <w:t>Attitude, perceived usefulness, identity</w:t>
            </w:r>
          </w:p>
        </w:tc>
        <w:tc>
          <w:tcPr>
            <w:tcW w:w="1075" w:type="pct"/>
            <w:tcMar>
              <w:top w:w="60" w:type="dxa"/>
              <w:left w:w="80" w:type="dxa"/>
              <w:bottom w:w="60" w:type="dxa"/>
              <w:right w:w="80" w:type="dxa"/>
            </w:tcMar>
          </w:tcPr>
          <w:p w14:paraId="19FA3B6D" w14:textId="77777777" w:rsidR="00D76725" w:rsidRDefault="00000000" w:rsidP="00412D3E">
            <w:pPr>
              <w:spacing w:before="100" w:beforeAutospacing="1" w:after="100" w:afterAutospacing="1"/>
              <w:jc w:val="both"/>
            </w:pPr>
            <w:r>
              <w:rPr>
                <w:sz w:val="18"/>
                <w:szCs w:val="18"/>
              </w:rPr>
              <w:t>Cross-sectional; anticipated rather than enacted change</w:t>
            </w:r>
          </w:p>
        </w:tc>
        <w:tc>
          <w:tcPr>
            <w:tcW w:w="794" w:type="pct"/>
            <w:tcMar>
              <w:top w:w="60" w:type="dxa"/>
              <w:left w:w="80" w:type="dxa"/>
              <w:bottom w:w="60" w:type="dxa"/>
              <w:right w:w="80" w:type="dxa"/>
            </w:tcMar>
          </w:tcPr>
          <w:p w14:paraId="2FC68DA8" w14:textId="77777777" w:rsidR="00D76725" w:rsidRDefault="00000000" w:rsidP="00412D3E">
            <w:pPr>
              <w:spacing w:before="100" w:beforeAutospacing="1" w:after="100" w:afterAutospacing="1"/>
              <w:jc w:val="both"/>
            </w:pPr>
            <w:r>
              <w:rPr>
                <w:sz w:val="18"/>
                <w:szCs w:val="18"/>
              </w:rPr>
              <w:t>Hasan et al. (2026a)</w:t>
            </w:r>
          </w:p>
        </w:tc>
      </w:tr>
      <w:tr w:rsidR="00D76725" w14:paraId="000FD419" w14:textId="77777777" w:rsidTr="009F144E">
        <w:tc>
          <w:tcPr>
            <w:tcW w:w="818" w:type="pct"/>
            <w:tcMar>
              <w:top w:w="60" w:type="dxa"/>
              <w:left w:w="80" w:type="dxa"/>
              <w:bottom w:w="60" w:type="dxa"/>
              <w:right w:w="80" w:type="dxa"/>
            </w:tcMar>
          </w:tcPr>
          <w:p w14:paraId="656C3773" w14:textId="77777777" w:rsidR="00D76725" w:rsidRDefault="00000000" w:rsidP="00412D3E">
            <w:pPr>
              <w:spacing w:before="100" w:beforeAutospacing="1" w:after="100" w:afterAutospacing="1"/>
              <w:jc w:val="both"/>
            </w:pPr>
            <w:r>
              <w:rPr>
                <w:sz w:val="18"/>
                <w:szCs w:val="18"/>
              </w:rPr>
              <w:t>Teacher perceptions of usefulness and the role of training</w:t>
            </w:r>
          </w:p>
        </w:tc>
        <w:tc>
          <w:tcPr>
            <w:tcW w:w="701" w:type="pct"/>
            <w:tcMar>
              <w:top w:w="60" w:type="dxa"/>
              <w:left w:w="80" w:type="dxa"/>
              <w:bottom w:w="60" w:type="dxa"/>
              <w:right w:w="80" w:type="dxa"/>
            </w:tcMar>
          </w:tcPr>
          <w:p w14:paraId="039824B3" w14:textId="77777777" w:rsidR="00D76725" w:rsidRDefault="00000000" w:rsidP="00412D3E">
            <w:pPr>
              <w:spacing w:before="100" w:beforeAutospacing="1" w:after="100" w:afterAutospacing="1"/>
              <w:jc w:val="both"/>
            </w:pPr>
            <w:r>
              <w:rPr>
                <w:sz w:val="18"/>
                <w:szCs w:val="18"/>
              </w:rPr>
              <w:t>Mixed methods</w:t>
            </w:r>
          </w:p>
        </w:tc>
        <w:tc>
          <w:tcPr>
            <w:tcW w:w="724" w:type="pct"/>
            <w:tcMar>
              <w:top w:w="60" w:type="dxa"/>
              <w:left w:w="80" w:type="dxa"/>
              <w:bottom w:w="60" w:type="dxa"/>
              <w:right w:w="80" w:type="dxa"/>
            </w:tcMar>
          </w:tcPr>
          <w:p w14:paraId="7EC4AC68" w14:textId="77777777" w:rsidR="00D76725" w:rsidRDefault="00000000" w:rsidP="00412D3E">
            <w:pPr>
              <w:spacing w:before="100" w:beforeAutospacing="1" w:after="100" w:afterAutospacing="1"/>
              <w:jc w:val="both"/>
            </w:pPr>
            <w:r>
              <w:rPr>
                <w:sz w:val="18"/>
                <w:szCs w:val="18"/>
              </w:rPr>
              <w:t>123 teachers across 20 universities; 5 interviews</w:t>
            </w:r>
          </w:p>
        </w:tc>
        <w:tc>
          <w:tcPr>
            <w:tcW w:w="888" w:type="pct"/>
            <w:tcMar>
              <w:top w:w="60" w:type="dxa"/>
              <w:left w:w="80" w:type="dxa"/>
              <w:bottom w:w="60" w:type="dxa"/>
              <w:right w:w="80" w:type="dxa"/>
            </w:tcMar>
          </w:tcPr>
          <w:p w14:paraId="5A1719A0" w14:textId="77777777" w:rsidR="00D76725" w:rsidRDefault="00000000" w:rsidP="00412D3E">
            <w:pPr>
              <w:spacing w:before="100" w:beforeAutospacing="1" w:after="100" w:afterAutospacing="1"/>
              <w:jc w:val="both"/>
            </w:pPr>
            <w:r>
              <w:rPr>
                <w:sz w:val="18"/>
                <w:szCs w:val="18"/>
              </w:rPr>
              <w:t>Perceived benefit, challenge, detection accuracy</w:t>
            </w:r>
          </w:p>
        </w:tc>
        <w:tc>
          <w:tcPr>
            <w:tcW w:w="1075" w:type="pct"/>
            <w:tcMar>
              <w:top w:w="60" w:type="dxa"/>
              <w:left w:w="80" w:type="dxa"/>
              <w:bottom w:w="60" w:type="dxa"/>
              <w:right w:w="80" w:type="dxa"/>
            </w:tcMar>
          </w:tcPr>
          <w:p w14:paraId="433EF51A" w14:textId="77777777" w:rsidR="00D76725" w:rsidRDefault="00000000" w:rsidP="00412D3E">
            <w:pPr>
              <w:spacing w:before="100" w:beforeAutospacing="1" w:after="100" w:afterAutospacing="1"/>
              <w:jc w:val="both"/>
            </w:pPr>
            <w:r>
              <w:rPr>
                <w:sz w:val="18"/>
                <w:szCs w:val="18"/>
              </w:rPr>
              <w:t>Overlapping sample with companion study; detection task not externally validated</w:t>
            </w:r>
          </w:p>
        </w:tc>
        <w:tc>
          <w:tcPr>
            <w:tcW w:w="794" w:type="pct"/>
            <w:tcMar>
              <w:top w:w="60" w:type="dxa"/>
              <w:left w:w="80" w:type="dxa"/>
              <w:bottom w:w="60" w:type="dxa"/>
              <w:right w:w="80" w:type="dxa"/>
            </w:tcMar>
          </w:tcPr>
          <w:p w14:paraId="614DC873" w14:textId="77777777" w:rsidR="00D76725" w:rsidRDefault="00000000" w:rsidP="00412D3E">
            <w:pPr>
              <w:spacing w:before="100" w:beforeAutospacing="1" w:after="100" w:afterAutospacing="1"/>
              <w:jc w:val="both"/>
            </w:pPr>
            <w:r>
              <w:rPr>
                <w:sz w:val="18"/>
                <w:szCs w:val="18"/>
              </w:rPr>
              <w:t>Hasan et al. (2026b)</w:t>
            </w:r>
          </w:p>
        </w:tc>
      </w:tr>
      <w:tr w:rsidR="00D76725" w14:paraId="071716D4" w14:textId="77777777" w:rsidTr="009F144E">
        <w:tc>
          <w:tcPr>
            <w:tcW w:w="818" w:type="pct"/>
            <w:tcMar>
              <w:top w:w="60" w:type="dxa"/>
              <w:left w:w="80" w:type="dxa"/>
              <w:bottom w:w="60" w:type="dxa"/>
              <w:right w:w="80" w:type="dxa"/>
            </w:tcMar>
          </w:tcPr>
          <w:p w14:paraId="7A488145" w14:textId="77777777" w:rsidR="00D76725" w:rsidRDefault="00000000" w:rsidP="00412D3E">
            <w:pPr>
              <w:spacing w:before="100" w:beforeAutospacing="1" w:after="100" w:afterAutospacing="1"/>
              <w:jc w:val="both"/>
            </w:pPr>
            <w:r>
              <w:rPr>
                <w:sz w:val="18"/>
                <w:szCs w:val="18"/>
              </w:rPr>
              <w:t>Instructor agency in generative writing instruction</w:t>
            </w:r>
          </w:p>
        </w:tc>
        <w:tc>
          <w:tcPr>
            <w:tcW w:w="701" w:type="pct"/>
            <w:tcMar>
              <w:top w:w="60" w:type="dxa"/>
              <w:left w:w="80" w:type="dxa"/>
              <w:bottom w:w="60" w:type="dxa"/>
              <w:right w:w="80" w:type="dxa"/>
            </w:tcMar>
          </w:tcPr>
          <w:p w14:paraId="4A942B21" w14:textId="77777777" w:rsidR="00D76725" w:rsidRDefault="00000000" w:rsidP="00412D3E">
            <w:pPr>
              <w:spacing w:before="100" w:beforeAutospacing="1" w:after="100" w:afterAutospacing="1"/>
              <w:jc w:val="both"/>
            </w:pPr>
            <w:r>
              <w:rPr>
                <w:sz w:val="18"/>
                <w:szCs w:val="18"/>
              </w:rPr>
              <w:t>Qualitative interview</w:t>
            </w:r>
          </w:p>
        </w:tc>
        <w:tc>
          <w:tcPr>
            <w:tcW w:w="724" w:type="pct"/>
            <w:tcMar>
              <w:top w:w="60" w:type="dxa"/>
              <w:left w:w="80" w:type="dxa"/>
              <w:bottom w:w="60" w:type="dxa"/>
              <w:right w:w="80" w:type="dxa"/>
            </w:tcMar>
          </w:tcPr>
          <w:p w14:paraId="31476A3B" w14:textId="77777777" w:rsidR="00D76725" w:rsidRDefault="00000000" w:rsidP="00412D3E">
            <w:pPr>
              <w:spacing w:before="100" w:beforeAutospacing="1" w:after="100" w:afterAutospacing="1"/>
              <w:jc w:val="both"/>
            </w:pPr>
            <w:r>
              <w:rPr>
                <w:sz w:val="18"/>
                <w:szCs w:val="18"/>
              </w:rPr>
              <w:t>10 university instructors</w:t>
            </w:r>
          </w:p>
        </w:tc>
        <w:tc>
          <w:tcPr>
            <w:tcW w:w="888" w:type="pct"/>
            <w:tcMar>
              <w:top w:w="60" w:type="dxa"/>
              <w:left w:w="80" w:type="dxa"/>
              <w:bottom w:w="60" w:type="dxa"/>
              <w:right w:w="80" w:type="dxa"/>
            </w:tcMar>
          </w:tcPr>
          <w:p w14:paraId="1BC319B9" w14:textId="77777777" w:rsidR="00D76725" w:rsidRDefault="00000000" w:rsidP="00412D3E">
            <w:pPr>
              <w:spacing w:before="100" w:beforeAutospacing="1" w:after="100" w:afterAutospacing="1"/>
              <w:jc w:val="both"/>
            </w:pPr>
            <w:r>
              <w:rPr>
                <w:sz w:val="18"/>
                <w:szCs w:val="18"/>
              </w:rPr>
              <w:t>Enacted agency and perceived constraint</w:t>
            </w:r>
          </w:p>
        </w:tc>
        <w:tc>
          <w:tcPr>
            <w:tcW w:w="1075" w:type="pct"/>
            <w:tcMar>
              <w:top w:w="60" w:type="dxa"/>
              <w:left w:w="80" w:type="dxa"/>
              <w:bottom w:w="60" w:type="dxa"/>
              <w:right w:w="80" w:type="dxa"/>
            </w:tcMar>
          </w:tcPr>
          <w:p w14:paraId="26BEA234" w14:textId="77777777" w:rsidR="00D76725" w:rsidRDefault="00000000" w:rsidP="00412D3E">
            <w:pPr>
              <w:spacing w:before="100" w:beforeAutospacing="1" w:after="100" w:afterAutospacing="1"/>
              <w:jc w:val="both"/>
            </w:pPr>
            <w:r>
              <w:rPr>
                <w:sz w:val="18"/>
                <w:szCs w:val="18"/>
              </w:rPr>
              <w:t>First-time users; novelty effects not separable</w:t>
            </w:r>
          </w:p>
        </w:tc>
        <w:tc>
          <w:tcPr>
            <w:tcW w:w="794" w:type="pct"/>
            <w:tcMar>
              <w:top w:w="60" w:type="dxa"/>
              <w:left w:w="80" w:type="dxa"/>
              <w:bottom w:w="60" w:type="dxa"/>
              <w:right w:w="80" w:type="dxa"/>
            </w:tcMar>
          </w:tcPr>
          <w:p w14:paraId="7A61701E" w14:textId="77777777" w:rsidR="00D76725" w:rsidRDefault="00000000" w:rsidP="00412D3E">
            <w:pPr>
              <w:spacing w:before="100" w:beforeAutospacing="1" w:after="100" w:afterAutospacing="1"/>
              <w:jc w:val="both"/>
            </w:pPr>
            <w:proofErr w:type="spellStart"/>
            <w:r>
              <w:rPr>
                <w:sz w:val="18"/>
                <w:szCs w:val="18"/>
              </w:rPr>
              <w:t>Ansaree</w:t>
            </w:r>
            <w:proofErr w:type="spellEnd"/>
            <w:r>
              <w:rPr>
                <w:sz w:val="18"/>
                <w:szCs w:val="18"/>
              </w:rPr>
              <w:t xml:space="preserve"> &amp; Uddin (2026)</w:t>
            </w:r>
          </w:p>
        </w:tc>
      </w:tr>
      <w:tr w:rsidR="00D76725" w14:paraId="489DF5C2" w14:textId="77777777" w:rsidTr="009F144E">
        <w:tc>
          <w:tcPr>
            <w:tcW w:w="818" w:type="pct"/>
            <w:tcMar>
              <w:top w:w="60" w:type="dxa"/>
              <w:left w:w="80" w:type="dxa"/>
              <w:bottom w:w="60" w:type="dxa"/>
              <w:right w:w="80" w:type="dxa"/>
            </w:tcMar>
          </w:tcPr>
          <w:p w14:paraId="1BD37419" w14:textId="77777777" w:rsidR="00D76725" w:rsidRDefault="00000000" w:rsidP="00412D3E">
            <w:pPr>
              <w:spacing w:before="100" w:beforeAutospacing="1" w:after="100" w:afterAutospacing="1"/>
              <w:jc w:val="both"/>
            </w:pPr>
            <w:r>
              <w:rPr>
                <w:sz w:val="18"/>
                <w:szCs w:val="18"/>
              </w:rPr>
              <w:t>Learner intention to use a generative model for academic writing</w:t>
            </w:r>
          </w:p>
        </w:tc>
        <w:tc>
          <w:tcPr>
            <w:tcW w:w="701" w:type="pct"/>
            <w:tcMar>
              <w:top w:w="60" w:type="dxa"/>
              <w:left w:w="80" w:type="dxa"/>
              <w:bottom w:w="60" w:type="dxa"/>
              <w:right w:w="80" w:type="dxa"/>
            </w:tcMar>
          </w:tcPr>
          <w:p w14:paraId="1A199596" w14:textId="77777777" w:rsidR="00D76725" w:rsidRDefault="00000000" w:rsidP="00412D3E">
            <w:pPr>
              <w:spacing w:before="100" w:beforeAutospacing="1" w:after="100" w:afterAutospacing="1"/>
              <w:jc w:val="both"/>
            </w:pPr>
            <w:r>
              <w:rPr>
                <w:sz w:val="18"/>
                <w:szCs w:val="18"/>
              </w:rPr>
              <w:t>Quantitative survey</w:t>
            </w:r>
          </w:p>
        </w:tc>
        <w:tc>
          <w:tcPr>
            <w:tcW w:w="724" w:type="pct"/>
            <w:tcMar>
              <w:top w:w="60" w:type="dxa"/>
              <w:left w:w="80" w:type="dxa"/>
              <w:bottom w:w="60" w:type="dxa"/>
              <w:right w:w="80" w:type="dxa"/>
            </w:tcMar>
          </w:tcPr>
          <w:p w14:paraId="628C5F4D" w14:textId="77777777" w:rsidR="00D76725" w:rsidRDefault="00000000" w:rsidP="00412D3E">
            <w:pPr>
              <w:spacing w:before="100" w:beforeAutospacing="1" w:after="100" w:afterAutospacing="1"/>
              <w:jc w:val="both"/>
            </w:pPr>
            <w:r>
              <w:rPr>
                <w:sz w:val="18"/>
                <w:szCs w:val="18"/>
              </w:rPr>
              <w:t>159 first-year students</w:t>
            </w:r>
          </w:p>
        </w:tc>
        <w:tc>
          <w:tcPr>
            <w:tcW w:w="888" w:type="pct"/>
            <w:tcMar>
              <w:top w:w="60" w:type="dxa"/>
              <w:left w:w="80" w:type="dxa"/>
              <w:bottom w:w="60" w:type="dxa"/>
              <w:right w:w="80" w:type="dxa"/>
            </w:tcMar>
          </w:tcPr>
          <w:p w14:paraId="3E30F593" w14:textId="77777777" w:rsidR="00D76725" w:rsidRDefault="00000000" w:rsidP="00412D3E">
            <w:pPr>
              <w:spacing w:before="100" w:beforeAutospacing="1" w:after="100" w:afterAutospacing="1"/>
              <w:jc w:val="both"/>
            </w:pPr>
            <w:r>
              <w:rPr>
                <w:sz w:val="18"/>
                <w:szCs w:val="18"/>
              </w:rPr>
              <w:t>Cognitive and affective attitude, behavioural intention</w:t>
            </w:r>
          </w:p>
        </w:tc>
        <w:tc>
          <w:tcPr>
            <w:tcW w:w="1075" w:type="pct"/>
            <w:tcMar>
              <w:top w:w="60" w:type="dxa"/>
              <w:left w:w="80" w:type="dxa"/>
              <w:bottom w:w="60" w:type="dxa"/>
              <w:right w:w="80" w:type="dxa"/>
            </w:tcMar>
          </w:tcPr>
          <w:p w14:paraId="7749D1C1" w14:textId="77777777" w:rsidR="00D76725" w:rsidRDefault="00000000" w:rsidP="00412D3E">
            <w:pPr>
              <w:spacing w:before="100" w:beforeAutospacing="1" w:after="100" w:afterAutospacing="1"/>
              <w:jc w:val="both"/>
            </w:pPr>
            <w:r>
              <w:rPr>
                <w:sz w:val="18"/>
                <w:szCs w:val="18"/>
              </w:rPr>
              <w:t>Intention not behaviour; no outcome measure</w:t>
            </w:r>
          </w:p>
        </w:tc>
        <w:tc>
          <w:tcPr>
            <w:tcW w:w="794" w:type="pct"/>
            <w:tcMar>
              <w:top w:w="60" w:type="dxa"/>
              <w:left w:w="80" w:type="dxa"/>
              <w:bottom w:w="60" w:type="dxa"/>
              <w:right w:w="80" w:type="dxa"/>
            </w:tcMar>
          </w:tcPr>
          <w:p w14:paraId="6600D2A5" w14:textId="77777777" w:rsidR="00D76725" w:rsidRDefault="00000000" w:rsidP="00412D3E">
            <w:pPr>
              <w:spacing w:before="100" w:beforeAutospacing="1" w:after="100" w:afterAutospacing="1"/>
              <w:jc w:val="both"/>
            </w:pPr>
            <w:proofErr w:type="spellStart"/>
            <w:r>
              <w:rPr>
                <w:sz w:val="18"/>
                <w:szCs w:val="18"/>
              </w:rPr>
              <w:t>Bristi</w:t>
            </w:r>
            <w:proofErr w:type="spellEnd"/>
            <w:r>
              <w:rPr>
                <w:sz w:val="18"/>
                <w:szCs w:val="18"/>
              </w:rPr>
              <w:t xml:space="preserve"> et al. (2025)</w:t>
            </w:r>
          </w:p>
        </w:tc>
      </w:tr>
      <w:tr w:rsidR="00D76725" w14:paraId="4C8D15B9" w14:textId="77777777" w:rsidTr="009F144E">
        <w:tc>
          <w:tcPr>
            <w:tcW w:w="818" w:type="pct"/>
            <w:tcMar>
              <w:top w:w="60" w:type="dxa"/>
              <w:left w:w="80" w:type="dxa"/>
              <w:bottom w:w="60" w:type="dxa"/>
              <w:right w:w="80" w:type="dxa"/>
            </w:tcMar>
          </w:tcPr>
          <w:p w14:paraId="6EE9E9F1" w14:textId="77777777" w:rsidR="00D76725" w:rsidRDefault="00000000" w:rsidP="00412D3E">
            <w:pPr>
              <w:spacing w:before="100" w:beforeAutospacing="1" w:after="100" w:afterAutospacing="1"/>
              <w:jc w:val="both"/>
            </w:pPr>
            <w:r>
              <w:rPr>
                <w:sz w:val="18"/>
                <w:szCs w:val="18"/>
              </w:rPr>
              <w:t>Determinants of adoption and educational-level gap</w:t>
            </w:r>
          </w:p>
        </w:tc>
        <w:tc>
          <w:tcPr>
            <w:tcW w:w="701" w:type="pct"/>
            <w:tcMar>
              <w:top w:w="60" w:type="dxa"/>
              <w:left w:w="80" w:type="dxa"/>
              <w:bottom w:w="60" w:type="dxa"/>
              <w:right w:w="80" w:type="dxa"/>
            </w:tcMar>
          </w:tcPr>
          <w:p w14:paraId="1EC0B3EB" w14:textId="77777777" w:rsidR="00D76725" w:rsidRDefault="00000000" w:rsidP="00412D3E">
            <w:pPr>
              <w:spacing w:before="100" w:beforeAutospacing="1" w:after="100" w:afterAutospacing="1"/>
              <w:jc w:val="both"/>
            </w:pPr>
            <w:r>
              <w:rPr>
                <w:sz w:val="18"/>
                <w:szCs w:val="18"/>
              </w:rPr>
              <w:t>Quantitative survey with decomposition</w:t>
            </w:r>
          </w:p>
        </w:tc>
        <w:tc>
          <w:tcPr>
            <w:tcW w:w="724" w:type="pct"/>
            <w:tcMar>
              <w:top w:w="60" w:type="dxa"/>
              <w:left w:w="80" w:type="dxa"/>
              <w:bottom w:w="60" w:type="dxa"/>
              <w:right w:w="80" w:type="dxa"/>
            </w:tcMar>
          </w:tcPr>
          <w:p w14:paraId="61C31177" w14:textId="77777777" w:rsidR="00D76725" w:rsidRDefault="00000000" w:rsidP="00412D3E">
            <w:pPr>
              <w:spacing w:before="100" w:beforeAutospacing="1" w:after="100" w:afterAutospacing="1"/>
              <w:jc w:val="both"/>
            </w:pPr>
            <w:r>
              <w:rPr>
                <w:sz w:val="18"/>
                <w:szCs w:val="18"/>
              </w:rPr>
              <w:t>307 students</w:t>
            </w:r>
          </w:p>
        </w:tc>
        <w:tc>
          <w:tcPr>
            <w:tcW w:w="888" w:type="pct"/>
            <w:tcMar>
              <w:top w:w="60" w:type="dxa"/>
              <w:left w:w="80" w:type="dxa"/>
              <w:bottom w:w="60" w:type="dxa"/>
              <w:right w:w="80" w:type="dxa"/>
            </w:tcMar>
          </w:tcPr>
          <w:p w14:paraId="1381ECEE" w14:textId="77777777" w:rsidR="00D76725" w:rsidRDefault="00000000" w:rsidP="00412D3E">
            <w:pPr>
              <w:spacing w:before="100" w:beforeAutospacing="1" w:after="100" w:afterAutospacing="1"/>
              <w:jc w:val="both"/>
            </w:pPr>
            <w:r>
              <w:rPr>
                <w:sz w:val="18"/>
                <w:szCs w:val="18"/>
              </w:rPr>
              <w:t>Actual reported use</w:t>
            </w:r>
          </w:p>
        </w:tc>
        <w:tc>
          <w:tcPr>
            <w:tcW w:w="1075" w:type="pct"/>
            <w:tcMar>
              <w:top w:w="60" w:type="dxa"/>
              <w:left w:w="80" w:type="dxa"/>
              <w:bottom w:w="60" w:type="dxa"/>
              <w:right w:w="80" w:type="dxa"/>
            </w:tcMar>
          </w:tcPr>
          <w:p w14:paraId="7A6B331C" w14:textId="77777777" w:rsidR="00D76725" w:rsidRDefault="00000000" w:rsidP="00412D3E">
            <w:pPr>
              <w:spacing w:before="100" w:beforeAutospacing="1" w:after="100" w:afterAutospacing="1"/>
              <w:jc w:val="both"/>
            </w:pPr>
            <w:r>
              <w:rPr>
                <w:sz w:val="18"/>
                <w:szCs w:val="18"/>
              </w:rPr>
              <w:t>Self-reported use; cross-sectional design</w:t>
            </w:r>
          </w:p>
        </w:tc>
        <w:tc>
          <w:tcPr>
            <w:tcW w:w="794" w:type="pct"/>
            <w:tcMar>
              <w:top w:w="60" w:type="dxa"/>
              <w:left w:w="80" w:type="dxa"/>
              <w:bottom w:w="60" w:type="dxa"/>
              <w:right w:w="80" w:type="dxa"/>
            </w:tcMar>
          </w:tcPr>
          <w:p w14:paraId="7D94B267" w14:textId="77777777" w:rsidR="00D76725" w:rsidRDefault="00000000" w:rsidP="00412D3E">
            <w:pPr>
              <w:spacing w:before="100" w:beforeAutospacing="1" w:after="100" w:afterAutospacing="1"/>
              <w:jc w:val="both"/>
            </w:pPr>
            <w:r>
              <w:rPr>
                <w:sz w:val="18"/>
                <w:szCs w:val="18"/>
              </w:rPr>
              <w:t>Akter et al. (2026)</w:t>
            </w:r>
          </w:p>
        </w:tc>
      </w:tr>
      <w:tr w:rsidR="00D76725" w14:paraId="321D48E1" w14:textId="77777777" w:rsidTr="009F144E">
        <w:tc>
          <w:tcPr>
            <w:tcW w:w="818" w:type="pct"/>
            <w:tcMar>
              <w:top w:w="60" w:type="dxa"/>
              <w:left w:w="80" w:type="dxa"/>
              <w:bottom w:w="60" w:type="dxa"/>
              <w:right w:w="80" w:type="dxa"/>
            </w:tcMar>
          </w:tcPr>
          <w:p w14:paraId="5B87413B" w14:textId="77777777" w:rsidR="00D76725" w:rsidRDefault="00000000" w:rsidP="00412D3E">
            <w:pPr>
              <w:spacing w:before="100" w:beforeAutospacing="1" w:after="100" w:afterAutospacing="1"/>
              <w:jc w:val="both"/>
            </w:pPr>
            <w:r>
              <w:rPr>
                <w:sz w:val="18"/>
                <w:szCs w:val="18"/>
              </w:rPr>
              <w:t>Determinants of adoption in public and private universities</w:t>
            </w:r>
          </w:p>
        </w:tc>
        <w:tc>
          <w:tcPr>
            <w:tcW w:w="701" w:type="pct"/>
            <w:tcMar>
              <w:top w:w="60" w:type="dxa"/>
              <w:left w:w="80" w:type="dxa"/>
              <w:bottom w:w="60" w:type="dxa"/>
              <w:right w:w="80" w:type="dxa"/>
            </w:tcMar>
          </w:tcPr>
          <w:p w14:paraId="6EDE6B44" w14:textId="77777777" w:rsidR="00D76725" w:rsidRDefault="00000000" w:rsidP="00412D3E">
            <w:pPr>
              <w:spacing w:before="100" w:beforeAutospacing="1" w:after="100" w:afterAutospacing="1"/>
              <w:jc w:val="both"/>
            </w:pPr>
            <w:r>
              <w:rPr>
                <w:sz w:val="18"/>
                <w:szCs w:val="18"/>
              </w:rPr>
              <w:t>Quantitative survey</w:t>
            </w:r>
          </w:p>
        </w:tc>
        <w:tc>
          <w:tcPr>
            <w:tcW w:w="724" w:type="pct"/>
            <w:tcMar>
              <w:top w:w="60" w:type="dxa"/>
              <w:left w:w="80" w:type="dxa"/>
              <w:bottom w:w="60" w:type="dxa"/>
              <w:right w:w="80" w:type="dxa"/>
            </w:tcMar>
          </w:tcPr>
          <w:p w14:paraId="65C6130D" w14:textId="77777777" w:rsidR="00D76725" w:rsidRDefault="00000000" w:rsidP="00412D3E">
            <w:pPr>
              <w:spacing w:before="100" w:beforeAutospacing="1" w:after="100" w:afterAutospacing="1"/>
              <w:jc w:val="both"/>
            </w:pPr>
            <w:r>
              <w:rPr>
                <w:sz w:val="18"/>
                <w:szCs w:val="18"/>
              </w:rPr>
              <w:t>University students</w:t>
            </w:r>
          </w:p>
        </w:tc>
        <w:tc>
          <w:tcPr>
            <w:tcW w:w="888" w:type="pct"/>
            <w:tcMar>
              <w:top w:w="60" w:type="dxa"/>
              <w:left w:w="80" w:type="dxa"/>
              <w:bottom w:w="60" w:type="dxa"/>
              <w:right w:w="80" w:type="dxa"/>
            </w:tcMar>
          </w:tcPr>
          <w:p w14:paraId="7AD5C398" w14:textId="77777777" w:rsidR="00D76725" w:rsidRDefault="00000000" w:rsidP="00412D3E">
            <w:pPr>
              <w:spacing w:before="100" w:beforeAutospacing="1" w:after="100" w:afterAutospacing="1"/>
              <w:jc w:val="both"/>
            </w:pPr>
            <w:r>
              <w:rPr>
                <w:sz w:val="18"/>
                <w:szCs w:val="18"/>
              </w:rPr>
              <w:t>Adoption intention</w:t>
            </w:r>
          </w:p>
        </w:tc>
        <w:tc>
          <w:tcPr>
            <w:tcW w:w="1075" w:type="pct"/>
            <w:tcMar>
              <w:top w:w="60" w:type="dxa"/>
              <w:left w:w="80" w:type="dxa"/>
              <w:bottom w:w="60" w:type="dxa"/>
              <w:right w:w="80" w:type="dxa"/>
            </w:tcMar>
          </w:tcPr>
          <w:p w14:paraId="75BD914E" w14:textId="77777777" w:rsidR="00D76725" w:rsidRDefault="00000000" w:rsidP="00412D3E">
            <w:pPr>
              <w:spacing w:before="100" w:beforeAutospacing="1" w:after="100" w:afterAutospacing="1"/>
              <w:jc w:val="both"/>
            </w:pPr>
            <w:r>
              <w:rPr>
                <w:sz w:val="18"/>
                <w:szCs w:val="18"/>
              </w:rPr>
              <w:t>Intention not behaviour; moderators not theorised in advance</w:t>
            </w:r>
          </w:p>
        </w:tc>
        <w:tc>
          <w:tcPr>
            <w:tcW w:w="794" w:type="pct"/>
            <w:tcMar>
              <w:top w:w="60" w:type="dxa"/>
              <w:left w:w="80" w:type="dxa"/>
              <w:bottom w:w="60" w:type="dxa"/>
              <w:right w:w="80" w:type="dxa"/>
            </w:tcMar>
          </w:tcPr>
          <w:p w14:paraId="047C5D8B" w14:textId="77777777" w:rsidR="00D76725" w:rsidRDefault="00000000" w:rsidP="00412D3E">
            <w:pPr>
              <w:spacing w:before="100" w:beforeAutospacing="1" w:after="100" w:afterAutospacing="1"/>
              <w:jc w:val="both"/>
            </w:pPr>
            <w:r>
              <w:rPr>
                <w:sz w:val="18"/>
                <w:szCs w:val="18"/>
              </w:rPr>
              <w:t>Kibria et al. (2026)</w:t>
            </w:r>
          </w:p>
        </w:tc>
      </w:tr>
      <w:tr w:rsidR="00D76725" w14:paraId="353D74E1" w14:textId="77777777" w:rsidTr="009F144E">
        <w:tc>
          <w:tcPr>
            <w:tcW w:w="818" w:type="pct"/>
            <w:tcMar>
              <w:top w:w="60" w:type="dxa"/>
              <w:left w:w="80" w:type="dxa"/>
              <w:bottom w:w="60" w:type="dxa"/>
              <w:right w:w="80" w:type="dxa"/>
            </w:tcMar>
          </w:tcPr>
          <w:p w14:paraId="2881C019" w14:textId="77777777" w:rsidR="00D76725" w:rsidRDefault="00000000" w:rsidP="00412D3E">
            <w:pPr>
              <w:spacing w:before="100" w:beforeAutospacing="1" w:after="100" w:afterAutospacing="1"/>
              <w:jc w:val="both"/>
            </w:pPr>
            <w:r>
              <w:rPr>
                <w:sz w:val="18"/>
                <w:szCs w:val="18"/>
              </w:rPr>
              <w:t>Disciplinary teacher perspectives on integrity in English-medium universities</w:t>
            </w:r>
          </w:p>
        </w:tc>
        <w:tc>
          <w:tcPr>
            <w:tcW w:w="701" w:type="pct"/>
            <w:tcMar>
              <w:top w:w="60" w:type="dxa"/>
              <w:left w:w="80" w:type="dxa"/>
              <w:bottom w:w="60" w:type="dxa"/>
              <w:right w:w="80" w:type="dxa"/>
            </w:tcMar>
          </w:tcPr>
          <w:p w14:paraId="14B34930" w14:textId="77777777" w:rsidR="00D76725" w:rsidRDefault="00000000" w:rsidP="00412D3E">
            <w:pPr>
              <w:spacing w:before="100" w:beforeAutospacing="1" w:after="100" w:afterAutospacing="1"/>
              <w:jc w:val="both"/>
            </w:pPr>
            <w:r>
              <w:rPr>
                <w:sz w:val="18"/>
                <w:szCs w:val="18"/>
              </w:rPr>
              <w:t>Qualitative</w:t>
            </w:r>
          </w:p>
        </w:tc>
        <w:tc>
          <w:tcPr>
            <w:tcW w:w="724" w:type="pct"/>
            <w:tcMar>
              <w:top w:w="60" w:type="dxa"/>
              <w:left w:w="80" w:type="dxa"/>
              <w:bottom w:w="60" w:type="dxa"/>
              <w:right w:w="80" w:type="dxa"/>
            </w:tcMar>
          </w:tcPr>
          <w:p w14:paraId="3D0B8291" w14:textId="77777777" w:rsidR="00D76725" w:rsidRDefault="00000000" w:rsidP="00412D3E">
            <w:pPr>
              <w:spacing w:before="100" w:beforeAutospacing="1" w:after="100" w:afterAutospacing="1"/>
              <w:jc w:val="both"/>
            </w:pPr>
            <w:r>
              <w:rPr>
                <w:sz w:val="18"/>
                <w:szCs w:val="18"/>
              </w:rPr>
              <w:t>Disciplinary teachers</w:t>
            </w:r>
          </w:p>
        </w:tc>
        <w:tc>
          <w:tcPr>
            <w:tcW w:w="888" w:type="pct"/>
            <w:tcMar>
              <w:top w:w="60" w:type="dxa"/>
              <w:left w:w="80" w:type="dxa"/>
              <w:bottom w:w="60" w:type="dxa"/>
              <w:right w:w="80" w:type="dxa"/>
            </w:tcMar>
          </w:tcPr>
          <w:p w14:paraId="7D9CBD21" w14:textId="77777777" w:rsidR="00D76725" w:rsidRDefault="00000000" w:rsidP="00412D3E">
            <w:pPr>
              <w:spacing w:before="100" w:beforeAutospacing="1" w:after="100" w:afterAutospacing="1"/>
              <w:jc w:val="both"/>
            </w:pPr>
            <w:r>
              <w:rPr>
                <w:sz w:val="18"/>
                <w:szCs w:val="18"/>
              </w:rPr>
              <w:t>Attitudes and ethical reasoning</w:t>
            </w:r>
          </w:p>
        </w:tc>
        <w:tc>
          <w:tcPr>
            <w:tcW w:w="1075" w:type="pct"/>
            <w:tcMar>
              <w:top w:w="60" w:type="dxa"/>
              <w:left w:w="80" w:type="dxa"/>
              <w:bottom w:w="60" w:type="dxa"/>
              <w:right w:w="80" w:type="dxa"/>
            </w:tcMar>
          </w:tcPr>
          <w:p w14:paraId="01108DA2" w14:textId="77777777" w:rsidR="00D76725" w:rsidRDefault="00000000" w:rsidP="00412D3E">
            <w:pPr>
              <w:spacing w:before="100" w:beforeAutospacing="1" w:after="100" w:afterAutospacing="1"/>
              <w:jc w:val="both"/>
            </w:pPr>
            <w:r>
              <w:rPr>
                <w:sz w:val="18"/>
                <w:szCs w:val="18"/>
              </w:rPr>
              <w:t>Perspectives of staff only; student practice not sampled</w:t>
            </w:r>
          </w:p>
        </w:tc>
        <w:tc>
          <w:tcPr>
            <w:tcW w:w="794" w:type="pct"/>
            <w:tcMar>
              <w:top w:w="60" w:type="dxa"/>
              <w:left w:w="80" w:type="dxa"/>
              <w:bottom w:w="60" w:type="dxa"/>
              <w:right w:w="80" w:type="dxa"/>
            </w:tcMar>
          </w:tcPr>
          <w:p w14:paraId="73163007" w14:textId="77777777" w:rsidR="00D76725" w:rsidRDefault="00000000" w:rsidP="00412D3E">
            <w:pPr>
              <w:spacing w:before="100" w:beforeAutospacing="1" w:after="100" w:afterAutospacing="1"/>
              <w:jc w:val="both"/>
            </w:pPr>
            <w:r>
              <w:rPr>
                <w:sz w:val="18"/>
                <w:szCs w:val="18"/>
              </w:rPr>
              <w:t>Nahiyan &amp; Rahman (2026)</w:t>
            </w:r>
          </w:p>
        </w:tc>
      </w:tr>
      <w:tr w:rsidR="00D76725" w14:paraId="690AE4CE" w14:textId="77777777" w:rsidTr="009F144E">
        <w:tc>
          <w:tcPr>
            <w:tcW w:w="818" w:type="pct"/>
            <w:tcMar>
              <w:top w:w="60" w:type="dxa"/>
              <w:left w:w="80" w:type="dxa"/>
              <w:bottom w:w="60" w:type="dxa"/>
              <w:right w:w="80" w:type="dxa"/>
            </w:tcMar>
          </w:tcPr>
          <w:p w14:paraId="11B9B62E" w14:textId="77777777" w:rsidR="00D76725" w:rsidRDefault="00000000" w:rsidP="00412D3E">
            <w:pPr>
              <w:spacing w:before="100" w:beforeAutospacing="1" w:after="100" w:afterAutospacing="1"/>
              <w:jc w:val="both"/>
            </w:pPr>
            <w:r>
              <w:rPr>
                <w:sz w:val="18"/>
                <w:szCs w:val="18"/>
              </w:rPr>
              <w:t>Innovation in learning and assessment concerns</w:t>
            </w:r>
          </w:p>
        </w:tc>
        <w:tc>
          <w:tcPr>
            <w:tcW w:w="701" w:type="pct"/>
            <w:tcMar>
              <w:top w:w="60" w:type="dxa"/>
              <w:left w:w="80" w:type="dxa"/>
              <w:bottom w:w="60" w:type="dxa"/>
              <w:right w:w="80" w:type="dxa"/>
            </w:tcMar>
          </w:tcPr>
          <w:p w14:paraId="1C8EBF68" w14:textId="77777777" w:rsidR="00D76725" w:rsidRDefault="00000000" w:rsidP="00412D3E">
            <w:pPr>
              <w:spacing w:before="100" w:beforeAutospacing="1" w:after="100" w:afterAutospacing="1"/>
              <w:jc w:val="both"/>
            </w:pPr>
            <w:r>
              <w:rPr>
                <w:sz w:val="18"/>
                <w:szCs w:val="18"/>
              </w:rPr>
              <w:t>Qualitative interview</w:t>
            </w:r>
          </w:p>
        </w:tc>
        <w:tc>
          <w:tcPr>
            <w:tcW w:w="724" w:type="pct"/>
            <w:tcMar>
              <w:top w:w="60" w:type="dxa"/>
              <w:left w:w="80" w:type="dxa"/>
              <w:bottom w:w="60" w:type="dxa"/>
              <w:right w:w="80" w:type="dxa"/>
            </w:tcMar>
          </w:tcPr>
          <w:p w14:paraId="2B51B134" w14:textId="77777777" w:rsidR="00D76725" w:rsidRDefault="00000000" w:rsidP="00412D3E">
            <w:pPr>
              <w:spacing w:before="100" w:beforeAutospacing="1" w:after="100" w:afterAutospacing="1"/>
              <w:jc w:val="both"/>
            </w:pPr>
            <w:r>
              <w:rPr>
                <w:sz w:val="18"/>
                <w:szCs w:val="18"/>
              </w:rPr>
              <w:t>Students, faculty and information technology staff</w:t>
            </w:r>
          </w:p>
        </w:tc>
        <w:tc>
          <w:tcPr>
            <w:tcW w:w="888" w:type="pct"/>
            <w:tcMar>
              <w:top w:w="60" w:type="dxa"/>
              <w:left w:w="80" w:type="dxa"/>
              <w:bottom w:w="60" w:type="dxa"/>
              <w:right w:w="80" w:type="dxa"/>
            </w:tcMar>
          </w:tcPr>
          <w:p w14:paraId="7807E91C" w14:textId="77777777" w:rsidR="00D76725" w:rsidRDefault="00000000" w:rsidP="00412D3E">
            <w:pPr>
              <w:spacing w:before="100" w:beforeAutospacing="1" w:after="100" w:afterAutospacing="1"/>
              <w:jc w:val="both"/>
            </w:pPr>
            <w:r>
              <w:rPr>
                <w:sz w:val="18"/>
                <w:szCs w:val="18"/>
              </w:rPr>
              <w:t>Reported practice and institutional concern</w:t>
            </w:r>
          </w:p>
        </w:tc>
        <w:tc>
          <w:tcPr>
            <w:tcW w:w="1075" w:type="pct"/>
            <w:tcMar>
              <w:top w:w="60" w:type="dxa"/>
              <w:left w:w="80" w:type="dxa"/>
              <w:bottom w:w="60" w:type="dxa"/>
              <w:right w:w="80" w:type="dxa"/>
            </w:tcMar>
          </w:tcPr>
          <w:p w14:paraId="6286D37A" w14:textId="77777777" w:rsidR="00D76725" w:rsidRDefault="00000000" w:rsidP="00412D3E">
            <w:pPr>
              <w:spacing w:before="100" w:beforeAutospacing="1" w:after="100" w:afterAutospacing="1"/>
              <w:jc w:val="both"/>
            </w:pPr>
            <w:r>
              <w:rPr>
                <w:sz w:val="18"/>
                <w:szCs w:val="18"/>
              </w:rPr>
              <w:t>Broad scope; language outcomes not addressed</w:t>
            </w:r>
          </w:p>
        </w:tc>
        <w:tc>
          <w:tcPr>
            <w:tcW w:w="794" w:type="pct"/>
            <w:tcMar>
              <w:top w:w="60" w:type="dxa"/>
              <w:left w:w="80" w:type="dxa"/>
              <w:bottom w:w="60" w:type="dxa"/>
              <w:right w:w="80" w:type="dxa"/>
            </w:tcMar>
          </w:tcPr>
          <w:p w14:paraId="696BD658" w14:textId="77777777" w:rsidR="00D76725" w:rsidRDefault="00000000" w:rsidP="00412D3E">
            <w:pPr>
              <w:spacing w:before="100" w:beforeAutospacing="1" w:after="100" w:afterAutospacing="1"/>
              <w:jc w:val="both"/>
            </w:pPr>
            <w:r>
              <w:rPr>
                <w:sz w:val="18"/>
                <w:szCs w:val="18"/>
              </w:rPr>
              <w:t>Eva et al. (2024)</w:t>
            </w:r>
          </w:p>
        </w:tc>
      </w:tr>
    </w:tbl>
    <w:p w14:paraId="61F88FD2" w14:textId="77777777" w:rsidR="00D76725" w:rsidRDefault="00000000" w:rsidP="00412D3E">
      <w:pPr>
        <w:spacing w:before="100" w:beforeAutospacing="1" w:after="100" w:afterAutospacing="1"/>
        <w:jc w:val="both"/>
      </w:pPr>
      <w:r>
        <w:rPr>
          <w:i/>
          <w:iCs/>
          <w:sz w:val="18"/>
          <w:szCs w:val="18"/>
        </w:rPr>
        <w:t>Note. Constructs are reported as measured by the study authors. The table includes only studies conducted with Bangladeshi participants and retrieved through the search described in Section 2; it is not an exhaustive inventory of Bangladeshi scholarship on the topic.</w:t>
      </w:r>
    </w:p>
    <w:p w14:paraId="17B25517" w14:textId="77777777" w:rsidR="00D76725" w:rsidRDefault="00000000" w:rsidP="00412D3E">
      <w:pPr>
        <w:pStyle w:val="Heading1"/>
        <w:spacing w:before="100" w:beforeAutospacing="1" w:after="100" w:afterAutospacing="1"/>
        <w:jc w:val="both"/>
      </w:pPr>
      <w:r>
        <w:rPr>
          <w:b/>
          <w:bCs/>
          <w:color w:val="000000"/>
          <w:sz w:val="28"/>
          <w:szCs w:val="28"/>
        </w:rPr>
        <w:t>5. Writing, Feedback and the Contested Evidence on Learning Gains</w:t>
      </w:r>
    </w:p>
    <w:p w14:paraId="2F77191D" w14:textId="77777777" w:rsidR="00D76725" w:rsidRDefault="00000000" w:rsidP="00412D3E">
      <w:pPr>
        <w:spacing w:before="100" w:beforeAutospacing="1" w:after="100" w:afterAutospacing="1"/>
        <w:jc w:val="both"/>
      </w:pPr>
      <w:r>
        <w:rPr>
          <w:sz w:val="24"/>
          <w:szCs w:val="24"/>
        </w:rPr>
        <w:t>Writing is the domain in which artificial intelligence tools are most heavily used in Bangladeshi higher education and the domain in which the international evidence is most developed. It is also the domain in which the gap between the two literatures is widest, because the international record contains experimental findings that qualify, and in places contradict, the optimistic account that the national perception studies report.</w:t>
      </w:r>
    </w:p>
    <w:p w14:paraId="070B4B80" w14:textId="77777777" w:rsidR="00D76725" w:rsidRDefault="00000000" w:rsidP="00412D3E">
      <w:pPr>
        <w:pStyle w:val="Heading2"/>
        <w:spacing w:before="100" w:beforeAutospacing="1" w:after="100" w:afterAutospacing="1"/>
        <w:jc w:val="both"/>
      </w:pPr>
      <w:r>
        <w:rPr>
          <w:b/>
          <w:bCs/>
          <w:color w:val="000000"/>
        </w:rPr>
        <w:t>5.1 From automated writing evaluation to generative feedback</w:t>
      </w:r>
    </w:p>
    <w:p w14:paraId="575C186F" w14:textId="77777777" w:rsidR="00D76725" w:rsidRDefault="00000000" w:rsidP="00412D3E">
      <w:pPr>
        <w:spacing w:before="100" w:beforeAutospacing="1" w:after="100" w:afterAutospacing="1"/>
        <w:jc w:val="both"/>
      </w:pPr>
      <w:r>
        <w:rPr>
          <w:sz w:val="24"/>
          <w:szCs w:val="24"/>
        </w:rPr>
        <w:t xml:space="preserve">Automated writing evaluation preceded generative models by more than a decade and generated a substantial evidence base. Meta-analysis of twenty-six primary studies involving 2,468 participants between 2010 and 2022 reported a large positive overall effect on writing quality, with moderator analysis indicating stronger effects for post-secondary than for </w:t>
      </w:r>
      <w:r>
        <w:rPr>
          <w:sz w:val="24"/>
          <w:szCs w:val="24"/>
        </w:rPr>
        <w:lastRenderedPageBreak/>
        <w:t>secondary learners and for learners of English as a foreign or second language than for first-language users, and a stronger effect on argumentative than on academic or mixed genres (Zhai &amp; Ma, 2023). Intervention duration, feedback combination and platform did not moderate the effect. A research synthesis of classroom use adds detail on implementation conditions (Karatay &amp; Karatay, 2024), and a review of feedback types and learning outcomes maps the mechanisms through which such systems are proposed to operate (Fu et al., 2024).</w:t>
      </w:r>
    </w:p>
    <w:p w14:paraId="0322373D" w14:textId="77777777" w:rsidR="00D76725" w:rsidRDefault="00000000" w:rsidP="00412D3E">
      <w:pPr>
        <w:spacing w:before="100" w:beforeAutospacing="1" w:after="100" w:afterAutospacing="1"/>
        <w:jc w:val="both"/>
      </w:pPr>
      <w:r>
        <w:rPr>
          <w:sz w:val="24"/>
          <w:szCs w:val="24"/>
        </w:rPr>
        <w:t>The magnitude of the reported meta-analytic effect warrants caution rather than confidence. Effects of this size in educational research are uncommon, and the studies aggregated differ in the outcome instruments used, in whether the comparison condition received equivalent feedback from any source, and in the extent to which the writing measured was produced under the same conditions as the training. Classroom studies present a more restrained picture. Investigation of the impact of automated evaluation on teacher feedback, student revision and writing improvement found gains conditional on how teachers reorganised their own feedback practice around the system rather than on the system itself (Link et al., 2022), and research on teacher perception and implementation found that instructors mediated system output substantially before students encountered it (Li, 2021). The mechanism, in other words, is not the automated feedback in isolation but the instructional arrangement in which it is embedded.</w:t>
      </w:r>
    </w:p>
    <w:p w14:paraId="52ADDBA0" w14:textId="77777777" w:rsidR="00D76725" w:rsidRDefault="00000000" w:rsidP="00412D3E">
      <w:pPr>
        <w:spacing w:before="100" w:beforeAutospacing="1" w:after="100" w:afterAutospacing="1"/>
        <w:jc w:val="both"/>
      </w:pPr>
      <w:r>
        <w:rPr>
          <w:sz w:val="24"/>
          <w:szCs w:val="24"/>
        </w:rPr>
        <w:t>Intelligent writing assistance occupied an intermediate position between rule-based evaluation and generative composition, and analysis of its relationship to instructed language learning anticipated much of the present debate, identifying the difficulty of distinguishing support that scaffolds development from support that substitutes for it (Godwin-Jones, 2022). That distinction has become harder rather than easier to draw.</w:t>
      </w:r>
    </w:p>
    <w:p w14:paraId="72CF795E" w14:textId="77777777" w:rsidR="00D76725" w:rsidRDefault="00000000" w:rsidP="00412D3E">
      <w:pPr>
        <w:spacing w:before="100" w:beforeAutospacing="1" w:after="100" w:afterAutospacing="1"/>
        <w:jc w:val="both"/>
      </w:pPr>
      <w:r>
        <w:rPr>
          <w:sz w:val="24"/>
          <w:szCs w:val="24"/>
        </w:rPr>
        <w:t>Generative models altered the affordance profile. Analysis of the pitfalls and potentials of generative writing support in second language contexts identifies capability for discourse-level and content-level response, which earlier systems handled poorly, alongside risks of factual error and of unwarranted learner trust (Barrot, 2023). The most instructive comparison available is an eleven-week experimental study with one hundred and fifty second-year university students in a Chinese public university, randomly allocated to a generative model condition, an automated writing evaluation condition and a control. The generative group scored significantly higher than both comparison groups on post-intervention writing performance, but scored significantly lower than the automated evaluation group on the ideal second language writing self, with a medium effect size, and qualitative analysis of student reflections identified over-reliance on the tool with accompanying loss of creativity and agency (Shi et al., 2026). This is a genuinely divided result. Product improved; a motivational construct associated with sustained development deteriorated. Any account of generative writing support that reports only the first half of this finding misrepresents the evidence.</w:t>
      </w:r>
    </w:p>
    <w:p w14:paraId="1C6FFFBD" w14:textId="77777777" w:rsidR="00D76725" w:rsidRDefault="00000000" w:rsidP="00412D3E">
      <w:pPr>
        <w:spacing w:before="100" w:beforeAutospacing="1" w:after="100" w:afterAutospacing="1"/>
        <w:jc w:val="both"/>
      </w:pPr>
      <w:r>
        <w:rPr>
          <w:sz w:val="24"/>
          <w:szCs w:val="24"/>
        </w:rPr>
        <w:t>Further work supports the concern. A mixed-methods study of seventy-eight first-year undergraduates in a Turkish public university, using rubric-rated argumentative essays alongside creativity and cognitive reflection measures, reflective journals and focus groups, identified two divergent usage patterns. Frequent reliance produced linguistically fluent and well-organised texts accompanied by lower originality, less developed argumentation and reported cognitive offloading with diminished authorial control, while selective use for language refinement or initial brainstorming preserved personal voice, critical reasoning and metacognitive engagement (</w:t>
      </w:r>
      <w:proofErr w:type="spellStart"/>
      <w:r>
        <w:rPr>
          <w:sz w:val="24"/>
          <w:szCs w:val="24"/>
        </w:rPr>
        <w:t>Tekir</w:t>
      </w:r>
      <w:proofErr w:type="spellEnd"/>
      <w:r>
        <w:rPr>
          <w:sz w:val="24"/>
          <w:szCs w:val="24"/>
        </w:rPr>
        <w:t xml:space="preserve">, 2026). Evidence from a separate literature on artificial intelligence dependence among five hundred and eighty Chinese university students found that greater dependence was associated with lower critical thinking, partially mediated by cognitive </w:t>
      </w:r>
      <w:r>
        <w:rPr>
          <w:sz w:val="24"/>
          <w:szCs w:val="24"/>
        </w:rPr>
        <w:lastRenderedPageBreak/>
        <w:t>fatigue, and that information literacy buffered the association while amplifying fatigue at high levels of reliance (Tian &amp; Zhang, 2025). These studies use different populations, constructs and instruments, and their convergence on a dependence-related cost is therefore more informative than replication within a single design family would be.</w:t>
      </w:r>
    </w:p>
    <w:p w14:paraId="0FB2C16A" w14:textId="77777777" w:rsidR="00D76725" w:rsidRDefault="00000000" w:rsidP="00412D3E">
      <w:pPr>
        <w:spacing w:before="100" w:beforeAutospacing="1" w:after="100" w:afterAutospacing="1"/>
        <w:jc w:val="both"/>
      </w:pPr>
      <w:r>
        <w:rPr>
          <w:sz w:val="24"/>
          <w:szCs w:val="24"/>
        </w:rPr>
        <w:t>Teacher-facing evidence from other foreign-language contexts supports a qualified reading. Analysis of teacher perspectives reported perceived improvement in the organisation of student texts alongside concern about content originality (Marzuki et al., 2023), and commentary on machine-generated text for second-language writers identifies a tension between accelerated production and the developmental value of struggle (Warschauer et al., 2023), examined further in relation to first-language use as a writing resource (Sasaki, 2023). Synthesis of digital support for academic writing establishes that this tension long predates generative models (Strobl et al., 2019).</w:t>
      </w:r>
    </w:p>
    <w:p w14:paraId="57B2CB7C" w14:textId="77777777" w:rsidR="00D76725" w:rsidRDefault="00000000" w:rsidP="00412D3E">
      <w:pPr>
        <w:pStyle w:val="Heading2"/>
        <w:spacing w:before="100" w:beforeAutospacing="1" w:after="100" w:afterAutospacing="1"/>
        <w:jc w:val="both"/>
      </w:pPr>
      <w:r>
        <w:rPr>
          <w:b/>
          <w:bCs/>
          <w:color w:val="000000"/>
        </w:rPr>
        <w:t>5.2 Engagement, uptake and mediating learner characteristics</w:t>
      </w:r>
    </w:p>
    <w:p w14:paraId="013534EF" w14:textId="77777777" w:rsidR="00D76725" w:rsidRDefault="00000000" w:rsidP="00412D3E">
      <w:pPr>
        <w:spacing w:before="100" w:beforeAutospacing="1" w:after="100" w:afterAutospacing="1"/>
        <w:jc w:val="both"/>
      </w:pPr>
      <w:r>
        <w:rPr>
          <w:sz w:val="24"/>
          <w:szCs w:val="24"/>
        </w:rPr>
        <w:t>The mechanism by which feedback influences writing development runs through learner engagement, and the evidence here identifies a mediator that bears directly on Bangladeshi conditions. Comparative study of student engagement with teacher and automated feedback found systematic differences in the depth of processing accorded to each source, with automated feedback frequently addressed through surface correction rather than revision of meaning (Zhang &amp; Hyland, 2018). Subsequent multiple-case research established that digital literacy shaped engagement with automated feedback independently of second language proficiency, with students whose digital literacy was stronger evaluating system output critically and integrating it selectively, while others accepted or ignored it wholesale (Zhang &amp; Hyland, 2025). Case study evidence on engagement with commercial written corrective feedback reached a compatible conclusion, documenting variation in uptake attributable to learner disposition rather than to feedback quality (</w:t>
      </w:r>
      <w:proofErr w:type="spellStart"/>
      <w:r>
        <w:rPr>
          <w:sz w:val="24"/>
          <w:szCs w:val="24"/>
        </w:rPr>
        <w:t>Koltovskaia</w:t>
      </w:r>
      <w:proofErr w:type="spellEnd"/>
      <w:r>
        <w:rPr>
          <w:sz w:val="24"/>
          <w:szCs w:val="24"/>
        </w:rPr>
        <w:t>, 2020).</w:t>
      </w:r>
    </w:p>
    <w:p w14:paraId="713C62FA" w14:textId="77777777" w:rsidR="00D76725" w:rsidRDefault="00000000" w:rsidP="00412D3E">
      <w:pPr>
        <w:spacing w:before="100" w:beforeAutospacing="1" w:after="100" w:afterAutospacing="1"/>
        <w:jc w:val="both"/>
      </w:pPr>
      <w:r>
        <w:rPr>
          <w:sz w:val="24"/>
          <w:szCs w:val="24"/>
        </w:rPr>
        <w:t>This is the most consequential mechanism finding for the Bangladeshi case, and it has not been tested there. If engagement quality is conditional on digital literacy, and if digital literacy is itself stratified by the access conditions documented in Section 3.2, then the distribution of benefit from automated and generative feedback in Bangladeshi universities would be expected to follow existing lines of advantage rather than to counteract them. The national studies that report positive student perception have not measured digital literacy, have not examined revision behaviour, and have not disaggregated by access. The claim that these tools democratise feedback provision is therefore not supported by the evidence available; nor is it refuted, since the necessary study has not been conducted.</w:t>
      </w:r>
    </w:p>
    <w:p w14:paraId="34AE0CD4" w14:textId="77777777" w:rsidR="00D76725" w:rsidRDefault="00000000" w:rsidP="00412D3E">
      <w:pPr>
        <w:pStyle w:val="Heading2"/>
        <w:spacing w:before="100" w:beforeAutospacing="1" w:after="100" w:afterAutospacing="1"/>
        <w:jc w:val="both"/>
      </w:pPr>
      <w:r>
        <w:rPr>
          <w:b/>
          <w:bCs/>
          <w:color w:val="000000"/>
        </w:rPr>
        <w:t>5.3 The unexamined case of Bangladeshi writers</w:t>
      </w:r>
    </w:p>
    <w:p w14:paraId="142EF7B6" w14:textId="77777777" w:rsidR="00D76725" w:rsidRDefault="00000000" w:rsidP="00412D3E">
      <w:pPr>
        <w:spacing w:before="100" w:beforeAutospacing="1" w:after="100" w:afterAutospacing="1"/>
        <w:jc w:val="both"/>
      </w:pPr>
      <w:r>
        <w:rPr>
          <w:sz w:val="24"/>
          <w:szCs w:val="24"/>
        </w:rPr>
        <w:t>Three questions specific to Bangladeshi tertiary writers remain entirely unaddressed. The first concerns the interaction between generative tools and bilingual composition. Classroom research establishes that Bangladeshi students construct academic meaning across Bangla and English (Rafi &amp; Morgan, 2023; Rahman &amp; Hu, 2025), yet no retrieved study has examined how generative systems respond to Bangla-influenced English, whether their normalising tendency suppresses the translingual features that the sociolinguistic literature documents, or whether learners use these tools to translate as well as to compose.</w:t>
      </w:r>
    </w:p>
    <w:p w14:paraId="68E1BAA9" w14:textId="77777777" w:rsidR="00D76725" w:rsidRDefault="00000000" w:rsidP="00412D3E">
      <w:pPr>
        <w:spacing w:before="100" w:beforeAutospacing="1" w:after="100" w:afterAutospacing="1"/>
        <w:jc w:val="both"/>
      </w:pPr>
      <w:r>
        <w:rPr>
          <w:sz w:val="24"/>
          <w:szCs w:val="24"/>
        </w:rPr>
        <w:lastRenderedPageBreak/>
        <w:t>The second concerns the baseline. The international experimental studies establish effects relative to comparison conditions in which learners receive some form of instructed feedback. Where institutional feedback provision is thin, as the assessment literature suggests it frequently is in Bangladesh (Islam et al., 2021), the relevant comparison is against no feedback rather than against teacher feedback, and effect estimates derived from the former setting cannot be transferred to the latter. This could equally mean that benefits are larger than the international literature suggests or that the developmental risks are greater, since the moderating instructional arrangement identified as decisive in classroom studies of automated evaluation would be absent (Li, 2021; Link et al., 2022).</w:t>
      </w:r>
    </w:p>
    <w:p w14:paraId="36C2D26B" w14:textId="77777777" w:rsidR="00D76725" w:rsidRDefault="00000000" w:rsidP="00412D3E">
      <w:pPr>
        <w:spacing w:before="100" w:beforeAutospacing="1" w:after="100" w:afterAutospacing="1"/>
        <w:jc w:val="both"/>
      </w:pPr>
      <w:r>
        <w:rPr>
          <w:sz w:val="24"/>
          <w:szCs w:val="24"/>
        </w:rPr>
        <w:t>The third concerns assessment validity. Research with second language writing teachers on the detection and assessment of machine-generated and human-produced texts indicates that this judgement is difficult and inconsistently performed (Nguyen &amp; Barrot, 2024). The Bangladeshi finding that trained teachers recognise machine-generated content significantly better than untrained teachers is consistent with this, and identifies training as a lever, but it was assessed through an internal task rather than against an externally validated criterion (Hasan et al., 2026b).</w:t>
      </w:r>
    </w:p>
    <w:p w14:paraId="6B0F115C" w14:textId="77777777" w:rsidR="00D76725" w:rsidRDefault="00000000" w:rsidP="00412D3E">
      <w:pPr>
        <w:spacing w:before="100" w:beforeAutospacing="1" w:after="100" w:afterAutospacing="1"/>
        <w:jc w:val="both"/>
      </w:pPr>
      <w:r>
        <w:rPr>
          <w:sz w:val="24"/>
          <w:szCs w:val="24"/>
        </w:rPr>
        <w:t>Table 3 sets out the principal convergences and conflicts in the evidence on artificial intelligence support for second language writing, together with the most plausible explanations for disagreement and an assessment of the confidence that can reasonably be placed in each. The intention is to separate findings that are stable across designs from those that depend on the outcome construct selected, and thereby to indicate where the apparent contradiction in the literature is substantive rather than artefactual. The confidence ratings are the present authors' appraisal based on the design and independence of the supporting studies, not scores produced by a formal instrument.</w:t>
      </w:r>
    </w:p>
    <w:p w14:paraId="3C19E2FE" w14:textId="77777777" w:rsidR="00D76725" w:rsidRDefault="00000000" w:rsidP="00412D3E">
      <w:pPr>
        <w:spacing w:before="100" w:beforeAutospacing="1" w:after="100" w:afterAutospacing="1"/>
        <w:jc w:val="both"/>
      </w:pPr>
      <w:r>
        <w:rPr>
          <w:b/>
          <w:bCs/>
          <w:sz w:val="22"/>
          <w:szCs w:val="22"/>
        </w:rPr>
        <w:t>Table 3. Convergent and conflicting evidence on artificial intelligence support for second language writing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60"/>
        <w:gridCol w:w="2277"/>
        <w:gridCol w:w="2277"/>
        <w:gridCol w:w="1347"/>
        <w:gridCol w:w="1255"/>
      </w:tblGrid>
      <w:tr w:rsidR="00D76725" w14:paraId="034E2235" w14:textId="77777777" w:rsidTr="009F144E">
        <w:trPr>
          <w:tblHeader/>
        </w:trPr>
        <w:tc>
          <w:tcPr>
            <w:tcW w:w="1031" w:type="pct"/>
            <w:shd w:val="clear" w:color="auto" w:fill="E8E8E8"/>
            <w:tcMar>
              <w:top w:w="60" w:type="dxa"/>
              <w:left w:w="80" w:type="dxa"/>
              <w:bottom w:w="60" w:type="dxa"/>
              <w:right w:w="80" w:type="dxa"/>
            </w:tcMar>
          </w:tcPr>
          <w:p w14:paraId="48260BC1" w14:textId="77777777" w:rsidR="00D76725" w:rsidRDefault="00000000" w:rsidP="00412D3E">
            <w:pPr>
              <w:spacing w:before="100" w:beforeAutospacing="1" w:after="100" w:afterAutospacing="1"/>
              <w:jc w:val="both"/>
            </w:pPr>
            <w:r>
              <w:rPr>
                <w:b/>
                <w:bCs/>
                <w:sz w:val="18"/>
                <w:szCs w:val="18"/>
              </w:rPr>
              <w:t>Finding</w:t>
            </w:r>
          </w:p>
        </w:tc>
        <w:tc>
          <w:tcPr>
            <w:tcW w:w="1263" w:type="pct"/>
            <w:shd w:val="clear" w:color="auto" w:fill="E8E8E8"/>
            <w:tcMar>
              <w:top w:w="60" w:type="dxa"/>
              <w:left w:w="80" w:type="dxa"/>
              <w:bottom w:w="60" w:type="dxa"/>
              <w:right w:w="80" w:type="dxa"/>
            </w:tcMar>
          </w:tcPr>
          <w:p w14:paraId="769DD103" w14:textId="77777777" w:rsidR="00D76725" w:rsidRDefault="00000000" w:rsidP="00412D3E">
            <w:pPr>
              <w:spacing w:before="100" w:beforeAutospacing="1" w:after="100" w:afterAutospacing="1"/>
              <w:jc w:val="both"/>
            </w:pPr>
            <w:r>
              <w:rPr>
                <w:b/>
                <w:bCs/>
                <w:sz w:val="18"/>
                <w:szCs w:val="18"/>
              </w:rPr>
              <w:t>Supporting evidence</w:t>
            </w:r>
          </w:p>
        </w:tc>
        <w:tc>
          <w:tcPr>
            <w:tcW w:w="1263" w:type="pct"/>
            <w:shd w:val="clear" w:color="auto" w:fill="E8E8E8"/>
            <w:tcMar>
              <w:top w:w="60" w:type="dxa"/>
              <w:left w:w="80" w:type="dxa"/>
              <w:bottom w:w="60" w:type="dxa"/>
              <w:right w:w="80" w:type="dxa"/>
            </w:tcMar>
          </w:tcPr>
          <w:p w14:paraId="1F68617E" w14:textId="77777777" w:rsidR="00D76725" w:rsidRDefault="00000000" w:rsidP="00412D3E">
            <w:pPr>
              <w:spacing w:before="100" w:beforeAutospacing="1" w:after="100" w:afterAutospacing="1"/>
              <w:jc w:val="both"/>
            </w:pPr>
            <w:r>
              <w:rPr>
                <w:b/>
                <w:bCs/>
                <w:sz w:val="18"/>
                <w:szCs w:val="18"/>
              </w:rPr>
              <w:t>Conflicting or qualifying evidence</w:t>
            </w:r>
          </w:p>
        </w:tc>
        <w:tc>
          <w:tcPr>
            <w:tcW w:w="747" w:type="pct"/>
            <w:shd w:val="clear" w:color="auto" w:fill="E8E8E8"/>
            <w:tcMar>
              <w:top w:w="60" w:type="dxa"/>
              <w:left w:w="80" w:type="dxa"/>
              <w:bottom w:w="60" w:type="dxa"/>
              <w:right w:w="80" w:type="dxa"/>
            </w:tcMar>
          </w:tcPr>
          <w:p w14:paraId="0270ECED" w14:textId="77777777" w:rsidR="00D76725" w:rsidRDefault="00000000" w:rsidP="00412D3E">
            <w:pPr>
              <w:spacing w:before="100" w:beforeAutospacing="1" w:after="100" w:afterAutospacing="1"/>
              <w:jc w:val="both"/>
            </w:pPr>
            <w:r>
              <w:rPr>
                <w:b/>
                <w:bCs/>
                <w:sz w:val="18"/>
                <w:szCs w:val="18"/>
              </w:rPr>
              <w:t>Most plausible explanation for divergence</w:t>
            </w:r>
          </w:p>
        </w:tc>
        <w:tc>
          <w:tcPr>
            <w:tcW w:w="696" w:type="pct"/>
            <w:shd w:val="clear" w:color="auto" w:fill="E8E8E8"/>
            <w:tcMar>
              <w:top w:w="60" w:type="dxa"/>
              <w:left w:w="80" w:type="dxa"/>
              <w:bottom w:w="60" w:type="dxa"/>
              <w:right w:w="80" w:type="dxa"/>
            </w:tcMar>
          </w:tcPr>
          <w:p w14:paraId="413E04E2" w14:textId="77777777" w:rsidR="00D76725" w:rsidRDefault="00000000" w:rsidP="00412D3E">
            <w:pPr>
              <w:spacing w:before="100" w:beforeAutospacing="1" w:after="100" w:afterAutospacing="1"/>
              <w:jc w:val="both"/>
            </w:pPr>
            <w:r>
              <w:rPr>
                <w:b/>
                <w:bCs/>
                <w:sz w:val="18"/>
                <w:szCs w:val="18"/>
              </w:rPr>
              <w:t>Supporting references</w:t>
            </w:r>
          </w:p>
        </w:tc>
      </w:tr>
      <w:tr w:rsidR="00D76725" w14:paraId="28FAF961" w14:textId="77777777" w:rsidTr="009F144E">
        <w:tc>
          <w:tcPr>
            <w:tcW w:w="1031" w:type="pct"/>
            <w:tcMar>
              <w:top w:w="60" w:type="dxa"/>
              <w:left w:w="80" w:type="dxa"/>
              <w:bottom w:w="60" w:type="dxa"/>
              <w:right w:w="80" w:type="dxa"/>
            </w:tcMar>
          </w:tcPr>
          <w:p w14:paraId="6782F609" w14:textId="77777777" w:rsidR="00D76725" w:rsidRDefault="00000000" w:rsidP="00412D3E">
            <w:pPr>
              <w:spacing w:before="100" w:beforeAutospacing="1" w:after="100" w:afterAutospacing="1"/>
              <w:jc w:val="both"/>
            </w:pPr>
            <w:r>
              <w:rPr>
                <w:sz w:val="18"/>
                <w:szCs w:val="18"/>
              </w:rPr>
              <w:t>Automated writing evaluation improves writing quality</w:t>
            </w:r>
          </w:p>
        </w:tc>
        <w:tc>
          <w:tcPr>
            <w:tcW w:w="1263" w:type="pct"/>
            <w:tcMar>
              <w:top w:w="60" w:type="dxa"/>
              <w:left w:w="80" w:type="dxa"/>
              <w:bottom w:w="60" w:type="dxa"/>
              <w:right w:w="80" w:type="dxa"/>
            </w:tcMar>
          </w:tcPr>
          <w:p w14:paraId="2625AC9D" w14:textId="77777777" w:rsidR="00D76725" w:rsidRDefault="00000000" w:rsidP="00412D3E">
            <w:pPr>
              <w:spacing w:before="100" w:beforeAutospacing="1" w:after="100" w:afterAutospacing="1"/>
              <w:jc w:val="both"/>
            </w:pPr>
            <w:r>
              <w:rPr>
                <w:sz w:val="18"/>
                <w:szCs w:val="18"/>
              </w:rPr>
              <w:t>Meta-analytic effect across 26 studies, stronger for post-secondary and foreign-language learners</w:t>
            </w:r>
          </w:p>
        </w:tc>
        <w:tc>
          <w:tcPr>
            <w:tcW w:w="1263" w:type="pct"/>
            <w:tcMar>
              <w:top w:w="60" w:type="dxa"/>
              <w:left w:w="80" w:type="dxa"/>
              <w:bottom w:w="60" w:type="dxa"/>
              <w:right w:w="80" w:type="dxa"/>
            </w:tcMar>
          </w:tcPr>
          <w:p w14:paraId="0E5BB863" w14:textId="77777777" w:rsidR="00D76725" w:rsidRDefault="00000000" w:rsidP="00412D3E">
            <w:pPr>
              <w:spacing w:before="100" w:beforeAutospacing="1" w:after="100" w:afterAutospacing="1"/>
              <w:jc w:val="both"/>
            </w:pPr>
            <w:r>
              <w:rPr>
                <w:sz w:val="18"/>
                <w:szCs w:val="18"/>
              </w:rPr>
              <w:t>Classroom studies find gains conditional on teacher mediation and reorganised feedback practice</w:t>
            </w:r>
          </w:p>
        </w:tc>
        <w:tc>
          <w:tcPr>
            <w:tcW w:w="747" w:type="pct"/>
            <w:tcMar>
              <w:top w:w="60" w:type="dxa"/>
              <w:left w:w="80" w:type="dxa"/>
              <w:bottom w:w="60" w:type="dxa"/>
              <w:right w:w="80" w:type="dxa"/>
            </w:tcMar>
          </w:tcPr>
          <w:p w14:paraId="6FBD6E07" w14:textId="77777777" w:rsidR="00D76725" w:rsidRDefault="00000000" w:rsidP="00412D3E">
            <w:pPr>
              <w:spacing w:before="100" w:beforeAutospacing="1" w:after="100" w:afterAutospacing="1"/>
              <w:jc w:val="both"/>
            </w:pPr>
            <w:r>
              <w:rPr>
                <w:sz w:val="18"/>
                <w:szCs w:val="18"/>
              </w:rPr>
              <w:t>Meta-analysis aggregates across instructional arrangements that classroom studies show to be decisive</w:t>
            </w:r>
          </w:p>
        </w:tc>
        <w:tc>
          <w:tcPr>
            <w:tcW w:w="696" w:type="pct"/>
            <w:tcMar>
              <w:top w:w="60" w:type="dxa"/>
              <w:left w:w="80" w:type="dxa"/>
              <w:bottom w:w="60" w:type="dxa"/>
              <w:right w:w="80" w:type="dxa"/>
            </w:tcMar>
          </w:tcPr>
          <w:p w14:paraId="5132E7FF" w14:textId="77777777" w:rsidR="00D76725" w:rsidRDefault="00000000" w:rsidP="00412D3E">
            <w:pPr>
              <w:spacing w:before="100" w:beforeAutospacing="1" w:after="100" w:afterAutospacing="1"/>
              <w:jc w:val="both"/>
            </w:pPr>
            <w:r>
              <w:rPr>
                <w:sz w:val="18"/>
                <w:szCs w:val="18"/>
              </w:rPr>
              <w:t>Karatay &amp; Karatay (2024); Li (2021); Link et al. (2022); Zhai &amp; Ma (2023)</w:t>
            </w:r>
          </w:p>
        </w:tc>
      </w:tr>
      <w:tr w:rsidR="00D76725" w14:paraId="00C5B2FD" w14:textId="77777777" w:rsidTr="009F144E">
        <w:tc>
          <w:tcPr>
            <w:tcW w:w="1031" w:type="pct"/>
            <w:tcMar>
              <w:top w:w="60" w:type="dxa"/>
              <w:left w:w="80" w:type="dxa"/>
              <w:bottom w:w="60" w:type="dxa"/>
              <w:right w:w="80" w:type="dxa"/>
            </w:tcMar>
          </w:tcPr>
          <w:p w14:paraId="3F3DCC9D" w14:textId="77777777" w:rsidR="00D76725" w:rsidRDefault="00000000" w:rsidP="00412D3E">
            <w:pPr>
              <w:spacing w:before="100" w:beforeAutospacing="1" w:after="100" w:afterAutospacing="1"/>
              <w:jc w:val="both"/>
            </w:pPr>
            <w:r>
              <w:rPr>
                <w:sz w:val="18"/>
                <w:szCs w:val="18"/>
              </w:rPr>
              <w:t>Generative models outperform automated evaluation on writing product</w:t>
            </w:r>
          </w:p>
        </w:tc>
        <w:tc>
          <w:tcPr>
            <w:tcW w:w="1263" w:type="pct"/>
            <w:tcMar>
              <w:top w:w="60" w:type="dxa"/>
              <w:left w:w="80" w:type="dxa"/>
              <w:bottom w:w="60" w:type="dxa"/>
              <w:right w:w="80" w:type="dxa"/>
            </w:tcMar>
          </w:tcPr>
          <w:p w14:paraId="40DF7CB9" w14:textId="77777777" w:rsidR="00D76725" w:rsidRDefault="00000000" w:rsidP="00412D3E">
            <w:pPr>
              <w:spacing w:before="100" w:beforeAutospacing="1" w:after="100" w:afterAutospacing="1"/>
              <w:jc w:val="both"/>
            </w:pPr>
            <w:r>
              <w:rPr>
                <w:sz w:val="18"/>
                <w:szCs w:val="18"/>
              </w:rPr>
              <w:t>Randomised eleven-week comparison found higher post-intervention writing scores</w:t>
            </w:r>
          </w:p>
        </w:tc>
        <w:tc>
          <w:tcPr>
            <w:tcW w:w="1263" w:type="pct"/>
            <w:tcMar>
              <w:top w:w="60" w:type="dxa"/>
              <w:left w:w="80" w:type="dxa"/>
              <w:bottom w:w="60" w:type="dxa"/>
              <w:right w:w="80" w:type="dxa"/>
            </w:tcMar>
          </w:tcPr>
          <w:p w14:paraId="58C0AF4E" w14:textId="77777777" w:rsidR="00D76725" w:rsidRDefault="00000000" w:rsidP="00412D3E">
            <w:pPr>
              <w:spacing w:before="100" w:beforeAutospacing="1" w:after="100" w:afterAutospacing="1"/>
              <w:jc w:val="both"/>
            </w:pPr>
            <w:r>
              <w:rPr>
                <w:sz w:val="18"/>
                <w:szCs w:val="18"/>
              </w:rPr>
              <w:t>Same study found lower ideal second language writing self and reported loss of agency</w:t>
            </w:r>
          </w:p>
        </w:tc>
        <w:tc>
          <w:tcPr>
            <w:tcW w:w="747" w:type="pct"/>
            <w:tcMar>
              <w:top w:w="60" w:type="dxa"/>
              <w:left w:w="80" w:type="dxa"/>
              <w:bottom w:w="60" w:type="dxa"/>
              <w:right w:w="80" w:type="dxa"/>
            </w:tcMar>
          </w:tcPr>
          <w:p w14:paraId="731224F7" w14:textId="77777777" w:rsidR="00D76725" w:rsidRDefault="00000000" w:rsidP="00412D3E">
            <w:pPr>
              <w:spacing w:before="100" w:beforeAutospacing="1" w:after="100" w:afterAutospacing="1"/>
              <w:jc w:val="both"/>
            </w:pPr>
            <w:r>
              <w:rPr>
                <w:sz w:val="18"/>
                <w:szCs w:val="18"/>
              </w:rPr>
              <w:t>Product and motivational constructs respond differently to the same intervention</w:t>
            </w:r>
          </w:p>
        </w:tc>
        <w:tc>
          <w:tcPr>
            <w:tcW w:w="696" w:type="pct"/>
            <w:tcMar>
              <w:top w:w="60" w:type="dxa"/>
              <w:left w:w="80" w:type="dxa"/>
              <w:bottom w:w="60" w:type="dxa"/>
              <w:right w:w="80" w:type="dxa"/>
            </w:tcMar>
          </w:tcPr>
          <w:p w14:paraId="1A210B92" w14:textId="77777777" w:rsidR="00D76725" w:rsidRDefault="00000000" w:rsidP="00412D3E">
            <w:pPr>
              <w:spacing w:before="100" w:beforeAutospacing="1" w:after="100" w:afterAutospacing="1"/>
              <w:jc w:val="both"/>
            </w:pPr>
            <w:r>
              <w:rPr>
                <w:sz w:val="18"/>
                <w:szCs w:val="18"/>
              </w:rPr>
              <w:t>Shi et al. (2026)</w:t>
            </w:r>
          </w:p>
        </w:tc>
      </w:tr>
      <w:tr w:rsidR="00D76725" w14:paraId="0134E009" w14:textId="77777777" w:rsidTr="009F144E">
        <w:tc>
          <w:tcPr>
            <w:tcW w:w="1031" w:type="pct"/>
            <w:tcMar>
              <w:top w:w="60" w:type="dxa"/>
              <w:left w:w="80" w:type="dxa"/>
              <w:bottom w:w="60" w:type="dxa"/>
              <w:right w:w="80" w:type="dxa"/>
            </w:tcMar>
          </w:tcPr>
          <w:p w14:paraId="3B704A4F" w14:textId="77777777" w:rsidR="00D76725" w:rsidRDefault="00000000" w:rsidP="00412D3E">
            <w:pPr>
              <w:spacing w:before="100" w:beforeAutospacing="1" w:after="100" w:afterAutospacing="1"/>
              <w:jc w:val="both"/>
            </w:pPr>
            <w:r>
              <w:rPr>
                <w:sz w:val="18"/>
                <w:szCs w:val="18"/>
              </w:rPr>
              <w:t>Generative use is associated with reduced originality and critical reasoning</w:t>
            </w:r>
          </w:p>
        </w:tc>
        <w:tc>
          <w:tcPr>
            <w:tcW w:w="1263" w:type="pct"/>
            <w:tcMar>
              <w:top w:w="60" w:type="dxa"/>
              <w:left w:w="80" w:type="dxa"/>
              <w:bottom w:w="60" w:type="dxa"/>
              <w:right w:w="80" w:type="dxa"/>
            </w:tcMar>
          </w:tcPr>
          <w:p w14:paraId="5DDF8D98" w14:textId="77777777" w:rsidR="00D76725" w:rsidRDefault="00000000" w:rsidP="00412D3E">
            <w:pPr>
              <w:spacing w:before="100" w:beforeAutospacing="1" w:after="100" w:afterAutospacing="1"/>
              <w:jc w:val="both"/>
            </w:pPr>
            <w:r>
              <w:rPr>
                <w:sz w:val="18"/>
                <w:szCs w:val="18"/>
              </w:rPr>
              <w:t>Mixed-methods study distinguishing frequent from selective users on rubric, creativity and reflection measures</w:t>
            </w:r>
          </w:p>
        </w:tc>
        <w:tc>
          <w:tcPr>
            <w:tcW w:w="1263" w:type="pct"/>
            <w:tcMar>
              <w:top w:w="60" w:type="dxa"/>
              <w:left w:w="80" w:type="dxa"/>
              <w:bottom w:w="60" w:type="dxa"/>
              <w:right w:w="80" w:type="dxa"/>
            </w:tcMar>
          </w:tcPr>
          <w:p w14:paraId="6447DDCD" w14:textId="77777777" w:rsidR="00D76725" w:rsidRDefault="00000000" w:rsidP="00412D3E">
            <w:pPr>
              <w:spacing w:before="100" w:beforeAutospacing="1" w:after="100" w:afterAutospacing="1"/>
              <w:jc w:val="both"/>
            </w:pPr>
            <w:r>
              <w:rPr>
                <w:sz w:val="18"/>
                <w:szCs w:val="18"/>
              </w:rPr>
              <w:t>Effect depends on usage pattern rather than on use per se</w:t>
            </w:r>
          </w:p>
        </w:tc>
        <w:tc>
          <w:tcPr>
            <w:tcW w:w="747" w:type="pct"/>
            <w:tcMar>
              <w:top w:w="60" w:type="dxa"/>
              <w:left w:w="80" w:type="dxa"/>
              <w:bottom w:w="60" w:type="dxa"/>
              <w:right w:w="80" w:type="dxa"/>
            </w:tcMar>
          </w:tcPr>
          <w:p w14:paraId="3414FCA8" w14:textId="77777777" w:rsidR="00D76725" w:rsidRDefault="00000000" w:rsidP="00412D3E">
            <w:pPr>
              <w:spacing w:before="100" w:beforeAutospacing="1" w:after="100" w:afterAutospacing="1"/>
              <w:jc w:val="both"/>
            </w:pPr>
            <w:r>
              <w:rPr>
                <w:sz w:val="18"/>
                <w:szCs w:val="18"/>
              </w:rPr>
              <w:t>Frequency and function of use are distinct variables rarely separated in survey designs</w:t>
            </w:r>
          </w:p>
        </w:tc>
        <w:tc>
          <w:tcPr>
            <w:tcW w:w="696" w:type="pct"/>
            <w:tcMar>
              <w:top w:w="60" w:type="dxa"/>
              <w:left w:w="80" w:type="dxa"/>
              <w:bottom w:w="60" w:type="dxa"/>
              <w:right w:w="80" w:type="dxa"/>
            </w:tcMar>
          </w:tcPr>
          <w:p w14:paraId="242D8430" w14:textId="77777777" w:rsidR="00D76725" w:rsidRDefault="00000000" w:rsidP="00412D3E">
            <w:pPr>
              <w:spacing w:before="100" w:beforeAutospacing="1" w:after="100" w:afterAutospacing="1"/>
              <w:jc w:val="both"/>
            </w:pPr>
            <w:proofErr w:type="spellStart"/>
            <w:r>
              <w:rPr>
                <w:sz w:val="18"/>
                <w:szCs w:val="18"/>
              </w:rPr>
              <w:t>Tekir</w:t>
            </w:r>
            <w:proofErr w:type="spellEnd"/>
            <w:r>
              <w:rPr>
                <w:sz w:val="18"/>
                <w:szCs w:val="18"/>
              </w:rPr>
              <w:t xml:space="preserve"> (2026)</w:t>
            </w:r>
          </w:p>
        </w:tc>
      </w:tr>
      <w:tr w:rsidR="00D76725" w14:paraId="091B94CC" w14:textId="77777777" w:rsidTr="009F144E">
        <w:tc>
          <w:tcPr>
            <w:tcW w:w="1031" w:type="pct"/>
            <w:tcMar>
              <w:top w:w="60" w:type="dxa"/>
              <w:left w:w="80" w:type="dxa"/>
              <w:bottom w:w="60" w:type="dxa"/>
              <w:right w:w="80" w:type="dxa"/>
            </w:tcMar>
          </w:tcPr>
          <w:p w14:paraId="64836E64" w14:textId="77777777" w:rsidR="00D76725" w:rsidRDefault="00000000" w:rsidP="00412D3E">
            <w:pPr>
              <w:spacing w:before="100" w:beforeAutospacing="1" w:after="100" w:afterAutospacing="1"/>
              <w:jc w:val="both"/>
            </w:pPr>
            <w:r>
              <w:rPr>
                <w:sz w:val="18"/>
                <w:szCs w:val="18"/>
              </w:rPr>
              <w:lastRenderedPageBreak/>
              <w:t>Dependence carries cognitive cost</w:t>
            </w:r>
          </w:p>
        </w:tc>
        <w:tc>
          <w:tcPr>
            <w:tcW w:w="1263" w:type="pct"/>
            <w:tcMar>
              <w:top w:w="60" w:type="dxa"/>
              <w:left w:w="80" w:type="dxa"/>
              <w:bottom w:w="60" w:type="dxa"/>
              <w:right w:w="80" w:type="dxa"/>
            </w:tcMar>
          </w:tcPr>
          <w:p w14:paraId="212EEA37" w14:textId="77777777" w:rsidR="00D76725" w:rsidRDefault="00000000" w:rsidP="00412D3E">
            <w:pPr>
              <w:spacing w:before="100" w:beforeAutospacing="1" w:after="100" w:afterAutospacing="1"/>
              <w:jc w:val="both"/>
            </w:pPr>
            <w:r>
              <w:rPr>
                <w:sz w:val="18"/>
                <w:szCs w:val="18"/>
              </w:rPr>
              <w:t>Moderated mediation model linking dependence to lower critical thinking through cognitive fatigue</w:t>
            </w:r>
          </w:p>
        </w:tc>
        <w:tc>
          <w:tcPr>
            <w:tcW w:w="1263" w:type="pct"/>
            <w:tcMar>
              <w:top w:w="60" w:type="dxa"/>
              <w:left w:w="80" w:type="dxa"/>
              <w:bottom w:w="60" w:type="dxa"/>
              <w:right w:w="80" w:type="dxa"/>
            </w:tcMar>
          </w:tcPr>
          <w:p w14:paraId="1FDC16E6" w14:textId="77777777" w:rsidR="00D76725" w:rsidRDefault="00000000" w:rsidP="00412D3E">
            <w:pPr>
              <w:spacing w:before="100" w:beforeAutospacing="1" w:after="100" w:afterAutospacing="1"/>
              <w:jc w:val="both"/>
            </w:pPr>
            <w:r>
              <w:rPr>
                <w:sz w:val="18"/>
                <w:szCs w:val="18"/>
              </w:rPr>
              <w:t>Information literacy buffers the association while amplifying fatigue at high reliance</w:t>
            </w:r>
          </w:p>
        </w:tc>
        <w:tc>
          <w:tcPr>
            <w:tcW w:w="747" w:type="pct"/>
            <w:tcMar>
              <w:top w:w="60" w:type="dxa"/>
              <w:left w:w="80" w:type="dxa"/>
              <w:bottom w:w="60" w:type="dxa"/>
              <w:right w:w="80" w:type="dxa"/>
            </w:tcMar>
          </w:tcPr>
          <w:p w14:paraId="59674401" w14:textId="77777777" w:rsidR="00D76725" w:rsidRDefault="00000000" w:rsidP="00412D3E">
            <w:pPr>
              <w:spacing w:before="100" w:beforeAutospacing="1" w:after="100" w:afterAutospacing="1"/>
              <w:jc w:val="both"/>
            </w:pPr>
            <w:r>
              <w:rPr>
                <w:sz w:val="18"/>
                <w:szCs w:val="18"/>
              </w:rPr>
              <w:t>Literacy operates on both pathways, producing non-monotonic effects</w:t>
            </w:r>
          </w:p>
        </w:tc>
        <w:tc>
          <w:tcPr>
            <w:tcW w:w="696" w:type="pct"/>
            <w:tcMar>
              <w:top w:w="60" w:type="dxa"/>
              <w:left w:w="80" w:type="dxa"/>
              <w:bottom w:w="60" w:type="dxa"/>
              <w:right w:w="80" w:type="dxa"/>
            </w:tcMar>
          </w:tcPr>
          <w:p w14:paraId="69A8BB05" w14:textId="77777777" w:rsidR="00D76725" w:rsidRDefault="00000000" w:rsidP="00412D3E">
            <w:pPr>
              <w:spacing w:before="100" w:beforeAutospacing="1" w:after="100" w:afterAutospacing="1"/>
              <w:jc w:val="both"/>
            </w:pPr>
            <w:r>
              <w:rPr>
                <w:sz w:val="18"/>
                <w:szCs w:val="18"/>
              </w:rPr>
              <w:t>Tian &amp; Zhang (2025)</w:t>
            </w:r>
          </w:p>
        </w:tc>
      </w:tr>
      <w:tr w:rsidR="00D76725" w14:paraId="6F66762E" w14:textId="77777777" w:rsidTr="009F144E">
        <w:tc>
          <w:tcPr>
            <w:tcW w:w="1031" w:type="pct"/>
            <w:tcMar>
              <w:top w:w="60" w:type="dxa"/>
              <w:left w:w="80" w:type="dxa"/>
              <w:bottom w:w="60" w:type="dxa"/>
              <w:right w:w="80" w:type="dxa"/>
            </w:tcMar>
          </w:tcPr>
          <w:p w14:paraId="022811C2" w14:textId="77777777" w:rsidR="00D76725" w:rsidRDefault="00000000" w:rsidP="00412D3E">
            <w:pPr>
              <w:spacing w:before="100" w:beforeAutospacing="1" w:after="100" w:afterAutospacing="1"/>
              <w:jc w:val="both"/>
            </w:pPr>
            <w:r>
              <w:rPr>
                <w:sz w:val="18"/>
                <w:szCs w:val="18"/>
              </w:rPr>
              <w:t>Learner digital literacy governs engagement with automated feedback</w:t>
            </w:r>
          </w:p>
        </w:tc>
        <w:tc>
          <w:tcPr>
            <w:tcW w:w="1263" w:type="pct"/>
            <w:tcMar>
              <w:top w:w="60" w:type="dxa"/>
              <w:left w:w="80" w:type="dxa"/>
              <w:bottom w:w="60" w:type="dxa"/>
              <w:right w:w="80" w:type="dxa"/>
            </w:tcMar>
          </w:tcPr>
          <w:p w14:paraId="563DE311" w14:textId="77777777" w:rsidR="00D76725" w:rsidRDefault="00000000" w:rsidP="00412D3E">
            <w:pPr>
              <w:spacing w:before="100" w:beforeAutospacing="1" w:after="100" w:afterAutospacing="1"/>
              <w:jc w:val="both"/>
            </w:pPr>
            <w:r>
              <w:rPr>
                <w:sz w:val="18"/>
                <w:szCs w:val="18"/>
              </w:rPr>
              <w:t>Multiple-case evidence showing engagement varies by digital literacy independently of proficiency</w:t>
            </w:r>
          </w:p>
        </w:tc>
        <w:tc>
          <w:tcPr>
            <w:tcW w:w="1263" w:type="pct"/>
            <w:tcMar>
              <w:top w:w="60" w:type="dxa"/>
              <w:left w:w="80" w:type="dxa"/>
              <w:bottom w:w="60" w:type="dxa"/>
              <w:right w:w="80" w:type="dxa"/>
            </w:tcMar>
          </w:tcPr>
          <w:p w14:paraId="1F3CE7BC" w14:textId="77777777" w:rsidR="00D76725" w:rsidRDefault="00000000" w:rsidP="00412D3E">
            <w:pPr>
              <w:spacing w:before="100" w:beforeAutospacing="1" w:after="100" w:afterAutospacing="1"/>
              <w:jc w:val="both"/>
            </w:pPr>
            <w:r>
              <w:rPr>
                <w:sz w:val="18"/>
                <w:szCs w:val="18"/>
              </w:rPr>
              <w:t>Engagement also varies with individual disposition and perceived feedback source</w:t>
            </w:r>
          </w:p>
        </w:tc>
        <w:tc>
          <w:tcPr>
            <w:tcW w:w="747" w:type="pct"/>
            <w:tcMar>
              <w:top w:w="60" w:type="dxa"/>
              <w:left w:w="80" w:type="dxa"/>
              <w:bottom w:w="60" w:type="dxa"/>
              <w:right w:w="80" w:type="dxa"/>
            </w:tcMar>
          </w:tcPr>
          <w:p w14:paraId="7E92D8A1" w14:textId="77777777" w:rsidR="00D76725" w:rsidRDefault="00000000" w:rsidP="00412D3E">
            <w:pPr>
              <w:spacing w:before="100" w:beforeAutospacing="1" w:after="100" w:afterAutospacing="1"/>
              <w:jc w:val="both"/>
            </w:pPr>
            <w:r>
              <w:rPr>
                <w:sz w:val="18"/>
                <w:szCs w:val="18"/>
              </w:rPr>
              <w:t>Digital literacy and disposition are correlated but separable determinants</w:t>
            </w:r>
          </w:p>
        </w:tc>
        <w:tc>
          <w:tcPr>
            <w:tcW w:w="696" w:type="pct"/>
            <w:tcMar>
              <w:top w:w="60" w:type="dxa"/>
              <w:left w:w="80" w:type="dxa"/>
              <w:bottom w:w="60" w:type="dxa"/>
              <w:right w:w="80" w:type="dxa"/>
            </w:tcMar>
          </w:tcPr>
          <w:p w14:paraId="628DA7AD" w14:textId="77777777" w:rsidR="00D76725" w:rsidRDefault="00000000" w:rsidP="00412D3E">
            <w:pPr>
              <w:spacing w:before="100" w:beforeAutospacing="1" w:after="100" w:afterAutospacing="1"/>
              <w:jc w:val="both"/>
            </w:pPr>
            <w:proofErr w:type="spellStart"/>
            <w:r>
              <w:rPr>
                <w:sz w:val="18"/>
                <w:szCs w:val="18"/>
              </w:rPr>
              <w:t>Koltovskaia</w:t>
            </w:r>
            <w:proofErr w:type="spellEnd"/>
            <w:r>
              <w:rPr>
                <w:sz w:val="18"/>
                <w:szCs w:val="18"/>
              </w:rPr>
              <w:t xml:space="preserve"> (2020); Zhang &amp; Hyland (2018, 2025)</w:t>
            </w:r>
          </w:p>
        </w:tc>
      </w:tr>
      <w:tr w:rsidR="00D76725" w14:paraId="7FC1DA6F" w14:textId="77777777" w:rsidTr="009F144E">
        <w:tc>
          <w:tcPr>
            <w:tcW w:w="1031" w:type="pct"/>
            <w:tcMar>
              <w:top w:w="60" w:type="dxa"/>
              <w:left w:w="80" w:type="dxa"/>
              <w:bottom w:w="60" w:type="dxa"/>
              <w:right w:w="80" w:type="dxa"/>
            </w:tcMar>
          </w:tcPr>
          <w:p w14:paraId="48D0B6D9" w14:textId="77777777" w:rsidR="00D76725" w:rsidRDefault="00000000" w:rsidP="00412D3E">
            <w:pPr>
              <w:spacing w:before="100" w:beforeAutospacing="1" w:after="100" w:afterAutospacing="1"/>
              <w:jc w:val="both"/>
            </w:pPr>
            <w:r>
              <w:rPr>
                <w:sz w:val="18"/>
                <w:szCs w:val="18"/>
              </w:rPr>
              <w:t>Bangladeshi students perceive writing benefit</w:t>
            </w:r>
          </w:p>
        </w:tc>
        <w:tc>
          <w:tcPr>
            <w:tcW w:w="1263" w:type="pct"/>
            <w:tcMar>
              <w:top w:w="60" w:type="dxa"/>
              <w:left w:w="80" w:type="dxa"/>
              <w:bottom w:w="60" w:type="dxa"/>
              <w:right w:w="80" w:type="dxa"/>
            </w:tcMar>
          </w:tcPr>
          <w:p w14:paraId="0A0391A8" w14:textId="77777777" w:rsidR="00D76725" w:rsidRDefault="00000000" w:rsidP="00412D3E">
            <w:pPr>
              <w:spacing w:before="100" w:beforeAutospacing="1" w:after="100" w:afterAutospacing="1"/>
              <w:jc w:val="both"/>
            </w:pPr>
            <w:r>
              <w:rPr>
                <w:sz w:val="18"/>
                <w:szCs w:val="18"/>
              </w:rPr>
              <w:t>Mixed-methods and qualitative studies reporting positive student and teacher perception</w:t>
            </w:r>
          </w:p>
        </w:tc>
        <w:tc>
          <w:tcPr>
            <w:tcW w:w="1263" w:type="pct"/>
            <w:tcMar>
              <w:top w:w="60" w:type="dxa"/>
              <w:left w:w="80" w:type="dxa"/>
              <w:bottom w:w="60" w:type="dxa"/>
              <w:right w:w="80" w:type="dxa"/>
            </w:tcMar>
          </w:tcPr>
          <w:p w14:paraId="45F77FF2" w14:textId="77777777" w:rsidR="00D76725" w:rsidRDefault="00000000" w:rsidP="00412D3E">
            <w:pPr>
              <w:spacing w:before="100" w:beforeAutospacing="1" w:after="100" w:afterAutospacing="1"/>
              <w:jc w:val="both"/>
            </w:pPr>
            <w:r>
              <w:rPr>
                <w:sz w:val="18"/>
                <w:szCs w:val="18"/>
              </w:rPr>
              <w:t>No Bangladeshi study measures a writing outcome; perception is not evidence of gain</w:t>
            </w:r>
          </w:p>
        </w:tc>
        <w:tc>
          <w:tcPr>
            <w:tcW w:w="747" w:type="pct"/>
            <w:tcMar>
              <w:top w:w="60" w:type="dxa"/>
              <w:left w:w="80" w:type="dxa"/>
              <w:bottom w:w="60" w:type="dxa"/>
              <w:right w:w="80" w:type="dxa"/>
            </w:tcMar>
          </w:tcPr>
          <w:p w14:paraId="42F43D4E" w14:textId="77777777" w:rsidR="00D76725" w:rsidRDefault="00000000" w:rsidP="00412D3E">
            <w:pPr>
              <w:spacing w:before="100" w:beforeAutospacing="1" w:after="100" w:afterAutospacing="1"/>
              <w:jc w:val="both"/>
            </w:pPr>
            <w:r>
              <w:rPr>
                <w:sz w:val="18"/>
                <w:szCs w:val="18"/>
              </w:rPr>
              <w:t>Design family limits the inference available, not the phenomenon</w:t>
            </w:r>
          </w:p>
        </w:tc>
        <w:tc>
          <w:tcPr>
            <w:tcW w:w="696" w:type="pct"/>
            <w:tcMar>
              <w:top w:w="60" w:type="dxa"/>
              <w:left w:w="80" w:type="dxa"/>
              <w:bottom w:w="60" w:type="dxa"/>
              <w:right w:w="80" w:type="dxa"/>
            </w:tcMar>
          </w:tcPr>
          <w:p w14:paraId="2EE0C3BC" w14:textId="77777777" w:rsidR="00D76725" w:rsidRDefault="00000000" w:rsidP="00412D3E">
            <w:pPr>
              <w:spacing w:before="100" w:beforeAutospacing="1" w:after="100" w:afterAutospacing="1"/>
              <w:jc w:val="both"/>
            </w:pPr>
            <w:proofErr w:type="spellStart"/>
            <w:r>
              <w:rPr>
                <w:sz w:val="18"/>
                <w:szCs w:val="18"/>
              </w:rPr>
              <w:t>Ansaree</w:t>
            </w:r>
            <w:proofErr w:type="spellEnd"/>
            <w:r>
              <w:rPr>
                <w:sz w:val="18"/>
                <w:szCs w:val="18"/>
              </w:rPr>
              <w:t xml:space="preserve"> &amp; Uddin (2026); Khan et al. (2024); Munni &amp; Rafique (2025)</w:t>
            </w:r>
          </w:p>
        </w:tc>
      </w:tr>
      <w:tr w:rsidR="00D76725" w14:paraId="0B808DA0" w14:textId="77777777" w:rsidTr="009F144E">
        <w:tc>
          <w:tcPr>
            <w:tcW w:w="1031" w:type="pct"/>
            <w:tcMar>
              <w:top w:w="60" w:type="dxa"/>
              <w:left w:w="80" w:type="dxa"/>
              <w:bottom w:w="60" w:type="dxa"/>
              <w:right w:w="80" w:type="dxa"/>
            </w:tcMar>
          </w:tcPr>
          <w:p w14:paraId="4AE5DE0B" w14:textId="77777777" w:rsidR="00D76725" w:rsidRDefault="00000000" w:rsidP="00412D3E">
            <w:pPr>
              <w:spacing w:before="100" w:beforeAutospacing="1" w:after="100" w:afterAutospacing="1"/>
              <w:jc w:val="both"/>
            </w:pPr>
            <w:r>
              <w:rPr>
                <w:sz w:val="18"/>
                <w:szCs w:val="18"/>
              </w:rPr>
              <w:t>Teachers can distinguish machine-generated writing</w:t>
            </w:r>
          </w:p>
        </w:tc>
        <w:tc>
          <w:tcPr>
            <w:tcW w:w="1263" w:type="pct"/>
            <w:tcMar>
              <w:top w:w="60" w:type="dxa"/>
              <w:left w:w="80" w:type="dxa"/>
              <w:bottom w:w="60" w:type="dxa"/>
              <w:right w:w="80" w:type="dxa"/>
            </w:tcMar>
          </w:tcPr>
          <w:p w14:paraId="6F842070" w14:textId="77777777" w:rsidR="00D76725" w:rsidRDefault="00000000" w:rsidP="00412D3E">
            <w:pPr>
              <w:spacing w:before="100" w:beforeAutospacing="1" w:after="100" w:afterAutospacing="1"/>
              <w:jc w:val="both"/>
            </w:pPr>
            <w:r>
              <w:rPr>
                <w:sz w:val="18"/>
                <w:szCs w:val="18"/>
              </w:rPr>
              <w:t>Bangladeshi study finding trained teachers significantly more accurate than untrained</w:t>
            </w:r>
          </w:p>
        </w:tc>
        <w:tc>
          <w:tcPr>
            <w:tcW w:w="1263" w:type="pct"/>
            <w:tcMar>
              <w:top w:w="60" w:type="dxa"/>
              <w:left w:w="80" w:type="dxa"/>
              <w:bottom w:w="60" w:type="dxa"/>
              <w:right w:w="80" w:type="dxa"/>
            </w:tcMar>
          </w:tcPr>
          <w:p w14:paraId="3ADD5DBA" w14:textId="77777777" w:rsidR="00D76725" w:rsidRDefault="00000000" w:rsidP="00412D3E">
            <w:pPr>
              <w:spacing w:before="100" w:beforeAutospacing="1" w:after="100" w:afterAutospacing="1"/>
              <w:jc w:val="both"/>
            </w:pPr>
            <w:r>
              <w:rPr>
                <w:sz w:val="18"/>
                <w:szCs w:val="18"/>
              </w:rPr>
              <w:t>International evidence finds this judgement difficult and inconsistently performed</w:t>
            </w:r>
          </w:p>
        </w:tc>
        <w:tc>
          <w:tcPr>
            <w:tcW w:w="747" w:type="pct"/>
            <w:tcMar>
              <w:top w:w="60" w:type="dxa"/>
              <w:left w:w="80" w:type="dxa"/>
              <w:bottom w:w="60" w:type="dxa"/>
              <w:right w:w="80" w:type="dxa"/>
            </w:tcMar>
          </w:tcPr>
          <w:p w14:paraId="596177EB" w14:textId="77777777" w:rsidR="00D76725" w:rsidRDefault="00000000" w:rsidP="00412D3E">
            <w:pPr>
              <w:spacing w:before="100" w:beforeAutospacing="1" w:after="100" w:afterAutospacing="1"/>
              <w:jc w:val="both"/>
            </w:pPr>
            <w:r>
              <w:rPr>
                <w:sz w:val="18"/>
                <w:szCs w:val="18"/>
              </w:rPr>
              <w:t>Internal task performance may not transfer to externally validated detection</w:t>
            </w:r>
          </w:p>
        </w:tc>
        <w:tc>
          <w:tcPr>
            <w:tcW w:w="696" w:type="pct"/>
            <w:tcMar>
              <w:top w:w="60" w:type="dxa"/>
              <w:left w:w="80" w:type="dxa"/>
              <w:bottom w:w="60" w:type="dxa"/>
              <w:right w:w="80" w:type="dxa"/>
            </w:tcMar>
          </w:tcPr>
          <w:p w14:paraId="0B4259ED" w14:textId="77777777" w:rsidR="00D76725" w:rsidRDefault="00000000" w:rsidP="00412D3E">
            <w:pPr>
              <w:spacing w:before="100" w:beforeAutospacing="1" w:after="100" w:afterAutospacing="1"/>
              <w:jc w:val="both"/>
            </w:pPr>
            <w:r>
              <w:rPr>
                <w:sz w:val="18"/>
                <w:szCs w:val="18"/>
              </w:rPr>
              <w:t>Hasan et al. (2026b); Nguyen &amp; Barrot (2024)</w:t>
            </w:r>
          </w:p>
        </w:tc>
      </w:tr>
    </w:tbl>
    <w:p w14:paraId="5DC5F343" w14:textId="77777777" w:rsidR="00D76725" w:rsidRDefault="00000000" w:rsidP="00412D3E">
      <w:pPr>
        <w:spacing w:before="100" w:beforeAutospacing="1" w:after="100" w:afterAutospacing="1"/>
        <w:jc w:val="both"/>
      </w:pPr>
      <w:r>
        <w:rPr>
          <w:i/>
          <w:iCs/>
          <w:sz w:val="18"/>
          <w:szCs w:val="18"/>
        </w:rPr>
        <w:t>Note. Confidence in each finding reflects the design, independence and consistency of the supporting studies as appraised in Section 2.6. No formal risk-of-bias instrument was applied.</w:t>
      </w:r>
    </w:p>
    <w:p w14:paraId="0E123DC4" w14:textId="77777777" w:rsidR="00D76725" w:rsidRDefault="00000000" w:rsidP="00412D3E">
      <w:pPr>
        <w:pStyle w:val="Heading1"/>
        <w:spacing w:before="100" w:beforeAutospacing="1" w:after="100" w:afterAutospacing="1"/>
        <w:jc w:val="both"/>
      </w:pPr>
      <w:r>
        <w:rPr>
          <w:b/>
          <w:bCs/>
          <w:color w:val="000000"/>
          <w:sz w:val="28"/>
          <w:szCs w:val="28"/>
        </w:rPr>
        <w:t>6. Speaking, Interaction and Multilingual Practice</w:t>
      </w:r>
    </w:p>
    <w:p w14:paraId="6CD8354F" w14:textId="77777777" w:rsidR="00D76725" w:rsidRDefault="00000000" w:rsidP="00412D3E">
      <w:pPr>
        <w:spacing w:before="100" w:beforeAutospacing="1" w:after="100" w:afterAutospacing="1"/>
        <w:jc w:val="both"/>
      </w:pPr>
      <w:r>
        <w:rPr>
          <w:sz w:val="24"/>
          <w:szCs w:val="24"/>
        </w:rPr>
        <w:t xml:space="preserve">Spoken proficiency is the outcome that Bangladeshi tertiary research identifies as most deficient (Islam &amp; </w:t>
      </w:r>
      <w:proofErr w:type="spellStart"/>
      <w:r>
        <w:rPr>
          <w:sz w:val="24"/>
          <w:szCs w:val="24"/>
        </w:rPr>
        <w:t>Stapa</w:t>
      </w:r>
      <w:proofErr w:type="spellEnd"/>
      <w:r>
        <w:rPr>
          <w:sz w:val="24"/>
          <w:szCs w:val="24"/>
        </w:rPr>
        <w:t>, 2021), and it is the outcome on which the national artificial intelligence literature is close to silent. This asymmetry is analytically important, because the strongest experimental claims in the international literature concern precisely this domain.</w:t>
      </w:r>
    </w:p>
    <w:p w14:paraId="3D81FEE0" w14:textId="77777777" w:rsidR="00D76725" w:rsidRDefault="00000000" w:rsidP="00412D3E">
      <w:pPr>
        <w:pStyle w:val="Heading2"/>
        <w:spacing w:before="100" w:beforeAutospacing="1" w:after="100" w:afterAutospacing="1"/>
        <w:jc w:val="both"/>
      </w:pPr>
      <w:r>
        <w:rPr>
          <w:b/>
          <w:bCs/>
          <w:color w:val="000000"/>
        </w:rPr>
        <w:t>6.1 Conversational agents and oral production</w:t>
      </w:r>
    </w:p>
    <w:p w14:paraId="3F1BB5DC" w14:textId="77777777" w:rsidR="00D76725" w:rsidRDefault="00000000" w:rsidP="00412D3E">
      <w:pPr>
        <w:spacing w:before="100" w:beforeAutospacing="1" w:after="100" w:afterAutospacing="1"/>
        <w:jc w:val="both"/>
      </w:pPr>
      <w:r>
        <w:rPr>
          <w:sz w:val="24"/>
          <w:szCs w:val="24"/>
        </w:rPr>
        <w:t>Systematic review of thirty empirical studies of artificial-intelligence-driven chatbots published between 2020 and 2024 reported improvement across productive and receptive skills, with the clearest gains in speaking and writing, attributed to real-time feedback, reduced anxiety and increased practice opportunity. Receptive skills showed positive but more constrained outcomes, limited by the systems' capacity for deep contextual interaction, and the review identified difficulty in replicating human emotional engagement as a persistent limitation (</w:t>
      </w:r>
      <w:proofErr w:type="spellStart"/>
      <w:r>
        <w:rPr>
          <w:sz w:val="24"/>
          <w:szCs w:val="24"/>
        </w:rPr>
        <w:t>Wiboolyasarin</w:t>
      </w:r>
      <w:proofErr w:type="spellEnd"/>
      <w:r>
        <w:rPr>
          <w:sz w:val="24"/>
          <w:szCs w:val="24"/>
        </w:rPr>
        <w:t xml:space="preserve"> et al., 2025). Experimental evidence provides a concrete instance. A study of eighty-eight eighth-grade learners in Taiwan compared speech-based interaction with a generative chatbot, flexible speech and text interaction, and conventional classroom interaction with teachers and peers over daily forty-five-minute sessions, finding significant improvement in speaking proficiency associated with chatbot interaction and attributing the effect in interview data to conversational coherence, handling of complex enquiry and sustained motivation (Tai &amp; Chen, 2025).</w:t>
      </w:r>
    </w:p>
    <w:p w14:paraId="251C94A3" w14:textId="77777777" w:rsidR="00D76725" w:rsidRDefault="00000000" w:rsidP="00412D3E">
      <w:pPr>
        <w:spacing w:before="100" w:beforeAutospacing="1" w:after="100" w:afterAutospacing="1"/>
        <w:jc w:val="both"/>
      </w:pPr>
      <w:r>
        <w:rPr>
          <w:sz w:val="24"/>
          <w:szCs w:val="24"/>
        </w:rPr>
        <w:lastRenderedPageBreak/>
        <w:t xml:space="preserve">Two cautions attach to transferring this to Bangladeshi higher education. The first is that the participants were adolescent secondary learners in a summer programme, a population and setting distinct from Bangladeshi undergraduates in credit-bearing provision, and the comparison condition was ordinary classroom interaction of unspecified quality. The second is infrastructural. Speech-based interaction requires stable bandwidth, a private acoustic environment and a device with adequate audio capability, none of which can be assumed given the access evidence reviewed in Section 3.2 (Badiuzzaman et al., 2021; Mathrani et al., 2022). The mechanism of anxiety reduction, which the chatbot literature identifies as central, is also unexamined in a Bangladeshi context where the sources of speaking anxiety documented in the national literature include examination pressure and instructional emphasis on form rather than fear of interlocutor judgement alone (Ali &amp; Hamid, 2020; Islam &amp; </w:t>
      </w:r>
      <w:proofErr w:type="spellStart"/>
      <w:r>
        <w:rPr>
          <w:sz w:val="24"/>
          <w:szCs w:val="24"/>
        </w:rPr>
        <w:t>Stapa</w:t>
      </w:r>
      <w:proofErr w:type="spellEnd"/>
      <w:r>
        <w:rPr>
          <w:sz w:val="24"/>
          <w:szCs w:val="24"/>
        </w:rPr>
        <w:t>, 2021).</w:t>
      </w:r>
    </w:p>
    <w:p w14:paraId="547EF147" w14:textId="77777777" w:rsidR="00D76725" w:rsidRDefault="00000000" w:rsidP="00412D3E">
      <w:pPr>
        <w:spacing w:before="100" w:beforeAutospacing="1" w:after="100" w:afterAutospacing="1"/>
        <w:jc w:val="both"/>
      </w:pPr>
      <w:r>
        <w:rPr>
          <w:sz w:val="24"/>
          <w:szCs w:val="24"/>
        </w:rPr>
        <w:t>Systematic review of empirical studies applying a general-purpose generative model in English as a second and foreign language education provides a wider inventory of application types and research issues, and identifies the concentration of the field on writing and the comparative thinness of evidence on interactive oral use (Lo et al., 2024). This distribution mirrors the pattern in the Bangladeshi corpus, where speaking is discussed but not investigated.</w:t>
      </w:r>
    </w:p>
    <w:p w14:paraId="24FB163F" w14:textId="77777777" w:rsidR="00D76725" w:rsidRDefault="00000000" w:rsidP="00412D3E">
      <w:pPr>
        <w:spacing w:before="100" w:beforeAutospacing="1" w:after="100" w:afterAutospacing="1"/>
        <w:jc w:val="both"/>
      </w:pPr>
      <w:r>
        <w:rPr>
          <w:sz w:val="24"/>
          <w:szCs w:val="24"/>
        </w:rPr>
        <w:t>Systematic review restricted to experimental and pre-post designs offers a further qualification. Across thirty eligible studies between 2014 and 2023, university students and the skills of speaking and writing dominated, intelligent tutoring and automated assessment were the most common functions, peer-to-peer interaction mediated by artificial intelligence was rarely designed for, few studies were theoretically grounded, and effectiveness remained inconclusive despite benefits reported for some outcomes (Qiao et al., 2025). The inconsistency of this record indicates that the speaking literature is not yet a settled basis for policy, in Bangladesh or elsewhere.</w:t>
      </w:r>
    </w:p>
    <w:p w14:paraId="4F91467A" w14:textId="77777777" w:rsidR="00D76725" w:rsidRDefault="00000000" w:rsidP="00412D3E">
      <w:pPr>
        <w:pStyle w:val="Heading2"/>
        <w:spacing w:before="100" w:beforeAutospacing="1" w:after="100" w:afterAutospacing="1"/>
        <w:jc w:val="both"/>
      </w:pPr>
      <w:r>
        <w:rPr>
          <w:b/>
          <w:bCs/>
          <w:color w:val="000000"/>
        </w:rPr>
        <w:t>6.2 Machine translation, translanguaging and the learner's full repertoire</w:t>
      </w:r>
    </w:p>
    <w:p w14:paraId="13499D20" w14:textId="77777777" w:rsidR="00D76725" w:rsidRDefault="00000000" w:rsidP="00412D3E">
      <w:pPr>
        <w:spacing w:before="100" w:beforeAutospacing="1" w:after="100" w:afterAutospacing="1"/>
        <w:jc w:val="both"/>
      </w:pPr>
      <w:r>
        <w:rPr>
          <w:sz w:val="24"/>
          <w:szCs w:val="24"/>
        </w:rPr>
        <w:t>Machine translation occupies an ambiguous position in language pedagogy and has done so since well before generative models. Systematic review and meta-analysis of eighty-seven studies published between 2000 and 2019 found improving translation quality, predominantly positive reported impacts on foreign language learning and particularly on writing, mixed learner emotion, and a divergence between instructor and student appraisal of legitimacy (Lee, 2023). Experimental work found that machine translation use altered the characteristics of learner writing in ways that were not uniformly beneficial (Lee, 2020), earlier analysis of use in academic contexts raised concerns about its effect on the development of independent competence (Groves &amp; Mundt, 2015), and systematic reviews of neural systems have documented rapid quality improvement alongside continued pedagogical uncertainty (Deng &amp; Yu, 2022; Klimova et al., 2023).</w:t>
      </w:r>
    </w:p>
    <w:p w14:paraId="0A1D9032" w14:textId="77777777" w:rsidR="00D76725" w:rsidRDefault="00000000" w:rsidP="00412D3E">
      <w:pPr>
        <w:spacing w:before="100" w:beforeAutospacing="1" w:after="100" w:afterAutospacing="1"/>
        <w:jc w:val="both"/>
      </w:pPr>
      <w:r>
        <w:rPr>
          <w:sz w:val="24"/>
          <w:szCs w:val="24"/>
        </w:rPr>
        <w:t xml:space="preserve">The relevance to Bangladesh is direct and unexamined. Generative models perform translation as a routine capability, which means that the boundary between composition support and translation has effectively dissolved for learners who write bilingually. Where the classroom evidence documents translanguaging as an established practice for constructing disciplinary knowledge (Rafi &amp; Morgan, 2023; Rahman &amp; Hu, 2025; Sultana &amp; Fang, 2024), the question of whether generative tools extend, replace or suppress that practice is a substantive research question with implications for both pedagogy and assessment. Commentary in applied linguistics has begun to articulate the theoretical stakes, framing the relationship between learners and generative systems as one of mutual adaptation rather than of tool use (Thorne, </w:t>
      </w:r>
      <w:r>
        <w:rPr>
          <w:sz w:val="24"/>
          <w:szCs w:val="24"/>
        </w:rPr>
        <w:lastRenderedPageBreak/>
        <w:t>2024), and cautioning that the visible changes in text production should not be mistaken for changes in the underlying processes of second language development (Chapelle, 2024; Kern, 2024). Whether these arguments hold under Bangladeshi bilingual conditions is not known.</w:t>
      </w:r>
    </w:p>
    <w:p w14:paraId="2B319127" w14:textId="77777777" w:rsidR="00D76725" w:rsidRDefault="00000000" w:rsidP="00412D3E">
      <w:pPr>
        <w:spacing w:before="100" w:beforeAutospacing="1" w:after="100" w:afterAutospacing="1"/>
        <w:jc w:val="both"/>
      </w:pPr>
      <w:r>
        <w:rPr>
          <w:sz w:val="24"/>
          <w:szCs w:val="24"/>
        </w:rPr>
        <w:t>A further constraint deserves statement. Generative model performance is substantially weaker for languages with limited representation in training corpora than for English, and Bangla is such a language. This is established within natural language processing research and is not disputed. Its educational implication is that tools which handle English fluently may handle Bangla, Bangla-English code-mixing and Bangla-influenced English less reliably, with consequences for feedback accuracy and for the appropriateness of the models offered to learners. No retrieved study in the Bangladeshi language education corpus has tested tool performance on learner production of this kind, and the absence is one of the clearer gaps identified by this review.</w:t>
      </w:r>
    </w:p>
    <w:p w14:paraId="279A477B" w14:textId="77777777" w:rsidR="00D76725" w:rsidRDefault="00000000" w:rsidP="00412D3E">
      <w:pPr>
        <w:pStyle w:val="Heading1"/>
        <w:spacing w:before="100" w:beforeAutospacing="1" w:after="100" w:afterAutospacing="1"/>
        <w:jc w:val="both"/>
      </w:pPr>
      <w:r>
        <w:rPr>
          <w:b/>
          <w:bCs/>
          <w:color w:val="000000"/>
          <w:sz w:val="28"/>
          <w:szCs w:val="28"/>
        </w:rPr>
        <w:t>7. Teacher Agency, Preparedness and Professional Learning</w:t>
      </w:r>
    </w:p>
    <w:p w14:paraId="64B50A01" w14:textId="77777777" w:rsidR="00D76725" w:rsidRDefault="00000000" w:rsidP="00412D3E">
      <w:pPr>
        <w:pStyle w:val="Heading2"/>
        <w:spacing w:before="100" w:beforeAutospacing="1" w:after="100" w:afterAutospacing="1"/>
        <w:jc w:val="both"/>
      </w:pPr>
      <w:r>
        <w:rPr>
          <w:b/>
          <w:bCs/>
          <w:color w:val="000000"/>
        </w:rPr>
        <w:t>7.1 Preparedness as an institutional rather than individual property</w:t>
      </w:r>
    </w:p>
    <w:p w14:paraId="104DBDC7" w14:textId="77777777" w:rsidR="00D76725" w:rsidRDefault="00000000" w:rsidP="00412D3E">
      <w:pPr>
        <w:spacing w:before="100" w:beforeAutospacing="1" w:after="100" w:afterAutospacing="1"/>
        <w:jc w:val="both"/>
      </w:pPr>
      <w:r>
        <w:rPr>
          <w:sz w:val="24"/>
          <w:szCs w:val="24"/>
        </w:rPr>
        <w:t>Preparedness is treated in much of the national literature as an attribute of individual teachers, remediable through training. The evidence supports a more distributed account. Case study research with university language instructors elsewhere found that preparedness for generative artificial intelligence comprised technological familiarity, pedagogical judgement about integration, and institutional guidance, with the third component frequently absent and the second impossible to develop in its absence (Kohnke et al., 2023b). Comparable framing appears in early practitioner-facing analysis of generative models for language teaching, which identified the requirement for teacher capacity to evaluate output critically rather than merely to operate the interface (Kohnke et al., 2023a).</w:t>
      </w:r>
    </w:p>
    <w:p w14:paraId="117646F9" w14:textId="77777777" w:rsidR="00D76725" w:rsidRDefault="00000000" w:rsidP="00412D3E">
      <w:pPr>
        <w:spacing w:before="100" w:beforeAutospacing="1" w:after="100" w:afterAutospacing="1"/>
        <w:jc w:val="both"/>
      </w:pPr>
      <w:r>
        <w:rPr>
          <w:sz w:val="24"/>
          <w:szCs w:val="24"/>
        </w:rPr>
        <w:t>The Bangladeshi evidence is consistent. Instructors experimenting with generative tools in first-year writing instruction reported exercising agency in customising generated materials to learners' cognitive, linguistic and cultural circumstances, while simultaneously identifying limited generative artificial intelligence literacy, inadequate institutional policy, unequal resources and generational resistance as persistent constraints (</w:t>
      </w:r>
      <w:proofErr w:type="spellStart"/>
      <w:r>
        <w:rPr>
          <w:sz w:val="24"/>
          <w:szCs w:val="24"/>
        </w:rPr>
        <w:t>Ansaree</w:t>
      </w:r>
      <w:proofErr w:type="spellEnd"/>
      <w:r>
        <w:rPr>
          <w:sz w:val="24"/>
          <w:szCs w:val="24"/>
        </w:rPr>
        <w:t xml:space="preserve"> &amp; Uddin, 2026). The pattern is one in which individual adaptive capacity </w:t>
      </w:r>
      <w:proofErr w:type="gramStart"/>
      <w:r>
        <w:rPr>
          <w:sz w:val="24"/>
          <w:szCs w:val="24"/>
        </w:rPr>
        <w:t>is</w:t>
      </w:r>
      <w:proofErr w:type="gramEnd"/>
      <w:r>
        <w:rPr>
          <w:sz w:val="24"/>
          <w:szCs w:val="24"/>
        </w:rPr>
        <w:t xml:space="preserve"> present and institutional scaffolding is not. Survey evidence that trained teachers outperform untrained teachers at identifying machine-generated content identifies training as effective for a specific and narrow capability (Hasan et al., 2026b), but the finding that teacher designation does not predict perceived challenge suggests that seniority confers no advantage, which is what would be expected if the constraints were institutional rather than experiential.</w:t>
      </w:r>
    </w:p>
    <w:p w14:paraId="018D8378" w14:textId="77777777" w:rsidR="00D76725" w:rsidRDefault="00000000" w:rsidP="00412D3E">
      <w:pPr>
        <w:spacing w:before="100" w:beforeAutospacing="1" w:after="100" w:afterAutospacing="1"/>
        <w:jc w:val="both"/>
      </w:pPr>
      <w:r>
        <w:rPr>
          <w:sz w:val="24"/>
          <w:szCs w:val="24"/>
        </w:rPr>
        <w:t>Historical evidence supports this reading. Early work on mobile telephony in university English classrooms identified enthusiasm alongside absent institutional provision (Begum, 2011), evaluation of a technology-assisted vocabulary programme at tertiary level demonstrated that structured provision could produce measurable learning while requiring sustained support to operate (Hasan et al., 2022), and blended provision has been advocated on similar grounds (Rabbi et al., 2024). The recurrence of the same constraint across three technology generations suggests a property of the system rather than of any particular tool.</w:t>
      </w:r>
    </w:p>
    <w:p w14:paraId="2CF9513C" w14:textId="77777777" w:rsidR="00D76725" w:rsidRDefault="00000000" w:rsidP="00412D3E">
      <w:pPr>
        <w:pStyle w:val="Heading2"/>
        <w:spacing w:before="100" w:beforeAutospacing="1" w:after="100" w:afterAutospacing="1"/>
        <w:jc w:val="both"/>
      </w:pPr>
      <w:r>
        <w:rPr>
          <w:b/>
          <w:bCs/>
          <w:color w:val="000000"/>
        </w:rPr>
        <w:t>7.2 Professional identity and the redefinition of expertise</w:t>
      </w:r>
    </w:p>
    <w:p w14:paraId="73AE3EF1" w14:textId="77777777" w:rsidR="00D76725" w:rsidRDefault="00000000" w:rsidP="00412D3E">
      <w:pPr>
        <w:spacing w:before="100" w:beforeAutospacing="1" w:after="100" w:afterAutospacing="1"/>
        <w:jc w:val="both"/>
      </w:pPr>
      <w:r>
        <w:rPr>
          <w:sz w:val="24"/>
          <w:szCs w:val="24"/>
        </w:rPr>
        <w:lastRenderedPageBreak/>
        <w:t>A distinct strand concerns what generative capability does to the professional standing of language teachers. Survey and interview evidence from one hundred and twenty-three Bangladeshi university English teachers across twenty institutions found perceived usefulness to be a strong and statistically significant predictor of attitude towards artificial intelligence, while perceived challenge was not a significant predictor, and qualitative data documented teachers acknowledging the potential for task automation and personalisation alongside concern about role change and skill gaps (Hasan et al., 2026a). The asymmetry between the two predictors is notable. It indicates that anticipated benefit, rather than anticipated difficulty, is driving attitude formation, which is a condition under which adoption tends to precede evaluation.</w:t>
      </w:r>
    </w:p>
    <w:p w14:paraId="7EB18837" w14:textId="77777777" w:rsidR="00D76725" w:rsidRDefault="00000000" w:rsidP="00412D3E">
      <w:pPr>
        <w:spacing w:before="100" w:beforeAutospacing="1" w:after="100" w:afterAutospacing="1"/>
        <w:jc w:val="both"/>
      </w:pPr>
      <w:r>
        <w:rPr>
          <w:sz w:val="24"/>
          <w:szCs w:val="24"/>
        </w:rPr>
        <w:t>International commentary supplies the conceptual frame that the national studies lack. Argument that language teaching has not been rendered obsolete rests on the distinction between the production of target-language text and the pedagogical work of structuring second language development (Handley, 2024), and analysis of the disciplinary implications of open generative models emphasises that the technology alters the conditions of practice without altering the acquisition processes that practice is designed to support (Chapelle, 2024). Review of institutional responses in higher education more broadly finds that guidance from leading universities was produced quickly and varies widely in its assumptions about what assessment is for (Moorhouse et al., 2023), and synthesis of research on generative chatbots in higher education identifies an emerging field characterised by rapid publication and limited theoretical consolidation (McGrath et al., 2025). Practitioner-facing evaluation in language teaching has framed the technology as a capable assistant whose value depends on the instructional design surrounding it rather than on its own capability (Ahn et al., 2024), a position consistent with the classroom evidence on automated writing evaluation reviewed in Section 5.1.</w:t>
      </w:r>
    </w:p>
    <w:p w14:paraId="7BC39459" w14:textId="77777777" w:rsidR="00D76725" w:rsidRDefault="00000000" w:rsidP="00412D3E">
      <w:pPr>
        <w:spacing w:before="100" w:beforeAutospacing="1" w:after="100" w:afterAutospacing="1"/>
        <w:jc w:val="both"/>
      </w:pPr>
      <w:r>
        <w:rPr>
          <w:sz w:val="24"/>
          <w:szCs w:val="24"/>
        </w:rPr>
        <w:t xml:space="preserve">Table 4 sets out the methodological limitations recurring across the reviewed literature, distinguishing </w:t>
      </w:r>
      <w:proofErr w:type="gramStart"/>
      <w:r>
        <w:rPr>
          <w:sz w:val="24"/>
          <w:szCs w:val="24"/>
        </w:rPr>
        <w:t>those characteristic</w:t>
      </w:r>
      <w:proofErr w:type="gramEnd"/>
      <w:r>
        <w:rPr>
          <w:sz w:val="24"/>
          <w:szCs w:val="24"/>
        </w:rPr>
        <w:t xml:space="preserve"> of the Bangladeshi corpus from those present in the international evidence base, since the two require different remedies. The discussion above indicates that several of these limitations are mutually reinforcing: absent outcome measurement makes it impossible to detect the differential effects that unreported sampling would produce, and unreported tool versioning makes it impossible to determine whether inconsistent findings reflect population differences or artefact differences. The table is intended to support the research priorities developed in Section 10.</w:t>
      </w:r>
    </w:p>
    <w:p w14:paraId="191F099A" w14:textId="77777777" w:rsidR="00D76725" w:rsidRDefault="00000000" w:rsidP="00412D3E">
      <w:pPr>
        <w:spacing w:before="100" w:beforeAutospacing="1" w:after="100" w:afterAutospacing="1"/>
        <w:jc w:val="both"/>
      </w:pPr>
      <w:r>
        <w:rPr>
          <w:b/>
          <w:bCs/>
          <w:sz w:val="22"/>
          <w:szCs w:val="22"/>
        </w:rPr>
        <w:t>Table 4. Recurring methodological limitations across the reviewed literature and their consequences for inference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5"/>
        <w:gridCol w:w="1394"/>
        <w:gridCol w:w="2231"/>
        <w:gridCol w:w="2231"/>
        <w:gridCol w:w="1255"/>
      </w:tblGrid>
      <w:tr w:rsidR="00D76725" w14:paraId="7AB34F5D" w14:textId="77777777" w:rsidTr="009F144E">
        <w:trPr>
          <w:tblHeader/>
        </w:trPr>
        <w:tc>
          <w:tcPr>
            <w:tcW w:w="1057" w:type="pct"/>
            <w:shd w:val="clear" w:color="auto" w:fill="E8E8E8"/>
            <w:tcMar>
              <w:top w:w="60" w:type="dxa"/>
              <w:left w:w="80" w:type="dxa"/>
              <w:bottom w:w="60" w:type="dxa"/>
              <w:right w:w="80" w:type="dxa"/>
            </w:tcMar>
          </w:tcPr>
          <w:p w14:paraId="56C028BE" w14:textId="77777777" w:rsidR="00D76725" w:rsidRDefault="00000000" w:rsidP="00412D3E">
            <w:pPr>
              <w:spacing w:before="100" w:beforeAutospacing="1" w:after="100" w:afterAutospacing="1"/>
              <w:jc w:val="both"/>
            </w:pPr>
            <w:r>
              <w:rPr>
                <w:b/>
                <w:bCs/>
                <w:sz w:val="18"/>
                <w:szCs w:val="18"/>
              </w:rPr>
              <w:t>Limitation</w:t>
            </w:r>
          </w:p>
        </w:tc>
        <w:tc>
          <w:tcPr>
            <w:tcW w:w="773" w:type="pct"/>
            <w:shd w:val="clear" w:color="auto" w:fill="E8E8E8"/>
            <w:tcMar>
              <w:top w:w="60" w:type="dxa"/>
              <w:left w:w="80" w:type="dxa"/>
              <w:bottom w:w="60" w:type="dxa"/>
              <w:right w:w="80" w:type="dxa"/>
            </w:tcMar>
          </w:tcPr>
          <w:p w14:paraId="24E7EC06" w14:textId="77777777" w:rsidR="00D76725" w:rsidRDefault="00000000" w:rsidP="00412D3E">
            <w:pPr>
              <w:spacing w:before="100" w:beforeAutospacing="1" w:after="100" w:afterAutospacing="1"/>
              <w:jc w:val="both"/>
            </w:pPr>
            <w:r>
              <w:rPr>
                <w:b/>
                <w:bCs/>
                <w:sz w:val="18"/>
                <w:szCs w:val="18"/>
              </w:rPr>
              <w:t>Primarily affects</w:t>
            </w:r>
          </w:p>
        </w:tc>
        <w:tc>
          <w:tcPr>
            <w:tcW w:w="1237" w:type="pct"/>
            <w:shd w:val="clear" w:color="auto" w:fill="E8E8E8"/>
            <w:tcMar>
              <w:top w:w="60" w:type="dxa"/>
              <w:left w:w="80" w:type="dxa"/>
              <w:bottom w:w="60" w:type="dxa"/>
              <w:right w:w="80" w:type="dxa"/>
            </w:tcMar>
          </w:tcPr>
          <w:p w14:paraId="70566457" w14:textId="77777777" w:rsidR="00D76725" w:rsidRDefault="00000000" w:rsidP="00412D3E">
            <w:pPr>
              <w:spacing w:before="100" w:beforeAutospacing="1" w:after="100" w:afterAutospacing="1"/>
              <w:jc w:val="both"/>
            </w:pPr>
            <w:r>
              <w:rPr>
                <w:b/>
                <w:bCs/>
                <w:sz w:val="18"/>
                <w:szCs w:val="18"/>
              </w:rPr>
              <w:t>Nature of the problem</w:t>
            </w:r>
          </w:p>
        </w:tc>
        <w:tc>
          <w:tcPr>
            <w:tcW w:w="1237" w:type="pct"/>
            <w:shd w:val="clear" w:color="auto" w:fill="E8E8E8"/>
            <w:tcMar>
              <w:top w:w="60" w:type="dxa"/>
              <w:left w:w="80" w:type="dxa"/>
              <w:bottom w:w="60" w:type="dxa"/>
              <w:right w:w="80" w:type="dxa"/>
            </w:tcMar>
          </w:tcPr>
          <w:p w14:paraId="3D54465B" w14:textId="77777777" w:rsidR="00D76725" w:rsidRDefault="00000000" w:rsidP="00412D3E">
            <w:pPr>
              <w:spacing w:before="100" w:beforeAutospacing="1" w:after="100" w:afterAutospacing="1"/>
              <w:jc w:val="both"/>
            </w:pPr>
            <w:r>
              <w:rPr>
                <w:b/>
                <w:bCs/>
                <w:sz w:val="18"/>
                <w:szCs w:val="18"/>
              </w:rPr>
              <w:t>Consequence for inference</w:t>
            </w:r>
          </w:p>
        </w:tc>
        <w:tc>
          <w:tcPr>
            <w:tcW w:w="696" w:type="pct"/>
            <w:shd w:val="clear" w:color="auto" w:fill="E8E8E8"/>
            <w:tcMar>
              <w:top w:w="60" w:type="dxa"/>
              <w:left w:w="80" w:type="dxa"/>
              <w:bottom w:w="60" w:type="dxa"/>
              <w:right w:w="80" w:type="dxa"/>
            </w:tcMar>
          </w:tcPr>
          <w:p w14:paraId="651BE87F" w14:textId="77777777" w:rsidR="00D76725" w:rsidRDefault="00000000" w:rsidP="00412D3E">
            <w:pPr>
              <w:spacing w:before="100" w:beforeAutospacing="1" w:after="100" w:afterAutospacing="1"/>
              <w:jc w:val="both"/>
            </w:pPr>
            <w:r>
              <w:rPr>
                <w:b/>
                <w:bCs/>
                <w:sz w:val="18"/>
                <w:szCs w:val="18"/>
              </w:rPr>
              <w:t>Supporting references</w:t>
            </w:r>
          </w:p>
        </w:tc>
      </w:tr>
      <w:tr w:rsidR="00D76725" w14:paraId="306585FA" w14:textId="77777777" w:rsidTr="009F144E">
        <w:tc>
          <w:tcPr>
            <w:tcW w:w="1057" w:type="pct"/>
            <w:tcMar>
              <w:top w:w="60" w:type="dxa"/>
              <w:left w:w="80" w:type="dxa"/>
              <w:bottom w:w="60" w:type="dxa"/>
              <w:right w:w="80" w:type="dxa"/>
            </w:tcMar>
          </w:tcPr>
          <w:p w14:paraId="4BF88CF5" w14:textId="77777777" w:rsidR="00D76725" w:rsidRDefault="00000000" w:rsidP="00412D3E">
            <w:pPr>
              <w:spacing w:before="100" w:beforeAutospacing="1" w:after="100" w:afterAutospacing="1"/>
              <w:jc w:val="both"/>
            </w:pPr>
            <w:r>
              <w:rPr>
                <w:sz w:val="18"/>
                <w:szCs w:val="18"/>
              </w:rPr>
              <w:t>Absence of outcome measurement</w:t>
            </w:r>
          </w:p>
        </w:tc>
        <w:tc>
          <w:tcPr>
            <w:tcW w:w="773" w:type="pct"/>
            <w:tcMar>
              <w:top w:w="60" w:type="dxa"/>
              <w:left w:w="80" w:type="dxa"/>
              <w:bottom w:w="60" w:type="dxa"/>
              <w:right w:w="80" w:type="dxa"/>
            </w:tcMar>
          </w:tcPr>
          <w:p w14:paraId="19447BAE" w14:textId="77777777" w:rsidR="00D76725" w:rsidRDefault="00000000" w:rsidP="00412D3E">
            <w:pPr>
              <w:spacing w:before="100" w:beforeAutospacing="1" w:after="100" w:afterAutospacing="1"/>
              <w:jc w:val="both"/>
            </w:pPr>
            <w:r>
              <w:rPr>
                <w:sz w:val="18"/>
                <w:szCs w:val="18"/>
              </w:rPr>
              <w:t>Bangladeshi corpus</w:t>
            </w:r>
          </w:p>
        </w:tc>
        <w:tc>
          <w:tcPr>
            <w:tcW w:w="1237" w:type="pct"/>
            <w:tcMar>
              <w:top w:w="60" w:type="dxa"/>
              <w:left w:w="80" w:type="dxa"/>
              <w:bottom w:w="60" w:type="dxa"/>
              <w:right w:w="80" w:type="dxa"/>
            </w:tcMar>
          </w:tcPr>
          <w:p w14:paraId="73499288" w14:textId="77777777" w:rsidR="00D76725" w:rsidRDefault="00000000" w:rsidP="00412D3E">
            <w:pPr>
              <w:spacing w:before="100" w:beforeAutospacing="1" w:after="100" w:afterAutospacing="1"/>
              <w:jc w:val="both"/>
            </w:pPr>
            <w:r>
              <w:rPr>
                <w:sz w:val="18"/>
                <w:szCs w:val="18"/>
              </w:rPr>
              <w:t>No controlled or quasi-experimental design with pre- and post-intervention language measures</w:t>
            </w:r>
          </w:p>
        </w:tc>
        <w:tc>
          <w:tcPr>
            <w:tcW w:w="1237" w:type="pct"/>
            <w:tcMar>
              <w:top w:w="60" w:type="dxa"/>
              <w:left w:w="80" w:type="dxa"/>
              <w:bottom w:w="60" w:type="dxa"/>
              <w:right w:w="80" w:type="dxa"/>
            </w:tcMar>
          </w:tcPr>
          <w:p w14:paraId="688760D1" w14:textId="77777777" w:rsidR="00D76725" w:rsidRDefault="00000000" w:rsidP="00412D3E">
            <w:pPr>
              <w:spacing w:before="100" w:beforeAutospacing="1" w:after="100" w:afterAutospacing="1"/>
              <w:jc w:val="both"/>
            </w:pPr>
            <w:r>
              <w:rPr>
                <w:sz w:val="18"/>
                <w:szCs w:val="18"/>
              </w:rPr>
              <w:t>Claims of learning benefit are unsupported by the national evidence in either direction</w:t>
            </w:r>
          </w:p>
        </w:tc>
        <w:tc>
          <w:tcPr>
            <w:tcW w:w="696" w:type="pct"/>
            <w:tcMar>
              <w:top w:w="60" w:type="dxa"/>
              <w:left w:w="80" w:type="dxa"/>
              <w:bottom w:w="60" w:type="dxa"/>
              <w:right w:w="80" w:type="dxa"/>
            </w:tcMar>
          </w:tcPr>
          <w:p w14:paraId="2C9A240B" w14:textId="77777777" w:rsidR="00D76725" w:rsidRDefault="00000000" w:rsidP="00412D3E">
            <w:pPr>
              <w:spacing w:before="100" w:beforeAutospacing="1" w:after="100" w:afterAutospacing="1"/>
              <w:jc w:val="both"/>
            </w:pPr>
            <w:proofErr w:type="spellStart"/>
            <w:r>
              <w:rPr>
                <w:sz w:val="18"/>
                <w:szCs w:val="18"/>
              </w:rPr>
              <w:t>Ansaree</w:t>
            </w:r>
            <w:proofErr w:type="spellEnd"/>
            <w:r>
              <w:rPr>
                <w:sz w:val="18"/>
                <w:szCs w:val="18"/>
              </w:rPr>
              <w:t xml:space="preserve"> &amp; Uddin (2026); Khan et al. (2024); Munni &amp; Rafique (2025)</w:t>
            </w:r>
          </w:p>
        </w:tc>
      </w:tr>
      <w:tr w:rsidR="00D76725" w14:paraId="520B7B92" w14:textId="77777777" w:rsidTr="009F144E">
        <w:tc>
          <w:tcPr>
            <w:tcW w:w="1057" w:type="pct"/>
            <w:tcMar>
              <w:top w:w="60" w:type="dxa"/>
              <w:left w:w="80" w:type="dxa"/>
              <w:bottom w:w="60" w:type="dxa"/>
              <w:right w:w="80" w:type="dxa"/>
            </w:tcMar>
          </w:tcPr>
          <w:p w14:paraId="41D18257" w14:textId="77777777" w:rsidR="00D76725" w:rsidRDefault="00000000" w:rsidP="00412D3E">
            <w:pPr>
              <w:spacing w:before="100" w:beforeAutospacing="1" w:after="100" w:afterAutospacing="1"/>
              <w:jc w:val="both"/>
            </w:pPr>
            <w:r>
              <w:rPr>
                <w:sz w:val="18"/>
                <w:szCs w:val="18"/>
              </w:rPr>
              <w:t>Reliance on intention rather than behaviour</w:t>
            </w:r>
          </w:p>
        </w:tc>
        <w:tc>
          <w:tcPr>
            <w:tcW w:w="773" w:type="pct"/>
            <w:tcMar>
              <w:top w:w="60" w:type="dxa"/>
              <w:left w:w="80" w:type="dxa"/>
              <w:bottom w:w="60" w:type="dxa"/>
              <w:right w:w="80" w:type="dxa"/>
            </w:tcMar>
          </w:tcPr>
          <w:p w14:paraId="1D821821" w14:textId="77777777" w:rsidR="00D76725" w:rsidRDefault="00000000" w:rsidP="00412D3E">
            <w:pPr>
              <w:spacing w:before="100" w:beforeAutospacing="1" w:after="100" w:afterAutospacing="1"/>
              <w:jc w:val="both"/>
            </w:pPr>
            <w:r>
              <w:rPr>
                <w:sz w:val="18"/>
                <w:szCs w:val="18"/>
              </w:rPr>
              <w:t>Bangladeshi corpus</w:t>
            </w:r>
          </w:p>
        </w:tc>
        <w:tc>
          <w:tcPr>
            <w:tcW w:w="1237" w:type="pct"/>
            <w:tcMar>
              <w:top w:w="60" w:type="dxa"/>
              <w:left w:w="80" w:type="dxa"/>
              <w:bottom w:w="60" w:type="dxa"/>
              <w:right w:w="80" w:type="dxa"/>
            </w:tcMar>
          </w:tcPr>
          <w:p w14:paraId="22E45945" w14:textId="77777777" w:rsidR="00D76725" w:rsidRDefault="00000000" w:rsidP="00412D3E">
            <w:pPr>
              <w:spacing w:before="100" w:beforeAutospacing="1" w:after="100" w:afterAutospacing="1"/>
              <w:jc w:val="both"/>
            </w:pPr>
            <w:r>
              <w:rPr>
                <w:sz w:val="18"/>
                <w:szCs w:val="18"/>
              </w:rPr>
              <w:t>Acceptance models predict stated intention for a technology already in general use</w:t>
            </w:r>
          </w:p>
        </w:tc>
        <w:tc>
          <w:tcPr>
            <w:tcW w:w="1237" w:type="pct"/>
            <w:tcMar>
              <w:top w:w="60" w:type="dxa"/>
              <w:left w:w="80" w:type="dxa"/>
              <w:bottom w:w="60" w:type="dxa"/>
              <w:right w:w="80" w:type="dxa"/>
            </w:tcMar>
          </w:tcPr>
          <w:p w14:paraId="2D417725" w14:textId="77777777" w:rsidR="00D76725" w:rsidRDefault="00000000" w:rsidP="00412D3E">
            <w:pPr>
              <w:spacing w:before="100" w:beforeAutospacing="1" w:after="100" w:afterAutospacing="1"/>
              <w:jc w:val="both"/>
            </w:pPr>
            <w:r>
              <w:rPr>
                <w:sz w:val="18"/>
                <w:szCs w:val="18"/>
              </w:rPr>
              <w:t>Explanatory value is limited; findings replicate across contexts without local specificity</w:t>
            </w:r>
          </w:p>
        </w:tc>
        <w:tc>
          <w:tcPr>
            <w:tcW w:w="696" w:type="pct"/>
            <w:tcMar>
              <w:top w:w="60" w:type="dxa"/>
              <w:left w:w="80" w:type="dxa"/>
              <w:bottom w:w="60" w:type="dxa"/>
              <w:right w:w="80" w:type="dxa"/>
            </w:tcMar>
          </w:tcPr>
          <w:p w14:paraId="4384A06E" w14:textId="77777777" w:rsidR="00D76725" w:rsidRDefault="00000000" w:rsidP="00412D3E">
            <w:pPr>
              <w:spacing w:before="100" w:beforeAutospacing="1" w:after="100" w:afterAutospacing="1"/>
              <w:jc w:val="both"/>
            </w:pPr>
            <w:r>
              <w:rPr>
                <w:sz w:val="18"/>
                <w:szCs w:val="18"/>
              </w:rPr>
              <w:t xml:space="preserve">Akter et al. (2026); </w:t>
            </w:r>
            <w:proofErr w:type="spellStart"/>
            <w:r>
              <w:rPr>
                <w:sz w:val="18"/>
                <w:szCs w:val="18"/>
              </w:rPr>
              <w:t>Bristi</w:t>
            </w:r>
            <w:proofErr w:type="spellEnd"/>
            <w:r>
              <w:rPr>
                <w:sz w:val="18"/>
                <w:szCs w:val="18"/>
              </w:rPr>
              <w:t xml:space="preserve"> et al. (2025); Budhathoki et al. (2024); </w:t>
            </w:r>
            <w:r>
              <w:rPr>
                <w:sz w:val="18"/>
                <w:szCs w:val="18"/>
              </w:rPr>
              <w:lastRenderedPageBreak/>
              <w:t>Kibria et al. (2026)</w:t>
            </w:r>
          </w:p>
        </w:tc>
      </w:tr>
      <w:tr w:rsidR="00D76725" w14:paraId="1366E529" w14:textId="77777777" w:rsidTr="009F144E">
        <w:tc>
          <w:tcPr>
            <w:tcW w:w="1057" w:type="pct"/>
            <w:tcMar>
              <w:top w:w="60" w:type="dxa"/>
              <w:left w:w="80" w:type="dxa"/>
              <w:bottom w:w="60" w:type="dxa"/>
              <w:right w:w="80" w:type="dxa"/>
            </w:tcMar>
          </w:tcPr>
          <w:p w14:paraId="1D906130" w14:textId="77777777" w:rsidR="00D76725" w:rsidRDefault="00000000" w:rsidP="00412D3E">
            <w:pPr>
              <w:spacing w:before="100" w:beforeAutospacing="1" w:after="100" w:afterAutospacing="1"/>
              <w:jc w:val="both"/>
            </w:pPr>
            <w:r>
              <w:rPr>
                <w:sz w:val="18"/>
                <w:szCs w:val="18"/>
              </w:rPr>
              <w:lastRenderedPageBreak/>
              <w:t>Unreported or unrepresentative sampling</w:t>
            </w:r>
          </w:p>
        </w:tc>
        <w:tc>
          <w:tcPr>
            <w:tcW w:w="773" w:type="pct"/>
            <w:tcMar>
              <w:top w:w="60" w:type="dxa"/>
              <w:left w:w="80" w:type="dxa"/>
              <w:bottom w:w="60" w:type="dxa"/>
              <w:right w:w="80" w:type="dxa"/>
            </w:tcMar>
          </w:tcPr>
          <w:p w14:paraId="46ED3D69" w14:textId="77777777" w:rsidR="00D76725" w:rsidRDefault="00000000" w:rsidP="00412D3E">
            <w:pPr>
              <w:spacing w:before="100" w:beforeAutospacing="1" w:after="100" w:afterAutospacing="1"/>
              <w:jc w:val="both"/>
            </w:pPr>
            <w:r>
              <w:rPr>
                <w:sz w:val="18"/>
                <w:szCs w:val="18"/>
              </w:rPr>
              <w:t>Both</w:t>
            </w:r>
          </w:p>
        </w:tc>
        <w:tc>
          <w:tcPr>
            <w:tcW w:w="1237" w:type="pct"/>
            <w:tcMar>
              <w:top w:w="60" w:type="dxa"/>
              <w:left w:w="80" w:type="dxa"/>
              <w:bottom w:w="60" w:type="dxa"/>
              <w:right w:w="80" w:type="dxa"/>
            </w:tcMar>
          </w:tcPr>
          <w:p w14:paraId="1659D038" w14:textId="77777777" w:rsidR="00D76725" w:rsidRDefault="00000000" w:rsidP="00412D3E">
            <w:pPr>
              <w:spacing w:before="100" w:beforeAutospacing="1" w:after="100" w:afterAutospacing="1"/>
              <w:jc w:val="both"/>
            </w:pPr>
            <w:r>
              <w:rPr>
                <w:sz w:val="18"/>
                <w:szCs w:val="18"/>
              </w:rPr>
              <w:t>Convenience and purposive samples of connected, urban participants predominate</w:t>
            </w:r>
          </w:p>
        </w:tc>
        <w:tc>
          <w:tcPr>
            <w:tcW w:w="1237" w:type="pct"/>
            <w:tcMar>
              <w:top w:w="60" w:type="dxa"/>
              <w:left w:w="80" w:type="dxa"/>
              <w:bottom w:w="60" w:type="dxa"/>
              <w:right w:w="80" w:type="dxa"/>
            </w:tcMar>
          </w:tcPr>
          <w:p w14:paraId="0E95BD7A" w14:textId="77777777" w:rsidR="00D76725" w:rsidRDefault="00000000" w:rsidP="00412D3E">
            <w:pPr>
              <w:spacing w:before="100" w:beforeAutospacing="1" w:after="100" w:afterAutospacing="1"/>
              <w:jc w:val="both"/>
            </w:pPr>
            <w:r>
              <w:rPr>
                <w:sz w:val="18"/>
                <w:szCs w:val="18"/>
              </w:rPr>
              <w:t>Equity and access claims cannot be sustained; population estimates unavailable</w:t>
            </w:r>
          </w:p>
        </w:tc>
        <w:tc>
          <w:tcPr>
            <w:tcW w:w="696" w:type="pct"/>
            <w:tcMar>
              <w:top w:w="60" w:type="dxa"/>
              <w:left w:w="80" w:type="dxa"/>
              <w:bottom w:w="60" w:type="dxa"/>
              <w:right w:w="80" w:type="dxa"/>
            </w:tcMar>
          </w:tcPr>
          <w:p w14:paraId="2192AF97" w14:textId="77777777" w:rsidR="00D76725" w:rsidRDefault="00000000" w:rsidP="00412D3E">
            <w:pPr>
              <w:spacing w:before="100" w:beforeAutospacing="1" w:after="100" w:afterAutospacing="1"/>
              <w:jc w:val="both"/>
            </w:pPr>
            <w:r>
              <w:rPr>
                <w:sz w:val="18"/>
                <w:szCs w:val="18"/>
              </w:rPr>
              <w:t>Badiuzzaman et al. (2021); Mathrani et al. (2022)</w:t>
            </w:r>
          </w:p>
        </w:tc>
      </w:tr>
      <w:tr w:rsidR="00D76725" w14:paraId="26A3EB12" w14:textId="77777777" w:rsidTr="009F144E">
        <w:tc>
          <w:tcPr>
            <w:tcW w:w="1057" w:type="pct"/>
            <w:tcMar>
              <w:top w:w="60" w:type="dxa"/>
              <w:left w:w="80" w:type="dxa"/>
              <w:bottom w:w="60" w:type="dxa"/>
              <w:right w:w="80" w:type="dxa"/>
            </w:tcMar>
          </w:tcPr>
          <w:p w14:paraId="6D721D4C" w14:textId="77777777" w:rsidR="00D76725" w:rsidRDefault="00000000" w:rsidP="00412D3E">
            <w:pPr>
              <w:spacing w:before="100" w:beforeAutospacing="1" w:after="100" w:afterAutospacing="1"/>
              <w:jc w:val="both"/>
            </w:pPr>
            <w:r>
              <w:rPr>
                <w:sz w:val="18"/>
                <w:szCs w:val="18"/>
              </w:rPr>
              <w:t>Unreported tool version and prompt</w:t>
            </w:r>
          </w:p>
        </w:tc>
        <w:tc>
          <w:tcPr>
            <w:tcW w:w="773" w:type="pct"/>
            <w:tcMar>
              <w:top w:w="60" w:type="dxa"/>
              <w:left w:w="80" w:type="dxa"/>
              <w:bottom w:w="60" w:type="dxa"/>
              <w:right w:w="80" w:type="dxa"/>
            </w:tcMar>
          </w:tcPr>
          <w:p w14:paraId="4DDAF0C8" w14:textId="77777777" w:rsidR="00D76725" w:rsidRDefault="00000000" w:rsidP="00412D3E">
            <w:pPr>
              <w:spacing w:before="100" w:beforeAutospacing="1" w:after="100" w:afterAutospacing="1"/>
              <w:jc w:val="both"/>
            </w:pPr>
            <w:r>
              <w:rPr>
                <w:sz w:val="18"/>
                <w:szCs w:val="18"/>
              </w:rPr>
              <w:t>Both</w:t>
            </w:r>
          </w:p>
        </w:tc>
        <w:tc>
          <w:tcPr>
            <w:tcW w:w="1237" w:type="pct"/>
            <w:tcMar>
              <w:top w:w="60" w:type="dxa"/>
              <w:left w:w="80" w:type="dxa"/>
              <w:bottom w:w="60" w:type="dxa"/>
              <w:right w:w="80" w:type="dxa"/>
            </w:tcMar>
          </w:tcPr>
          <w:p w14:paraId="63541261" w14:textId="77777777" w:rsidR="00D76725" w:rsidRDefault="00000000" w:rsidP="00412D3E">
            <w:pPr>
              <w:spacing w:before="100" w:beforeAutospacing="1" w:after="100" w:afterAutospacing="1"/>
              <w:jc w:val="both"/>
            </w:pPr>
            <w:r>
              <w:rPr>
                <w:sz w:val="18"/>
                <w:szCs w:val="18"/>
              </w:rPr>
              <w:t>Model, interface and prompt formulation seldom specified</w:t>
            </w:r>
          </w:p>
        </w:tc>
        <w:tc>
          <w:tcPr>
            <w:tcW w:w="1237" w:type="pct"/>
            <w:tcMar>
              <w:top w:w="60" w:type="dxa"/>
              <w:left w:w="80" w:type="dxa"/>
              <w:bottom w:w="60" w:type="dxa"/>
              <w:right w:w="80" w:type="dxa"/>
            </w:tcMar>
          </w:tcPr>
          <w:p w14:paraId="2B51F865" w14:textId="77777777" w:rsidR="00D76725" w:rsidRDefault="00000000" w:rsidP="00412D3E">
            <w:pPr>
              <w:spacing w:before="100" w:beforeAutospacing="1" w:after="100" w:afterAutospacing="1"/>
              <w:jc w:val="both"/>
            </w:pPr>
            <w:r>
              <w:rPr>
                <w:sz w:val="18"/>
                <w:szCs w:val="18"/>
              </w:rPr>
              <w:t>Apparent disagreement between studies is not separable from differences in the artefact studied</w:t>
            </w:r>
          </w:p>
        </w:tc>
        <w:tc>
          <w:tcPr>
            <w:tcW w:w="696" w:type="pct"/>
            <w:tcMar>
              <w:top w:w="60" w:type="dxa"/>
              <w:left w:w="80" w:type="dxa"/>
              <w:bottom w:w="60" w:type="dxa"/>
              <w:right w:w="80" w:type="dxa"/>
            </w:tcMar>
          </w:tcPr>
          <w:p w14:paraId="02B2F66A" w14:textId="77777777" w:rsidR="00D76725" w:rsidRDefault="00000000" w:rsidP="00412D3E">
            <w:pPr>
              <w:spacing w:before="100" w:beforeAutospacing="1" w:after="100" w:afterAutospacing="1"/>
              <w:jc w:val="both"/>
            </w:pPr>
            <w:r>
              <w:rPr>
                <w:sz w:val="18"/>
                <w:szCs w:val="18"/>
              </w:rPr>
              <w:t>Wang et al. (2025)</w:t>
            </w:r>
          </w:p>
        </w:tc>
      </w:tr>
      <w:tr w:rsidR="00D76725" w14:paraId="7987DFF5" w14:textId="77777777" w:rsidTr="009F144E">
        <w:tc>
          <w:tcPr>
            <w:tcW w:w="1057" w:type="pct"/>
            <w:tcMar>
              <w:top w:w="60" w:type="dxa"/>
              <w:left w:w="80" w:type="dxa"/>
              <w:bottom w:w="60" w:type="dxa"/>
              <w:right w:w="80" w:type="dxa"/>
            </w:tcMar>
          </w:tcPr>
          <w:p w14:paraId="797DCB9C" w14:textId="77777777" w:rsidR="00D76725" w:rsidRDefault="00000000" w:rsidP="00412D3E">
            <w:pPr>
              <w:spacing w:before="100" w:beforeAutospacing="1" w:after="100" w:afterAutospacing="1"/>
              <w:jc w:val="both"/>
            </w:pPr>
            <w:r>
              <w:rPr>
                <w:sz w:val="18"/>
                <w:szCs w:val="18"/>
              </w:rPr>
              <w:t>Weak theoretical grounding</w:t>
            </w:r>
          </w:p>
        </w:tc>
        <w:tc>
          <w:tcPr>
            <w:tcW w:w="773" w:type="pct"/>
            <w:tcMar>
              <w:top w:w="60" w:type="dxa"/>
              <w:left w:w="80" w:type="dxa"/>
              <w:bottom w:w="60" w:type="dxa"/>
              <w:right w:w="80" w:type="dxa"/>
            </w:tcMar>
          </w:tcPr>
          <w:p w14:paraId="69F907BF" w14:textId="77777777" w:rsidR="00D76725" w:rsidRDefault="00000000" w:rsidP="00412D3E">
            <w:pPr>
              <w:spacing w:before="100" w:beforeAutospacing="1" w:after="100" w:afterAutospacing="1"/>
              <w:jc w:val="both"/>
            </w:pPr>
            <w:r>
              <w:rPr>
                <w:sz w:val="18"/>
                <w:szCs w:val="18"/>
              </w:rPr>
              <w:t>International corpus</w:t>
            </w:r>
          </w:p>
        </w:tc>
        <w:tc>
          <w:tcPr>
            <w:tcW w:w="1237" w:type="pct"/>
            <w:tcMar>
              <w:top w:w="60" w:type="dxa"/>
              <w:left w:w="80" w:type="dxa"/>
              <w:bottom w:w="60" w:type="dxa"/>
              <w:right w:w="80" w:type="dxa"/>
            </w:tcMar>
          </w:tcPr>
          <w:p w14:paraId="11AB0FC5" w14:textId="77777777" w:rsidR="00D76725" w:rsidRDefault="00000000" w:rsidP="00412D3E">
            <w:pPr>
              <w:spacing w:before="100" w:beforeAutospacing="1" w:after="100" w:afterAutospacing="1"/>
              <w:jc w:val="both"/>
            </w:pPr>
            <w:r>
              <w:rPr>
                <w:sz w:val="18"/>
                <w:szCs w:val="18"/>
              </w:rPr>
              <w:t>Substantial proportion of studies specify no framework</w:t>
            </w:r>
          </w:p>
        </w:tc>
        <w:tc>
          <w:tcPr>
            <w:tcW w:w="1237" w:type="pct"/>
            <w:tcMar>
              <w:top w:w="60" w:type="dxa"/>
              <w:left w:w="80" w:type="dxa"/>
              <w:bottom w:w="60" w:type="dxa"/>
              <w:right w:w="80" w:type="dxa"/>
            </w:tcMar>
          </w:tcPr>
          <w:p w14:paraId="6A88A2D3" w14:textId="77777777" w:rsidR="00D76725" w:rsidRDefault="00000000" w:rsidP="00412D3E">
            <w:pPr>
              <w:spacing w:before="100" w:beforeAutospacing="1" w:after="100" w:afterAutospacing="1"/>
              <w:jc w:val="both"/>
            </w:pPr>
            <w:r>
              <w:rPr>
                <w:sz w:val="18"/>
                <w:szCs w:val="18"/>
              </w:rPr>
              <w:t>Findings accumulate without cumulative explanation</w:t>
            </w:r>
          </w:p>
        </w:tc>
        <w:tc>
          <w:tcPr>
            <w:tcW w:w="696" w:type="pct"/>
            <w:tcMar>
              <w:top w:w="60" w:type="dxa"/>
              <w:left w:w="80" w:type="dxa"/>
              <w:bottom w:w="60" w:type="dxa"/>
              <w:right w:w="80" w:type="dxa"/>
            </w:tcMar>
          </w:tcPr>
          <w:p w14:paraId="16DB6394" w14:textId="77777777" w:rsidR="00D76725" w:rsidRDefault="00000000" w:rsidP="00412D3E">
            <w:pPr>
              <w:spacing w:before="100" w:beforeAutospacing="1" w:after="100" w:afterAutospacing="1"/>
              <w:jc w:val="both"/>
            </w:pPr>
            <w:r>
              <w:rPr>
                <w:sz w:val="18"/>
                <w:szCs w:val="18"/>
              </w:rPr>
              <w:t>Qiao et al. (2025); Wang et al. (2025)</w:t>
            </w:r>
          </w:p>
        </w:tc>
      </w:tr>
      <w:tr w:rsidR="00D76725" w14:paraId="278C67AC" w14:textId="77777777" w:rsidTr="009F144E">
        <w:tc>
          <w:tcPr>
            <w:tcW w:w="1057" w:type="pct"/>
            <w:tcMar>
              <w:top w:w="60" w:type="dxa"/>
              <w:left w:w="80" w:type="dxa"/>
              <w:bottom w:w="60" w:type="dxa"/>
              <w:right w:w="80" w:type="dxa"/>
            </w:tcMar>
          </w:tcPr>
          <w:p w14:paraId="6CA7A6DF" w14:textId="77777777" w:rsidR="00D76725" w:rsidRDefault="00000000" w:rsidP="00412D3E">
            <w:pPr>
              <w:spacing w:before="100" w:beforeAutospacing="1" w:after="100" w:afterAutospacing="1"/>
              <w:jc w:val="both"/>
            </w:pPr>
            <w:r>
              <w:rPr>
                <w:sz w:val="18"/>
                <w:szCs w:val="18"/>
              </w:rPr>
              <w:t>Geographical concentration</w:t>
            </w:r>
          </w:p>
        </w:tc>
        <w:tc>
          <w:tcPr>
            <w:tcW w:w="773" w:type="pct"/>
            <w:tcMar>
              <w:top w:w="60" w:type="dxa"/>
              <w:left w:w="80" w:type="dxa"/>
              <w:bottom w:w="60" w:type="dxa"/>
              <w:right w:w="80" w:type="dxa"/>
            </w:tcMar>
          </w:tcPr>
          <w:p w14:paraId="76B9B65D" w14:textId="77777777" w:rsidR="00D76725" w:rsidRDefault="00000000" w:rsidP="00412D3E">
            <w:pPr>
              <w:spacing w:before="100" w:beforeAutospacing="1" w:after="100" w:afterAutospacing="1"/>
              <w:jc w:val="both"/>
            </w:pPr>
            <w:r>
              <w:rPr>
                <w:sz w:val="18"/>
                <w:szCs w:val="18"/>
              </w:rPr>
              <w:t>International corpus</w:t>
            </w:r>
          </w:p>
        </w:tc>
        <w:tc>
          <w:tcPr>
            <w:tcW w:w="1237" w:type="pct"/>
            <w:tcMar>
              <w:top w:w="60" w:type="dxa"/>
              <w:left w:w="80" w:type="dxa"/>
              <w:bottom w:w="60" w:type="dxa"/>
              <w:right w:w="80" w:type="dxa"/>
            </w:tcMar>
          </w:tcPr>
          <w:p w14:paraId="4D9609A4" w14:textId="77777777" w:rsidR="00D76725" w:rsidRDefault="00000000" w:rsidP="00412D3E">
            <w:pPr>
              <w:spacing w:before="100" w:beforeAutospacing="1" w:after="100" w:afterAutospacing="1"/>
              <w:jc w:val="both"/>
            </w:pPr>
            <w:r>
              <w:rPr>
                <w:sz w:val="18"/>
                <w:szCs w:val="18"/>
              </w:rPr>
              <w:t xml:space="preserve">Evidence </w:t>
            </w:r>
            <w:proofErr w:type="gramStart"/>
            <w:r>
              <w:rPr>
                <w:sz w:val="18"/>
                <w:szCs w:val="18"/>
              </w:rPr>
              <w:t>base</w:t>
            </w:r>
            <w:proofErr w:type="gramEnd"/>
            <w:r>
              <w:rPr>
                <w:sz w:val="18"/>
                <w:szCs w:val="18"/>
              </w:rPr>
              <w:t xml:space="preserve"> concentrated in a small number of high- and middle-income systems</w:t>
            </w:r>
          </w:p>
        </w:tc>
        <w:tc>
          <w:tcPr>
            <w:tcW w:w="1237" w:type="pct"/>
            <w:tcMar>
              <w:top w:w="60" w:type="dxa"/>
              <w:left w:w="80" w:type="dxa"/>
              <w:bottom w:w="60" w:type="dxa"/>
              <w:right w:w="80" w:type="dxa"/>
            </w:tcMar>
          </w:tcPr>
          <w:p w14:paraId="0FFCBC29" w14:textId="77777777" w:rsidR="00D76725" w:rsidRDefault="00000000" w:rsidP="00412D3E">
            <w:pPr>
              <w:spacing w:before="100" w:beforeAutospacing="1" w:after="100" w:afterAutospacing="1"/>
              <w:jc w:val="both"/>
            </w:pPr>
            <w:r>
              <w:rPr>
                <w:sz w:val="18"/>
                <w:szCs w:val="18"/>
              </w:rPr>
              <w:t>Transfer to low- and middle-income settings is assumed rather than tested</w:t>
            </w:r>
          </w:p>
        </w:tc>
        <w:tc>
          <w:tcPr>
            <w:tcW w:w="696" w:type="pct"/>
            <w:tcMar>
              <w:top w:w="60" w:type="dxa"/>
              <w:left w:w="80" w:type="dxa"/>
              <w:bottom w:w="60" w:type="dxa"/>
              <w:right w:w="80" w:type="dxa"/>
            </w:tcMar>
          </w:tcPr>
          <w:p w14:paraId="6DCB33BA" w14:textId="77777777" w:rsidR="00D76725" w:rsidRDefault="00000000" w:rsidP="00412D3E">
            <w:pPr>
              <w:spacing w:before="100" w:beforeAutospacing="1" w:after="100" w:afterAutospacing="1"/>
              <w:jc w:val="both"/>
            </w:pPr>
            <w:r>
              <w:rPr>
                <w:sz w:val="18"/>
                <w:szCs w:val="18"/>
              </w:rPr>
              <w:t>Landa-Blanco (2026); Wang et al. (2025)</w:t>
            </w:r>
          </w:p>
        </w:tc>
      </w:tr>
      <w:tr w:rsidR="00D76725" w14:paraId="56473657" w14:textId="77777777" w:rsidTr="009F144E">
        <w:tc>
          <w:tcPr>
            <w:tcW w:w="1057" w:type="pct"/>
            <w:tcMar>
              <w:top w:w="60" w:type="dxa"/>
              <w:left w:w="80" w:type="dxa"/>
              <w:bottom w:w="60" w:type="dxa"/>
              <w:right w:w="80" w:type="dxa"/>
            </w:tcMar>
          </w:tcPr>
          <w:p w14:paraId="50720A20" w14:textId="77777777" w:rsidR="00D76725" w:rsidRDefault="00000000" w:rsidP="00412D3E">
            <w:pPr>
              <w:spacing w:before="100" w:beforeAutospacing="1" w:after="100" w:afterAutospacing="1"/>
              <w:jc w:val="both"/>
            </w:pPr>
            <w:r>
              <w:rPr>
                <w:sz w:val="18"/>
                <w:szCs w:val="18"/>
              </w:rPr>
              <w:t>Short exposure periods</w:t>
            </w:r>
          </w:p>
        </w:tc>
        <w:tc>
          <w:tcPr>
            <w:tcW w:w="773" w:type="pct"/>
            <w:tcMar>
              <w:top w:w="60" w:type="dxa"/>
              <w:left w:w="80" w:type="dxa"/>
              <w:bottom w:w="60" w:type="dxa"/>
              <w:right w:w="80" w:type="dxa"/>
            </w:tcMar>
          </w:tcPr>
          <w:p w14:paraId="41FB42E5" w14:textId="77777777" w:rsidR="00D76725" w:rsidRDefault="00000000" w:rsidP="00412D3E">
            <w:pPr>
              <w:spacing w:before="100" w:beforeAutospacing="1" w:after="100" w:afterAutospacing="1"/>
              <w:jc w:val="both"/>
            </w:pPr>
            <w:r>
              <w:rPr>
                <w:sz w:val="18"/>
                <w:szCs w:val="18"/>
              </w:rPr>
              <w:t>International corpus</w:t>
            </w:r>
          </w:p>
        </w:tc>
        <w:tc>
          <w:tcPr>
            <w:tcW w:w="1237" w:type="pct"/>
            <w:tcMar>
              <w:top w:w="60" w:type="dxa"/>
              <w:left w:w="80" w:type="dxa"/>
              <w:bottom w:w="60" w:type="dxa"/>
              <w:right w:w="80" w:type="dxa"/>
            </w:tcMar>
          </w:tcPr>
          <w:p w14:paraId="5F4219CA" w14:textId="77777777" w:rsidR="00D76725" w:rsidRDefault="00000000" w:rsidP="00412D3E">
            <w:pPr>
              <w:spacing w:before="100" w:beforeAutospacing="1" w:after="100" w:afterAutospacing="1"/>
              <w:jc w:val="both"/>
            </w:pPr>
            <w:r>
              <w:rPr>
                <w:sz w:val="18"/>
                <w:szCs w:val="18"/>
              </w:rPr>
              <w:t>Intervention durations frequently measured in weeks</w:t>
            </w:r>
          </w:p>
        </w:tc>
        <w:tc>
          <w:tcPr>
            <w:tcW w:w="1237" w:type="pct"/>
            <w:tcMar>
              <w:top w:w="60" w:type="dxa"/>
              <w:left w:w="80" w:type="dxa"/>
              <w:bottom w:w="60" w:type="dxa"/>
              <w:right w:w="80" w:type="dxa"/>
            </w:tcMar>
          </w:tcPr>
          <w:p w14:paraId="05E448FB" w14:textId="77777777" w:rsidR="00D76725" w:rsidRDefault="00000000" w:rsidP="00412D3E">
            <w:pPr>
              <w:spacing w:before="100" w:beforeAutospacing="1" w:after="100" w:afterAutospacing="1"/>
              <w:jc w:val="both"/>
            </w:pPr>
            <w:r>
              <w:rPr>
                <w:sz w:val="18"/>
                <w:szCs w:val="18"/>
              </w:rPr>
              <w:t>Durability and delayed effects on autonomy and motivation are unknown</w:t>
            </w:r>
          </w:p>
        </w:tc>
        <w:tc>
          <w:tcPr>
            <w:tcW w:w="696" w:type="pct"/>
            <w:tcMar>
              <w:top w:w="60" w:type="dxa"/>
              <w:left w:w="80" w:type="dxa"/>
              <w:bottom w:w="60" w:type="dxa"/>
              <w:right w:w="80" w:type="dxa"/>
            </w:tcMar>
          </w:tcPr>
          <w:p w14:paraId="21D07C8F" w14:textId="77777777" w:rsidR="00D76725" w:rsidRDefault="00000000" w:rsidP="00412D3E">
            <w:pPr>
              <w:spacing w:before="100" w:beforeAutospacing="1" w:after="100" w:afterAutospacing="1"/>
              <w:jc w:val="both"/>
            </w:pPr>
            <w:r>
              <w:rPr>
                <w:sz w:val="18"/>
                <w:szCs w:val="18"/>
              </w:rPr>
              <w:t>Qiao et al. (2025); Shi et al. (2026)</w:t>
            </w:r>
          </w:p>
        </w:tc>
      </w:tr>
      <w:tr w:rsidR="00D76725" w14:paraId="19F55A46" w14:textId="77777777" w:rsidTr="009F144E">
        <w:tc>
          <w:tcPr>
            <w:tcW w:w="1057" w:type="pct"/>
            <w:tcMar>
              <w:top w:w="60" w:type="dxa"/>
              <w:left w:w="80" w:type="dxa"/>
              <w:bottom w:w="60" w:type="dxa"/>
              <w:right w:w="80" w:type="dxa"/>
            </w:tcMar>
          </w:tcPr>
          <w:p w14:paraId="04FC90E2" w14:textId="77777777" w:rsidR="00D76725" w:rsidRDefault="00000000" w:rsidP="00412D3E">
            <w:pPr>
              <w:spacing w:before="100" w:beforeAutospacing="1" w:after="100" w:afterAutospacing="1"/>
              <w:jc w:val="both"/>
            </w:pPr>
            <w:r>
              <w:rPr>
                <w:sz w:val="18"/>
                <w:szCs w:val="18"/>
              </w:rPr>
              <w:t>Narrow outcome constructs</w:t>
            </w:r>
          </w:p>
        </w:tc>
        <w:tc>
          <w:tcPr>
            <w:tcW w:w="773" w:type="pct"/>
            <w:tcMar>
              <w:top w:w="60" w:type="dxa"/>
              <w:left w:w="80" w:type="dxa"/>
              <w:bottom w:w="60" w:type="dxa"/>
              <w:right w:w="80" w:type="dxa"/>
            </w:tcMar>
          </w:tcPr>
          <w:p w14:paraId="684EE971" w14:textId="77777777" w:rsidR="00D76725" w:rsidRDefault="00000000" w:rsidP="00412D3E">
            <w:pPr>
              <w:spacing w:before="100" w:beforeAutospacing="1" w:after="100" w:afterAutospacing="1"/>
              <w:jc w:val="both"/>
            </w:pPr>
            <w:r>
              <w:rPr>
                <w:sz w:val="18"/>
                <w:szCs w:val="18"/>
              </w:rPr>
              <w:t>Both</w:t>
            </w:r>
          </w:p>
        </w:tc>
        <w:tc>
          <w:tcPr>
            <w:tcW w:w="1237" w:type="pct"/>
            <w:tcMar>
              <w:top w:w="60" w:type="dxa"/>
              <w:left w:w="80" w:type="dxa"/>
              <w:bottom w:w="60" w:type="dxa"/>
              <w:right w:w="80" w:type="dxa"/>
            </w:tcMar>
          </w:tcPr>
          <w:p w14:paraId="365E8EDC" w14:textId="77777777" w:rsidR="00D76725" w:rsidRDefault="00000000" w:rsidP="00412D3E">
            <w:pPr>
              <w:spacing w:before="100" w:beforeAutospacing="1" w:after="100" w:afterAutospacing="1"/>
              <w:jc w:val="both"/>
            </w:pPr>
            <w:r>
              <w:rPr>
                <w:sz w:val="18"/>
                <w:szCs w:val="18"/>
              </w:rPr>
              <w:t>Product measures reported without motivational, metacognitive or process measures</w:t>
            </w:r>
          </w:p>
        </w:tc>
        <w:tc>
          <w:tcPr>
            <w:tcW w:w="1237" w:type="pct"/>
            <w:tcMar>
              <w:top w:w="60" w:type="dxa"/>
              <w:left w:w="80" w:type="dxa"/>
              <w:bottom w:w="60" w:type="dxa"/>
              <w:right w:w="80" w:type="dxa"/>
            </w:tcMar>
          </w:tcPr>
          <w:p w14:paraId="649B5C98" w14:textId="77777777" w:rsidR="00D76725" w:rsidRDefault="00000000" w:rsidP="00412D3E">
            <w:pPr>
              <w:spacing w:before="100" w:beforeAutospacing="1" w:after="100" w:afterAutospacing="1"/>
              <w:jc w:val="both"/>
            </w:pPr>
            <w:r>
              <w:rPr>
                <w:sz w:val="18"/>
                <w:szCs w:val="18"/>
              </w:rPr>
              <w:t>Divergent effects on product and disposition are missed where only product is measured</w:t>
            </w:r>
          </w:p>
        </w:tc>
        <w:tc>
          <w:tcPr>
            <w:tcW w:w="696" w:type="pct"/>
            <w:tcMar>
              <w:top w:w="60" w:type="dxa"/>
              <w:left w:w="80" w:type="dxa"/>
              <w:bottom w:w="60" w:type="dxa"/>
              <w:right w:w="80" w:type="dxa"/>
            </w:tcMar>
          </w:tcPr>
          <w:p w14:paraId="373C28C8" w14:textId="77777777" w:rsidR="00D76725" w:rsidRDefault="00000000" w:rsidP="00412D3E">
            <w:pPr>
              <w:spacing w:before="100" w:beforeAutospacing="1" w:after="100" w:afterAutospacing="1"/>
              <w:jc w:val="both"/>
            </w:pPr>
            <w:r>
              <w:rPr>
                <w:sz w:val="18"/>
                <w:szCs w:val="18"/>
              </w:rPr>
              <w:t xml:space="preserve">Shi et al. (2026); </w:t>
            </w:r>
            <w:proofErr w:type="spellStart"/>
            <w:r>
              <w:rPr>
                <w:sz w:val="18"/>
                <w:szCs w:val="18"/>
              </w:rPr>
              <w:t>Tekir</w:t>
            </w:r>
            <w:proofErr w:type="spellEnd"/>
            <w:r>
              <w:rPr>
                <w:sz w:val="18"/>
                <w:szCs w:val="18"/>
              </w:rPr>
              <w:t xml:space="preserve"> (2026); Tian &amp; Zhang (2025)</w:t>
            </w:r>
          </w:p>
        </w:tc>
      </w:tr>
      <w:tr w:rsidR="00D76725" w14:paraId="5BA56EAA" w14:textId="77777777" w:rsidTr="009F144E">
        <w:tc>
          <w:tcPr>
            <w:tcW w:w="1057" w:type="pct"/>
            <w:tcMar>
              <w:top w:w="60" w:type="dxa"/>
              <w:left w:w="80" w:type="dxa"/>
              <w:bottom w:w="60" w:type="dxa"/>
              <w:right w:w="80" w:type="dxa"/>
            </w:tcMar>
          </w:tcPr>
          <w:p w14:paraId="7494EC32" w14:textId="77777777" w:rsidR="00D76725" w:rsidRDefault="00000000" w:rsidP="00412D3E">
            <w:pPr>
              <w:spacing w:before="100" w:beforeAutospacing="1" w:after="100" w:afterAutospacing="1"/>
              <w:jc w:val="both"/>
            </w:pPr>
            <w:r>
              <w:rPr>
                <w:sz w:val="18"/>
                <w:szCs w:val="18"/>
              </w:rPr>
              <w:t>Overlapping samples across publications</w:t>
            </w:r>
          </w:p>
        </w:tc>
        <w:tc>
          <w:tcPr>
            <w:tcW w:w="773" w:type="pct"/>
            <w:tcMar>
              <w:top w:w="60" w:type="dxa"/>
              <w:left w:w="80" w:type="dxa"/>
              <w:bottom w:w="60" w:type="dxa"/>
              <w:right w:w="80" w:type="dxa"/>
            </w:tcMar>
          </w:tcPr>
          <w:p w14:paraId="10361FEC" w14:textId="77777777" w:rsidR="00D76725" w:rsidRDefault="00000000" w:rsidP="00412D3E">
            <w:pPr>
              <w:spacing w:before="100" w:beforeAutospacing="1" w:after="100" w:afterAutospacing="1"/>
              <w:jc w:val="both"/>
            </w:pPr>
            <w:r>
              <w:rPr>
                <w:sz w:val="18"/>
                <w:szCs w:val="18"/>
              </w:rPr>
              <w:t>Bangladeshi corpus</w:t>
            </w:r>
          </w:p>
        </w:tc>
        <w:tc>
          <w:tcPr>
            <w:tcW w:w="1237" w:type="pct"/>
            <w:tcMar>
              <w:top w:w="60" w:type="dxa"/>
              <w:left w:w="80" w:type="dxa"/>
              <w:bottom w:w="60" w:type="dxa"/>
              <w:right w:w="80" w:type="dxa"/>
            </w:tcMar>
          </w:tcPr>
          <w:p w14:paraId="077347A0" w14:textId="77777777" w:rsidR="00D76725" w:rsidRDefault="00000000" w:rsidP="00412D3E">
            <w:pPr>
              <w:spacing w:before="100" w:beforeAutospacing="1" w:after="100" w:afterAutospacing="1"/>
              <w:jc w:val="both"/>
            </w:pPr>
            <w:r>
              <w:rPr>
                <w:sz w:val="18"/>
                <w:szCs w:val="18"/>
              </w:rPr>
              <w:t>Companion articles report from shared datasets</w:t>
            </w:r>
          </w:p>
        </w:tc>
        <w:tc>
          <w:tcPr>
            <w:tcW w:w="1237" w:type="pct"/>
            <w:tcMar>
              <w:top w:w="60" w:type="dxa"/>
              <w:left w:w="80" w:type="dxa"/>
              <w:bottom w:w="60" w:type="dxa"/>
              <w:right w:w="80" w:type="dxa"/>
            </w:tcMar>
          </w:tcPr>
          <w:p w14:paraId="6C8F8303" w14:textId="77777777" w:rsidR="00D76725" w:rsidRDefault="00000000" w:rsidP="00412D3E">
            <w:pPr>
              <w:spacing w:before="100" w:beforeAutospacing="1" w:after="100" w:afterAutospacing="1"/>
              <w:jc w:val="both"/>
            </w:pPr>
            <w:r>
              <w:rPr>
                <w:sz w:val="18"/>
                <w:szCs w:val="18"/>
              </w:rPr>
              <w:t>Apparent replication may reflect a single sample rather than independent confirmation</w:t>
            </w:r>
          </w:p>
        </w:tc>
        <w:tc>
          <w:tcPr>
            <w:tcW w:w="696" w:type="pct"/>
            <w:tcMar>
              <w:top w:w="60" w:type="dxa"/>
              <w:left w:w="80" w:type="dxa"/>
              <w:bottom w:w="60" w:type="dxa"/>
              <w:right w:w="80" w:type="dxa"/>
            </w:tcMar>
          </w:tcPr>
          <w:p w14:paraId="58A20BA4" w14:textId="77777777" w:rsidR="00D76725" w:rsidRDefault="00000000" w:rsidP="00412D3E">
            <w:pPr>
              <w:spacing w:before="100" w:beforeAutospacing="1" w:after="100" w:afterAutospacing="1"/>
              <w:jc w:val="both"/>
            </w:pPr>
            <w:r>
              <w:rPr>
                <w:sz w:val="18"/>
                <w:szCs w:val="18"/>
              </w:rPr>
              <w:t>Hasan et al. (2026a, 2026b)</w:t>
            </w:r>
          </w:p>
        </w:tc>
      </w:tr>
      <w:tr w:rsidR="00D76725" w14:paraId="0E636389" w14:textId="77777777" w:rsidTr="009F144E">
        <w:tc>
          <w:tcPr>
            <w:tcW w:w="1057" w:type="pct"/>
            <w:tcMar>
              <w:top w:w="60" w:type="dxa"/>
              <w:left w:w="80" w:type="dxa"/>
              <w:bottom w:w="60" w:type="dxa"/>
              <w:right w:w="80" w:type="dxa"/>
            </w:tcMar>
          </w:tcPr>
          <w:p w14:paraId="749352A9" w14:textId="77777777" w:rsidR="00D76725" w:rsidRDefault="00000000" w:rsidP="00412D3E">
            <w:pPr>
              <w:spacing w:before="100" w:beforeAutospacing="1" w:after="100" w:afterAutospacing="1"/>
              <w:jc w:val="both"/>
            </w:pPr>
            <w:r>
              <w:rPr>
                <w:sz w:val="18"/>
                <w:szCs w:val="18"/>
              </w:rPr>
              <w:t>Absence of bilingual outcome measures</w:t>
            </w:r>
          </w:p>
        </w:tc>
        <w:tc>
          <w:tcPr>
            <w:tcW w:w="773" w:type="pct"/>
            <w:tcMar>
              <w:top w:w="60" w:type="dxa"/>
              <w:left w:w="80" w:type="dxa"/>
              <w:bottom w:w="60" w:type="dxa"/>
              <w:right w:w="80" w:type="dxa"/>
            </w:tcMar>
          </w:tcPr>
          <w:p w14:paraId="52D7149B" w14:textId="77777777" w:rsidR="00D76725" w:rsidRDefault="00000000" w:rsidP="00412D3E">
            <w:pPr>
              <w:spacing w:before="100" w:beforeAutospacing="1" w:after="100" w:afterAutospacing="1"/>
              <w:jc w:val="both"/>
            </w:pPr>
            <w:r>
              <w:rPr>
                <w:sz w:val="18"/>
                <w:szCs w:val="18"/>
              </w:rPr>
              <w:t>Bangladeshi corpus</w:t>
            </w:r>
          </w:p>
        </w:tc>
        <w:tc>
          <w:tcPr>
            <w:tcW w:w="1237" w:type="pct"/>
            <w:tcMar>
              <w:top w:w="60" w:type="dxa"/>
              <w:left w:w="80" w:type="dxa"/>
              <w:bottom w:w="60" w:type="dxa"/>
              <w:right w:w="80" w:type="dxa"/>
            </w:tcMar>
          </w:tcPr>
          <w:p w14:paraId="203E57DA" w14:textId="77777777" w:rsidR="00D76725" w:rsidRDefault="00000000" w:rsidP="00412D3E">
            <w:pPr>
              <w:spacing w:before="100" w:beforeAutospacing="1" w:after="100" w:afterAutospacing="1"/>
              <w:jc w:val="both"/>
            </w:pPr>
            <w:r>
              <w:rPr>
                <w:sz w:val="18"/>
                <w:szCs w:val="18"/>
              </w:rPr>
              <w:t>No study examines tool performance on Bangla-English production</w:t>
            </w:r>
          </w:p>
        </w:tc>
        <w:tc>
          <w:tcPr>
            <w:tcW w:w="1237" w:type="pct"/>
            <w:tcMar>
              <w:top w:w="60" w:type="dxa"/>
              <w:left w:w="80" w:type="dxa"/>
              <w:bottom w:w="60" w:type="dxa"/>
              <w:right w:w="80" w:type="dxa"/>
            </w:tcMar>
          </w:tcPr>
          <w:p w14:paraId="12BCFBFF" w14:textId="77777777" w:rsidR="00D76725" w:rsidRDefault="00000000" w:rsidP="00412D3E">
            <w:pPr>
              <w:spacing w:before="100" w:beforeAutospacing="1" w:after="100" w:afterAutospacing="1"/>
              <w:jc w:val="both"/>
            </w:pPr>
            <w:r>
              <w:rPr>
                <w:sz w:val="18"/>
                <w:szCs w:val="18"/>
              </w:rPr>
              <w:t>Tool adequacy for the documented classroom practice is untested</w:t>
            </w:r>
          </w:p>
        </w:tc>
        <w:tc>
          <w:tcPr>
            <w:tcW w:w="696" w:type="pct"/>
            <w:tcMar>
              <w:top w:w="60" w:type="dxa"/>
              <w:left w:w="80" w:type="dxa"/>
              <w:bottom w:w="60" w:type="dxa"/>
              <w:right w:w="80" w:type="dxa"/>
            </w:tcMar>
          </w:tcPr>
          <w:p w14:paraId="771C2925" w14:textId="77777777" w:rsidR="00D76725" w:rsidRDefault="00000000" w:rsidP="00412D3E">
            <w:pPr>
              <w:spacing w:before="100" w:beforeAutospacing="1" w:after="100" w:afterAutospacing="1"/>
              <w:jc w:val="both"/>
            </w:pPr>
            <w:r>
              <w:rPr>
                <w:sz w:val="18"/>
                <w:szCs w:val="18"/>
              </w:rPr>
              <w:t>Rafi &amp; Morgan (2023); Rahman &amp; Hu (2025); Sultana &amp; Fang (2024)</w:t>
            </w:r>
          </w:p>
        </w:tc>
      </w:tr>
    </w:tbl>
    <w:p w14:paraId="15EE3240" w14:textId="77777777" w:rsidR="00D76725" w:rsidRDefault="00000000" w:rsidP="00412D3E">
      <w:pPr>
        <w:spacing w:before="100" w:beforeAutospacing="1" w:after="100" w:afterAutospacing="1"/>
        <w:jc w:val="both"/>
      </w:pPr>
      <w:r>
        <w:rPr>
          <w:i/>
          <w:iCs/>
          <w:sz w:val="18"/>
          <w:szCs w:val="18"/>
        </w:rPr>
        <w:t>Note. Limitations are attributed to the corpus in which they are most consistently observed. Attribution to one corpus does not imply absence from the other.</w:t>
      </w:r>
    </w:p>
    <w:p w14:paraId="6E0A6C8E" w14:textId="77777777" w:rsidR="00D76725" w:rsidRDefault="00000000" w:rsidP="00412D3E">
      <w:pPr>
        <w:pStyle w:val="Heading1"/>
        <w:spacing w:before="100" w:beforeAutospacing="1" w:after="100" w:afterAutospacing="1"/>
        <w:jc w:val="both"/>
      </w:pPr>
      <w:r>
        <w:rPr>
          <w:b/>
          <w:bCs/>
          <w:color w:val="000000"/>
          <w:sz w:val="28"/>
          <w:szCs w:val="28"/>
        </w:rPr>
        <w:t>8. Integrity, Assessment and Governance</w:t>
      </w:r>
    </w:p>
    <w:p w14:paraId="20F38357" w14:textId="77777777" w:rsidR="00D76725" w:rsidRDefault="00000000" w:rsidP="00412D3E">
      <w:pPr>
        <w:pStyle w:val="Heading2"/>
        <w:spacing w:before="100" w:beforeAutospacing="1" w:after="100" w:afterAutospacing="1"/>
        <w:jc w:val="both"/>
      </w:pPr>
      <w:r>
        <w:rPr>
          <w:b/>
          <w:bCs/>
          <w:color w:val="000000"/>
        </w:rPr>
        <w:t>8.1 Detection and the fragility of enforcement</w:t>
      </w:r>
    </w:p>
    <w:p w14:paraId="39026EE8" w14:textId="77777777" w:rsidR="00D76725" w:rsidRDefault="00000000" w:rsidP="00412D3E">
      <w:pPr>
        <w:spacing w:before="100" w:beforeAutospacing="1" w:after="100" w:afterAutospacing="1"/>
        <w:jc w:val="both"/>
      </w:pPr>
      <w:r>
        <w:rPr>
          <w:sz w:val="24"/>
          <w:szCs w:val="24"/>
        </w:rPr>
        <w:t>Concern about academic integrity is the most consistently reported finding in the Bangladeshi teacher literature, and it is the concern for which technological remedy is least available. Analysis of the integrity implications of large language models identified early that detection-based enforcement would prove unstable, because detection performance degrades as models improve and as users adapt their prompting (Perkins, 2023). Empirical testing of this proposition combined academic judgement with detection software to identify machine-generated submissions, and reported that neither approach alone was reliable (Perkins et al., 2024). Research with second language writing teachers on the assessment of machine-generated and human-produced text found the discrimination task difficult and performance inconsistent (Nguyen &amp; Barrot, 2024).</w:t>
      </w:r>
    </w:p>
    <w:p w14:paraId="2D658D01" w14:textId="77777777" w:rsidR="00D76725" w:rsidRDefault="00000000" w:rsidP="00412D3E">
      <w:pPr>
        <w:spacing w:before="100" w:beforeAutospacing="1" w:after="100" w:afterAutospacing="1"/>
        <w:jc w:val="both"/>
      </w:pPr>
      <w:r>
        <w:rPr>
          <w:sz w:val="24"/>
          <w:szCs w:val="24"/>
        </w:rPr>
        <w:lastRenderedPageBreak/>
        <w:t>The implication for Bangladesh is specific. Bangladeshi teachers report using integrity-detection software as a routine element of practice (Munni &amp; Rafique, 2025), and the national evidence on training effects indicates that recognition of machine-generated content improves with instruction (Hasan et al., 2026b). Neither finding establishes that detection-centred enforcement is viable at institutional scale. The international evidence indicates that it is not, and the assessment structure documented in Section 3.3 makes the problem more acute rather than less, since summative written work performed outside supervision is precisely the task type most vulnerable to substitution. Comparative work on integrity in multicultural higher education settings reaches compatible conclusions about the limits of enforcement and the requirement for assessment redesign (Yusuf et al., 2024).</w:t>
      </w:r>
    </w:p>
    <w:p w14:paraId="2BDF2739" w14:textId="77777777" w:rsidR="00D76725" w:rsidRDefault="00000000" w:rsidP="00412D3E">
      <w:pPr>
        <w:spacing w:before="100" w:beforeAutospacing="1" w:after="100" w:afterAutospacing="1"/>
        <w:jc w:val="both"/>
      </w:pPr>
      <w:r>
        <w:rPr>
          <w:sz w:val="24"/>
          <w:szCs w:val="24"/>
        </w:rPr>
        <w:t>The disciplinary-teacher study conducted in Bangladeshi English-medium universities is instructive on the alternative. It found diverse staff attitudes, majority reservation about the suitability of generative tools for developing academic writing capacity, and identified the development of students' ethical literacy alongside policy development as the more promising direction (Nahiyan &amp; Rahman, 2026). This is an argument for shifting the locus of intervention from detection to task design and from surveillance to disposition. It is also, at present, an argument rather than a demonstrated effect, since no Bangladeshi study has evaluated an assessment redesign or an ethical literacy intervention.</w:t>
      </w:r>
    </w:p>
    <w:p w14:paraId="2AF0709A" w14:textId="77777777" w:rsidR="00D76725" w:rsidRDefault="00000000" w:rsidP="00412D3E">
      <w:pPr>
        <w:pStyle w:val="Heading2"/>
        <w:spacing w:before="100" w:beforeAutospacing="1" w:after="100" w:afterAutospacing="1"/>
        <w:jc w:val="both"/>
      </w:pPr>
      <w:r>
        <w:rPr>
          <w:b/>
          <w:bCs/>
          <w:color w:val="000000"/>
        </w:rPr>
        <w:t>8.2 The policy vacuum in Bangladeshi institutions</w:t>
      </w:r>
    </w:p>
    <w:p w14:paraId="651C94F1" w14:textId="77777777" w:rsidR="00D76725" w:rsidRDefault="00000000" w:rsidP="00412D3E">
      <w:pPr>
        <w:spacing w:before="100" w:beforeAutospacing="1" w:after="100" w:afterAutospacing="1"/>
        <w:jc w:val="both"/>
      </w:pPr>
      <w:r>
        <w:rPr>
          <w:sz w:val="24"/>
          <w:szCs w:val="24"/>
        </w:rPr>
        <w:t>The absence of institutional policy is reported across the national literature with unusual consistency. Instructors identified inadequate institutional policy as a constraint on their own practice (</w:t>
      </w:r>
      <w:proofErr w:type="spellStart"/>
      <w:r>
        <w:rPr>
          <w:sz w:val="24"/>
          <w:szCs w:val="24"/>
        </w:rPr>
        <w:t>Ansaree</w:t>
      </w:r>
      <w:proofErr w:type="spellEnd"/>
      <w:r>
        <w:rPr>
          <w:sz w:val="24"/>
          <w:szCs w:val="24"/>
        </w:rPr>
        <w:t xml:space="preserve"> &amp; Uddin, 2026), qualitative work across student, faculty and technical staff populations documented a gap between stated institutional commitment to regulating unethical use and any operative mechanism (Eva et al., 2024), and adoption research explicitly situates its findings within a context characterised by the absence of institutional artificial intelligence policies (Kibria et al., 2026). This convergence is meaningful because the studies differ in population, method and disciplinary orientation.</w:t>
      </w:r>
    </w:p>
    <w:p w14:paraId="148AC8F4" w14:textId="77777777" w:rsidR="00D76725" w:rsidRDefault="00000000" w:rsidP="00412D3E">
      <w:pPr>
        <w:spacing w:before="100" w:beforeAutospacing="1" w:after="100" w:afterAutospacing="1"/>
        <w:jc w:val="both"/>
      </w:pPr>
      <w:r>
        <w:rPr>
          <w:sz w:val="24"/>
          <w:szCs w:val="24"/>
        </w:rPr>
        <w:t>National-level policy has moved faster than institutional policy. The Information and Communication Technology Division has issued a draft national artificial intelligence policy for the period 2026 to 2030, which addresses governance, liability, capacity development and the position of domestically hosted language models, and which was released for consultation in February 2026 (Information and Communication Technology Division, 2026). International guidance has been available for longer. The intergovernmental guidance on generative artificial intelligence in education and research proposes regulatory steps including data privacy protection and age thresholds, and specifies validation requirements for educational institutions adopting such systems (UNESCO, 2023), while the associated competency framework for teachers articulates the capabilities that professional development would need to develop (UNESCO, 2024). The gap between the availability of this guidance and its institutional uptake in Bangladeshi universities is itself an empirical question that no retrieved study has investigated.</w:t>
      </w:r>
    </w:p>
    <w:p w14:paraId="2B4C0598" w14:textId="77777777" w:rsidR="00D76725" w:rsidRDefault="00000000" w:rsidP="00412D3E">
      <w:pPr>
        <w:spacing w:before="100" w:beforeAutospacing="1" w:after="100" w:afterAutospacing="1"/>
        <w:jc w:val="both"/>
      </w:pPr>
      <w:r>
        <w:rPr>
          <w:sz w:val="24"/>
          <w:szCs w:val="24"/>
        </w:rPr>
        <w:t xml:space="preserve">Two cautions apply to international guidance in this setting. Guidance produced for a global audience abstracts from local assessment structures, and the validation requirements it specifies presuppose institutional technical capacity that the Bangladeshi evidence does not demonstrate. Conceptual work on algorithmic dependence argues that adopting externally developed frameworks without examining their embedded assumptions reproduces rather than resolves </w:t>
      </w:r>
      <w:r>
        <w:rPr>
          <w:sz w:val="24"/>
          <w:szCs w:val="24"/>
        </w:rPr>
        <w:lastRenderedPageBreak/>
        <w:t>the asymmetry it identifies (Ahmed, 2026), while analysis of teacher-facing applications in low- and middle-income countries reaches a more moderate version of the same conclusion, treating benefits such as improved linguistic access as real but conditional on infrastructure and professional support that resource-constrained systems frequently lack (Landa-Blanco, 2026).</w:t>
      </w:r>
    </w:p>
    <w:p w14:paraId="1E7F609A" w14:textId="77777777" w:rsidR="00D76725" w:rsidRDefault="00000000" w:rsidP="00412D3E">
      <w:pPr>
        <w:pStyle w:val="Heading1"/>
        <w:spacing w:before="100" w:beforeAutospacing="1" w:after="100" w:afterAutospacing="1"/>
        <w:jc w:val="both"/>
      </w:pPr>
      <w:r>
        <w:rPr>
          <w:b/>
          <w:bCs/>
          <w:color w:val="000000"/>
          <w:sz w:val="28"/>
          <w:szCs w:val="28"/>
        </w:rPr>
        <w:t>9. Toward an Integrated Account: Constrained Mediation</w:t>
      </w:r>
    </w:p>
    <w:p w14:paraId="17A9B942" w14:textId="77777777" w:rsidR="00D76725" w:rsidRDefault="00000000" w:rsidP="00412D3E">
      <w:pPr>
        <w:spacing w:before="100" w:beforeAutospacing="1" w:after="100" w:afterAutospacing="1"/>
        <w:jc w:val="both"/>
      </w:pPr>
      <w:r>
        <w:rPr>
          <w:sz w:val="24"/>
          <w:szCs w:val="24"/>
        </w:rPr>
        <w:t>The evidence reviewed does not support either of the two positions that dominate discussion. Artificial intelligence tools are not straightforwardly access-equalising in Bangladeshi higher education, and they are not straightforwardly corrosive of language learning. A more defensible account treats them as mediating artefacts whose effects are determined by the instructional and infrastructural arrangements in which they are embedded, and whose distribution of benefit follows existing lines of advantage unless those arrangements are deliberately altered.</w:t>
      </w:r>
    </w:p>
    <w:p w14:paraId="6534CD20" w14:textId="77777777" w:rsidR="00D76725" w:rsidRDefault="00000000" w:rsidP="00412D3E">
      <w:pPr>
        <w:spacing w:before="100" w:beforeAutospacing="1" w:after="100" w:afterAutospacing="1"/>
        <w:jc w:val="both"/>
      </w:pPr>
      <w:r>
        <w:rPr>
          <w:sz w:val="24"/>
          <w:szCs w:val="24"/>
        </w:rPr>
        <w:t>Three propositions support this account, each with a different evidential status. The first is that instructional embedding, rather than tool capability, determines learning effect. This is well supported. Classroom research on automated writing evaluation found gains conditional on teachers reorganising their feedback practice (Li, 2021; Link et al., 2022), and comparative experimental work found that the same tool produced improved writing product alongside deteriorated motivational disposition, indicating that the tool alone does not determine the outcome profile (Shi et al., 2026).</w:t>
      </w:r>
    </w:p>
    <w:p w14:paraId="35AE2EA6" w14:textId="77777777" w:rsidR="00D76725" w:rsidRDefault="00000000" w:rsidP="00412D3E">
      <w:pPr>
        <w:spacing w:before="100" w:beforeAutospacing="1" w:after="100" w:afterAutospacing="1"/>
        <w:jc w:val="both"/>
      </w:pPr>
      <w:r>
        <w:rPr>
          <w:sz w:val="24"/>
          <w:szCs w:val="24"/>
        </w:rPr>
        <w:t>The second proposition is that learner-side capability governs uptake. This is moderately supported. Digital literacy has been shown to shape engagement with automated feedback independently of language proficiency (Zhang &amp; Hyland, 2025), usage pattern rather than usage frequency distinguishes learners who retain critical reasoning from those who do not (</w:t>
      </w:r>
      <w:proofErr w:type="spellStart"/>
      <w:r>
        <w:rPr>
          <w:sz w:val="24"/>
          <w:szCs w:val="24"/>
        </w:rPr>
        <w:t>Tekir</w:t>
      </w:r>
      <w:proofErr w:type="spellEnd"/>
      <w:r>
        <w:rPr>
          <w:sz w:val="24"/>
          <w:szCs w:val="24"/>
        </w:rPr>
        <w:t>, 2026), and dependence is associated with cognitive cost through a mediated pathway that literacy modulates in both directions (Tian &amp; Zhang, 2025). The supporting studies are conducted outside Bangladesh and their transfer is untested.</w:t>
      </w:r>
    </w:p>
    <w:p w14:paraId="764070F7" w14:textId="77777777" w:rsidR="00D76725" w:rsidRDefault="00000000" w:rsidP="00412D3E">
      <w:pPr>
        <w:spacing w:before="100" w:beforeAutospacing="1" w:after="100" w:afterAutospacing="1"/>
        <w:jc w:val="both"/>
      </w:pPr>
      <w:r>
        <w:rPr>
          <w:sz w:val="24"/>
          <w:szCs w:val="24"/>
        </w:rPr>
        <w:t>The third proposition is that structural conditions in Bangladesh will amplify rather than attenuate differential effects. This is the least supported of the three and is advanced as a hypothesis. It follows from combining the access evidence (Badiuzzaman et al., 2021; Mathrani et al., 2022), the medium-of-instruction stratification evidence (Karim et al., 2023; Rahman et al., 2020), the educational-attainment gap in adoption identified through decomposition analysis (Akter et al., 2026) and the mechanism evidence on digital literacy (Zhang &amp; Hyland, 2025). Each component is established; their conjunction has not been tested directly, and the counter-evidence on learning loss during the closure period indicates that structural predictions of this kind can fail (Asadullah &amp; Bhattacharjee, 2022).</w:t>
      </w:r>
    </w:p>
    <w:p w14:paraId="213AABB1" w14:textId="77777777" w:rsidR="00D76725" w:rsidRDefault="00000000" w:rsidP="00412D3E">
      <w:pPr>
        <w:spacing w:before="100" w:beforeAutospacing="1" w:after="100" w:afterAutospacing="1"/>
        <w:jc w:val="both"/>
      </w:pPr>
      <w:r>
        <w:rPr>
          <w:sz w:val="24"/>
          <w:szCs w:val="24"/>
        </w:rPr>
        <w:t>The account also identifies where the prevailing framing misleads. Describing these tools as democratising feedback presumes that feedback provision is the binding constraint. The Bangladeshi evidence suggests the binding constraints are assessment design, institutional policy and the absence of practice opportunity for spoken production, none of which tool provision addresses. Describing them as threats to integrity presumes that integrity is primarily a matter of detection. The evidence indicates that detection is unreliable and that the more consequential variable is what the assessment asks students to do (Nguyen &amp; Barrot, 2024; Perkins et al., 2024). Both framings direct attention away from the interventions most likely to matter.</w:t>
      </w:r>
    </w:p>
    <w:p w14:paraId="62D977CC" w14:textId="77777777" w:rsidR="00D76725" w:rsidRDefault="00000000" w:rsidP="00412D3E">
      <w:pPr>
        <w:spacing w:before="100" w:beforeAutospacing="1" w:after="100" w:afterAutospacing="1"/>
        <w:jc w:val="both"/>
      </w:pPr>
      <w:r>
        <w:rPr>
          <w:sz w:val="24"/>
          <w:szCs w:val="24"/>
        </w:rPr>
        <w:lastRenderedPageBreak/>
        <w:t>Table 5 states the principal knowledge gaps identified by this synthesis, the reason each remains unresolved, and the type of evidence that would resolve it. The gaps are ordered by the extent to which resolution would alter current practice rather than by ease of investigation, and the reasoning behind that ordering is developed in Section 10. Several of the gaps are interdependent: the bilingual production gap cannot be closed without the instrument development identified in the second row, and the equity gap cannot be closed without the sampling reform identified in the fourth.</w:t>
      </w:r>
    </w:p>
    <w:p w14:paraId="4BD5A66C" w14:textId="77777777" w:rsidR="00D76725" w:rsidRDefault="00000000" w:rsidP="00412D3E">
      <w:pPr>
        <w:spacing w:before="100" w:beforeAutospacing="1" w:after="100" w:afterAutospacing="1"/>
        <w:jc w:val="both"/>
      </w:pPr>
      <w:r>
        <w:rPr>
          <w:b/>
          <w:bCs/>
          <w:sz w:val="22"/>
          <w:szCs w:val="22"/>
        </w:rPr>
        <w:t>Table 5. Principal knowledge gaps, reasons for their persistence and the evidence required for resolution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60"/>
        <w:gridCol w:w="2045"/>
        <w:gridCol w:w="2277"/>
        <w:gridCol w:w="1208"/>
        <w:gridCol w:w="1626"/>
      </w:tblGrid>
      <w:tr w:rsidR="00D76725" w14:paraId="2E0384F9" w14:textId="77777777" w:rsidTr="009F144E">
        <w:trPr>
          <w:tblHeader/>
        </w:trPr>
        <w:tc>
          <w:tcPr>
            <w:tcW w:w="1031" w:type="pct"/>
            <w:shd w:val="clear" w:color="auto" w:fill="E8E8E8"/>
            <w:tcMar>
              <w:top w:w="60" w:type="dxa"/>
              <w:left w:w="80" w:type="dxa"/>
              <w:bottom w:w="60" w:type="dxa"/>
              <w:right w:w="80" w:type="dxa"/>
            </w:tcMar>
          </w:tcPr>
          <w:p w14:paraId="5E5E6ADA" w14:textId="77777777" w:rsidR="00D76725" w:rsidRDefault="00000000" w:rsidP="00412D3E">
            <w:pPr>
              <w:spacing w:before="100" w:beforeAutospacing="1" w:after="100" w:afterAutospacing="1"/>
              <w:jc w:val="both"/>
            </w:pPr>
            <w:r>
              <w:rPr>
                <w:b/>
                <w:bCs/>
                <w:sz w:val="18"/>
                <w:szCs w:val="18"/>
              </w:rPr>
              <w:t>Knowledge gap</w:t>
            </w:r>
          </w:p>
        </w:tc>
        <w:tc>
          <w:tcPr>
            <w:tcW w:w="1134" w:type="pct"/>
            <w:shd w:val="clear" w:color="auto" w:fill="E8E8E8"/>
            <w:tcMar>
              <w:top w:w="60" w:type="dxa"/>
              <w:left w:w="80" w:type="dxa"/>
              <w:bottom w:w="60" w:type="dxa"/>
              <w:right w:w="80" w:type="dxa"/>
            </w:tcMar>
          </w:tcPr>
          <w:p w14:paraId="6736236E" w14:textId="77777777" w:rsidR="00D76725" w:rsidRDefault="00000000" w:rsidP="00412D3E">
            <w:pPr>
              <w:spacing w:before="100" w:beforeAutospacing="1" w:after="100" w:afterAutospacing="1"/>
              <w:jc w:val="both"/>
            </w:pPr>
            <w:r>
              <w:rPr>
                <w:b/>
                <w:bCs/>
                <w:sz w:val="18"/>
                <w:szCs w:val="18"/>
              </w:rPr>
              <w:t>Why it remains unresolved</w:t>
            </w:r>
          </w:p>
        </w:tc>
        <w:tc>
          <w:tcPr>
            <w:tcW w:w="1263" w:type="pct"/>
            <w:shd w:val="clear" w:color="auto" w:fill="E8E8E8"/>
            <w:tcMar>
              <w:top w:w="60" w:type="dxa"/>
              <w:left w:w="80" w:type="dxa"/>
              <w:bottom w:w="60" w:type="dxa"/>
              <w:right w:w="80" w:type="dxa"/>
            </w:tcMar>
          </w:tcPr>
          <w:p w14:paraId="22FA24EE" w14:textId="77777777" w:rsidR="00D76725" w:rsidRDefault="00000000" w:rsidP="00412D3E">
            <w:pPr>
              <w:spacing w:before="100" w:beforeAutospacing="1" w:after="100" w:afterAutospacing="1"/>
              <w:jc w:val="both"/>
            </w:pPr>
            <w:r>
              <w:rPr>
                <w:b/>
                <w:bCs/>
                <w:sz w:val="18"/>
                <w:szCs w:val="18"/>
              </w:rPr>
              <w:t>Evidence required for resolution</w:t>
            </w:r>
          </w:p>
        </w:tc>
        <w:tc>
          <w:tcPr>
            <w:tcW w:w="670" w:type="pct"/>
            <w:shd w:val="clear" w:color="auto" w:fill="E8E8E8"/>
            <w:tcMar>
              <w:top w:w="60" w:type="dxa"/>
              <w:left w:w="80" w:type="dxa"/>
              <w:bottom w:w="60" w:type="dxa"/>
              <w:right w:w="80" w:type="dxa"/>
            </w:tcMar>
          </w:tcPr>
          <w:p w14:paraId="71677C80" w14:textId="77777777" w:rsidR="00D76725" w:rsidRDefault="00000000" w:rsidP="00412D3E">
            <w:pPr>
              <w:spacing w:before="100" w:beforeAutospacing="1" w:after="100" w:afterAutospacing="1"/>
              <w:jc w:val="both"/>
            </w:pPr>
            <w:r>
              <w:rPr>
                <w:b/>
                <w:bCs/>
                <w:sz w:val="18"/>
                <w:szCs w:val="18"/>
              </w:rPr>
              <w:t>Priority</w:t>
            </w:r>
          </w:p>
        </w:tc>
        <w:tc>
          <w:tcPr>
            <w:tcW w:w="902" w:type="pct"/>
            <w:shd w:val="clear" w:color="auto" w:fill="E8E8E8"/>
            <w:tcMar>
              <w:top w:w="60" w:type="dxa"/>
              <w:left w:w="80" w:type="dxa"/>
              <w:bottom w:w="60" w:type="dxa"/>
              <w:right w:w="80" w:type="dxa"/>
            </w:tcMar>
          </w:tcPr>
          <w:p w14:paraId="2A2023A0" w14:textId="77777777" w:rsidR="00D76725" w:rsidRDefault="00000000" w:rsidP="00412D3E">
            <w:pPr>
              <w:spacing w:before="100" w:beforeAutospacing="1" w:after="100" w:afterAutospacing="1"/>
              <w:jc w:val="both"/>
            </w:pPr>
            <w:r>
              <w:rPr>
                <w:b/>
                <w:bCs/>
                <w:sz w:val="18"/>
                <w:szCs w:val="18"/>
              </w:rPr>
              <w:t>Supporting references</w:t>
            </w:r>
          </w:p>
        </w:tc>
      </w:tr>
      <w:tr w:rsidR="00D76725" w14:paraId="1AEB3E03" w14:textId="77777777" w:rsidTr="009F144E">
        <w:tc>
          <w:tcPr>
            <w:tcW w:w="1031" w:type="pct"/>
            <w:tcMar>
              <w:top w:w="60" w:type="dxa"/>
              <w:left w:w="80" w:type="dxa"/>
              <w:bottom w:w="60" w:type="dxa"/>
              <w:right w:w="80" w:type="dxa"/>
            </w:tcMar>
          </w:tcPr>
          <w:p w14:paraId="581101BF" w14:textId="77777777" w:rsidR="00D76725" w:rsidRDefault="00000000" w:rsidP="00412D3E">
            <w:pPr>
              <w:spacing w:before="100" w:beforeAutospacing="1" w:after="100" w:afterAutospacing="1"/>
              <w:jc w:val="both"/>
            </w:pPr>
            <w:r>
              <w:rPr>
                <w:sz w:val="18"/>
                <w:szCs w:val="18"/>
              </w:rPr>
              <w:t>Effect of generative tools on Bangladeshi tertiary language outcomes</w:t>
            </w:r>
          </w:p>
        </w:tc>
        <w:tc>
          <w:tcPr>
            <w:tcW w:w="1134" w:type="pct"/>
            <w:tcMar>
              <w:top w:w="60" w:type="dxa"/>
              <w:left w:w="80" w:type="dxa"/>
              <w:bottom w:w="60" w:type="dxa"/>
              <w:right w:w="80" w:type="dxa"/>
            </w:tcMar>
          </w:tcPr>
          <w:p w14:paraId="1F7CEC8F" w14:textId="77777777" w:rsidR="00D76725" w:rsidRDefault="00000000" w:rsidP="00412D3E">
            <w:pPr>
              <w:spacing w:before="100" w:beforeAutospacing="1" w:after="100" w:afterAutospacing="1"/>
              <w:jc w:val="both"/>
            </w:pPr>
            <w:r>
              <w:rPr>
                <w:sz w:val="18"/>
                <w:szCs w:val="18"/>
              </w:rPr>
              <w:t>National corpus consists of perception and intention designs without outcome measurement</w:t>
            </w:r>
          </w:p>
        </w:tc>
        <w:tc>
          <w:tcPr>
            <w:tcW w:w="1263" w:type="pct"/>
            <w:tcMar>
              <w:top w:w="60" w:type="dxa"/>
              <w:left w:w="80" w:type="dxa"/>
              <w:bottom w:w="60" w:type="dxa"/>
              <w:right w:w="80" w:type="dxa"/>
            </w:tcMar>
          </w:tcPr>
          <w:p w14:paraId="168BDA35" w14:textId="77777777" w:rsidR="00D76725" w:rsidRDefault="00000000" w:rsidP="00412D3E">
            <w:pPr>
              <w:spacing w:before="100" w:beforeAutospacing="1" w:after="100" w:afterAutospacing="1"/>
              <w:jc w:val="both"/>
            </w:pPr>
            <w:r>
              <w:rPr>
                <w:sz w:val="18"/>
                <w:szCs w:val="18"/>
              </w:rPr>
              <w:t>Quasi-experimental or randomised designs with validated pre- and post-intervention language measures and delayed follow-up</w:t>
            </w:r>
          </w:p>
        </w:tc>
        <w:tc>
          <w:tcPr>
            <w:tcW w:w="670" w:type="pct"/>
            <w:tcMar>
              <w:top w:w="60" w:type="dxa"/>
              <w:left w:w="80" w:type="dxa"/>
              <w:bottom w:w="60" w:type="dxa"/>
              <w:right w:w="80" w:type="dxa"/>
            </w:tcMar>
          </w:tcPr>
          <w:p w14:paraId="0E3ED5D5" w14:textId="77777777" w:rsidR="00D76725" w:rsidRDefault="00000000" w:rsidP="00412D3E">
            <w:pPr>
              <w:spacing w:before="100" w:beforeAutospacing="1" w:after="100" w:afterAutospacing="1"/>
              <w:jc w:val="both"/>
            </w:pPr>
            <w:r>
              <w:rPr>
                <w:sz w:val="18"/>
                <w:szCs w:val="18"/>
              </w:rPr>
              <w:t>Immediate</w:t>
            </w:r>
          </w:p>
        </w:tc>
        <w:tc>
          <w:tcPr>
            <w:tcW w:w="902" w:type="pct"/>
            <w:tcMar>
              <w:top w:w="60" w:type="dxa"/>
              <w:left w:w="80" w:type="dxa"/>
              <w:bottom w:w="60" w:type="dxa"/>
              <w:right w:w="80" w:type="dxa"/>
            </w:tcMar>
          </w:tcPr>
          <w:p w14:paraId="1B9E1729" w14:textId="77777777" w:rsidR="00D76725" w:rsidRDefault="00000000" w:rsidP="00412D3E">
            <w:pPr>
              <w:spacing w:before="100" w:beforeAutospacing="1" w:after="100" w:afterAutospacing="1"/>
              <w:jc w:val="both"/>
            </w:pPr>
            <w:r>
              <w:rPr>
                <w:sz w:val="18"/>
                <w:szCs w:val="18"/>
              </w:rPr>
              <w:t>Khan et al. (2024); Munni &amp; Rafique (2025); Wang et al. (2025)</w:t>
            </w:r>
          </w:p>
        </w:tc>
      </w:tr>
      <w:tr w:rsidR="00D76725" w14:paraId="6CF2A662" w14:textId="77777777" w:rsidTr="009F144E">
        <w:tc>
          <w:tcPr>
            <w:tcW w:w="1031" w:type="pct"/>
            <w:tcMar>
              <w:top w:w="60" w:type="dxa"/>
              <w:left w:w="80" w:type="dxa"/>
              <w:bottom w:w="60" w:type="dxa"/>
              <w:right w:w="80" w:type="dxa"/>
            </w:tcMar>
          </w:tcPr>
          <w:p w14:paraId="4DB6C2D2" w14:textId="77777777" w:rsidR="00D76725" w:rsidRDefault="00000000" w:rsidP="00412D3E">
            <w:pPr>
              <w:spacing w:before="100" w:beforeAutospacing="1" w:after="100" w:afterAutospacing="1"/>
              <w:jc w:val="both"/>
            </w:pPr>
            <w:r>
              <w:rPr>
                <w:sz w:val="18"/>
                <w:szCs w:val="18"/>
              </w:rPr>
              <w:t>Tool performance on Bangla-English bilingual production</w:t>
            </w:r>
          </w:p>
        </w:tc>
        <w:tc>
          <w:tcPr>
            <w:tcW w:w="1134" w:type="pct"/>
            <w:tcMar>
              <w:top w:w="60" w:type="dxa"/>
              <w:left w:w="80" w:type="dxa"/>
              <w:bottom w:w="60" w:type="dxa"/>
              <w:right w:w="80" w:type="dxa"/>
            </w:tcMar>
          </w:tcPr>
          <w:p w14:paraId="775CC1EF" w14:textId="77777777" w:rsidR="00D76725" w:rsidRDefault="00000000" w:rsidP="00412D3E">
            <w:pPr>
              <w:spacing w:before="100" w:beforeAutospacing="1" w:after="100" w:afterAutospacing="1"/>
              <w:jc w:val="both"/>
            </w:pPr>
            <w:r>
              <w:rPr>
                <w:sz w:val="18"/>
                <w:szCs w:val="18"/>
              </w:rPr>
              <w:t>No study has tested feedback accuracy or normalising effects on translingual learner text</w:t>
            </w:r>
          </w:p>
        </w:tc>
        <w:tc>
          <w:tcPr>
            <w:tcW w:w="1263" w:type="pct"/>
            <w:tcMar>
              <w:top w:w="60" w:type="dxa"/>
              <w:left w:w="80" w:type="dxa"/>
              <w:bottom w:w="60" w:type="dxa"/>
              <w:right w:w="80" w:type="dxa"/>
            </w:tcMar>
          </w:tcPr>
          <w:p w14:paraId="3C88F140" w14:textId="77777777" w:rsidR="00D76725" w:rsidRDefault="00000000" w:rsidP="00412D3E">
            <w:pPr>
              <w:spacing w:before="100" w:beforeAutospacing="1" w:after="100" w:afterAutospacing="1"/>
              <w:jc w:val="both"/>
            </w:pPr>
            <w:r>
              <w:rPr>
                <w:sz w:val="18"/>
                <w:szCs w:val="18"/>
              </w:rPr>
              <w:t>Corpus-based evaluation of tool output against learner production, with expert human benchmarking</w:t>
            </w:r>
          </w:p>
        </w:tc>
        <w:tc>
          <w:tcPr>
            <w:tcW w:w="670" w:type="pct"/>
            <w:tcMar>
              <w:top w:w="60" w:type="dxa"/>
              <w:left w:w="80" w:type="dxa"/>
              <w:bottom w:w="60" w:type="dxa"/>
              <w:right w:w="80" w:type="dxa"/>
            </w:tcMar>
          </w:tcPr>
          <w:p w14:paraId="6C9BEECD" w14:textId="77777777" w:rsidR="00D76725" w:rsidRDefault="00000000" w:rsidP="00412D3E">
            <w:pPr>
              <w:spacing w:before="100" w:beforeAutospacing="1" w:after="100" w:afterAutospacing="1"/>
              <w:jc w:val="both"/>
            </w:pPr>
            <w:r>
              <w:rPr>
                <w:sz w:val="18"/>
                <w:szCs w:val="18"/>
              </w:rPr>
              <w:t>Immediate</w:t>
            </w:r>
          </w:p>
        </w:tc>
        <w:tc>
          <w:tcPr>
            <w:tcW w:w="902" w:type="pct"/>
            <w:tcMar>
              <w:top w:w="60" w:type="dxa"/>
              <w:left w:w="80" w:type="dxa"/>
              <w:bottom w:w="60" w:type="dxa"/>
              <w:right w:w="80" w:type="dxa"/>
            </w:tcMar>
          </w:tcPr>
          <w:p w14:paraId="35252469" w14:textId="77777777" w:rsidR="00D76725" w:rsidRDefault="00000000" w:rsidP="00412D3E">
            <w:pPr>
              <w:spacing w:before="100" w:beforeAutospacing="1" w:after="100" w:afterAutospacing="1"/>
              <w:jc w:val="both"/>
            </w:pPr>
            <w:r>
              <w:rPr>
                <w:sz w:val="18"/>
                <w:szCs w:val="18"/>
              </w:rPr>
              <w:t>Rafi &amp; Morgan (2023); Rahman &amp; Hu (2025); Sultana &amp; Fang (2024)</w:t>
            </w:r>
          </w:p>
        </w:tc>
      </w:tr>
      <w:tr w:rsidR="00D76725" w14:paraId="12EC092F" w14:textId="77777777" w:rsidTr="009F144E">
        <w:tc>
          <w:tcPr>
            <w:tcW w:w="1031" w:type="pct"/>
            <w:tcMar>
              <w:top w:w="60" w:type="dxa"/>
              <w:left w:w="80" w:type="dxa"/>
              <w:bottom w:w="60" w:type="dxa"/>
              <w:right w:w="80" w:type="dxa"/>
            </w:tcMar>
          </w:tcPr>
          <w:p w14:paraId="33E6006D" w14:textId="77777777" w:rsidR="00D76725" w:rsidRDefault="00000000" w:rsidP="00412D3E">
            <w:pPr>
              <w:spacing w:before="100" w:beforeAutospacing="1" w:after="100" w:afterAutospacing="1"/>
              <w:jc w:val="both"/>
            </w:pPr>
            <w:r>
              <w:rPr>
                <w:sz w:val="18"/>
                <w:szCs w:val="18"/>
              </w:rPr>
              <w:t>Whether digital literacy mediates uptake in Bangladeshi settings</w:t>
            </w:r>
          </w:p>
        </w:tc>
        <w:tc>
          <w:tcPr>
            <w:tcW w:w="1134" w:type="pct"/>
            <w:tcMar>
              <w:top w:w="60" w:type="dxa"/>
              <w:left w:w="80" w:type="dxa"/>
              <w:bottom w:w="60" w:type="dxa"/>
              <w:right w:w="80" w:type="dxa"/>
            </w:tcMar>
          </w:tcPr>
          <w:p w14:paraId="19AB3522" w14:textId="77777777" w:rsidR="00D76725" w:rsidRDefault="00000000" w:rsidP="00412D3E">
            <w:pPr>
              <w:spacing w:before="100" w:beforeAutospacing="1" w:after="100" w:afterAutospacing="1"/>
              <w:jc w:val="both"/>
            </w:pPr>
            <w:r>
              <w:rPr>
                <w:sz w:val="18"/>
                <w:szCs w:val="18"/>
              </w:rPr>
              <w:t>Mediation established elsewhere; not measured in any national study</w:t>
            </w:r>
          </w:p>
        </w:tc>
        <w:tc>
          <w:tcPr>
            <w:tcW w:w="1263" w:type="pct"/>
            <w:tcMar>
              <w:top w:w="60" w:type="dxa"/>
              <w:left w:w="80" w:type="dxa"/>
              <w:bottom w:w="60" w:type="dxa"/>
              <w:right w:w="80" w:type="dxa"/>
            </w:tcMar>
          </w:tcPr>
          <w:p w14:paraId="58222388" w14:textId="77777777" w:rsidR="00D76725" w:rsidRDefault="00000000" w:rsidP="00412D3E">
            <w:pPr>
              <w:spacing w:before="100" w:beforeAutospacing="1" w:after="100" w:afterAutospacing="1"/>
              <w:jc w:val="both"/>
            </w:pPr>
            <w:r>
              <w:rPr>
                <w:sz w:val="18"/>
                <w:szCs w:val="18"/>
              </w:rPr>
              <w:t>Studies measuring digital literacy alongside revision behaviour and engagement depth</w:t>
            </w:r>
          </w:p>
        </w:tc>
        <w:tc>
          <w:tcPr>
            <w:tcW w:w="670" w:type="pct"/>
            <w:tcMar>
              <w:top w:w="60" w:type="dxa"/>
              <w:left w:w="80" w:type="dxa"/>
              <w:bottom w:w="60" w:type="dxa"/>
              <w:right w:w="80" w:type="dxa"/>
            </w:tcMar>
          </w:tcPr>
          <w:p w14:paraId="30B9EB81" w14:textId="77777777" w:rsidR="00D76725" w:rsidRDefault="00000000" w:rsidP="00412D3E">
            <w:pPr>
              <w:spacing w:before="100" w:beforeAutospacing="1" w:after="100" w:afterAutospacing="1"/>
              <w:jc w:val="both"/>
            </w:pPr>
            <w:r>
              <w:rPr>
                <w:sz w:val="18"/>
                <w:szCs w:val="18"/>
              </w:rPr>
              <w:t>Immediate</w:t>
            </w:r>
          </w:p>
        </w:tc>
        <w:tc>
          <w:tcPr>
            <w:tcW w:w="902" w:type="pct"/>
            <w:tcMar>
              <w:top w:w="60" w:type="dxa"/>
              <w:left w:w="80" w:type="dxa"/>
              <w:bottom w:w="60" w:type="dxa"/>
              <w:right w:w="80" w:type="dxa"/>
            </w:tcMar>
          </w:tcPr>
          <w:p w14:paraId="678C7832" w14:textId="77777777" w:rsidR="00D76725" w:rsidRDefault="00000000" w:rsidP="00412D3E">
            <w:pPr>
              <w:spacing w:before="100" w:beforeAutospacing="1" w:after="100" w:afterAutospacing="1"/>
              <w:jc w:val="both"/>
            </w:pPr>
            <w:proofErr w:type="spellStart"/>
            <w:r>
              <w:rPr>
                <w:sz w:val="18"/>
                <w:szCs w:val="18"/>
              </w:rPr>
              <w:t>Koltovskaia</w:t>
            </w:r>
            <w:proofErr w:type="spellEnd"/>
            <w:r>
              <w:rPr>
                <w:sz w:val="18"/>
                <w:szCs w:val="18"/>
              </w:rPr>
              <w:t xml:space="preserve"> (2020); Zhang &amp; Hyland (2025)</w:t>
            </w:r>
          </w:p>
        </w:tc>
      </w:tr>
      <w:tr w:rsidR="00D76725" w14:paraId="3F9F7C3E" w14:textId="77777777" w:rsidTr="009F144E">
        <w:tc>
          <w:tcPr>
            <w:tcW w:w="1031" w:type="pct"/>
            <w:tcMar>
              <w:top w:w="60" w:type="dxa"/>
              <w:left w:w="80" w:type="dxa"/>
              <w:bottom w:w="60" w:type="dxa"/>
              <w:right w:w="80" w:type="dxa"/>
            </w:tcMar>
          </w:tcPr>
          <w:p w14:paraId="0428FC96" w14:textId="77777777" w:rsidR="00D76725" w:rsidRDefault="00000000" w:rsidP="00412D3E">
            <w:pPr>
              <w:spacing w:before="100" w:beforeAutospacing="1" w:after="100" w:afterAutospacing="1"/>
              <w:jc w:val="both"/>
            </w:pPr>
            <w:r>
              <w:rPr>
                <w:sz w:val="18"/>
                <w:szCs w:val="18"/>
              </w:rPr>
              <w:t>Distribution of benefit across access strata</w:t>
            </w:r>
          </w:p>
        </w:tc>
        <w:tc>
          <w:tcPr>
            <w:tcW w:w="1134" w:type="pct"/>
            <w:tcMar>
              <w:top w:w="60" w:type="dxa"/>
              <w:left w:w="80" w:type="dxa"/>
              <w:bottom w:w="60" w:type="dxa"/>
              <w:right w:w="80" w:type="dxa"/>
            </w:tcMar>
          </w:tcPr>
          <w:p w14:paraId="336EB5EC" w14:textId="77777777" w:rsidR="00D76725" w:rsidRDefault="00000000" w:rsidP="00412D3E">
            <w:pPr>
              <w:spacing w:before="100" w:beforeAutospacing="1" w:after="100" w:afterAutospacing="1"/>
              <w:jc w:val="both"/>
            </w:pPr>
            <w:r>
              <w:rPr>
                <w:sz w:val="18"/>
                <w:szCs w:val="18"/>
              </w:rPr>
              <w:t>Sampling concentrated on connected urban participants</w:t>
            </w:r>
          </w:p>
        </w:tc>
        <w:tc>
          <w:tcPr>
            <w:tcW w:w="1263" w:type="pct"/>
            <w:tcMar>
              <w:top w:w="60" w:type="dxa"/>
              <w:left w:w="80" w:type="dxa"/>
              <w:bottom w:w="60" w:type="dxa"/>
              <w:right w:w="80" w:type="dxa"/>
            </w:tcMar>
          </w:tcPr>
          <w:p w14:paraId="3945F7C0" w14:textId="77777777" w:rsidR="00D76725" w:rsidRDefault="00000000" w:rsidP="00412D3E">
            <w:pPr>
              <w:spacing w:before="100" w:beforeAutospacing="1" w:after="100" w:afterAutospacing="1"/>
              <w:jc w:val="both"/>
            </w:pPr>
            <w:r>
              <w:rPr>
                <w:sz w:val="18"/>
                <w:szCs w:val="18"/>
              </w:rPr>
              <w:t>Population-based or stratified sampling with access and device data collected as covariates</w:t>
            </w:r>
          </w:p>
        </w:tc>
        <w:tc>
          <w:tcPr>
            <w:tcW w:w="670" w:type="pct"/>
            <w:tcMar>
              <w:top w:w="60" w:type="dxa"/>
              <w:left w:w="80" w:type="dxa"/>
              <w:bottom w:w="60" w:type="dxa"/>
              <w:right w:w="80" w:type="dxa"/>
            </w:tcMar>
          </w:tcPr>
          <w:p w14:paraId="4C3E527F" w14:textId="77777777" w:rsidR="00D76725" w:rsidRDefault="00000000" w:rsidP="00412D3E">
            <w:pPr>
              <w:spacing w:before="100" w:beforeAutospacing="1" w:after="100" w:afterAutospacing="1"/>
              <w:jc w:val="both"/>
            </w:pPr>
            <w:r>
              <w:rPr>
                <w:sz w:val="18"/>
                <w:szCs w:val="18"/>
              </w:rPr>
              <w:t>Immediate</w:t>
            </w:r>
          </w:p>
        </w:tc>
        <w:tc>
          <w:tcPr>
            <w:tcW w:w="902" w:type="pct"/>
            <w:tcMar>
              <w:top w:w="60" w:type="dxa"/>
              <w:left w:w="80" w:type="dxa"/>
              <w:bottom w:w="60" w:type="dxa"/>
              <w:right w:w="80" w:type="dxa"/>
            </w:tcMar>
          </w:tcPr>
          <w:p w14:paraId="0DEFB27F" w14:textId="77777777" w:rsidR="00D76725" w:rsidRDefault="00000000" w:rsidP="00412D3E">
            <w:pPr>
              <w:spacing w:before="100" w:beforeAutospacing="1" w:after="100" w:afterAutospacing="1"/>
              <w:jc w:val="both"/>
            </w:pPr>
            <w:r>
              <w:rPr>
                <w:sz w:val="18"/>
                <w:szCs w:val="18"/>
              </w:rPr>
              <w:t>Akter et al. (2026); Badiuzzaman et al. (2021); Mathrani et al. (2022)</w:t>
            </w:r>
          </w:p>
        </w:tc>
      </w:tr>
      <w:tr w:rsidR="00D76725" w14:paraId="5A8C0701" w14:textId="77777777" w:rsidTr="009F144E">
        <w:tc>
          <w:tcPr>
            <w:tcW w:w="1031" w:type="pct"/>
            <w:tcMar>
              <w:top w:w="60" w:type="dxa"/>
              <w:left w:w="80" w:type="dxa"/>
              <w:bottom w:w="60" w:type="dxa"/>
              <w:right w:w="80" w:type="dxa"/>
            </w:tcMar>
          </w:tcPr>
          <w:p w14:paraId="646E22A6" w14:textId="77777777" w:rsidR="00D76725" w:rsidRDefault="00000000" w:rsidP="00412D3E">
            <w:pPr>
              <w:spacing w:before="100" w:beforeAutospacing="1" w:after="100" w:afterAutospacing="1"/>
              <w:jc w:val="both"/>
            </w:pPr>
            <w:r>
              <w:rPr>
                <w:sz w:val="18"/>
                <w:szCs w:val="18"/>
              </w:rPr>
              <w:t>Effectiveness of assessment redesign as an integrity response</w:t>
            </w:r>
          </w:p>
        </w:tc>
        <w:tc>
          <w:tcPr>
            <w:tcW w:w="1134" w:type="pct"/>
            <w:tcMar>
              <w:top w:w="60" w:type="dxa"/>
              <w:left w:w="80" w:type="dxa"/>
              <w:bottom w:w="60" w:type="dxa"/>
              <w:right w:w="80" w:type="dxa"/>
            </w:tcMar>
          </w:tcPr>
          <w:p w14:paraId="7034291F" w14:textId="77777777" w:rsidR="00D76725" w:rsidRDefault="00000000" w:rsidP="00412D3E">
            <w:pPr>
              <w:spacing w:before="100" w:beforeAutospacing="1" w:after="100" w:afterAutospacing="1"/>
              <w:jc w:val="both"/>
            </w:pPr>
            <w:r>
              <w:rPr>
                <w:sz w:val="18"/>
                <w:szCs w:val="18"/>
              </w:rPr>
              <w:t>Redesign advocated but not evaluated in any Bangladeshi institution</w:t>
            </w:r>
          </w:p>
        </w:tc>
        <w:tc>
          <w:tcPr>
            <w:tcW w:w="1263" w:type="pct"/>
            <w:tcMar>
              <w:top w:w="60" w:type="dxa"/>
              <w:left w:w="80" w:type="dxa"/>
              <w:bottom w:w="60" w:type="dxa"/>
              <w:right w:w="80" w:type="dxa"/>
            </w:tcMar>
          </w:tcPr>
          <w:p w14:paraId="1C1A7CE8" w14:textId="77777777" w:rsidR="00D76725" w:rsidRDefault="00000000" w:rsidP="00412D3E">
            <w:pPr>
              <w:spacing w:before="100" w:beforeAutospacing="1" w:after="100" w:afterAutospacing="1"/>
              <w:jc w:val="both"/>
            </w:pPr>
            <w:r>
              <w:rPr>
                <w:sz w:val="18"/>
                <w:szCs w:val="18"/>
              </w:rPr>
              <w:t>Institution-level intervention studies comparing redesigned and conventional assessment on integrity and learning</w:t>
            </w:r>
          </w:p>
        </w:tc>
        <w:tc>
          <w:tcPr>
            <w:tcW w:w="670" w:type="pct"/>
            <w:tcMar>
              <w:top w:w="60" w:type="dxa"/>
              <w:left w:w="80" w:type="dxa"/>
              <w:bottom w:w="60" w:type="dxa"/>
              <w:right w:w="80" w:type="dxa"/>
            </w:tcMar>
          </w:tcPr>
          <w:p w14:paraId="3F368076" w14:textId="77777777" w:rsidR="00D76725" w:rsidRDefault="00000000" w:rsidP="00412D3E">
            <w:pPr>
              <w:spacing w:before="100" w:beforeAutospacing="1" w:after="100" w:afterAutospacing="1"/>
              <w:jc w:val="both"/>
            </w:pPr>
            <w:r>
              <w:rPr>
                <w:sz w:val="18"/>
                <w:szCs w:val="18"/>
              </w:rPr>
              <w:t>Medium term</w:t>
            </w:r>
          </w:p>
        </w:tc>
        <w:tc>
          <w:tcPr>
            <w:tcW w:w="902" w:type="pct"/>
            <w:tcMar>
              <w:top w:w="60" w:type="dxa"/>
              <w:left w:w="80" w:type="dxa"/>
              <w:bottom w:w="60" w:type="dxa"/>
              <w:right w:w="80" w:type="dxa"/>
            </w:tcMar>
          </w:tcPr>
          <w:p w14:paraId="28EB00D7" w14:textId="77777777" w:rsidR="00D76725" w:rsidRDefault="00000000" w:rsidP="00412D3E">
            <w:pPr>
              <w:spacing w:before="100" w:beforeAutospacing="1" w:after="100" w:afterAutospacing="1"/>
              <w:jc w:val="both"/>
            </w:pPr>
            <w:r>
              <w:rPr>
                <w:sz w:val="18"/>
                <w:szCs w:val="18"/>
              </w:rPr>
              <w:t>Nahiyan &amp; Rahman (2026); Perkins et al. (2024); Yusuf et al. (2024)</w:t>
            </w:r>
          </w:p>
        </w:tc>
      </w:tr>
      <w:tr w:rsidR="00D76725" w14:paraId="4AF9D254" w14:textId="77777777" w:rsidTr="009F144E">
        <w:tc>
          <w:tcPr>
            <w:tcW w:w="1031" w:type="pct"/>
            <w:tcMar>
              <w:top w:w="60" w:type="dxa"/>
              <w:left w:w="80" w:type="dxa"/>
              <w:bottom w:w="60" w:type="dxa"/>
              <w:right w:w="80" w:type="dxa"/>
            </w:tcMar>
          </w:tcPr>
          <w:p w14:paraId="48F59578" w14:textId="77777777" w:rsidR="00D76725" w:rsidRDefault="00000000" w:rsidP="00412D3E">
            <w:pPr>
              <w:spacing w:before="100" w:beforeAutospacing="1" w:after="100" w:afterAutospacing="1"/>
              <w:jc w:val="both"/>
            </w:pPr>
            <w:r>
              <w:rPr>
                <w:sz w:val="18"/>
                <w:szCs w:val="18"/>
              </w:rPr>
              <w:t>Whether conversational agents improve spoken proficiency under Bangladeshi conditions</w:t>
            </w:r>
          </w:p>
        </w:tc>
        <w:tc>
          <w:tcPr>
            <w:tcW w:w="1134" w:type="pct"/>
            <w:tcMar>
              <w:top w:w="60" w:type="dxa"/>
              <w:left w:w="80" w:type="dxa"/>
              <w:bottom w:w="60" w:type="dxa"/>
              <w:right w:w="80" w:type="dxa"/>
            </w:tcMar>
          </w:tcPr>
          <w:p w14:paraId="1073E9D9" w14:textId="77777777" w:rsidR="00D76725" w:rsidRDefault="00000000" w:rsidP="00412D3E">
            <w:pPr>
              <w:spacing w:before="100" w:beforeAutospacing="1" w:after="100" w:afterAutospacing="1"/>
              <w:jc w:val="both"/>
            </w:pPr>
            <w:r>
              <w:rPr>
                <w:sz w:val="18"/>
                <w:szCs w:val="18"/>
              </w:rPr>
              <w:t>Experimental evidence drawn from other populations and infrastructural settings</w:t>
            </w:r>
          </w:p>
        </w:tc>
        <w:tc>
          <w:tcPr>
            <w:tcW w:w="1263" w:type="pct"/>
            <w:tcMar>
              <w:top w:w="60" w:type="dxa"/>
              <w:left w:w="80" w:type="dxa"/>
              <w:bottom w:w="60" w:type="dxa"/>
              <w:right w:w="80" w:type="dxa"/>
            </w:tcMar>
          </w:tcPr>
          <w:p w14:paraId="49DEE7B9" w14:textId="77777777" w:rsidR="00D76725" w:rsidRDefault="00000000" w:rsidP="00412D3E">
            <w:pPr>
              <w:spacing w:before="100" w:beforeAutospacing="1" w:after="100" w:afterAutospacing="1"/>
              <w:jc w:val="both"/>
            </w:pPr>
            <w:r>
              <w:rPr>
                <w:sz w:val="18"/>
                <w:szCs w:val="18"/>
              </w:rPr>
              <w:t>Replication with Bangladeshi undergraduates including bandwidth and environment as measured conditions</w:t>
            </w:r>
          </w:p>
        </w:tc>
        <w:tc>
          <w:tcPr>
            <w:tcW w:w="670" w:type="pct"/>
            <w:tcMar>
              <w:top w:w="60" w:type="dxa"/>
              <w:left w:w="80" w:type="dxa"/>
              <w:bottom w:w="60" w:type="dxa"/>
              <w:right w:w="80" w:type="dxa"/>
            </w:tcMar>
          </w:tcPr>
          <w:p w14:paraId="076C7F66" w14:textId="77777777" w:rsidR="00D76725" w:rsidRDefault="00000000" w:rsidP="00412D3E">
            <w:pPr>
              <w:spacing w:before="100" w:beforeAutospacing="1" w:after="100" w:afterAutospacing="1"/>
              <w:jc w:val="both"/>
            </w:pPr>
            <w:r>
              <w:rPr>
                <w:sz w:val="18"/>
                <w:szCs w:val="18"/>
              </w:rPr>
              <w:t>Medium term</w:t>
            </w:r>
          </w:p>
        </w:tc>
        <w:tc>
          <w:tcPr>
            <w:tcW w:w="902" w:type="pct"/>
            <w:tcMar>
              <w:top w:w="60" w:type="dxa"/>
              <w:left w:w="80" w:type="dxa"/>
              <w:bottom w:w="60" w:type="dxa"/>
              <w:right w:w="80" w:type="dxa"/>
            </w:tcMar>
          </w:tcPr>
          <w:p w14:paraId="686021B4" w14:textId="77777777" w:rsidR="00D76725" w:rsidRDefault="00000000" w:rsidP="00412D3E">
            <w:pPr>
              <w:spacing w:before="100" w:beforeAutospacing="1" w:after="100" w:afterAutospacing="1"/>
              <w:jc w:val="both"/>
            </w:pPr>
            <w:r>
              <w:rPr>
                <w:sz w:val="18"/>
                <w:szCs w:val="18"/>
              </w:rPr>
              <w:t xml:space="preserve">Tai &amp; Chen (2025); </w:t>
            </w:r>
            <w:proofErr w:type="spellStart"/>
            <w:r>
              <w:rPr>
                <w:sz w:val="18"/>
                <w:szCs w:val="18"/>
              </w:rPr>
              <w:t>Wiboolyasarin</w:t>
            </w:r>
            <w:proofErr w:type="spellEnd"/>
            <w:r>
              <w:rPr>
                <w:sz w:val="18"/>
                <w:szCs w:val="18"/>
              </w:rPr>
              <w:t xml:space="preserve"> et al. (2025)</w:t>
            </w:r>
          </w:p>
        </w:tc>
      </w:tr>
      <w:tr w:rsidR="00D76725" w14:paraId="23A0A289" w14:textId="77777777" w:rsidTr="009F144E">
        <w:tc>
          <w:tcPr>
            <w:tcW w:w="1031" w:type="pct"/>
            <w:tcMar>
              <w:top w:w="60" w:type="dxa"/>
              <w:left w:w="80" w:type="dxa"/>
              <w:bottom w:w="60" w:type="dxa"/>
              <w:right w:w="80" w:type="dxa"/>
            </w:tcMar>
          </w:tcPr>
          <w:p w14:paraId="6D06B57B" w14:textId="77777777" w:rsidR="00D76725" w:rsidRDefault="00000000" w:rsidP="00412D3E">
            <w:pPr>
              <w:spacing w:before="100" w:beforeAutospacing="1" w:after="100" w:afterAutospacing="1"/>
              <w:jc w:val="both"/>
            </w:pPr>
            <w:r>
              <w:rPr>
                <w:sz w:val="18"/>
                <w:szCs w:val="18"/>
              </w:rPr>
              <w:t>Conditions under which institutional policy is formed or withheld</w:t>
            </w:r>
          </w:p>
        </w:tc>
        <w:tc>
          <w:tcPr>
            <w:tcW w:w="1134" w:type="pct"/>
            <w:tcMar>
              <w:top w:w="60" w:type="dxa"/>
              <w:left w:w="80" w:type="dxa"/>
              <w:bottom w:w="60" w:type="dxa"/>
              <w:right w:w="80" w:type="dxa"/>
            </w:tcMar>
          </w:tcPr>
          <w:p w14:paraId="356D2F23" w14:textId="77777777" w:rsidR="00D76725" w:rsidRDefault="00000000" w:rsidP="00412D3E">
            <w:pPr>
              <w:spacing w:before="100" w:beforeAutospacing="1" w:after="100" w:afterAutospacing="1"/>
              <w:jc w:val="both"/>
            </w:pPr>
            <w:r>
              <w:rPr>
                <w:sz w:val="18"/>
                <w:szCs w:val="18"/>
              </w:rPr>
              <w:t>Policy absence documented but not explained</w:t>
            </w:r>
          </w:p>
        </w:tc>
        <w:tc>
          <w:tcPr>
            <w:tcW w:w="1263" w:type="pct"/>
            <w:tcMar>
              <w:top w:w="60" w:type="dxa"/>
              <w:left w:w="80" w:type="dxa"/>
              <w:bottom w:w="60" w:type="dxa"/>
              <w:right w:w="80" w:type="dxa"/>
            </w:tcMar>
          </w:tcPr>
          <w:p w14:paraId="38B62A81" w14:textId="77777777" w:rsidR="00D76725" w:rsidRDefault="00000000" w:rsidP="00412D3E">
            <w:pPr>
              <w:spacing w:before="100" w:beforeAutospacing="1" w:after="100" w:afterAutospacing="1"/>
              <w:jc w:val="both"/>
            </w:pPr>
            <w:r>
              <w:rPr>
                <w:sz w:val="18"/>
                <w:szCs w:val="18"/>
              </w:rPr>
              <w:t>Comparative institutional case studies of policy formation, including public and private universities</w:t>
            </w:r>
          </w:p>
        </w:tc>
        <w:tc>
          <w:tcPr>
            <w:tcW w:w="670" w:type="pct"/>
            <w:tcMar>
              <w:top w:w="60" w:type="dxa"/>
              <w:left w:w="80" w:type="dxa"/>
              <w:bottom w:w="60" w:type="dxa"/>
              <w:right w:w="80" w:type="dxa"/>
            </w:tcMar>
          </w:tcPr>
          <w:p w14:paraId="3F897A12" w14:textId="77777777" w:rsidR="00D76725" w:rsidRDefault="00000000" w:rsidP="00412D3E">
            <w:pPr>
              <w:spacing w:before="100" w:beforeAutospacing="1" w:after="100" w:afterAutospacing="1"/>
              <w:jc w:val="both"/>
            </w:pPr>
            <w:r>
              <w:rPr>
                <w:sz w:val="18"/>
                <w:szCs w:val="18"/>
              </w:rPr>
              <w:t>Medium term</w:t>
            </w:r>
          </w:p>
        </w:tc>
        <w:tc>
          <w:tcPr>
            <w:tcW w:w="902" w:type="pct"/>
            <w:tcMar>
              <w:top w:w="60" w:type="dxa"/>
              <w:left w:w="80" w:type="dxa"/>
              <w:bottom w:w="60" w:type="dxa"/>
              <w:right w:w="80" w:type="dxa"/>
            </w:tcMar>
          </w:tcPr>
          <w:p w14:paraId="181CCAE6" w14:textId="77777777" w:rsidR="00D76725" w:rsidRDefault="00000000" w:rsidP="00412D3E">
            <w:pPr>
              <w:spacing w:before="100" w:beforeAutospacing="1" w:after="100" w:afterAutospacing="1"/>
              <w:jc w:val="both"/>
            </w:pPr>
            <w:proofErr w:type="spellStart"/>
            <w:r>
              <w:rPr>
                <w:sz w:val="18"/>
                <w:szCs w:val="18"/>
              </w:rPr>
              <w:t>Ansaree</w:t>
            </w:r>
            <w:proofErr w:type="spellEnd"/>
            <w:r>
              <w:rPr>
                <w:sz w:val="18"/>
                <w:szCs w:val="18"/>
              </w:rPr>
              <w:t xml:space="preserve"> &amp; Uddin (2026); Eva et al. (2024); Moorhouse et al. (2023)</w:t>
            </w:r>
          </w:p>
        </w:tc>
      </w:tr>
      <w:tr w:rsidR="00D76725" w14:paraId="3A82BA5B" w14:textId="77777777" w:rsidTr="009F144E">
        <w:tc>
          <w:tcPr>
            <w:tcW w:w="1031" w:type="pct"/>
            <w:tcMar>
              <w:top w:w="60" w:type="dxa"/>
              <w:left w:w="80" w:type="dxa"/>
              <w:bottom w:w="60" w:type="dxa"/>
              <w:right w:w="80" w:type="dxa"/>
            </w:tcMar>
          </w:tcPr>
          <w:p w14:paraId="64883876" w14:textId="77777777" w:rsidR="00D76725" w:rsidRDefault="00000000" w:rsidP="00412D3E">
            <w:pPr>
              <w:spacing w:before="100" w:beforeAutospacing="1" w:after="100" w:afterAutospacing="1"/>
              <w:jc w:val="both"/>
            </w:pPr>
            <w:r>
              <w:rPr>
                <w:sz w:val="18"/>
                <w:szCs w:val="18"/>
              </w:rPr>
              <w:t>Durability of effects on autonomy and motivation</w:t>
            </w:r>
          </w:p>
        </w:tc>
        <w:tc>
          <w:tcPr>
            <w:tcW w:w="1134" w:type="pct"/>
            <w:tcMar>
              <w:top w:w="60" w:type="dxa"/>
              <w:left w:w="80" w:type="dxa"/>
              <w:bottom w:w="60" w:type="dxa"/>
              <w:right w:w="80" w:type="dxa"/>
            </w:tcMar>
          </w:tcPr>
          <w:p w14:paraId="58EAE6C6" w14:textId="77777777" w:rsidR="00D76725" w:rsidRDefault="00000000" w:rsidP="00412D3E">
            <w:pPr>
              <w:spacing w:before="100" w:beforeAutospacing="1" w:after="100" w:afterAutospacing="1"/>
              <w:jc w:val="both"/>
            </w:pPr>
            <w:r>
              <w:rPr>
                <w:sz w:val="18"/>
                <w:szCs w:val="18"/>
              </w:rPr>
              <w:t>Exposure periods in existing studies are short</w:t>
            </w:r>
          </w:p>
        </w:tc>
        <w:tc>
          <w:tcPr>
            <w:tcW w:w="1263" w:type="pct"/>
            <w:tcMar>
              <w:top w:w="60" w:type="dxa"/>
              <w:left w:w="80" w:type="dxa"/>
              <w:bottom w:w="60" w:type="dxa"/>
              <w:right w:w="80" w:type="dxa"/>
            </w:tcMar>
          </w:tcPr>
          <w:p w14:paraId="46A426F3" w14:textId="77777777" w:rsidR="00D76725" w:rsidRDefault="00000000" w:rsidP="00412D3E">
            <w:pPr>
              <w:spacing w:before="100" w:beforeAutospacing="1" w:after="100" w:afterAutospacing="1"/>
              <w:jc w:val="both"/>
            </w:pPr>
            <w:r>
              <w:rPr>
                <w:sz w:val="18"/>
                <w:szCs w:val="18"/>
              </w:rPr>
              <w:t>Longitudinal designs following cohorts across a degree programme</w:t>
            </w:r>
          </w:p>
        </w:tc>
        <w:tc>
          <w:tcPr>
            <w:tcW w:w="670" w:type="pct"/>
            <w:tcMar>
              <w:top w:w="60" w:type="dxa"/>
              <w:left w:w="80" w:type="dxa"/>
              <w:bottom w:w="60" w:type="dxa"/>
              <w:right w:w="80" w:type="dxa"/>
            </w:tcMar>
          </w:tcPr>
          <w:p w14:paraId="22771D22" w14:textId="77777777" w:rsidR="00D76725" w:rsidRDefault="00000000" w:rsidP="00412D3E">
            <w:pPr>
              <w:spacing w:before="100" w:beforeAutospacing="1" w:after="100" w:afterAutospacing="1"/>
              <w:jc w:val="both"/>
            </w:pPr>
            <w:r>
              <w:rPr>
                <w:sz w:val="18"/>
                <w:szCs w:val="18"/>
              </w:rPr>
              <w:t>Longer term</w:t>
            </w:r>
          </w:p>
        </w:tc>
        <w:tc>
          <w:tcPr>
            <w:tcW w:w="902" w:type="pct"/>
            <w:tcMar>
              <w:top w:w="60" w:type="dxa"/>
              <w:left w:w="80" w:type="dxa"/>
              <w:bottom w:w="60" w:type="dxa"/>
              <w:right w:w="80" w:type="dxa"/>
            </w:tcMar>
          </w:tcPr>
          <w:p w14:paraId="4EA5678F" w14:textId="77777777" w:rsidR="00D76725" w:rsidRDefault="00000000" w:rsidP="00412D3E">
            <w:pPr>
              <w:spacing w:before="100" w:beforeAutospacing="1" w:after="100" w:afterAutospacing="1"/>
              <w:jc w:val="both"/>
            </w:pPr>
            <w:r>
              <w:rPr>
                <w:sz w:val="18"/>
                <w:szCs w:val="18"/>
              </w:rPr>
              <w:t xml:space="preserve">Shi et al. (2026); </w:t>
            </w:r>
            <w:proofErr w:type="spellStart"/>
            <w:r>
              <w:rPr>
                <w:sz w:val="18"/>
                <w:szCs w:val="18"/>
              </w:rPr>
              <w:t>Tekir</w:t>
            </w:r>
            <w:proofErr w:type="spellEnd"/>
            <w:r>
              <w:rPr>
                <w:sz w:val="18"/>
                <w:szCs w:val="18"/>
              </w:rPr>
              <w:t xml:space="preserve"> (2026)</w:t>
            </w:r>
          </w:p>
        </w:tc>
      </w:tr>
      <w:tr w:rsidR="00D76725" w14:paraId="7DFC6D92" w14:textId="77777777" w:rsidTr="009F144E">
        <w:tc>
          <w:tcPr>
            <w:tcW w:w="1031" w:type="pct"/>
            <w:tcMar>
              <w:top w:w="60" w:type="dxa"/>
              <w:left w:w="80" w:type="dxa"/>
              <w:bottom w:w="60" w:type="dxa"/>
              <w:right w:w="80" w:type="dxa"/>
            </w:tcMar>
          </w:tcPr>
          <w:p w14:paraId="443413FE" w14:textId="77777777" w:rsidR="00D76725" w:rsidRDefault="00000000" w:rsidP="00412D3E">
            <w:pPr>
              <w:spacing w:before="100" w:beforeAutospacing="1" w:after="100" w:afterAutospacing="1"/>
              <w:jc w:val="both"/>
            </w:pPr>
            <w:r>
              <w:rPr>
                <w:sz w:val="18"/>
                <w:szCs w:val="18"/>
              </w:rPr>
              <w:t>Applicability of international governance frameworks</w:t>
            </w:r>
          </w:p>
        </w:tc>
        <w:tc>
          <w:tcPr>
            <w:tcW w:w="1134" w:type="pct"/>
            <w:tcMar>
              <w:top w:w="60" w:type="dxa"/>
              <w:left w:w="80" w:type="dxa"/>
              <w:bottom w:w="60" w:type="dxa"/>
              <w:right w:w="80" w:type="dxa"/>
            </w:tcMar>
          </w:tcPr>
          <w:p w14:paraId="1CEFD66F" w14:textId="77777777" w:rsidR="00D76725" w:rsidRDefault="00000000" w:rsidP="00412D3E">
            <w:pPr>
              <w:spacing w:before="100" w:beforeAutospacing="1" w:after="100" w:afterAutospacing="1"/>
              <w:jc w:val="both"/>
            </w:pPr>
            <w:r>
              <w:rPr>
                <w:sz w:val="18"/>
                <w:szCs w:val="18"/>
              </w:rPr>
              <w:t>Frameworks available but uptake and fit untested in Bangladeshi institutions</w:t>
            </w:r>
          </w:p>
        </w:tc>
        <w:tc>
          <w:tcPr>
            <w:tcW w:w="1263" w:type="pct"/>
            <w:tcMar>
              <w:top w:w="60" w:type="dxa"/>
              <w:left w:w="80" w:type="dxa"/>
              <w:bottom w:w="60" w:type="dxa"/>
              <w:right w:w="80" w:type="dxa"/>
            </w:tcMar>
          </w:tcPr>
          <w:p w14:paraId="38022E07" w14:textId="77777777" w:rsidR="00D76725" w:rsidRDefault="00000000" w:rsidP="00412D3E">
            <w:pPr>
              <w:spacing w:before="100" w:beforeAutospacing="1" w:after="100" w:afterAutospacing="1"/>
              <w:jc w:val="both"/>
            </w:pPr>
            <w:r>
              <w:rPr>
                <w:sz w:val="18"/>
                <w:szCs w:val="18"/>
              </w:rPr>
              <w:t>Implementation research examining adaptation, resistance and unintended consequence</w:t>
            </w:r>
          </w:p>
        </w:tc>
        <w:tc>
          <w:tcPr>
            <w:tcW w:w="670" w:type="pct"/>
            <w:tcMar>
              <w:top w:w="60" w:type="dxa"/>
              <w:left w:w="80" w:type="dxa"/>
              <w:bottom w:w="60" w:type="dxa"/>
              <w:right w:w="80" w:type="dxa"/>
            </w:tcMar>
          </w:tcPr>
          <w:p w14:paraId="46AC83E1" w14:textId="77777777" w:rsidR="00D76725" w:rsidRDefault="00000000" w:rsidP="00412D3E">
            <w:pPr>
              <w:spacing w:before="100" w:beforeAutospacing="1" w:after="100" w:afterAutospacing="1"/>
              <w:jc w:val="both"/>
            </w:pPr>
            <w:r>
              <w:rPr>
                <w:sz w:val="18"/>
                <w:szCs w:val="18"/>
              </w:rPr>
              <w:t>Longer term</w:t>
            </w:r>
          </w:p>
        </w:tc>
        <w:tc>
          <w:tcPr>
            <w:tcW w:w="902" w:type="pct"/>
            <w:tcMar>
              <w:top w:w="60" w:type="dxa"/>
              <w:left w:w="80" w:type="dxa"/>
              <w:bottom w:w="60" w:type="dxa"/>
              <w:right w:w="80" w:type="dxa"/>
            </w:tcMar>
          </w:tcPr>
          <w:p w14:paraId="634C3790" w14:textId="77777777" w:rsidR="00D76725" w:rsidRDefault="00000000" w:rsidP="00412D3E">
            <w:pPr>
              <w:spacing w:before="100" w:beforeAutospacing="1" w:after="100" w:afterAutospacing="1"/>
              <w:jc w:val="both"/>
            </w:pPr>
            <w:r>
              <w:rPr>
                <w:sz w:val="18"/>
                <w:szCs w:val="18"/>
              </w:rPr>
              <w:t>Ahmed (2026); Landa-Blanco (2026); UNESCO (2023, 2024)</w:t>
            </w:r>
          </w:p>
        </w:tc>
      </w:tr>
    </w:tbl>
    <w:p w14:paraId="58046735" w14:textId="77777777" w:rsidR="00D76725" w:rsidRDefault="00000000" w:rsidP="00412D3E">
      <w:pPr>
        <w:spacing w:before="100" w:beforeAutospacing="1" w:after="100" w:afterAutospacing="1"/>
        <w:jc w:val="both"/>
      </w:pPr>
      <w:r>
        <w:rPr>
          <w:i/>
          <w:iCs/>
          <w:sz w:val="18"/>
          <w:szCs w:val="18"/>
        </w:rPr>
        <w:t>Note. Priority reflects the extent to which resolution would alter current instructional or policy practice, appraised in Section 10, and not the technical difficulty of the research required.</w:t>
      </w:r>
    </w:p>
    <w:p w14:paraId="3BF84F1F" w14:textId="77777777" w:rsidR="00D76725" w:rsidRDefault="00000000" w:rsidP="00412D3E">
      <w:pPr>
        <w:pStyle w:val="Heading1"/>
        <w:spacing w:before="100" w:beforeAutospacing="1" w:after="100" w:afterAutospacing="1"/>
        <w:jc w:val="both"/>
      </w:pPr>
      <w:r>
        <w:rPr>
          <w:b/>
          <w:bCs/>
          <w:color w:val="000000"/>
          <w:sz w:val="28"/>
          <w:szCs w:val="28"/>
        </w:rPr>
        <w:t>10. Future Directions</w:t>
      </w:r>
    </w:p>
    <w:p w14:paraId="40001D32" w14:textId="77777777" w:rsidR="00D76725" w:rsidRDefault="00000000" w:rsidP="00412D3E">
      <w:pPr>
        <w:spacing w:before="100" w:beforeAutospacing="1" w:after="100" w:afterAutospacing="1"/>
        <w:jc w:val="both"/>
      </w:pPr>
      <w:r>
        <w:rPr>
          <w:sz w:val="24"/>
          <w:szCs w:val="24"/>
        </w:rPr>
        <w:lastRenderedPageBreak/>
        <w:t>The research priorities set out below are ordered by the extent to which their resolution would change what universities and teachers in Bangladesh actually do. Priorities that would alter practice regardless of their result are placed ahead of those whose value depends on the direction of the finding, and immediate priorities are distinguished from those requiring longer investment.</w:t>
      </w:r>
    </w:p>
    <w:p w14:paraId="5F6CE533" w14:textId="77777777" w:rsidR="00D76725" w:rsidRDefault="00000000" w:rsidP="00412D3E">
      <w:pPr>
        <w:spacing w:before="100" w:beforeAutospacing="1" w:after="100" w:afterAutospacing="1"/>
        <w:jc w:val="both"/>
      </w:pPr>
      <w:r>
        <w:rPr>
          <w:sz w:val="24"/>
          <w:szCs w:val="24"/>
        </w:rPr>
        <w:t xml:space="preserve">The first immediate priority is outcome measurement. No study conducted in Bangladesh has established whether generative artificial intelligence tools affect language learning, in either direction. The unresolved problem is that the entire national evidence base measures perception, attitude or intention, and these constructs are known to diverge from performance. Current evidence is inadequate because participants asked whether a tool helped them have no access to their counterfactual performance, and because the design family used cannot distinguish improvement from novelty, from increased time on task, or from a change in what the assessment rewards. The appropriate design is a quasi-experimental study with non-equivalent comparison groups, or a randomised trial where conditions permit, conducted within credit-bearing courses at both public and private universities across at least one semester with a delayed post-test. Outcome measures should include a rubric-scored writing task administered under supervised conditions, alongside a process measure of revision behaviour and a validated measure of writing self-efficacy, since the international precedent shows that product and disposition can move in opposite directions (Shi et al., 2026; </w:t>
      </w:r>
      <w:proofErr w:type="spellStart"/>
      <w:r>
        <w:rPr>
          <w:sz w:val="24"/>
          <w:szCs w:val="24"/>
        </w:rPr>
        <w:t>Tekir</w:t>
      </w:r>
      <w:proofErr w:type="spellEnd"/>
      <w:r>
        <w:rPr>
          <w:sz w:val="24"/>
          <w:szCs w:val="24"/>
        </w:rPr>
        <w:t>, 2026). Findings would bear directly on whether institutions should permit, restrict or scaffold tool use in coursework, and would be consequential whichever direction they take.</w:t>
      </w:r>
    </w:p>
    <w:p w14:paraId="6FA1ADCA" w14:textId="77777777" w:rsidR="00D76725" w:rsidRDefault="00000000" w:rsidP="00412D3E">
      <w:pPr>
        <w:spacing w:before="100" w:beforeAutospacing="1" w:after="100" w:afterAutospacing="1"/>
        <w:jc w:val="both"/>
      </w:pPr>
      <w:r>
        <w:rPr>
          <w:sz w:val="24"/>
          <w:szCs w:val="24"/>
        </w:rPr>
        <w:t>The second immediate priority concerns bilingual production. The unresolved problem is that generative systems are known to perform less reliably on languages with limited corpus representation, and that Bangladeshi tertiary writing is documented as translingual in practice, yet no study has examined what these systems do to Bangla-influenced English or to Bangla-English code-mixed text. Current evidence is inadequate because the natural language processing literature evaluates system performance on benchmark tasks rather than on learner production, and because the applied linguistics literature on translanguaging in Bangladesh predates the tools now in use. The appropriate approach is corpus-based, assembling a sample of authentic undergraduate writing across disciplines and institution types, submitting it to the tools learners actually use, and evaluating the resulting feedback and revision suggestions against expert human judgement for accuracy, for appropriateness to the writer's communicative intention, and for the extent to which translingual features are flagged as error. Outcome measures should include feedback precision and recall against expert annotation and a categorisation of the normalising interventions the systems propose. The implication for practice is direct: if these systems systematically eliminate translingual features that the classroom evidence shows to be functional, then their unguided use conflicts with the pedagogical position that the sociolinguistic literature supports (Rafi &amp; Morgan, 2023; Rahman &amp; Hu, 2025; Sultana &amp; Fang, 2024).</w:t>
      </w:r>
    </w:p>
    <w:p w14:paraId="28951D8A" w14:textId="77777777" w:rsidR="00D76725" w:rsidRDefault="00000000" w:rsidP="00412D3E">
      <w:pPr>
        <w:spacing w:before="100" w:beforeAutospacing="1" w:after="100" w:afterAutospacing="1"/>
        <w:jc w:val="both"/>
      </w:pPr>
      <w:r>
        <w:rPr>
          <w:sz w:val="24"/>
          <w:szCs w:val="24"/>
        </w:rPr>
        <w:t xml:space="preserve">The third immediate priority is the mediation question. The unresolved problem is whether learner digital literacy governs engagement with automated and generative feedback in Bangladeshi conditions as it has been shown to do elsewhere. Current evidence is inadequate because no national study has measured digital literacy at all, and because the international studies establishing the mediation were conducted with small samples in a single national context (Zhang &amp; Hyland, 2025). The appropriate design is a mixed-methods study combining a validated digital literacy instrument with think-aloud protocols during feedback processing and analysis of successive text drafts, sampling deliberately across access strata rather than </w:t>
      </w:r>
      <w:r>
        <w:rPr>
          <w:sz w:val="24"/>
          <w:szCs w:val="24"/>
        </w:rPr>
        <w:lastRenderedPageBreak/>
        <w:t>from a single institution. The relevant scale is moderate, perhaps sixty to eighty participants for the quantitative component with a purposive subsample for the process work, and the relevant timescale is a single semester. If the mediation holds, then digital literacy instruction becomes a precondition for tool deployment rather than an optional supplement, which would change the sequencing of institutional investment.</w:t>
      </w:r>
    </w:p>
    <w:p w14:paraId="7B9AF40C" w14:textId="77777777" w:rsidR="00D76725" w:rsidRDefault="00000000" w:rsidP="00412D3E">
      <w:pPr>
        <w:spacing w:before="100" w:beforeAutospacing="1" w:after="100" w:afterAutospacing="1"/>
        <w:jc w:val="both"/>
      </w:pPr>
      <w:r>
        <w:rPr>
          <w:sz w:val="24"/>
          <w:szCs w:val="24"/>
        </w:rPr>
        <w:t>The fourth immediate priority concerns the distribution of use and benefit. The unresolved problem is that equity claims are made routinely and tested rarely, and that the samples on which national findings rest exclude the population for whom access constraints bind. Current evidence is inadequate because convenience sampling of connected students cannot estimate population parameters, and because the one national study that examined attainment-related disparity did so through decomposition of a cross-sectional survey rather than through stratified sampling (Akter et al., 2026). The appropriate design is a stratified survey with sampling frames constructed from institutional enrolment data, collecting device ownership, connectivity quality, household characteristics and prior medium of schooling as covariates alongside use and outcome measures. The relevant scale is national or regional rather than institutional. Findings would determine whether institutional provision should prioritise tool access, connectivity, or neither, and would provide the population baseline that the field currently lacks.</w:t>
      </w:r>
    </w:p>
    <w:p w14:paraId="0291640D" w14:textId="77777777" w:rsidR="00D76725" w:rsidRDefault="00000000" w:rsidP="00412D3E">
      <w:pPr>
        <w:spacing w:before="100" w:beforeAutospacing="1" w:after="100" w:afterAutospacing="1"/>
        <w:jc w:val="both"/>
      </w:pPr>
      <w:r>
        <w:rPr>
          <w:sz w:val="24"/>
          <w:szCs w:val="24"/>
        </w:rPr>
        <w:t xml:space="preserve">Three medium-term priorities follow. Assessment redesign is advocated across the integrity literature but has not been evaluated in any Bangladeshi institution, leaving unresolved whether redesigning tasks so that unaided production is either unnecessary or verifiable reduces integrity violation without displacing it, and whether such redesign is compatible with the examination-oriented structures documented nationally (Ali &amp; Hamid, 2020; Islam et al., 2021). The appropriate approach is an institution-level intervention study comparing departments that adopt redesigned assessment with those retaining conventional formats, measuring integrity outcomes, staff workload and student learning across at least two academic sessions. Replication of the conversational agent findings is a second priority, since the speaking deficit is the most acute documented outcome problem and the international evidence is drawn from populations and infrastructures that differ materially (Tai &amp; Chen, 2025; </w:t>
      </w:r>
      <w:proofErr w:type="spellStart"/>
      <w:r>
        <w:rPr>
          <w:sz w:val="24"/>
          <w:szCs w:val="24"/>
        </w:rPr>
        <w:t>Wiboolyasarin</w:t>
      </w:r>
      <w:proofErr w:type="spellEnd"/>
      <w:r>
        <w:rPr>
          <w:sz w:val="24"/>
          <w:szCs w:val="24"/>
        </w:rPr>
        <w:t xml:space="preserve"> et al., 2025). Such replication should treat bandwidth, device capability and acoustic environment as measured conditions and should include a measure of speaking anxiety alongside proficiency. The third priority is comparative institutional case study of policy formation, since the absence of institutional policy is well documented while its causes are not. Work across public and private universities examining how guidance is or is not produced, which actors are involved, and what constrains them would identify leverage points that exhortation does not.</w:t>
      </w:r>
    </w:p>
    <w:p w14:paraId="1EB80B96" w14:textId="77777777" w:rsidR="00D76725" w:rsidRDefault="00000000" w:rsidP="00412D3E">
      <w:pPr>
        <w:spacing w:before="100" w:beforeAutospacing="1" w:after="100" w:afterAutospacing="1"/>
        <w:jc w:val="both"/>
      </w:pPr>
      <w:r>
        <w:rPr>
          <w:sz w:val="24"/>
          <w:szCs w:val="24"/>
        </w:rPr>
        <w:t>Two longer-term priorities follow. Longitudinal designs following cohorts across a degree programme are required to establish whether the divergence between writing product and motivational disposition observed in semester-length studies persists, attenuates or compounds, and whether early patterns of selective versus habitual use are stable. Such work is expensive and slow, but the alternative is indefinite reliance on short-exposure findings whose durability is unknown. Implementation research on governance frameworks is the second. International guidance is available (UNESCO, 2023, 2024) and national policy is in draft (Information and Communication Technology Division, 2026), but whether such frameworks are adopted, adapted or ignored at institutional level, and with what unintended consequence, is an empirical question that the conceptual critique of externally developed frameworks makes more rather than less pressing (Ahmed, 2026; Landa-Blanco, 2026).</w:t>
      </w:r>
    </w:p>
    <w:p w14:paraId="15A12A33" w14:textId="77777777" w:rsidR="00D76725" w:rsidRDefault="00000000" w:rsidP="00412D3E">
      <w:pPr>
        <w:spacing w:before="100" w:beforeAutospacing="1" w:after="100" w:afterAutospacing="1"/>
        <w:jc w:val="both"/>
      </w:pPr>
      <w:r>
        <w:rPr>
          <w:sz w:val="24"/>
          <w:szCs w:val="24"/>
        </w:rPr>
        <w:lastRenderedPageBreak/>
        <w:t>A methodological requirement cuts across these priorities. Studies should specify the model, version, interface and prompt formulation used, since without this the field cannot distinguish substantive disagreement from differences in the artefact under study (Wang et al., 2025). Reporting of sampling frames, response rates and access characteristics should likewise become routine.</w:t>
      </w:r>
    </w:p>
    <w:p w14:paraId="62DCB38D" w14:textId="77777777" w:rsidR="00D76725" w:rsidRDefault="00000000" w:rsidP="00412D3E">
      <w:pPr>
        <w:pStyle w:val="Heading1"/>
        <w:spacing w:before="100" w:beforeAutospacing="1" w:after="100" w:afterAutospacing="1"/>
        <w:jc w:val="both"/>
      </w:pPr>
      <w:r>
        <w:rPr>
          <w:b/>
          <w:bCs/>
          <w:color w:val="000000"/>
          <w:sz w:val="28"/>
          <w:szCs w:val="28"/>
        </w:rPr>
        <w:t>11. Conclusions</w:t>
      </w:r>
    </w:p>
    <w:p w14:paraId="47E11DEF" w14:textId="77777777" w:rsidR="00D76725" w:rsidRDefault="00000000" w:rsidP="00412D3E">
      <w:pPr>
        <w:spacing w:before="100" w:beforeAutospacing="1" w:after="100" w:afterAutospacing="1"/>
        <w:jc w:val="both"/>
      </w:pPr>
      <w:r>
        <w:rPr>
          <w:sz w:val="24"/>
          <w:szCs w:val="24"/>
        </w:rPr>
        <w:t>This review set out to establish what the Bangladeshi evidence base on artificial intelligence and digital platforms in tertiary language education can support, to compare it with the international record, to evaluate the plausibility of the mechanisms proposed, and to identify research priorities. The strongest conclusions concern what is known about behaviour rather than about learning. Use of generative language models, commercial writing assistants and integrity-detection software is extensive among Bangladeshi university teachers and students, and it is largely informal, occurring in advance of institutional guidance rather than in response to it. Teachers report their own preparedness as inadequate, and the evidence indicates that this inadequacy is institutional in character, since it recurs across seniority levels, across three successive technology generations, and alongside demonstrable individual adaptive capacity. Concern about academic integrity is present in every teacher-facing study examined and constitutes the most consistent finding in the national corpus, although it establishes the prevalence of a perception rather than of the practice that occasions it.</w:t>
      </w:r>
    </w:p>
    <w:p w14:paraId="22464161" w14:textId="77777777" w:rsidR="00D76725" w:rsidRDefault="00000000" w:rsidP="00412D3E">
      <w:pPr>
        <w:spacing w:before="100" w:beforeAutospacing="1" w:after="100" w:afterAutospacing="1"/>
        <w:jc w:val="both"/>
      </w:pPr>
      <w:r>
        <w:rPr>
          <w:sz w:val="24"/>
          <w:szCs w:val="24"/>
        </w:rPr>
        <w:t>No conclusion about language learning outcomes can be drawn from the Bangladeshi evidence, because no study conducted there has measured one. Reports of improved writing, vocabulary or organisation are reports of perception, and the design family that dominates the national literature cannot distinguish learning from novelty, from increased engagement, or from a change in what the assessment rewards. This is the central limitation of the field as it stands, and it is not remediable by further studies of the same kind.</w:t>
      </w:r>
    </w:p>
    <w:p w14:paraId="7C46DAC2" w14:textId="77777777" w:rsidR="00D76725" w:rsidRDefault="00000000" w:rsidP="00412D3E">
      <w:pPr>
        <w:spacing w:before="100" w:beforeAutospacing="1" w:after="100" w:afterAutospacing="1"/>
        <w:jc w:val="both"/>
      </w:pPr>
      <w:r>
        <w:rPr>
          <w:sz w:val="24"/>
          <w:szCs w:val="24"/>
        </w:rPr>
        <w:t>The international evidence that the national corpus implicitly invokes is more equivocal than its invocation suggests. Automated writing evaluation has a substantial meta-analytic effect on writing quality, but classroom research shows that effect to be conditional on how teachers reorganise their practice around the system. Experimental comparison of generative models with earlier automated systems found improved writing product accompanied by deterioration in a motivational construct associated with sustained development, and independent work using different populations and instruments has converged on evidence of cognitive offloading, reduced originality and diminished authorial control among learners who rely on these tools habitually rather than selectively. Learner digital literacy has been shown to govern engagement with automated feedback independently of language proficiency. Taken together, these findings indicate that benefit is conditional on instructional arrangement and learner capability, not intrinsic to the technology.</w:t>
      </w:r>
    </w:p>
    <w:p w14:paraId="45435157" w14:textId="77777777" w:rsidR="00D76725" w:rsidRDefault="00000000" w:rsidP="00412D3E">
      <w:pPr>
        <w:spacing w:before="100" w:beforeAutospacing="1" w:after="100" w:afterAutospacing="1"/>
        <w:jc w:val="both"/>
      </w:pPr>
      <w:r>
        <w:rPr>
          <w:sz w:val="24"/>
          <w:szCs w:val="24"/>
        </w:rPr>
        <w:t xml:space="preserve">That conditionality is the basis for the review's principal argument. Artificial intelligence tools are better understood as mediating artefacts whose effects follow existing distributions of instructional support and learner capability than as instruments that redistribute access to language competence. In a system marked by uneven connectivity, contested medium-of-instruction policy, examination-oriented assessment and documented translingual classroom practice, the conditions that determine benefit are precisely the conditions that are unevenly distributed. This proposition is well supported in its first two components and is advanced as a hypothesis in its application to Bangladesh, where the necessary conjunction has not been </w:t>
      </w:r>
      <w:r>
        <w:rPr>
          <w:sz w:val="24"/>
          <w:szCs w:val="24"/>
        </w:rPr>
        <w:lastRenderedPageBreak/>
        <w:t>tested and where at least one national finding on pandemic-period learning indicates that structural predictions of this kind can fail.</w:t>
      </w:r>
    </w:p>
    <w:p w14:paraId="42946307" w14:textId="77777777" w:rsidR="00D76725" w:rsidRDefault="00000000" w:rsidP="00412D3E">
      <w:pPr>
        <w:spacing w:before="100" w:beforeAutospacing="1" w:after="100" w:afterAutospacing="1"/>
        <w:jc w:val="both"/>
      </w:pPr>
      <w:r>
        <w:rPr>
          <w:sz w:val="24"/>
          <w:szCs w:val="24"/>
        </w:rPr>
        <w:t>Two implications follow with reasonable security. Institutional attention directed at detection-based enforcement of integrity is unlikely to be productive, since the international evidence indicates that detection is unreliable and degrades as models improve, and since the assessment structures that make substitution attractive remain unaltered by it. Institutional attention directed at teacher preparedness is more likely to be productive, since training has been shown to affect at least one relevant capability and since the constraint identified across the national literature is the absence of institutional scaffolding rather than the absence of individual willingness. Neither implication rests on a claim that the technology improves or degrades language learning, because that claim cannot yet be made for this setting.</w:t>
      </w:r>
    </w:p>
    <w:p w14:paraId="51A7D703" w14:textId="77777777" w:rsidR="00D76725" w:rsidRDefault="00000000" w:rsidP="00412D3E">
      <w:pPr>
        <w:spacing w:before="100" w:beforeAutospacing="1" w:after="100" w:afterAutospacing="1"/>
        <w:jc w:val="both"/>
      </w:pPr>
      <w:r>
        <w:rPr>
          <w:sz w:val="24"/>
          <w:szCs w:val="24"/>
        </w:rPr>
        <w:t>The broader significance of the synthesis lies in what it reveals about how evidence travels. A national research literature has formed rapidly around a technology whose effects are being established elsewhere, and it has formed using methods that cannot test the claims it repeats. The result is an appearance of knowledge that the underlying evidence does not sustain. Correcting this requires a change in design rather than an increase in volume, and the priorities identified in this review are framed accordingly.</w:t>
      </w:r>
    </w:p>
    <w:p w14:paraId="2EF07544" w14:textId="77777777" w:rsidR="00D76725" w:rsidRDefault="00000000" w:rsidP="00412D3E">
      <w:pPr>
        <w:pStyle w:val="Heading1"/>
        <w:spacing w:before="100" w:beforeAutospacing="1" w:after="100" w:afterAutospacing="1"/>
        <w:jc w:val="both"/>
      </w:pPr>
      <w:r>
        <w:rPr>
          <w:b/>
          <w:bCs/>
          <w:color w:val="000000"/>
          <w:sz w:val="28"/>
          <w:szCs w:val="28"/>
        </w:rPr>
        <w:t>12. Limitations</w:t>
      </w:r>
    </w:p>
    <w:p w14:paraId="59CF901D" w14:textId="77777777" w:rsidR="00D76725" w:rsidRDefault="00000000" w:rsidP="00412D3E">
      <w:pPr>
        <w:spacing w:before="100" w:beforeAutospacing="1" w:after="100" w:afterAutospacing="1"/>
        <w:jc w:val="both"/>
      </w:pPr>
      <w:r>
        <w:rPr>
          <w:sz w:val="24"/>
          <w:szCs w:val="24"/>
        </w:rPr>
        <w:t>This review is a narrative synthesis and carries the limitations intrinsic to that form. Selection of sources, weighting of findings and construction of themes involved interpretive judgement that another reviewer might have exercised differently, and the search, while transparent and systematically conducted, was not accompanied by independent double screening or by documented record flows. The possibility of selection bias and of interpretive bias cannot be excluded, and readers should treat the appraisals of confidence offered in the tables as reasoned judgements rather than as the output of a validated instrument.</w:t>
      </w:r>
    </w:p>
    <w:p w14:paraId="0AD87D48" w14:textId="77777777" w:rsidR="00D76725" w:rsidRDefault="00000000" w:rsidP="00412D3E">
      <w:pPr>
        <w:spacing w:before="100" w:beforeAutospacing="1" w:after="100" w:afterAutospacing="1"/>
        <w:jc w:val="both"/>
      </w:pPr>
      <w:r>
        <w:rPr>
          <w:sz w:val="24"/>
          <w:szCs w:val="24"/>
        </w:rPr>
        <w:t>Access to the literature was incomplete. Subscription-restricted citation databases were unavailable during preparation, and searching was confined to openly accessible indexes, citation infrastructure and institutional websites. Work indexed exclusively in the unavailable services, and material held in institutional repositories not harvested by the indexes used, may not have been retrieved. This limitation is likely to bear unevenly, since regionally published Bangladeshi scholarship is less consistently indexed than international journal literature, and the review may therefore under-represent the national corpus relative to the international one.</w:t>
      </w:r>
    </w:p>
    <w:p w14:paraId="2E4AF758" w14:textId="77777777" w:rsidR="00D76725" w:rsidRDefault="00000000" w:rsidP="00412D3E">
      <w:pPr>
        <w:spacing w:before="100" w:beforeAutospacing="1" w:after="100" w:afterAutospacing="1"/>
        <w:jc w:val="both"/>
      </w:pPr>
      <w:r>
        <w:rPr>
          <w:sz w:val="24"/>
          <w:szCs w:val="24"/>
        </w:rPr>
        <w:t>All retained sources are in English. Scholarship published in Bangla, including institutional research reports and journal articles circulating primarily within national academic networks, is absent. Given that the review concerns language education in a bilingual system, this is a material restriction rather than a formal one, and conclusions about the completeness of the national evidence base should be read with it in mind.</w:t>
      </w:r>
    </w:p>
    <w:p w14:paraId="0CFFA9B0" w14:textId="77777777" w:rsidR="00D76725" w:rsidRDefault="00000000" w:rsidP="00412D3E">
      <w:pPr>
        <w:spacing w:before="100" w:beforeAutospacing="1" w:after="100" w:afterAutospacing="1"/>
        <w:jc w:val="both"/>
      </w:pPr>
      <w:r>
        <w:rPr>
          <w:sz w:val="24"/>
          <w:szCs w:val="24"/>
        </w:rPr>
        <w:t xml:space="preserve">The retained studies are heterogeneous in design, population, construct and outcome measure to a degree that precludes quantitative synthesis. No pooled effect estimate is offered, and none could responsibly be constructed from the available material. Comparison across studies has therefore been conducted narratively, and apparent agreement between findings may in some cases reflect similarity of method rather than convergence of substance. Geographical representation within the international evidence is also uneven, with a small number of high- </w:t>
      </w:r>
      <w:r>
        <w:rPr>
          <w:sz w:val="24"/>
          <w:szCs w:val="24"/>
        </w:rPr>
        <w:lastRenderedPageBreak/>
        <w:t>and middle-income systems supplying most experimental findings, and the possibility that mechanisms operate differently under Bangladeshi infrastructural and institutional conditions is not resolved here.</w:t>
      </w:r>
    </w:p>
    <w:p w14:paraId="471D79B0" w14:textId="77777777" w:rsidR="00D76725" w:rsidRDefault="00000000" w:rsidP="00412D3E">
      <w:pPr>
        <w:spacing w:before="100" w:beforeAutospacing="1" w:after="100" w:afterAutospacing="1"/>
        <w:jc w:val="both"/>
      </w:pPr>
      <w:r>
        <w:rPr>
          <w:sz w:val="24"/>
          <w:szCs w:val="24"/>
        </w:rPr>
        <w:t>Publication bias is likely to affect both corpora, since studies reporting positive perception and positive effect are more readily published than null findings, and the speed of this field's expansion increases the risk that early positive results have been disproportionately disseminated. The field also changes faster than the review process. The tools examined are revised on cycles measured in months, several retained studies do not specify which version was used, and findings reported here may therefore describe capability profiles that are no longer current. This review should be read as an appraisal of the evidence available at the stated search date rather than as a durable account of the technologies themselves.</w:t>
      </w:r>
    </w:p>
    <w:p w14:paraId="50D229FB" w14:textId="77777777" w:rsidR="00D76725" w:rsidRDefault="00000000" w:rsidP="00412D3E">
      <w:pPr>
        <w:spacing w:before="100" w:beforeAutospacing="1" w:after="100" w:afterAutospacing="1"/>
        <w:jc w:val="both"/>
        <w:rPr>
          <w:sz w:val="24"/>
          <w:szCs w:val="24"/>
        </w:rPr>
      </w:pPr>
      <w:r>
        <w:rPr>
          <w:sz w:val="24"/>
          <w:szCs w:val="24"/>
        </w:rPr>
        <w:t>Long-term evidence is scarce across the entire field. Exposure periods in the experimental literature are typically measured in weeks, and no retained study followed participants beyond a single academic term. Conclusions about durability, about the stability of usage patterns and about cumulative effects on autonomy are consequently unavailable, and the assessments offered here are restricted to the timescales the evidence covers.</w:t>
      </w:r>
    </w:p>
    <w:p w14:paraId="29A1623E" w14:textId="77777777" w:rsidR="00775582" w:rsidRPr="000839CE" w:rsidRDefault="00775582" w:rsidP="00412D3E">
      <w:pPr>
        <w:jc w:val="both"/>
        <w:rPr>
          <w:b/>
        </w:rPr>
      </w:pPr>
      <w:r w:rsidRPr="000839CE">
        <w:rPr>
          <w:b/>
        </w:rPr>
        <w:t>Declaration of AI Use</w:t>
      </w:r>
    </w:p>
    <w:p w14:paraId="2F42B91E" w14:textId="77777777" w:rsidR="00775582" w:rsidRPr="000839CE" w:rsidRDefault="00775582" w:rsidP="00412D3E">
      <w:pPr>
        <w:jc w:val="both"/>
      </w:pPr>
    </w:p>
    <w:p w14:paraId="2DC49083" w14:textId="77777777" w:rsidR="00775582" w:rsidRPr="000839CE" w:rsidRDefault="00775582" w:rsidP="00412D3E">
      <w:pPr>
        <w:jc w:val="both"/>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8E8B88B" w14:textId="77777777" w:rsidR="00775582" w:rsidRDefault="00775582" w:rsidP="00412D3E">
      <w:pPr>
        <w:spacing w:before="100" w:beforeAutospacing="1" w:after="100" w:afterAutospacing="1"/>
        <w:jc w:val="both"/>
      </w:pPr>
    </w:p>
    <w:p w14:paraId="42FCAD39" w14:textId="77777777" w:rsidR="00D76725" w:rsidRDefault="00000000" w:rsidP="00412D3E">
      <w:pPr>
        <w:pStyle w:val="Heading1"/>
        <w:spacing w:before="100" w:beforeAutospacing="1" w:after="100" w:afterAutospacing="1"/>
        <w:jc w:val="both"/>
      </w:pPr>
      <w:r>
        <w:rPr>
          <w:b/>
          <w:bCs/>
          <w:color w:val="000000"/>
          <w:sz w:val="28"/>
          <w:szCs w:val="28"/>
        </w:rPr>
        <w:t>References</w:t>
      </w:r>
    </w:p>
    <w:p w14:paraId="728E3FCB" w14:textId="77777777" w:rsidR="00D76725" w:rsidRDefault="00000000" w:rsidP="00412D3E">
      <w:pPr>
        <w:spacing w:before="100" w:beforeAutospacing="1" w:after="100" w:afterAutospacing="1"/>
        <w:ind w:left="720" w:hanging="720"/>
        <w:jc w:val="both"/>
      </w:pPr>
      <w:r>
        <w:rPr>
          <w:sz w:val="24"/>
          <w:szCs w:val="24"/>
        </w:rPr>
        <w:t>Ahmed, S. A. (2026). Algorithmic dependence and digital colonialism: A conceptual framework for artificial intelligence in education and knowledge systems of the Global South. Frontiers in Education, 11, Article 1720563. https://doi.org/10.3389/feduc.2026.1720563</w:t>
      </w:r>
    </w:p>
    <w:p w14:paraId="563231A7" w14:textId="77777777" w:rsidR="00D76725" w:rsidRDefault="00000000" w:rsidP="00412D3E">
      <w:pPr>
        <w:spacing w:before="100" w:beforeAutospacing="1" w:after="100" w:afterAutospacing="1"/>
        <w:ind w:left="720" w:hanging="720"/>
        <w:jc w:val="both"/>
      </w:pPr>
      <w:r>
        <w:rPr>
          <w:sz w:val="24"/>
          <w:szCs w:val="24"/>
        </w:rPr>
        <w:t>Ahn, J., Lee, J., &amp; Son, M. (2024). ChatGPT in ELT: Disruptor? Or well-trained teaching assistant? ELT Journal, 78(3), 345–355. https://doi.org/10.1093/elt/ccae017</w:t>
      </w:r>
    </w:p>
    <w:p w14:paraId="5EA7A484" w14:textId="77777777" w:rsidR="00D76725" w:rsidRDefault="00000000" w:rsidP="00412D3E">
      <w:pPr>
        <w:spacing w:before="100" w:beforeAutospacing="1" w:after="100" w:afterAutospacing="1"/>
        <w:ind w:left="720" w:hanging="720"/>
        <w:jc w:val="both"/>
      </w:pPr>
      <w:r>
        <w:rPr>
          <w:sz w:val="24"/>
          <w:szCs w:val="24"/>
        </w:rPr>
        <w:t>Akhter, T., &amp; Hossain, M. R. (2026). Teachers' perspectives of artificial intelligence in English language teaching: A study at the secondary level in Bangladesh. International Journal of Education and Literacy Studies, 14(2), 9–19. https://doi.org/10.7575/aiac.ijels.v.14n.2p.9</w:t>
      </w:r>
    </w:p>
    <w:p w14:paraId="605F356A" w14:textId="77777777" w:rsidR="00D76725" w:rsidRDefault="00000000" w:rsidP="00412D3E">
      <w:pPr>
        <w:spacing w:before="100" w:beforeAutospacing="1" w:after="100" w:afterAutospacing="1"/>
        <w:ind w:left="720" w:hanging="720"/>
        <w:jc w:val="both"/>
      </w:pPr>
      <w:r>
        <w:rPr>
          <w:sz w:val="24"/>
          <w:szCs w:val="24"/>
        </w:rPr>
        <w:t>Akter, M. S., Yeasmin, F., Golder, U., &amp; Islam, M. T. (2026). Determinants of ChatGPT adoption and educational level gap: Evidence from Bangladesh. Asian Education and Development Studies. Advance online publication. https://doi.org/10.1108/AEDS-10-2025-0531</w:t>
      </w:r>
    </w:p>
    <w:p w14:paraId="3F911F11" w14:textId="77777777" w:rsidR="00D76725" w:rsidRDefault="00000000" w:rsidP="00412D3E">
      <w:pPr>
        <w:spacing w:before="100" w:beforeAutospacing="1" w:after="100" w:afterAutospacing="1"/>
        <w:ind w:left="720" w:hanging="720"/>
        <w:jc w:val="both"/>
      </w:pPr>
      <w:r>
        <w:rPr>
          <w:sz w:val="24"/>
          <w:szCs w:val="24"/>
        </w:rPr>
        <w:lastRenderedPageBreak/>
        <w:t>Ali, M. M., &amp; Hamid, M. O. (2020). Teaching English to the test: Why does negative washback exist within secondary education in Bangladesh? Language Assessment Quarterly, 17(2), 129–146. https://doi.org/10.1080/15434303.2020.1717495</w:t>
      </w:r>
    </w:p>
    <w:p w14:paraId="3D6196CF" w14:textId="77777777" w:rsidR="00D76725" w:rsidRDefault="00000000" w:rsidP="00412D3E">
      <w:pPr>
        <w:spacing w:before="100" w:beforeAutospacing="1" w:after="100" w:afterAutospacing="1"/>
        <w:ind w:left="720" w:hanging="720"/>
        <w:jc w:val="both"/>
      </w:pPr>
      <w:r>
        <w:rPr>
          <w:sz w:val="24"/>
          <w:szCs w:val="24"/>
        </w:rPr>
        <w:t>Al-</w:t>
      </w:r>
      <w:proofErr w:type="spellStart"/>
      <w:r>
        <w:rPr>
          <w:sz w:val="24"/>
          <w:szCs w:val="24"/>
        </w:rPr>
        <w:t>Okaily</w:t>
      </w:r>
      <w:proofErr w:type="spellEnd"/>
      <w:r>
        <w:rPr>
          <w:sz w:val="24"/>
          <w:szCs w:val="24"/>
        </w:rPr>
        <w:t xml:space="preserve">, M., Mater, W., Matar, N., &amp; </w:t>
      </w:r>
      <w:proofErr w:type="spellStart"/>
      <w:r>
        <w:rPr>
          <w:sz w:val="24"/>
          <w:szCs w:val="24"/>
        </w:rPr>
        <w:t>Shiyyab</w:t>
      </w:r>
      <w:proofErr w:type="spellEnd"/>
      <w:r>
        <w:rPr>
          <w:sz w:val="24"/>
          <w:szCs w:val="24"/>
        </w:rPr>
        <w:t>, F. S. (2025). Understanding of ChatGPT adoption among business school students. Computers and Education: Artificial Intelligence, 9, Article 100441. https://doi.org/10.1016/j.caeai.2025.100441</w:t>
      </w:r>
    </w:p>
    <w:p w14:paraId="63E34F8D" w14:textId="77777777" w:rsidR="00D76725" w:rsidRDefault="00000000" w:rsidP="00412D3E">
      <w:pPr>
        <w:spacing w:before="100" w:beforeAutospacing="1" w:after="100" w:afterAutospacing="1"/>
        <w:ind w:left="720" w:hanging="720"/>
        <w:jc w:val="both"/>
      </w:pPr>
      <w:proofErr w:type="spellStart"/>
      <w:r>
        <w:rPr>
          <w:sz w:val="24"/>
          <w:szCs w:val="24"/>
        </w:rPr>
        <w:t>Ansaree</w:t>
      </w:r>
      <w:proofErr w:type="spellEnd"/>
      <w:r>
        <w:rPr>
          <w:sz w:val="24"/>
          <w:szCs w:val="24"/>
        </w:rPr>
        <w:t>, F. N., &amp; Uddin, M. M. (2026). University instructor agency in GenAI-supported ELT writing instruction: Practices and perceived challenges in under-resourced Asia–Pacific contexts. Asian-Pacific Journal of Second and Foreign Language Education, 11(1), Article 23. https://doi.org/10.1186/s40862-026-00399-4</w:t>
      </w:r>
    </w:p>
    <w:p w14:paraId="226FB196" w14:textId="77777777" w:rsidR="00D76725" w:rsidRDefault="00000000" w:rsidP="00412D3E">
      <w:pPr>
        <w:spacing w:before="100" w:beforeAutospacing="1" w:after="100" w:afterAutospacing="1"/>
        <w:ind w:left="720" w:hanging="720"/>
        <w:jc w:val="both"/>
      </w:pPr>
      <w:r>
        <w:rPr>
          <w:sz w:val="24"/>
          <w:szCs w:val="24"/>
        </w:rPr>
        <w:t>Asadullah, M. N., &amp; Bhattacharjee, A. (2022). Digital divide or digital provide? Technology, time use, and learning loss during COVID-19. The Journal of Development Studies, 58(10), 1934–1957. https://doi.org/10.1080/00220388.2022.2094253</w:t>
      </w:r>
    </w:p>
    <w:p w14:paraId="31FC8768" w14:textId="77777777" w:rsidR="00D76725" w:rsidRDefault="00000000" w:rsidP="00412D3E">
      <w:pPr>
        <w:spacing w:before="100" w:beforeAutospacing="1" w:after="100" w:afterAutospacing="1"/>
        <w:ind w:left="720" w:hanging="720"/>
        <w:jc w:val="both"/>
      </w:pPr>
      <w:r>
        <w:rPr>
          <w:sz w:val="24"/>
          <w:szCs w:val="24"/>
        </w:rPr>
        <w:t>Badiuzzaman, M., Rafiquzzaman, M., Rabby, M. I. I., &amp; Rahman, M. M. (2021). The latent digital divide and its drivers in e-learning among Bangladeshi students during the COVID-19 pandemic. Information, 12(8), Article 287. https://doi.org/10.3390/info12080287</w:t>
      </w:r>
    </w:p>
    <w:p w14:paraId="3FE3784C" w14:textId="77777777" w:rsidR="00D76725" w:rsidRPr="00412D3E" w:rsidRDefault="00000000" w:rsidP="00412D3E">
      <w:pPr>
        <w:spacing w:before="100" w:beforeAutospacing="1" w:after="100" w:afterAutospacing="1"/>
        <w:ind w:left="720" w:hanging="720"/>
        <w:jc w:val="both"/>
      </w:pPr>
      <w:proofErr w:type="spellStart"/>
      <w:r>
        <w:rPr>
          <w:sz w:val="24"/>
          <w:szCs w:val="24"/>
        </w:rPr>
        <w:t>Baethge</w:t>
      </w:r>
      <w:proofErr w:type="spellEnd"/>
      <w:r>
        <w:rPr>
          <w:sz w:val="24"/>
          <w:szCs w:val="24"/>
        </w:rPr>
        <w:t xml:space="preserve">, C., Goldbeck-Wood, S., &amp; Mertens, S. (2019). SANRA—A scale for the quality assessment of narrative review articles. Research Integrity and Peer Review, 4(1), Article 5. </w:t>
      </w:r>
      <w:r w:rsidRPr="00412D3E">
        <w:rPr>
          <w:sz w:val="24"/>
          <w:szCs w:val="24"/>
        </w:rPr>
        <w:t>https://doi.org/10.1186/s41073-019-0064-8</w:t>
      </w:r>
    </w:p>
    <w:p w14:paraId="148ADB72" w14:textId="77777777" w:rsidR="00D76725" w:rsidRPr="00412D3E" w:rsidRDefault="00000000" w:rsidP="00412D3E">
      <w:pPr>
        <w:spacing w:before="100" w:beforeAutospacing="1" w:after="100" w:afterAutospacing="1"/>
        <w:ind w:left="720" w:hanging="720"/>
        <w:jc w:val="both"/>
      </w:pPr>
      <w:r w:rsidRPr="00412D3E">
        <w:rPr>
          <w:sz w:val="24"/>
          <w:szCs w:val="24"/>
        </w:rPr>
        <w:t>Barrot, J. S. (2023). Using ChatGPT for second language writing: Pitfalls and potentials. Assessing Writing, 57, Article 100745. https://doi.org/10.1016/j.asw.2023.100745</w:t>
      </w:r>
    </w:p>
    <w:p w14:paraId="2E11641B" w14:textId="77777777" w:rsidR="00D76725" w:rsidRPr="00412D3E" w:rsidRDefault="00000000" w:rsidP="00412D3E">
      <w:pPr>
        <w:spacing w:before="100" w:beforeAutospacing="1" w:after="100" w:afterAutospacing="1"/>
        <w:ind w:left="720" w:hanging="720"/>
        <w:jc w:val="both"/>
      </w:pPr>
      <w:r w:rsidRPr="00412D3E">
        <w:rPr>
          <w:sz w:val="24"/>
          <w:szCs w:val="24"/>
        </w:rPr>
        <w:t>Begum, R. (2011). Prospect for cell phones as instructional tools in the EFL classroom: A case study of Jahangirnagar University, Bangladesh. English Language Teaching, 4(1), 105–115. https://doi.org/10.5539/elt.v4n1p105</w:t>
      </w:r>
    </w:p>
    <w:p w14:paraId="6C3A226B" w14:textId="77777777" w:rsidR="00D76725" w:rsidRPr="00412D3E" w:rsidRDefault="00000000" w:rsidP="00412D3E">
      <w:pPr>
        <w:spacing w:before="100" w:beforeAutospacing="1" w:after="100" w:afterAutospacing="1"/>
        <w:ind w:left="720" w:hanging="720"/>
        <w:jc w:val="both"/>
      </w:pPr>
      <w:r w:rsidRPr="00412D3E">
        <w:rPr>
          <w:sz w:val="24"/>
          <w:szCs w:val="24"/>
        </w:rPr>
        <w:t>Bhuiyan, M. R. I., Uddin, S., Sultana, T., Al-Amin, &amp; Islam, M. M. (2026). Investigating ChatGPT methods in the higher education form a student engagement perspective: Based on a descriptive-cross-sectional study. SAGE Open, 16(1), Article 21582440251413008. https://doi.org/10.1177/21582440251413008</w:t>
      </w:r>
    </w:p>
    <w:p w14:paraId="0D474F12" w14:textId="77777777" w:rsidR="00D76725" w:rsidRPr="00412D3E" w:rsidRDefault="00000000" w:rsidP="00412D3E">
      <w:pPr>
        <w:spacing w:before="100" w:beforeAutospacing="1" w:after="100" w:afterAutospacing="1"/>
        <w:ind w:left="720" w:hanging="720"/>
        <w:jc w:val="both"/>
      </w:pPr>
      <w:proofErr w:type="spellStart"/>
      <w:r w:rsidRPr="00412D3E">
        <w:rPr>
          <w:sz w:val="24"/>
          <w:szCs w:val="24"/>
        </w:rPr>
        <w:t>Bristi</w:t>
      </w:r>
      <w:proofErr w:type="spellEnd"/>
      <w:r w:rsidRPr="00412D3E">
        <w:rPr>
          <w:sz w:val="24"/>
          <w:szCs w:val="24"/>
        </w:rPr>
        <w:t xml:space="preserve">, N. L., Shafie, L. A., </w:t>
      </w:r>
      <w:proofErr w:type="spellStart"/>
      <w:r w:rsidRPr="00412D3E">
        <w:rPr>
          <w:sz w:val="24"/>
          <w:szCs w:val="24"/>
        </w:rPr>
        <w:t>Hajimia</w:t>
      </w:r>
      <w:proofErr w:type="spellEnd"/>
      <w:r w:rsidRPr="00412D3E">
        <w:rPr>
          <w:sz w:val="24"/>
          <w:szCs w:val="24"/>
        </w:rPr>
        <w:t>, H. B., &amp; Hasan, M. K. (2025). Decoding EFL learners' intention to use ChatGPT for academic writing: Cognitive and emotional drivers. International Journal of Learning, Teaching and Educational Research, 24(3), 1–28. https://doi.org/10.26803/ijlter.24.3.1</w:t>
      </w:r>
    </w:p>
    <w:p w14:paraId="03B1241C" w14:textId="77777777" w:rsidR="00D76725" w:rsidRPr="00412D3E" w:rsidRDefault="00000000" w:rsidP="00412D3E">
      <w:pPr>
        <w:spacing w:before="100" w:beforeAutospacing="1" w:after="100" w:afterAutospacing="1"/>
        <w:ind w:left="720" w:hanging="720"/>
        <w:jc w:val="both"/>
      </w:pPr>
      <w:r w:rsidRPr="00412D3E">
        <w:rPr>
          <w:sz w:val="24"/>
          <w:szCs w:val="24"/>
        </w:rPr>
        <w:t>Budhathoki, T., Zirar, A., Njoya, E. T., &amp; Timsina, A. (2024). ChatGPT adoption and anxiety: A cross-country analysis utilising the unified theory of acceptance and use of technology (UTAUT). Studies in Higher Education, 49(5), 831–846. https://doi.org/10.1080/03075079.2024.2333937</w:t>
      </w:r>
    </w:p>
    <w:p w14:paraId="3DC2ECFC" w14:textId="77777777" w:rsidR="00D76725" w:rsidRPr="00412D3E" w:rsidRDefault="00000000" w:rsidP="00412D3E">
      <w:pPr>
        <w:spacing w:before="100" w:beforeAutospacing="1" w:after="100" w:afterAutospacing="1"/>
        <w:ind w:left="720" w:hanging="720"/>
        <w:jc w:val="both"/>
      </w:pPr>
      <w:r w:rsidRPr="00412D3E">
        <w:rPr>
          <w:sz w:val="24"/>
          <w:szCs w:val="24"/>
        </w:rPr>
        <w:t>Chapelle, C. A. (2024). Open generative AI changes a lot, but not everything. The Modern Language Journal, 108(2), 534–540. https://doi.org/10.1111/modl.12927</w:t>
      </w:r>
    </w:p>
    <w:p w14:paraId="7A0A5CD4" w14:textId="77777777" w:rsidR="00D76725" w:rsidRPr="00412D3E" w:rsidRDefault="00000000" w:rsidP="00412D3E">
      <w:pPr>
        <w:spacing w:before="100" w:beforeAutospacing="1" w:after="100" w:afterAutospacing="1"/>
        <w:ind w:left="720" w:hanging="720"/>
        <w:jc w:val="both"/>
      </w:pPr>
      <w:r w:rsidRPr="00412D3E">
        <w:rPr>
          <w:sz w:val="24"/>
          <w:szCs w:val="24"/>
        </w:rPr>
        <w:lastRenderedPageBreak/>
        <w:t>Chowdhury, R., &amp; Kabir, A. H. (2014). Language wars: English education policy and practice in Bangladesh. Multilingual Education, 4(1), Article 21. https://doi.org/10.1186/s13616-014-0021-2</w:t>
      </w:r>
    </w:p>
    <w:p w14:paraId="7A9836AF" w14:textId="77777777" w:rsidR="008A717F" w:rsidRPr="00412D3E" w:rsidRDefault="00000000" w:rsidP="00412D3E">
      <w:pPr>
        <w:spacing w:before="100" w:beforeAutospacing="1" w:after="100" w:afterAutospacing="1"/>
        <w:ind w:left="720" w:hanging="720"/>
        <w:jc w:val="both"/>
      </w:pPr>
      <w:r w:rsidRPr="00412D3E">
        <w:rPr>
          <w:sz w:val="24"/>
          <w:szCs w:val="24"/>
          <w:highlight w:val="yellow"/>
        </w:rPr>
        <w:t>Crompton, H., Edmett, A., Ichaporia, N., &amp; Burke, D. (2024). AI and English language teaching: Affordances and challenges. British Journal of Educational Technology, 55(6), 2503–2529. https://doi.org/10.1111/bjet.13460</w:t>
      </w:r>
    </w:p>
    <w:p w14:paraId="3C76D993" w14:textId="77777777" w:rsidR="00D76725" w:rsidRPr="00412D3E" w:rsidRDefault="00000000" w:rsidP="00412D3E">
      <w:pPr>
        <w:spacing w:before="100" w:beforeAutospacing="1" w:after="100" w:afterAutospacing="1"/>
        <w:ind w:left="720" w:hanging="720"/>
        <w:jc w:val="both"/>
      </w:pPr>
      <w:r w:rsidRPr="00412D3E">
        <w:rPr>
          <w:sz w:val="24"/>
          <w:szCs w:val="24"/>
        </w:rPr>
        <w:t>Deng, X., &amp; Yu, Z. (2022). A systematic review of machine-translation-assisted language learning for sustainable education. Sustainability, 14(13), Article 7598. https://doi.org/10.3390/su14137598</w:t>
      </w:r>
    </w:p>
    <w:p w14:paraId="3685BBF0" w14:textId="77777777" w:rsidR="00D76725" w:rsidRPr="00412D3E" w:rsidRDefault="00000000" w:rsidP="00412D3E">
      <w:pPr>
        <w:spacing w:before="100" w:beforeAutospacing="1" w:after="100" w:afterAutospacing="1"/>
        <w:ind w:left="720" w:hanging="720"/>
        <w:jc w:val="both"/>
      </w:pPr>
      <w:r w:rsidRPr="00412D3E">
        <w:rPr>
          <w:sz w:val="24"/>
          <w:szCs w:val="24"/>
        </w:rPr>
        <w:t>Eva, T. P., Akter, S., Zabeen, M., &amp; Shahriar, S. H. B. (2024). Exploring the future of learning: Understanding the innovation in learning from the perspectives of developing nation. Journal of Research in Innovative Teaching &amp; Learning, 17(2), 297–309. https://doi.org/10.1108/JRIT-04-2024-0095</w:t>
      </w:r>
    </w:p>
    <w:p w14:paraId="4387B05E" w14:textId="77777777" w:rsidR="00D76725" w:rsidRPr="00412D3E" w:rsidRDefault="00000000" w:rsidP="00412D3E">
      <w:pPr>
        <w:spacing w:before="100" w:beforeAutospacing="1" w:after="100" w:afterAutospacing="1"/>
        <w:ind w:left="720" w:hanging="720"/>
        <w:jc w:val="both"/>
      </w:pPr>
      <w:r w:rsidRPr="00412D3E">
        <w:rPr>
          <w:sz w:val="24"/>
          <w:szCs w:val="24"/>
        </w:rPr>
        <w:t>Fu, Q. K., Zou, D., Xie, H., &amp; Cheng, G. (2024). A review of AWE feedback: Types, learning outcomes, and implications. Computer Assisted Language Learning, 37(1–2), 179–221. https://doi.org/10.1080/09588221.2022.2033787</w:t>
      </w:r>
    </w:p>
    <w:p w14:paraId="4785D93E" w14:textId="77777777" w:rsidR="00D76725" w:rsidRPr="00412D3E" w:rsidRDefault="00000000" w:rsidP="00412D3E">
      <w:pPr>
        <w:spacing w:before="100" w:beforeAutospacing="1" w:after="100" w:afterAutospacing="1"/>
        <w:ind w:left="720" w:hanging="720"/>
        <w:jc w:val="both"/>
      </w:pPr>
      <w:r w:rsidRPr="00412D3E">
        <w:rPr>
          <w:sz w:val="24"/>
          <w:szCs w:val="24"/>
        </w:rPr>
        <w:t>Godwin-Jones, R. (2022). Partnering with AI: Intelligent writing assistance and instructed language learning. Language Learning &amp; Technology, 26(2), 5–24. https://doi.org/10.64152/10125/73474</w:t>
      </w:r>
    </w:p>
    <w:p w14:paraId="74EC0A38" w14:textId="77777777" w:rsidR="00D76725" w:rsidRPr="00412D3E" w:rsidRDefault="00000000" w:rsidP="00412D3E">
      <w:pPr>
        <w:spacing w:before="100" w:beforeAutospacing="1" w:after="100" w:afterAutospacing="1"/>
        <w:ind w:left="720" w:hanging="720"/>
        <w:jc w:val="both"/>
      </w:pPr>
      <w:r w:rsidRPr="00412D3E">
        <w:rPr>
          <w:sz w:val="24"/>
          <w:szCs w:val="24"/>
        </w:rPr>
        <w:t xml:space="preserve">Greenhalgh, T., Thorne, S., &amp; </w:t>
      </w:r>
      <w:proofErr w:type="spellStart"/>
      <w:r w:rsidRPr="00412D3E">
        <w:rPr>
          <w:sz w:val="24"/>
          <w:szCs w:val="24"/>
        </w:rPr>
        <w:t>Malterud</w:t>
      </w:r>
      <w:proofErr w:type="spellEnd"/>
      <w:r w:rsidRPr="00412D3E">
        <w:rPr>
          <w:sz w:val="24"/>
          <w:szCs w:val="24"/>
        </w:rPr>
        <w:t>, K. (2018). Time to challenge the spurious hierarchy of systematic over narrative reviews? European Journal of Clinical Investigation, 48(6), Article e12931. https://doi.org/10.1111/eci.12931</w:t>
      </w:r>
    </w:p>
    <w:p w14:paraId="1E50F95C" w14:textId="77777777" w:rsidR="00D76725" w:rsidRPr="00412D3E" w:rsidRDefault="00000000" w:rsidP="00412D3E">
      <w:pPr>
        <w:spacing w:before="100" w:beforeAutospacing="1" w:after="100" w:afterAutospacing="1"/>
        <w:ind w:left="720" w:hanging="720"/>
        <w:jc w:val="both"/>
      </w:pPr>
      <w:r w:rsidRPr="00412D3E">
        <w:rPr>
          <w:sz w:val="24"/>
          <w:szCs w:val="24"/>
        </w:rPr>
        <w:t>Groves, M., &amp; Mundt, K. (2015). Friend or foe? Google Translate in language for academic purposes. English for Specific Purposes, 37, 112–121. https://doi.org/10.1016/j.esp.2014.09.001</w:t>
      </w:r>
    </w:p>
    <w:p w14:paraId="237B115F" w14:textId="77777777" w:rsidR="00D76725" w:rsidRPr="00412D3E" w:rsidRDefault="00000000" w:rsidP="00412D3E">
      <w:pPr>
        <w:spacing w:before="100" w:beforeAutospacing="1" w:after="100" w:afterAutospacing="1"/>
        <w:ind w:left="720" w:hanging="720"/>
        <w:jc w:val="both"/>
      </w:pPr>
      <w:r w:rsidRPr="00412D3E">
        <w:rPr>
          <w:sz w:val="24"/>
          <w:szCs w:val="24"/>
        </w:rPr>
        <w:t>Hamid, M. O. (2010). Globalisation, English for everyone and English teacher capacity: Language policy discourses and realities in Bangladesh. Current Issues in Language Planning, 11(4), 289–310. https://doi.org/10.1080/14664208.2011.532621</w:t>
      </w:r>
    </w:p>
    <w:p w14:paraId="43561FE9" w14:textId="77777777" w:rsidR="00D76725" w:rsidRPr="00412D3E" w:rsidRDefault="00000000" w:rsidP="00412D3E">
      <w:pPr>
        <w:spacing w:before="100" w:beforeAutospacing="1" w:after="100" w:afterAutospacing="1"/>
        <w:ind w:left="720" w:hanging="720"/>
        <w:jc w:val="both"/>
      </w:pPr>
      <w:r w:rsidRPr="00412D3E">
        <w:rPr>
          <w:sz w:val="24"/>
          <w:szCs w:val="24"/>
        </w:rPr>
        <w:t>Hamid, M. O., Jahan, I., &amp; Islam, M. M. (2013). Medium of instruction policies and language practices, ideologies and institutional divides: Voices of teachers and students in a private university in Bangladesh. Current Issues in Language Planning, 14(1), 144–163. https://doi.org/10.1080/14664208.2013.771417</w:t>
      </w:r>
    </w:p>
    <w:p w14:paraId="5A130289" w14:textId="77777777" w:rsidR="00D76725" w:rsidRPr="00412D3E" w:rsidRDefault="00000000" w:rsidP="00412D3E">
      <w:pPr>
        <w:spacing w:before="100" w:beforeAutospacing="1" w:after="100" w:afterAutospacing="1"/>
        <w:ind w:left="720" w:hanging="720"/>
        <w:jc w:val="both"/>
      </w:pPr>
      <w:r w:rsidRPr="00412D3E">
        <w:rPr>
          <w:sz w:val="24"/>
          <w:szCs w:val="24"/>
        </w:rPr>
        <w:t>Hamid, M. O., Sussex, R., &amp; Khan, A. (2009). Private tutoring in English for secondary school students in Bangladesh. TESOL Quarterly, 43(2), 281–308. https://doi.org/10.1002/j.1545-7249.2009.tb00168.x</w:t>
      </w:r>
    </w:p>
    <w:p w14:paraId="26553A42" w14:textId="77777777" w:rsidR="00D76725" w:rsidRPr="00412D3E" w:rsidRDefault="00000000" w:rsidP="00412D3E">
      <w:pPr>
        <w:spacing w:before="100" w:beforeAutospacing="1" w:after="100" w:afterAutospacing="1"/>
        <w:ind w:left="720" w:hanging="720"/>
        <w:jc w:val="both"/>
      </w:pPr>
      <w:r w:rsidRPr="00412D3E">
        <w:rPr>
          <w:sz w:val="24"/>
          <w:szCs w:val="24"/>
        </w:rPr>
        <w:t>Handley, Z. (2024). Has artificial intelligence rendered language teaching obsolete? The Modern Language Journal, 108(2), 548–555. https://doi.org/10.1111/modl.12929</w:t>
      </w:r>
    </w:p>
    <w:p w14:paraId="2EA8AC73" w14:textId="77777777" w:rsidR="00D76725" w:rsidRPr="00412D3E" w:rsidRDefault="00000000" w:rsidP="00412D3E">
      <w:pPr>
        <w:spacing w:before="100" w:beforeAutospacing="1" w:after="100" w:afterAutospacing="1"/>
        <w:ind w:left="720" w:hanging="720"/>
        <w:jc w:val="both"/>
      </w:pPr>
      <w:r w:rsidRPr="00412D3E">
        <w:rPr>
          <w:sz w:val="24"/>
          <w:szCs w:val="24"/>
        </w:rPr>
        <w:lastRenderedPageBreak/>
        <w:t xml:space="preserve">Hasan, M. K., Fakih, A. H., </w:t>
      </w:r>
      <w:proofErr w:type="spellStart"/>
      <w:r w:rsidRPr="00412D3E">
        <w:rPr>
          <w:sz w:val="24"/>
          <w:szCs w:val="24"/>
        </w:rPr>
        <w:t>Ibna</w:t>
      </w:r>
      <w:proofErr w:type="spellEnd"/>
      <w:r w:rsidRPr="00412D3E">
        <w:rPr>
          <w:sz w:val="24"/>
          <w:szCs w:val="24"/>
        </w:rPr>
        <w:t xml:space="preserve"> Seraj, P. M., &amp; </w:t>
      </w:r>
      <w:proofErr w:type="spellStart"/>
      <w:r w:rsidRPr="00412D3E">
        <w:rPr>
          <w:sz w:val="24"/>
          <w:szCs w:val="24"/>
        </w:rPr>
        <w:t>Hasmirati</w:t>
      </w:r>
      <w:proofErr w:type="spellEnd"/>
      <w:r w:rsidRPr="00412D3E">
        <w:rPr>
          <w:sz w:val="24"/>
          <w:szCs w:val="24"/>
        </w:rPr>
        <w:t xml:space="preserve">. (2022). The effect of technology-assisted language programme on vocabulary learning among EFL students at the tertiary level. </w:t>
      </w:r>
      <w:proofErr w:type="spellStart"/>
      <w:r w:rsidRPr="00412D3E">
        <w:rPr>
          <w:sz w:val="24"/>
          <w:szCs w:val="24"/>
        </w:rPr>
        <w:t>Heliyon</w:t>
      </w:r>
      <w:proofErr w:type="spellEnd"/>
      <w:r w:rsidRPr="00412D3E">
        <w:rPr>
          <w:sz w:val="24"/>
          <w:szCs w:val="24"/>
        </w:rPr>
        <w:t>, 8(8), Article e10313. https://doi.org/10.1016/j.heliyon.2022.e10313</w:t>
      </w:r>
    </w:p>
    <w:p w14:paraId="17EC93A4" w14:textId="77777777" w:rsidR="00D76725" w:rsidRPr="00412D3E" w:rsidRDefault="00000000" w:rsidP="00412D3E">
      <w:pPr>
        <w:spacing w:before="100" w:beforeAutospacing="1" w:after="100" w:afterAutospacing="1"/>
        <w:ind w:left="720" w:hanging="720"/>
        <w:jc w:val="both"/>
      </w:pPr>
      <w:r w:rsidRPr="00412D3E">
        <w:rPr>
          <w:sz w:val="24"/>
          <w:szCs w:val="24"/>
        </w:rPr>
        <w:t>Hasan, M. M., Fatema, K., &amp; Mahmud, R. (2026a). Bangladeshi university EFL teachers' vision for the future role of artificial intelligence in teaching and teachers' new identity. International Journal of Evaluation and Research in Education, 15(1), 837–847. https://doi.org/10.11591/ijere.v15i1.33638</w:t>
      </w:r>
    </w:p>
    <w:p w14:paraId="69E8C894" w14:textId="77777777" w:rsidR="00D76725" w:rsidRPr="00412D3E" w:rsidRDefault="00000000" w:rsidP="00412D3E">
      <w:pPr>
        <w:spacing w:before="100" w:beforeAutospacing="1" w:after="100" w:afterAutospacing="1"/>
        <w:ind w:left="720" w:hanging="720"/>
        <w:jc w:val="both"/>
      </w:pPr>
      <w:r w:rsidRPr="00412D3E">
        <w:rPr>
          <w:sz w:val="24"/>
          <w:szCs w:val="24"/>
        </w:rPr>
        <w:t>Hasan, M. M., Fatema, K., &amp; Mahmud, R. (2026b). AI tools in teaching: EFL teachers' perceptions of usefulness, challenges, and the role of designation and AI-training. IAES International Journal of Artificial Intelligence, 15(3), 2092–2102. https://doi.org/10.11591/ijai.v15.i3.pp2092-2102</w:t>
      </w:r>
    </w:p>
    <w:p w14:paraId="2263B2FB" w14:textId="77777777" w:rsidR="00D76725" w:rsidRPr="00412D3E" w:rsidRDefault="00000000" w:rsidP="00412D3E">
      <w:pPr>
        <w:spacing w:before="100" w:beforeAutospacing="1" w:after="100" w:afterAutospacing="1"/>
        <w:ind w:left="720" w:hanging="720"/>
        <w:jc w:val="both"/>
      </w:pPr>
      <w:r w:rsidRPr="00412D3E">
        <w:rPr>
          <w:sz w:val="24"/>
          <w:szCs w:val="24"/>
        </w:rPr>
        <w:t>Information and Communication Technology Division. (2026). Bangladesh national AI policy 2026–2030 (Draft v2). Government of the People's Republic of Bangladesh. https://aipolicy.gov.bd/docs/national-ai-policy-bangladesh-2026-2030-draft-v2.0.pdf</w:t>
      </w:r>
    </w:p>
    <w:p w14:paraId="65D5F929" w14:textId="77777777" w:rsidR="00D76725" w:rsidRPr="00412D3E" w:rsidRDefault="00000000" w:rsidP="00412D3E">
      <w:pPr>
        <w:spacing w:before="100" w:beforeAutospacing="1" w:after="100" w:afterAutospacing="1"/>
        <w:ind w:left="720" w:hanging="720"/>
        <w:jc w:val="both"/>
      </w:pPr>
      <w:r w:rsidRPr="00412D3E">
        <w:rPr>
          <w:sz w:val="24"/>
          <w:szCs w:val="24"/>
        </w:rPr>
        <w:t>Islam, M. S., Hasan, M. K., Sultana, S., Karim, A., &amp; Rahman, M. M. (2021). English language assessment in Bangladesh today: Principles, practices, and problems. Language Testing in Asia, 11(1), Article 1. https://doi.org/10.1186/s40468-020-00116-z</w:t>
      </w:r>
    </w:p>
    <w:p w14:paraId="5CC479A7" w14:textId="77777777" w:rsidR="00D76725" w:rsidRPr="00412D3E" w:rsidRDefault="00000000" w:rsidP="00412D3E">
      <w:pPr>
        <w:spacing w:before="100" w:beforeAutospacing="1" w:after="100" w:afterAutospacing="1"/>
        <w:ind w:left="720" w:hanging="720"/>
        <w:jc w:val="both"/>
      </w:pPr>
      <w:r w:rsidRPr="00412D3E">
        <w:rPr>
          <w:sz w:val="24"/>
          <w:szCs w:val="24"/>
        </w:rPr>
        <w:t xml:space="preserve">Islam, M. S., &amp; </w:t>
      </w:r>
      <w:proofErr w:type="spellStart"/>
      <w:r w:rsidRPr="00412D3E">
        <w:rPr>
          <w:sz w:val="24"/>
          <w:szCs w:val="24"/>
        </w:rPr>
        <w:t>Stapa</w:t>
      </w:r>
      <w:proofErr w:type="spellEnd"/>
      <w:r w:rsidRPr="00412D3E">
        <w:rPr>
          <w:sz w:val="24"/>
          <w:szCs w:val="24"/>
        </w:rPr>
        <w:t>, M. B. (2021). Students' low proficiency in spoken English in private universities in Bangladesh: Reasons and remedies. Language Testing in Asia, 11(1), Article 22. https://doi.org/10.1186/s40468-021-00139-0</w:t>
      </w:r>
    </w:p>
    <w:p w14:paraId="787BDAC0" w14:textId="77777777" w:rsidR="00D76725" w:rsidRPr="00412D3E" w:rsidRDefault="00000000" w:rsidP="00412D3E">
      <w:pPr>
        <w:spacing w:before="100" w:beforeAutospacing="1" w:after="100" w:afterAutospacing="1"/>
        <w:ind w:left="720" w:hanging="720"/>
        <w:jc w:val="both"/>
      </w:pPr>
      <w:r w:rsidRPr="00412D3E">
        <w:rPr>
          <w:sz w:val="24"/>
          <w:szCs w:val="24"/>
        </w:rPr>
        <w:t xml:space="preserve">Karatay, Y., &amp; Karatay, L. (2024). Automated writing evaluation </w:t>
      </w:r>
      <w:proofErr w:type="gramStart"/>
      <w:r w:rsidRPr="00412D3E">
        <w:rPr>
          <w:sz w:val="24"/>
          <w:szCs w:val="24"/>
        </w:rPr>
        <w:t>use</w:t>
      </w:r>
      <w:proofErr w:type="gramEnd"/>
      <w:r w:rsidRPr="00412D3E">
        <w:rPr>
          <w:sz w:val="24"/>
          <w:szCs w:val="24"/>
        </w:rPr>
        <w:t xml:space="preserve"> in second language classrooms: A research synthesis. System, 123, Article 103332. https://doi.org/10.1016/j.system.2024.103332</w:t>
      </w:r>
    </w:p>
    <w:p w14:paraId="4283E4D9" w14:textId="77777777" w:rsidR="00D76725" w:rsidRPr="00412D3E" w:rsidRDefault="00000000" w:rsidP="00412D3E">
      <w:pPr>
        <w:spacing w:before="100" w:beforeAutospacing="1" w:after="100" w:afterAutospacing="1"/>
        <w:ind w:left="720" w:hanging="720"/>
        <w:jc w:val="both"/>
      </w:pPr>
      <w:r w:rsidRPr="00412D3E">
        <w:rPr>
          <w:sz w:val="24"/>
          <w:szCs w:val="24"/>
        </w:rPr>
        <w:t xml:space="preserve">Karim, A., Kabilan, M. K., Ahmed, Z., </w:t>
      </w:r>
      <w:proofErr w:type="spellStart"/>
      <w:r w:rsidRPr="00412D3E">
        <w:rPr>
          <w:sz w:val="24"/>
          <w:szCs w:val="24"/>
        </w:rPr>
        <w:t>Reshmin</w:t>
      </w:r>
      <w:proofErr w:type="spellEnd"/>
      <w:r w:rsidRPr="00412D3E">
        <w:rPr>
          <w:sz w:val="24"/>
          <w:szCs w:val="24"/>
        </w:rPr>
        <w:t>, L., &amp; Rahman, M. M. (2023). The medium of instruction in Bangladeshi higher education institutions: Bangla, English, or both? Journal of Language, Identity &amp; Education, 22(3), 232–246. https://doi.org/10.1080/15348458.2020.1871353</w:t>
      </w:r>
    </w:p>
    <w:p w14:paraId="58EF1E4A" w14:textId="77777777" w:rsidR="00D76725" w:rsidRPr="00412D3E" w:rsidRDefault="00000000" w:rsidP="00412D3E">
      <w:pPr>
        <w:spacing w:before="100" w:beforeAutospacing="1" w:after="100" w:afterAutospacing="1"/>
        <w:ind w:left="720" w:hanging="720"/>
        <w:jc w:val="both"/>
      </w:pPr>
      <w:r w:rsidRPr="00412D3E">
        <w:rPr>
          <w:sz w:val="24"/>
          <w:szCs w:val="24"/>
        </w:rPr>
        <w:t xml:space="preserve">Kartal, G., &amp; Yeşilyurt, Y. E. (2024). A bibliometric analysis of artificial intelligence in L2 teaching and applied linguistics between 1995 and 2022. </w:t>
      </w:r>
      <w:proofErr w:type="spellStart"/>
      <w:r w:rsidRPr="00412D3E">
        <w:rPr>
          <w:sz w:val="24"/>
          <w:szCs w:val="24"/>
        </w:rPr>
        <w:t>ReCALL</w:t>
      </w:r>
      <w:proofErr w:type="spellEnd"/>
      <w:r w:rsidRPr="00412D3E">
        <w:rPr>
          <w:sz w:val="24"/>
          <w:szCs w:val="24"/>
        </w:rPr>
        <w:t>, 36(3), 359–375. https://doi.org/10.1017/S0958344024000077</w:t>
      </w:r>
    </w:p>
    <w:p w14:paraId="6869E555" w14:textId="77777777" w:rsidR="00D76725" w:rsidRPr="00412D3E" w:rsidRDefault="00000000" w:rsidP="00412D3E">
      <w:pPr>
        <w:spacing w:before="100" w:beforeAutospacing="1" w:after="100" w:afterAutospacing="1"/>
        <w:ind w:left="720" w:hanging="720"/>
        <w:jc w:val="both"/>
      </w:pPr>
      <w:r w:rsidRPr="00412D3E">
        <w:rPr>
          <w:sz w:val="24"/>
          <w:szCs w:val="24"/>
        </w:rPr>
        <w:t>Kern, R. (2024). Twenty-first century technologies and language education: Charting a path forward. The Modern Language Journal, 108(2), 515–533. https://doi.org/10.1111/modl.12924</w:t>
      </w:r>
    </w:p>
    <w:p w14:paraId="418FCFA9" w14:textId="77777777" w:rsidR="00D76725" w:rsidRPr="00412D3E" w:rsidRDefault="00000000" w:rsidP="00412D3E">
      <w:pPr>
        <w:spacing w:before="100" w:beforeAutospacing="1" w:after="100" w:afterAutospacing="1"/>
        <w:ind w:left="720" w:hanging="720"/>
        <w:jc w:val="both"/>
      </w:pPr>
      <w:r w:rsidRPr="00412D3E">
        <w:rPr>
          <w:sz w:val="24"/>
          <w:szCs w:val="24"/>
        </w:rPr>
        <w:t xml:space="preserve">Khan, A. L., Hasan, M. M., Islam, M. N., &amp; Uddin, M. S. (2024). Artificial intelligence tools in developing English writing skills: Bangladeshi university EFL students' perceptions. English Education: </w:t>
      </w:r>
      <w:proofErr w:type="spellStart"/>
      <w:r w:rsidRPr="00412D3E">
        <w:rPr>
          <w:sz w:val="24"/>
          <w:szCs w:val="24"/>
        </w:rPr>
        <w:t>Jurnal</w:t>
      </w:r>
      <w:proofErr w:type="spellEnd"/>
      <w:r w:rsidRPr="00412D3E">
        <w:rPr>
          <w:sz w:val="24"/>
          <w:szCs w:val="24"/>
        </w:rPr>
        <w:t xml:space="preserve"> Tadris Bahasa </w:t>
      </w:r>
      <w:proofErr w:type="spellStart"/>
      <w:r w:rsidRPr="00412D3E">
        <w:rPr>
          <w:sz w:val="24"/>
          <w:szCs w:val="24"/>
        </w:rPr>
        <w:t>Inggris</w:t>
      </w:r>
      <w:proofErr w:type="spellEnd"/>
      <w:r w:rsidRPr="00412D3E">
        <w:rPr>
          <w:sz w:val="24"/>
          <w:szCs w:val="24"/>
        </w:rPr>
        <w:t>, 17(2), 345–371. https://doi.org/10.24042/ee-jtbi.v17i2.24369</w:t>
      </w:r>
    </w:p>
    <w:p w14:paraId="451E61CF" w14:textId="77777777" w:rsidR="00D76725" w:rsidRPr="00412D3E" w:rsidRDefault="00000000" w:rsidP="00412D3E">
      <w:pPr>
        <w:spacing w:before="100" w:beforeAutospacing="1" w:after="100" w:afterAutospacing="1"/>
        <w:ind w:left="720" w:hanging="720"/>
        <w:jc w:val="both"/>
      </w:pPr>
      <w:r w:rsidRPr="00412D3E">
        <w:rPr>
          <w:sz w:val="24"/>
          <w:szCs w:val="24"/>
        </w:rPr>
        <w:lastRenderedPageBreak/>
        <w:t>Kibria, M. G., Khanom, K., Sultana, J., &amp; Chowdhury, F. P. (2026). Determinants of ChatGPT adoption in higher education: An empirical study on public and private university students in Bangladesh. Global Business Review. Advance online publication. https://doi.org/10.1177/09721509261443740</w:t>
      </w:r>
    </w:p>
    <w:p w14:paraId="399B0CC1" w14:textId="77777777" w:rsidR="00D76725" w:rsidRPr="00412D3E" w:rsidRDefault="00000000" w:rsidP="00412D3E">
      <w:pPr>
        <w:spacing w:before="100" w:beforeAutospacing="1" w:after="100" w:afterAutospacing="1"/>
        <w:ind w:left="720" w:hanging="720"/>
        <w:jc w:val="both"/>
      </w:pPr>
      <w:r w:rsidRPr="00412D3E">
        <w:rPr>
          <w:sz w:val="24"/>
          <w:szCs w:val="24"/>
        </w:rPr>
        <w:t xml:space="preserve">Klimova, B., </w:t>
      </w:r>
      <w:proofErr w:type="spellStart"/>
      <w:r w:rsidRPr="00412D3E">
        <w:rPr>
          <w:sz w:val="24"/>
          <w:szCs w:val="24"/>
        </w:rPr>
        <w:t>Pikhart</w:t>
      </w:r>
      <w:proofErr w:type="spellEnd"/>
      <w:r w:rsidRPr="00412D3E">
        <w:rPr>
          <w:sz w:val="24"/>
          <w:szCs w:val="24"/>
        </w:rPr>
        <w:t>, M., Benites, A. D., Lehr, C., &amp; Sanchez-</w:t>
      </w:r>
      <w:proofErr w:type="spellStart"/>
      <w:r w:rsidRPr="00412D3E">
        <w:rPr>
          <w:sz w:val="24"/>
          <w:szCs w:val="24"/>
        </w:rPr>
        <w:t>Stockhammer</w:t>
      </w:r>
      <w:proofErr w:type="spellEnd"/>
      <w:r w:rsidRPr="00412D3E">
        <w:rPr>
          <w:sz w:val="24"/>
          <w:szCs w:val="24"/>
        </w:rPr>
        <w:t>, C. (2023). Neural machine translation in foreign language teaching and learning: A systematic review. Education and Information Technologies, 28(1), 663–682. https://doi.org/10.1007/s10639-022-11194-2</w:t>
      </w:r>
    </w:p>
    <w:p w14:paraId="0C4517B1" w14:textId="77777777" w:rsidR="00D76725" w:rsidRPr="00412D3E" w:rsidRDefault="00000000" w:rsidP="00412D3E">
      <w:pPr>
        <w:spacing w:before="100" w:beforeAutospacing="1" w:after="100" w:afterAutospacing="1"/>
        <w:ind w:left="720" w:hanging="720"/>
        <w:jc w:val="both"/>
      </w:pPr>
      <w:r w:rsidRPr="00412D3E">
        <w:rPr>
          <w:sz w:val="24"/>
          <w:szCs w:val="24"/>
        </w:rPr>
        <w:t>Kohnke, L., Moorhouse, B. L., &amp; Zou, D. (2023a). ChatGPT for language teaching and learning. RELC Journal, 54(2), 537–550. https://doi.org/10.1177/00336882231162868</w:t>
      </w:r>
    </w:p>
    <w:p w14:paraId="51AA9108" w14:textId="77777777" w:rsidR="00D76725" w:rsidRPr="00412D3E" w:rsidRDefault="00000000" w:rsidP="00412D3E">
      <w:pPr>
        <w:spacing w:before="100" w:beforeAutospacing="1" w:after="100" w:afterAutospacing="1"/>
        <w:ind w:left="720" w:hanging="720"/>
        <w:jc w:val="both"/>
      </w:pPr>
      <w:r w:rsidRPr="00412D3E">
        <w:rPr>
          <w:sz w:val="24"/>
          <w:szCs w:val="24"/>
        </w:rPr>
        <w:t>Kohnke, L., Moorhouse, B. L., &amp; Zou, D. (2023b). Exploring generative artificial intelligence preparedness among university language instructors: A case study. Computers and Education: Artificial Intelligence, 5, Article 100156. https://doi.org/10.1016/j.caeai.2023.100156</w:t>
      </w:r>
    </w:p>
    <w:p w14:paraId="178AAE6F" w14:textId="77777777" w:rsidR="00D76725" w:rsidRPr="00412D3E" w:rsidRDefault="00000000" w:rsidP="00412D3E">
      <w:pPr>
        <w:spacing w:before="100" w:beforeAutospacing="1" w:after="100" w:afterAutospacing="1"/>
        <w:ind w:left="720" w:hanging="720"/>
        <w:jc w:val="both"/>
      </w:pPr>
      <w:proofErr w:type="spellStart"/>
      <w:r w:rsidRPr="00412D3E">
        <w:rPr>
          <w:sz w:val="24"/>
          <w:szCs w:val="24"/>
        </w:rPr>
        <w:t>Koltovskaia</w:t>
      </w:r>
      <w:proofErr w:type="spellEnd"/>
      <w:r w:rsidRPr="00412D3E">
        <w:rPr>
          <w:sz w:val="24"/>
          <w:szCs w:val="24"/>
        </w:rPr>
        <w:t>, S. (2020). Student engagement with automated written corrective feedback (AWCF) provided by Grammarly: A multiple case study. Assessing Writing, 44, Article 100450. https://doi.org/10.1016/j.asw.2020.100450</w:t>
      </w:r>
    </w:p>
    <w:p w14:paraId="3E529996" w14:textId="77777777" w:rsidR="008A717F" w:rsidRPr="00412D3E" w:rsidRDefault="00000000" w:rsidP="00412D3E">
      <w:pPr>
        <w:spacing w:before="100" w:beforeAutospacing="1" w:after="100" w:afterAutospacing="1"/>
        <w:ind w:left="720" w:hanging="720"/>
        <w:jc w:val="both"/>
      </w:pPr>
      <w:r w:rsidRPr="00412D3E">
        <w:rPr>
          <w:sz w:val="24"/>
          <w:szCs w:val="24"/>
          <w:highlight w:val="yellow"/>
        </w:rPr>
        <w:t>Lai, W. Y. W., &amp; Lee, J. S. (2024). A systematic review of conversational AI tools in ELT: Publication trends, tools, research methods, learning outcomes, and antecedents. Computers and Education: Artificial Intelligence, 7, Article 100291. https://doi.org/10.1016/j.caeai.2024.100291</w:t>
      </w:r>
    </w:p>
    <w:p w14:paraId="01DAF15A" w14:textId="77777777" w:rsidR="00D76725" w:rsidRPr="00412D3E" w:rsidRDefault="00000000" w:rsidP="00412D3E">
      <w:pPr>
        <w:spacing w:before="100" w:beforeAutospacing="1" w:after="100" w:afterAutospacing="1"/>
        <w:ind w:left="720" w:hanging="720"/>
        <w:jc w:val="both"/>
      </w:pPr>
      <w:r w:rsidRPr="00412D3E">
        <w:rPr>
          <w:sz w:val="24"/>
          <w:szCs w:val="24"/>
        </w:rPr>
        <w:t>Landa-Blanco, M. (2026). Artificial intelligence in education: Applications and limitations for teachers in low- and middle-income countries. Frontiers in Education, 10, Article 1681836. https://doi.org/10.3389/feduc.2025.1681836</w:t>
      </w:r>
    </w:p>
    <w:p w14:paraId="4769C5B6" w14:textId="77777777" w:rsidR="008A717F" w:rsidRPr="00412D3E" w:rsidRDefault="00000000" w:rsidP="00412D3E">
      <w:pPr>
        <w:spacing w:before="100" w:beforeAutospacing="1" w:after="100" w:afterAutospacing="1"/>
        <w:ind w:left="720" w:hanging="720"/>
        <w:jc w:val="both"/>
      </w:pPr>
      <w:r w:rsidRPr="00412D3E">
        <w:rPr>
          <w:sz w:val="24"/>
          <w:szCs w:val="24"/>
          <w:highlight w:val="yellow"/>
        </w:rPr>
        <w:t>Lee, S., Choe, H., Zou, D., &amp; Jeon, J. (2026). Generative AI (GenAI) in the language classroom: A systematic review. Interactive Learning Environments, 34(1), 335–359. https://doi.org/10.1080/10494820.2025.2498537</w:t>
      </w:r>
    </w:p>
    <w:p w14:paraId="3FD2C3EA" w14:textId="77777777" w:rsidR="008A717F" w:rsidRPr="00412D3E" w:rsidRDefault="00000000" w:rsidP="00412D3E">
      <w:pPr>
        <w:spacing w:before="100" w:beforeAutospacing="1" w:after="100" w:afterAutospacing="1"/>
        <w:ind w:left="720" w:hanging="720"/>
        <w:jc w:val="both"/>
      </w:pPr>
      <w:r w:rsidRPr="00412D3E">
        <w:rPr>
          <w:sz w:val="24"/>
          <w:szCs w:val="24"/>
          <w:highlight w:val="yellow"/>
        </w:rPr>
        <w:t>Lee, S., Jeon, J., McKinley, J., &amp; Rose, H. (2025). Generative AI and English language teaching: A global Englishes perspective. Annual Review of Applied Linguistics, 45, 85–108. https://doi.org/10.1017/S0267190525100184</w:t>
      </w:r>
    </w:p>
    <w:p w14:paraId="13B2CEF6" w14:textId="77777777" w:rsidR="00D76725" w:rsidRPr="00412D3E" w:rsidRDefault="00000000" w:rsidP="00412D3E">
      <w:pPr>
        <w:spacing w:before="100" w:beforeAutospacing="1" w:after="100" w:afterAutospacing="1"/>
        <w:ind w:left="720" w:hanging="720"/>
        <w:jc w:val="both"/>
      </w:pPr>
      <w:r w:rsidRPr="00412D3E">
        <w:rPr>
          <w:sz w:val="24"/>
          <w:szCs w:val="24"/>
        </w:rPr>
        <w:t>Lee, S. M. (2020). The impact of using machine translation on EFL students' writing. Computer Assisted Language Learning, 33(3), 157–175. https://doi.org/10.1080/09588221.2018.1553186</w:t>
      </w:r>
    </w:p>
    <w:p w14:paraId="4DBA7CDF" w14:textId="77777777" w:rsidR="00D76725" w:rsidRPr="00412D3E" w:rsidRDefault="00000000" w:rsidP="00412D3E">
      <w:pPr>
        <w:spacing w:before="100" w:beforeAutospacing="1" w:after="100" w:afterAutospacing="1"/>
        <w:ind w:left="720" w:hanging="720"/>
        <w:jc w:val="both"/>
      </w:pPr>
      <w:r w:rsidRPr="00412D3E">
        <w:rPr>
          <w:sz w:val="24"/>
          <w:szCs w:val="24"/>
        </w:rPr>
        <w:t>Lee, S. M. (2023). The effectiveness of machine translation in foreign language education: A systematic review and meta-analysis. Computer Assisted Language Learning, 36(1–2), 103–125. https://doi.org/10.1080/09588221.2021.1901745</w:t>
      </w:r>
    </w:p>
    <w:p w14:paraId="0655581F" w14:textId="77777777" w:rsidR="00D76725" w:rsidRPr="00412D3E" w:rsidRDefault="00000000" w:rsidP="00412D3E">
      <w:pPr>
        <w:spacing w:before="100" w:beforeAutospacing="1" w:after="100" w:afterAutospacing="1"/>
        <w:ind w:left="720" w:hanging="720"/>
        <w:jc w:val="both"/>
      </w:pPr>
      <w:r w:rsidRPr="00412D3E">
        <w:rPr>
          <w:sz w:val="24"/>
          <w:szCs w:val="24"/>
        </w:rPr>
        <w:t>Li, Z. (2021). Teachers in automated writing evaluation (AWE) system-supported ESL writing classes: Perception, implementation, and influence. System, 99, Article 102505. https://doi.org/10.1016/j.system.2021.102505</w:t>
      </w:r>
    </w:p>
    <w:p w14:paraId="13226053" w14:textId="77777777" w:rsidR="00D76725" w:rsidRPr="00412D3E" w:rsidRDefault="00000000" w:rsidP="00412D3E">
      <w:pPr>
        <w:spacing w:before="100" w:beforeAutospacing="1" w:after="100" w:afterAutospacing="1"/>
        <w:ind w:left="720" w:hanging="720"/>
        <w:jc w:val="both"/>
      </w:pPr>
      <w:r w:rsidRPr="00412D3E">
        <w:rPr>
          <w:sz w:val="24"/>
          <w:szCs w:val="24"/>
        </w:rPr>
        <w:lastRenderedPageBreak/>
        <w:t>Link, S., Mehrzad, M., &amp; Rahimi, M. (2022). Impact of automated writing evaluation on teacher feedback, student revision, and writing improvement. Computer Assisted Language Learning, 35(4), 605–634. https://doi.org/10.1080/09588221.2020.1743323</w:t>
      </w:r>
    </w:p>
    <w:p w14:paraId="28D6196F" w14:textId="77777777" w:rsidR="00D76725" w:rsidRPr="00412D3E" w:rsidRDefault="00000000" w:rsidP="00412D3E">
      <w:pPr>
        <w:spacing w:before="100" w:beforeAutospacing="1" w:after="100" w:afterAutospacing="1"/>
        <w:ind w:left="720" w:hanging="720"/>
        <w:jc w:val="both"/>
      </w:pPr>
      <w:r w:rsidRPr="00412D3E">
        <w:rPr>
          <w:sz w:val="24"/>
          <w:szCs w:val="24"/>
        </w:rPr>
        <w:t>Liu, Y., Park, J., &amp; McMinn, S. (2024). Using generative artificial intelligence/ChatGPT for academic communication: Students' perspectives. International Journal of Applied Linguistics, 34(4), 1437–1461. https://doi.org/10.1111/ijal.12574</w:t>
      </w:r>
    </w:p>
    <w:p w14:paraId="389A8387" w14:textId="77777777" w:rsidR="00D76725" w:rsidRPr="00412D3E" w:rsidRDefault="00000000" w:rsidP="00412D3E">
      <w:pPr>
        <w:spacing w:before="100" w:beforeAutospacing="1" w:after="100" w:afterAutospacing="1"/>
        <w:ind w:left="720" w:hanging="720"/>
        <w:jc w:val="both"/>
      </w:pPr>
      <w:r w:rsidRPr="00412D3E">
        <w:rPr>
          <w:sz w:val="24"/>
          <w:szCs w:val="24"/>
        </w:rPr>
        <w:t>Lo, C. K., Yu, P. L. H., Xu, S., Ng, D. T. K., &amp; Jong, M. S. Y. (2024). Exploring the application of ChatGPT in ESL/EFL education and related research issues: A systematic review of empirical studies. Smart Learning Environments, 11(1), Article 50. https://doi.org/10.1186/s40561-024-00342-5</w:t>
      </w:r>
    </w:p>
    <w:p w14:paraId="1AB4A178" w14:textId="77777777" w:rsidR="00D76725" w:rsidRPr="00412D3E" w:rsidRDefault="00000000" w:rsidP="00412D3E">
      <w:pPr>
        <w:spacing w:before="100" w:beforeAutospacing="1" w:after="100" w:afterAutospacing="1"/>
        <w:ind w:left="720" w:hanging="720"/>
        <w:jc w:val="both"/>
      </w:pPr>
      <w:r w:rsidRPr="00412D3E">
        <w:rPr>
          <w:sz w:val="24"/>
          <w:szCs w:val="24"/>
        </w:rPr>
        <w:t xml:space="preserve">Marzuki, </w:t>
      </w:r>
      <w:proofErr w:type="spellStart"/>
      <w:r w:rsidRPr="00412D3E">
        <w:rPr>
          <w:sz w:val="24"/>
          <w:szCs w:val="24"/>
        </w:rPr>
        <w:t>Widiati</w:t>
      </w:r>
      <w:proofErr w:type="spellEnd"/>
      <w:r w:rsidRPr="00412D3E">
        <w:rPr>
          <w:sz w:val="24"/>
          <w:szCs w:val="24"/>
        </w:rPr>
        <w:t xml:space="preserve">, U., </w:t>
      </w:r>
      <w:proofErr w:type="spellStart"/>
      <w:r w:rsidRPr="00412D3E">
        <w:rPr>
          <w:sz w:val="24"/>
          <w:szCs w:val="24"/>
        </w:rPr>
        <w:t>Rusdin</w:t>
      </w:r>
      <w:proofErr w:type="spellEnd"/>
      <w:r w:rsidRPr="00412D3E">
        <w:rPr>
          <w:sz w:val="24"/>
          <w:szCs w:val="24"/>
        </w:rPr>
        <w:t xml:space="preserve">, D., Darwin, &amp; </w:t>
      </w:r>
      <w:proofErr w:type="spellStart"/>
      <w:r w:rsidRPr="00412D3E">
        <w:rPr>
          <w:sz w:val="24"/>
          <w:szCs w:val="24"/>
        </w:rPr>
        <w:t>Indrawati</w:t>
      </w:r>
      <w:proofErr w:type="spellEnd"/>
      <w:r w:rsidRPr="00412D3E">
        <w:rPr>
          <w:sz w:val="24"/>
          <w:szCs w:val="24"/>
        </w:rPr>
        <w:t>, I. (2023). The impact of AI writing tools on the content and organization of students' writing: EFL teachers' perspective. Cogent Education, 10(2), Article 2236469. https://doi.org/10.1080/2331186X.2023.2236469</w:t>
      </w:r>
    </w:p>
    <w:p w14:paraId="1EA340C1" w14:textId="77777777" w:rsidR="00D76725" w:rsidRPr="00412D3E" w:rsidRDefault="00000000" w:rsidP="00412D3E">
      <w:pPr>
        <w:spacing w:before="100" w:beforeAutospacing="1" w:after="100" w:afterAutospacing="1"/>
        <w:ind w:left="720" w:hanging="720"/>
        <w:jc w:val="both"/>
      </w:pPr>
      <w:r w:rsidRPr="00412D3E">
        <w:rPr>
          <w:sz w:val="24"/>
          <w:szCs w:val="24"/>
        </w:rPr>
        <w:t>Mathrani, A., Sarvesh, T., &amp; Umer, R. (2022). Digital divide framework: Online learning in developing countries during the COVID-19 lockdown. Globalisation, Societies and Education, 20(5), 625–640. https://doi.org/10.1080/14767724.2021.1981253</w:t>
      </w:r>
    </w:p>
    <w:p w14:paraId="77F7DC84" w14:textId="77777777" w:rsidR="00D76725" w:rsidRPr="00412D3E" w:rsidRDefault="00000000" w:rsidP="00412D3E">
      <w:pPr>
        <w:spacing w:before="100" w:beforeAutospacing="1" w:after="100" w:afterAutospacing="1"/>
        <w:ind w:left="720" w:hanging="720"/>
        <w:jc w:val="both"/>
      </w:pPr>
      <w:r w:rsidRPr="00412D3E">
        <w:rPr>
          <w:sz w:val="24"/>
          <w:szCs w:val="24"/>
        </w:rPr>
        <w:t xml:space="preserve">McGrath, C., </w:t>
      </w:r>
      <w:proofErr w:type="spellStart"/>
      <w:r w:rsidRPr="00412D3E">
        <w:rPr>
          <w:sz w:val="24"/>
          <w:szCs w:val="24"/>
        </w:rPr>
        <w:t>Farazouli</w:t>
      </w:r>
      <w:proofErr w:type="spellEnd"/>
      <w:r w:rsidRPr="00412D3E">
        <w:rPr>
          <w:sz w:val="24"/>
          <w:szCs w:val="24"/>
        </w:rPr>
        <w:t xml:space="preserve">, A., &amp; </w:t>
      </w:r>
      <w:proofErr w:type="spellStart"/>
      <w:r w:rsidRPr="00412D3E">
        <w:rPr>
          <w:sz w:val="24"/>
          <w:szCs w:val="24"/>
        </w:rPr>
        <w:t>Cerratto</w:t>
      </w:r>
      <w:proofErr w:type="spellEnd"/>
      <w:r w:rsidRPr="00412D3E">
        <w:rPr>
          <w:sz w:val="24"/>
          <w:szCs w:val="24"/>
        </w:rPr>
        <w:t>-Pargman, T. (2025). Generative AI chatbots in higher education: A review of an emerging research area. Higher Education, 89(6), 1533–1549. https://doi.org/10.1007/s10734-024-01288-w</w:t>
      </w:r>
    </w:p>
    <w:p w14:paraId="7AD39AD4" w14:textId="77777777" w:rsidR="00D76725" w:rsidRPr="00412D3E" w:rsidRDefault="00000000" w:rsidP="00412D3E">
      <w:pPr>
        <w:spacing w:before="100" w:beforeAutospacing="1" w:after="100" w:afterAutospacing="1"/>
        <w:ind w:left="720" w:hanging="720"/>
        <w:jc w:val="both"/>
      </w:pPr>
      <w:proofErr w:type="spellStart"/>
      <w:r w:rsidRPr="00412D3E">
        <w:rPr>
          <w:sz w:val="24"/>
          <w:szCs w:val="24"/>
        </w:rPr>
        <w:t>Mojumder</w:t>
      </w:r>
      <w:proofErr w:type="spellEnd"/>
      <w:r w:rsidRPr="00412D3E">
        <w:rPr>
          <w:sz w:val="24"/>
          <w:szCs w:val="24"/>
        </w:rPr>
        <w:t>, B., Uddin, M. J., &amp; Dey, K. (2025). Perspectives, preparedness and challenges of the abrupt transition of emergency online learning to traditional methods in higher education of Bangladesh in the post-pandemic era. Discover Education, 4(1), Article 33. https://doi.org/10.1007/s44217-025-00417-6</w:t>
      </w:r>
    </w:p>
    <w:p w14:paraId="22E79FFE" w14:textId="77777777" w:rsidR="00D76725" w:rsidRPr="00412D3E" w:rsidRDefault="00000000" w:rsidP="00412D3E">
      <w:pPr>
        <w:spacing w:before="100" w:beforeAutospacing="1" w:after="100" w:afterAutospacing="1"/>
        <w:ind w:left="720" w:hanging="720"/>
        <w:jc w:val="both"/>
      </w:pPr>
      <w:r w:rsidRPr="00412D3E">
        <w:rPr>
          <w:sz w:val="24"/>
          <w:szCs w:val="24"/>
        </w:rPr>
        <w:t>Moorhouse, B. L., Yeo, M. A., &amp; Wan, Y. (2023). Generative AI tools and assessment: Guidelines of the world's top-ranking universities. Computers and Education Open, 5, Article 100151. https://doi.org/10.1016/j.caeo.2023.100151</w:t>
      </w:r>
    </w:p>
    <w:p w14:paraId="2AF1992F" w14:textId="77777777" w:rsidR="00D76725" w:rsidRPr="00412D3E" w:rsidRDefault="00000000" w:rsidP="00412D3E">
      <w:pPr>
        <w:spacing w:before="100" w:beforeAutospacing="1" w:after="100" w:afterAutospacing="1"/>
        <w:ind w:left="720" w:hanging="720"/>
        <w:jc w:val="both"/>
      </w:pPr>
      <w:r w:rsidRPr="00412D3E">
        <w:rPr>
          <w:sz w:val="24"/>
          <w:szCs w:val="24"/>
        </w:rPr>
        <w:t>Munni, B. E., &amp; Rafique, R. (2025). Teachers' experiences of using AI-powered technologies in Bangladeshi English language classrooms. Spectrum, 18(1), 89–100. https://doi.org/10.3329/spectrum.v18i1.76362</w:t>
      </w:r>
    </w:p>
    <w:p w14:paraId="118E659C" w14:textId="77777777" w:rsidR="00D76725" w:rsidRPr="00412D3E" w:rsidRDefault="00000000" w:rsidP="00412D3E">
      <w:pPr>
        <w:spacing w:before="100" w:beforeAutospacing="1" w:after="100" w:afterAutospacing="1"/>
        <w:ind w:left="720" w:hanging="720"/>
        <w:jc w:val="both"/>
      </w:pPr>
      <w:r w:rsidRPr="00412D3E">
        <w:rPr>
          <w:sz w:val="24"/>
          <w:szCs w:val="24"/>
        </w:rPr>
        <w:t>Nahiyan, S., &amp; Rahman, A. G. (2026). Academic integrity and generative AI: Disciplinary teachers' perspectives on ethical dilemmas in assessing writing in EMI universities. Social Sciences &amp; Humanities Open, 13, Article 102729. https://doi.org/10.1016/j.ssaho.2026.102729</w:t>
      </w:r>
    </w:p>
    <w:p w14:paraId="1EDCDABB" w14:textId="77777777" w:rsidR="00D76725" w:rsidRPr="00412D3E" w:rsidRDefault="00000000" w:rsidP="00412D3E">
      <w:pPr>
        <w:spacing w:before="100" w:beforeAutospacing="1" w:after="100" w:afterAutospacing="1"/>
        <w:ind w:left="720" w:hanging="720"/>
        <w:jc w:val="both"/>
      </w:pPr>
      <w:r w:rsidRPr="00412D3E">
        <w:rPr>
          <w:sz w:val="24"/>
          <w:szCs w:val="24"/>
        </w:rPr>
        <w:t>Nguyen, L., &amp; Barrot, J. S. (2024). Detecting and assessing AI-generated and human-produced texts: The case of second language writing teachers. Assessing Writing, 62, Article 100899. https://doi.org/10.1016/j.asw.2024.100899</w:t>
      </w:r>
    </w:p>
    <w:p w14:paraId="19BFEF3C" w14:textId="77777777" w:rsidR="00D76725" w:rsidRPr="00412D3E" w:rsidRDefault="00000000" w:rsidP="00412D3E">
      <w:pPr>
        <w:spacing w:before="100" w:beforeAutospacing="1" w:after="100" w:afterAutospacing="1"/>
        <w:ind w:left="720" w:hanging="720"/>
        <w:jc w:val="both"/>
      </w:pPr>
      <w:r w:rsidRPr="00412D3E">
        <w:rPr>
          <w:sz w:val="24"/>
          <w:szCs w:val="24"/>
        </w:rPr>
        <w:lastRenderedPageBreak/>
        <w:t>Perkins, M. (2023). Academic integrity considerations of AI large language models in the post-pandemic era: ChatGPT and beyond. Journal of University Teaching and Learning Practice, 20(2), Article 7. https://doi.org/10.53761/1.20.02.07</w:t>
      </w:r>
    </w:p>
    <w:p w14:paraId="73498638" w14:textId="77777777" w:rsidR="00D76725" w:rsidRPr="00412D3E" w:rsidRDefault="00000000" w:rsidP="00412D3E">
      <w:pPr>
        <w:spacing w:before="100" w:beforeAutospacing="1" w:after="100" w:afterAutospacing="1"/>
        <w:ind w:left="720" w:hanging="720"/>
        <w:jc w:val="both"/>
      </w:pPr>
      <w:r w:rsidRPr="00412D3E">
        <w:rPr>
          <w:sz w:val="24"/>
          <w:szCs w:val="24"/>
        </w:rPr>
        <w:t>Perkins, M., Roe, J., Postma, D., McGaughran, J., &amp; Hickerson, D. (2024). Detection of GPT-4 generated text in higher education: Combining academic judgement and software to identify generative AI tool misuse. Journal of Academic Ethics, 22(1), 89–113. https://doi.org/10.1007/s10805-023-09492-6</w:t>
      </w:r>
    </w:p>
    <w:p w14:paraId="66AEFFBD" w14:textId="77777777" w:rsidR="00D76725" w:rsidRPr="00412D3E" w:rsidRDefault="00000000" w:rsidP="00412D3E">
      <w:pPr>
        <w:spacing w:before="100" w:beforeAutospacing="1" w:after="100" w:afterAutospacing="1"/>
        <w:ind w:left="720" w:hanging="720"/>
        <w:jc w:val="both"/>
      </w:pPr>
      <w:r w:rsidRPr="00412D3E">
        <w:rPr>
          <w:sz w:val="24"/>
          <w:szCs w:val="24"/>
        </w:rPr>
        <w:t>Qiao, S., Gu, M. M., &amp; Lu, C. (2025). Artificial intelligence for language learning: A systematic review of its design, theoretical foundations, implementation, and impact. International Journal of Applied Linguistics. Advance online publication. https://doi.org/10.1111/ijal.70034</w:t>
      </w:r>
    </w:p>
    <w:p w14:paraId="6295D6FD" w14:textId="77777777" w:rsidR="00D76725" w:rsidRPr="00412D3E" w:rsidRDefault="00000000" w:rsidP="00412D3E">
      <w:pPr>
        <w:spacing w:before="100" w:beforeAutospacing="1" w:after="100" w:afterAutospacing="1"/>
        <w:ind w:left="720" w:hanging="720"/>
        <w:jc w:val="both"/>
      </w:pPr>
      <w:r w:rsidRPr="00412D3E">
        <w:rPr>
          <w:sz w:val="24"/>
          <w:szCs w:val="24"/>
        </w:rPr>
        <w:t>Rabbi, F., Islam, S., &amp; Hossain, J. (2024). Enhancing English language learning in tertiary education through blended approaches: A Bangladesh perspective. Indonesian Journal of Education Research, 5(1), 1–9. https://doi.org/10.37251/ijoer.v5i1.745</w:t>
      </w:r>
    </w:p>
    <w:p w14:paraId="2965A63E" w14:textId="77777777" w:rsidR="00D76725" w:rsidRPr="00412D3E" w:rsidRDefault="00000000" w:rsidP="00412D3E">
      <w:pPr>
        <w:spacing w:before="100" w:beforeAutospacing="1" w:after="100" w:afterAutospacing="1"/>
        <w:ind w:left="720" w:hanging="720"/>
        <w:jc w:val="both"/>
      </w:pPr>
      <w:r w:rsidRPr="00412D3E">
        <w:rPr>
          <w:sz w:val="24"/>
          <w:szCs w:val="24"/>
        </w:rPr>
        <w:t>Rafi, A. S. M., &amp; Morgan, A. M. (2023). Translanguaging and power in academic writing discourse: The case of a Bangladeshi university. Classroom Discourse, 14(2), 192–214. https://doi.org/10.1080/19463014.2022.2046621</w:t>
      </w:r>
    </w:p>
    <w:p w14:paraId="3BA75571" w14:textId="77777777" w:rsidR="00D76725" w:rsidRPr="00412D3E" w:rsidRDefault="00000000" w:rsidP="00412D3E">
      <w:pPr>
        <w:spacing w:before="100" w:beforeAutospacing="1" w:after="100" w:afterAutospacing="1"/>
        <w:ind w:left="720" w:hanging="720"/>
        <w:jc w:val="both"/>
      </w:pPr>
      <w:r w:rsidRPr="00412D3E">
        <w:rPr>
          <w:sz w:val="24"/>
          <w:szCs w:val="24"/>
        </w:rPr>
        <w:t>Rahman, M. M., &amp; Hu, G. (2025). Translanguaging and trans-</w:t>
      </w:r>
      <w:proofErr w:type="spellStart"/>
      <w:r w:rsidRPr="00412D3E">
        <w:rPr>
          <w:sz w:val="24"/>
          <w:szCs w:val="24"/>
        </w:rPr>
        <w:t>semiotizing</w:t>
      </w:r>
      <w:proofErr w:type="spellEnd"/>
      <w:r w:rsidRPr="00412D3E">
        <w:rPr>
          <w:sz w:val="24"/>
          <w:szCs w:val="24"/>
        </w:rPr>
        <w:t xml:space="preserve"> in English-medium classrooms: Upholding university's policies or constructing knowledge? Linguistics and Education, 87, Article 101424. https://doi.org/10.1016/j.linged.2025.101424</w:t>
      </w:r>
    </w:p>
    <w:p w14:paraId="1D859D61" w14:textId="77777777" w:rsidR="00D76725" w:rsidRPr="00412D3E" w:rsidRDefault="00000000" w:rsidP="00412D3E">
      <w:pPr>
        <w:spacing w:before="100" w:beforeAutospacing="1" w:after="100" w:afterAutospacing="1"/>
        <w:ind w:left="720" w:hanging="720"/>
        <w:jc w:val="both"/>
      </w:pPr>
      <w:r w:rsidRPr="00412D3E">
        <w:rPr>
          <w:sz w:val="24"/>
          <w:szCs w:val="24"/>
        </w:rPr>
        <w:t>Rahman, M. M., Islam, M. S., Karim, A., Chowdhury, T. A., Rahman, M. M., Seraj, P. M. I., &amp; Singh, M. K. M. (2019). English language teaching in Bangladesh today: Issues, outcomes and implications. Language Testing in Asia, 9(1), Article 9. https://doi.org/10.1186/s40468-019-0085-8</w:t>
      </w:r>
    </w:p>
    <w:p w14:paraId="29F35719" w14:textId="77777777" w:rsidR="00D76725" w:rsidRPr="00412D3E" w:rsidRDefault="00000000" w:rsidP="00412D3E">
      <w:pPr>
        <w:spacing w:before="100" w:beforeAutospacing="1" w:after="100" w:afterAutospacing="1"/>
        <w:ind w:left="720" w:hanging="720"/>
        <w:jc w:val="both"/>
      </w:pPr>
      <w:r w:rsidRPr="00412D3E">
        <w:rPr>
          <w:sz w:val="24"/>
          <w:szCs w:val="24"/>
        </w:rPr>
        <w:t>Rahman, M. M., &amp; Joof, F. (2026). Investigating technology, language, and institutional context: The moderating role of public university environments among Bangladeshi graduates. Discover Education, 5(1), Article 497. https://doi.org/10.1007/s44217-026-01507-9</w:t>
      </w:r>
    </w:p>
    <w:p w14:paraId="77613125" w14:textId="77777777" w:rsidR="00D76725" w:rsidRPr="00412D3E" w:rsidRDefault="00000000" w:rsidP="00412D3E">
      <w:pPr>
        <w:spacing w:before="100" w:beforeAutospacing="1" w:after="100" w:afterAutospacing="1"/>
        <w:ind w:left="720" w:hanging="720"/>
        <w:jc w:val="both"/>
      </w:pPr>
      <w:r w:rsidRPr="00412D3E">
        <w:rPr>
          <w:sz w:val="24"/>
          <w:szCs w:val="24"/>
        </w:rPr>
        <w:t>Rahman, M. M., Singh, M. K. M., &amp; Karim, A. (2020). Distinctive medium of instruction ideologies in public and private universities in Bangladesh. Asian Englishes, 22(2), 125–142. https://doi.org/10.1080/13488678.2019.1666493</w:t>
      </w:r>
    </w:p>
    <w:p w14:paraId="66A75B30" w14:textId="77777777" w:rsidR="00D76725" w:rsidRPr="00412D3E" w:rsidRDefault="00000000" w:rsidP="00412D3E">
      <w:pPr>
        <w:spacing w:before="100" w:beforeAutospacing="1" w:after="100" w:afterAutospacing="1"/>
        <w:ind w:left="720" w:hanging="720"/>
        <w:jc w:val="both"/>
      </w:pPr>
      <w:r w:rsidRPr="00412D3E">
        <w:rPr>
          <w:sz w:val="24"/>
          <w:szCs w:val="24"/>
        </w:rPr>
        <w:t>Rouf, M. A., Hossain, M. S., Habibullah, M., &amp; Ahmed, T. (2024). Online classes for higher education in Bangladesh during the COVID-19 pandemic: A perception-based study. PSU Research Review, 8(1), 284–295. https://doi.org/10.1108/PRR-05-2021-0026</w:t>
      </w:r>
    </w:p>
    <w:p w14:paraId="3D623F4B" w14:textId="77777777" w:rsidR="00D76725" w:rsidRPr="00412D3E" w:rsidRDefault="00000000" w:rsidP="00412D3E">
      <w:pPr>
        <w:spacing w:before="100" w:beforeAutospacing="1" w:after="100" w:afterAutospacing="1"/>
        <w:ind w:left="720" w:hanging="720"/>
        <w:jc w:val="both"/>
      </w:pPr>
      <w:r w:rsidRPr="00412D3E">
        <w:rPr>
          <w:sz w:val="24"/>
          <w:szCs w:val="24"/>
        </w:rPr>
        <w:t>Saha, A., Dutta, A., &amp; Sifat, R. I. (2021). The mental impact of digital divide due to COVID-19 pandemic induced emergency online learning at undergraduate level: Evidence from undergraduate students from Dhaka City. Journal of Affective Disorders, 294, 170–179. https://doi.org/10.1016/j.jad.2021.07.045</w:t>
      </w:r>
    </w:p>
    <w:p w14:paraId="7D22E793" w14:textId="77777777" w:rsidR="00D76725" w:rsidRPr="00412D3E" w:rsidRDefault="00000000" w:rsidP="00412D3E">
      <w:pPr>
        <w:spacing w:before="100" w:beforeAutospacing="1" w:after="100" w:afterAutospacing="1"/>
        <w:ind w:left="720" w:hanging="720"/>
        <w:jc w:val="both"/>
      </w:pPr>
      <w:r w:rsidRPr="00412D3E">
        <w:rPr>
          <w:sz w:val="24"/>
          <w:szCs w:val="24"/>
        </w:rPr>
        <w:lastRenderedPageBreak/>
        <w:t>Sasaki, M. (2023). AI tools as affordances and contradictions for EFL writers: Emic perspectives and L1 use as a resource. Journal of Second Language Writing, 62, Article 101068. https://doi.org/10.1016/j.jslw.2023.101068</w:t>
      </w:r>
    </w:p>
    <w:p w14:paraId="3F1AEF9C" w14:textId="77777777" w:rsidR="00D76725" w:rsidRPr="00412D3E" w:rsidRDefault="00000000" w:rsidP="00412D3E">
      <w:pPr>
        <w:spacing w:before="100" w:beforeAutospacing="1" w:after="100" w:afterAutospacing="1"/>
        <w:ind w:left="720" w:hanging="720"/>
        <w:jc w:val="both"/>
      </w:pPr>
      <w:proofErr w:type="spellStart"/>
      <w:r w:rsidRPr="00412D3E">
        <w:rPr>
          <w:sz w:val="24"/>
          <w:szCs w:val="24"/>
        </w:rPr>
        <w:t>Sharadgah</w:t>
      </w:r>
      <w:proofErr w:type="spellEnd"/>
      <w:r w:rsidRPr="00412D3E">
        <w:rPr>
          <w:sz w:val="24"/>
          <w:szCs w:val="24"/>
        </w:rPr>
        <w:t>, T. A., &amp; Sa'di, R. A. (2022). A systematic review of research on the use of artificial intelligence in English language teaching and learning (2015–2021): What are the current effects? Journal of Information Technology Education: Research, 21, 337–377. https://doi.org/10.28945/4999</w:t>
      </w:r>
    </w:p>
    <w:p w14:paraId="0766FB3B" w14:textId="77777777" w:rsidR="00D76725" w:rsidRPr="00412D3E" w:rsidRDefault="00000000" w:rsidP="00412D3E">
      <w:pPr>
        <w:spacing w:before="100" w:beforeAutospacing="1" w:after="100" w:afterAutospacing="1"/>
        <w:ind w:left="720" w:hanging="720"/>
        <w:jc w:val="both"/>
      </w:pPr>
      <w:r w:rsidRPr="00412D3E">
        <w:rPr>
          <w:sz w:val="24"/>
          <w:szCs w:val="24"/>
        </w:rPr>
        <w:t>Shi, H., Chai, C. S., Zhou, S., &amp; Aubrey, S. (2026). Comparing the effects of ChatGPT and automated writing evaluation on students' writing and ideal L2 writing self. Computer Assisted Language Learning, 39(4), 1148–1175. https://doi.org/10.1080/09588221.2025.2454541</w:t>
      </w:r>
    </w:p>
    <w:p w14:paraId="14C0CBD2" w14:textId="77777777" w:rsidR="00D76725" w:rsidRPr="00412D3E" w:rsidRDefault="00000000" w:rsidP="00412D3E">
      <w:pPr>
        <w:spacing w:before="100" w:beforeAutospacing="1" w:after="100" w:afterAutospacing="1"/>
        <w:ind w:left="720" w:hanging="720"/>
        <w:jc w:val="both"/>
      </w:pPr>
      <w:r w:rsidRPr="00412D3E">
        <w:rPr>
          <w:sz w:val="24"/>
          <w:szCs w:val="24"/>
        </w:rPr>
        <w:t xml:space="preserve">Shirin, A. (2022). Artificial intelligence technology on teaching-learning: Exploring Bangladeshi teachers' perceptions. Embedded </w:t>
      </w:r>
      <w:proofErr w:type="spellStart"/>
      <w:r w:rsidRPr="00412D3E">
        <w:rPr>
          <w:sz w:val="24"/>
          <w:szCs w:val="24"/>
        </w:rPr>
        <w:t>Selforganising</w:t>
      </w:r>
      <w:proofErr w:type="spellEnd"/>
      <w:r w:rsidRPr="00412D3E">
        <w:rPr>
          <w:sz w:val="24"/>
          <w:szCs w:val="24"/>
        </w:rPr>
        <w:t xml:space="preserve"> Systems, 9(4), 3–9. https://doi.org/10.14464/ess.v9i4.553</w:t>
      </w:r>
    </w:p>
    <w:p w14:paraId="4357F268" w14:textId="77777777" w:rsidR="00D76725" w:rsidRPr="00412D3E" w:rsidRDefault="00000000" w:rsidP="00412D3E">
      <w:pPr>
        <w:spacing w:before="100" w:beforeAutospacing="1" w:after="100" w:afterAutospacing="1"/>
        <w:ind w:left="720" w:hanging="720"/>
        <w:jc w:val="both"/>
      </w:pPr>
      <w:r w:rsidRPr="00412D3E">
        <w:rPr>
          <w:sz w:val="24"/>
          <w:szCs w:val="24"/>
        </w:rPr>
        <w:t xml:space="preserve">Strobl, C., Ailhaud, E., </w:t>
      </w:r>
      <w:proofErr w:type="spellStart"/>
      <w:r w:rsidRPr="00412D3E">
        <w:rPr>
          <w:sz w:val="24"/>
          <w:szCs w:val="24"/>
        </w:rPr>
        <w:t>Benetos</w:t>
      </w:r>
      <w:proofErr w:type="spellEnd"/>
      <w:r w:rsidRPr="00412D3E">
        <w:rPr>
          <w:sz w:val="24"/>
          <w:szCs w:val="24"/>
        </w:rPr>
        <w:t>, K., Devitt, A., Kruse, O., Proske, A., &amp; Rapp, C. (2019). Digital support for academic writing: A review of technologies and pedagogies. Computers &amp; Education, 131, 33–48. https://doi.org/10.1016/j.compedu.2018.12.005</w:t>
      </w:r>
    </w:p>
    <w:p w14:paraId="1FFB65B0" w14:textId="77777777" w:rsidR="00D76725" w:rsidRPr="00412D3E" w:rsidRDefault="00000000" w:rsidP="00412D3E">
      <w:pPr>
        <w:spacing w:before="100" w:beforeAutospacing="1" w:after="100" w:afterAutospacing="1"/>
        <w:ind w:left="720" w:hanging="720"/>
        <w:jc w:val="both"/>
      </w:pPr>
      <w:r w:rsidRPr="00412D3E">
        <w:rPr>
          <w:sz w:val="24"/>
          <w:szCs w:val="24"/>
        </w:rPr>
        <w:t>Sukhera, J. (2022). Narrative reviews in medical education: Key steps for researchers. Journal of Graduate Medical Education, 14(4), 418–419. https://doi.org/10.4300/JGME-D-22-00481.1</w:t>
      </w:r>
    </w:p>
    <w:p w14:paraId="0A78C59E" w14:textId="77777777" w:rsidR="00D76725" w:rsidRPr="00412D3E" w:rsidRDefault="00000000" w:rsidP="00412D3E">
      <w:pPr>
        <w:spacing w:before="100" w:beforeAutospacing="1" w:after="100" w:afterAutospacing="1"/>
        <w:ind w:left="720" w:hanging="720"/>
        <w:jc w:val="both"/>
      </w:pPr>
      <w:r w:rsidRPr="00412D3E">
        <w:rPr>
          <w:sz w:val="24"/>
          <w:szCs w:val="24"/>
        </w:rPr>
        <w:t>Sultana, S., &amp; Fang, F. (2024). English as the medium of instruction and mother-tongue-based translanguaging: Challenges and prospects for tertiary education in Bangladesh and China. International Journal of Educational Development, 104, Article 102951. https://doi.org/10.1016/j.ijedudev.2023.102951</w:t>
      </w:r>
    </w:p>
    <w:p w14:paraId="5641E61C" w14:textId="77777777" w:rsidR="00D76725" w:rsidRPr="00412D3E" w:rsidRDefault="00000000" w:rsidP="00412D3E">
      <w:pPr>
        <w:spacing w:before="100" w:beforeAutospacing="1" w:after="100" w:afterAutospacing="1"/>
        <w:ind w:left="720" w:hanging="720"/>
        <w:jc w:val="both"/>
      </w:pPr>
      <w:r w:rsidRPr="00412D3E">
        <w:rPr>
          <w:sz w:val="24"/>
          <w:szCs w:val="24"/>
        </w:rPr>
        <w:t>Tai, T. Y., &amp; Chen, H. H. J. (2025). Impact of generative AI chatbots and interaction modes on the speaking proficiency of adolescent EFL learners. Computer Assisted Language Learning. Advance online publication. https://doi.org/10.1080/09588221.2025.2572999</w:t>
      </w:r>
    </w:p>
    <w:p w14:paraId="3925A45A" w14:textId="77777777" w:rsidR="00D76725" w:rsidRPr="00412D3E" w:rsidRDefault="00000000" w:rsidP="00412D3E">
      <w:pPr>
        <w:spacing w:before="100" w:beforeAutospacing="1" w:after="100" w:afterAutospacing="1"/>
        <w:ind w:left="720" w:hanging="720"/>
        <w:jc w:val="both"/>
      </w:pPr>
      <w:r w:rsidRPr="00412D3E">
        <w:rPr>
          <w:sz w:val="24"/>
          <w:szCs w:val="24"/>
        </w:rPr>
        <w:t>Tarannum, T., Ahmed, R., Seraj, P. M. I., &amp; Khan, T. S. (2025). ELT teachers' perception and usage of ChatGPT as a teaching tool in the Bangladeshi EFL context. Education and Information Technologies, 30(13), 19269–19295. https://doi.org/10.1007/s10639-025-13515-7</w:t>
      </w:r>
    </w:p>
    <w:p w14:paraId="741EE4E9" w14:textId="77777777" w:rsidR="00D76725" w:rsidRPr="00412D3E" w:rsidRDefault="00000000" w:rsidP="00412D3E">
      <w:pPr>
        <w:spacing w:before="100" w:beforeAutospacing="1" w:after="100" w:afterAutospacing="1"/>
        <w:ind w:left="720" w:hanging="720"/>
        <w:jc w:val="both"/>
      </w:pPr>
      <w:proofErr w:type="spellStart"/>
      <w:r w:rsidRPr="00412D3E">
        <w:rPr>
          <w:sz w:val="24"/>
          <w:szCs w:val="24"/>
        </w:rPr>
        <w:t>Tekir</w:t>
      </w:r>
      <w:proofErr w:type="spellEnd"/>
      <w:r w:rsidRPr="00412D3E">
        <w:rPr>
          <w:sz w:val="24"/>
          <w:szCs w:val="24"/>
        </w:rPr>
        <w:t>, S. (2026). Generative AI use in EFL writing: Associations with originality, critical reasoning, and metacognitive engagement in a Turkish higher education context. Computer Assisted Language Learning. Advance online publication. https://doi.org/10.1080/09588221.2026.2617399</w:t>
      </w:r>
    </w:p>
    <w:p w14:paraId="6040C524" w14:textId="77777777" w:rsidR="00D76725" w:rsidRPr="00412D3E" w:rsidRDefault="00000000" w:rsidP="00412D3E">
      <w:pPr>
        <w:spacing w:before="100" w:beforeAutospacing="1" w:after="100" w:afterAutospacing="1"/>
        <w:ind w:left="720" w:hanging="720"/>
        <w:jc w:val="both"/>
      </w:pPr>
      <w:r w:rsidRPr="00412D3E">
        <w:rPr>
          <w:sz w:val="24"/>
          <w:szCs w:val="24"/>
        </w:rPr>
        <w:t>Thorne, S. L. (2024). Generative artificial intelligence, co-evolution, and language education. The Modern Language Journal, 108(2), 567–572. https://doi.org/10.1111/modl.12932</w:t>
      </w:r>
    </w:p>
    <w:p w14:paraId="2FD7D1B7" w14:textId="77777777" w:rsidR="00D76725" w:rsidRPr="00412D3E" w:rsidRDefault="00000000" w:rsidP="00412D3E">
      <w:pPr>
        <w:spacing w:before="100" w:beforeAutospacing="1" w:after="100" w:afterAutospacing="1"/>
        <w:ind w:left="720" w:hanging="720"/>
        <w:jc w:val="both"/>
      </w:pPr>
      <w:r w:rsidRPr="00412D3E">
        <w:rPr>
          <w:sz w:val="24"/>
          <w:szCs w:val="24"/>
        </w:rPr>
        <w:lastRenderedPageBreak/>
        <w:t xml:space="preserve">Tian, J., &amp; Zhang, R. (2025). Learners' AI dependence and critical thinking: The psychological mechanism of fatigue and the social buffering role of AI literacy. Acta </w:t>
      </w:r>
      <w:proofErr w:type="spellStart"/>
      <w:r w:rsidRPr="00412D3E">
        <w:rPr>
          <w:sz w:val="24"/>
          <w:szCs w:val="24"/>
        </w:rPr>
        <w:t>Psychologica</w:t>
      </w:r>
      <w:proofErr w:type="spellEnd"/>
      <w:r w:rsidRPr="00412D3E">
        <w:rPr>
          <w:sz w:val="24"/>
          <w:szCs w:val="24"/>
        </w:rPr>
        <w:t>, 260, Article 105725. https://doi.org/10.1016/j.actpsy.2025.105725</w:t>
      </w:r>
    </w:p>
    <w:p w14:paraId="059538F1" w14:textId="77777777" w:rsidR="00D76725" w:rsidRPr="00412D3E" w:rsidRDefault="00000000" w:rsidP="00412D3E">
      <w:pPr>
        <w:spacing w:before="100" w:beforeAutospacing="1" w:after="100" w:afterAutospacing="1"/>
        <w:ind w:left="720" w:hanging="720"/>
        <w:jc w:val="both"/>
      </w:pPr>
      <w:r w:rsidRPr="00412D3E">
        <w:rPr>
          <w:sz w:val="24"/>
          <w:szCs w:val="24"/>
        </w:rPr>
        <w:t>UNESCO. (2023). Guidance for generative AI in education and research. https://doi.org/10.54675/EWZM9535</w:t>
      </w:r>
    </w:p>
    <w:p w14:paraId="48B638C3" w14:textId="77777777" w:rsidR="00D76725" w:rsidRPr="00412D3E" w:rsidRDefault="00000000" w:rsidP="00412D3E">
      <w:pPr>
        <w:spacing w:before="100" w:beforeAutospacing="1" w:after="100" w:afterAutospacing="1"/>
        <w:ind w:left="720" w:hanging="720"/>
        <w:jc w:val="both"/>
      </w:pPr>
      <w:r w:rsidRPr="00412D3E">
        <w:rPr>
          <w:sz w:val="24"/>
          <w:szCs w:val="24"/>
        </w:rPr>
        <w:t>UNESCO. (2024). AI competency framework for teachers. https://doi.org/10.54675/ZJTE2084</w:t>
      </w:r>
    </w:p>
    <w:p w14:paraId="11AC680F" w14:textId="77777777" w:rsidR="00D76725" w:rsidRPr="00412D3E" w:rsidRDefault="00000000" w:rsidP="00412D3E">
      <w:pPr>
        <w:spacing w:before="100" w:beforeAutospacing="1" w:after="100" w:afterAutospacing="1"/>
        <w:ind w:left="720" w:hanging="720"/>
        <w:jc w:val="both"/>
      </w:pPr>
      <w:proofErr w:type="spellStart"/>
      <w:r w:rsidRPr="00412D3E">
        <w:rPr>
          <w:sz w:val="24"/>
          <w:szCs w:val="24"/>
        </w:rPr>
        <w:t>Varpio</w:t>
      </w:r>
      <w:proofErr w:type="spellEnd"/>
      <w:r w:rsidRPr="00412D3E">
        <w:rPr>
          <w:sz w:val="24"/>
          <w:szCs w:val="24"/>
        </w:rPr>
        <w:t>, L., Parker, R., &amp; MacLeod, A. (2024). Understanding the differences that differentiate: A model for deciding which literature review to conduct. Journal of Graduate Medical Education, 16(2), 146–150. https://doi.org/10.4300/JGME-D-24-00151.1</w:t>
      </w:r>
    </w:p>
    <w:p w14:paraId="1E20CB69" w14:textId="77777777" w:rsidR="00D76725" w:rsidRPr="00412D3E" w:rsidRDefault="00000000" w:rsidP="00412D3E">
      <w:pPr>
        <w:spacing w:before="100" w:beforeAutospacing="1" w:after="100" w:afterAutospacing="1"/>
        <w:ind w:left="720" w:hanging="720"/>
        <w:jc w:val="both"/>
      </w:pPr>
      <w:r w:rsidRPr="00412D3E">
        <w:rPr>
          <w:sz w:val="24"/>
          <w:szCs w:val="24"/>
        </w:rPr>
        <w:t xml:space="preserve">Waluyo, B., &amp; </w:t>
      </w:r>
      <w:proofErr w:type="spellStart"/>
      <w:r w:rsidRPr="00412D3E">
        <w:rPr>
          <w:sz w:val="24"/>
          <w:szCs w:val="24"/>
        </w:rPr>
        <w:t>Kusumastuti</w:t>
      </w:r>
      <w:proofErr w:type="spellEnd"/>
      <w:r w:rsidRPr="00412D3E">
        <w:rPr>
          <w:sz w:val="24"/>
          <w:szCs w:val="24"/>
        </w:rPr>
        <w:t>, S. (2024). Generative AI in student English learning in Thai higher education: More engagement, better outcomes? Social Sciences &amp; Humanities Open, 10, Article 101146. https://doi.org/10.1016/j.ssaho.2024.101146</w:t>
      </w:r>
    </w:p>
    <w:p w14:paraId="6B284B51" w14:textId="77777777" w:rsidR="00D76725" w:rsidRPr="00412D3E" w:rsidRDefault="00000000" w:rsidP="00412D3E">
      <w:pPr>
        <w:spacing w:before="100" w:beforeAutospacing="1" w:after="100" w:afterAutospacing="1"/>
        <w:ind w:left="720" w:hanging="720"/>
        <w:jc w:val="both"/>
      </w:pPr>
      <w:r w:rsidRPr="00412D3E">
        <w:rPr>
          <w:sz w:val="24"/>
          <w:szCs w:val="24"/>
        </w:rPr>
        <w:t>Wang, Y., Zhang, T., Yao, L., &amp; Seedhouse, P. (2025). A scoping review of empirical studies on generative artificial intelligence in language education. Innovation in Language Learning and Teaching. Advance online publication. https://doi.org/10.1080/17501229.2025.2509759</w:t>
      </w:r>
    </w:p>
    <w:p w14:paraId="03DE49E8" w14:textId="77777777" w:rsidR="00D76725" w:rsidRPr="00412D3E" w:rsidRDefault="00000000" w:rsidP="00412D3E">
      <w:pPr>
        <w:spacing w:before="100" w:beforeAutospacing="1" w:after="100" w:afterAutospacing="1"/>
        <w:ind w:left="720" w:hanging="720"/>
        <w:jc w:val="both"/>
      </w:pPr>
      <w:r w:rsidRPr="00412D3E">
        <w:rPr>
          <w:sz w:val="24"/>
          <w:szCs w:val="24"/>
        </w:rPr>
        <w:t>Warschauer, M., Tseng, W., Yim, S., Webster, T., Jacob, S., Du, Q., &amp; Tate, T. (2023). The affordances and contradictions of AI-generated text for writers of English as a second or foreign language. Journal of Second Language Writing, 62, Article 101071. https://doi.org/10.1016/j.jslw.2023.101071</w:t>
      </w:r>
    </w:p>
    <w:p w14:paraId="01C5F6EB" w14:textId="77777777" w:rsidR="00D76725" w:rsidRPr="00412D3E" w:rsidRDefault="00000000" w:rsidP="00412D3E">
      <w:pPr>
        <w:spacing w:before="100" w:beforeAutospacing="1" w:after="100" w:afterAutospacing="1"/>
        <w:ind w:left="720" w:hanging="720"/>
        <w:jc w:val="both"/>
      </w:pPr>
      <w:r w:rsidRPr="00412D3E">
        <w:rPr>
          <w:sz w:val="24"/>
          <w:szCs w:val="24"/>
        </w:rPr>
        <w:t xml:space="preserve">Wiboolyasarin, W., Wiboolyasarin, K., </w:t>
      </w:r>
      <w:proofErr w:type="spellStart"/>
      <w:r w:rsidRPr="00412D3E">
        <w:rPr>
          <w:sz w:val="24"/>
          <w:szCs w:val="24"/>
        </w:rPr>
        <w:t>Tiranant</w:t>
      </w:r>
      <w:proofErr w:type="spellEnd"/>
      <w:r w:rsidRPr="00412D3E">
        <w:rPr>
          <w:sz w:val="24"/>
          <w:szCs w:val="24"/>
        </w:rPr>
        <w:t xml:space="preserve">, P., </w:t>
      </w:r>
      <w:proofErr w:type="spellStart"/>
      <w:r w:rsidRPr="00412D3E">
        <w:rPr>
          <w:sz w:val="24"/>
          <w:szCs w:val="24"/>
        </w:rPr>
        <w:t>Jinowat</w:t>
      </w:r>
      <w:proofErr w:type="spellEnd"/>
      <w:r w:rsidRPr="00412D3E">
        <w:rPr>
          <w:sz w:val="24"/>
          <w:szCs w:val="24"/>
        </w:rPr>
        <w:t xml:space="preserve">, N., &amp; </w:t>
      </w:r>
      <w:proofErr w:type="spellStart"/>
      <w:r w:rsidRPr="00412D3E">
        <w:rPr>
          <w:sz w:val="24"/>
          <w:szCs w:val="24"/>
        </w:rPr>
        <w:t>Boonyakitanont</w:t>
      </w:r>
      <w:proofErr w:type="spellEnd"/>
      <w:r w:rsidRPr="00412D3E">
        <w:rPr>
          <w:sz w:val="24"/>
          <w:szCs w:val="24"/>
        </w:rPr>
        <w:t>, P. (2025). AI-driven chatbots in second language education: A systematic review of their efficacy and pedagogical implications. Ampersand, 14, Article 100224. https://doi.org/10.1016/j.amper.2025.100224</w:t>
      </w:r>
    </w:p>
    <w:p w14:paraId="229E3A3D" w14:textId="77777777" w:rsidR="00D76725" w:rsidRDefault="00000000" w:rsidP="00412D3E">
      <w:pPr>
        <w:spacing w:before="100" w:beforeAutospacing="1" w:after="100" w:afterAutospacing="1"/>
        <w:ind w:left="720" w:hanging="720"/>
        <w:jc w:val="both"/>
      </w:pPr>
      <w:r w:rsidRPr="00412D3E">
        <w:rPr>
          <w:sz w:val="24"/>
          <w:szCs w:val="24"/>
        </w:rPr>
        <w:t>Yusuf, A., Pervin, N., &amp; Román-González, M. (2024). Generative AI and the future of higher education: A threat to academic integrity or reformation? Evidence from multicultural perspectives. International Journal of Educational Technology in Higher Education, 21(1), Article 21. https://doi.org/10.1186/s41239-</w:t>
      </w:r>
      <w:r>
        <w:rPr>
          <w:sz w:val="24"/>
          <w:szCs w:val="24"/>
        </w:rPr>
        <w:t>024-00453-6</w:t>
      </w:r>
    </w:p>
    <w:p w14:paraId="2B2CF7BA" w14:textId="77777777" w:rsidR="00D76725" w:rsidRDefault="00000000" w:rsidP="00412D3E">
      <w:pPr>
        <w:spacing w:before="100" w:beforeAutospacing="1" w:after="100" w:afterAutospacing="1"/>
        <w:ind w:left="720" w:hanging="720"/>
        <w:jc w:val="both"/>
      </w:pPr>
      <w:r>
        <w:rPr>
          <w:sz w:val="24"/>
          <w:szCs w:val="24"/>
        </w:rPr>
        <w:t>Zhai, N., &amp; Ma, X. (2023). The effectiveness of automated writing evaluation on writing quality: A meta-analysis. Journal of Educational Computing Research, 61(4), 875–900. https://doi.org/10.1177/07356331221127300</w:t>
      </w:r>
    </w:p>
    <w:p w14:paraId="77286293" w14:textId="77777777" w:rsidR="00D76725" w:rsidRDefault="00000000" w:rsidP="00412D3E">
      <w:pPr>
        <w:spacing w:before="100" w:beforeAutospacing="1" w:after="100" w:afterAutospacing="1"/>
        <w:ind w:left="720" w:hanging="720"/>
        <w:jc w:val="both"/>
      </w:pPr>
      <w:r>
        <w:rPr>
          <w:sz w:val="24"/>
          <w:szCs w:val="24"/>
        </w:rPr>
        <w:t>Zhang, Z. V., &amp; Hyland, K. (2018). Student engagement with teacher and automated feedback on L2 writing. Assessing Writing, 36, 90–102. https://doi.org/10.1016/j.asw.2018.02.004</w:t>
      </w:r>
    </w:p>
    <w:p w14:paraId="635A9098" w14:textId="77777777" w:rsidR="00D76725" w:rsidRDefault="00000000" w:rsidP="00412D3E">
      <w:pPr>
        <w:spacing w:before="100" w:beforeAutospacing="1" w:after="100" w:afterAutospacing="1"/>
        <w:ind w:left="720" w:hanging="720"/>
        <w:jc w:val="both"/>
      </w:pPr>
      <w:r>
        <w:rPr>
          <w:sz w:val="24"/>
          <w:szCs w:val="24"/>
        </w:rPr>
        <w:t>Zhang, Z. V., &amp; Hyland, K. (2025). The role of digital literacy in student engagement with automated writing evaluation (AWE) feedback on second language writing. Computer Assisted Language Learning, 38(5–6), 1060–1085. https://doi.org/10.1080/09588221.2023.2256815</w:t>
      </w:r>
    </w:p>
    <w:sectPr w:rsidR="00D76725">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C5365" w14:textId="77777777" w:rsidR="00166A25" w:rsidRDefault="00166A25" w:rsidP="00D87402">
      <w:r>
        <w:separator/>
      </w:r>
    </w:p>
  </w:endnote>
  <w:endnote w:type="continuationSeparator" w:id="0">
    <w:p w14:paraId="1C736990" w14:textId="77777777" w:rsidR="00166A25" w:rsidRDefault="00166A25" w:rsidP="00D87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3D59E" w14:textId="77777777" w:rsidR="00D87402" w:rsidRDefault="00D874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A3BA6" w14:textId="77777777" w:rsidR="00D87402" w:rsidRDefault="00D874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893F1" w14:textId="77777777" w:rsidR="00D87402" w:rsidRDefault="00D874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76414" w14:textId="77777777" w:rsidR="00166A25" w:rsidRDefault="00166A25" w:rsidP="00D87402">
      <w:r>
        <w:separator/>
      </w:r>
    </w:p>
  </w:footnote>
  <w:footnote w:type="continuationSeparator" w:id="0">
    <w:p w14:paraId="66764D4C" w14:textId="77777777" w:rsidR="00166A25" w:rsidRDefault="00166A25" w:rsidP="00D874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5C805" w14:textId="77777777" w:rsidR="00D87402" w:rsidRDefault="00000000">
    <w:pPr>
      <w:pStyle w:val="Header"/>
    </w:pPr>
    <w:r>
      <w:rPr>
        <w:noProof/>
      </w:rPr>
      <w:pict w14:anchorId="31039A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5417829" o:spid="_x0000_s1026"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90DA0" w14:textId="77777777" w:rsidR="00D87402" w:rsidRDefault="00000000">
    <w:pPr>
      <w:pStyle w:val="Header"/>
    </w:pPr>
    <w:r>
      <w:rPr>
        <w:noProof/>
      </w:rPr>
      <w:pict w14:anchorId="337B25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5417830" o:spid="_x0000_s1027"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8ABDF" w14:textId="77777777" w:rsidR="00D87402" w:rsidRDefault="00000000">
    <w:pPr>
      <w:pStyle w:val="Header"/>
    </w:pPr>
    <w:r>
      <w:rPr>
        <w:noProof/>
      </w:rPr>
      <w:pict w14:anchorId="6FFC6E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5417828" o:spid="_x0000_s1025"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B150F2"/>
    <w:multiLevelType w:val="hybridMultilevel"/>
    <w:tmpl w:val="10E0AC7A"/>
    <w:lvl w:ilvl="0" w:tplc="3CCCCF38">
      <w:start w:val="1"/>
      <w:numFmt w:val="bullet"/>
      <w:lvlText w:val="●"/>
      <w:lvlJc w:val="left"/>
      <w:pPr>
        <w:ind w:left="720" w:hanging="360"/>
      </w:pPr>
    </w:lvl>
    <w:lvl w:ilvl="1" w:tplc="3EEC3F9E">
      <w:start w:val="1"/>
      <w:numFmt w:val="bullet"/>
      <w:lvlText w:val="○"/>
      <w:lvlJc w:val="left"/>
      <w:pPr>
        <w:ind w:left="1440" w:hanging="360"/>
      </w:pPr>
    </w:lvl>
    <w:lvl w:ilvl="2" w:tplc="FABC8C92">
      <w:start w:val="1"/>
      <w:numFmt w:val="bullet"/>
      <w:lvlText w:val="■"/>
      <w:lvlJc w:val="left"/>
      <w:pPr>
        <w:ind w:left="2160" w:hanging="360"/>
      </w:pPr>
    </w:lvl>
    <w:lvl w:ilvl="3" w:tplc="5C98B886">
      <w:start w:val="1"/>
      <w:numFmt w:val="bullet"/>
      <w:lvlText w:val="●"/>
      <w:lvlJc w:val="left"/>
      <w:pPr>
        <w:ind w:left="2880" w:hanging="360"/>
      </w:pPr>
    </w:lvl>
    <w:lvl w:ilvl="4" w:tplc="63B47DB4">
      <w:start w:val="1"/>
      <w:numFmt w:val="bullet"/>
      <w:lvlText w:val="○"/>
      <w:lvlJc w:val="left"/>
      <w:pPr>
        <w:ind w:left="3600" w:hanging="360"/>
      </w:pPr>
    </w:lvl>
    <w:lvl w:ilvl="5" w:tplc="DBFC09D2">
      <w:start w:val="1"/>
      <w:numFmt w:val="bullet"/>
      <w:lvlText w:val="■"/>
      <w:lvlJc w:val="left"/>
      <w:pPr>
        <w:ind w:left="4320" w:hanging="360"/>
      </w:pPr>
    </w:lvl>
    <w:lvl w:ilvl="6" w:tplc="3354AF2C">
      <w:start w:val="1"/>
      <w:numFmt w:val="bullet"/>
      <w:lvlText w:val="●"/>
      <w:lvlJc w:val="left"/>
      <w:pPr>
        <w:ind w:left="5040" w:hanging="360"/>
      </w:pPr>
    </w:lvl>
    <w:lvl w:ilvl="7" w:tplc="D4BCC23C">
      <w:start w:val="1"/>
      <w:numFmt w:val="bullet"/>
      <w:lvlText w:val="●"/>
      <w:lvlJc w:val="left"/>
      <w:pPr>
        <w:ind w:left="5760" w:hanging="360"/>
      </w:pPr>
    </w:lvl>
    <w:lvl w:ilvl="8" w:tplc="F208E33E">
      <w:start w:val="1"/>
      <w:numFmt w:val="bullet"/>
      <w:lvlText w:val="●"/>
      <w:lvlJc w:val="left"/>
      <w:pPr>
        <w:ind w:left="6480" w:hanging="360"/>
      </w:pPr>
    </w:lvl>
  </w:abstractNum>
  <w:num w:numId="1" w16cid:durableId="131236575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725"/>
    <w:rsid w:val="00166A25"/>
    <w:rsid w:val="00350307"/>
    <w:rsid w:val="00412D3E"/>
    <w:rsid w:val="00775582"/>
    <w:rsid w:val="008A717F"/>
    <w:rsid w:val="008D1CC2"/>
    <w:rsid w:val="009F144E"/>
    <w:rsid w:val="00A42440"/>
    <w:rsid w:val="00B22ED9"/>
    <w:rsid w:val="00B70D6D"/>
    <w:rsid w:val="00D76725"/>
    <w:rsid w:val="00D80145"/>
    <w:rsid w:val="00D87402"/>
    <w:rsid w:val="00ED1C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E4D6E"/>
  <w15:docId w15:val="{D337D2C5-ACEE-4B4D-ADCE-84EF988DC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D87402"/>
    <w:pPr>
      <w:tabs>
        <w:tab w:val="center" w:pos="4513"/>
        <w:tab w:val="right" w:pos="9026"/>
      </w:tabs>
    </w:pPr>
  </w:style>
  <w:style w:type="character" w:customStyle="1" w:styleId="HeaderChar">
    <w:name w:val="Header Char"/>
    <w:basedOn w:val="DefaultParagraphFont"/>
    <w:link w:val="Header"/>
    <w:uiPriority w:val="99"/>
    <w:rsid w:val="00D87402"/>
  </w:style>
  <w:style w:type="paragraph" w:styleId="Footer">
    <w:name w:val="footer"/>
    <w:basedOn w:val="Normal"/>
    <w:link w:val="FooterChar"/>
    <w:uiPriority w:val="99"/>
    <w:unhideWhenUsed/>
    <w:rsid w:val="00D87402"/>
    <w:pPr>
      <w:tabs>
        <w:tab w:val="center" w:pos="4513"/>
        <w:tab w:val="right" w:pos="9026"/>
      </w:tabs>
    </w:pPr>
  </w:style>
  <w:style w:type="character" w:customStyle="1" w:styleId="FooterChar">
    <w:name w:val="Footer Char"/>
    <w:basedOn w:val="DefaultParagraphFont"/>
    <w:link w:val="Footer"/>
    <w:uiPriority w:val="99"/>
    <w:rsid w:val="00D874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38</Pages>
  <Words>19684</Words>
  <Characters>112201</Characters>
  <Application>Microsoft Office Word</Application>
  <DocSecurity>0</DocSecurity>
  <Lines>935</Lines>
  <Paragraphs>263</Paragraphs>
  <ScaleCrop>false</ScaleCrop>
  <Company>HP</Company>
  <LinksUpToDate>false</LinksUpToDate>
  <CharactersWithSpaces>131622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Artificial Intelligence and Digital Platforms in Language Education at Bangladeshi Higher Education Institutions</dc:title>
  <dc:creator>Manuscript</dc:creator>
  <cp:lastModifiedBy>SDI PC New 16</cp:lastModifiedBy>
  <cp:revision>6</cp:revision>
  <dcterms:created xsi:type="dcterms:W3CDTF">2026-08-04T04:02:00Z</dcterms:created>
  <dcterms:modified xsi:type="dcterms:W3CDTF">2026-08-06T08:22:00Z</dcterms:modified>
</cp:coreProperties>
</file>