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4E29" w14:textId="77777777" w:rsidR="00877294" w:rsidRPr="000F1F91" w:rsidRDefault="00877294" w:rsidP="00877294">
      <w:pPr>
        <w:pStyle w:val="ListParagraph"/>
        <w:tabs>
          <w:tab w:val="left" w:pos="0"/>
          <w:tab w:val="left" w:pos="720"/>
        </w:tabs>
        <w:spacing w:line="480" w:lineRule="auto"/>
        <w:jc w:val="center"/>
        <w:rPr>
          <w:rFonts w:ascii="Times New Roman" w:hAnsi="Times New Roman" w:cs="Times New Roman"/>
          <w:b/>
          <w:bCs/>
          <w:i/>
          <w:iCs/>
          <w:color w:val="000000" w:themeColor="text1"/>
          <w:sz w:val="24"/>
          <w:szCs w:val="24"/>
          <w:u w:val="single"/>
          <w:lang w:val="en-US"/>
        </w:rPr>
      </w:pPr>
      <w:r w:rsidRPr="000F1F91">
        <w:rPr>
          <w:rFonts w:ascii="Times New Roman" w:hAnsi="Times New Roman" w:cs="Times New Roman"/>
          <w:b/>
          <w:bCs/>
          <w:i/>
          <w:iCs/>
          <w:color w:val="000000" w:themeColor="text1"/>
          <w:sz w:val="24"/>
          <w:szCs w:val="24"/>
          <w:u w:val="single"/>
          <w:lang w:val="en-US"/>
        </w:rPr>
        <w:t>Short Research Article</w:t>
      </w:r>
    </w:p>
    <w:p w14:paraId="63AC6451" w14:textId="77777777" w:rsidR="009630FD" w:rsidRPr="000F1F91" w:rsidRDefault="002B641F" w:rsidP="00B832CB">
      <w:pPr>
        <w:pStyle w:val="ListParagraph"/>
        <w:tabs>
          <w:tab w:val="left" w:pos="0"/>
          <w:tab w:val="left" w:pos="720"/>
        </w:tabs>
        <w:spacing w:after="0" w:line="480" w:lineRule="auto"/>
        <w:ind w:left="0"/>
        <w:jc w:val="center"/>
        <w:rPr>
          <w:rFonts w:ascii="Times New Roman" w:hAnsi="Times New Roman" w:cs="Times New Roman"/>
          <w:b/>
          <w:color w:val="000000" w:themeColor="text1"/>
          <w:sz w:val="24"/>
          <w:szCs w:val="24"/>
        </w:rPr>
      </w:pPr>
      <w:r w:rsidRPr="000F1F91">
        <w:rPr>
          <w:rFonts w:ascii="Times New Roman" w:hAnsi="Times New Roman" w:cs="Times New Roman"/>
          <w:b/>
          <w:bCs/>
          <w:color w:val="000000" w:themeColor="text1"/>
          <w:sz w:val="24"/>
          <w:szCs w:val="24"/>
        </w:rPr>
        <w:t>How are the Physico-anatomical Properties of Original Bark Different from Regenerated Bark? </w:t>
      </w:r>
      <w:r w:rsidRPr="000F1F91">
        <w:rPr>
          <w:rFonts w:ascii="Times New Roman" w:hAnsi="Times New Roman" w:cs="Times New Roman"/>
          <w:b/>
          <w:color w:val="000000" w:themeColor="text1"/>
          <w:sz w:val="24"/>
          <w:szCs w:val="24"/>
        </w:rPr>
        <w:t>- A Novel Evidence for Sustainable Harvesting of Arjuna</w:t>
      </w:r>
    </w:p>
    <w:p w14:paraId="67916724" w14:textId="77777777" w:rsidR="00D66558" w:rsidRPr="000F1F91" w:rsidRDefault="00D66558" w:rsidP="00500708">
      <w:pPr>
        <w:pStyle w:val="ListParagraph"/>
        <w:tabs>
          <w:tab w:val="left" w:pos="0"/>
          <w:tab w:val="left" w:pos="720"/>
        </w:tabs>
        <w:spacing w:after="0" w:line="360" w:lineRule="auto"/>
        <w:ind w:left="0"/>
        <w:jc w:val="both"/>
        <w:rPr>
          <w:rFonts w:ascii="Times New Roman" w:hAnsi="Times New Roman" w:cs="Times New Roman"/>
          <w:b/>
          <w:color w:val="000000" w:themeColor="text1"/>
          <w:sz w:val="24"/>
          <w:szCs w:val="24"/>
        </w:rPr>
      </w:pPr>
    </w:p>
    <w:p w14:paraId="502EC99C" w14:textId="77777777" w:rsidR="00AB42DD" w:rsidRPr="000F1F91" w:rsidRDefault="00AB42DD" w:rsidP="00500708">
      <w:pPr>
        <w:pStyle w:val="ListParagraph"/>
        <w:tabs>
          <w:tab w:val="left" w:pos="0"/>
          <w:tab w:val="left" w:pos="720"/>
        </w:tabs>
        <w:spacing w:after="0" w:line="360" w:lineRule="auto"/>
        <w:ind w:left="0"/>
        <w:jc w:val="both"/>
        <w:rPr>
          <w:rFonts w:ascii="Times New Roman" w:hAnsi="Times New Roman" w:cs="Times New Roman"/>
          <w:b/>
          <w:color w:val="000000" w:themeColor="text1"/>
          <w:sz w:val="24"/>
          <w:szCs w:val="24"/>
        </w:rPr>
      </w:pPr>
      <w:r w:rsidRPr="000F1F91">
        <w:rPr>
          <w:rFonts w:ascii="Times New Roman" w:hAnsi="Times New Roman" w:cs="Times New Roman"/>
          <w:b/>
          <w:color w:val="000000" w:themeColor="text1"/>
          <w:sz w:val="24"/>
          <w:szCs w:val="24"/>
        </w:rPr>
        <w:t>ABSTRACT</w:t>
      </w:r>
    </w:p>
    <w:p w14:paraId="4F00396E" w14:textId="77777777" w:rsidR="00E53E1B" w:rsidRDefault="00E53E1B" w:rsidP="00E53E1B">
      <w:pPr>
        <w:pStyle w:val="pdq2pgselectionanchorcontainer"/>
      </w:pPr>
      <w:r>
        <w:t>Arjuna (</w:t>
      </w:r>
      <w:r>
        <w:rPr>
          <w:rStyle w:val="Emphasis"/>
        </w:rPr>
        <w:t>Terminalia arjuna</w:t>
      </w:r>
      <w:r>
        <w:t>) is a highly traded medicinal tree whose bark is widely used as a medicinal raw material. Sustainable utilisation requires an understanding of whether regenerated bark differs from original bark in physical and anatomical properties. This study compared original bark collected in February 2023 with one-year regenerated bark harvested from the same marked strips in February 2024 on ten mature trees at Navsari Agricultural University, Gujarat. Fresh weight, bark thickness, basic density, moisture content, and volumetric shrinkage were assessed, together with ray and fibre dimensions. Original bark had significantly greater fresh weight and thickness than regenerated bark, whereas basic density, moisture content, and volumetric shrinkage did not differ significantly. Original bark was characterised mainly by uniseriate rays with a few biseriate rays. In regenerated bark, rays were mainly multiseriate or aggregate towards the phelloderm and became uniseriate or biseriate near the sapwood. Fibre length was significantly greater in original bark, while ray width was significantly greater in regenerated bark. Fibre width, fibre lumen width, fibre cell-wall thickness, and ray height did not differ significantly between bark types. These findings show that original and regenerated Arjuna bark can be distinguished using selected physical and anatomical attributes. The observed recovery also supports the potential for sustainable bark harvesting, although longer-term assessment is required before repeated harvesting intervals can be defined.</w:t>
      </w:r>
    </w:p>
    <w:p w14:paraId="51986D23" w14:textId="3D137A0D" w:rsidR="004741E2" w:rsidRPr="000F1F91" w:rsidRDefault="004741E2" w:rsidP="00770FFB">
      <w:pPr>
        <w:spacing w:after="0" w:line="480" w:lineRule="auto"/>
        <w:jc w:val="both"/>
        <w:rPr>
          <w:rFonts w:ascii="Times New Roman" w:hAnsi="Times New Roman" w:cs="Times New Roman"/>
          <w:color w:val="000000" w:themeColor="text1"/>
          <w:sz w:val="24"/>
          <w:szCs w:val="24"/>
        </w:rPr>
      </w:pPr>
      <w:r w:rsidRPr="000F1F91">
        <w:rPr>
          <w:rFonts w:ascii="Times New Roman" w:hAnsi="Times New Roman" w:cs="Times New Roman"/>
          <w:b/>
          <w:i/>
          <w:iCs/>
          <w:color w:val="000000" w:themeColor="text1"/>
          <w:sz w:val="24"/>
          <w:szCs w:val="24"/>
        </w:rPr>
        <w:t>Keywords</w:t>
      </w:r>
      <w:r w:rsidRPr="000F1F91">
        <w:rPr>
          <w:rFonts w:ascii="Times New Roman" w:hAnsi="Times New Roman" w:cs="Times New Roman"/>
          <w:bCs/>
          <w:color w:val="000000" w:themeColor="text1"/>
          <w:sz w:val="24"/>
          <w:szCs w:val="24"/>
        </w:rPr>
        <w:t xml:space="preserve">: </w:t>
      </w:r>
      <w:r w:rsidR="00E26CC1">
        <w:t xml:space="preserve">Arjuna bark; bark anatomy; bark regeneration; fibre dimensions; medicinal tree; phloem rays; physical properties; regenerated bark; sustainable harvesting; </w:t>
      </w:r>
      <w:r w:rsidR="00E26CC1">
        <w:rPr>
          <w:rStyle w:val="Emphasis"/>
        </w:rPr>
        <w:t>Terminalia arjuna</w:t>
      </w:r>
    </w:p>
    <w:p w14:paraId="5F9FAAF5" w14:textId="77777777" w:rsidR="00B832CB" w:rsidRPr="000F1F91" w:rsidRDefault="00B832CB">
      <w:pPr>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br w:type="page"/>
      </w:r>
    </w:p>
    <w:p w14:paraId="0B6E71A4" w14:textId="77777777" w:rsidR="00EC49BE" w:rsidRPr="000F1F91" w:rsidRDefault="00EC49BE" w:rsidP="00AB42DD">
      <w:pPr>
        <w:pStyle w:val="ListParagraph"/>
        <w:numPr>
          <w:ilvl w:val="0"/>
          <w:numId w:val="4"/>
        </w:numPr>
        <w:spacing w:after="0" w:line="360" w:lineRule="auto"/>
        <w:ind w:left="426" w:hanging="426"/>
        <w:rPr>
          <w:rFonts w:ascii="Times New Roman" w:hAnsi="Times New Roman" w:cs="Times New Roman"/>
          <w:b/>
          <w:bCs/>
          <w:color w:val="000000" w:themeColor="text1"/>
          <w:sz w:val="24"/>
          <w:szCs w:val="24"/>
        </w:rPr>
      </w:pPr>
      <w:r w:rsidRPr="000F1F91">
        <w:rPr>
          <w:rFonts w:ascii="Times New Roman" w:hAnsi="Times New Roman" w:cs="Times New Roman"/>
          <w:b/>
          <w:bCs/>
          <w:color w:val="000000" w:themeColor="text1"/>
          <w:sz w:val="24"/>
          <w:szCs w:val="24"/>
        </w:rPr>
        <w:lastRenderedPageBreak/>
        <w:t>INTRODUCTION</w:t>
      </w:r>
    </w:p>
    <w:p w14:paraId="270A64FD" w14:textId="2B05CD50" w:rsidR="0067467C" w:rsidRPr="000F1F91" w:rsidRDefault="00275459" w:rsidP="00500708">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According to the World Health Organization, the majority of the world’s population, particularly in developing countries, depends on traditional medicines prepared from medicinal and aromatic plants (</w:t>
      </w:r>
      <w:r w:rsidRPr="000F1F91">
        <w:rPr>
          <w:rFonts w:ascii="Times New Roman" w:hAnsi="Times New Roman" w:cs="Times New Roman"/>
          <w:bCs/>
          <w:color w:val="000000" w:themeColor="text1"/>
          <w:sz w:val="24"/>
          <w:szCs w:val="24"/>
        </w:rPr>
        <w:t>WHO, 2002)</w:t>
      </w:r>
      <w:r w:rsidRPr="000F1F91">
        <w:rPr>
          <w:rFonts w:ascii="Times New Roman" w:hAnsi="Times New Roman" w:cs="Times New Roman"/>
          <w:color w:val="000000" w:themeColor="text1"/>
          <w:sz w:val="24"/>
          <w:szCs w:val="24"/>
        </w:rPr>
        <w:t>. Moreover, interest in plant-based medicines has increased, possibly because of their effectiveness, fewer side effects, the rising cost of modern medicines, cultural acceptability, and the lack of alternative medical options (</w:t>
      </w:r>
      <w:r w:rsidRPr="000F1F91">
        <w:rPr>
          <w:rFonts w:ascii="Times New Roman" w:hAnsi="Times New Roman" w:cs="Times New Roman"/>
          <w:bCs/>
          <w:color w:val="000000" w:themeColor="text1"/>
          <w:sz w:val="24"/>
          <w:szCs w:val="24"/>
        </w:rPr>
        <w:t xml:space="preserve">WHO, 2002; </w:t>
      </w:r>
      <w:r w:rsidRPr="000F1F91">
        <w:rPr>
          <w:rFonts w:ascii="Times New Roman" w:hAnsi="Times New Roman" w:cs="Times New Roman"/>
          <w:color w:val="000000" w:themeColor="text1"/>
          <w:sz w:val="24"/>
          <w:szCs w:val="24"/>
        </w:rPr>
        <w:t xml:space="preserve">Warrier et al., </w:t>
      </w:r>
      <w:r w:rsidR="008C1CCA" w:rsidRPr="008C1CCA">
        <w:rPr>
          <w:rFonts w:ascii="Times New Roman" w:hAnsi="Times New Roman" w:cs="Times New Roman"/>
          <w:color w:val="000000" w:themeColor="text1"/>
          <w:sz w:val="24"/>
          <w:szCs w:val="24"/>
        </w:rPr>
        <w:t>1996</w:t>
      </w:r>
      <w:r w:rsidRPr="000F1F91">
        <w:rPr>
          <w:rFonts w:ascii="Times New Roman" w:hAnsi="Times New Roman" w:cs="Times New Roman"/>
          <w:bCs/>
          <w:color w:val="000000" w:themeColor="text1"/>
          <w:sz w:val="24"/>
          <w:szCs w:val="24"/>
        </w:rPr>
        <w:t>)</w:t>
      </w:r>
      <w:r w:rsidRPr="000F1F91">
        <w:rPr>
          <w:rFonts w:ascii="Times New Roman" w:hAnsi="Times New Roman" w:cs="Times New Roman"/>
          <w:color w:val="000000" w:themeColor="text1"/>
          <w:sz w:val="24"/>
          <w:szCs w:val="24"/>
        </w:rPr>
        <w:t>. Thus, there has been a global shift from synthetic to herbal medicines for the prevention and treatment of diseases. Owing to its rich diversity of medicinal plants and abundance of traditional medicinal systems, India has attracted global attention.</w:t>
      </w:r>
    </w:p>
    <w:p w14:paraId="739A5D27" w14:textId="2A620285" w:rsidR="00E01EAB" w:rsidRPr="000F1F91" w:rsidRDefault="00275459" w:rsidP="003E7536">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lang w:val="es-US"/>
        </w:rPr>
        <w:t>Among medicinal plants, Arjuna [</w:t>
      </w:r>
      <w:r w:rsidRPr="000F1F91">
        <w:rPr>
          <w:rFonts w:ascii="Times New Roman" w:hAnsi="Times New Roman" w:cs="Times New Roman"/>
          <w:i/>
          <w:iCs/>
          <w:color w:val="000000" w:themeColor="text1"/>
          <w:sz w:val="24"/>
          <w:szCs w:val="24"/>
          <w:lang w:val="es-US"/>
        </w:rPr>
        <w:t>Terminalia arjuna</w:t>
      </w:r>
      <w:r w:rsidRPr="000F1F91">
        <w:rPr>
          <w:rFonts w:ascii="Times New Roman" w:hAnsi="Times New Roman" w:cs="Times New Roman"/>
          <w:color w:val="000000" w:themeColor="text1"/>
          <w:sz w:val="24"/>
          <w:szCs w:val="24"/>
          <w:lang w:val="es-US"/>
        </w:rPr>
        <w:t xml:space="preserve"> (Roxb. ex DC.) </w:t>
      </w:r>
      <w:r w:rsidRPr="000F1F91">
        <w:rPr>
          <w:rFonts w:ascii="Times New Roman" w:hAnsi="Times New Roman" w:cs="Times New Roman"/>
          <w:color w:val="000000" w:themeColor="text1"/>
          <w:sz w:val="24"/>
          <w:szCs w:val="24"/>
        </w:rPr>
        <w:t xml:space="preserve">Wight &amp; Arn.], belonging to the family Combretaceae, is a notable medicinal tree species distributed across tropical regions, particularly throughout much of the Indian peninsula, where it occurs along rivers, streams, ravines, and dry watercourses (Warrier et al., </w:t>
      </w:r>
      <w:r w:rsidR="008C1CCA" w:rsidRPr="008C1CCA">
        <w:rPr>
          <w:rFonts w:ascii="Times New Roman" w:hAnsi="Times New Roman" w:cs="Times New Roman"/>
          <w:color w:val="000000" w:themeColor="text1"/>
          <w:sz w:val="24"/>
          <w:szCs w:val="24"/>
        </w:rPr>
        <w:t>1996</w:t>
      </w:r>
      <w:r w:rsidRPr="000F1F91">
        <w:rPr>
          <w:rFonts w:ascii="Times New Roman" w:hAnsi="Times New Roman" w:cs="Times New Roman"/>
          <w:color w:val="000000" w:themeColor="text1"/>
          <w:sz w:val="24"/>
          <w:szCs w:val="24"/>
        </w:rPr>
        <w:t xml:space="preserve">; </w:t>
      </w:r>
      <w:r w:rsidRPr="000F1F91">
        <w:rPr>
          <w:rFonts w:ascii="Times New Roman" w:eastAsia="SimSun" w:hAnsi="Times New Roman" w:cs="Times New Roman"/>
          <w:color w:val="000000" w:themeColor="text1"/>
          <w:sz w:val="24"/>
          <w:szCs w:val="24"/>
          <w:shd w:val="clear" w:color="auto" w:fill="FFFFFF"/>
        </w:rPr>
        <w:t>Dwivedi &amp; Jauhari, 1997</w:t>
      </w:r>
      <w:r w:rsidRPr="000F1F91">
        <w:rPr>
          <w:rFonts w:ascii="Times New Roman" w:hAnsi="Times New Roman" w:cs="Times New Roman"/>
          <w:color w:val="000000" w:themeColor="text1"/>
          <w:sz w:val="24"/>
          <w:szCs w:val="24"/>
        </w:rPr>
        <w:t>). Arjuna bark, an important cardiac tonic, is used to treat myocardial infarction, angina, coronary artery disease, heart failure, atherosclerosis, hypercholesterolaemia, ischaemia, and hypertension (</w:t>
      </w:r>
      <w:r w:rsidRPr="000F1F91">
        <w:rPr>
          <w:rFonts w:ascii="Times New Roman" w:eastAsia="SimSun" w:hAnsi="Times New Roman" w:cs="Times New Roman"/>
          <w:color w:val="000000" w:themeColor="text1"/>
          <w:sz w:val="24"/>
          <w:szCs w:val="24"/>
          <w:shd w:val="clear" w:color="auto" w:fill="FFFFFF"/>
        </w:rPr>
        <w:t>Dwivedi &amp; Jauhari, 1997; Harika et al., 2013; Wadekar &amp; Salunkhe, 2024</w:t>
      </w:r>
      <w:r w:rsidRPr="000F1F91">
        <w:rPr>
          <w:rFonts w:ascii="Times New Roman" w:hAnsi="Times New Roman" w:cs="Times New Roman"/>
          <w:color w:val="000000" w:themeColor="text1"/>
          <w:sz w:val="24"/>
          <w:szCs w:val="24"/>
        </w:rPr>
        <w:t>), as well as dysentery, asthma, menstrual problems, anaemia, and other diseases (Vijaya et al., 2015; Orwa et al., 2009). It also plays an important role in the tanning industry (Orwa et al., 2009) and is used as a nutritive additive to enhance fish health (Meena et al., 2025). Owing to its broad healthcare applications, Arjuna bark is in high demand and ranks among 70 highly traded (≥ 100 MT/year) medicinal plant species from tropical forests (Ved &amp; Goraya, 200</w:t>
      </w:r>
      <w:r w:rsidR="008C1CCA">
        <w:rPr>
          <w:rFonts w:ascii="Times New Roman" w:hAnsi="Times New Roman" w:cs="Times New Roman"/>
          <w:color w:val="000000" w:themeColor="text1"/>
          <w:sz w:val="24"/>
          <w:szCs w:val="24"/>
        </w:rPr>
        <w:t>8</w:t>
      </w:r>
      <w:r w:rsidRPr="000F1F91">
        <w:rPr>
          <w:rFonts w:ascii="Times New Roman" w:hAnsi="Times New Roman" w:cs="Times New Roman"/>
          <w:color w:val="000000" w:themeColor="text1"/>
          <w:sz w:val="24"/>
          <w:szCs w:val="24"/>
        </w:rPr>
        <w:t xml:space="preserve">). Arjuna is generally considered safe for medicinal use; however, some studies have reported potential toxicity and adverse effects following consumption, including gastrointestinal disturbances such as abdominal pain, diarrhoea, and nausea (Rajaram et al., 2024). </w:t>
      </w:r>
      <w:r w:rsidRPr="000F1F91">
        <w:rPr>
          <w:rFonts w:ascii="Times New Roman" w:hAnsi="Times New Roman" w:cs="Times New Roman"/>
          <w:bCs/>
          <w:color w:val="000000" w:themeColor="text1"/>
          <w:sz w:val="24"/>
          <w:szCs w:val="24"/>
        </w:rPr>
        <w:t xml:space="preserve">Recent studies have further documented the phytochemical, antioxidant, therapeutic, and industrial relevance of </w:t>
      </w:r>
      <w:r w:rsidRPr="000F1F91">
        <w:rPr>
          <w:rFonts w:ascii="Times New Roman" w:hAnsi="Times New Roman" w:cs="Times New Roman"/>
          <w:bCs/>
          <w:i/>
          <w:color w:val="000000" w:themeColor="text1"/>
          <w:sz w:val="24"/>
          <w:szCs w:val="24"/>
        </w:rPr>
        <w:t>T. arjuna</w:t>
      </w:r>
      <w:r w:rsidRPr="000F1F91">
        <w:rPr>
          <w:rFonts w:ascii="Times New Roman" w:hAnsi="Times New Roman" w:cs="Times New Roman"/>
          <w:bCs/>
          <w:color w:val="000000" w:themeColor="text1"/>
          <w:sz w:val="24"/>
          <w:szCs w:val="24"/>
        </w:rPr>
        <w:t xml:space="preserve"> bark (Kumar et al., 2023; Singh et al., 2025). Recent documentation of medicinal timber species in India has also emphasised the need to align continued use with conservation and sustainable utilisation (Dharasurkar et al., 2025).</w:t>
      </w:r>
    </w:p>
    <w:p w14:paraId="03F49DB4" w14:textId="77777777" w:rsidR="000C7C0C" w:rsidRPr="000F1F91" w:rsidRDefault="006D10FC">
      <w:pPr>
        <w:spacing w:after="0" w:line="360" w:lineRule="auto"/>
        <w:ind w:firstLine="720"/>
        <w:jc w:val="both"/>
        <w:rPr>
          <w:rFonts w:ascii="Times New Roman" w:hAnsi="Times New Roman"/>
          <w:sz w:val="24"/>
        </w:rPr>
      </w:pPr>
      <w:r w:rsidRPr="000F1F91">
        <w:rPr>
          <w:rFonts w:ascii="Times New Roman" w:hAnsi="Times New Roman"/>
          <w:sz w:val="24"/>
        </w:rPr>
        <w:t xml:space="preserve">Recent peer-reviewed syntheses indicate that the pharmacological interest in </w:t>
      </w:r>
      <w:r w:rsidRPr="000F1F91">
        <w:rPr>
          <w:rFonts w:ascii="Times New Roman" w:hAnsi="Times New Roman"/>
          <w:i/>
          <w:sz w:val="24"/>
        </w:rPr>
        <w:t>T. arjuna</w:t>
      </w:r>
      <w:r w:rsidRPr="000F1F91">
        <w:rPr>
          <w:rFonts w:ascii="Times New Roman" w:hAnsi="Times New Roman"/>
          <w:sz w:val="24"/>
        </w:rPr>
        <w:t xml:space="preserve"> bark is associated with triterpenoids, flavonoids, polyphenols, tannins, and glycosides, while also emphasising that extract standardisation, dose definition, safety assessment, and adequately designed clinical studies remain necessary for reproducible therapeutic use (Kapoor et al., 2014; Maulik &amp; Talwar, 2012; Ramesh &amp; Palaniappan, 2023).</w:t>
      </w:r>
    </w:p>
    <w:p w14:paraId="5A52B1AB" w14:textId="77777777" w:rsidR="008213A3" w:rsidRPr="000F1F91" w:rsidRDefault="00275459" w:rsidP="008213A3">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lastRenderedPageBreak/>
        <w:t>However, plants are threatened by unscientific bark-harvesting practices in the wild; therefore, sustainable bark harvesting is important. Efforts to develop sustainable practices have been undertaken for Arjuna (Gunaga et al., 2017; Sinha et al., 2022; Jadhav, 2025), and harvesting regenerated bark is essential for maintaining a sustainable bark supply (Gunaga et al., 2017).</w:t>
      </w:r>
      <w:r w:rsidRPr="000F1F91">
        <w:rPr>
          <w:rFonts w:ascii="Times New Roman" w:hAnsi="Times New Roman" w:cs="Times New Roman"/>
          <w:iCs/>
          <w:color w:val="000000" w:themeColor="text1"/>
          <w:sz w:val="24"/>
          <w:szCs w:val="24"/>
        </w:rPr>
        <w:t xml:space="preserve"> </w:t>
      </w:r>
      <w:r w:rsidRPr="000F1F91">
        <w:rPr>
          <w:rFonts w:ascii="Times New Roman" w:hAnsi="Times New Roman" w:cs="Times New Roman"/>
          <w:color w:val="000000" w:themeColor="text1"/>
          <w:sz w:val="24"/>
          <w:szCs w:val="24"/>
        </w:rPr>
        <w:t xml:space="preserve">Generally, bark regeneration in Arjuna is completed within 8–12 months after harvesting the original bark (Sinha et al., 2022). </w:t>
      </w:r>
      <w:r w:rsidRPr="000F1F91">
        <w:rPr>
          <w:rFonts w:ascii="Times New Roman" w:hAnsi="Times New Roman"/>
          <w:sz w:val="24"/>
        </w:rPr>
        <w:t xml:space="preserve">Evidence from other medicinal tree species further shows that bark regeneration depends on species, harvesting intensity, stem diameter, season, and the area and geometry of the removed patch; therefore, anatomical identification of regenerated tissue should complement measurements of recovery rates when harvest cycles are defined (Delvaux et al., 2009, 2010a; Hanumantha &amp; Vasudeva, 2022). In addition, validated chromatographic markers have been proposed to distinguish </w:t>
      </w:r>
      <w:r w:rsidRPr="000F1F91">
        <w:rPr>
          <w:rFonts w:ascii="Times New Roman" w:hAnsi="Times New Roman"/>
          <w:i/>
          <w:sz w:val="24"/>
        </w:rPr>
        <w:t>T. arjuna</w:t>
      </w:r>
      <w:r w:rsidRPr="000F1F91">
        <w:rPr>
          <w:rFonts w:ascii="Times New Roman" w:hAnsi="Times New Roman"/>
          <w:sz w:val="24"/>
        </w:rPr>
        <w:t xml:space="preserve"> bark from common </w:t>
      </w:r>
      <w:r w:rsidRPr="000F1F91">
        <w:rPr>
          <w:rFonts w:ascii="Times New Roman" w:hAnsi="Times New Roman"/>
          <w:i/>
          <w:sz w:val="24"/>
        </w:rPr>
        <w:t>Terminalia</w:t>
      </w:r>
      <w:r w:rsidRPr="000F1F91">
        <w:rPr>
          <w:rFonts w:ascii="Times New Roman" w:hAnsi="Times New Roman"/>
          <w:sz w:val="24"/>
        </w:rPr>
        <w:t xml:space="preserve"> adulterants, indicating that anatomical descriptors may provide a useful complementary first-line quality-control tool (Tulsi &amp; Vidhu, 2022).</w:t>
      </w:r>
    </w:p>
    <w:p w14:paraId="3845144D" w14:textId="56E20355" w:rsidR="002C76DC" w:rsidRPr="000F1F91" w:rsidRDefault="00000000" w:rsidP="003E7536">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bCs/>
          <w:color w:val="000000" w:themeColor="text1"/>
          <w:sz w:val="24"/>
          <w:szCs w:val="24"/>
        </w:rPr>
        <w:t>Evidence from other tree species indicates that bark regeneration and wound closure can vary with wound size, bark increment, and stem growth, supporting species-specific harvesting intervals and recovery assessments (Hoffmann et al., 2024; Peixoto et al., 2024).</w:t>
      </w:r>
      <w:r w:rsidRPr="000F1F91">
        <w:rPr>
          <w:rFonts w:ascii="Times New Roman" w:hAnsi="Times New Roman" w:cs="Times New Roman"/>
          <w:color w:val="000000" w:themeColor="text1"/>
          <w:sz w:val="24"/>
          <w:szCs w:val="24"/>
        </w:rPr>
        <w:t xml:space="preserve"> However, although both original and regenerated bark are commercially exploited for medicinal purposes, scientific information comparing their physical and anatomical properties remains limited among medicinal trees, particularly in Arjuna. Such comparative information may support assessments of bark quality, functionality, and therapeutic potential while contributing to sustainable harvesting, long-term conservation, and raw-material quality control, including the detection of adulteration. Therefore, this study aimed to compare the physical and anatomical properties of original and regenerated Arjuna bark.</w:t>
      </w:r>
    </w:p>
    <w:p w14:paraId="4D28AD95" w14:textId="77777777" w:rsidR="00275459" w:rsidRPr="000F1F91" w:rsidRDefault="00275459" w:rsidP="00500708">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 </w:t>
      </w:r>
    </w:p>
    <w:p w14:paraId="2C97FE47" w14:textId="77777777" w:rsidR="0067467C" w:rsidRPr="000F1F91" w:rsidRDefault="0067467C" w:rsidP="00AB42DD">
      <w:pPr>
        <w:pStyle w:val="ListParagraph"/>
        <w:numPr>
          <w:ilvl w:val="0"/>
          <w:numId w:val="4"/>
        </w:numPr>
        <w:spacing w:after="0" w:line="360" w:lineRule="auto"/>
        <w:ind w:left="426" w:hanging="426"/>
        <w:rPr>
          <w:rFonts w:ascii="Times New Roman" w:hAnsi="Times New Roman" w:cs="Times New Roman"/>
          <w:b/>
          <w:bCs/>
          <w:color w:val="000000" w:themeColor="text1"/>
          <w:sz w:val="24"/>
          <w:szCs w:val="24"/>
        </w:rPr>
      </w:pPr>
      <w:r w:rsidRPr="000F1F91">
        <w:rPr>
          <w:rFonts w:ascii="Times New Roman" w:hAnsi="Times New Roman" w:cs="Times New Roman"/>
          <w:b/>
          <w:bCs/>
          <w:color w:val="000000" w:themeColor="text1"/>
          <w:sz w:val="24"/>
          <w:szCs w:val="24"/>
        </w:rPr>
        <w:t>MATERIAL AND METHODS</w:t>
      </w:r>
    </w:p>
    <w:p w14:paraId="5E02B8C4" w14:textId="77777777" w:rsidR="00500708" w:rsidRPr="000F1F91" w:rsidRDefault="00275459" w:rsidP="00500708">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The study was conducted in an Arjuna plantation established at Navsari Agricultural University, Navsari, in the south-western zone of Gujarat, located at 20°37′ N latitude and 72°54′ E longitude, at an altitude of approximately 12 m above mean sea level (MSL) (Plate 1).</w:t>
      </w:r>
    </w:p>
    <w:tbl>
      <w:tblPr>
        <w:tblStyle w:val="TableGrid"/>
        <w:tblW w:w="0" w:type="auto"/>
        <w:tblLook w:val="04A0" w:firstRow="1" w:lastRow="0" w:firstColumn="1" w:lastColumn="0" w:noHBand="0" w:noVBand="1"/>
      </w:tblPr>
      <w:tblGrid>
        <w:gridCol w:w="2251"/>
        <w:gridCol w:w="2396"/>
        <w:gridCol w:w="4369"/>
      </w:tblGrid>
      <w:tr w:rsidR="00500708" w:rsidRPr="000F1F91" w14:paraId="31723774" w14:textId="77777777" w:rsidTr="00721A57">
        <w:tc>
          <w:tcPr>
            <w:tcW w:w="2237" w:type="dxa"/>
          </w:tcPr>
          <w:p w14:paraId="29772247" w14:textId="77777777" w:rsidR="00500708" w:rsidRPr="000F1F91"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0F1F91">
              <w:rPr>
                <w:rFonts w:ascii="Times New Roman" w:hAnsi="Times New Roman" w:cs="Times New Roman"/>
                <w:color w:val="000000" w:themeColor="text1"/>
                <w:kern w:val="2"/>
                <w:sz w:val="22"/>
                <w:szCs w:val="22"/>
                <w:lang w:val="en-IN" w:bidi="ar-SA"/>
              </w:rPr>
              <w:object w:dxaOrig="7590" w:dyaOrig="6780" w14:anchorId="60878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5pt;height:91pt" o:ole="">
                  <v:imagedata r:id="rId7" o:title=""/>
                </v:shape>
                <o:OLEObject Type="Embed" ProgID="PBrush" ShapeID="_x0000_i1025" DrawAspect="Content" ObjectID="_1847283124" r:id="rId8"/>
              </w:object>
            </w:r>
          </w:p>
        </w:tc>
        <w:tc>
          <w:tcPr>
            <w:tcW w:w="2407" w:type="dxa"/>
          </w:tcPr>
          <w:p w14:paraId="5A6AC6EC" w14:textId="77777777" w:rsidR="00500708" w:rsidRPr="000F1F91"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0F1F91">
              <w:rPr>
                <w:rFonts w:ascii="Times New Roman" w:hAnsi="Times New Roman" w:cs="Times New Roman"/>
                <w:color w:val="000000" w:themeColor="text1"/>
                <w:kern w:val="2"/>
                <w:sz w:val="22"/>
                <w:szCs w:val="22"/>
                <w:lang w:val="en-IN" w:bidi="ar-SA"/>
              </w:rPr>
              <w:object w:dxaOrig="9375" w:dyaOrig="7440" w14:anchorId="4A5B20DF">
                <v:shape id="_x0000_i1026" type="#_x0000_t75" style="width:110.05pt;height:87.6pt" o:ole="">
                  <v:imagedata r:id="rId9" o:title=""/>
                </v:shape>
                <o:OLEObject Type="Embed" ProgID="PBrush" ShapeID="_x0000_i1026" DrawAspect="Content" ObjectID="_1847283125" r:id="rId10"/>
              </w:object>
            </w:r>
          </w:p>
        </w:tc>
        <w:tc>
          <w:tcPr>
            <w:tcW w:w="4372" w:type="dxa"/>
          </w:tcPr>
          <w:p w14:paraId="4D5E305D" w14:textId="77777777" w:rsidR="00500708" w:rsidRPr="000F1F91"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0F1F91">
              <w:rPr>
                <w:rFonts w:ascii="Times New Roman" w:hAnsi="Times New Roman" w:cs="Times New Roman"/>
                <w:color w:val="000000" w:themeColor="text1"/>
                <w:kern w:val="2"/>
                <w:sz w:val="22"/>
                <w:szCs w:val="22"/>
                <w:lang w:val="en-IN" w:bidi="ar-SA"/>
              </w:rPr>
              <w:object w:dxaOrig="14325" w:dyaOrig="6285" w14:anchorId="2508E753">
                <v:shape id="_x0000_i1027" type="#_x0000_t75" style="width:209.9pt;height:91.7pt" o:ole="">
                  <v:imagedata r:id="rId11" o:title=""/>
                </v:shape>
                <o:OLEObject Type="Embed" ProgID="PBrush" ShapeID="_x0000_i1027" DrawAspect="Content" ObjectID="_1847283126" r:id="rId12"/>
              </w:object>
            </w:r>
          </w:p>
        </w:tc>
      </w:tr>
      <w:tr w:rsidR="00500708" w:rsidRPr="000F1F91" w14:paraId="1D74ECAC" w14:textId="77777777" w:rsidTr="00721A57">
        <w:tc>
          <w:tcPr>
            <w:tcW w:w="9016" w:type="dxa"/>
            <w:gridSpan w:val="3"/>
          </w:tcPr>
          <w:p w14:paraId="05C6248D" w14:textId="77777777" w:rsidR="00500708" w:rsidRPr="000F1F91" w:rsidRDefault="00500708" w:rsidP="00721A57">
            <w:pPr>
              <w:rPr>
                <w:rFonts w:ascii="Times New Roman" w:hAnsi="Times New Roman" w:cs="Times New Roman"/>
                <w:b/>
                <w:bCs/>
                <w:color w:val="000000" w:themeColor="text1"/>
                <w:sz w:val="24"/>
                <w:szCs w:val="24"/>
              </w:rPr>
            </w:pPr>
            <w:r w:rsidRPr="000F1F91">
              <w:rPr>
                <w:rFonts w:ascii="Times New Roman" w:hAnsi="Times New Roman" w:cs="Times New Roman"/>
                <w:b/>
                <w:bCs/>
                <w:color w:val="000000" w:themeColor="text1"/>
                <w:sz w:val="24"/>
                <w:szCs w:val="24"/>
              </w:rPr>
              <w:lastRenderedPageBreak/>
              <w:t xml:space="preserve">Plate 1: </w:t>
            </w:r>
            <w:r w:rsidRPr="000F1F91">
              <w:rPr>
                <w:rFonts w:ascii="Times New Roman" w:hAnsi="Times New Roman" w:cs="Times New Roman"/>
                <w:color w:val="000000" w:themeColor="text1"/>
                <w:sz w:val="24"/>
                <w:szCs w:val="24"/>
              </w:rPr>
              <w:t>Geographic location of study site</w:t>
            </w:r>
          </w:p>
        </w:tc>
      </w:tr>
    </w:tbl>
    <w:p w14:paraId="29A845D9" w14:textId="77777777" w:rsidR="00500708" w:rsidRPr="000F1F91" w:rsidRDefault="00500708" w:rsidP="00500708">
      <w:pPr>
        <w:spacing w:after="0" w:line="360" w:lineRule="auto"/>
        <w:ind w:firstLine="720"/>
        <w:jc w:val="both"/>
        <w:rPr>
          <w:rFonts w:ascii="Times New Roman" w:hAnsi="Times New Roman" w:cs="Times New Roman"/>
          <w:color w:val="000000" w:themeColor="text1"/>
          <w:sz w:val="24"/>
          <w:szCs w:val="24"/>
        </w:rPr>
      </w:pPr>
    </w:p>
    <w:p w14:paraId="378C549F" w14:textId="77777777" w:rsidR="0067467C" w:rsidRPr="000F1F91" w:rsidRDefault="00275459" w:rsidP="00500708">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 xml:space="preserve">A total of ten healthy, mature Arjuna trees with girths of approximately 100–150 cm were randomly selected and marked for bark collection. A longitudinal strip of original bark measuring 10 cm (length) × 5 cm (width) was removed from each tree at breast height (DBH) in February 2023. Similarly, regenerated bark from the same strip on each tree was harvested in the subsequent year, </w:t>
      </w:r>
      <w:r w:rsidRPr="000F1F91">
        <w:rPr>
          <w:rFonts w:ascii="Times New Roman" w:hAnsi="Times New Roman" w:cs="Times New Roman"/>
          <w:i/>
          <w:iCs/>
          <w:color w:val="000000" w:themeColor="text1"/>
          <w:sz w:val="24"/>
          <w:szCs w:val="24"/>
        </w:rPr>
        <w:t>i.e.</w:t>
      </w:r>
      <w:r w:rsidRPr="000F1F91">
        <w:rPr>
          <w:rFonts w:ascii="Times New Roman" w:hAnsi="Times New Roman" w:cs="Times New Roman"/>
          <w:iCs/>
          <w:color w:val="000000" w:themeColor="text1"/>
          <w:sz w:val="24"/>
          <w:szCs w:val="24"/>
        </w:rPr>
        <w:t xml:space="preserve"> </w:t>
      </w:r>
      <w:r w:rsidRPr="000F1F91">
        <w:rPr>
          <w:rFonts w:ascii="Times New Roman" w:hAnsi="Times New Roman" w:cs="Times New Roman"/>
          <w:color w:val="000000" w:themeColor="text1"/>
          <w:sz w:val="24"/>
          <w:szCs w:val="24"/>
        </w:rPr>
        <w:t>February 2024 (Plate 1). The samples were brought to the laboratory for assessment of their physical and anatomical properties. Uniform procedures were followed for processing and analysing both bark samples in each respective year.</w:t>
      </w:r>
    </w:p>
    <w:p w14:paraId="1D9739D8" w14:textId="77777777" w:rsidR="00275459" w:rsidRPr="000F1F91" w:rsidRDefault="00275459" w:rsidP="00500708">
      <w:pPr>
        <w:spacing w:after="0" w:line="360" w:lineRule="auto"/>
        <w:ind w:firstLine="720"/>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The moisture content was determined using the oven-dry method, while basic density was determined using the water-displacement method. The anatomical properties of original and regenerated Arjuna bark were measured under a microscope equipped with an image-analysis system, using the maceration technique and 25 µm-thick sections prepared in transverse and tangential directions with a sliding microtome (Sinha et al., 2022; Jadhav, 2025). Bark ray dimensions (height and width) were measured at 10× magnification using tangential sections examined under a Leica trinocular microscope with LAS measurement software. To determine fibre dimensions, including fibre length, fibre width, lumen width, and fibre cell-wall thickness, bark samples were macerated using Schultz’s method (</w:t>
      </w:r>
      <w:r w:rsidRPr="000F1F91">
        <w:rPr>
          <w:rFonts w:ascii="Times New Roman" w:hAnsi="Times New Roman"/>
          <w:bCs/>
          <w:sz w:val="24"/>
          <w:szCs w:val="24"/>
        </w:rPr>
        <w:t xml:space="preserve">Jane, 1956; </w:t>
      </w:r>
      <w:r w:rsidRPr="000F1F91">
        <w:rPr>
          <w:rFonts w:ascii="Times New Roman" w:hAnsi="Times New Roman" w:cs="Times New Roman"/>
          <w:color w:val="000000" w:themeColor="text1"/>
          <w:sz w:val="24"/>
          <w:szCs w:val="24"/>
        </w:rPr>
        <w:t>Sinha et al., 2022). A minimum of 25 observations were recorded for fibre dimensions in accordance with the guidelines of the International Association of Wood Anatomists (IAWA) Committee (</w:t>
      </w:r>
      <w:r w:rsidRPr="000F1F91">
        <w:rPr>
          <w:rFonts w:ascii="Times New Roman" w:hAnsi="Times New Roman"/>
          <w:bCs/>
          <w:sz w:val="24"/>
          <w:szCs w:val="24"/>
        </w:rPr>
        <w:t xml:space="preserve">Wheeler </w:t>
      </w:r>
      <w:r w:rsidRPr="000F1F91">
        <w:rPr>
          <w:rFonts w:ascii="Times New Roman" w:hAnsi="Times New Roman"/>
          <w:bCs/>
          <w:iCs/>
          <w:sz w:val="24"/>
          <w:szCs w:val="24"/>
        </w:rPr>
        <w:t>et al</w:t>
      </w:r>
      <w:r w:rsidRPr="000F1F91">
        <w:rPr>
          <w:rFonts w:ascii="Times New Roman" w:hAnsi="Times New Roman"/>
          <w:bCs/>
          <w:i/>
          <w:sz w:val="24"/>
          <w:szCs w:val="24"/>
        </w:rPr>
        <w:t>.,</w:t>
      </w:r>
      <w:r w:rsidRPr="000F1F91">
        <w:rPr>
          <w:rFonts w:ascii="Times New Roman" w:hAnsi="Times New Roman"/>
          <w:bCs/>
          <w:sz w:val="24"/>
          <w:szCs w:val="24"/>
        </w:rPr>
        <w:t xml:space="preserve"> 1989</w:t>
      </w:r>
      <w:r w:rsidRPr="000F1F91">
        <w:rPr>
          <w:rFonts w:ascii="Times New Roman" w:hAnsi="Times New Roman" w:cs="Times New Roman"/>
          <w:color w:val="000000" w:themeColor="text1"/>
          <w:sz w:val="24"/>
          <w:szCs w:val="24"/>
        </w:rPr>
        <w:t>). The data were subsequently subjected to a t-test to determine whether the differences between original and regenerated bark were significant.</w:t>
      </w:r>
    </w:p>
    <w:p w14:paraId="4D92E464" w14:textId="77777777" w:rsidR="00EC49BE" w:rsidRPr="000F1F91" w:rsidRDefault="00EC49BE" w:rsidP="00500708">
      <w:pPr>
        <w:spacing w:after="0" w:line="360" w:lineRule="auto"/>
        <w:jc w:val="center"/>
        <w:rPr>
          <w:rFonts w:ascii="Times New Roman" w:hAnsi="Times New Roman" w:cs="Times New Roman"/>
          <w:b/>
          <w:bCs/>
          <w:color w:val="000000" w:themeColor="text1"/>
          <w:sz w:val="24"/>
          <w:szCs w:val="24"/>
        </w:rPr>
      </w:pPr>
    </w:p>
    <w:p w14:paraId="1750B0C3" w14:textId="77777777" w:rsidR="0067467C" w:rsidRPr="000F1F91" w:rsidRDefault="0067467C" w:rsidP="00547D44">
      <w:pPr>
        <w:pStyle w:val="ListParagraph"/>
        <w:numPr>
          <w:ilvl w:val="0"/>
          <w:numId w:val="4"/>
        </w:numPr>
        <w:spacing w:after="0" w:line="360" w:lineRule="auto"/>
        <w:ind w:left="284" w:hanging="284"/>
        <w:rPr>
          <w:rFonts w:ascii="Times New Roman" w:hAnsi="Times New Roman" w:cs="Times New Roman"/>
          <w:b/>
          <w:bCs/>
          <w:color w:val="000000" w:themeColor="text1"/>
          <w:sz w:val="24"/>
          <w:szCs w:val="24"/>
        </w:rPr>
      </w:pPr>
      <w:r w:rsidRPr="000F1F91">
        <w:rPr>
          <w:rFonts w:ascii="Times New Roman" w:hAnsi="Times New Roman" w:cs="Times New Roman"/>
          <w:b/>
          <w:bCs/>
          <w:color w:val="000000" w:themeColor="text1"/>
          <w:sz w:val="24"/>
          <w:szCs w:val="24"/>
        </w:rPr>
        <w:t>RESULTS AND DISCUSSION</w:t>
      </w:r>
    </w:p>
    <w:p w14:paraId="0D99F9EA" w14:textId="77777777" w:rsidR="0067467C" w:rsidRPr="000F1F91" w:rsidRDefault="00275459" w:rsidP="00500708">
      <w:pPr>
        <w:spacing w:after="0" w:line="360" w:lineRule="auto"/>
        <w:ind w:firstLine="720"/>
        <w:jc w:val="both"/>
        <w:rPr>
          <w:rFonts w:ascii="Times New Roman" w:eastAsia="Times New Roman" w:hAnsi="Times New Roman" w:cs="Times New Roman"/>
          <w:color w:val="000000" w:themeColor="text1"/>
          <w:kern w:val="0"/>
          <w:sz w:val="24"/>
          <w:lang w:val="en-US"/>
        </w:rPr>
      </w:pPr>
      <w:r w:rsidRPr="000F1F91">
        <w:rPr>
          <w:rFonts w:ascii="Times New Roman" w:eastAsia="Times New Roman" w:hAnsi="Times New Roman" w:cs="Times New Roman"/>
          <w:color w:val="000000" w:themeColor="text1"/>
          <w:kern w:val="0"/>
          <w:sz w:val="24"/>
          <w:lang w:val="en-US"/>
        </w:rPr>
        <w:t xml:space="preserve">Bark biomass (weight) is an important physical property that determines raw-material availability for large-scale drug production and helps estimate the yield of active ingredients per tree, thereby informing the optimisation of harvesting practices to maintain medicinal potency and sustainability. </w:t>
      </w:r>
      <w:r w:rsidRPr="000F1F91">
        <w:rPr>
          <w:rFonts w:ascii="Times New Roman" w:eastAsia="Times New Roman" w:hAnsi="Times New Roman" w:cs="Times New Roman"/>
          <w:color w:val="000000" w:themeColor="text1"/>
          <w:kern w:val="0"/>
          <w:sz w:val="24"/>
        </w:rPr>
        <w:t xml:space="preserve">The present study revealed that </w:t>
      </w:r>
      <w:r w:rsidRPr="000F1F91">
        <w:rPr>
          <w:rFonts w:ascii="Times New Roman" w:eastAsia="Times New Roman" w:hAnsi="Times New Roman" w:cs="Times New Roman"/>
          <w:color w:val="000000" w:themeColor="text1"/>
          <w:kern w:val="0"/>
          <w:sz w:val="24"/>
          <w:lang w:val="en-US"/>
        </w:rPr>
        <w:t xml:space="preserve">the fresh weight of original bark was significantly greater than that of regenerated bark, consistent with the findings of </w:t>
      </w:r>
      <w:r w:rsidRPr="000F1F91">
        <w:rPr>
          <w:rFonts w:ascii="Times New Roman" w:hAnsi="Times New Roman" w:cs="Times New Roman"/>
          <w:color w:val="000000" w:themeColor="text1"/>
          <w:sz w:val="24"/>
          <w:szCs w:val="24"/>
        </w:rPr>
        <w:t xml:space="preserve">Gunaga et al. (2017) </w:t>
      </w:r>
      <w:r w:rsidRPr="000F1F91">
        <w:rPr>
          <w:rFonts w:ascii="Times New Roman" w:eastAsia="Times New Roman" w:hAnsi="Times New Roman" w:cs="Times New Roman"/>
          <w:color w:val="000000" w:themeColor="text1"/>
          <w:kern w:val="0"/>
          <w:sz w:val="24"/>
          <w:lang w:val="en-US"/>
        </w:rPr>
        <w:t>for Arjuna.</w:t>
      </w:r>
    </w:p>
    <w:p w14:paraId="67154E03" w14:textId="77777777" w:rsidR="00275459" w:rsidRPr="000F1F91" w:rsidRDefault="00275459" w:rsidP="00500708">
      <w:pPr>
        <w:spacing w:after="0" w:line="360" w:lineRule="auto"/>
        <w:ind w:firstLine="720"/>
        <w:jc w:val="both"/>
        <w:rPr>
          <w:rFonts w:ascii="Times New Roman" w:eastAsia="Times New Roman" w:hAnsi="Times New Roman" w:cs="Times New Roman"/>
          <w:color w:val="000000" w:themeColor="text1"/>
          <w:kern w:val="0"/>
          <w:sz w:val="24"/>
          <w:lang w:val="en-US"/>
        </w:rPr>
      </w:pPr>
      <w:r w:rsidRPr="000F1F91">
        <w:rPr>
          <w:rFonts w:ascii="Times New Roman" w:eastAsia="Times New Roman" w:hAnsi="Times New Roman" w:cs="Times New Roman"/>
          <w:color w:val="000000" w:themeColor="text1"/>
          <w:kern w:val="0"/>
          <w:sz w:val="24"/>
          <w:lang w:val="en-US"/>
        </w:rPr>
        <w:t>In the present study, fresh weight ranged from 43.16 to 87.28 g for original bark and from 22.62 to 49.10 g for regenerated bark. This indicates that the fresh weight of Arjuna</w:t>
      </w:r>
      <w:r w:rsidRPr="000F1F91">
        <w:rPr>
          <w:rFonts w:ascii="Times New Roman" w:eastAsia="Times New Roman" w:hAnsi="Times New Roman" w:cs="Times New Roman"/>
          <w:color w:val="000000" w:themeColor="text1"/>
          <w:kern w:val="0"/>
          <w:sz w:val="24"/>
          <w:vertAlign w:val="superscript"/>
          <w:lang w:val="en-US"/>
        </w:rPr>
        <w:t xml:space="preserve"> </w:t>
      </w:r>
      <w:r w:rsidRPr="000F1F91">
        <w:rPr>
          <w:rFonts w:ascii="Times New Roman" w:eastAsia="Times New Roman" w:hAnsi="Times New Roman" w:cs="Times New Roman"/>
          <w:color w:val="000000" w:themeColor="text1"/>
          <w:kern w:val="0"/>
          <w:sz w:val="24"/>
          <w:lang w:val="en-US"/>
        </w:rPr>
        <w:t>bark varies among trees and ultimately affects bark biomass (Table 1). Pandey and Kori (2011) reported a wider variation in the fresh weight of original Arjuna</w:t>
      </w:r>
      <w:r w:rsidRPr="000F1F91">
        <w:rPr>
          <w:rFonts w:ascii="Times New Roman" w:eastAsia="Times New Roman" w:hAnsi="Times New Roman" w:cs="Times New Roman"/>
          <w:color w:val="000000" w:themeColor="text1"/>
          <w:kern w:val="0"/>
          <w:sz w:val="24"/>
          <w:vertAlign w:val="superscript"/>
          <w:lang w:val="en-US"/>
        </w:rPr>
        <w:t xml:space="preserve"> </w:t>
      </w:r>
      <w:r w:rsidRPr="000F1F91">
        <w:rPr>
          <w:rFonts w:ascii="Times New Roman" w:eastAsia="Times New Roman" w:hAnsi="Times New Roman" w:cs="Times New Roman"/>
          <w:color w:val="000000" w:themeColor="text1"/>
          <w:kern w:val="0"/>
          <w:sz w:val="24"/>
          <w:lang w:val="en-US"/>
        </w:rPr>
        <w:t xml:space="preserve">bark, ranging from 20.56 to </w:t>
      </w:r>
      <w:r w:rsidRPr="000F1F91">
        <w:rPr>
          <w:rFonts w:ascii="Times New Roman" w:eastAsia="Times New Roman" w:hAnsi="Times New Roman" w:cs="Times New Roman"/>
          <w:color w:val="000000" w:themeColor="text1"/>
          <w:kern w:val="0"/>
          <w:sz w:val="24"/>
          <w:lang w:val="en-US"/>
        </w:rPr>
        <w:lastRenderedPageBreak/>
        <w:t>117.75 g for the same blaze size of 10 cm × 5 cm across different locations in Chhattisgarh. In addition to weight, original bark was significantly thicker than regenerated bark. The lower thickness of regenerated bark was attributable to its age of one year; however, basic density, moisture content, and volumetric shrinkage did not differ significantly between original and regenerated bark (Table 1).</w:t>
      </w:r>
    </w:p>
    <w:p w14:paraId="375EB849" w14:textId="77777777" w:rsidR="000C7C0C" w:rsidRPr="000F1F91" w:rsidRDefault="006D10FC">
      <w:pPr>
        <w:spacing w:after="0" w:line="360" w:lineRule="auto"/>
        <w:ind w:firstLine="720"/>
        <w:jc w:val="both"/>
        <w:rPr>
          <w:rFonts w:ascii="Times New Roman" w:eastAsia="Times New Roman" w:hAnsi="Times New Roman" w:cs="Times New Roman"/>
          <w:color w:val="000000" w:themeColor="text1"/>
          <w:kern w:val="0"/>
          <w:sz w:val="24"/>
          <w:lang w:val="en-US"/>
        </w:rPr>
      </w:pPr>
      <w:r w:rsidRPr="000F1F91">
        <w:rPr>
          <w:rFonts w:ascii="Times New Roman" w:hAnsi="Times New Roman"/>
          <w:sz w:val="24"/>
        </w:rPr>
        <w:t>The substantially lower fresh weight and thickness of the one-year-old regenerated bark are consistent with an incomplete recovery interval rather than equivalence to mature original bark. Comparable debarking studies have shown that regrowth is highly dependent on species and treatment and may vary with harvesting intensity, season, stem size, patch geometry, and post-harvest protection. These findings support the need to define species-specific minimum intervals before repeated harvesting (Delvaux et al., 2009, 2010a; Hanumantha &amp; Vasudeva, 2022).</w:t>
      </w:r>
    </w:p>
    <w:p w14:paraId="47D09146" w14:textId="77777777" w:rsidR="00422878" w:rsidRPr="000F1F91" w:rsidRDefault="00422878" w:rsidP="00422878">
      <w:pPr>
        <w:spacing w:after="0" w:line="480" w:lineRule="auto"/>
        <w:ind w:left="720" w:hanging="720"/>
        <w:jc w:val="both"/>
        <w:rPr>
          <w:rFonts w:ascii="Times New Roman" w:eastAsia="Times New Roman" w:hAnsi="Times New Roman" w:cs="Times New Roman"/>
          <w:color w:val="000000" w:themeColor="text1"/>
          <w:kern w:val="0"/>
          <w:sz w:val="24"/>
          <w:lang w:val="en-US"/>
        </w:rPr>
      </w:pPr>
      <w:r w:rsidRPr="000F1F91">
        <w:rPr>
          <w:rFonts w:ascii="Times New Roman" w:eastAsia="Times New Roman" w:hAnsi="Times New Roman" w:cs="Times New Roman"/>
          <w:b/>
          <w:bCs/>
          <w:color w:val="000000" w:themeColor="text1"/>
          <w:kern w:val="0"/>
          <w:sz w:val="24"/>
          <w:lang w:val="en-US"/>
        </w:rPr>
        <w:t xml:space="preserve">Table 1. </w:t>
      </w:r>
      <w:r w:rsidRPr="000F1F91">
        <w:rPr>
          <w:rFonts w:ascii="Times New Roman" w:eastAsia="Times New Roman" w:hAnsi="Times New Roman" w:cs="Times New Roman"/>
          <w:color w:val="000000" w:themeColor="text1"/>
          <w:kern w:val="0"/>
          <w:sz w:val="24"/>
          <w:lang w:val="en-US"/>
        </w:rPr>
        <w:t>Physical properties of original and regenerated bark of Arjuna</w:t>
      </w:r>
    </w:p>
    <w:tbl>
      <w:tblPr>
        <w:tblStyle w:val="TableGrid"/>
        <w:tblW w:w="494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273"/>
        <w:gridCol w:w="1277"/>
        <w:gridCol w:w="1418"/>
        <w:gridCol w:w="1275"/>
        <w:gridCol w:w="991"/>
      </w:tblGrid>
      <w:tr w:rsidR="00422878" w:rsidRPr="000F1F91" w14:paraId="4C323D95" w14:textId="77777777" w:rsidTr="00422878">
        <w:tc>
          <w:tcPr>
            <w:tcW w:w="1509" w:type="pct"/>
            <w:vMerge w:val="restart"/>
            <w:tcBorders>
              <w:top w:val="single" w:sz="4" w:space="0" w:color="auto"/>
              <w:bottom w:val="nil"/>
            </w:tcBorders>
          </w:tcPr>
          <w:p w14:paraId="27621295"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r w:rsidRPr="000F1F91">
              <w:rPr>
                <w:rFonts w:ascii="Times New Roman" w:eastAsia="Times New Roman" w:hAnsi="Times New Roman" w:cs="Times New Roman"/>
                <w:b/>
                <w:bCs/>
                <w:color w:val="000000" w:themeColor="text1"/>
                <w:sz w:val="24"/>
              </w:rPr>
              <w:t>Physical</w:t>
            </w:r>
            <w:r w:rsidRPr="000F1F91">
              <w:rPr>
                <w:rFonts w:ascii="Times New Roman" w:eastAsia="Times New Roman" w:hAnsi="Times New Roman" w:cs="Times New Roman"/>
                <w:color w:val="000000" w:themeColor="text1"/>
                <w:sz w:val="24"/>
              </w:rPr>
              <w:t xml:space="preserve"> </w:t>
            </w:r>
            <w:r w:rsidRPr="000F1F91">
              <w:rPr>
                <w:rFonts w:ascii="Times New Roman" w:eastAsia="Times New Roman" w:hAnsi="Times New Roman" w:cs="Times New Roman"/>
                <w:b/>
                <w:bCs/>
                <w:color w:val="000000" w:themeColor="text1"/>
                <w:sz w:val="22"/>
                <w:szCs w:val="22"/>
              </w:rPr>
              <w:t>Properties</w:t>
            </w:r>
          </w:p>
        </w:tc>
        <w:tc>
          <w:tcPr>
            <w:tcW w:w="1428" w:type="pct"/>
            <w:gridSpan w:val="2"/>
            <w:tcBorders>
              <w:top w:val="single" w:sz="4" w:space="0" w:color="auto"/>
              <w:bottom w:val="nil"/>
            </w:tcBorders>
          </w:tcPr>
          <w:p w14:paraId="786FA409"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Original Bark</w:t>
            </w:r>
          </w:p>
        </w:tc>
        <w:tc>
          <w:tcPr>
            <w:tcW w:w="1508" w:type="pct"/>
            <w:gridSpan w:val="2"/>
            <w:tcBorders>
              <w:top w:val="single" w:sz="4" w:space="0" w:color="auto"/>
              <w:bottom w:val="nil"/>
            </w:tcBorders>
          </w:tcPr>
          <w:p w14:paraId="6DF4D92A"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Regenerated Bark</w:t>
            </w:r>
          </w:p>
        </w:tc>
        <w:tc>
          <w:tcPr>
            <w:tcW w:w="555" w:type="pct"/>
            <w:vMerge w:val="restart"/>
            <w:tcBorders>
              <w:top w:val="single" w:sz="4" w:space="0" w:color="auto"/>
            </w:tcBorders>
          </w:tcPr>
          <w:p w14:paraId="653C0FAD"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eastAsia="Times New Roman" w:hAnsi="Times New Roman" w:cs="Times New Roman"/>
                <w:b/>
                <w:bCs/>
                <w:color w:val="000000" w:themeColor="text1"/>
                <w:sz w:val="22"/>
                <w:szCs w:val="22"/>
              </w:rPr>
              <w:t>‘t’ value</w:t>
            </w:r>
          </w:p>
        </w:tc>
      </w:tr>
      <w:tr w:rsidR="00422878" w:rsidRPr="000F1F91" w14:paraId="61111896" w14:textId="77777777" w:rsidTr="004B3833">
        <w:tc>
          <w:tcPr>
            <w:tcW w:w="1509" w:type="pct"/>
            <w:vMerge/>
            <w:tcBorders>
              <w:top w:val="nil"/>
              <w:bottom w:val="single" w:sz="4" w:space="0" w:color="auto"/>
            </w:tcBorders>
          </w:tcPr>
          <w:p w14:paraId="3E715FE3"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p>
        </w:tc>
        <w:tc>
          <w:tcPr>
            <w:tcW w:w="713" w:type="pct"/>
            <w:tcBorders>
              <w:top w:val="nil"/>
              <w:bottom w:val="single" w:sz="4" w:space="0" w:color="auto"/>
            </w:tcBorders>
          </w:tcPr>
          <w:p w14:paraId="1E784A61"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Range</w:t>
            </w:r>
          </w:p>
        </w:tc>
        <w:tc>
          <w:tcPr>
            <w:tcW w:w="715" w:type="pct"/>
            <w:tcBorders>
              <w:top w:val="nil"/>
              <w:bottom w:val="single" w:sz="4" w:space="0" w:color="auto"/>
            </w:tcBorders>
          </w:tcPr>
          <w:p w14:paraId="07CA2696"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Mean </w:t>
            </w:r>
            <w:r w:rsidRPr="000F1F91">
              <w:rPr>
                <w:rFonts w:ascii="Times New Roman" w:hAnsi="Times New Roman" w:cs="Times New Roman"/>
                <w:color w:val="000000" w:themeColor="text1"/>
                <w:sz w:val="22"/>
                <w:szCs w:val="22"/>
              </w:rPr>
              <w:t>± SD</w:t>
            </w:r>
          </w:p>
        </w:tc>
        <w:tc>
          <w:tcPr>
            <w:tcW w:w="794" w:type="pct"/>
            <w:tcBorders>
              <w:top w:val="nil"/>
              <w:bottom w:val="single" w:sz="4" w:space="0" w:color="auto"/>
            </w:tcBorders>
          </w:tcPr>
          <w:p w14:paraId="7136F692"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Range</w:t>
            </w:r>
          </w:p>
        </w:tc>
        <w:tc>
          <w:tcPr>
            <w:tcW w:w="714" w:type="pct"/>
            <w:tcBorders>
              <w:top w:val="nil"/>
              <w:bottom w:val="single" w:sz="4" w:space="0" w:color="auto"/>
            </w:tcBorders>
          </w:tcPr>
          <w:p w14:paraId="649E3413"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Mean </w:t>
            </w:r>
            <w:r w:rsidRPr="000F1F91">
              <w:rPr>
                <w:rFonts w:ascii="Times New Roman" w:hAnsi="Times New Roman" w:cs="Times New Roman"/>
                <w:color w:val="000000" w:themeColor="text1"/>
                <w:sz w:val="22"/>
                <w:szCs w:val="22"/>
              </w:rPr>
              <w:t>± SD</w:t>
            </w:r>
          </w:p>
        </w:tc>
        <w:tc>
          <w:tcPr>
            <w:tcW w:w="555" w:type="pct"/>
            <w:vMerge/>
            <w:tcBorders>
              <w:bottom w:val="single" w:sz="4" w:space="0" w:color="auto"/>
            </w:tcBorders>
          </w:tcPr>
          <w:p w14:paraId="2440B29E"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p>
        </w:tc>
      </w:tr>
      <w:tr w:rsidR="00422878" w:rsidRPr="000F1F91" w14:paraId="1C0B11F6" w14:textId="77777777" w:rsidTr="004B3833">
        <w:tc>
          <w:tcPr>
            <w:tcW w:w="1509" w:type="pct"/>
            <w:tcBorders>
              <w:top w:val="single" w:sz="4" w:space="0" w:color="auto"/>
            </w:tcBorders>
          </w:tcPr>
          <w:p w14:paraId="67E90D61"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lang w:val="en-IN"/>
              </w:rPr>
              <w:t>Fresh weight (g)</w:t>
            </w:r>
          </w:p>
        </w:tc>
        <w:tc>
          <w:tcPr>
            <w:tcW w:w="713" w:type="pct"/>
            <w:tcBorders>
              <w:top w:val="single" w:sz="4" w:space="0" w:color="auto"/>
            </w:tcBorders>
          </w:tcPr>
          <w:p w14:paraId="72B328BD"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43.16-87.28</w:t>
            </w:r>
          </w:p>
        </w:tc>
        <w:tc>
          <w:tcPr>
            <w:tcW w:w="715" w:type="pct"/>
            <w:tcBorders>
              <w:top w:val="single" w:sz="4" w:space="0" w:color="auto"/>
            </w:tcBorders>
          </w:tcPr>
          <w:p w14:paraId="5E2EC714"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64.34 </w:t>
            </w:r>
          </w:p>
          <w:p w14:paraId="4398442D"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8.56</w:t>
            </w:r>
          </w:p>
        </w:tc>
        <w:tc>
          <w:tcPr>
            <w:tcW w:w="794" w:type="pct"/>
            <w:tcBorders>
              <w:top w:val="single" w:sz="4" w:space="0" w:color="auto"/>
            </w:tcBorders>
          </w:tcPr>
          <w:p w14:paraId="437C3A21"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22.62-49.1</w:t>
            </w:r>
          </w:p>
        </w:tc>
        <w:tc>
          <w:tcPr>
            <w:tcW w:w="714" w:type="pct"/>
            <w:tcBorders>
              <w:top w:val="single" w:sz="4" w:space="0" w:color="auto"/>
            </w:tcBorders>
          </w:tcPr>
          <w:p w14:paraId="0FCEDE48"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29.99 </w:t>
            </w:r>
          </w:p>
          <w:p w14:paraId="0E321EEA"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6.30</w:t>
            </w:r>
          </w:p>
        </w:tc>
        <w:tc>
          <w:tcPr>
            <w:tcW w:w="555" w:type="pct"/>
            <w:tcBorders>
              <w:top w:val="single" w:sz="4" w:space="0" w:color="auto"/>
            </w:tcBorders>
          </w:tcPr>
          <w:p w14:paraId="33D8B7AC"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12.58</w:t>
            </w:r>
            <w:r w:rsidRPr="000F1F91">
              <w:rPr>
                <w:rFonts w:ascii="Times New Roman" w:eastAsia="Times New Roman" w:hAnsi="Times New Roman" w:cs="Times New Roman"/>
                <w:b/>
                <w:bCs/>
                <w:color w:val="000000" w:themeColor="text1"/>
                <w:sz w:val="22"/>
                <w:szCs w:val="22"/>
              </w:rPr>
              <w:t>**</w:t>
            </w:r>
          </w:p>
        </w:tc>
      </w:tr>
      <w:tr w:rsidR="00422878" w:rsidRPr="000F1F91" w14:paraId="1B421CC8" w14:textId="77777777" w:rsidTr="00422878">
        <w:tc>
          <w:tcPr>
            <w:tcW w:w="1509" w:type="pct"/>
          </w:tcPr>
          <w:p w14:paraId="6FBCC0FD" w14:textId="77777777" w:rsidR="00422878" w:rsidRPr="000F1F91" w:rsidRDefault="00422878" w:rsidP="00422878">
            <w:pPr>
              <w:ind w:right="-130"/>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Bark thickness (mm)</w:t>
            </w:r>
          </w:p>
        </w:tc>
        <w:tc>
          <w:tcPr>
            <w:tcW w:w="713" w:type="pct"/>
          </w:tcPr>
          <w:p w14:paraId="374493B6"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9.17-13.83</w:t>
            </w:r>
          </w:p>
        </w:tc>
        <w:tc>
          <w:tcPr>
            <w:tcW w:w="715" w:type="pct"/>
          </w:tcPr>
          <w:p w14:paraId="5CE372E0"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11.98 </w:t>
            </w:r>
          </w:p>
          <w:p w14:paraId="1CBAD956"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1.45</w:t>
            </w:r>
          </w:p>
        </w:tc>
        <w:tc>
          <w:tcPr>
            <w:tcW w:w="794" w:type="pct"/>
          </w:tcPr>
          <w:p w14:paraId="4730898A"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4.51-5.88</w:t>
            </w:r>
          </w:p>
        </w:tc>
        <w:tc>
          <w:tcPr>
            <w:tcW w:w="714" w:type="pct"/>
          </w:tcPr>
          <w:p w14:paraId="2C19500C"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4.99 </w:t>
            </w:r>
          </w:p>
          <w:p w14:paraId="622098D3"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0.45</w:t>
            </w:r>
          </w:p>
        </w:tc>
        <w:tc>
          <w:tcPr>
            <w:tcW w:w="555" w:type="pct"/>
          </w:tcPr>
          <w:p w14:paraId="1793C6E6"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15.61</w:t>
            </w:r>
            <w:r w:rsidRPr="000F1F91">
              <w:rPr>
                <w:rFonts w:ascii="Times New Roman" w:eastAsia="Times New Roman" w:hAnsi="Times New Roman" w:cs="Times New Roman"/>
                <w:b/>
                <w:bCs/>
                <w:color w:val="000000" w:themeColor="text1"/>
                <w:sz w:val="22"/>
                <w:szCs w:val="22"/>
              </w:rPr>
              <w:t>**</w:t>
            </w:r>
          </w:p>
        </w:tc>
      </w:tr>
      <w:tr w:rsidR="00422878" w:rsidRPr="000F1F91" w14:paraId="5E8CFD2B" w14:textId="77777777" w:rsidTr="00422878">
        <w:tc>
          <w:tcPr>
            <w:tcW w:w="1509" w:type="pct"/>
          </w:tcPr>
          <w:p w14:paraId="5256D31C" w14:textId="77777777" w:rsidR="00422878" w:rsidRPr="000F1F91" w:rsidRDefault="00422878" w:rsidP="00422878">
            <w:pPr>
              <w:jc w:val="both"/>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Basic density (g/cm</w:t>
            </w:r>
            <w:r w:rsidRPr="000F1F91">
              <w:rPr>
                <w:rFonts w:ascii="Times New Roman" w:hAnsi="Times New Roman" w:cs="Times New Roman"/>
                <w:b/>
                <w:bCs/>
                <w:color w:val="000000" w:themeColor="text1"/>
                <w:sz w:val="22"/>
                <w:szCs w:val="22"/>
                <w:vertAlign w:val="superscript"/>
              </w:rPr>
              <w:t>3</w:t>
            </w:r>
            <w:r w:rsidRPr="000F1F91">
              <w:rPr>
                <w:rFonts w:ascii="Times New Roman" w:hAnsi="Times New Roman" w:cs="Times New Roman"/>
                <w:b/>
                <w:bCs/>
                <w:color w:val="000000" w:themeColor="text1"/>
                <w:sz w:val="22"/>
                <w:szCs w:val="22"/>
              </w:rPr>
              <w:t>)</w:t>
            </w:r>
          </w:p>
        </w:tc>
        <w:tc>
          <w:tcPr>
            <w:tcW w:w="713" w:type="pct"/>
          </w:tcPr>
          <w:p w14:paraId="67EDCAB0"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0.366-0.601</w:t>
            </w:r>
          </w:p>
        </w:tc>
        <w:tc>
          <w:tcPr>
            <w:tcW w:w="715" w:type="pct"/>
          </w:tcPr>
          <w:p w14:paraId="2885A2E5"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0.467 </w:t>
            </w:r>
          </w:p>
          <w:p w14:paraId="29C706AE"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0.08</w:t>
            </w:r>
          </w:p>
        </w:tc>
        <w:tc>
          <w:tcPr>
            <w:tcW w:w="794" w:type="pct"/>
          </w:tcPr>
          <w:p w14:paraId="535812BB"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0.383-0.522</w:t>
            </w:r>
          </w:p>
        </w:tc>
        <w:tc>
          <w:tcPr>
            <w:tcW w:w="714" w:type="pct"/>
          </w:tcPr>
          <w:p w14:paraId="74D381BF"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0.443 </w:t>
            </w:r>
          </w:p>
          <w:p w14:paraId="71257937"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0.05</w:t>
            </w:r>
          </w:p>
        </w:tc>
        <w:tc>
          <w:tcPr>
            <w:tcW w:w="555" w:type="pct"/>
          </w:tcPr>
          <w:p w14:paraId="45A8247F"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1.39</w:t>
            </w:r>
            <w:r w:rsidRPr="000F1F91">
              <w:rPr>
                <w:rFonts w:ascii="Times New Roman" w:eastAsia="Times New Roman" w:hAnsi="Times New Roman" w:cs="Times New Roman"/>
                <w:color w:val="000000" w:themeColor="text1"/>
                <w:sz w:val="22"/>
                <w:szCs w:val="22"/>
                <w:vertAlign w:val="superscript"/>
              </w:rPr>
              <w:t>NS</w:t>
            </w:r>
          </w:p>
        </w:tc>
      </w:tr>
      <w:tr w:rsidR="00422878" w:rsidRPr="000F1F91" w14:paraId="260ED975" w14:textId="77777777" w:rsidTr="00422878">
        <w:tc>
          <w:tcPr>
            <w:tcW w:w="1509" w:type="pct"/>
          </w:tcPr>
          <w:p w14:paraId="61D93D13"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Moisture content (%)</w:t>
            </w:r>
          </w:p>
        </w:tc>
        <w:tc>
          <w:tcPr>
            <w:tcW w:w="713" w:type="pct"/>
          </w:tcPr>
          <w:p w14:paraId="6608F5AA" w14:textId="77777777" w:rsidR="00422878" w:rsidRPr="000F1F91" w:rsidRDefault="00422878" w:rsidP="00422878">
            <w:pPr>
              <w:ind w:right="-71" w:hanging="79"/>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92.83-182.17</w:t>
            </w:r>
          </w:p>
        </w:tc>
        <w:tc>
          <w:tcPr>
            <w:tcW w:w="715" w:type="pct"/>
          </w:tcPr>
          <w:p w14:paraId="00C56CF4"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133.42 </w:t>
            </w:r>
          </w:p>
          <w:p w14:paraId="30F17939"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28.05</w:t>
            </w:r>
          </w:p>
        </w:tc>
        <w:tc>
          <w:tcPr>
            <w:tcW w:w="794" w:type="pct"/>
          </w:tcPr>
          <w:p w14:paraId="3AC45C78"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109.62-170.22</w:t>
            </w:r>
          </w:p>
        </w:tc>
        <w:tc>
          <w:tcPr>
            <w:tcW w:w="714" w:type="pct"/>
          </w:tcPr>
          <w:p w14:paraId="1A1C47FE"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140.24 </w:t>
            </w:r>
          </w:p>
          <w:p w14:paraId="4A0295B8"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20.95</w:t>
            </w:r>
          </w:p>
        </w:tc>
        <w:tc>
          <w:tcPr>
            <w:tcW w:w="555" w:type="pct"/>
          </w:tcPr>
          <w:p w14:paraId="60368165"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-0.90</w:t>
            </w:r>
            <w:r w:rsidRPr="000F1F91">
              <w:rPr>
                <w:rFonts w:ascii="Times New Roman" w:eastAsia="Times New Roman" w:hAnsi="Times New Roman" w:cs="Times New Roman"/>
                <w:color w:val="000000" w:themeColor="text1"/>
                <w:sz w:val="22"/>
                <w:szCs w:val="22"/>
                <w:vertAlign w:val="superscript"/>
              </w:rPr>
              <w:t>NS</w:t>
            </w:r>
          </w:p>
        </w:tc>
      </w:tr>
      <w:tr w:rsidR="00422878" w:rsidRPr="000F1F91" w14:paraId="37837F9C" w14:textId="77777777" w:rsidTr="00422878">
        <w:tc>
          <w:tcPr>
            <w:tcW w:w="1509" w:type="pct"/>
          </w:tcPr>
          <w:p w14:paraId="22B92836"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Volumetric shrinkage (%)</w:t>
            </w:r>
          </w:p>
        </w:tc>
        <w:tc>
          <w:tcPr>
            <w:tcW w:w="713" w:type="pct"/>
          </w:tcPr>
          <w:p w14:paraId="344856C4"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32.11-55.39</w:t>
            </w:r>
          </w:p>
        </w:tc>
        <w:tc>
          <w:tcPr>
            <w:tcW w:w="715" w:type="pct"/>
          </w:tcPr>
          <w:p w14:paraId="56356B0D"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47.66 </w:t>
            </w:r>
          </w:p>
          <w:p w14:paraId="5A58C75C"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7.40</w:t>
            </w:r>
          </w:p>
        </w:tc>
        <w:tc>
          <w:tcPr>
            <w:tcW w:w="794" w:type="pct"/>
          </w:tcPr>
          <w:p w14:paraId="1AE4F502"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42.89-59.60</w:t>
            </w:r>
          </w:p>
        </w:tc>
        <w:tc>
          <w:tcPr>
            <w:tcW w:w="714" w:type="pct"/>
          </w:tcPr>
          <w:p w14:paraId="5C98065F"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52.00 </w:t>
            </w:r>
          </w:p>
          <w:p w14:paraId="4F3950A3" w14:textId="77777777" w:rsidR="00422878" w:rsidRPr="000F1F91" w:rsidRDefault="00422878" w:rsidP="00422878">
            <w:pPr>
              <w:ind w:right="-71"/>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6.12</w:t>
            </w:r>
          </w:p>
        </w:tc>
        <w:tc>
          <w:tcPr>
            <w:tcW w:w="555" w:type="pct"/>
          </w:tcPr>
          <w:p w14:paraId="64D76D28" w14:textId="77777777" w:rsidR="00422878" w:rsidRPr="000F1F91" w:rsidRDefault="00422878" w:rsidP="00422878">
            <w:pPr>
              <w:ind w:right="-71"/>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-1.94</w:t>
            </w:r>
            <w:r w:rsidRPr="000F1F91">
              <w:rPr>
                <w:rFonts w:ascii="Times New Roman" w:eastAsia="Times New Roman" w:hAnsi="Times New Roman" w:cs="Times New Roman"/>
                <w:color w:val="000000" w:themeColor="text1"/>
                <w:sz w:val="22"/>
                <w:szCs w:val="22"/>
                <w:vertAlign w:val="superscript"/>
              </w:rPr>
              <w:t>NS</w:t>
            </w:r>
          </w:p>
        </w:tc>
      </w:tr>
    </w:tbl>
    <w:p w14:paraId="4AC3429C" w14:textId="77777777" w:rsidR="00422878" w:rsidRPr="000F1F91" w:rsidRDefault="00422878" w:rsidP="00422878">
      <w:pPr>
        <w:spacing w:after="0" w:line="480" w:lineRule="auto"/>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 xml:space="preserve">**Significant at 1 % level, </w:t>
      </w:r>
      <w:r w:rsidRPr="000F1F91">
        <w:rPr>
          <w:rFonts w:ascii="Times New Roman" w:eastAsia="Times New Roman" w:hAnsi="Times New Roman" w:cs="Times New Roman"/>
          <w:color w:val="000000" w:themeColor="text1"/>
          <w:sz w:val="24"/>
          <w:vertAlign w:val="superscript"/>
        </w:rPr>
        <w:t>NS</w:t>
      </w:r>
      <w:r w:rsidRPr="000F1F91">
        <w:rPr>
          <w:rFonts w:ascii="Times New Roman" w:hAnsi="Times New Roman" w:cs="Times New Roman"/>
          <w:color w:val="000000" w:themeColor="text1"/>
          <w:sz w:val="24"/>
          <w:szCs w:val="24"/>
        </w:rPr>
        <w:t>Non-significant</w:t>
      </w:r>
    </w:p>
    <w:p w14:paraId="3FDF4AB1" w14:textId="77777777" w:rsidR="00EF770E" w:rsidRPr="000F1F91" w:rsidRDefault="00275459" w:rsidP="00500708">
      <w:pPr>
        <w:spacing w:after="0" w:line="360" w:lineRule="auto"/>
        <w:ind w:firstLine="720"/>
        <w:jc w:val="both"/>
        <w:rPr>
          <w:rFonts w:ascii="Times New Roman" w:eastAsia="Times New Roman" w:hAnsi="Times New Roman" w:cs="Times New Roman"/>
          <w:color w:val="000000" w:themeColor="text1"/>
          <w:kern w:val="0"/>
          <w:sz w:val="24"/>
        </w:rPr>
      </w:pPr>
      <w:r w:rsidRPr="000F1F91">
        <w:rPr>
          <w:rFonts w:ascii="Times New Roman" w:eastAsia="Times New Roman" w:hAnsi="Times New Roman" w:cs="Times New Roman"/>
          <w:color w:val="000000" w:themeColor="text1"/>
          <w:kern w:val="0"/>
          <w:sz w:val="24"/>
          <w:lang w:val="en-US"/>
        </w:rPr>
        <w:t xml:space="preserve">Regarding bark anatomy, </w:t>
      </w:r>
      <w:r w:rsidRPr="000F1F91">
        <w:rPr>
          <w:rFonts w:ascii="Times New Roman" w:eastAsia="Times New Roman" w:hAnsi="Times New Roman" w:cs="Times New Roman"/>
          <w:color w:val="000000" w:themeColor="text1"/>
          <w:kern w:val="0"/>
          <w:sz w:val="24"/>
        </w:rPr>
        <w:t xml:space="preserve">original bark was mostly uniseriate, although a few biseriate rays were also observed </w:t>
      </w:r>
      <w:r w:rsidRPr="000F1F91">
        <w:rPr>
          <w:rFonts w:ascii="Times New Roman" w:eastAsia="Times New Roman" w:hAnsi="Times New Roman" w:cs="Times New Roman"/>
          <w:color w:val="000000" w:themeColor="text1"/>
          <w:kern w:val="0"/>
          <w:sz w:val="24"/>
          <w:lang w:val="en-US"/>
        </w:rPr>
        <w:t>(Table 2).</w:t>
      </w:r>
      <w:r w:rsidRPr="000F1F91">
        <w:rPr>
          <w:rFonts w:ascii="Times New Roman" w:eastAsia="Times New Roman" w:hAnsi="Times New Roman" w:cs="Times New Roman"/>
          <w:color w:val="000000" w:themeColor="text1"/>
          <w:kern w:val="0"/>
          <w:sz w:val="24"/>
        </w:rPr>
        <w:t xml:space="preserve"> Conversely, rays in regenerated bark were mostly multiseriate or aggregate towards the phelloderm and transitioned to uniseriate or biseriate rays near the sapwood (Plate 2). In both original and regenerated bark, the fibres were libriform, non-septate, and rounded to polygonal in shape. Among the fibre dimensions, fibre length was significantly greater in original bark (1352.76 µm) than in regenerated bark (1181.17 µm), whereas fibre width, lumen width, and cell-wall thickness did not differ significantly. Ray width was significantly greater in regenerated bark (58.22</w:t>
      </w:r>
      <w:r w:rsidRPr="000F1F91">
        <w:rPr>
          <w:rFonts w:ascii="Times New Roman" w:eastAsia="Times New Roman" w:hAnsi="Times New Roman" w:cs="Times New Roman"/>
          <w:b/>
          <w:bCs/>
          <w:color w:val="000000" w:themeColor="text1"/>
          <w:kern w:val="0"/>
          <w:sz w:val="24"/>
        </w:rPr>
        <w:t xml:space="preserve"> </w:t>
      </w:r>
      <w:r w:rsidRPr="000F1F91">
        <w:rPr>
          <w:rFonts w:ascii="Times New Roman" w:eastAsia="Times New Roman" w:hAnsi="Times New Roman" w:cs="Times New Roman"/>
          <w:color w:val="000000" w:themeColor="text1"/>
          <w:kern w:val="0"/>
          <w:sz w:val="24"/>
        </w:rPr>
        <w:t xml:space="preserve">µm) than in original bark (40.19 µm; </w:t>
      </w:r>
      <w:r w:rsidRPr="000F1F91">
        <w:rPr>
          <w:rFonts w:ascii="Times New Roman" w:eastAsia="Times New Roman" w:hAnsi="Times New Roman" w:cs="Times New Roman"/>
          <w:color w:val="000000" w:themeColor="text1"/>
          <w:kern w:val="0"/>
          <w:sz w:val="24"/>
          <w:lang w:val="en-US"/>
        </w:rPr>
        <w:t>Table 2),</w:t>
      </w:r>
      <w:r w:rsidRPr="000F1F91">
        <w:rPr>
          <w:rFonts w:ascii="Times New Roman" w:eastAsia="Times New Roman" w:hAnsi="Times New Roman" w:cs="Times New Roman"/>
          <w:color w:val="000000" w:themeColor="text1"/>
          <w:kern w:val="0"/>
          <w:sz w:val="24"/>
        </w:rPr>
        <w:t xml:space="preserve"> while ray height did not differ significantly between bark types. Variation in ray characteristics in regenerated bark may result from the formation of surface callus and wound </w:t>
      </w:r>
      <w:r w:rsidRPr="000F1F91">
        <w:rPr>
          <w:rFonts w:ascii="Times New Roman" w:eastAsia="Times New Roman" w:hAnsi="Times New Roman" w:cs="Times New Roman"/>
          <w:color w:val="000000" w:themeColor="text1"/>
          <w:kern w:val="0"/>
          <w:sz w:val="24"/>
        </w:rPr>
        <w:lastRenderedPageBreak/>
        <w:t>cambium at the incision site during rapid recovery; quantitative anatomical properties may also vary with tree age (Sinha et al., 2022).</w:t>
      </w:r>
    </w:p>
    <w:p w14:paraId="744130FA" w14:textId="77777777" w:rsidR="000C7C0C" w:rsidRPr="000F1F91" w:rsidRDefault="006D10FC">
      <w:pPr>
        <w:spacing w:after="0" w:line="360" w:lineRule="auto"/>
        <w:ind w:firstLine="720"/>
        <w:jc w:val="both"/>
        <w:rPr>
          <w:rFonts w:ascii="Times New Roman" w:eastAsia="Times New Roman" w:hAnsi="Times New Roman" w:cs="Times New Roman"/>
          <w:color w:val="000000" w:themeColor="text1"/>
          <w:kern w:val="0"/>
          <w:sz w:val="24"/>
        </w:rPr>
      </w:pPr>
      <w:r w:rsidRPr="000F1F91">
        <w:rPr>
          <w:rFonts w:ascii="Times New Roman" w:hAnsi="Times New Roman"/>
          <w:sz w:val="24"/>
        </w:rPr>
        <w:t>The occurrence of wider and more aggregated rays in regenerated bark is biologically plausible because bark removal initiates surface-callus formation, wound-cambium establishment, and the reconstruction of secondary vascular tissues. Studies of debarked trees have documented staged callus development and substantial wound-induced anatomical remodelling, while broader comparative work has identified conducting phloem and vascular re-establishment as important determinants of bark recovery (Delvaux et al., 2010b, 2013; Karunarathne et al., 2024; Stobbe et al., 2002). Accordingly, the greater ray width observed in the present study may represent an early regenerative configuration; however, longitudinal sampling beyond one year is required before this feature can be regarded as a stable diagnostic characteristic of mature regenerated bark.</w:t>
      </w:r>
    </w:p>
    <w:p w14:paraId="0400EE5F" w14:textId="77777777" w:rsidR="00422878" w:rsidRPr="000F1F91" w:rsidRDefault="00422878" w:rsidP="00422878">
      <w:pPr>
        <w:spacing w:after="0" w:line="480" w:lineRule="auto"/>
        <w:ind w:left="720" w:hanging="720"/>
        <w:jc w:val="both"/>
        <w:rPr>
          <w:rFonts w:ascii="Times New Roman" w:eastAsia="Times New Roman" w:hAnsi="Times New Roman" w:cs="Times New Roman"/>
          <w:color w:val="000000" w:themeColor="text1"/>
          <w:kern w:val="0"/>
          <w:sz w:val="24"/>
          <w:lang w:val="en-US"/>
        </w:rPr>
      </w:pPr>
      <w:r w:rsidRPr="000F1F91">
        <w:rPr>
          <w:rFonts w:ascii="Times New Roman" w:eastAsia="Times New Roman" w:hAnsi="Times New Roman" w:cs="Times New Roman"/>
          <w:b/>
          <w:bCs/>
          <w:color w:val="000000" w:themeColor="text1"/>
          <w:kern w:val="0"/>
          <w:sz w:val="24"/>
          <w:lang w:val="en-US"/>
        </w:rPr>
        <w:t xml:space="preserve">Table 2. </w:t>
      </w:r>
      <w:r w:rsidRPr="000F1F91">
        <w:rPr>
          <w:rFonts w:ascii="Times New Roman" w:eastAsia="Times New Roman" w:hAnsi="Times New Roman" w:cs="Times New Roman"/>
          <w:color w:val="000000" w:themeColor="text1"/>
          <w:kern w:val="0"/>
          <w:sz w:val="24"/>
          <w:lang w:val="en-US"/>
        </w:rPr>
        <w:t>Anatomical properties of original and regenerated bark of Arjuna</w:t>
      </w:r>
    </w:p>
    <w:tbl>
      <w:tblPr>
        <w:tblStyle w:val="TableGrid"/>
        <w:tblW w:w="494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1707"/>
        <w:gridCol w:w="1127"/>
        <w:gridCol w:w="9"/>
        <w:gridCol w:w="1589"/>
        <w:gridCol w:w="1393"/>
        <w:gridCol w:w="1125"/>
      </w:tblGrid>
      <w:tr w:rsidR="00422878" w:rsidRPr="000F1F91" w14:paraId="05B4B1C4" w14:textId="77777777" w:rsidTr="00721A57">
        <w:tc>
          <w:tcPr>
            <w:tcW w:w="1108" w:type="pct"/>
            <w:vMerge w:val="restart"/>
            <w:tcBorders>
              <w:top w:val="single" w:sz="4" w:space="0" w:color="auto"/>
              <w:bottom w:val="nil"/>
            </w:tcBorders>
          </w:tcPr>
          <w:p w14:paraId="32C55641"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r w:rsidRPr="000F1F91">
              <w:rPr>
                <w:rFonts w:ascii="Times New Roman" w:eastAsia="Times New Roman" w:hAnsi="Times New Roman" w:cs="Times New Roman"/>
                <w:b/>
                <w:bCs/>
                <w:color w:val="000000" w:themeColor="text1"/>
                <w:sz w:val="22"/>
                <w:szCs w:val="22"/>
              </w:rPr>
              <w:t>Anatomica</w:t>
            </w:r>
            <w:r w:rsidR="004B2DAE" w:rsidRPr="000F1F91">
              <w:rPr>
                <w:rFonts w:ascii="Times New Roman" w:eastAsia="Times New Roman" w:hAnsi="Times New Roman" w:cs="Times New Roman"/>
                <w:b/>
                <w:bCs/>
                <w:color w:val="000000" w:themeColor="text1"/>
                <w:sz w:val="22"/>
                <w:szCs w:val="22"/>
              </w:rPr>
              <w:t>l</w:t>
            </w:r>
            <w:r w:rsidRPr="000F1F91">
              <w:rPr>
                <w:rFonts w:ascii="Times New Roman" w:eastAsia="Times New Roman" w:hAnsi="Times New Roman" w:cs="Times New Roman"/>
                <w:b/>
                <w:bCs/>
                <w:color w:val="000000" w:themeColor="text1"/>
                <w:sz w:val="22"/>
                <w:szCs w:val="22"/>
              </w:rPr>
              <w:t xml:space="preserve"> Properties</w:t>
            </w:r>
          </w:p>
        </w:tc>
        <w:tc>
          <w:tcPr>
            <w:tcW w:w="1592" w:type="pct"/>
            <w:gridSpan w:val="3"/>
            <w:tcBorders>
              <w:top w:val="single" w:sz="4" w:space="0" w:color="auto"/>
              <w:bottom w:val="single" w:sz="4" w:space="0" w:color="auto"/>
            </w:tcBorders>
          </w:tcPr>
          <w:p w14:paraId="578AC7BD"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Original Bark</w:t>
            </w:r>
          </w:p>
        </w:tc>
        <w:tc>
          <w:tcPr>
            <w:tcW w:w="1670" w:type="pct"/>
            <w:gridSpan w:val="2"/>
            <w:tcBorders>
              <w:top w:val="single" w:sz="4" w:space="0" w:color="auto"/>
              <w:bottom w:val="single" w:sz="4" w:space="0" w:color="auto"/>
            </w:tcBorders>
          </w:tcPr>
          <w:p w14:paraId="021D8C7C"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Regenerated Bark</w:t>
            </w:r>
          </w:p>
        </w:tc>
        <w:tc>
          <w:tcPr>
            <w:tcW w:w="630" w:type="pct"/>
            <w:vMerge w:val="restart"/>
            <w:tcBorders>
              <w:top w:val="single" w:sz="4" w:space="0" w:color="auto"/>
            </w:tcBorders>
          </w:tcPr>
          <w:p w14:paraId="42A316F6"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r w:rsidRPr="000F1F91">
              <w:rPr>
                <w:rFonts w:ascii="Times New Roman" w:eastAsia="Times New Roman" w:hAnsi="Times New Roman" w:cs="Times New Roman"/>
                <w:b/>
                <w:bCs/>
                <w:color w:val="000000" w:themeColor="text1"/>
                <w:sz w:val="22"/>
                <w:szCs w:val="22"/>
              </w:rPr>
              <w:t>‘t’ value</w:t>
            </w:r>
          </w:p>
        </w:tc>
      </w:tr>
      <w:tr w:rsidR="00422878" w:rsidRPr="000F1F91" w14:paraId="2283A78F" w14:textId="77777777" w:rsidTr="00612F62">
        <w:tc>
          <w:tcPr>
            <w:tcW w:w="1108" w:type="pct"/>
            <w:vMerge/>
            <w:tcBorders>
              <w:top w:val="nil"/>
              <w:bottom w:val="single" w:sz="4" w:space="0" w:color="auto"/>
            </w:tcBorders>
          </w:tcPr>
          <w:p w14:paraId="001460E2" w14:textId="77777777" w:rsidR="00422878" w:rsidRPr="000F1F91" w:rsidRDefault="00422878" w:rsidP="00721A57">
            <w:pPr>
              <w:jc w:val="both"/>
              <w:rPr>
                <w:rFonts w:ascii="Times New Roman" w:eastAsia="Times New Roman" w:hAnsi="Times New Roman" w:cs="Times New Roman"/>
                <w:b/>
                <w:bCs/>
                <w:color w:val="000000" w:themeColor="text1"/>
                <w:sz w:val="22"/>
                <w:szCs w:val="22"/>
              </w:rPr>
            </w:pPr>
          </w:p>
        </w:tc>
        <w:tc>
          <w:tcPr>
            <w:tcW w:w="956" w:type="pct"/>
            <w:tcBorders>
              <w:top w:val="single" w:sz="4" w:space="0" w:color="auto"/>
              <w:bottom w:val="single" w:sz="4" w:space="0" w:color="auto"/>
            </w:tcBorders>
          </w:tcPr>
          <w:p w14:paraId="28D565D1"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Range</w:t>
            </w:r>
          </w:p>
        </w:tc>
        <w:tc>
          <w:tcPr>
            <w:tcW w:w="631" w:type="pct"/>
            <w:tcBorders>
              <w:top w:val="single" w:sz="4" w:space="0" w:color="auto"/>
              <w:bottom w:val="single" w:sz="4" w:space="0" w:color="auto"/>
            </w:tcBorders>
          </w:tcPr>
          <w:p w14:paraId="1DAFC0BF"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Mean </w:t>
            </w:r>
            <w:r w:rsidRPr="000F1F91">
              <w:rPr>
                <w:rFonts w:ascii="Times New Roman" w:hAnsi="Times New Roman" w:cs="Times New Roman"/>
                <w:color w:val="000000" w:themeColor="text1"/>
                <w:sz w:val="22"/>
                <w:szCs w:val="22"/>
              </w:rPr>
              <w:t>± SD</w:t>
            </w:r>
          </w:p>
        </w:tc>
        <w:tc>
          <w:tcPr>
            <w:tcW w:w="895" w:type="pct"/>
            <w:gridSpan w:val="2"/>
            <w:tcBorders>
              <w:top w:val="single" w:sz="4" w:space="0" w:color="auto"/>
              <w:bottom w:val="single" w:sz="4" w:space="0" w:color="auto"/>
            </w:tcBorders>
          </w:tcPr>
          <w:p w14:paraId="7A821AE0"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Range</w:t>
            </w:r>
          </w:p>
        </w:tc>
        <w:tc>
          <w:tcPr>
            <w:tcW w:w="780" w:type="pct"/>
            <w:tcBorders>
              <w:top w:val="single" w:sz="4" w:space="0" w:color="auto"/>
              <w:bottom w:val="single" w:sz="4" w:space="0" w:color="auto"/>
            </w:tcBorders>
          </w:tcPr>
          <w:p w14:paraId="6C4E0C1E"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rPr>
              <w:t xml:space="preserve">Mean </w:t>
            </w:r>
            <w:r w:rsidRPr="000F1F91">
              <w:rPr>
                <w:rFonts w:ascii="Times New Roman" w:hAnsi="Times New Roman" w:cs="Times New Roman"/>
                <w:color w:val="000000" w:themeColor="text1"/>
                <w:sz w:val="22"/>
                <w:szCs w:val="22"/>
              </w:rPr>
              <w:t>± SD</w:t>
            </w:r>
          </w:p>
        </w:tc>
        <w:tc>
          <w:tcPr>
            <w:tcW w:w="630" w:type="pct"/>
            <w:vMerge/>
            <w:tcBorders>
              <w:bottom w:val="single" w:sz="4" w:space="0" w:color="auto"/>
            </w:tcBorders>
          </w:tcPr>
          <w:p w14:paraId="0933C7C6" w14:textId="77777777" w:rsidR="00422878" w:rsidRPr="000F1F91" w:rsidRDefault="00422878" w:rsidP="00721A57">
            <w:pPr>
              <w:jc w:val="center"/>
              <w:rPr>
                <w:rFonts w:ascii="Times New Roman" w:eastAsia="Times New Roman" w:hAnsi="Times New Roman" w:cs="Times New Roman"/>
                <w:b/>
                <w:bCs/>
                <w:color w:val="000000" w:themeColor="text1"/>
                <w:sz w:val="22"/>
                <w:szCs w:val="22"/>
              </w:rPr>
            </w:pPr>
          </w:p>
        </w:tc>
      </w:tr>
      <w:tr w:rsidR="00422878" w:rsidRPr="000F1F91" w14:paraId="2A80DF19" w14:textId="77777777" w:rsidTr="00612F62">
        <w:tc>
          <w:tcPr>
            <w:tcW w:w="1108" w:type="pct"/>
            <w:tcBorders>
              <w:top w:val="single" w:sz="4" w:space="0" w:color="auto"/>
            </w:tcBorders>
          </w:tcPr>
          <w:p w14:paraId="2FBFEE5E"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 xml:space="preserve">Ray height </w:t>
            </w:r>
            <w:r w:rsidRPr="000F1F91">
              <w:rPr>
                <w:rFonts w:ascii="Times New Roman" w:eastAsia="Times New Roman" w:hAnsi="Times New Roman" w:cs="Times New Roman"/>
                <w:b/>
                <w:bCs/>
                <w:color w:val="000000" w:themeColor="text1"/>
                <w:sz w:val="22"/>
                <w:szCs w:val="22"/>
              </w:rPr>
              <w:t>(µm)</w:t>
            </w:r>
          </w:p>
        </w:tc>
        <w:tc>
          <w:tcPr>
            <w:tcW w:w="956" w:type="pct"/>
            <w:tcBorders>
              <w:top w:val="single" w:sz="4" w:space="0" w:color="auto"/>
            </w:tcBorders>
          </w:tcPr>
          <w:p w14:paraId="712868AF" w14:textId="77777777" w:rsidR="00422878" w:rsidRPr="000F1F91" w:rsidRDefault="00422878" w:rsidP="00721A57">
            <w:pPr>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lang w:eastAsia="en-IN"/>
              </w:rPr>
              <w:t>221.55-38.60</w:t>
            </w:r>
          </w:p>
        </w:tc>
        <w:tc>
          <w:tcPr>
            <w:tcW w:w="631" w:type="pct"/>
            <w:tcBorders>
              <w:top w:val="single" w:sz="4" w:space="0" w:color="auto"/>
            </w:tcBorders>
          </w:tcPr>
          <w:p w14:paraId="3644E7ED"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291.90</w:t>
            </w:r>
          </w:p>
          <w:p w14:paraId="0C824DBC"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43.79</w:t>
            </w:r>
          </w:p>
        </w:tc>
        <w:tc>
          <w:tcPr>
            <w:tcW w:w="895" w:type="pct"/>
            <w:gridSpan w:val="2"/>
            <w:tcBorders>
              <w:top w:val="single" w:sz="4" w:space="0" w:color="auto"/>
            </w:tcBorders>
          </w:tcPr>
          <w:p w14:paraId="7DECE894"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lang w:eastAsia="en-IN"/>
              </w:rPr>
              <w:t>257.53-388.35</w:t>
            </w:r>
          </w:p>
        </w:tc>
        <w:tc>
          <w:tcPr>
            <w:tcW w:w="780" w:type="pct"/>
            <w:tcBorders>
              <w:top w:val="single" w:sz="4" w:space="0" w:color="auto"/>
            </w:tcBorders>
          </w:tcPr>
          <w:p w14:paraId="04A37A51"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307.16 </w:t>
            </w:r>
          </w:p>
          <w:p w14:paraId="0E983558"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41.19</w:t>
            </w:r>
          </w:p>
        </w:tc>
        <w:tc>
          <w:tcPr>
            <w:tcW w:w="630" w:type="pct"/>
            <w:tcBorders>
              <w:top w:val="single" w:sz="4" w:space="0" w:color="auto"/>
            </w:tcBorders>
          </w:tcPr>
          <w:p w14:paraId="00432220" w14:textId="77777777" w:rsidR="00422878" w:rsidRPr="000F1F91" w:rsidRDefault="00422878" w:rsidP="00721A57">
            <w:pPr>
              <w:ind w:left="-86" w:right="-16"/>
              <w:jc w:val="center"/>
              <w:rPr>
                <w:rFonts w:ascii="Times New Roman" w:eastAsia="Times New Roman" w:hAnsi="Times New Roman" w:cs="Times New Roman"/>
                <w:color w:val="000000" w:themeColor="text1"/>
                <w:sz w:val="22"/>
                <w:szCs w:val="22"/>
              </w:rPr>
            </w:pPr>
            <w:r w:rsidRPr="000F1F91">
              <w:rPr>
                <w:rFonts w:ascii="Times New Roman" w:eastAsia="Times New Roman" w:hAnsi="Times New Roman" w:cs="Times New Roman"/>
                <w:color w:val="000000" w:themeColor="text1"/>
                <w:sz w:val="22"/>
                <w:szCs w:val="22"/>
                <w:lang w:eastAsia="en-IN"/>
              </w:rPr>
              <w:t>-0.79</w:t>
            </w:r>
            <w:r w:rsidRPr="000F1F91">
              <w:rPr>
                <w:rFonts w:ascii="Times New Roman" w:eastAsia="Times New Roman" w:hAnsi="Times New Roman" w:cs="Times New Roman"/>
                <w:color w:val="000000" w:themeColor="text1"/>
                <w:sz w:val="22"/>
                <w:szCs w:val="22"/>
                <w:vertAlign w:val="superscript"/>
              </w:rPr>
              <w:t>NS</w:t>
            </w:r>
          </w:p>
        </w:tc>
      </w:tr>
      <w:tr w:rsidR="00422878" w:rsidRPr="000F1F91" w14:paraId="61FF5DA3" w14:textId="77777777" w:rsidTr="00612F62">
        <w:tc>
          <w:tcPr>
            <w:tcW w:w="1108" w:type="pct"/>
          </w:tcPr>
          <w:p w14:paraId="2CFB81C6"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 xml:space="preserve">Ray width </w:t>
            </w:r>
            <w:r w:rsidRPr="000F1F91">
              <w:rPr>
                <w:rFonts w:ascii="Times New Roman" w:eastAsia="Times New Roman" w:hAnsi="Times New Roman" w:cs="Times New Roman"/>
                <w:b/>
                <w:bCs/>
                <w:color w:val="000000" w:themeColor="text1"/>
                <w:sz w:val="22"/>
                <w:szCs w:val="22"/>
              </w:rPr>
              <w:t>(µm)</w:t>
            </w:r>
          </w:p>
        </w:tc>
        <w:tc>
          <w:tcPr>
            <w:tcW w:w="956" w:type="pct"/>
          </w:tcPr>
          <w:p w14:paraId="47AE59ED" w14:textId="77777777" w:rsidR="00422878" w:rsidRPr="000F1F91" w:rsidRDefault="00422878" w:rsidP="00721A57">
            <w:pPr>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35.60-48.25</w:t>
            </w:r>
          </w:p>
        </w:tc>
        <w:tc>
          <w:tcPr>
            <w:tcW w:w="631" w:type="pct"/>
          </w:tcPr>
          <w:p w14:paraId="06BCC081"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40.19</w:t>
            </w:r>
          </w:p>
          <w:p w14:paraId="1231BB74"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4.07</w:t>
            </w:r>
          </w:p>
        </w:tc>
        <w:tc>
          <w:tcPr>
            <w:tcW w:w="895" w:type="pct"/>
            <w:gridSpan w:val="2"/>
          </w:tcPr>
          <w:p w14:paraId="18F11986"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44.73-77.43</w:t>
            </w:r>
          </w:p>
        </w:tc>
        <w:tc>
          <w:tcPr>
            <w:tcW w:w="780" w:type="pct"/>
          </w:tcPr>
          <w:p w14:paraId="746CEEFC"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58.22 </w:t>
            </w:r>
          </w:p>
          <w:p w14:paraId="12193A6D"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9.95</w:t>
            </w:r>
          </w:p>
        </w:tc>
        <w:tc>
          <w:tcPr>
            <w:tcW w:w="630" w:type="pct"/>
          </w:tcPr>
          <w:p w14:paraId="6CE32B41" w14:textId="77777777" w:rsidR="00422878" w:rsidRPr="000F1F91" w:rsidRDefault="00422878" w:rsidP="00721A57">
            <w:pPr>
              <w:ind w:left="-86" w:right="-16"/>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-5.23</w:t>
            </w:r>
            <w:r w:rsidRPr="000F1F91">
              <w:rPr>
                <w:rFonts w:ascii="Times New Roman" w:eastAsia="Times New Roman" w:hAnsi="Times New Roman" w:cs="Times New Roman"/>
                <w:b/>
                <w:bCs/>
                <w:color w:val="000000" w:themeColor="text1"/>
                <w:sz w:val="22"/>
                <w:szCs w:val="22"/>
                <w:lang w:eastAsia="en-IN"/>
              </w:rPr>
              <w:t>**</w:t>
            </w:r>
          </w:p>
        </w:tc>
      </w:tr>
      <w:tr w:rsidR="00422878" w:rsidRPr="000F1F91" w14:paraId="3BC0753B" w14:textId="77777777" w:rsidTr="00612F62">
        <w:tc>
          <w:tcPr>
            <w:tcW w:w="1108" w:type="pct"/>
          </w:tcPr>
          <w:p w14:paraId="1CB82E54"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Fiber length (µm)</w:t>
            </w:r>
          </w:p>
        </w:tc>
        <w:tc>
          <w:tcPr>
            <w:tcW w:w="956" w:type="pct"/>
          </w:tcPr>
          <w:p w14:paraId="60D60682" w14:textId="77777777" w:rsidR="00422878" w:rsidRPr="000F1F91" w:rsidRDefault="00422878" w:rsidP="00612F62">
            <w:pPr>
              <w:ind w:right="-251"/>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1158.96-1680.88</w:t>
            </w:r>
          </w:p>
        </w:tc>
        <w:tc>
          <w:tcPr>
            <w:tcW w:w="631" w:type="pct"/>
          </w:tcPr>
          <w:p w14:paraId="0DC499B3"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1352.76 ±178.45</w:t>
            </w:r>
          </w:p>
        </w:tc>
        <w:tc>
          <w:tcPr>
            <w:tcW w:w="895" w:type="pct"/>
            <w:gridSpan w:val="2"/>
          </w:tcPr>
          <w:p w14:paraId="4A490DCA"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950.33-1401.43</w:t>
            </w:r>
          </w:p>
        </w:tc>
        <w:tc>
          <w:tcPr>
            <w:tcW w:w="780" w:type="pct"/>
          </w:tcPr>
          <w:p w14:paraId="6FA2ED33"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1181.17 </w:t>
            </w:r>
          </w:p>
          <w:p w14:paraId="5872B02B"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117.50</w:t>
            </w:r>
          </w:p>
        </w:tc>
        <w:tc>
          <w:tcPr>
            <w:tcW w:w="630" w:type="pct"/>
          </w:tcPr>
          <w:p w14:paraId="42DD382A" w14:textId="77777777" w:rsidR="00422878" w:rsidRPr="000F1F91" w:rsidRDefault="00422878" w:rsidP="00721A57">
            <w:pPr>
              <w:ind w:left="-86" w:right="-16"/>
              <w:jc w:val="center"/>
              <w:rPr>
                <w:rFonts w:ascii="Times New Roman" w:eastAsia="Times New Roman" w:hAnsi="Times New Roman" w:cs="Times New Roman"/>
                <w:color w:val="000000" w:themeColor="text1"/>
                <w:sz w:val="22"/>
                <w:szCs w:val="22"/>
                <w:lang w:eastAsia="en-IN"/>
              </w:rPr>
            </w:pPr>
            <w:r w:rsidRPr="000F1F91">
              <w:rPr>
                <w:rFonts w:ascii="Times New Roman" w:hAnsi="Times New Roman" w:cs="Times New Roman"/>
                <w:color w:val="000000" w:themeColor="text1"/>
                <w:sz w:val="22"/>
                <w:szCs w:val="22"/>
              </w:rPr>
              <w:t>2.84</w:t>
            </w:r>
            <w:r w:rsidRPr="000F1F91">
              <w:rPr>
                <w:rFonts w:ascii="Times New Roman" w:hAnsi="Times New Roman" w:cs="Times New Roman"/>
                <w:b/>
                <w:bCs/>
                <w:color w:val="000000" w:themeColor="text1"/>
                <w:sz w:val="22"/>
                <w:szCs w:val="22"/>
              </w:rPr>
              <w:t>*</w:t>
            </w:r>
          </w:p>
        </w:tc>
      </w:tr>
      <w:tr w:rsidR="00422878" w:rsidRPr="000F1F91" w14:paraId="7C74A6F1" w14:textId="77777777" w:rsidTr="00612F62">
        <w:tc>
          <w:tcPr>
            <w:tcW w:w="1108" w:type="pct"/>
          </w:tcPr>
          <w:p w14:paraId="615E2755"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Fiber width (µm)</w:t>
            </w:r>
          </w:p>
        </w:tc>
        <w:tc>
          <w:tcPr>
            <w:tcW w:w="956" w:type="pct"/>
          </w:tcPr>
          <w:p w14:paraId="7417CBFB" w14:textId="77777777" w:rsidR="00422878" w:rsidRPr="000F1F91" w:rsidRDefault="00422878" w:rsidP="00721A57">
            <w:pPr>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18.98-22.58</w:t>
            </w:r>
          </w:p>
        </w:tc>
        <w:tc>
          <w:tcPr>
            <w:tcW w:w="631" w:type="pct"/>
          </w:tcPr>
          <w:p w14:paraId="4FF94FCC"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20.68 </w:t>
            </w:r>
          </w:p>
          <w:p w14:paraId="2A772971"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1.47</w:t>
            </w:r>
          </w:p>
        </w:tc>
        <w:tc>
          <w:tcPr>
            <w:tcW w:w="895" w:type="pct"/>
            <w:gridSpan w:val="2"/>
          </w:tcPr>
          <w:p w14:paraId="387D8FD8"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19.14-24.28</w:t>
            </w:r>
          </w:p>
        </w:tc>
        <w:tc>
          <w:tcPr>
            <w:tcW w:w="780" w:type="pct"/>
          </w:tcPr>
          <w:p w14:paraId="4404295C"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21.35 </w:t>
            </w:r>
          </w:p>
          <w:p w14:paraId="6EB38ABB"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1.56</w:t>
            </w:r>
          </w:p>
        </w:tc>
        <w:tc>
          <w:tcPr>
            <w:tcW w:w="630" w:type="pct"/>
          </w:tcPr>
          <w:p w14:paraId="78DE1FBE" w14:textId="77777777" w:rsidR="00422878" w:rsidRPr="000F1F91" w:rsidRDefault="00422878" w:rsidP="00721A57">
            <w:pPr>
              <w:ind w:left="-86" w:right="-16"/>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-1.10</w:t>
            </w:r>
            <w:r w:rsidRPr="000F1F91">
              <w:rPr>
                <w:rFonts w:ascii="Times New Roman" w:eastAsia="Times New Roman" w:hAnsi="Times New Roman" w:cs="Times New Roman"/>
                <w:color w:val="000000" w:themeColor="text1"/>
                <w:sz w:val="22"/>
                <w:szCs w:val="22"/>
                <w:vertAlign w:val="superscript"/>
              </w:rPr>
              <w:t>NS</w:t>
            </w:r>
          </w:p>
        </w:tc>
      </w:tr>
      <w:tr w:rsidR="00422878" w:rsidRPr="000F1F91" w14:paraId="250B0D01" w14:textId="77777777" w:rsidTr="00612F62">
        <w:tc>
          <w:tcPr>
            <w:tcW w:w="1108" w:type="pct"/>
          </w:tcPr>
          <w:p w14:paraId="2235738C"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 xml:space="preserve">Fiber cell-wall </w:t>
            </w:r>
          </w:p>
          <w:p w14:paraId="779E8F68"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thickness (µm)</w:t>
            </w:r>
          </w:p>
        </w:tc>
        <w:tc>
          <w:tcPr>
            <w:tcW w:w="956" w:type="pct"/>
          </w:tcPr>
          <w:p w14:paraId="18F088E9" w14:textId="77777777" w:rsidR="00422878" w:rsidRPr="000F1F91" w:rsidRDefault="00422878" w:rsidP="00721A57">
            <w:pPr>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4.28-6.09</w:t>
            </w:r>
          </w:p>
        </w:tc>
        <w:tc>
          <w:tcPr>
            <w:tcW w:w="631" w:type="pct"/>
          </w:tcPr>
          <w:p w14:paraId="5EC11D7F"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5.25</w:t>
            </w:r>
          </w:p>
          <w:p w14:paraId="31957C96"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0.53</w:t>
            </w:r>
          </w:p>
        </w:tc>
        <w:tc>
          <w:tcPr>
            <w:tcW w:w="895" w:type="pct"/>
            <w:gridSpan w:val="2"/>
          </w:tcPr>
          <w:p w14:paraId="4ED94C1A"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4.41-5.99</w:t>
            </w:r>
          </w:p>
        </w:tc>
        <w:tc>
          <w:tcPr>
            <w:tcW w:w="780" w:type="pct"/>
          </w:tcPr>
          <w:p w14:paraId="01495179"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5.41 </w:t>
            </w:r>
          </w:p>
          <w:p w14:paraId="74C74221"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0.46</w:t>
            </w:r>
          </w:p>
        </w:tc>
        <w:tc>
          <w:tcPr>
            <w:tcW w:w="630" w:type="pct"/>
          </w:tcPr>
          <w:p w14:paraId="1B40EE84" w14:textId="77777777" w:rsidR="00422878" w:rsidRPr="000F1F91" w:rsidRDefault="00422878" w:rsidP="00721A57">
            <w:pPr>
              <w:ind w:left="-86" w:right="-16"/>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-0.74</w:t>
            </w:r>
            <w:r w:rsidRPr="000F1F91">
              <w:rPr>
                <w:rFonts w:ascii="Times New Roman" w:eastAsia="Times New Roman" w:hAnsi="Times New Roman" w:cs="Times New Roman"/>
                <w:color w:val="000000" w:themeColor="text1"/>
                <w:sz w:val="22"/>
                <w:szCs w:val="22"/>
                <w:vertAlign w:val="superscript"/>
              </w:rPr>
              <w:t>NS</w:t>
            </w:r>
          </w:p>
        </w:tc>
      </w:tr>
      <w:tr w:rsidR="00422878" w:rsidRPr="000F1F91" w14:paraId="0770BF05" w14:textId="77777777" w:rsidTr="00612F62">
        <w:tc>
          <w:tcPr>
            <w:tcW w:w="1108" w:type="pct"/>
          </w:tcPr>
          <w:p w14:paraId="33FEAB0B"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 xml:space="preserve">Fiber lumen </w:t>
            </w:r>
          </w:p>
          <w:p w14:paraId="4BF48A01" w14:textId="77777777" w:rsidR="00422878" w:rsidRPr="000F1F91" w:rsidRDefault="00422878" w:rsidP="00721A57">
            <w:pPr>
              <w:jc w:val="both"/>
              <w:rPr>
                <w:rFonts w:ascii="Times New Roman" w:hAnsi="Times New Roman" w:cs="Times New Roman"/>
                <w:b/>
                <w:bCs/>
                <w:color w:val="000000" w:themeColor="text1"/>
                <w:sz w:val="22"/>
                <w:szCs w:val="22"/>
              </w:rPr>
            </w:pPr>
            <w:r w:rsidRPr="000F1F91">
              <w:rPr>
                <w:rFonts w:ascii="Times New Roman" w:hAnsi="Times New Roman" w:cs="Times New Roman"/>
                <w:b/>
                <w:bCs/>
                <w:color w:val="000000" w:themeColor="text1"/>
                <w:sz w:val="22"/>
                <w:szCs w:val="22"/>
              </w:rPr>
              <w:t>width (µm)</w:t>
            </w:r>
          </w:p>
        </w:tc>
        <w:tc>
          <w:tcPr>
            <w:tcW w:w="956" w:type="pct"/>
          </w:tcPr>
          <w:p w14:paraId="7F5F2D5D" w14:textId="77777777" w:rsidR="00422878" w:rsidRPr="000F1F91" w:rsidRDefault="00422878" w:rsidP="00721A57">
            <w:pPr>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8.65-11.74</w:t>
            </w:r>
          </w:p>
        </w:tc>
        <w:tc>
          <w:tcPr>
            <w:tcW w:w="631" w:type="pct"/>
          </w:tcPr>
          <w:p w14:paraId="015C434C"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10.19 </w:t>
            </w:r>
          </w:p>
          <w:p w14:paraId="4B8E6D7C" w14:textId="77777777" w:rsidR="00422878" w:rsidRPr="000F1F91" w:rsidRDefault="00422878" w:rsidP="00721A57">
            <w:pPr>
              <w:ind w:right="-109"/>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1.07</w:t>
            </w:r>
          </w:p>
        </w:tc>
        <w:tc>
          <w:tcPr>
            <w:tcW w:w="895" w:type="pct"/>
            <w:gridSpan w:val="2"/>
          </w:tcPr>
          <w:p w14:paraId="320B14B3" w14:textId="77777777" w:rsidR="00422878" w:rsidRPr="000F1F91" w:rsidRDefault="00422878" w:rsidP="00721A57">
            <w:pPr>
              <w:ind w:right="-70"/>
              <w:jc w:val="center"/>
              <w:rPr>
                <w:rFonts w:ascii="Times New Roman" w:eastAsia="Times New Roman" w:hAnsi="Times New Roman" w:cs="Times New Roman"/>
                <w:color w:val="000000" w:themeColor="text1"/>
                <w:sz w:val="22"/>
                <w:szCs w:val="22"/>
                <w:lang w:eastAsia="en-IN"/>
              </w:rPr>
            </w:pPr>
            <w:r w:rsidRPr="000F1F91">
              <w:rPr>
                <w:rFonts w:ascii="Times New Roman" w:eastAsia="Times New Roman" w:hAnsi="Times New Roman" w:cs="Times New Roman"/>
                <w:color w:val="000000" w:themeColor="text1"/>
                <w:sz w:val="22"/>
                <w:szCs w:val="22"/>
                <w:lang w:eastAsia="en-IN"/>
              </w:rPr>
              <w:t>8.96-12.82</w:t>
            </w:r>
          </w:p>
        </w:tc>
        <w:tc>
          <w:tcPr>
            <w:tcW w:w="780" w:type="pct"/>
          </w:tcPr>
          <w:p w14:paraId="6E25F67C"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xml:space="preserve">10.52 </w:t>
            </w:r>
          </w:p>
          <w:p w14:paraId="416DDC9F" w14:textId="77777777" w:rsidR="00422878" w:rsidRPr="000F1F91" w:rsidRDefault="00422878" w:rsidP="00721A57">
            <w:pPr>
              <w:ind w:left="-4"/>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 1.11</w:t>
            </w:r>
          </w:p>
        </w:tc>
        <w:tc>
          <w:tcPr>
            <w:tcW w:w="630" w:type="pct"/>
          </w:tcPr>
          <w:p w14:paraId="2EB5970E" w14:textId="77777777" w:rsidR="00422878" w:rsidRPr="000F1F91" w:rsidRDefault="00422878" w:rsidP="00721A57">
            <w:pPr>
              <w:ind w:left="-86" w:right="-16"/>
              <w:jc w:val="center"/>
              <w:rPr>
                <w:rFonts w:ascii="Times New Roman" w:hAnsi="Times New Roman" w:cs="Times New Roman"/>
                <w:color w:val="000000" w:themeColor="text1"/>
                <w:sz w:val="22"/>
                <w:szCs w:val="22"/>
              </w:rPr>
            </w:pPr>
            <w:r w:rsidRPr="000F1F91">
              <w:rPr>
                <w:rFonts w:ascii="Times New Roman" w:hAnsi="Times New Roman" w:cs="Times New Roman"/>
                <w:color w:val="000000" w:themeColor="text1"/>
                <w:sz w:val="22"/>
                <w:szCs w:val="22"/>
              </w:rPr>
              <w:t>-0.96</w:t>
            </w:r>
            <w:r w:rsidRPr="000F1F91">
              <w:rPr>
                <w:rFonts w:ascii="Times New Roman" w:eastAsia="Times New Roman" w:hAnsi="Times New Roman" w:cs="Times New Roman"/>
                <w:color w:val="000000" w:themeColor="text1"/>
                <w:sz w:val="22"/>
                <w:szCs w:val="22"/>
                <w:vertAlign w:val="superscript"/>
              </w:rPr>
              <w:t>NS</w:t>
            </w:r>
          </w:p>
        </w:tc>
      </w:tr>
    </w:tbl>
    <w:p w14:paraId="0B5CC882" w14:textId="77777777" w:rsidR="00422878" w:rsidRPr="000F1F91" w:rsidRDefault="00422878" w:rsidP="00422878">
      <w:pPr>
        <w:spacing w:after="0" w:line="480" w:lineRule="auto"/>
        <w:rPr>
          <w:rFonts w:ascii="Times New Roman" w:hAnsi="Times New Roman" w:cs="Times New Roman"/>
          <w:color w:val="000000" w:themeColor="text1"/>
          <w:sz w:val="24"/>
          <w:szCs w:val="24"/>
        </w:rPr>
      </w:pPr>
      <w:r w:rsidRPr="000F1F91">
        <w:rPr>
          <w:rFonts w:ascii="Times New Roman" w:hAnsi="Times New Roman" w:cs="Times New Roman"/>
          <w:b/>
          <w:bCs/>
          <w:color w:val="000000" w:themeColor="text1"/>
          <w:sz w:val="24"/>
          <w:szCs w:val="24"/>
        </w:rPr>
        <w:t>*</w:t>
      </w:r>
      <w:r w:rsidRPr="000F1F91">
        <w:rPr>
          <w:rFonts w:ascii="Times New Roman" w:hAnsi="Times New Roman" w:cs="Times New Roman"/>
          <w:color w:val="000000" w:themeColor="text1"/>
          <w:sz w:val="24"/>
          <w:szCs w:val="24"/>
        </w:rPr>
        <w:t xml:space="preserve">Significant at 5%, **Significant at 1 % level, </w:t>
      </w:r>
      <w:r w:rsidRPr="000F1F91">
        <w:rPr>
          <w:rFonts w:ascii="Times New Roman" w:eastAsia="Times New Roman" w:hAnsi="Times New Roman" w:cs="Times New Roman"/>
          <w:color w:val="000000" w:themeColor="text1"/>
          <w:sz w:val="24"/>
          <w:vertAlign w:val="superscript"/>
        </w:rPr>
        <w:t>NS</w:t>
      </w:r>
      <w:r w:rsidRPr="000F1F91">
        <w:rPr>
          <w:rFonts w:ascii="Times New Roman" w:hAnsi="Times New Roman" w:cs="Times New Roman"/>
          <w:color w:val="000000" w:themeColor="text1"/>
          <w:sz w:val="24"/>
          <w:szCs w:val="24"/>
        </w:rPr>
        <w:t>Non-significant</w:t>
      </w:r>
    </w:p>
    <w:tbl>
      <w:tblPr>
        <w:tblStyle w:val="TableGrid"/>
        <w:tblW w:w="0" w:type="auto"/>
        <w:tblLook w:val="04A0" w:firstRow="1" w:lastRow="0" w:firstColumn="1" w:lastColumn="0" w:noHBand="0" w:noVBand="1"/>
      </w:tblPr>
      <w:tblGrid>
        <w:gridCol w:w="9016"/>
      </w:tblGrid>
      <w:tr w:rsidR="00422878" w:rsidRPr="000F1F91" w14:paraId="624710E0" w14:textId="77777777" w:rsidTr="00721A57">
        <w:tc>
          <w:tcPr>
            <w:tcW w:w="9016" w:type="dxa"/>
          </w:tcPr>
          <w:p w14:paraId="0184E4B8" w14:textId="77777777" w:rsidR="00422878" w:rsidRPr="000F1F91" w:rsidRDefault="00612F62" w:rsidP="00721A57">
            <w:pPr>
              <w:jc w:val="center"/>
              <w:rPr>
                <w:rFonts w:ascii="Times New Roman" w:hAnsi="Times New Roman" w:cs="Times New Roman"/>
                <w:color w:val="000000" w:themeColor="text1"/>
                <w:sz w:val="24"/>
                <w:szCs w:val="24"/>
              </w:rPr>
            </w:pPr>
            <w:r w:rsidRPr="000F1F91">
              <w:rPr>
                <w:rFonts w:ascii="Times New Roman" w:hAnsi="Times New Roman" w:cs="Times New Roman"/>
                <w:color w:val="000000" w:themeColor="text1"/>
                <w:kern w:val="2"/>
                <w:sz w:val="22"/>
                <w:szCs w:val="22"/>
                <w:lang w:val="en-IN" w:bidi="ar-SA"/>
              </w:rPr>
              <w:object w:dxaOrig="16110" w:dyaOrig="6360" w14:anchorId="01F07D04">
                <v:shape id="_x0000_i1028" type="#_x0000_t75" style="width:429.95pt;height:169.8pt" o:ole="">
                  <v:imagedata r:id="rId13" o:title=""/>
                </v:shape>
                <o:OLEObject Type="Embed" ProgID="PBrush" ShapeID="_x0000_i1028" DrawAspect="Content" ObjectID="_1847283127" r:id="rId14"/>
              </w:object>
            </w:r>
          </w:p>
        </w:tc>
      </w:tr>
      <w:tr w:rsidR="00422878" w:rsidRPr="000F1F91" w14:paraId="749CAE7F" w14:textId="77777777" w:rsidTr="00721A57">
        <w:tc>
          <w:tcPr>
            <w:tcW w:w="9016" w:type="dxa"/>
          </w:tcPr>
          <w:p w14:paraId="5B5F5DC1" w14:textId="77777777" w:rsidR="00422878" w:rsidRPr="000F1F91" w:rsidRDefault="00422878" w:rsidP="00721A57">
            <w:pPr>
              <w:jc w:val="center"/>
              <w:rPr>
                <w:rFonts w:ascii="Times New Roman" w:hAnsi="Times New Roman" w:cs="Times New Roman"/>
                <w:color w:val="000000" w:themeColor="text1"/>
                <w:sz w:val="24"/>
                <w:szCs w:val="24"/>
              </w:rPr>
            </w:pPr>
            <w:r w:rsidRPr="000F1F91">
              <w:rPr>
                <w:rFonts w:ascii="Times New Roman" w:hAnsi="Times New Roman" w:cs="Times New Roman"/>
                <w:color w:val="000000" w:themeColor="text1"/>
                <w:kern w:val="2"/>
                <w:sz w:val="22"/>
                <w:szCs w:val="22"/>
                <w:lang w:val="en-IN" w:bidi="ar-SA"/>
              </w:rPr>
              <w:object w:dxaOrig="16335" w:dyaOrig="6270" w14:anchorId="01F8B6FB">
                <v:shape id="_x0000_i1029" type="#_x0000_t75" style="width:451pt;height:173.9pt" o:ole="">
                  <v:imagedata r:id="rId15" o:title=""/>
                </v:shape>
                <o:OLEObject Type="Embed" ProgID="PBrush" ShapeID="_x0000_i1029" DrawAspect="Content" ObjectID="_1847283128" r:id="rId16"/>
              </w:object>
            </w:r>
          </w:p>
        </w:tc>
      </w:tr>
      <w:tr w:rsidR="00422878" w:rsidRPr="000F1F91" w14:paraId="4023127F" w14:textId="77777777" w:rsidTr="00721A57">
        <w:tc>
          <w:tcPr>
            <w:tcW w:w="9016" w:type="dxa"/>
          </w:tcPr>
          <w:p w14:paraId="39DF21DE" w14:textId="77777777" w:rsidR="00422878" w:rsidRPr="000F1F91" w:rsidRDefault="00422878" w:rsidP="00422878">
            <w:pPr>
              <w:jc w:val="both"/>
              <w:rPr>
                <w:rFonts w:ascii="Times New Roman" w:hAnsi="Times New Roman" w:cs="Times New Roman"/>
                <w:noProof/>
                <w:color w:val="000000" w:themeColor="text1"/>
                <w:lang w:eastAsia="en-IN" w:bidi="hi-IN"/>
                <w14:ligatures w14:val="standardContextual"/>
              </w:rPr>
            </w:pPr>
            <w:r w:rsidRPr="000F1F91">
              <w:rPr>
                <w:rFonts w:ascii="Times New Roman" w:hAnsi="Times New Roman" w:cs="Times New Roman"/>
                <w:b/>
                <w:bCs/>
                <w:color w:val="000000" w:themeColor="text1"/>
                <w:sz w:val="24"/>
                <w:szCs w:val="24"/>
              </w:rPr>
              <w:t xml:space="preserve">Plate 2: </w:t>
            </w:r>
            <w:r w:rsidRPr="000F1F91">
              <w:rPr>
                <w:rFonts w:ascii="Times New Roman" w:hAnsi="Times New Roman" w:cs="Times New Roman"/>
                <w:color w:val="000000" w:themeColor="text1"/>
                <w:sz w:val="24"/>
                <w:szCs w:val="24"/>
              </w:rPr>
              <w:t>Anatomical features of phloem rays and phloem fibers in original and regenerated bark of Arjuna,</w:t>
            </w:r>
            <w:r w:rsidRPr="000F1F91">
              <w:rPr>
                <w:rFonts w:ascii="Times New Roman" w:hAnsi="Times New Roman" w:cs="Times New Roman"/>
                <w:b/>
                <w:bCs/>
                <w:color w:val="000000" w:themeColor="text1"/>
                <w:sz w:val="24"/>
                <w:szCs w:val="24"/>
              </w:rPr>
              <w:t xml:space="preserve"> a) </w:t>
            </w:r>
            <w:r w:rsidRPr="000F1F91">
              <w:rPr>
                <w:rFonts w:ascii="Times New Roman" w:hAnsi="Times New Roman" w:cs="Times New Roman"/>
                <w:color w:val="000000" w:themeColor="text1"/>
                <w:sz w:val="24"/>
                <w:szCs w:val="24"/>
              </w:rPr>
              <w:t xml:space="preserve">Tangential section (TLS) of original bark showing Uniseriate to Biseriate ray cells with scattered crystals, </w:t>
            </w:r>
            <w:r w:rsidRPr="000F1F91">
              <w:rPr>
                <w:rFonts w:ascii="Times New Roman" w:hAnsi="Times New Roman" w:cs="Times New Roman"/>
                <w:b/>
                <w:bCs/>
                <w:color w:val="000000" w:themeColor="text1"/>
                <w:sz w:val="24"/>
                <w:szCs w:val="24"/>
              </w:rPr>
              <w:t xml:space="preserve">b) </w:t>
            </w:r>
            <w:r w:rsidRPr="000F1F91">
              <w:rPr>
                <w:rFonts w:ascii="Times New Roman" w:hAnsi="Times New Roman" w:cs="Times New Roman"/>
                <w:color w:val="000000" w:themeColor="text1"/>
                <w:sz w:val="24"/>
                <w:szCs w:val="24"/>
              </w:rPr>
              <w:t xml:space="preserve">Tangential section (TLS) of regenerated bark showing Multiseriate or Aggregate ray cells with scattered crystals, </w:t>
            </w:r>
            <w:r w:rsidRPr="000F1F91">
              <w:rPr>
                <w:rFonts w:ascii="Times New Roman" w:hAnsi="Times New Roman" w:cs="Times New Roman"/>
                <w:b/>
                <w:bCs/>
                <w:color w:val="000000" w:themeColor="text1"/>
                <w:sz w:val="24"/>
                <w:szCs w:val="24"/>
              </w:rPr>
              <w:t>c)</w:t>
            </w:r>
            <w:r w:rsidRPr="000F1F91">
              <w:rPr>
                <w:rFonts w:ascii="Times New Roman" w:hAnsi="Times New Roman" w:cs="Times New Roman"/>
                <w:color w:val="000000" w:themeColor="text1"/>
                <w:sz w:val="24"/>
                <w:szCs w:val="24"/>
              </w:rPr>
              <w:t xml:space="preserve"> Phloem fibers (libriform and non-septate) of original bark, </w:t>
            </w:r>
            <w:r w:rsidRPr="000F1F91">
              <w:rPr>
                <w:rFonts w:ascii="Times New Roman" w:hAnsi="Times New Roman" w:cs="Times New Roman"/>
                <w:b/>
                <w:bCs/>
                <w:color w:val="000000" w:themeColor="text1"/>
                <w:sz w:val="24"/>
                <w:szCs w:val="24"/>
              </w:rPr>
              <w:t>d)</w:t>
            </w:r>
            <w:r w:rsidRPr="000F1F91">
              <w:rPr>
                <w:rFonts w:ascii="Times New Roman" w:hAnsi="Times New Roman" w:cs="Times New Roman"/>
                <w:color w:val="000000" w:themeColor="text1"/>
                <w:sz w:val="24"/>
                <w:szCs w:val="24"/>
              </w:rPr>
              <w:t xml:space="preserve"> Phloem fibers (libriform and non-septate) of regenerated bark</w:t>
            </w:r>
          </w:p>
        </w:tc>
      </w:tr>
    </w:tbl>
    <w:p w14:paraId="1C896B9B" w14:textId="77777777" w:rsidR="00422878" w:rsidRPr="000F1F91" w:rsidRDefault="00422878" w:rsidP="00422878">
      <w:pPr>
        <w:spacing w:after="0" w:line="360" w:lineRule="auto"/>
        <w:jc w:val="both"/>
        <w:rPr>
          <w:rFonts w:ascii="Times New Roman" w:eastAsia="Times New Roman" w:hAnsi="Times New Roman" w:cs="Times New Roman"/>
          <w:color w:val="000000" w:themeColor="text1"/>
          <w:kern w:val="0"/>
          <w:sz w:val="24"/>
        </w:rPr>
      </w:pPr>
    </w:p>
    <w:p w14:paraId="5EF1C823" w14:textId="77777777" w:rsidR="00EF770E" w:rsidRPr="000F1F91" w:rsidRDefault="00EF770E" w:rsidP="00547D44">
      <w:pPr>
        <w:pStyle w:val="ListParagraph"/>
        <w:numPr>
          <w:ilvl w:val="0"/>
          <w:numId w:val="4"/>
        </w:numPr>
        <w:spacing w:after="0" w:line="360" w:lineRule="auto"/>
        <w:ind w:left="284" w:hanging="284"/>
        <w:rPr>
          <w:rFonts w:ascii="Times New Roman" w:eastAsia="Times New Roman" w:hAnsi="Times New Roman" w:cs="Times New Roman"/>
          <w:b/>
          <w:bCs/>
          <w:color w:val="000000" w:themeColor="text1"/>
          <w:kern w:val="0"/>
          <w:sz w:val="24"/>
        </w:rPr>
      </w:pPr>
      <w:r w:rsidRPr="000F1F91">
        <w:rPr>
          <w:rFonts w:ascii="Times New Roman" w:eastAsia="Times New Roman" w:hAnsi="Times New Roman" w:cs="Times New Roman"/>
          <w:b/>
          <w:bCs/>
          <w:color w:val="000000" w:themeColor="text1"/>
          <w:kern w:val="0"/>
          <w:sz w:val="24"/>
        </w:rPr>
        <w:t>CONCLUSION</w:t>
      </w:r>
    </w:p>
    <w:p w14:paraId="67C81678" w14:textId="4B4E43B6" w:rsidR="00D66558" w:rsidRDefault="00043FB4" w:rsidP="00561B80">
      <w:pPr>
        <w:spacing w:after="0" w:line="360" w:lineRule="auto"/>
      </w:pPr>
      <w:r>
        <w:t>The study demonstrates that one-year regenerated Arjuna bark remains physically and anatomically distinct from original bark. Original bark had greater fresh weight, bark thickness, and fibre length, whereas regenerated bark had greater ray width. Basic density, moisture content, volumetric shrinkage, ray height, fibre width, fibre lumen width, and fibre cell-wall thickness did not differ significantly between bark types. The predominance of uniseriate rays, with occasional biseriate rays, characterised original bark, while regenerated bark showed mainly multiseriate or aggregate rays towards the phelloderm, transitioning to uniseriate or biseriate rays near the sapwood. These characteristics provide practical anatomical indicators for distinguishing regenerated bark from original bark and may assist raw-material identification. The findings also indicate that bark regeneration occurs after harvesting and that regenerated bark may contribute to a more sustainable supply of Arjuna bark. However, because the regenerated samples represented a single one-year recovery period, the results should not be interpreted as establishing a definitive reharvesting interval. Longer-term observations are required to determine when regenerated bark attains stable physical and anatomical characteristics comparable with mature bark.</w:t>
      </w:r>
    </w:p>
    <w:p w14:paraId="15ABBBB6" w14:textId="77777777" w:rsidR="0096271E" w:rsidRDefault="0096271E" w:rsidP="00561B80">
      <w:pPr>
        <w:spacing w:after="0" w:line="360" w:lineRule="auto"/>
      </w:pPr>
    </w:p>
    <w:p w14:paraId="2804B54A" w14:textId="77777777" w:rsidR="0096271E" w:rsidRDefault="0096271E" w:rsidP="00561B80">
      <w:pPr>
        <w:spacing w:after="0" w:line="360" w:lineRule="auto"/>
      </w:pPr>
    </w:p>
    <w:p w14:paraId="6B9AF3C1" w14:textId="77777777" w:rsidR="0096271E" w:rsidRDefault="0096271E" w:rsidP="00561B80">
      <w:pPr>
        <w:spacing w:after="0" w:line="360" w:lineRule="auto"/>
      </w:pPr>
    </w:p>
    <w:p w14:paraId="5FD62E7B" w14:textId="77777777" w:rsidR="0096271E" w:rsidRDefault="0096271E" w:rsidP="00561B80">
      <w:pPr>
        <w:spacing w:after="0" w:line="360" w:lineRule="auto"/>
      </w:pPr>
    </w:p>
    <w:p w14:paraId="4E2B2B5F" w14:textId="77777777" w:rsidR="0096271E" w:rsidRDefault="0096271E" w:rsidP="00561B80">
      <w:pPr>
        <w:spacing w:after="0" w:line="360" w:lineRule="auto"/>
      </w:pPr>
    </w:p>
    <w:p w14:paraId="67029FD8" w14:textId="77777777" w:rsidR="0096271E" w:rsidRDefault="0096271E" w:rsidP="0096271E">
      <w:pPr>
        <w:spacing w:before="100" w:beforeAutospacing="1" w:after="100" w:afterAutospacing="1" w:line="240" w:lineRule="auto"/>
        <w:outlineLvl w:val="1"/>
        <w:rPr>
          <w:rFonts w:ascii="Times New Roman" w:eastAsia="Times New Roman" w:hAnsi="Times New Roman" w:cs="Times New Roman"/>
          <w:b/>
          <w:bCs/>
          <w:kern w:val="0"/>
          <w:sz w:val="36"/>
          <w:szCs w:val="36"/>
          <w:lang w:val="en-US"/>
        </w:rPr>
      </w:pPr>
      <w:r w:rsidRPr="0096271E">
        <w:rPr>
          <w:rFonts w:ascii="Times New Roman" w:eastAsia="Times New Roman" w:hAnsi="Times New Roman" w:cs="Times New Roman"/>
          <w:b/>
          <w:bCs/>
          <w:kern w:val="0"/>
          <w:sz w:val="36"/>
          <w:szCs w:val="36"/>
          <w:lang w:val="en-US"/>
        </w:rPr>
        <w:lastRenderedPageBreak/>
        <w:t xml:space="preserve">Limitation </w:t>
      </w:r>
    </w:p>
    <w:p w14:paraId="685CF9DF" w14:textId="6199DEBB" w:rsidR="0096271E" w:rsidRPr="0096271E" w:rsidRDefault="0096271E" w:rsidP="0096271E">
      <w:pPr>
        <w:spacing w:before="100" w:beforeAutospacing="1" w:after="100" w:afterAutospacing="1" w:line="240" w:lineRule="auto"/>
        <w:outlineLvl w:val="1"/>
        <w:rPr>
          <w:rFonts w:ascii="Times New Roman" w:eastAsia="Times New Roman" w:hAnsi="Times New Roman" w:cs="Times New Roman"/>
          <w:kern w:val="0"/>
          <w:sz w:val="24"/>
          <w:szCs w:val="24"/>
          <w:lang w:val="en-US"/>
        </w:rPr>
      </w:pPr>
      <w:r w:rsidRPr="0096271E">
        <w:rPr>
          <w:rFonts w:ascii="Times New Roman" w:eastAsia="Times New Roman" w:hAnsi="Times New Roman" w:cs="Times New Roman"/>
          <w:kern w:val="0"/>
          <w:sz w:val="24"/>
          <w:szCs w:val="24"/>
          <w:lang w:val="en-US"/>
        </w:rPr>
        <w:t>The study was limited to ten mature trees from a single plantation and compared original bark with regenerated bark after one year. Consequently, the findings may not represent variation across sites, age classes, seasons, or longer recovery periods. Chemical composition, medicinal efficacy, and repeated-harvest responses were not assessed. Longitudinal and multi-site studies are therefore required before the observed anatomical features can be treated as stable diagnostic characters or used to establish definitive reharvesting intervals.</w:t>
      </w:r>
    </w:p>
    <w:p w14:paraId="3CD0FADF" w14:textId="77777777" w:rsidR="0096271E" w:rsidRPr="0096271E" w:rsidRDefault="0096271E" w:rsidP="00561B80">
      <w:pPr>
        <w:spacing w:after="0" w:line="360" w:lineRule="auto"/>
        <w:rPr>
          <w:rFonts w:ascii="Times New Roman" w:hAnsi="Times New Roman" w:cs="Times New Roman"/>
          <w:b/>
          <w:bCs/>
          <w:color w:val="000000" w:themeColor="text1"/>
          <w:sz w:val="24"/>
          <w:szCs w:val="24"/>
          <w:lang w:val="en-US"/>
        </w:rPr>
      </w:pPr>
    </w:p>
    <w:p w14:paraId="0212D709" w14:textId="77777777" w:rsidR="00500708" w:rsidRPr="000F1F91" w:rsidRDefault="00561B80" w:rsidP="00561B80">
      <w:pPr>
        <w:spacing w:after="0" w:line="360" w:lineRule="auto"/>
        <w:rPr>
          <w:rFonts w:ascii="Times New Roman" w:hAnsi="Times New Roman" w:cs="Times New Roman"/>
          <w:i/>
          <w:iCs/>
          <w:color w:val="000000" w:themeColor="text1"/>
          <w:sz w:val="24"/>
          <w:szCs w:val="24"/>
        </w:rPr>
      </w:pPr>
      <w:r w:rsidRPr="000F1F91">
        <w:rPr>
          <w:rFonts w:ascii="Times New Roman" w:hAnsi="Times New Roman" w:cs="Times New Roman"/>
          <w:b/>
          <w:bCs/>
          <w:color w:val="000000" w:themeColor="text1"/>
          <w:sz w:val="24"/>
          <w:szCs w:val="24"/>
        </w:rPr>
        <w:t>COMPETING INTERESTS</w:t>
      </w:r>
    </w:p>
    <w:p w14:paraId="27D014CA" w14:textId="77777777" w:rsidR="00500708" w:rsidRPr="000F1F91" w:rsidRDefault="00561B80" w:rsidP="00561B80">
      <w:pPr>
        <w:spacing w:after="0" w:line="360" w:lineRule="auto"/>
        <w:jc w:val="both"/>
        <w:rPr>
          <w:rFonts w:ascii="Times New Roman" w:hAnsi="Times New Roman" w:cs="Times New Roman"/>
          <w:color w:val="000000" w:themeColor="text1"/>
          <w:sz w:val="24"/>
          <w:szCs w:val="24"/>
        </w:rPr>
      </w:pPr>
      <w:r w:rsidRPr="000F1F91">
        <w:rPr>
          <w:rFonts w:ascii="Times New Roman" w:hAnsi="Times New Roman" w:cs="Times New Roman"/>
          <w:color w:val="000000" w:themeColor="text1"/>
          <w:sz w:val="24"/>
          <w:szCs w:val="24"/>
        </w:rPr>
        <w:t>Authors have declared that no competing interests exist.</w:t>
      </w:r>
    </w:p>
    <w:p w14:paraId="74BA5CC7" w14:textId="77777777" w:rsidR="00D66558" w:rsidRPr="000F1F91" w:rsidRDefault="00D66558" w:rsidP="00877294">
      <w:pPr>
        <w:spacing w:after="0" w:line="240" w:lineRule="auto"/>
        <w:rPr>
          <w:rFonts w:ascii="Times New Roman" w:hAnsi="Times New Roman" w:cs="Times New Roman"/>
          <w:b/>
        </w:rPr>
      </w:pPr>
    </w:p>
    <w:p w14:paraId="2C863581" w14:textId="77777777" w:rsidR="00877294" w:rsidRPr="000F1F91" w:rsidRDefault="00877294" w:rsidP="00877294">
      <w:pPr>
        <w:spacing w:after="0" w:line="240" w:lineRule="auto"/>
        <w:rPr>
          <w:rFonts w:ascii="Times New Roman" w:hAnsi="Times New Roman" w:cs="Times New Roman"/>
          <w:b/>
        </w:rPr>
      </w:pPr>
      <w:r w:rsidRPr="000F1F91">
        <w:rPr>
          <w:rFonts w:ascii="Times New Roman" w:hAnsi="Times New Roman" w:cs="Times New Roman"/>
          <w:b/>
        </w:rPr>
        <w:t>Declaration of AI Use</w:t>
      </w:r>
    </w:p>
    <w:p w14:paraId="33BF6F67" w14:textId="77777777" w:rsidR="00877294" w:rsidRPr="000F1F91" w:rsidRDefault="00877294" w:rsidP="00877294">
      <w:pPr>
        <w:spacing w:after="0" w:line="240" w:lineRule="auto"/>
        <w:rPr>
          <w:rFonts w:ascii="Times New Roman" w:hAnsi="Times New Roman" w:cs="Times New Roman"/>
        </w:rPr>
      </w:pPr>
    </w:p>
    <w:p w14:paraId="52219E94" w14:textId="77777777" w:rsidR="00877294" w:rsidRPr="000F1F91" w:rsidRDefault="00877294" w:rsidP="00877294">
      <w:pPr>
        <w:spacing w:after="0" w:line="240" w:lineRule="auto"/>
        <w:jc w:val="both"/>
        <w:rPr>
          <w:rFonts w:ascii="Times New Roman" w:hAnsi="Times New Roman" w:cs="Times New Roman"/>
        </w:rPr>
      </w:pPr>
      <w:r w:rsidRPr="000F1F91">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ECD7DA3" w14:textId="77777777" w:rsidR="00877294" w:rsidRPr="000F1F91" w:rsidRDefault="00877294" w:rsidP="00561B80">
      <w:pPr>
        <w:spacing w:after="0" w:line="360" w:lineRule="auto"/>
        <w:jc w:val="both"/>
        <w:rPr>
          <w:rFonts w:ascii="Times New Roman" w:eastAsia="Times New Roman" w:hAnsi="Times New Roman" w:cs="Times New Roman"/>
          <w:color w:val="000000" w:themeColor="text1"/>
          <w:kern w:val="0"/>
          <w:sz w:val="24"/>
        </w:rPr>
      </w:pPr>
    </w:p>
    <w:p w14:paraId="5C59C94E" w14:textId="77777777" w:rsidR="00EF770E" w:rsidRPr="000F1F91" w:rsidRDefault="00EF770E" w:rsidP="003152C1">
      <w:pPr>
        <w:spacing w:after="0" w:line="360" w:lineRule="auto"/>
        <w:rPr>
          <w:rFonts w:ascii="Times New Roman" w:eastAsia="Times New Roman" w:hAnsi="Times New Roman" w:cs="Times New Roman"/>
          <w:b/>
          <w:bCs/>
          <w:color w:val="000000" w:themeColor="text1"/>
          <w:kern w:val="0"/>
          <w:sz w:val="24"/>
          <w:lang w:val="es-US"/>
        </w:rPr>
      </w:pPr>
      <w:r w:rsidRPr="000F1F91">
        <w:rPr>
          <w:rFonts w:ascii="Times New Roman" w:eastAsia="Times New Roman" w:hAnsi="Times New Roman" w:cs="Times New Roman"/>
          <w:b/>
          <w:bCs/>
          <w:color w:val="000000" w:themeColor="text1"/>
          <w:kern w:val="0"/>
          <w:sz w:val="24"/>
          <w:lang w:val="es-US"/>
        </w:rPr>
        <w:t>REFERENCES</w:t>
      </w:r>
    </w:p>
    <w:p w14:paraId="6F068401"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Delvaux, C., Sinsin, B., Darchambeau, F., &amp; Van Damme, P. (2009). </w:t>
      </w:r>
      <w:r w:rsidRPr="008C1CCA">
        <w:rPr>
          <w:rFonts w:ascii="Times New Roman" w:eastAsia="Times New Roman" w:hAnsi="Times New Roman" w:cs="Times New Roman"/>
          <w:kern w:val="0"/>
          <w:sz w:val="24"/>
          <w:szCs w:val="24"/>
          <w:lang w:val="en-US"/>
        </w:rPr>
        <w:t xml:space="preserve">Recovery from bark harvesting of 12 medicinal tree species in Benin, West Africa. </w:t>
      </w:r>
      <w:r w:rsidRPr="008C1CCA">
        <w:rPr>
          <w:rFonts w:ascii="Times New Roman" w:eastAsia="Times New Roman" w:hAnsi="Times New Roman" w:cs="Times New Roman"/>
          <w:i/>
          <w:iCs/>
          <w:kern w:val="0"/>
          <w:sz w:val="24"/>
          <w:szCs w:val="24"/>
          <w:lang w:val="en-US"/>
        </w:rPr>
        <w:t>Journal of Applied Ecology, 46</w:t>
      </w:r>
      <w:r w:rsidRPr="008C1CCA">
        <w:rPr>
          <w:rFonts w:ascii="Times New Roman" w:eastAsia="Times New Roman" w:hAnsi="Times New Roman" w:cs="Times New Roman"/>
          <w:kern w:val="0"/>
          <w:sz w:val="24"/>
          <w:szCs w:val="24"/>
          <w:lang w:val="en-US"/>
        </w:rPr>
        <w:t xml:space="preserve">(3), 703–712. </w:t>
      </w:r>
      <w:hyperlink r:id="rId17" w:tgtFrame="_new" w:history="1">
        <w:r w:rsidRPr="008C1CCA">
          <w:rPr>
            <w:rFonts w:ascii="Times New Roman" w:eastAsia="Times New Roman" w:hAnsi="Times New Roman" w:cs="Times New Roman"/>
            <w:color w:val="0000FF"/>
            <w:kern w:val="0"/>
            <w:sz w:val="24"/>
            <w:szCs w:val="24"/>
            <w:u w:val="single"/>
            <w:lang w:val="en-US"/>
          </w:rPr>
          <w:t>https://doi.org/10.1111/j.1365-2664.2009.01639.x</w:t>
        </w:r>
      </w:hyperlink>
      <w:r w:rsidRPr="008C1CCA">
        <w:rPr>
          <w:rFonts w:ascii="Times New Roman" w:eastAsia="Times New Roman" w:hAnsi="Times New Roman" w:cs="Times New Roman"/>
          <w:kern w:val="0"/>
          <w:sz w:val="24"/>
          <w:szCs w:val="24"/>
          <w:lang w:val="en-US"/>
        </w:rPr>
        <w:t xml:space="preserve"> </w:t>
      </w:r>
    </w:p>
    <w:p w14:paraId="68030A01"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Delvaux, C., Sinsin, B., &amp; Van Damme, P. (2010a). Impact of season, stem diameter and intensity of debarking on survival and bark re-growth pattern of medicinal tree species, Benin, West Africa. </w:t>
      </w:r>
      <w:r w:rsidRPr="008C1CCA">
        <w:rPr>
          <w:rFonts w:ascii="Times New Roman" w:eastAsia="Times New Roman" w:hAnsi="Times New Roman" w:cs="Times New Roman"/>
          <w:i/>
          <w:iCs/>
          <w:kern w:val="0"/>
          <w:sz w:val="24"/>
          <w:szCs w:val="24"/>
          <w:lang w:val="en-US"/>
        </w:rPr>
        <w:t>Biological Conservation, 143</w:t>
      </w:r>
      <w:r w:rsidRPr="008C1CCA">
        <w:rPr>
          <w:rFonts w:ascii="Times New Roman" w:eastAsia="Times New Roman" w:hAnsi="Times New Roman" w:cs="Times New Roman"/>
          <w:kern w:val="0"/>
          <w:sz w:val="24"/>
          <w:szCs w:val="24"/>
          <w:lang w:val="en-US"/>
        </w:rPr>
        <w:t xml:space="preserve">(11), 2664–2671. </w:t>
      </w:r>
      <w:hyperlink r:id="rId18" w:tgtFrame="_new" w:history="1">
        <w:r w:rsidRPr="008C1CCA">
          <w:rPr>
            <w:rFonts w:ascii="Times New Roman" w:eastAsia="Times New Roman" w:hAnsi="Times New Roman" w:cs="Times New Roman"/>
            <w:color w:val="0000FF"/>
            <w:kern w:val="0"/>
            <w:sz w:val="24"/>
            <w:szCs w:val="24"/>
            <w:u w:val="single"/>
            <w:lang w:val="en-US"/>
          </w:rPr>
          <w:t>https://doi.org/10.1016/j.biocon.2010.07.009</w:t>
        </w:r>
      </w:hyperlink>
      <w:r w:rsidRPr="008C1CCA">
        <w:rPr>
          <w:rFonts w:ascii="Times New Roman" w:eastAsia="Times New Roman" w:hAnsi="Times New Roman" w:cs="Times New Roman"/>
          <w:kern w:val="0"/>
          <w:sz w:val="24"/>
          <w:szCs w:val="24"/>
          <w:lang w:val="en-US"/>
        </w:rPr>
        <w:t xml:space="preserve"> </w:t>
      </w:r>
    </w:p>
    <w:p w14:paraId="57A3BB14"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Delvaux, C., Sinsin, B., Van Damme, P., &amp; Beeckman, H. (2010b). </w:t>
      </w:r>
      <w:r w:rsidRPr="008C1CCA">
        <w:rPr>
          <w:rFonts w:ascii="Times New Roman" w:eastAsia="Times New Roman" w:hAnsi="Times New Roman" w:cs="Times New Roman"/>
          <w:kern w:val="0"/>
          <w:sz w:val="24"/>
          <w:szCs w:val="24"/>
          <w:lang w:val="en-US"/>
        </w:rPr>
        <w:t xml:space="preserve">Wound reaction after bark harvesting: Microscopic and macroscopic phenomena in ten medicinal tree species (Benin). </w:t>
      </w:r>
      <w:r w:rsidRPr="008C1CCA">
        <w:rPr>
          <w:rFonts w:ascii="Times New Roman" w:eastAsia="Times New Roman" w:hAnsi="Times New Roman" w:cs="Times New Roman"/>
          <w:i/>
          <w:iCs/>
          <w:kern w:val="0"/>
          <w:sz w:val="24"/>
          <w:szCs w:val="24"/>
          <w:lang w:val="en-US"/>
        </w:rPr>
        <w:t>Trees, 24</w:t>
      </w:r>
      <w:r w:rsidRPr="008C1CCA">
        <w:rPr>
          <w:rFonts w:ascii="Times New Roman" w:eastAsia="Times New Roman" w:hAnsi="Times New Roman" w:cs="Times New Roman"/>
          <w:kern w:val="0"/>
          <w:sz w:val="24"/>
          <w:szCs w:val="24"/>
          <w:lang w:val="en-US"/>
        </w:rPr>
        <w:t xml:space="preserve">(5), 941–951. </w:t>
      </w:r>
      <w:hyperlink r:id="rId19" w:tgtFrame="_new" w:history="1">
        <w:r w:rsidRPr="008C1CCA">
          <w:rPr>
            <w:rFonts w:ascii="Times New Roman" w:eastAsia="Times New Roman" w:hAnsi="Times New Roman" w:cs="Times New Roman"/>
            <w:color w:val="0000FF"/>
            <w:kern w:val="0"/>
            <w:sz w:val="24"/>
            <w:szCs w:val="24"/>
            <w:u w:val="single"/>
            <w:lang w:val="en-US"/>
          </w:rPr>
          <w:t>https://doi.org/10.1007/s00468-010-0465-2</w:t>
        </w:r>
      </w:hyperlink>
      <w:r w:rsidRPr="008C1CCA">
        <w:rPr>
          <w:rFonts w:ascii="Times New Roman" w:eastAsia="Times New Roman" w:hAnsi="Times New Roman" w:cs="Times New Roman"/>
          <w:kern w:val="0"/>
          <w:sz w:val="24"/>
          <w:szCs w:val="24"/>
          <w:lang w:val="en-US"/>
        </w:rPr>
        <w:t xml:space="preserve"> </w:t>
      </w:r>
    </w:p>
    <w:p w14:paraId="3F4CCBA0"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Delvaux, C., Sinsin, B., Van Damme, P., &amp; Beeckman, H. (2013). </w:t>
      </w:r>
      <w:r w:rsidRPr="008C1CCA">
        <w:rPr>
          <w:rFonts w:ascii="Times New Roman" w:eastAsia="Times New Roman" w:hAnsi="Times New Roman" w:cs="Times New Roman"/>
          <w:kern w:val="0"/>
          <w:sz w:val="24"/>
          <w:szCs w:val="24"/>
          <w:lang w:val="en-US"/>
        </w:rPr>
        <w:t xml:space="preserve">Size of conducting phloem: The “key” factor for bark recovery of 12 tropical medicinal tree species. </w:t>
      </w:r>
      <w:r w:rsidRPr="008C1CCA">
        <w:rPr>
          <w:rFonts w:ascii="Times New Roman" w:eastAsia="Times New Roman" w:hAnsi="Times New Roman" w:cs="Times New Roman"/>
          <w:i/>
          <w:iCs/>
          <w:kern w:val="0"/>
          <w:sz w:val="24"/>
          <w:szCs w:val="24"/>
          <w:lang w:val="en-US"/>
        </w:rPr>
        <w:t>Flora, 208</w:t>
      </w:r>
      <w:r w:rsidRPr="008C1CCA">
        <w:rPr>
          <w:rFonts w:ascii="Times New Roman" w:eastAsia="Times New Roman" w:hAnsi="Times New Roman" w:cs="Times New Roman"/>
          <w:kern w:val="0"/>
          <w:sz w:val="24"/>
          <w:szCs w:val="24"/>
          <w:lang w:val="en-US"/>
        </w:rPr>
        <w:t xml:space="preserve">(2), 111–117. </w:t>
      </w:r>
      <w:hyperlink r:id="rId20" w:tgtFrame="_new" w:history="1">
        <w:r w:rsidRPr="008C1CCA">
          <w:rPr>
            <w:rFonts w:ascii="Times New Roman" w:eastAsia="Times New Roman" w:hAnsi="Times New Roman" w:cs="Times New Roman"/>
            <w:color w:val="0000FF"/>
            <w:kern w:val="0"/>
            <w:sz w:val="24"/>
            <w:szCs w:val="24"/>
            <w:u w:val="single"/>
            <w:lang w:val="en-US"/>
          </w:rPr>
          <w:t>https://doi.org/10.1016/j.flora.2013.02.004</w:t>
        </w:r>
      </w:hyperlink>
      <w:r w:rsidRPr="008C1CCA">
        <w:rPr>
          <w:rFonts w:ascii="Times New Roman" w:eastAsia="Times New Roman" w:hAnsi="Times New Roman" w:cs="Times New Roman"/>
          <w:kern w:val="0"/>
          <w:sz w:val="24"/>
          <w:szCs w:val="24"/>
          <w:lang w:val="en-US"/>
        </w:rPr>
        <w:t xml:space="preserve"> </w:t>
      </w:r>
    </w:p>
    <w:p w14:paraId="002C9F68"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Dharasurkar, A. N., Vimala, Basole, S., Sharma, B. P., Tailor, V., Kumar, S., &amp; Agrahari, D. (2025). Documenting the medicinal potential of timber species across ecologically distinct zones of India. </w:t>
      </w:r>
      <w:r w:rsidRPr="008C1CCA">
        <w:rPr>
          <w:rFonts w:ascii="Times New Roman" w:eastAsia="Times New Roman" w:hAnsi="Times New Roman" w:cs="Times New Roman"/>
          <w:i/>
          <w:iCs/>
          <w:kern w:val="0"/>
          <w:sz w:val="24"/>
          <w:szCs w:val="24"/>
          <w:lang w:val="en-US"/>
        </w:rPr>
        <w:t>BIONATURE, 45</w:t>
      </w:r>
      <w:r w:rsidRPr="008C1CCA">
        <w:rPr>
          <w:rFonts w:ascii="Times New Roman" w:eastAsia="Times New Roman" w:hAnsi="Times New Roman" w:cs="Times New Roman"/>
          <w:kern w:val="0"/>
          <w:sz w:val="24"/>
          <w:szCs w:val="24"/>
          <w:lang w:val="en-US"/>
        </w:rPr>
        <w:t xml:space="preserve">(2), 210–219. </w:t>
      </w:r>
      <w:hyperlink r:id="rId21" w:tgtFrame="_new" w:history="1">
        <w:r w:rsidRPr="008C1CCA">
          <w:rPr>
            <w:rFonts w:ascii="Times New Roman" w:eastAsia="Times New Roman" w:hAnsi="Times New Roman" w:cs="Times New Roman"/>
            <w:color w:val="0000FF"/>
            <w:kern w:val="0"/>
            <w:sz w:val="24"/>
            <w:szCs w:val="24"/>
            <w:u w:val="single"/>
            <w:lang w:val="en-US"/>
          </w:rPr>
          <w:t>https://doi.org/10.56557/bn/2025/v45i22082</w:t>
        </w:r>
      </w:hyperlink>
      <w:r w:rsidRPr="008C1CCA">
        <w:rPr>
          <w:rFonts w:ascii="Times New Roman" w:eastAsia="Times New Roman" w:hAnsi="Times New Roman" w:cs="Times New Roman"/>
          <w:kern w:val="0"/>
          <w:sz w:val="24"/>
          <w:szCs w:val="24"/>
          <w:lang w:val="en-US"/>
        </w:rPr>
        <w:t xml:space="preserve"> </w:t>
      </w:r>
    </w:p>
    <w:p w14:paraId="4AEC09EF"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lastRenderedPageBreak/>
        <w:t xml:space="preserve">Dwivedi, S., &amp; Jauhari, R. (1997). Beneficial effects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in coronary artery disease. </w:t>
      </w:r>
      <w:r w:rsidRPr="008C1CCA">
        <w:rPr>
          <w:rFonts w:ascii="Times New Roman" w:eastAsia="Times New Roman" w:hAnsi="Times New Roman" w:cs="Times New Roman"/>
          <w:i/>
          <w:iCs/>
          <w:kern w:val="0"/>
          <w:sz w:val="24"/>
          <w:szCs w:val="24"/>
          <w:lang w:val="en-US"/>
        </w:rPr>
        <w:t>Indian Heart Journal, 49</w:t>
      </w:r>
      <w:r w:rsidRPr="008C1CCA">
        <w:rPr>
          <w:rFonts w:ascii="Times New Roman" w:eastAsia="Times New Roman" w:hAnsi="Times New Roman" w:cs="Times New Roman"/>
          <w:kern w:val="0"/>
          <w:sz w:val="24"/>
          <w:szCs w:val="24"/>
          <w:lang w:val="en-US"/>
        </w:rPr>
        <w:t xml:space="preserve">(5), 507–510. https://imsear.searo.who.int/items/1c006f38-76c2-4f02-bd36-5156d91f4ed3 </w:t>
      </w:r>
    </w:p>
    <w:p w14:paraId="5C45F5A8"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Gunaga, R. P., Dobriyal, M. J., Hegde, H. T., Mehta, A. A., &amp; Sinha, S. K. (2017). </w:t>
      </w:r>
      <w:r w:rsidRPr="008C1CCA">
        <w:rPr>
          <w:rFonts w:ascii="Times New Roman" w:eastAsia="Times New Roman" w:hAnsi="Times New Roman" w:cs="Times New Roman"/>
          <w:i/>
          <w:iCs/>
          <w:kern w:val="0"/>
          <w:sz w:val="24"/>
          <w:szCs w:val="24"/>
          <w:lang w:val="en-US"/>
        </w:rPr>
        <w:t>Sustainable bark harvesting techniques in Terminalia arjuna</w:t>
      </w:r>
      <w:r w:rsidRPr="008C1CCA">
        <w:rPr>
          <w:rFonts w:ascii="Times New Roman" w:eastAsia="Times New Roman" w:hAnsi="Times New Roman" w:cs="Times New Roman"/>
          <w:kern w:val="0"/>
          <w:sz w:val="24"/>
          <w:szCs w:val="24"/>
          <w:lang w:val="en-US"/>
        </w:rPr>
        <w:t xml:space="preserve"> (Research Report XIII, Combined Joint AGRESCO). Directorate of Research, Navsari Agricultural University. </w:t>
      </w:r>
      <w:hyperlink r:id="rId22" w:tgtFrame="_new" w:history="1">
        <w:r w:rsidRPr="008C1CCA">
          <w:rPr>
            <w:rFonts w:ascii="Times New Roman" w:eastAsia="Times New Roman" w:hAnsi="Times New Roman" w:cs="Times New Roman"/>
            <w:color w:val="0000FF"/>
            <w:kern w:val="0"/>
            <w:sz w:val="24"/>
            <w:szCs w:val="24"/>
            <w:u w:val="single"/>
            <w:lang w:val="en-US"/>
          </w:rPr>
          <w:t>https://old.nau.in/files/22114_Final%20%20Proceeding%20joint%20agresco-2017.pdf</w:t>
        </w:r>
      </w:hyperlink>
      <w:r w:rsidRPr="008C1CCA">
        <w:rPr>
          <w:rFonts w:ascii="Times New Roman" w:eastAsia="Times New Roman" w:hAnsi="Times New Roman" w:cs="Times New Roman"/>
          <w:kern w:val="0"/>
          <w:sz w:val="24"/>
          <w:szCs w:val="24"/>
          <w:lang w:val="en-US"/>
        </w:rPr>
        <w:t xml:space="preserve"> </w:t>
      </w:r>
    </w:p>
    <w:p w14:paraId="02EE2279"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Hanumantha, M., &amp; Vasudeva, R. (2022). Influence of patch geometry, post-bark-extraction treatment on bark recovery and standardizing number of sprouts for bark harvest from coppices in </w:t>
      </w:r>
      <w:r w:rsidRPr="008C1CCA">
        <w:rPr>
          <w:rFonts w:ascii="Times New Roman" w:eastAsia="Times New Roman" w:hAnsi="Times New Roman" w:cs="Times New Roman"/>
          <w:i/>
          <w:iCs/>
          <w:kern w:val="0"/>
          <w:sz w:val="24"/>
          <w:szCs w:val="24"/>
          <w:lang w:val="en-US"/>
        </w:rPr>
        <w:t>Cinnamomum zeylanicum</w:t>
      </w:r>
      <w:r w:rsidRPr="008C1CCA">
        <w:rPr>
          <w:rFonts w:ascii="Times New Roman" w:eastAsia="Times New Roman" w:hAnsi="Times New Roman" w:cs="Times New Roman"/>
          <w:kern w:val="0"/>
          <w:sz w:val="24"/>
          <w:szCs w:val="24"/>
          <w:lang w:val="en-US"/>
        </w:rPr>
        <w:t xml:space="preserve"> Blume: Implications for sustainable harvesting. </w:t>
      </w:r>
      <w:r w:rsidRPr="008C1CCA">
        <w:rPr>
          <w:rFonts w:ascii="Times New Roman" w:eastAsia="Times New Roman" w:hAnsi="Times New Roman" w:cs="Times New Roman"/>
          <w:i/>
          <w:iCs/>
          <w:kern w:val="0"/>
          <w:sz w:val="24"/>
          <w:szCs w:val="24"/>
          <w:lang w:val="en-US"/>
        </w:rPr>
        <w:t>Environmental Monitoring and Assessment, 194</w:t>
      </w:r>
      <w:r w:rsidRPr="008C1CCA">
        <w:rPr>
          <w:rFonts w:ascii="Times New Roman" w:eastAsia="Times New Roman" w:hAnsi="Times New Roman" w:cs="Times New Roman"/>
          <w:kern w:val="0"/>
          <w:sz w:val="24"/>
          <w:szCs w:val="24"/>
          <w:lang w:val="en-US"/>
        </w:rPr>
        <w:t xml:space="preserve">, Article 214. </w:t>
      </w:r>
      <w:hyperlink r:id="rId23" w:tgtFrame="_new" w:history="1">
        <w:r w:rsidRPr="008C1CCA">
          <w:rPr>
            <w:rFonts w:ascii="Times New Roman" w:eastAsia="Times New Roman" w:hAnsi="Times New Roman" w:cs="Times New Roman"/>
            <w:color w:val="0000FF"/>
            <w:kern w:val="0"/>
            <w:sz w:val="24"/>
            <w:szCs w:val="24"/>
            <w:u w:val="single"/>
            <w:lang w:val="en-US"/>
          </w:rPr>
          <w:t>https://doi.org/10.1007/s10661-022-09882-0</w:t>
        </w:r>
      </w:hyperlink>
      <w:r w:rsidRPr="008C1CCA">
        <w:rPr>
          <w:rFonts w:ascii="Times New Roman" w:eastAsia="Times New Roman" w:hAnsi="Times New Roman" w:cs="Times New Roman"/>
          <w:kern w:val="0"/>
          <w:sz w:val="24"/>
          <w:szCs w:val="24"/>
          <w:lang w:val="en-US"/>
        </w:rPr>
        <w:t xml:space="preserve"> </w:t>
      </w:r>
    </w:p>
    <w:p w14:paraId="04AD39C7"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Harika, D., Swamy, A. V. V. S., Subhashini, V., &amp; Rani, C. H. (2013). Potential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as a source of diverse drugs. </w:t>
      </w:r>
      <w:r w:rsidRPr="008C1CCA">
        <w:rPr>
          <w:rFonts w:ascii="Times New Roman" w:eastAsia="Times New Roman" w:hAnsi="Times New Roman" w:cs="Times New Roman"/>
          <w:i/>
          <w:iCs/>
          <w:kern w:val="0"/>
          <w:sz w:val="24"/>
          <w:szCs w:val="24"/>
          <w:lang w:val="en-US"/>
        </w:rPr>
        <w:t>Indian Journal of Applied Research, 3</w:t>
      </w:r>
      <w:r w:rsidRPr="008C1CCA">
        <w:rPr>
          <w:rFonts w:ascii="Times New Roman" w:eastAsia="Times New Roman" w:hAnsi="Times New Roman" w:cs="Times New Roman"/>
          <w:kern w:val="0"/>
          <w:sz w:val="24"/>
          <w:szCs w:val="24"/>
          <w:lang w:val="en-US"/>
        </w:rPr>
        <w:t xml:space="preserve">(1), 1–2. https://www.worldwidejournals.com/indian-journal-of-applied-research-%28IJAR%29/article/potential-of-terminalia-arjuna-as-a-source-of-diverse-drugs/ODk2/ </w:t>
      </w:r>
    </w:p>
    <w:p w14:paraId="048E3528"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Hoffmann, W. A., Flake, S. W., Rossatto, D. R., De Antonio, A. C., Durigan, G., &amp; Abreu, R. C. R. (2024). Stem wound healing is dependent upon bark and trunk growth rates in Brazilian savanna. </w:t>
      </w:r>
      <w:r w:rsidRPr="008C1CCA">
        <w:rPr>
          <w:rFonts w:ascii="Times New Roman" w:eastAsia="Times New Roman" w:hAnsi="Times New Roman" w:cs="Times New Roman"/>
          <w:i/>
          <w:iCs/>
          <w:kern w:val="0"/>
          <w:sz w:val="24"/>
          <w:szCs w:val="24"/>
          <w:lang w:val="en-US"/>
        </w:rPr>
        <w:t>Trees, 38</w:t>
      </w:r>
      <w:r w:rsidRPr="008C1CCA">
        <w:rPr>
          <w:rFonts w:ascii="Times New Roman" w:eastAsia="Times New Roman" w:hAnsi="Times New Roman" w:cs="Times New Roman"/>
          <w:kern w:val="0"/>
          <w:sz w:val="24"/>
          <w:szCs w:val="24"/>
          <w:lang w:val="en-US"/>
        </w:rPr>
        <w:t xml:space="preserve">, 197–204. </w:t>
      </w:r>
      <w:hyperlink r:id="rId24" w:tgtFrame="_new" w:history="1">
        <w:r w:rsidRPr="008C1CCA">
          <w:rPr>
            <w:rFonts w:ascii="Times New Roman" w:eastAsia="Times New Roman" w:hAnsi="Times New Roman" w:cs="Times New Roman"/>
            <w:color w:val="0000FF"/>
            <w:kern w:val="0"/>
            <w:sz w:val="24"/>
            <w:szCs w:val="24"/>
            <w:u w:val="single"/>
            <w:lang w:val="en-US"/>
          </w:rPr>
          <w:t>https://doi.org/10.1007/s00468-023-02477-3</w:t>
        </w:r>
      </w:hyperlink>
      <w:r w:rsidRPr="008C1CCA">
        <w:rPr>
          <w:rFonts w:ascii="Times New Roman" w:eastAsia="Times New Roman" w:hAnsi="Times New Roman" w:cs="Times New Roman"/>
          <w:kern w:val="0"/>
          <w:sz w:val="24"/>
          <w:szCs w:val="24"/>
          <w:lang w:val="en-US"/>
        </w:rPr>
        <w:t xml:space="preserve"> </w:t>
      </w:r>
    </w:p>
    <w:p w14:paraId="5E99E9EE" w14:textId="7CAFAF09"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Jadhav, R. M. (2025). </w:t>
      </w:r>
      <w:r w:rsidRPr="008C1CCA">
        <w:rPr>
          <w:rFonts w:ascii="Times New Roman" w:eastAsia="Times New Roman" w:hAnsi="Times New Roman" w:cs="Times New Roman"/>
          <w:i/>
          <w:iCs/>
          <w:kern w:val="0"/>
          <w:sz w:val="24"/>
          <w:szCs w:val="24"/>
          <w:lang w:val="en-US"/>
        </w:rPr>
        <w:t>Investigation on physico-anatomical and chemical properties and regeneration potential of Arjuna [Terminalia arjuna (Roxb. ex DC.) Wight &amp; Arn.] bark</w:t>
      </w:r>
      <w:r w:rsidRPr="008C1CCA">
        <w:rPr>
          <w:rFonts w:ascii="Times New Roman" w:eastAsia="Times New Roman" w:hAnsi="Times New Roman" w:cs="Times New Roman"/>
          <w:kern w:val="0"/>
          <w:sz w:val="24"/>
          <w:szCs w:val="24"/>
          <w:lang w:val="en-US"/>
        </w:rPr>
        <w:t xml:space="preserve"> [Doctoral dissertation, Navsari Agricultural University]. </w:t>
      </w:r>
    </w:p>
    <w:p w14:paraId="51B03910" w14:textId="7ADAE6C6"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Jane, F. W. (1956). </w:t>
      </w:r>
      <w:r w:rsidRPr="008C1CCA">
        <w:rPr>
          <w:rFonts w:ascii="Times New Roman" w:eastAsia="Times New Roman" w:hAnsi="Times New Roman" w:cs="Times New Roman"/>
          <w:i/>
          <w:iCs/>
          <w:kern w:val="0"/>
          <w:sz w:val="24"/>
          <w:szCs w:val="24"/>
          <w:lang w:val="en-US"/>
        </w:rPr>
        <w:t>The structure of wood</w:t>
      </w:r>
      <w:r w:rsidRPr="008C1CCA">
        <w:rPr>
          <w:rFonts w:ascii="Times New Roman" w:eastAsia="Times New Roman" w:hAnsi="Times New Roman" w:cs="Times New Roman"/>
          <w:kern w:val="0"/>
          <w:sz w:val="24"/>
          <w:szCs w:val="24"/>
          <w:lang w:val="en-US"/>
        </w:rPr>
        <w:t xml:space="preserve">. Adam &amp; Charles Black. </w:t>
      </w:r>
    </w:p>
    <w:p w14:paraId="7089F972"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Kapoor, D., Vijayvergiya, R., &amp; Dhawan, V. (2014).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in coronary artery disease: Ethnopharmacology, pre-clinical, clinical, and safety evaluation. </w:t>
      </w:r>
      <w:r w:rsidRPr="008C1CCA">
        <w:rPr>
          <w:rFonts w:ascii="Times New Roman" w:eastAsia="Times New Roman" w:hAnsi="Times New Roman" w:cs="Times New Roman"/>
          <w:i/>
          <w:iCs/>
          <w:kern w:val="0"/>
          <w:sz w:val="24"/>
          <w:szCs w:val="24"/>
          <w:lang w:val="en-US"/>
        </w:rPr>
        <w:t>Journal of Ethnopharmacology, 155</w:t>
      </w:r>
      <w:r w:rsidRPr="008C1CCA">
        <w:rPr>
          <w:rFonts w:ascii="Times New Roman" w:eastAsia="Times New Roman" w:hAnsi="Times New Roman" w:cs="Times New Roman"/>
          <w:kern w:val="0"/>
          <w:sz w:val="24"/>
          <w:szCs w:val="24"/>
          <w:lang w:val="en-US"/>
        </w:rPr>
        <w:t xml:space="preserve">(2), 1029–1045. </w:t>
      </w:r>
      <w:hyperlink r:id="rId25" w:tgtFrame="_new" w:history="1">
        <w:r w:rsidRPr="008C1CCA">
          <w:rPr>
            <w:rFonts w:ascii="Times New Roman" w:eastAsia="Times New Roman" w:hAnsi="Times New Roman" w:cs="Times New Roman"/>
            <w:color w:val="0000FF"/>
            <w:kern w:val="0"/>
            <w:sz w:val="24"/>
            <w:szCs w:val="24"/>
            <w:u w:val="single"/>
            <w:lang w:val="en-US"/>
          </w:rPr>
          <w:t>https://doi.org/10.1016/j.jep.2014.06.056</w:t>
        </w:r>
      </w:hyperlink>
      <w:r w:rsidRPr="008C1CCA">
        <w:rPr>
          <w:rFonts w:ascii="Times New Roman" w:eastAsia="Times New Roman" w:hAnsi="Times New Roman" w:cs="Times New Roman"/>
          <w:kern w:val="0"/>
          <w:sz w:val="24"/>
          <w:szCs w:val="24"/>
          <w:lang w:val="en-US"/>
        </w:rPr>
        <w:t xml:space="preserve"> </w:t>
      </w:r>
    </w:p>
    <w:p w14:paraId="7833740F"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Karunarathne, S. I., Spokevicius, A. V., Bossinger, G., &amp; Golz, J. F. (2024). Trees need closure too: Wound-induced secondary vascular tissue regeneration. </w:t>
      </w:r>
      <w:r w:rsidRPr="008C1CCA">
        <w:rPr>
          <w:rFonts w:ascii="Times New Roman" w:eastAsia="Times New Roman" w:hAnsi="Times New Roman" w:cs="Times New Roman"/>
          <w:i/>
          <w:iCs/>
          <w:kern w:val="0"/>
          <w:sz w:val="24"/>
          <w:szCs w:val="24"/>
          <w:lang w:val="en-US"/>
        </w:rPr>
        <w:t>Plant Science, 339</w:t>
      </w:r>
      <w:r w:rsidRPr="008C1CCA">
        <w:rPr>
          <w:rFonts w:ascii="Times New Roman" w:eastAsia="Times New Roman" w:hAnsi="Times New Roman" w:cs="Times New Roman"/>
          <w:kern w:val="0"/>
          <w:sz w:val="24"/>
          <w:szCs w:val="24"/>
          <w:lang w:val="en-US"/>
        </w:rPr>
        <w:t xml:space="preserve">, Article 111950. </w:t>
      </w:r>
      <w:hyperlink r:id="rId26" w:tgtFrame="_new" w:history="1">
        <w:r w:rsidRPr="008C1CCA">
          <w:rPr>
            <w:rFonts w:ascii="Times New Roman" w:eastAsia="Times New Roman" w:hAnsi="Times New Roman" w:cs="Times New Roman"/>
            <w:color w:val="0000FF"/>
            <w:kern w:val="0"/>
            <w:sz w:val="24"/>
            <w:szCs w:val="24"/>
            <w:u w:val="single"/>
            <w:lang w:val="en-US"/>
          </w:rPr>
          <w:t>https://doi.org/10.1016/j.plantsci.2023.111950</w:t>
        </w:r>
      </w:hyperlink>
      <w:r w:rsidRPr="008C1CCA">
        <w:rPr>
          <w:rFonts w:ascii="Times New Roman" w:eastAsia="Times New Roman" w:hAnsi="Times New Roman" w:cs="Times New Roman"/>
          <w:kern w:val="0"/>
          <w:sz w:val="24"/>
          <w:szCs w:val="24"/>
          <w:lang w:val="en-US"/>
        </w:rPr>
        <w:t xml:space="preserve"> </w:t>
      </w:r>
    </w:p>
    <w:p w14:paraId="68F86825"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Kumar, V., Sharma, N., Saini, R., Mall, S., Zengin, G., Sourirajan, A., Khosla, P. K., Dev, K., &amp; El-Shazly, M. (2023). Therapeutic potential and industrial applications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bark. </w:t>
      </w:r>
      <w:r w:rsidRPr="008C1CCA">
        <w:rPr>
          <w:rFonts w:ascii="Times New Roman" w:eastAsia="Times New Roman" w:hAnsi="Times New Roman" w:cs="Times New Roman"/>
          <w:i/>
          <w:iCs/>
          <w:kern w:val="0"/>
          <w:sz w:val="24"/>
          <w:szCs w:val="24"/>
          <w:lang w:val="en-US"/>
        </w:rPr>
        <w:t>Journal of Ethnopharmacology, 310</w:t>
      </w:r>
      <w:r w:rsidRPr="008C1CCA">
        <w:rPr>
          <w:rFonts w:ascii="Times New Roman" w:eastAsia="Times New Roman" w:hAnsi="Times New Roman" w:cs="Times New Roman"/>
          <w:kern w:val="0"/>
          <w:sz w:val="24"/>
          <w:szCs w:val="24"/>
          <w:lang w:val="en-US"/>
        </w:rPr>
        <w:t xml:space="preserve">, Article 116352. </w:t>
      </w:r>
      <w:hyperlink r:id="rId27" w:tgtFrame="_new" w:history="1">
        <w:r w:rsidRPr="008C1CCA">
          <w:rPr>
            <w:rFonts w:ascii="Times New Roman" w:eastAsia="Times New Roman" w:hAnsi="Times New Roman" w:cs="Times New Roman"/>
            <w:color w:val="0000FF"/>
            <w:kern w:val="0"/>
            <w:sz w:val="24"/>
            <w:szCs w:val="24"/>
            <w:u w:val="single"/>
            <w:lang w:val="en-US"/>
          </w:rPr>
          <w:t>https://doi.org/10.1016/j.jep.2023.116352</w:t>
        </w:r>
      </w:hyperlink>
      <w:r w:rsidRPr="008C1CCA">
        <w:rPr>
          <w:rFonts w:ascii="Times New Roman" w:eastAsia="Times New Roman" w:hAnsi="Times New Roman" w:cs="Times New Roman"/>
          <w:kern w:val="0"/>
          <w:sz w:val="24"/>
          <w:szCs w:val="24"/>
          <w:lang w:val="en-US"/>
        </w:rPr>
        <w:t xml:space="preserve"> </w:t>
      </w:r>
    </w:p>
    <w:p w14:paraId="1CC047A8"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Maulik, S. K., &amp; Talwar, K. K. (2012). Therapeutic potential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in cardiovascular disorders. </w:t>
      </w:r>
      <w:r w:rsidRPr="008C1CCA">
        <w:rPr>
          <w:rFonts w:ascii="Times New Roman" w:eastAsia="Times New Roman" w:hAnsi="Times New Roman" w:cs="Times New Roman"/>
          <w:i/>
          <w:iCs/>
          <w:kern w:val="0"/>
          <w:sz w:val="24"/>
          <w:szCs w:val="24"/>
          <w:lang w:val="en-US"/>
        </w:rPr>
        <w:t>American Journal of Cardiovascular Drugs, 12</w:t>
      </w:r>
      <w:r w:rsidRPr="008C1CCA">
        <w:rPr>
          <w:rFonts w:ascii="Times New Roman" w:eastAsia="Times New Roman" w:hAnsi="Times New Roman" w:cs="Times New Roman"/>
          <w:kern w:val="0"/>
          <w:sz w:val="24"/>
          <w:szCs w:val="24"/>
          <w:lang w:val="en-US"/>
        </w:rPr>
        <w:t xml:space="preserve">(3), 157–163. </w:t>
      </w:r>
      <w:hyperlink r:id="rId28" w:tgtFrame="_new" w:history="1">
        <w:r w:rsidRPr="008C1CCA">
          <w:rPr>
            <w:rFonts w:ascii="Times New Roman" w:eastAsia="Times New Roman" w:hAnsi="Times New Roman" w:cs="Times New Roman"/>
            <w:color w:val="0000FF"/>
            <w:kern w:val="0"/>
            <w:sz w:val="24"/>
            <w:szCs w:val="24"/>
            <w:u w:val="single"/>
            <w:lang w:val="en-US"/>
          </w:rPr>
          <w:t>https://doi.org/10.2165/11598990-000000000-00000</w:t>
        </w:r>
      </w:hyperlink>
      <w:r w:rsidRPr="008C1CCA">
        <w:rPr>
          <w:rFonts w:ascii="Times New Roman" w:eastAsia="Times New Roman" w:hAnsi="Times New Roman" w:cs="Times New Roman"/>
          <w:kern w:val="0"/>
          <w:sz w:val="24"/>
          <w:szCs w:val="24"/>
          <w:lang w:val="en-US"/>
        </w:rPr>
        <w:t xml:space="preserve"> </w:t>
      </w:r>
    </w:p>
    <w:p w14:paraId="1789C74F"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lastRenderedPageBreak/>
        <w:t xml:space="preserve">Meena, D. K., Das, B. K., Sahoo, A. K., &amp; Satvik, K. (2025).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bark powder as a nutritive additive for enhancing fish health and environmental sustainability. </w:t>
      </w:r>
      <w:r w:rsidRPr="008C1CCA">
        <w:rPr>
          <w:rFonts w:ascii="Times New Roman" w:eastAsia="Times New Roman" w:hAnsi="Times New Roman" w:cs="Times New Roman"/>
          <w:i/>
          <w:iCs/>
          <w:kern w:val="0"/>
          <w:sz w:val="24"/>
          <w:szCs w:val="24"/>
          <w:lang w:val="en-US"/>
        </w:rPr>
        <w:t>Discover Food, 5</w:t>
      </w:r>
      <w:r w:rsidRPr="008C1CCA">
        <w:rPr>
          <w:rFonts w:ascii="Times New Roman" w:eastAsia="Times New Roman" w:hAnsi="Times New Roman" w:cs="Times New Roman"/>
          <w:kern w:val="0"/>
          <w:sz w:val="24"/>
          <w:szCs w:val="24"/>
          <w:lang w:val="en-US"/>
        </w:rPr>
        <w:t xml:space="preserve">, Article 61. </w:t>
      </w:r>
      <w:hyperlink r:id="rId29" w:tgtFrame="_new" w:history="1">
        <w:r w:rsidRPr="008C1CCA">
          <w:rPr>
            <w:rFonts w:ascii="Times New Roman" w:eastAsia="Times New Roman" w:hAnsi="Times New Roman" w:cs="Times New Roman"/>
            <w:color w:val="0000FF"/>
            <w:kern w:val="0"/>
            <w:sz w:val="24"/>
            <w:szCs w:val="24"/>
            <w:u w:val="single"/>
            <w:lang w:val="en-US"/>
          </w:rPr>
          <w:t>https://doi.org/10.1007/s44187-025-00329-2</w:t>
        </w:r>
      </w:hyperlink>
      <w:r w:rsidRPr="008C1CCA">
        <w:rPr>
          <w:rFonts w:ascii="Times New Roman" w:eastAsia="Times New Roman" w:hAnsi="Times New Roman" w:cs="Times New Roman"/>
          <w:kern w:val="0"/>
          <w:sz w:val="24"/>
          <w:szCs w:val="24"/>
          <w:lang w:val="en-US"/>
        </w:rPr>
        <w:t xml:space="preserve"> </w:t>
      </w:r>
    </w:p>
    <w:p w14:paraId="1BAFDBEC"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Orwa, C., Mutua, A., Kindt, R., Jamnadass, R., &amp; Simons, A. (2009).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In </w:t>
      </w:r>
      <w:r w:rsidRPr="008C1CCA">
        <w:rPr>
          <w:rFonts w:ascii="Times New Roman" w:eastAsia="Times New Roman" w:hAnsi="Times New Roman" w:cs="Times New Roman"/>
          <w:i/>
          <w:iCs/>
          <w:kern w:val="0"/>
          <w:sz w:val="24"/>
          <w:szCs w:val="24"/>
          <w:lang w:val="en-US"/>
        </w:rPr>
        <w:t>Agroforestree database: A tree reference and selection guide</w:t>
      </w:r>
      <w:r w:rsidRPr="008C1CCA">
        <w:rPr>
          <w:rFonts w:ascii="Times New Roman" w:eastAsia="Times New Roman" w:hAnsi="Times New Roman" w:cs="Times New Roman"/>
          <w:kern w:val="0"/>
          <w:sz w:val="24"/>
          <w:szCs w:val="24"/>
          <w:lang w:val="en-US"/>
        </w:rPr>
        <w:t xml:space="preserve"> (Version 4.0). World Agroforestry Centre. </w:t>
      </w:r>
      <w:hyperlink r:id="rId30" w:tgtFrame="_new" w:history="1">
        <w:r w:rsidRPr="008C1CCA">
          <w:rPr>
            <w:rFonts w:ascii="Times New Roman" w:eastAsia="Times New Roman" w:hAnsi="Times New Roman" w:cs="Times New Roman"/>
            <w:color w:val="0000FF"/>
            <w:kern w:val="0"/>
            <w:sz w:val="24"/>
            <w:szCs w:val="24"/>
            <w:u w:val="single"/>
            <w:lang w:val="en-US"/>
          </w:rPr>
          <w:t>https://apps.worldagroforestry.org/treedb2/speciesprofile.php?Spid=18136</w:t>
        </w:r>
      </w:hyperlink>
      <w:r w:rsidRPr="008C1CCA">
        <w:rPr>
          <w:rFonts w:ascii="Times New Roman" w:eastAsia="Times New Roman" w:hAnsi="Times New Roman" w:cs="Times New Roman"/>
          <w:kern w:val="0"/>
          <w:sz w:val="24"/>
          <w:szCs w:val="24"/>
          <w:lang w:val="en-US"/>
        </w:rPr>
        <w:t xml:space="preserve"> </w:t>
      </w:r>
    </w:p>
    <w:p w14:paraId="4494A561"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Pandey, A. K., &amp; Kori, D. C. (2011). </w:t>
      </w:r>
      <w:r w:rsidRPr="008C1CCA">
        <w:rPr>
          <w:rFonts w:ascii="Times New Roman" w:eastAsia="Times New Roman" w:hAnsi="Times New Roman" w:cs="Times New Roman"/>
          <w:kern w:val="0"/>
          <w:sz w:val="24"/>
          <w:szCs w:val="24"/>
          <w:lang w:val="en-US"/>
        </w:rPr>
        <w:t xml:space="preserve">Non-destructive harvesting practices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(Arjuna), </w:t>
      </w:r>
      <w:r w:rsidRPr="008C1CCA">
        <w:rPr>
          <w:rFonts w:ascii="Times New Roman" w:eastAsia="Times New Roman" w:hAnsi="Times New Roman" w:cs="Times New Roman"/>
          <w:i/>
          <w:iCs/>
          <w:kern w:val="0"/>
          <w:sz w:val="24"/>
          <w:szCs w:val="24"/>
          <w:lang w:val="en-US"/>
        </w:rPr>
        <w:t>Phyllanthus emblica</w:t>
      </w:r>
      <w:r w:rsidRPr="008C1CCA">
        <w:rPr>
          <w:rFonts w:ascii="Times New Roman" w:eastAsia="Times New Roman" w:hAnsi="Times New Roman" w:cs="Times New Roman"/>
          <w:kern w:val="0"/>
          <w:sz w:val="24"/>
          <w:szCs w:val="24"/>
          <w:lang w:val="en-US"/>
        </w:rPr>
        <w:t xml:space="preserve"> (Aonla), and </w:t>
      </w:r>
      <w:r w:rsidRPr="008C1CCA">
        <w:rPr>
          <w:rFonts w:ascii="Times New Roman" w:eastAsia="Times New Roman" w:hAnsi="Times New Roman" w:cs="Times New Roman"/>
          <w:i/>
          <w:iCs/>
          <w:kern w:val="0"/>
          <w:sz w:val="24"/>
          <w:szCs w:val="24"/>
          <w:lang w:val="en-US"/>
        </w:rPr>
        <w:t>Andrographis paniculata</w:t>
      </w:r>
      <w:r w:rsidRPr="008C1CCA">
        <w:rPr>
          <w:rFonts w:ascii="Times New Roman" w:eastAsia="Times New Roman" w:hAnsi="Times New Roman" w:cs="Times New Roman"/>
          <w:kern w:val="0"/>
          <w:sz w:val="24"/>
          <w:szCs w:val="24"/>
          <w:lang w:val="en-US"/>
        </w:rPr>
        <w:t xml:space="preserve"> (Kalmegh). </w:t>
      </w:r>
      <w:r w:rsidRPr="008C1CCA">
        <w:rPr>
          <w:rFonts w:ascii="Times New Roman" w:eastAsia="Times New Roman" w:hAnsi="Times New Roman" w:cs="Times New Roman"/>
          <w:i/>
          <w:iCs/>
          <w:kern w:val="0"/>
          <w:sz w:val="24"/>
          <w:szCs w:val="24"/>
          <w:lang w:val="en-US"/>
        </w:rPr>
        <w:t>Indian Forester, 137</w:t>
      </w:r>
      <w:r w:rsidRPr="008C1CCA">
        <w:rPr>
          <w:rFonts w:ascii="Times New Roman" w:eastAsia="Times New Roman" w:hAnsi="Times New Roman" w:cs="Times New Roman"/>
          <w:kern w:val="0"/>
          <w:sz w:val="24"/>
          <w:szCs w:val="24"/>
          <w:lang w:val="en-US"/>
        </w:rPr>
        <w:t xml:space="preserve">(11), 1269–1279. https://doi.org/10.36808/if/2011/v137i11/12845 </w:t>
      </w:r>
    </w:p>
    <w:p w14:paraId="1599605E"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Peixoto, O. C. M. O., Carvalho, M. S., Sousa Júnior, J. R., &amp; Monteiro, J. M. (2024). Wound response of the bark of two semiarid medicinal tree species: Implications for conservation. </w:t>
      </w:r>
      <w:r w:rsidRPr="008C1CCA">
        <w:rPr>
          <w:rFonts w:ascii="Times New Roman" w:eastAsia="Times New Roman" w:hAnsi="Times New Roman" w:cs="Times New Roman"/>
          <w:i/>
          <w:iCs/>
          <w:kern w:val="0"/>
          <w:sz w:val="24"/>
          <w:szCs w:val="24"/>
          <w:lang w:val="en-US"/>
        </w:rPr>
        <w:t>Environment, Development and Sustainability</w:t>
      </w:r>
      <w:r w:rsidRPr="008C1CCA">
        <w:rPr>
          <w:rFonts w:ascii="Times New Roman" w:eastAsia="Times New Roman" w:hAnsi="Times New Roman" w:cs="Times New Roman"/>
          <w:kern w:val="0"/>
          <w:sz w:val="24"/>
          <w:szCs w:val="24"/>
          <w:lang w:val="en-US"/>
        </w:rPr>
        <w:t xml:space="preserve">. Advance online publication. </w:t>
      </w:r>
      <w:hyperlink r:id="rId31" w:tgtFrame="_new" w:history="1">
        <w:r w:rsidRPr="008C1CCA">
          <w:rPr>
            <w:rFonts w:ascii="Times New Roman" w:eastAsia="Times New Roman" w:hAnsi="Times New Roman" w:cs="Times New Roman"/>
            <w:color w:val="0000FF"/>
            <w:kern w:val="0"/>
            <w:sz w:val="24"/>
            <w:szCs w:val="24"/>
            <w:u w:val="single"/>
            <w:lang w:val="en-US"/>
          </w:rPr>
          <w:t>https://doi.org/10.1007/s10668-024-05756-2</w:t>
        </w:r>
      </w:hyperlink>
      <w:r w:rsidRPr="008C1CCA">
        <w:rPr>
          <w:rFonts w:ascii="Times New Roman" w:eastAsia="Times New Roman" w:hAnsi="Times New Roman" w:cs="Times New Roman"/>
          <w:kern w:val="0"/>
          <w:sz w:val="24"/>
          <w:szCs w:val="24"/>
          <w:lang w:val="en-US"/>
        </w:rPr>
        <w:t xml:space="preserve"> </w:t>
      </w:r>
    </w:p>
    <w:p w14:paraId="3812BFBB"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Rajaram, V., Namasivayam, A., Shanmugam, R., Mahendra, J., Sudhakar, U., Munusamy, T., &amp; Subbiah, U. (2024).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An overview of its magical properties. </w:t>
      </w:r>
      <w:r w:rsidRPr="008C1CCA">
        <w:rPr>
          <w:rFonts w:ascii="Times New Roman" w:eastAsia="Times New Roman" w:hAnsi="Times New Roman" w:cs="Times New Roman"/>
          <w:i/>
          <w:iCs/>
          <w:kern w:val="0"/>
          <w:sz w:val="24"/>
          <w:szCs w:val="24"/>
          <w:lang w:val="en-US"/>
        </w:rPr>
        <w:t>Bioinformation, 20</w:t>
      </w:r>
      <w:r w:rsidRPr="008C1CCA">
        <w:rPr>
          <w:rFonts w:ascii="Times New Roman" w:eastAsia="Times New Roman" w:hAnsi="Times New Roman" w:cs="Times New Roman"/>
          <w:kern w:val="0"/>
          <w:sz w:val="24"/>
          <w:szCs w:val="24"/>
          <w:lang w:val="en-US"/>
        </w:rPr>
        <w:t xml:space="preserve">(12), 2080–2085. </w:t>
      </w:r>
      <w:hyperlink r:id="rId32" w:tgtFrame="_new" w:history="1">
        <w:r w:rsidRPr="008C1CCA">
          <w:rPr>
            <w:rFonts w:ascii="Times New Roman" w:eastAsia="Times New Roman" w:hAnsi="Times New Roman" w:cs="Times New Roman"/>
            <w:color w:val="0000FF"/>
            <w:kern w:val="0"/>
            <w:sz w:val="24"/>
            <w:szCs w:val="24"/>
            <w:u w:val="single"/>
            <w:lang w:val="en-US"/>
          </w:rPr>
          <w:t>https://doi.org/10.6026/9732063002002080</w:t>
        </w:r>
      </w:hyperlink>
      <w:r w:rsidRPr="008C1CCA">
        <w:rPr>
          <w:rFonts w:ascii="Times New Roman" w:eastAsia="Times New Roman" w:hAnsi="Times New Roman" w:cs="Times New Roman"/>
          <w:kern w:val="0"/>
          <w:sz w:val="24"/>
          <w:szCs w:val="24"/>
          <w:lang w:val="en-US"/>
        </w:rPr>
        <w:t xml:space="preserve"> </w:t>
      </w:r>
    </w:p>
    <w:p w14:paraId="42522AA5"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Ramesh, P., &amp; Palaniappan, A. (2023).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a cardioprotective herbal medicine—Relevancy in the modern era of pharmaceuticals and green nanomedicine—A review. </w:t>
      </w:r>
      <w:r w:rsidRPr="008C1CCA">
        <w:rPr>
          <w:rFonts w:ascii="Times New Roman" w:eastAsia="Times New Roman" w:hAnsi="Times New Roman" w:cs="Times New Roman"/>
          <w:i/>
          <w:iCs/>
          <w:kern w:val="0"/>
          <w:sz w:val="24"/>
          <w:szCs w:val="24"/>
          <w:lang w:val="en-US"/>
        </w:rPr>
        <w:t>Pharmaceuticals, 16</w:t>
      </w:r>
      <w:r w:rsidRPr="008C1CCA">
        <w:rPr>
          <w:rFonts w:ascii="Times New Roman" w:eastAsia="Times New Roman" w:hAnsi="Times New Roman" w:cs="Times New Roman"/>
          <w:kern w:val="0"/>
          <w:sz w:val="24"/>
          <w:szCs w:val="24"/>
          <w:lang w:val="en-US"/>
        </w:rPr>
        <w:t xml:space="preserve">(1), Article 126. </w:t>
      </w:r>
      <w:hyperlink r:id="rId33" w:tgtFrame="_new" w:history="1">
        <w:r w:rsidRPr="008C1CCA">
          <w:rPr>
            <w:rFonts w:ascii="Times New Roman" w:eastAsia="Times New Roman" w:hAnsi="Times New Roman" w:cs="Times New Roman"/>
            <w:color w:val="0000FF"/>
            <w:kern w:val="0"/>
            <w:sz w:val="24"/>
            <w:szCs w:val="24"/>
            <w:u w:val="single"/>
            <w:lang w:val="en-US"/>
          </w:rPr>
          <w:t>https://doi.org/10.3390/ph16010126</w:t>
        </w:r>
      </w:hyperlink>
      <w:r w:rsidRPr="008C1CCA">
        <w:rPr>
          <w:rFonts w:ascii="Times New Roman" w:eastAsia="Times New Roman" w:hAnsi="Times New Roman" w:cs="Times New Roman"/>
          <w:kern w:val="0"/>
          <w:sz w:val="24"/>
          <w:szCs w:val="24"/>
          <w:lang w:val="en-US"/>
        </w:rPr>
        <w:t xml:space="preserve"> </w:t>
      </w:r>
    </w:p>
    <w:p w14:paraId="653AE13E"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Singh, H., Ambwani, S., &amp; Ambwani, T. K. (2025). Evaluation of in vitro antioxidant potential of hydromethanolic bark extract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(Roxb. ex DC.) Wight &amp; Arn. bark extract. </w:t>
      </w:r>
      <w:r w:rsidRPr="008C1CCA">
        <w:rPr>
          <w:rFonts w:ascii="Times New Roman" w:eastAsia="Times New Roman" w:hAnsi="Times New Roman" w:cs="Times New Roman"/>
          <w:i/>
          <w:iCs/>
          <w:kern w:val="0"/>
          <w:sz w:val="24"/>
          <w:szCs w:val="24"/>
          <w:lang w:val="en-US"/>
        </w:rPr>
        <w:t>Journal of Advances in Biology &amp; Biotechnology, 28</w:t>
      </w:r>
      <w:r w:rsidRPr="008C1CCA">
        <w:rPr>
          <w:rFonts w:ascii="Times New Roman" w:eastAsia="Times New Roman" w:hAnsi="Times New Roman" w:cs="Times New Roman"/>
          <w:kern w:val="0"/>
          <w:sz w:val="24"/>
          <w:szCs w:val="24"/>
          <w:lang w:val="en-US"/>
        </w:rPr>
        <w:t xml:space="preserve">(2), 565–574. </w:t>
      </w:r>
      <w:hyperlink r:id="rId34" w:tgtFrame="_new" w:history="1">
        <w:r w:rsidRPr="008C1CCA">
          <w:rPr>
            <w:rFonts w:ascii="Times New Roman" w:eastAsia="Times New Roman" w:hAnsi="Times New Roman" w:cs="Times New Roman"/>
            <w:color w:val="0000FF"/>
            <w:kern w:val="0"/>
            <w:sz w:val="24"/>
            <w:szCs w:val="24"/>
            <w:u w:val="single"/>
            <w:lang w:val="en-US"/>
          </w:rPr>
          <w:t>https://doi.org/10.9734/jabb/2025/v28i22016</w:t>
        </w:r>
      </w:hyperlink>
      <w:r w:rsidRPr="008C1CCA">
        <w:rPr>
          <w:rFonts w:ascii="Times New Roman" w:eastAsia="Times New Roman" w:hAnsi="Times New Roman" w:cs="Times New Roman"/>
          <w:kern w:val="0"/>
          <w:sz w:val="24"/>
          <w:szCs w:val="24"/>
          <w:lang w:val="en-US"/>
        </w:rPr>
        <w:t xml:space="preserve"> </w:t>
      </w:r>
    </w:p>
    <w:p w14:paraId="1EDFF78B"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Sinha, S. K., Gunaga, R. P., Hegde, H. T., Sondarva, R. L., &amp; Bhusara, J. B. (2022). Anatomical response of regenerated bark in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(Roxb.) Wight &amp; Arn. </w:t>
      </w:r>
      <w:r w:rsidRPr="008C1CCA">
        <w:rPr>
          <w:rFonts w:ascii="Times New Roman" w:eastAsia="Times New Roman" w:hAnsi="Times New Roman" w:cs="Times New Roman"/>
          <w:i/>
          <w:iCs/>
          <w:kern w:val="0"/>
          <w:sz w:val="24"/>
          <w:szCs w:val="24"/>
          <w:lang w:val="en-US"/>
        </w:rPr>
        <w:t>Indian Journal of Ecology, 49</w:t>
      </w:r>
      <w:r w:rsidRPr="008C1CCA">
        <w:rPr>
          <w:rFonts w:ascii="Times New Roman" w:eastAsia="Times New Roman" w:hAnsi="Times New Roman" w:cs="Times New Roman"/>
          <w:kern w:val="0"/>
          <w:sz w:val="24"/>
          <w:szCs w:val="24"/>
          <w:lang w:val="en-US"/>
        </w:rPr>
        <w:t xml:space="preserve">(1), 42–45. https://doi.org/10.55362/IJE/2022/3474 </w:t>
      </w:r>
    </w:p>
    <w:p w14:paraId="1128582E"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Stobbe, H., Schmitt, U., Eckstein, D., &amp; Dujesiefken, D. (2002). </w:t>
      </w:r>
      <w:r w:rsidRPr="008C1CCA">
        <w:rPr>
          <w:rFonts w:ascii="Times New Roman" w:eastAsia="Times New Roman" w:hAnsi="Times New Roman" w:cs="Times New Roman"/>
          <w:kern w:val="0"/>
          <w:sz w:val="24"/>
          <w:szCs w:val="24"/>
          <w:lang w:val="en-US"/>
        </w:rPr>
        <w:t>Developmental stages and fine structure of surface callus formed after debarking of living lime trees (</w:t>
      </w:r>
      <w:r w:rsidRPr="008C1CCA">
        <w:rPr>
          <w:rFonts w:ascii="Times New Roman" w:eastAsia="Times New Roman" w:hAnsi="Times New Roman" w:cs="Times New Roman"/>
          <w:i/>
          <w:iCs/>
          <w:kern w:val="0"/>
          <w:sz w:val="24"/>
          <w:szCs w:val="24"/>
          <w:lang w:val="en-US"/>
        </w:rPr>
        <w:t>Tilia</w:t>
      </w:r>
      <w:r w:rsidRPr="008C1CCA">
        <w:rPr>
          <w:rFonts w:ascii="Times New Roman" w:eastAsia="Times New Roman" w:hAnsi="Times New Roman" w:cs="Times New Roman"/>
          <w:kern w:val="0"/>
          <w:sz w:val="24"/>
          <w:szCs w:val="24"/>
          <w:lang w:val="en-US"/>
        </w:rPr>
        <w:t xml:space="preserve"> sp.). </w:t>
      </w:r>
      <w:r w:rsidRPr="008C1CCA">
        <w:rPr>
          <w:rFonts w:ascii="Times New Roman" w:eastAsia="Times New Roman" w:hAnsi="Times New Roman" w:cs="Times New Roman"/>
          <w:i/>
          <w:iCs/>
          <w:kern w:val="0"/>
          <w:sz w:val="24"/>
          <w:szCs w:val="24"/>
          <w:lang w:val="en-US"/>
        </w:rPr>
        <w:t>Annals of Botany, 89</w:t>
      </w:r>
      <w:r w:rsidRPr="008C1CCA">
        <w:rPr>
          <w:rFonts w:ascii="Times New Roman" w:eastAsia="Times New Roman" w:hAnsi="Times New Roman" w:cs="Times New Roman"/>
          <w:kern w:val="0"/>
          <w:sz w:val="24"/>
          <w:szCs w:val="24"/>
          <w:lang w:val="en-US"/>
        </w:rPr>
        <w:t xml:space="preserve">(6), 773–782. </w:t>
      </w:r>
      <w:hyperlink r:id="rId35" w:tgtFrame="_new" w:history="1">
        <w:r w:rsidRPr="008C1CCA">
          <w:rPr>
            <w:rFonts w:ascii="Times New Roman" w:eastAsia="Times New Roman" w:hAnsi="Times New Roman" w:cs="Times New Roman"/>
            <w:color w:val="0000FF"/>
            <w:kern w:val="0"/>
            <w:sz w:val="24"/>
            <w:szCs w:val="24"/>
            <w:u w:val="single"/>
            <w:lang w:val="en-US"/>
          </w:rPr>
          <w:t>https://doi.org/10.1093/aob/mcf137</w:t>
        </w:r>
      </w:hyperlink>
      <w:r w:rsidRPr="008C1CCA">
        <w:rPr>
          <w:rFonts w:ascii="Times New Roman" w:eastAsia="Times New Roman" w:hAnsi="Times New Roman" w:cs="Times New Roman"/>
          <w:kern w:val="0"/>
          <w:sz w:val="24"/>
          <w:szCs w:val="24"/>
          <w:lang w:val="en-US"/>
        </w:rPr>
        <w:t xml:space="preserve"> </w:t>
      </w:r>
    </w:p>
    <w:p w14:paraId="53CB9787"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nl-BE"/>
        </w:rPr>
        <w:t xml:space="preserve">Tulsi, J. R., &amp; Vidhu, A. (2022). </w:t>
      </w:r>
      <w:r w:rsidRPr="008C1CCA">
        <w:rPr>
          <w:rFonts w:ascii="Times New Roman" w:eastAsia="Times New Roman" w:hAnsi="Times New Roman" w:cs="Times New Roman"/>
          <w:kern w:val="0"/>
          <w:sz w:val="24"/>
          <w:szCs w:val="24"/>
          <w:lang w:val="en-US"/>
        </w:rPr>
        <w:t xml:space="preserve">Marker-based standardization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bark for the detection of probable adulterants by quantitative high-performance thin-layer chromatography. </w:t>
      </w:r>
      <w:r w:rsidRPr="008C1CCA">
        <w:rPr>
          <w:rFonts w:ascii="Times New Roman" w:eastAsia="Times New Roman" w:hAnsi="Times New Roman" w:cs="Times New Roman"/>
          <w:i/>
          <w:iCs/>
          <w:kern w:val="0"/>
          <w:sz w:val="24"/>
          <w:szCs w:val="24"/>
          <w:lang w:val="en-US"/>
        </w:rPr>
        <w:t>JPC – Journal of Planar Chromatography – Modern TLC, 35</w:t>
      </w:r>
      <w:r w:rsidRPr="008C1CCA">
        <w:rPr>
          <w:rFonts w:ascii="Times New Roman" w:eastAsia="Times New Roman" w:hAnsi="Times New Roman" w:cs="Times New Roman"/>
          <w:kern w:val="0"/>
          <w:sz w:val="24"/>
          <w:szCs w:val="24"/>
          <w:lang w:val="en-US"/>
        </w:rPr>
        <w:t xml:space="preserve">(2), 169–179. </w:t>
      </w:r>
      <w:hyperlink r:id="rId36" w:tgtFrame="_new" w:history="1">
        <w:r w:rsidRPr="008C1CCA">
          <w:rPr>
            <w:rFonts w:ascii="Times New Roman" w:eastAsia="Times New Roman" w:hAnsi="Times New Roman" w:cs="Times New Roman"/>
            <w:color w:val="0000FF"/>
            <w:kern w:val="0"/>
            <w:sz w:val="24"/>
            <w:szCs w:val="24"/>
            <w:u w:val="single"/>
            <w:lang w:val="en-US"/>
          </w:rPr>
          <w:t>https://doi.org/10.1007/s00764-022-00177-1</w:t>
        </w:r>
      </w:hyperlink>
      <w:r w:rsidRPr="008C1CCA">
        <w:rPr>
          <w:rFonts w:ascii="Times New Roman" w:eastAsia="Times New Roman" w:hAnsi="Times New Roman" w:cs="Times New Roman"/>
          <w:kern w:val="0"/>
          <w:sz w:val="24"/>
          <w:szCs w:val="24"/>
          <w:lang w:val="en-US"/>
        </w:rPr>
        <w:t xml:space="preserve"> </w:t>
      </w:r>
    </w:p>
    <w:p w14:paraId="4481066F"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Ved, D. K., &amp; Goraya, G. S. (2008). </w:t>
      </w:r>
      <w:r w:rsidRPr="008C1CCA">
        <w:rPr>
          <w:rFonts w:ascii="Times New Roman" w:eastAsia="Times New Roman" w:hAnsi="Times New Roman" w:cs="Times New Roman"/>
          <w:i/>
          <w:iCs/>
          <w:kern w:val="0"/>
          <w:sz w:val="24"/>
          <w:szCs w:val="24"/>
          <w:lang w:val="en-US"/>
        </w:rPr>
        <w:t>Demand and supply of medicinal plants in India</w:t>
      </w:r>
      <w:r w:rsidRPr="008C1CCA">
        <w:rPr>
          <w:rFonts w:ascii="Times New Roman" w:eastAsia="Times New Roman" w:hAnsi="Times New Roman" w:cs="Times New Roman"/>
          <w:kern w:val="0"/>
          <w:sz w:val="24"/>
          <w:szCs w:val="24"/>
          <w:lang w:val="en-US"/>
        </w:rPr>
        <w:t xml:space="preserve">. Bishen Singh Mahendra Pal Singh &amp; Foundation for Revitalisation of Local Health Traditions. </w:t>
      </w:r>
      <w:hyperlink r:id="rId37" w:tgtFrame="_new" w:history="1">
        <w:r w:rsidRPr="008C1CCA">
          <w:rPr>
            <w:rFonts w:ascii="Times New Roman" w:eastAsia="Times New Roman" w:hAnsi="Times New Roman" w:cs="Times New Roman"/>
            <w:color w:val="0000FF"/>
            <w:kern w:val="0"/>
            <w:sz w:val="24"/>
            <w:szCs w:val="24"/>
            <w:u w:val="single"/>
            <w:lang w:val="en-US"/>
          </w:rPr>
          <w:t>https://agris.fao.org/search/en/providers/122535/records/65ddd23063b8185d9ca4d58b</w:t>
        </w:r>
      </w:hyperlink>
      <w:r w:rsidRPr="008C1CCA">
        <w:rPr>
          <w:rFonts w:ascii="Times New Roman" w:eastAsia="Times New Roman" w:hAnsi="Times New Roman" w:cs="Times New Roman"/>
          <w:kern w:val="0"/>
          <w:sz w:val="24"/>
          <w:szCs w:val="24"/>
          <w:lang w:val="en-US"/>
        </w:rPr>
        <w:t xml:space="preserve"> </w:t>
      </w:r>
    </w:p>
    <w:p w14:paraId="5C934068" w14:textId="1FA6D6AF"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Vijaya, T., Asha Krishna, V., &amp; Sujathamma, P. (2015). Medicinal uses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Roxb.: A review. </w:t>
      </w:r>
      <w:r w:rsidRPr="008C1CCA">
        <w:rPr>
          <w:rFonts w:ascii="Times New Roman" w:eastAsia="Times New Roman" w:hAnsi="Times New Roman" w:cs="Times New Roman"/>
          <w:i/>
          <w:iCs/>
          <w:kern w:val="0"/>
          <w:sz w:val="24"/>
          <w:szCs w:val="24"/>
          <w:lang w:val="en-US"/>
        </w:rPr>
        <w:t>HortFlora Research Spectrum, 4</w:t>
      </w:r>
      <w:r w:rsidRPr="008C1CCA">
        <w:rPr>
          <w:rFonts w:ascii="Times New Roman" w:eastAsia="Times New Roman" w:hAnsi="Times New Roman" w:cs="Times New Roman"/>
          <w:kern w:val="0"/>
          <w:sz w:val="24"/>
          <w:szCs w:val="24"/>
          <w:lang w:val="en-US"/>
        </w:rPr>
        <w:t xml:space="preserve">(2), 176–178. </w:t>
      </w:r>
    </w:p>
    <w:p w14:paraId="181AC80D"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lastRenderedPageBreak/>
        <w:t xml:space="preserve">Wadekar, P. P., &amp; Salunkhe, V. R. (2024). Formulation and evaluation of nanobiotherapeutics of </w:t>
      </w:r>
      <w:r w:rsidRPr="008C1CCA">
        <w:rPr>
          <w:rFonts w:ascii="Times New Roman" w:eastAsia="Times New Roman" w:hAnsi="Times New Roman" w:cs="Times New Roman"/>
          <w:i/>
          <w:iCs/>
          <w:kern w:val="0"/>
          <w:sz w:val="24"/>
          <w:szCs w:val="24"/>
          <w:lang w:val="en-US"/>
        </w:rPr>
        <w:t>Terminalia arjuna</w:t>
      </w:r>
      <w:r w:rsidRPr="008C1CCA">
        <w:rPr>
          <w:rFonts w:ascii="Times New Roman" w:eastAsia="Times New Roman" w:hAnsi="Times New Roman" w:cs="Times New Roman"/>
          <w:kern w:val="0"/>
          <w:sz w:val="24"/>
          <w:szCs w:val="24"/>
          <w:lang w:val="en-US"/>
        </w:rPr>
        <w:t xml:space="preserve"> through plant tissue culture for atherosclerosis. </w:t>
      </w:r>
      <w:r w:rsidRPr="008C1CCA">
        <w:rPr>
          <w:rFonts w:ascii="Times New Roman" w:eastAsia="Times New Roman" w:hAnsi="Times New Roman" w:cs="Times New Roman"/>
          <w:i/>
          <w:iCs/>
          <w:kern w:val="0"/>
          <w:sz w:val="24"/>
          <w:szCs w:val="24"/>
          <w:lang w:val="en-US"/>
        </w:rPr>
        <w:t>Future Journal of Pharmaceutical Sciences, 10</w:t>
      </w:r>
      <w:r w:rsidRPr="008C1CCA">
        <w:rPr>
          <w:rFonts w:ascii="Times New Roman" w:eastAsia="Times New Roman" w:hAnsi="Times New Roman" w:cs="Times New Roman"/>
          <w:kern w:val="0"/>
          <w:sz w:val="24"/>
          <w:szCs w:val="24"/>
          <w:lang w:val="en-US"/>
        </w:rPr>
        <w:t xml:space="preserve">, Article 42. </w:t>
      </w:r>
      <w:hyperlink r:id="rId38" w:tgtFrame="_new" w:history="1">
        <w:r w:rsidRPr="008C1CCA">
          <w:rPr>
            <w:rFonts w:ascii="Times New Roman" w:eastAsia="Times New Roman" w:hAnsi="Times New Roman" w:cs="Times New Roman"/>
            <w:color w:val="0000FF"/>
            <w:kern w:val="0"/>
            <w:sz w:val="24"/>
            <w:szCs w:val="24"/>
            <w:u w:val="single"/>
            <w:lang w:val="en-US"/>
          </w:rPr>
          <w:t>https://doi.org/10.1186/s43094-024-00613-5</w:t>
        </w:r>
      </w:hyperlink>
      <w:r w:rsidRPr="008C1CCA">
        <w:rPr>
          <w:rFonts w:ascii="Times New Roman" w:eastAsia="Times New Roman" w:hAnsi="Times New Roman" w:cs="Times New Roman"/>
          <w:kern w:val="0"/>
          <w:sz w:val="24"/>
          <w:szCs w:val="24"/>
          <w:lang w:val="en-US"/>
        </w:rPr>
        <w:t xml:space="preserve"> </w:t>
      </w:r>
    </w:p>
    <w:p w14:paraId="56794E46"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Warrier, P. K., Nambiar, V. P. K., &amp; Ramankutty, C. (Eds.). (1996). </w:t>
      </w:r>
      <w:r w:rsidRPr="008C1CCA">
        <w:rPr>
          <w:rFonts w:ascii="Times New Roman" w:eastAsia="Times New Roman" w:hAnsi="Times New Roman" w:cs="Times New Roman"/>
          <w:i/>
          <w:iCs/>
          <w:kern w:val="0"/>
          <w:sz w:val="24"/>
          <w:szCs w:val="24"/>
          <w:lang w:val="en-US"/>
        </w:rPr>
        <w:t>Indian medicinal plants: A compendium of 500 species</w:t>
      </w:r>
      <w:r w:rsidRPr="008C1CCA">
        <w:rPr>
          <w:rFonts w:ascii="Times New Roman" w:eastAsia="Times New Roman" w:hAnsi="Times New Roman" w:cs="Times New Roman"/>
          <w:kern w:val="0"/>
          <w:sz w:val="24"/>
          <w:szCs w:val="24"/>
          <w:lang w:val="en-US"/>
        </w:rPr>
        <w:t xml:space="preserve"> (Vol. 5, pp. 253–257). Orient Longman. </w:t>
      </w:r>
      <w:hyperlink r:id="rId39" w:tgtFrame="_new" w:history="1">
        <w:r w:rsidRPr="008C1CCA">
          <w:rPr>
            <w:rFonts w:ascii="Times New Roman" w:eastAsia="Times New Roman" w:hAnsi="Times New Roman" w:cs="Times New Roman"/>
            <w:color w:val="0000FF"/>
            <w:kern w:val="0"/>
            <w:sz w:val="24"/>
            <w:szCs w:val="24"/>
            <w:u w:val="single"/>
            <w:lang w:val="en-US"/>
          </w:rPr>
          <w:t>https://agris.fao.org/search/en/providers/122535/records/65ddd407b766d82b18fa2049</w:t>
        </w:r>
      </w:hyperlink>
      <w:r w:rsidRPr="008C1CCA">
        <w:rPr>
          <w:rFonts w:ascii="Times New Roman" w:eastAsia="Times New Roman" w:hAnsi="Times New Roman" w:cs="Times New Roman"/>
          <w:kern w:val="0"/>
          <w:sz w:val="24"/>
          <w:szCs w:val="24"/>
          <w:lang w:val="en-US"/>
        </w:rPr>
        <w:t xml:space="preserve"> </w:t>
      </w:r>
    </w:p>
    <w:p w14:paraId="0F2203D0"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Wheeler, E. A., Baas, P., &amp; Gasson, P. E. (Eds.). (1989). IAWA list of microscopic features for hardwood identification with an appendix on non-anatomical information. </w:t>
      </w:r>
      <w:r w:rsidRPr="008C1CCA">
        <w:rPr>
          <w:rFonts w:ascii="Times New Roman" w:eastAsia="Times New Roman" w:hAnsi="Times New Roman" w:cs="Times New Roman"/>
          <w:i/>
          <w:iCs/>
          <w:kern w:val="0"/>
          <w:sz w:val="24"/>
          <w:szCs w:val="24"/>
          <w:lang w:val="en-US"/>
        </w:rPr>
        <w:t>IAWA Bulletin New Series, 10</w:t>
      </w:r>
      <w:r w:rsidRPr="008C1CCA">
        <w:rPr>
          <w:rFonts w:ascii="Times New Roman" w:eastAsia="Times New Roman" w:hAnsi="Times New Roman" w:cs="Times New Roman"/>
          <w:kern w:val="0"/>
          <w:sz w:val="24"/>
          <w:szCs w:val="24"/>
          <w:lang w:val="en-US"/>
        </w:rPr>
        <w:t xml:space="preserve">(3), 219–332. https://doi.org/10.1163/22941932-90000496 </w:t>
      </w:r>
    </w:p>
    <w:p w14:paraId="26F8EACD" w14:textId="77777777" w:rsidR="008C1CCA" w:rsidRPr="008C1CCA" w:rsidRDefault="008C1CCA" w:rsidP="008C1CCA">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rPr>
      </w:pPr>
      <w:r w:rsidRPr="008C1CCA">
        <w:rPr>
          <w:rFonts w:ascii="Times New Roman" w:eastAsia="Times New Roman" w:hAnsi="Times New Roman" w:cs="Times New Roman"/>
          <w:kern w:val="0"/>
          <w:sz w:val="24"/>
          <w:szCs w:val="24"/>
          <w:lang w:val="en-US"/>
        </w:rPr>
        <w:t xml:space="preserve">World Health Organization. (2002). </w:t>
      </w:r>
      <w:r w:rsidRPr="008C1CCA">
        <w:rPr>
          <w:rFonts w:ascii="Times New Roman" w:eastAsia="Times New Roman" w:hAnsi="Times New Roman" w:cs="Times New Roman"/>
          <w:i/>
          <w:iCs/>
          <w:kern w:val="0"/>
          <w:sz w:val="24"/>
          <w:szCs w:val="24"/>
          <w:lang w:val="en-US"/>
        </w:rPr>
        <w:t>WHO traditional medicine strategy 2002–2005</w:t>
      </w:r>
      <w:r w:rsidRPr="008C1CCA">
        <w:rPr>
          <w:rFonts w:ascii="Times New Roman" w:eastAsia="Times New Roman" w:hAnsi="Times New Roman" w:cs="Times New Roman"/>
          <w:kern w:val="0"/>
          <w:sz w:val="24"/>
          <w:szCs w:val="24"/>
          <w:lang w:val="en-US"/>
        </w:rPr>
        <w:t xml:space="preserve">. </w:t>
      </w:r>
      <w:hyperlink r:id="rId40" w:tgtFrame="_new" w:history="1">
        <w:r w:rsidRPr="008C1CCA">
          <w:rPr>
            <w:rFonts w:ascii="Times New Roman" w:eastAsia="Times New Roman" w:hAnsi="Times New Roman" w:cs="Times New Roman"/>
            <w:color w:val="0000FF"/>
            <w:kern w:val="0"/>
            <w:sz w:val="24"/>
            <w:szCs w:val="24"/>
            <w:u w:val="single"/>
            <w:lang w:val="en-US"/>
          </w:rPr>
          <w:t>https://www.who.int/publications/i/item/WHO-EDM-TRM-2002.1</w:t>
        </w:r>
      </w:hyperlink>
    </w:p>
    <w:p w14:paraId="0F648763" w14:textId="77777777" w:rsidR="007F237C" w:rsidRPr="008C1CCA" w:rsidRDefault="007F237C" w:rsidP="00FC1D07">
      <w:pPr>
        <w:spacing w:after="0" w:line="480" w:lineRule="auto"/>
        <w:jc w:val="both"/>
        <w:rPr>
          <w:rFonts w:ascii="Times New Roman" w:hAnsi="Times New Roman" w:cs="Times New Roman"/>
          <w:color w:val="000000" w:themeColor="text1"/>
          <w:sz w:val="24"/>
          <w:szCs w:val="24"/>
          <w:lang w:val="en-US"/>
        </w:rPr>
      </w:pPr>
    </w:p>
    <w:sectPr w:rsidR="007F237C" w:rsidRPr="008C1CCA" w:rsidSect="00513377">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6956" w14:textId="77777777" w:rsidR="00366C0C" w:rsidRDefault="00366C0C" w:rsidP="000E323B">
      <w:pPr>
        <w:spacing w:after="0" w:line="240" w:lineRule="auto"/>
      </w:pPr>
      <w:r>
        <w:separator/>
      </w:r>
    </w:p>
  </w:endnote>
  <w:endnote w:type="continuationSeparator" w:id="0">
    <w:p w14:paraId="624BAAC3" w14:textId="77777777" w:rsidR="00366C0C" w:rsidRDefault="00366C0C" w:rsidP="000E3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AD4F" w14:textId="77777777" w:rsidR="00D66558" w:rsidRDefault="00D6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010756"/>
      <w:docPartObj>
        <w:docPartGallery w:val="Page Numbers (Bottom of Page)"/>
        <w:docPartUnique/>
      </w:docPartObj>
    </w:sdtPr>
    <w:sdtEndPr>
      <w:rPr>
        <w:noProof/>
      </w:rPr>
    </w:sdtEndPr>
    <w:sdtContent>
      <w:p w14:paraId="0C97C765" w14:textId="77777777" w:rsidR="00792723" w:rsidRDefault="00792723">
        <w:pPr>
          <w:pStyle w:val="Footer"/>
          <w:jc w:val="right"/>
        </w:pPr>
        <w:r>
          <w:fldChar w:fldCharType="begin"/>
        </w:r>
        <w:r>
          <w:instrText xml:space="preserve"> PAGE   \* MERGEFORMAT </w:instrText>
        </w:r>
        <w:r>
          <w:fldChar w:fldCharType="separate"/>
        </w:r>
        <w:r w:rsidR="00F36337">
          <w:rPr>
            <w:noProof/>
          </w:rPr>
          <w:t>10</w:t>
        </w:r>
        <w:r>
          <w:rPr>
            <w:noProof/>
          </w:rPr>
          <w:fldChar w:fldCharType="end"/>
        </w:r>
      </w:p>
    </w:sdtContent>
  </w:sdt>
  <w:p w14:paraId="35C9266A" w14:textId="77777777" w:rsidR="00792723" w:rsidRDefault="00792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9F1A" w14:textId="77777777" w:rsidR="00D66558" w:rsidRDefault="00D6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4D4A" w14:textId="77777777" w:rsidR="00366C0C" w:rsidRDefault="00366C0C" w:rsidP="000E323B">
      <w:pPr>
        <w:spacing w:after="0" w:line="240" w:lineRule="auto"/>
      </w:pPr>
      <w:r>
        <w:separator/>
      </w:r>
    </w:p>
  </w:footnote>
  <w:footnote w:type="continuationSeparator" w:id="0">
    <w:p w14:paraId="5B814DFE" w14:textId="77777777" w:rsidR="00366C0C" w:rsidRDefault="00366C0C" w:rsidP="000E3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0986" w14:textId="77777777" w:rsidR="00D66558" w:rsidRDefault="00000000">
    <w:pPr>
      <w:pStyle w:val="Header"/>
    </w:pPr>
    <w:r>
      <w:rPr>
        <w:noProof/>
      </w:rPr>
      <w:pict w14:anchorId="029FF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1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41D1" w14:textId="77777777" w:rsidR="00D66558" w:rsidRDefault="00000000">
    <w:pPr>
      <w:pStyle w:val="Header"/>
    </w:pPr>
    <w:r>
      <w:rPr>
        <w:noProof/>
      </w:rPr>
      <w:pict w14:anchorId="4F9B5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1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4AFB" w14:textId="77777777" w:rsidR="00D66558" w:rsidRDefault="00000000">
    <w:pPr>
      <w:pStyle w:val="Header"/>
    </w:pPr>
    <w:r>
      <w:rPr>
        <w:noProof/>
      </w:rPr>
      <w:pict w14:anchorId="215C6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0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C63"/>
    <w:multiLevelType w:val="hybridMultilevel"/>
    <w:tmpl w:val="24343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70598"/>
    <w:multiLevelType w:val="multilevel"/>
    <w:tmpl w:val="9FC0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85BC2"/>
    <w:multiLevelType w:val="multilevel"/>
    <w:tmpl w:val="CFC09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3C5325"/>
    <w:multiLevelType w:val="multilevel"/>
    <w:tmpl w:val="F72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27E42"/>
    <w:multiLevelType w:val="hybridMultilevel"/>
    <w:tmpl w:val="255EDE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20064A4"/>
    <w:multiLevelType w:val="multilevel"/>
    <w:tmpl w:val="5A2228E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EF1DC5"/>
    <w:multiLevelType w:val="hybridMultilevel"/>
    <w:tmpl w:val="02CED610"/>
    <w:lvl w:ilvl="0" w:tplc="51189B6C">
      <w:start w:val="20"/>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C1C02AA"/>
    <w:multiLevelType w:val="multilevel"/>
    <w:tmpl w:val="DF3ECAC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624286">
    <w:abstractNumId w:val="6"/>
  </w:num>
  <w:num w:numId="2" w16cid:durableId="362174090">
    <w:abstractNumId w:val="1"/>
  </w:num>
  <w:num w:numId="3" w16cid:durableId="767627806">
    <w:abstractNumId w:val="3"/>
  </w:num>
  <w:num w:numId="4" w16cid:durableId="1282495762">
    <w:abstractNumId w:val="4"/>
  </w:num>
  <w:num w:numId="5" w16cid:durableId="1613126891">
    <w:abstractNumId w:val="2"/>
  </w:num>
  <w:num w:numId="6" w16cid:durableId="1031033847">
    <w:abstractNumId w:val="5"/>
  </w:num>
  <w:num w:numId="7" w16cid:durableId="1850481565">
    <w:abstractNumId w:val="7"/>
  </w:num>
  <w:num w:numId="8" w16cid:durableId="27067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A6"/>
    <w:rsid w:val="00000447"/>
    <w:rsid w:val="00011B2A"/>
    <w:rsid w:val="000163DE"/>
    <w:rsid w:val="00017E63"/>
    <w:rsid w:val="00020CB0"/>
    <w:rsid w:val="00021128"/>
    <w:rsid w:val="00023C11"/>
    <w:rsid w:val="000359F0"/>
    <w:rsid w:val="00036AA3"/>
    <w:rsid w:val="000430B0"/>
    <w:rsid w:val="00043FB4"/>
    <w:rsid w:val="00057B91"/>
    <w:rsid w:val="00062FE7"/>
    <w:rsid w:val="000811B6"/>
    <w:rsid w:val="0009338C"/>
    <w:rsid w:val="0009506E"/>
    <w:rsid w:val="000A2C05"/>
    <w:rsid w:val="000B29FC"/>
    <w:rsid w:val="000B7E97"/>
    <w:rsid w:val="000C021C"/>
    <w:rsid w:val="000C7C0C"/>
    <w:rsid w:val="000E323B"/>
    <w:rsid w:val="000F18A6"/>
    <w:rsid w:val="000F1F91"/>
    <w:rsid w:val="000F2FA1"/>
    <w:rsid w:val="00111B43"/>
    <w:rsid w:val="001120FA"/>
    <w:rsid w:val="0012650B"/>
    <w:rsid w:val="00136A4C"/>
    <w:rsid w:val="0013702A"/>
    <w:rsid w:val="00137097"/>
    <w:rsid w:val="00142392"/>
    <w:rsid w:val="00144B64"/>
    <w:rsid w:val="00185DA9"/>
    <w:rsid w:val="00192184"/>
    <w:rsid w:val="00192C1F"/>
    <w:rsid w:val="001A37BF"/>
    <w:rsid w:val="001D5002"/>
    <w:rsid w:val="001E4665"/>
    <w:rsid w:val="001F3D23"/>
    <w:rsid w:val="00223A92"/>
    <w:rsid w:val="002367A3"/>
    <w:rsid w:val="00243D62"/>
    <w:rsid w:val="00243F69"/>
    <w:rsid w:val="002504B4"/>
    <w:rsid w:val="00254D97"/>
    <w:rsid w:val="0025624D"/>
    <w:rsid w:val="00271EFE"/>
    <w:rsid w:val="00275459"/>
    <w:rsid w:val="002918A2"/>
    <w:rsid w:val="002951F2"/>
    <w:rsid w:val="002A1AEC"/>
    <w:rsid w:val="002B345C"/>
    <w:rsid w:val="002B641F"/>
    <w:rsid w:val="002C1FE9"/>
    <w:rsid w:val="002C6818"/>
    <w:rsid w:val="002C76DC"/>
    <w:rsid w:val="002E7F41"/>
    <w:rsid w:val="003152C1"/>
    <w:rsid w:val="00327A76"/>
    <w:rsid w:val="00332D91"/>
    <w:rsid w:val="00354014"/>
    <w:rsid w:val="00356EB4"/>
    <w:rsid w:val="00366C0C"/>
    <w:rsid w:val="00384E8E"/>
    <w:rsid w:val="00392BD9"/>
    <w:rsid w:val="003A222C"/>
    <w:rsid w:val="003A3FA6"/>
    <w:rsid w:val="003E7536"/>
    <w:rsid w:val="003F646C"/>
    <w:rsid w:val="00422878"/>
    <w:rsid w:val="004458F5"/>
    <w:rsid w:val="00465613"/>
    <w:rsid w:val="004741E2"/>
    <w:rsid w:val="00484C29"/>
    <w:rsid w:val="004900DD"/>
    <w:rsid w:val="0049451D"/>
    <w:rsid w:val="004B2DAE"/>
    <w:rsid w:val="004B3833"/>
    <w:rsid w:val="004B3E8D"/>
    <w:rsid w:val="004C2606"/>
    <w:rsid w:val="004D5DF0"/>
    <w:rsid w:val="004D6BC7"/>
    <w:rsid w:val="00500708"/>
    <w:rsid w:val="00507348"/>
    <w:rsid w:val="00513377"/>
    <w:rsid w:val="00526D83"/>
    <w:rsid w:val="0052705F"/>
    <w:rsid w:val="00547D44"/>
    <w:rsid w:val="00561B80"/>
    <w:rsid w:val="00570F9D"/>
    <w:rsid w:val="00574E4F"/>
    <w:rsid w:val="005800A0"/>
    <w:rsid w:val="00580C79"/>
    <w:rsid w:val="00584064"/>
    <w:rsid w:val="00595B4F"/>
    <w:rsid w:val="005A1097"/>
    <w:rsid w:val="005A472A"/>
    <w:rsid w:val="005D0BC4"/>
    <w:rsid w:val="005D3633"/>
    <w:rsid w:val="005D4B5A"/>
    <w:rsid w:val="005D5EFE"/>
    <w:rsid w:val="005E6690"/>
    <w:rsid w:val="00603D29"/>
    <w:rsid w:val="00607D10"/>
    <w:rsid w:val="00612F62"/>
    <w:rsid w:val="00617F12"/>
    <w:rsid w:val="006479BE"/>
    <w:rsid w:val="00653F05"/>
    <w:rsid w:val="00654BEF"/>
    <w:rsid w:val="00672D84"/>
    <w:rsid w:val="0067467C"/>
    <w:rsid w:val="00681EA4"/>
    <w:rsid w:val="00693326"/>
    <w:rsid w:val="006A723E"/>
    <w:rsid w:val="006C096D"/>
    <w:rsid w:val="006C7829"/>
    <w:rsid w:val="006D10FC"/>
    <w:rsid w:val="006E1CEA"/>
    <w:rsid w:val="00705A56"/>
    <w:rsid w:val="00706232"/>
    <w:rsid w:val="00710967"/>
    <w:rsid w:val="00737C43"/>
    <w:rsid w:val="00747E19"/>
    <w:rsid w:val="00750CB6"/>
    <w:rsid w:val="007524C2"/>
    <w:rsid w:val="00756C58"/>
    <w:rsid w:val="00770FFB"/>
    <w:rsid w:val="00786525"/>
    <w:rsid w:val="00792723"/>
    <w:rsid w:val="00793F7B"/>
    <w:rsid w:val="007A0998"/>
    <w:rsid w:val="007C3FC1"/>
    <w:rsid w:val="007D4B1B"/>
    <w:rsid w:val="007E3D35"/>
    <w:rsid w:val="007F237C"/>
    <w:rsid w:val="007F748C"/>
    <w:rsid w:val="00801022"/>
    <w:rsid w:val="008213A3"/>
    <w:rsid w:val="00842519"/>
    <w:rsid w:val="00844608"/>
    <w:rsid w:val="008533CB"/>
    <w:rsid w:val="00872EE7"/>
    <w:rsid w:val="00877294"/>
    <w:rsid w:val="00883281"/>
    <w:rsid w:val="00885AEA"/>
    <w:rsid w:val="008939A1"/>
    <w:rsid w:val="00895BEB"/>
    <w:rsid w:val="008B0C6B"/>
    <w:rsid w:val="008C1CCA"/>
    <w:rsid w:val="008C5E50"/>
    <w:rsid w:val="008E686D"/>
    <w:rsid w:val="008F4CAF"/>
    <w:rsid w:val="00905265"/>
    <w:rsid w:val="00906DA6"/>
    <w:rsid w:val="0093344F"/>
    <w:rsid w:val="0096271E"/>
    <w:rsid w:val="009630FD"/>
    <w:rsid w:val="0099520B"/>
    <w:rsid w:val="00997CD1"/>
    <w:rsid w:val="009C1081"/>
    <w:rsid w:val="009D2EDD"/>
    <w:rsid w:val="009D32C1"/>
    <w:rsid w:val="009D4E22"/>
    <w:rsid w:val="009F1AC5"/>
    <w:rsid w:val="009F7709"/>
    <w:rsid w:val="00A053F6"/>
    <w:rsid w:val="00A5240D"/>
    <w:rsid w:val="00A57FCE"/>
    <w:rsid w:val="00A7082E"/>
    <w:rsid w:val="00A75F30"/>
    <w:rsid w:val="00A84168"/>
    <w:rsid w:val="00A87229"/>
    <w:rsid w:val="00AA138F"/>
    <w:rsid w:val="00AB42DD"/>
    <w:rsid w:val="00AB46B0"/>
    <w:rsid w:val="00AC4CFC"/>
    <w:rsid w:val="00AD056E"/>
    <w:rsid w:val="00AD35BB"/>
    <w:rsid w:val="00AD73D3"/>
    <w:rsid w:val="00AF75FC"/>
    <w:rsid w:val="00B02138"/>
    <w:rsid w:val="00B20944"/>
    <w:rsid w:val="00B21774"/>
    <w:rsid w:val="00B47144"/>
    <w:rsid w:val="00B5001B"/>
    <w:rsid w:val="00B57C89"/>
    <w:rsid w:val="00B6594C"/>
    <w:rsid w:val="00B70139"/>
    <w:rsid w:val="00B739A8"/>
    <w:rsid w:val="00B832CB"/>
    <w:rsid w:val="00B86B7A"/>
    <w:rsid w:val="00B93882"/>
    <w:rsid w:val="00BB167C"/>
    <w:rsid w:val="00BC18F7"/>
    <w:rsid w:val="00BC1B59"/>
    <w:rsid w:val="00BD7C3B"/>
    <w:rsid w:val="00BF4A21"/>
    <w:rsid w:val="00C12354"/>
    <w:rsid w:val="00C31791"/>
    <w:rsid w:val="00C325BA"/>
    <w:rsid w:val="00C336A6"/>
    <w:rsid w:val="00C74FC7"/>
    <w:rsid w:val="00C93F99"/>
    <w:rsid w:val="00CC308C"/>
    <w:rsid w:val="00CD3802"/>
    <w:rsid w:val="00CD4ADD"/>
    <w:rsid w:val="00CF0435"/>
    <w:rsid w:val="00D002AA"/>
    <w:rsid w:val="00D003C2"/>
    <w:rsid w:val="00D179FE"/>
    <w:rsid w:val="00D35F92"/>
    <w:rsid w:val="00D44871"/>
    <w:rsid w:val="00D52D9D"/>
    <w:rsid w:val="00D54CD2"/>
    <w:rsid w:val="00D659A8"/>
    <w:rsid w:val="00D66558"/>
    <w:rsid w:val="00DA43B3"/>
    <w:rsid w:val="00DC1019"/>
    <w:rsid w:val="00E01EAB"/>
    <w:rsid w:val="00E074BE"/>
    <w:rsid w:val="00E163C1"/>
    <w:rsid w:val="00E22E11"/>
    <w:rsid w:val="00E26CC1"/>
    <w:rsid w:val="00E351DE"/>
    <w:rsid w:val="00E37BEB"/>
    <w:rsid w:val="00E53E1B"/>
    <w:rsid w:val="00E61E9F"/>
    <w:rsid w:val="00E73473"/>
    <w:rsid w:val="00E80A15"/>
    <w:rsid w:val="00EA1363"/>
    <w:rsid w:val="00EC3A36"/>
    <w:rsid w:val="00EC49BE"/>
    <w:rsid w:val="00ED426C"/>
    <w:rsid w:val="00ED554D"/>
    <w:rsid w:val="00EF770E"/>
    <w:rsid w:val="00F25011"/>
    <w:rsid w:val="00F2762C"/>
    <w:rsid w:val="00F34854"/>
    <w:rsid w:val="00F36337"/>
    <w:rsid w:val="00F7015E"/>
    <w:rsid w:val="00F85EC1"/>
    <w:rsid w:val="00F87271"/>
    <w:rsid w:val="00F874BB"/>
    <w:rsid w:val="00F9319A"/>
    <w:rsid w:val="00FB05C8"/>
    <w:rsid w:val="00FB1AFE"/>
    <w:rsid w:val="00FC1D07"/>
    <w:rsid w:val="00FD388B"/>
    <w:rsid w:val="00FD4B59"/>
    <w:rsid w:val="00FE4D4B"/>
    <w:rsid w:val="00FE6C80"/>
    <w:rsid w:val="00FF2EC8"/>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75C5"/>
  <w15:chartTrackingRefBased/>
  <w15:docId w15:val="{EEBDD382-8CA5-4906-87B7-6DFC38A2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6A6"/>
    <w:rPr>
      <w14:ligatures w14:val="none"/>
    </w:rPr>
  </w:style>
  <w:style w:type="paragraph" w:styleId="Heading1">
    <w:name w:val="heading 1"/>
    <w:basedOn w:val="Normal"/>
    <w:next w:val="Normal"/>
    <w:link w:val="Heading1Char"/>
    <w:uiPriority w:val="9"/>
    <w:qFormat/>
    <w:rsid w:val="00C336A6"/>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C336A6"/>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C336A6"/>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C336A6"/>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C336A6"/>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C336A6"/>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C336A6"/>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C336A6"/>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C336A6"/>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6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36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36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36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36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36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6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6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6A6"/>
    <w:rPr>
      <w:rFonts w:eastAsiaTheme="majorEastAsia" w:cstheme="majorBidi"/>
      <w:color w:val="272727" w:themeColor="text1" w:themeTint="D8"/>
    </w:rPr>
  </w:style>
  <w:style w:type="paragraph" w:styleId="Title">
    <w:name w:val="Title"/>
    <w:basedOn w:val="Normal"/>
    <w:next w:val="Normal"/>
    <w:link w:val="TitleChar"/>
    <w:uiPriority w:val="10"/>
    <w:qFormat/>
    <w:rsid w:val="00C336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36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6A6"/>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C33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6A6"/>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C336A6"/>
    <w:rPr>
      <w:i/>
      <w:iCs/>
      <w:color w:val="404040" w:themeColor="text1" w:themeTint="BF"/>
    </w:rPr>
  </w:style>
  <w:style w:type="paragraph" w:styleId="ListParagraph">
    <w:name w:val="List Paragraph"/>
    <w:basedOn w:val="Normal"/>
    <w:uiPriority w:val="34"/>
    <w:qFormat/>
    <w:rsid w:val="00C336A6"/>
    <w:pPr>
      <w:ind w:left="720"/>
      <w:contextualSpacing/>
    </w:pPr>
    <w:rPr>
      <w14:ligatures w14:val="standardContextual"/>
    </w:rPr>
  </w:style>
  <w:style w:type="character" w:styleId="IntenseEmphasis">
    <w:name w:val="Intense Emphasis"/>
    <w:basedOn w:val="DefaultParagraphFont"/>
    <w:uiPriority w:val="21"/>
    <w:qFormat/>
    <w:rsid w:val="00C336A6"/>
    <w:rPr>
      <w:i/>
      <w:iCs/>
      <w:color w:val="2F5496" w:themeColor="accent1" w:themeShade="BF"/>
    </w:rPr>
  </w:style>
  <w:style w:type="paragraph" w:styleId="IntenseQuote">
    <w:name w:val="Intense Quote"/>
    <w:basedOn w:val="Normal"/>
    <w:next w:val="Normal"/>
    <w:link w:val="IntenseQuoteChar"/>
    <w:uiPriority w:val="30"/>
    <w:qFormat/>
    <w:rsid w:val="00C33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C336A6"/>
    <w:rPr>
      <w:i/>
      <w:iCs/>
      <w:color w:val="2F5496" w:themeColor="accent1" w:themeShade="BF"/>
    </w:rPr>
  </w:style>
  <w:style w:type="character" w:styleId="IntenseReference">
    <w:name w:val="Intense Reference"/>
    <w:basedOn w:val="DefaultParagraphFont"/>
    <w:uiPriority w:val="32"/>
    <w:qFormat/>
    <w:rsid w:val="00C336A6"/>
    <w:rPr>
      <w:b/>
      <w:bCs/>
      <w:smallCaps/>
      <w:color w:val="2F5496" w:themeColor="accent1" w:themeShade="BF"/>
      <w:spacing w:val="5"/>
    </w:rPr>
  </w:style>
  <w:style w:type="table" w:styleId="TableGrid">
    <w:name w:val="Table Grid"/>
    <w:basedOn w:val="TableNormal"/>
    <w:uiPriority w:val="39"/>
    <w:qFormat/>
    <w:rsid w:val="00C336A6"/>
    <w:pPr>
      <w:spacing w:after="0" w:line="240" w:lineRule="auto"/>
    </w:pPr>
    <w:rPr>
      <w:kern w:val="0"/>
      <w:sz w:val="20"/>
      <w:szCs w:val="20"/>
      <w:lang w:val="en-US" w:bidi="gu-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3377"/>
    <w:pPr>
      <w:spacing w:before="100" w:beforeAutospacing="1" w:after="100" w:afterAutospacing="1" w:line="240" w:lineRule="auto"/>
    </w:pPr>
    <w:rPr>
      <w:rFonts w:ascii="Times New Roman" w:eastAsia="Times New Roman" w:hAnsi="Times New Roman" w:cs="Times New Roman"/>
      <w:kern w:val="0"/>
      <w:sz w:val="24"/>
      <w:szCs w:val="24"/>
      <w:lang w:val="en-US" w:bidi="gu-IN"/>
    </w:rPr>
  </w:style>
  <w:style w:type="paragraph" w:styleId="Header">
    <w:name w:val="header"/>
    <w:basedOn w:val="Normal"/>
    <w:link w:val="HeaderChar"/>
    <w:uiPriority w:val="99"/>
    <w:unhideWhenUsed/>
    <w:rsid w:val="000E3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23B"/>
    <w:rPr>
      <w14:ligatures w14:val="none"/>
    </w:rPr>
  </w:style>
  <w:style w:type="paragraph" w:styleId="Footer">
    <w:name w:val="footer"/>
    <w:basedOn w:val="Normal"/>
    <w:link w:val="FooterChar"/>
    <w:uiPriority w:val="99"/>
    <w:unhideWhenUsed/>
    <w:rsid w:val="000E3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23B"/>
    <w:rPr>
      <w14:ligatures w14:val="none"/>
    </w:rPr>
  </w:style>
  <w:style w:type="paragraph" w:styleId="BodyText">
    <w:name w:val="Body Text"/>
    <w:basedOn w:val="Normal"/>
    <w:link w:val="BodyTextChar"/>
    <w:uiPriority w:val="1"/>
    <w:qFormat/>
    <w:rsid w:val="000E323B"/>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0E323B"/>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FE4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D4B"/>
    <w:rPr>
      <w:rFonts w:ascii="Segoe UI" w:hAnsi="Segoe UI" w:cs="Segoe UI"/>
      <w:sz w:val="18"/>
      <w:szCs w:val="18"/>
      <w14:ligatures w14:val="none"/>
    </w:rPr>
  </w:style>
  <w:style w:type="character" w:styleId="Emphasis">
    <w:name w:val="Emphasis"/>
    <w:basedOn w:val="DefaultParagraphFont"/>
    <w:uiPriority w:val="20"/>
    <w:qFormat/>
    <w:rsid w:val="00017E63"/>
    <w:rPr>
      <w:i/>
      <w:iCs/>
    </w:rPr>
  </w:style>
  <w:style w:type="character" w:styleId="Hyperlink">
    <w:name w:val="Hyperlink"/>
    <w:basedOn w:val="DefaultParagraphFont"/>
    <w:uiPriority w:val="99"/>
    <w:unhideWhenUsed/>
    <w:qFormat/>
    <w:rsid w:val="00017E63"/>
    <w:rPr>
      <w:color w:val="0000FF"/>
      <w:u w:val="single"/>
    </w:rPr>
  </w:style>
  <w:style w:type="character" w:customStyle="1" w:styleId="UnresolvedMention1">
    <w:name w:val="Unresolved Mention1"/>
    <w:basedOn w:val="DefaultParagraphFont"/>
    <w:uiPriority w:val="99"/>
    <w:semiHidden/>
    <w:unhideWhenUsed/>
    <w:rsid w:val="00EC3A36"/>
    <w:rPr>
      <w:color w:val="605E5C"/>
      <w:shd w:val="clear" w:color="auto" w:fill="E1DFDD"/>
    </w:rPr>
  </w:style>
  <w:style w:type="paragraph" w:customStyle="1" w:styleId="pdq2pgselectionanchorcontainer">
    <w:name w:val="pdq2pg_selectionanchorcontainer"/>
    <w:basedOn w:val="Normal"/>
    <w:rsid w:val="00E53E1B"/>
    <w:pPr>
      <w:spacing w:before="100" w:beforeAutospacing="1" w:after="100" w:afterAutospacing="1" w:line="240" w:lineRule="auto"/>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60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16/j.biocon.2010.07.009" TargetMode="External"/><Relationship Id="rId26" Type="http://schemas.openxmlformats.org/officeDocument/2006/relationships/hyperlink" Target="https://doi.org/10.1016/j.plantsci.2023.111950" TargetMode="External"/><Relationship Id="rId39" Type="http://schemas.openxmlformats.org/officeDocument/2006/relationships/hyperlink" Target="https://agris.fao.org/search/en/providers/122535/records/65ddd407b766d82b18fa2049?utm_source=chatgpt.com" TargetMode="External"/><Relationship Id="rId21" Type="http://schemas.openxmlformats.org/officeDocument/2006/relationships/hyperlink" Target="https://doi.org/10.56557/bn/2025/v45i22082" TargetMode="External"/><Relationship Id="rId34" Type="http://schemas.openxmlformats.org/officeDocument/2006/relationships/hyperlink" Target="https://doi.org/10.9734/jabb/2025/v28i22016"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hyperlink" Target="https://doi.org/10.1007/s44187-025-0032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07/s00468-023-02477-3" TargetMode="External"/><Relationship Id="rId32" Type="http://schemas.openxmlformats.org/officeDocument/2006/relationships/hyperlink" Target="https://doi.org/10.6026/9732063002002080" TargetMode="External"/><Relationship Id="rId37" Type="http://schemas.openxmlformats.org/officeDocument/2006/relationships/hyperlink" Target="https://agris.fao.org/search/en/providers/122535/records/65ddd23063b8185d9ca4d58b?utm_source=chatgpt.com" TargetMode="External"/><Relationship Id="rId40" Type="http://schemas.openxmlformats.org/officeDocument/2006/relationships/hyperlink" Target="https://www.who.int/publications/i/item/WHO-EDM-TRM-2002.1?utm_source=chatgpt.com"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007/s10661-022-09882-0" TargetMode="External"/><Relationship Id="rId28" Type="http://schemas.openxmlformats.org/officeDocument/2006/relationships/hyperlink" Target="https://doi.org/10.2165/11598990-000000000-00000" TargetMode="External"/><Relationship Id="rId36" Type="http://schemas.openxmlformats.org/officeDocument/2006/relationships/hyperlink" Target="https://doi.org/10.1007/s00764-022-00177-1" TargetMode="External"/><Relationship Id="rId10" Type="http://schemas.openxmlformats.org/officeDocument/2006/relationships/oleObject" Target="embeddings/oleObject2.bin"/><Relationship Id="rId19" Type="http://schemas.openxmlformats.org/officeDocument/2006/relationships/hyperlink" Target="https://doi.org/10.1007/s00468-010-0465-2" TargetMode="External"/><Relationship Id="rId31" Type="http://schemas.openxmlformats.org/officeDocument/2006/relationships/hyperlink" Target="https://doi.org/10.1007/s10668-024-05756-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hyperlink" Target="https://old.nau.in/files/22114_Final%20%20Proceeding%20joint%20agresco-2017.pdf?utm_source=chatgpt.com" TargetMode="External"/><Relationship Id="rId27" Type="http://schemas.openxmlformats.org/officeDocument/2006/relationships/hyperlink" Target="https://doi.org/10.1016/j.jep.2023.116352" TargetMode="External"/><Relationship Id="rId30" Type="http://schemas.openxmlformats.org/officeDocument/2006/relationships/hyperlink" Target="https://apps.worldagroforestry.org/treedb2/speciesprofile.php?Spid=18136&amp;utm_source=chatgpt.com" TargetMode="External"/><Relationship Id="rId35" Type="http://schemas.openxmlformats.org/officeDocument/2006/relationships/hyperlink" Target="https://doi.org/10.1093/aob/mcf137"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hyperlink" Target="https://doi.org/10.1111/j.1365-2664.2009.01639.x" TargetMode="External"/><Relationship Id="rId25" Type="http://schemas.openxmlformats.org/officeDocument/2006/relationships/hyperlink" Target="https://doi.org/10.1016/j.jep.2014.06.056" TargetMode="External"/><Relationship Id="rId33" Type="http://schemas.openxmlformats.org/officeDocument/2006/relationships/hyperlink" Target="https://doi.org/10.3390/ph16010126" TargetMode="External"/><Relationship Id="rId38" Type="http://schemas.openxmlformats.org/officeDocument/2006/relationships/hyperlink" Target="https://doi.org/10.1186/s43094-024-00613-5" TargetMode="External"/><Relationship Id="rId46" Type="http://schemas.openxmlformats.org/officeDocument/2006/relationships/footer" Target="footer3.xml"/><Relationship Id="rId20" Type="http://schemas.openxmlformats.org/officeDocument/2006/relationships/hyperlink" Target="https://doi.org/10.1016/j.flora.2013.02.004"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4085</Words>
  <Characters>23287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ranijadhav2009@gmail.com</dc:creator>
  <cp:keywords/>
  <dc:description/>
  <cp:lastModifiedBy>Editor-90</cp:lastModifiedBy>
  <cp:revision>43</cp:revision>
  <cp:lastPrinted>2025-10-08T10:25:00Z</cp:lastPrinted>
  <dcterms:created xsi:type="dcterms:W3CDTF">2026-07-28T12:58:00Z</dcterms:created>
  <dcterms:modified xsi:type="dcterms:W3CDTF">2026-08-03T11:54:00Z</dcterms:modified>
</cp:coreProperties>
</file>