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B86F1" w14:textId="77777777" w:rsidR="00B171FC" w:rsidRPr="00B171FC" w:rsidRDefault="00B171FC" w:rsidP="00B171FC">
      <w:pPr>
        <w:spacing w:after="0" w:line="240" w:lineRule="auto"/>
        <w:jc w:val="right"/>
        <w:outlineLvl w:val="0"/>
        <w:rPr>
          <w:rFonts w:ascii="Arial" w:hAnsi="Arial" w:cs="Arial"/>
          <w:b/>
          <w:bCs/>
          <w:i/>
          <w:iCs/>
          <w:kern w:val="28"/>
          <w:sz w:val="36"/>
          <w:szCs w:val="20"/>
          <w:u w:val="single"/>
        </w:rPr>
      </w:pPr>
      <w:r w:rsidRPr="00B171FC">
        <w:rPr>
          <w:rFonts w:ascii="Arial" w:hAnsi="Arial" w:cs="Arial"/>
          <w:b/>
          <w:bCs/>
          <w:i/>
          <w:iCs/>
          <w:kern w:val="28"/>
          <w:sz w:val="36"/>
          <w:szCs w:val="20"/>
          <w:u w:val="single"/>
        </w:rPr>
        <w:t>Review Article</w:t>
      </w:r>
    </w:p>
    <w:p w14:paraId="2C34AC96" w14:textId="77777777" w:rsidR="00EE3357" w:rsidRDefault="00000000" w:rsidP="00C97D6B">
      <w:pPr>
        <w:pStyle w:val="Title"/>
        <w:pBdr>
          <w:bottom w:val="nil"/>
        </w:pBdr>
        <w:jc w:val="center"/>
      </w:pPr>
      <w:r>
        <w:t>Beyond Technology Transfer: Artificial Intelligence and the Future of Agricultural Extension in LMICs and HICs</w:t>
      </w:r>
      <w:r w:rsidR="00C97D6B">
        <w:t xml:space="preserve">: </w:t>
      </w:r>
      <w:r w:rsidRPr="00C97D6B">
        <w:t>A Comparative Critical Narrative Review</w:t>
      </w:r>
    </w:p>
    <w:p w14:paraId="7BCDB295" w14:textId="77777777" w:rsidR="00EE3357" w:rsidRDefault="00000000">
      <w:pPr>
        <w:keepNext/>
      </w:pPr>
      <w:r>
        <w:rPr>
          <w:b/>
          <w:color w:val="17365D"/>
          <w:sz w:val="24"/>
        </w:rPr>
        <w:t>Abstract</w:t>
      </w:r>
    </w:p>
    <w:p w14:paraId="1D48F1E5" w14:textId="77777777" w:rsidR="00EE3357" w:rsidRDefault="00000000">
      <w:pPr>
        <w:pStyle w:val="Abstract"/>
      </w:pPr>
      <w:r>
        <w:t xml:space="preserve">Artificial intelligence is entering agricultural extension at a moment when the field has already moved away from linear technology transfer towards pluralistic, participatory and innovation-systems approaches. This review critically examines whether artificial intelligence supports that transition or merely automates an older delivery model. It compares low- and middle-income countries with high-income countries, treating these groupings as contrasting configurations of infrastructure, farm structure, data availability, advisory institutions and political economy rather than as a simple development sequence. A transparent narrative search and appraisal process was used to integrate evidence on digital advisory services, agricultural knowledge and innovation systems, precision agriculture, machine learning, conversational tools, adoption, inclusion, data governance and responsible innovation. The evidence indicates that artificial intelligence can extend diagnostic reach, </w:t>
      </w:r>
      <w:proofErr w:type="spellStart"/>
      <w:r>
        <w:t>personalise</w:t>
      </w:r>
      <w:proofErr w:type="spellEnd"/>
      <w:r>
        <w:t xml:space="preserve"> advice, translate information, </w:t>
      </w:r>
      <w:proofErr w:type="spellStart"/>
      <w:r>
        <w:t>prioritise</w:t>
      </w:r>
      <w:proofErr w:type="spellEnd"/>
      <w:r>
        <w:t xml:space="preserve"> cases and connect farmers with services. Yet the strongest empirical evidence still concerns relatively simple digital information services, while claims about autonomous or generative systems often exceed evidence on sustained farm-level outcomes. In low- and middle-income countries, mobile-first and human-mediated models can broaden access but remain constrained by connectivity, language, literacy, gendered access, weak local datasets and project dependence. In high-income countries, sensor-rich systems offer greater technical integration but intensify concerns about interoperability, capital bias, proprietary platforms, data rights and farmer dependence. Across both contexts, performance depends less on model novelty than on agronomic validation, institutional fit, uncertainty communication, human escalation and accountable data governance. The review proposes a human–artificial intelligence extension ecology in which extension professionals act as contextual interpreters, validators, facilitators and data stewards rather than passive transmitters or displaced intermediaries. Artificial intelligence is therefore most defensible as an augmentative public-interest infrastructure embedded in pluralistic advisory systems, not as a substitute for relational extension or farmer judgement.</w:t>
      </w:r>
    </w:p>
    <w:p w14:paraId="1274AA19" w14:textId="77777777" w:rsidR="00EE3357" w:rsidRDefault="00000000">
      <w:pPr>
        <w:spacing w:after="200"/>
      </w:pPr>
      <w:r>
        <w:rPr>
          <w:b/>
        </w:rPr>
        <w:t xml:space="preserve">Keywords: </w:t>
      </w:r>
      <w:r>
        <w:t>agricultural advisory services; agricultural innovation systems; artificial intelligence; digital agriculture; digital inclusion; extension pluralism; responsible innovation; smallholder farming</w:t>
      </w:r>
    </w:p>
    <w:p w14:paraId="20AE34A3" w14:textId="77777777" w:rsidR="00EE3357" w:rsidRDefault="00000000">
      <w:pPr>
        <w:pStyle w:val="Heading1"/>
      </w:pPr>
      <w:r>
        <w:t>1. Introduction</w:t>
      </w:r>
    </w:p>
    <w:p w14:paraId="5626037E" w14:textId="77777777" w:rsidR="00EE3357" w:rsidRPr="001B5A00" w:rsidRDefault="00000000">
      <w:r>
        <w:t xml:space="preserve">Agricultural extension has long been asked to reconcile two different ambitions. One is instrumental: to move technically validated knowledge from research </w:t>
      </w:r>
      <w:proofErr w:type="spellStart"/>
      <w:r>
        <w:t>organisations</w:t>
      </w:r>
      <w:proofErr w:type="spellEnd"/>
      <w:r>
        <w:t xml:space="preserve"> to farmers quickly enough to improve production. The other is developmental and political: to strengthen farmers’ capacity to diagnose problems, negotiate uncertainty, combine formal and experiential knowledge, and influence the institutions that shape agricultural change. The first ambition underpinned classical technology-transfer models. The second became more prominent as extension scholarship documented the limits of linear communication, the diversity of farm contexts and the importance of interaction among farmers, advisers, researchers, markets, civil society and the state (Anderson &amp; </w:t>
      </w:r>
      <w:r w:rsidRPr="001B5A00">
        <w:t>Feder, 2004; Birner et al., 2009; Klerkx et al., 2012). Artificial intelligence (AI) now enters this unresolved tension. It can make advice faster, more granular and more widely available, but it can also reproduce the assumption that an expert system can identify a universally correct recommendation and deliver it to a passive recipient.</w:t>
      </w:r>
      <w:r w:rsidRPr="001B5A00">
        <w:rPr>
          <w:highlight w:val="yellow"/>
        </w:rPr>
        <w:t xml:space="preserve"> Recent scholarship likewise indicates that acceptance of AI in farming depends not only on technical performance but also on transparency, accountability, fairness and clearly governed data practices that sustain farmer trust (Gardezi et al., 2024).</w:t>
      </w:r>
    </w:p>
    <w:p w14:paraId="0B60CE0C" w14:textId="77777777" w:rsidR="00EE3357" w:rsidRPr="001B5A00" w:rsidRDefault="00000000">
      <w:r w:rsidRPr="001B5A00">
        <w:lastRenderedPageBreak/>
        <w:t xml:space="preserve">In this review, AI refers to computational methods that infer classifications, predictions, recommendations or generated content from data. Agricultural applications include machine learning for image recognition, yield or disease forecasting, </w:t>
      </w:r>
      <w:proofErr w:type="spellStart"/>
      <w:r w:rsidRPr="001B5A00">
        <w:t>optimisation</w:t>
      </w:r>
      <w:proofErr w:type="spellEnd"/>
      <w:r w:rsidRPr="001B5A00">
        <w:t xml:space="preserve"> of irrigation and input use, automated interpretation of sensor and satellite data, and conversational systems that retrieve or generate advice in natural language (</w:t>
      </w:r>
      <w:proofErr w:type="spellStart"/>
      <w:r w:rsidRPr="001B5A00">
        <w:t>Kamilaris</w:t>
      </w:r>
      <w:proofErr w:type="spellEnd"/>
      <w:r w:rsidRPr="001B5A00">
        <w:t xml:space="preserve"> &amp; </w:t>
      </w:r>
      <w:proofErr w:type="spellStart"/>
      <w:r w:rsidRPr="001B5A00">
        <w:t>Prenafeta-Boldú</w:t>
      </w:r>
      <w:proofErr w:type="spellEnd"/>
      <w:r w:rsidRPr="001B5A00">
        <w:t xml:space="preserve">, 2018; Liakos et al., 2018; </w:t>
      </w:r>
      <w:proofErr w:type="spellStart"/>
      <w:r w:rsidRPr="001B5A00">
        <w:t>Talaviya</w:t>
      </w:r>
      <w:proofErr w:type="spellEnd"/>
      <w:r w:rsidRPr="001B5A00">
        <w:t xml:space="preserve"> et al., 2020). Agricultural extension is used more broadly than public-sector farm visits. It encompasses advisory </w:t>
      </w:r>
      <w:proofErr w:type="spellStart"/>
      <w:r w:rsidRPr="001B5A00">
        <w:t>organisations</w:t>
      </w:r>
      <w:proofErr w:type="spellEnd"/>
      <w:r w:rsidRPr="001B5A00">
        <w:t>, private consultants, producer groups, digital platforms, input and finance providers, researchers, community intermediaries and farmer-to-farmer networks. This wider conception is necessary because AI rarely operates as a stand-alone application. It depends on data pipelines, institutional mandates, business models, verification processes, user interfaces and channels for escalation when automated advice is uncertain or inappropriate.</w:t>
      </w:r>
      <w:r w:rsidRPr="001B5A00">
        <w:rPr>
          <w:highlight w:val="yellow"/>
        </w:rPr>
        <w:t xml:space="preserve"> Recent empirical evidence also suggests that digital and conversational tools are most defensible when they complement, rather than displace, professional advisory support and when their outputs remain subject to contextual validation (Baul et al., 2024; Varghese et al., 2026).</w:t>
      </w:r>
    </w:p>
    <w:p w14:paraId="1BCD4A99" w14:textId="77777777" w:rsidR="00EE3357" w:rsidRPr="001B5A00" w:rsidRDefault="00000000">
      <w:r w:rsidRPr="001B5A00">
        <w:t>The comparison between low- and middle-income countries (LMICs) and high-income countries (HICs) is analytically useful but must be handled cautiously. National income categories contain substantial internal diversity. Commercial horticulture in an LMIC may use highly instrumented production systems, while remote or financially constrained farms in an HIC may lack reliable broadband and specialist support. Nevertheless, recurring contrasts exist. Digital extension in many LMIC settings is mobile-first, multilingual, donor- or government-supported and designed for large numbers of smallholders with limited formal advisory contact. HIC digital agriculture is more often integrated with machinery, sensors, farm-management software, private consultants and proprietary commercial platforms. These differences shape what counts as a useful AI system, which data are available, who bears costs and risks, and whether advisers are treated as central actors or as avoidable transaction costs (</w:t>
      </w:r>
      <w:proofErr w:type="spellStart"/>
      <w:r w:rsidRPr="001B5A00">
        <w:t>Fielke</w:t>
      </w:r>
      <w:proofErr w:type="spellEnd"/>
      <w:r w:rsidRPr="001B5A00">
        <w:t xml:space="preserve"> et al., 2020; Ingram &amp; Maye, 2020; Klerkx et al., 2019; Wolfert et al., 2017).</w:t>
      </w:r>
    </w:p>
    <w:p w14:paraId="2DB397D0" w14:textId="77777777" w:rsidR="00EE3357" w:rsidRPr="001B5A00" w:rsidRDefault="00000000">
      <w:r w:rsidRPr="001B5A00">
        <w:t xml:space="preserve">Existing reviews have established important parts of this landscape. Reviews of information and communication technologies in developing-country extension identified both the reach of mobile channels and the persistent weakness of evidence on </w:t>
      </w:r>
      <w:proofErr w:type="spellStart"/>
      <w:r w:rsidRPr="001B5A00">
        <w:t>behavioural</w:t>
      </w:r>
      <w:proofErr w:type="spellEnd"/>
      <w:r w:rsidRPr="001B5A00">
        <w:t xml:space="preserve"> and welfare outcomes (Aker, 2011; Aker et al., 2016). Research on digital advisory services has </w:t>
      </w:r>
      <w:proofErr w:type="spellStart"/>
      <w:r w:rsidRPr="001B5A00">
        <w:t>synthesised</w:t>
      </w:r>
      <w:proofErr w:type="spellEnd"/>
      <w:r w:rsidRPr="001B5A00">
        <w:t xml:space="preserve"> mobile applications, videos and interactive tools for smallholder agriculture (Porciello et al., 2022; Sen et al., 2025). Separate literatures have examined smart farming, precision agriculture and the </w:t>
      </w:r>
      <w:proofErr w:type="spellStart"/>
      <w:r w:rsidRPr="001B5A00">
        <w:t>digitalisation</w:t>
      </w:r>
      <w:proofErr w:type="spellEnd"/>
      <w:r w:rsidRPr="001B5A00">
        <w:t xml:space="preserve"> of agricultural knowledge networks, particularly in wealthier settings (Barnes et al., 2019; </w:t>
      </w:r>
      <w:proofErr w:type="spellStart"/>
      <w:r w:rsidRPr="001B5A00">
        <w:t>Fielke</w:t>
      </w:r>
      <w:proofErr w:type="spellEnd"/>
      <w:r w:rsidRPr="001B5A00">
        <w:t xml:space="preserve"> et al., 2020; Klerkx et al., 2019). Ethical and political analyses have highlighted data ownership, platform power, transparency and unequal participation (Bronson &amp; Knezevic, 2016; </w:t>
      </w:r>
      <w:proofErr w:type="spellStart"/>
      <w:r w:rsidRPr="001B5A00">
        <w:t>Hackfort</w:t>
      </w:r>
      <w:proofErr w:type="spellEnd"/>
      <w:r w:rsidRPr="001B5A00">
        <w:t>, 2021; Rotz et al., 2019; van der Burg et al., 2019). What remains less developed is a comparative synthesis that links these literatures to the changing theory and practice of extension itself.</w:t>
      </w:r>
    </w:p>
    <w:p w14:paraId="5DD3E44C" w14:textId="77777777" w:rsidR="00EE3357" w:rsidRPr="001B5A00" w:rsidRDefault="00000000">
      <w:r w:rsidRPr="001B5A00">
        <w:t xml:space="preserve">The central question is therefore not whether AI can generate technically plausible advice. It is whether AI can be governed and </w:t>
      </w:r>
      <w:proofErr w:type="spellStart"/>
      <w:r w:rsidRPr="001B5A00">
        <w:t>institutionalised</w:t>
      </w:r>
      <w:proofErr w:type="spellEnd"/>
      <w:r w:rsidRPr="001B5A00">
        <w:t xml:space="preserve"> in ways that strengthen the functions extension now claims to perform: contextual learning, facilitation, coordination, inclusion, risk interpretation and farmer agency. This distinction matters because a technically accurate recommendation can still fail when it ignores cash-flow constraints, </w:t>
      </w:r>
      <w:proofErr w:type="spellStart"/>
      <w:r w:rsidRPr="001B5A00">
        <w:t>labour</w:t>
      </w:r>
      <w:proofErr w:type="spellEnd"/>
      <w:r w:rsidRPr="001B5A00">
        <w:t xml:space="preserve"> availability, tenure insecurity, gendered control over resources, market volatility or local ecological knowledge. Conversely, a modest digital tool may be valuable when it helps an adviser </w:t>
      </w:r>
      <w:proofErr w:type="spellStart"/>
      <w:r w:rsidRPr="001B5A00">
        <w:t>recognise</w:t>
      </w:r>
      <w:proofErr w:type="spellEnd"/>
      <w:r w:rsidRPr="001B5A00">
        <w:t xml:space="preserve"> uncertainty, </w:t>
      </w:r>
      <w:proofErr w:type="spellStart"/>
      <w:r w:rsidRPr="001B5A00">
        <w:t>organise</w:t>
      </w:r>
      <w:proofErr w:type="spellEnd"/>
      <w:r w:rsidRPr="001B5A00">
        <w:t xml:space="preserve"> follow-up and connect a farmer with locally appropriate expertise. The comparison undertaken here treats AI as a socio-technical intervention whose outcomes arise from the interaction of models, data, </w:t>
      </w:r>
      <w:proofErr w:type="spellStart"/>
      <w:r w:rsidRPr="001B5A00">
        <w:t>organisations</w:t>
      </w:r>
      <w:proofErr w:type="spellEnd"/>
      <w:r w:rsidRPr="001B5A00">
        <w:t>, users and political economy rather than from algorithmic performance alone.</w:t>
      </w:r>
      <w:r w:rsidRPr="001B5A00">
        <w:rPr>
          <w:highlight w:val="yellow"/>
        </w:rPr>
        <w:t xml:space="preserve"> Research on advisory networks further shows that digital decision-support tools become more usable when </w:t>
      </w:r>
      <w:r w:rsidRPr="001B5A00">
        <w:rPr>
          <w:highlight w:val="yellow"/>
        </w:rPr>
        <w:lastRenderedPageBreak/>
        <w:t>trusted advisers mediate interpretation and connect abstract information to farm-specific choices (Jakku et al., 2024).</w:t>
      </w:r>
    </w:p>
    <w:p w14:paraId="24EA1A5E" w14:textId="77777777" w:rsidR="00EE3357" w:rsidRDefault="00000000">
      <w:pPr>
        <w:pStyle w:val="Heading2"/>
      </w:pPr>
      <w:r>
        <w:t>1.1 Scope, Research Gap and Objectives</w:t>
      </w:r>
    </w:p>
    <w:p w14:paraId="44024B0F" w14:textId="77777777" w:rsidR="00EE3357" w:rsidRDefault="00000000">
      <w:r>
        <w:t xml:space="preserve">This review examines AI-enabled and closely related digital advisory systems that influence agricultural decision-making, extension work and agricultural knowledge and innovation systems. It compares LMIC and HIC configurations while </w:t>
      </w:r>
      <w:proofErr w:type="spellStart"/>
      <w:r>
        <w:t>recognising</w:t>
      </w:r>
      <w:proofErr w:type="spellEnd"/>
      <w:r>
        <w:t xml:space="preserve"> substantial variation within each category. The analysis focuses on crop and mixed-farming advisory functions, farmer-facing information and decision support, extension-agent augmentation, precision and smart-farming interfaces, inclusion, trust and data governance. Fully autonomous field robotics, supply-chain </w:t>
      </w:r>
      <w:proofErr w:type="spellStart"/>
      <w:r>
        <w:t>optimisation</w:t>
      </w:r>
      <w:proofErr w:type="spellEnd"/>
      <w:r>
        <w:t xml:space="preserve"> without an advisory component, and purely laboratory model-development studies are considered only when they clarify implications for extension. The research gap lies in the separation between literatures on smallholder digital advisory services, smart farming, AI ethics and extension theory. The objectives are to identify how AI changes the content and </w:t>
      </w:r>
      <w:proofErr w:type="spellStart"/>
      <w:r>
        <w:t>organisation</w:t>
      </w:r>
      <w:proofErr w:type="spellEnd"/>
      <w:r>
        <w:t xml:space="preserve"> of extension; evaluate the strength and limits of evidence on effectiveness; compare institutional opportunities and risks across income settings; and develop a defensible framework for human–AI extension systems that preserves accountability, contextual judgement and farmer agency.</w:t>
      </w:r>
    </w:p>
    <w:p w14:paraId="27066028" w14:textId="77777777" w:rsidR="00EE3357" w:rsidRDefault="00000000">
      <w:pPr>
        <w:pStyle w:val="Heading1"/>
      </w:pPr>
      <w:r>
        <w:t>2. Methods for Literature Selection</w:t>
      </w:r>
    </w:p>
    <w:p w14:paraId="3AA3B2FA" w14:textId="77777777" w:rsidR="00EE3357" w:rsidRDefault="00000000">
      <w:pPr>
        <w:pStyle w:val="Heading2"/>
      </w:pPr>
      <w:r>
        <w:t>2.1 Review Design and Rationale</w:t>
      </w:r>
    </w:p>
    <w:p w14:paraId="3515EF7F" w14:textId="77777777" w:rsidR="00EE3357" w:rsidRDefault="00000000">
      <w:r>
        <w:t xml:space="preserve">A critical narrative review was selected because the question spans heterogeneous evidence: </w:t>
      </w:r>
      <w:proofErr w:type="spellStart"/>
      <w:r>
        <w:t>randomised</w:t>
      </w:r>
      <w:proofErr w:type="spellEnd"/>
      <w:r>
        <w:t xml:space="preserve"> and quasi-experimental evaluations of digital advice, surveys of technology adoption, qualitative studies of trust and professional practice, conceptual work on innovation systems, technical reviews of AI, and normative scholarship on data governance. These bodies of evidence do not share sufficiently uniform interventions, comparators or outcomes for a defensible meta-analysis. A scoping review could map the field but would not, by itself, resolve the conceptual tension between technology transfer and facilitative extension. The review therefore followed a transparent narrative approach, using the Scale for the Assessment of Narrative Review Articles as a guide to justification, search description, referencing, scientific reasoning and presentation (</w:t>
      </w:r>
      <w:proofErr w:type="spellStart"/>
      <w:r>
        <w:t>Baethge</w:t>
      </w:r>
      <w:proofErr w:type="spellEnd"/>
      <w:r>
        <w:t xml:space="preserve"> et al., 2019). Narrative synthesis was not treated as a </w:t>
      </w:r>
      <w:proofErr w:type="spellStart"/>
      <w:r>
        <w:t>licence</w:t>
      </w:r>
      <w:proofErr w:type="spellEnd"/>
      <w:r>
        <w:t xml:space="preserve"> for unsystematic selection; source identity, relevance, methodological adequacy and claim–source alignment were checked throughout.</w:t>
      </w:r>
    </w:p>
    <w:p w14:paraId="2591AA56" w14:textId="77777777" w:rsidR="00EE3357" w:rsidRDefault="00000000">
      <w:pPr>
        <w:pStyle w:val="Heading2"/>
      </w:pPr>
      <w:r>
        <w:t>2.2 Information Sources</w:t>
      </w:r>
    </w:p>
    <w:p w14:paraId="60407EDB" w14:textId="77777777" w:rsidR="00EE3357" w:rsidRDefault="00000000">
      <w:r>
        <w:t xml:space="preserve">Literature was identified through live scholarly web searching of </w:t>
      </w:r>
      <w:proofErr w:type="spellStart"/>
      <w:r>
        <w:t>Crossref</w:t>
      </w:r>
      <w:proofErr w:type="spellEnd"/>
      <w:r>
        <w:t xml:space="preserve"> and DOI landing pages, PubMed and PubMed Central where relevant, the Directory of Open Access Journals, AGRIS, ERIC, institutional repositories and university research portals. Journal and publisher pages were used to verify the version of record, authorship, year, volume, pagination or article number, and DOI. Authoritative institutional pages were consulted for conceptual context but were not used as substitutes for peer-reviewed evidence where journal research was available. Backward citation searching from major reviews and forward or related-record searching were used to identify foundational extension scholarship, empirical evaluations and critical studies that might be missed by narrow AI terminology. Searches for corrections, retractions and bibliographic inconsistencies were undertaken when source identity was uncertain.</w:t>
      </w:r>
    </w:p>
    <w:p w14:paraId="254F7AB1" w14:textId="77777777" w:rsidR="00EE3357" w:rsidRDefault="00000000">
      <w:pPr>
        <w:pStyle w:val="Heading2"/>
      </w:pPr>
      <w:r>
        <w:t>2.3 Search Strategy and Search Period</w:t>
      </w:r>
    </w:p>
    <w:p w14:paraId="752297B0" w14:textId="77777777" w:rsidR="00EE3357" w:rsidRDefault="00000000">
      <w:r>
        <w:t xml:space="preserve">The principal search period was 1 January 2000 to 31 May 2026, with earlier foundational studies eligible when required to explain the development of extension theory or adoption research. Search concepts </w:t>
      </w:r>
      <w:r>
        <w:lastRenderedPageBreak/>
        <w:t xml:space="preserve">combined terms for AI and </w:t>
      </w:r>
      <w:proofErr w:type="spellStart"/>
      <w:r>
        <w:t>digitalisation</w:t>
      </w:r>
      <w:proofErr w:type="spellEnd"/>
      <w:r>
        <w:t xml:space="preserve"> with terms for extension and context. Representative combinations included: ("artificial intelligence" OR "machine learning" OR "generative AI" OR chatbot OR "decision support") AND (</w:t>
      </w:r>
      <w:proofErr w:type="spellStart"/>
      <w:r>
        <w:t>agricultur</w:t>
      </w:r>
      <w:proofErr w:type="spellEnd"/>
      <w:r>
        <w:rPr>
          <w:i/>
        </w:rPr>
        <w:t xml:space="preserve"> AND (extension OR advisory OR "knowledge system")); ("digital advisory" OR "mobile extension" OR ICT4Ag) AND (smallholder OR farmer) AND (impact OR adoption OR inclusion); ("precision agriculture" OR "smart farming") AND (adviser OR consultant OR adoption OR trust OR data); and (</w:t>
      </w:r>
      <w:proofErr w:type="spellStart"/>
      <w:r>
        <w:rPr>
          <w:i/>
        </w:rPr>
        <w:t>agricultur</w:t>
      </w:r>
      <w:proofErr w:type="spellEnd"/>
      <w:r>
        <w:t xml:space="preserve"> AND AI) AND (gender OR inequality OR governance OR transparency OR accountability OR "data ownership"). Geographic terms for Africa, Asia, Latin America, Europe, North America and Oceania, together with LMIC, developing-country and high-income descriptors, were added where needed. Searches were iteratively refined when terminology differed across disciplines.</w:t>
      </w:r>
    </w:p>
    <w:p w14:paraId="4B222E67" w14:textId="77777777" w:rsidR="00EE3357" w:rsidRDefault="00000000">
      <w:pPr>
        <w:pStyle w:val="Heading2"/>
      </w:pPr>
      <w:r>
        <w:t>2.4 Eligibility Criteria</w:t>
      </w:r>
    </w:p>
    <w:p w14:paraId="795AFBCF" w14:textId="77777777" w:rsidR="00EE3357" w:rsidRDefault="00000000">
      <w:r>
        <w:t>Eligible sources were English-language peer-reviewed journal articles directly relevant to agricultural extension, advisory systems, agricultural knowledge and innovation systems, digital agriculture, AI-supported farm decisions, adoption, inclusion, data governance or responsible innovation. Empirical studies, high-quality reviews and conceptually influential articles were included. Institutional reports were considered only for background definitions or policy context and were not used to inflate the empirical evidence base. Studies were excluded when they described an algorithm without a credible extension or decision-use pathway, addressed non-agricultural sectors, relied on unverifiable metadata, were retracted, or made effectiveness claims without sufficient methodological information. Preprints were excluded where peer-reviewed evidence covered the same issue. Foundational older work was retained selectively when it remained necessary to interpret the shift from technology transfer to pluralistic and participatory extension.</w:t>
      </w:r>
    </w:p>
    <w:p w14:paraId="327B1E99" w14:textId="77777777" w:rsidR="00EE3357" w:rsidRDefault="00000000">
      <w:pPr>
        <w:pStyle w:val="Heading2"/>
      </w:pPr>
      <w:r>
        <w:t>2.5 Screening, Duplicate Handling and Study Selection</w:t>
      </w:r>
    </w:p>
    <w:p w14:paraId="3851AAB9" w14:textId="77777777" w:rsidR="00EE3357" w:rsidRDefault="00000000">
      <w:r>
        <w:t>Titles and abstracts were assessed for conceptual and empirical relevance, followed by full-text or detailed-record assessment when the source was likely to support a substantive claim. Duplicate records were identified through DOI, exact title, author and year. Where repositories and journal sites presented the same article, the version of record was used for citation. Sources with incomplete or conflicting bibliographic details were retained only after metadata could be reconciled through an authoritative record. No fabricated record counts or PRISMA-style flow statistics were generated because the purpose was critical narrative synthesis rather than an exhaustive systematic review. Inaccessible articles were not used for fine-grained claims when an abstract or metadata record was insufficient to establish the relevant finding.</w:t>
      </w:r>
    </w:p>
    <w:p w14:paraId="300F5E90" w14:textId="77777777" w:rsidR="00EE3357" w:rsidRDefault="00000000">
      <w:pPr>
        <w:pStyle w:val="Heading2"/>
      </w:pPr>
      <w:r>
        <w:t>2.6 Critical Appraisal and Evidence Synthesis</w:t>
      </w:r>
    </w:p>
    <w:p w14:paraId="58AB8E9B" w14:textId="77777777" w:rsidR="00EE3357" w:rsidRDefault="00000000">
      <w:r>
        <w:t xml:space="preserve">Evidence was appraised according to design appropriateness, sample and contextual adequacy, measurement validity, comparison strategy, treatment of confounding, duration, transparency, external validity and relevance to extension practice. </w:t>
      </w:r>
      <w:proofErr w:type="spellStart"/>
      <w:r>
        <w:t>Randomised</w:t>
      </w:r>
      <w:proofErr w:type="spellEnd"/>
      <w:r>
        <w:t xml:space="preserve"> evaluations were given greater weight for causal claims about information services, but their narrow interventions and time horizons were considered when judging </w:t>
      </w:r>
      <w:proofErr w:type="spellStart"/>
      <w:r>
        <w:t>generalisability</w:t>
      </w:r>
      <w:proofErr w:type="spellEnd"/>
      <w:r>
        <w:t xml:space="preserve"> to AI-enabled systems. Adoption surveys were treated as evidence of correlates rather than proof of causal mechanisms. Technical reviews established capability and model-performance trends but not automatically farm-level benefit. Qualitative and critical studies were assessed for depth, triangulation and explanatory value regarding trust, power, </w:t>
      </w:r>
      <w:proofErr w:type="spellStart"/>
      <w:r>
        <w:t>labour</w:t>
      </w:r>
      <w:proofErr w:type="spellEnd"/>
      <w:r>
        <w:t xml:space="preserve"> and institutional change. Themes were developed around extension paradigms, AI capabilities, comparative political economy, effectiveness, inclusion and governance. Apparent disagreements were interpreted in relation to differences in farm structure, infrastructure, intervention design, baseline advisory access, outcome definition and business model.</w:t>
      </w:r>
    </w:p>
    <w:p w14:paraId="488AB769" w14:textId="77777777" w:rsidR="00EE3357" w:rsidRDefault="00000000">
      <w:pPr>
        <w:pStyle w:val="Heading1"/>
      </w:pPr>
      <w:r>
        <w:lastRenderedPageBreak/>
        <w:t>3. From Technology Transfer to AI-Mediated Extension</w:t>
      </w:r>
    </w:p>
    <w:p w14:paraId="0CAB0E97" w14:textId="77777777" w:rsidR="00EE3357" w:rsidRDefault="00000000">
      <w:pPr>
        <w:pStyle w:val="Heading2"/>
      </w:pPr>
      <w:r>
        <w:t>3.1 Why the Linear Model Persists</w:t>
      </w:r>
    </w:p>
    <w:p w14:paraId="195B695C" w14:textId="77777777" w:rsidR="00EE3357" w:rsidRDefault="00000000">
      <w:r>
        <w:t xml:space="preserve">Technology transfer remains attractive because it offers a simple division of </w:t>
      </w:r>
      <w:proofErr w:type="spellStart"/>
      <w:r>
        <w:t>labour</w:t>
      </w:r>
      <w:proofErr w:type="spellEnd"/>
      <w:r>
        <w:t xml:space="preserve">: researchers produce knowledge, extension agents transmit recommendations, and farmers adopt or reject them. The model can be effective for well-specified practices under relatively uniform conditions, particularly when public institutions possess trusted field staff and the recommended technology is affordable. Its weakness is not that information never matters, but that it treats information deficit as the dominant cause of non-adoption. Extension research has repeatedly shown that farmers’ decisions also reflect risk, prices, </w:t>
      </w:r>
      <w:proofErr w:type="spellStart"/>
      <w:r>
        <w:t>labour</w:t>
      </w:r>
      <w:proofErr w:type="spellEnd"/>
      <w:r>
        <w:t>, social relations, access to inputs and credit, local experimentation, and confidence in institutions. Public extension systems themselves face incentives, staffing constraints and accountability problems that cannot be solved by increasing message volume alone (Anderson &amp; Feder, 2004; Birner et al., 2009).</w:t>
      </w:r>
    </w:p>
    <w:p w14:paraId="62E5B23B" w14:textId="77777777" w:rsidR="00EE3357" w:rsidRDefault="00000000">
      <w:r>
        <w:t>AI can reinforce the linear model when it is framed as a more efficient expert. A diagnostic model identifies a disease, a recommendation engine selects an input, and a chatbot delivers instructions. This architecture reduces marginal communication costs and can provide rapid support where extension coverage is weak. Yet it also compresses uncertainty. The model may not reveal that its training images underrepresent local varieties, that disease symptoms overlap with nutrient stress, or that the recommended input is unavailable or unsuitable for the farmer’s cash position. When the system presents a single answer without alternatives, confidence bounds or escalation, it converts probabilistic inference into apparent prescription. The result is technologically sophisticated transfer rather than an institutional transformation of extension.</w:t>
      </w:r>
    </w:p>
    <w:p w14:paraId="20F36A09" w14:textId="77777777" w:rsidR="00EE3357" w:rsidRDefault="00000000">
      <w:r>
        <w:t xml:space="preserve">The persistence of linearity is also </w:t>
      </w:r>
      <w:proofErr w:type="spellStart"/>
      <w:r>
        <w:t>organisational</w:t>
      </w:r>
      <w:proofErr w:type="spellEnd"/>
      <w:r>
        <w:t xml:space="preserve">. Digital projects are frequently commissioned with measurable outputs such as registrations, messages sent, queries answered or model accuracy. These metrics are easier to report than deliberative learning, changes in bargaining power or improved coordination among advisory actors. Commercial platforms may prefer advice that is </w:t>
      </w:r>
      <w:proofErr w:type="spellStart"/>
      <w:r>
        <w:t>standardisable</w:t>
      </w:r>
      <w:proofErr w:type="spellEnd"/>
      <w:r>
        <w:t xml:space="preserve"> and linked to saleable inputs or services. Public agencies under fiscal pressure may view automation as a substitute for field staff rather than as infrastructure for better professional work. Consequently, AI design choices are shaped by financing and accountability systems before they reach farmers.</w:t>
      </w:r>
    </w:p>
    <w:p w14:paraId="3537A4A0" w14:textId="77777777" w:rsidR="00EE3357" w:rsidRDefault="00000000">
      <w:pPr>
        <w:pStyle w:val="Heading2"/>
      </w:pPr>
      <w:r>
        <w:t>3.2 Pluralism, Participation and Innovation-System Facilitation</w:t>
      </w:r>
    </w:p>
    <w:p w14:paraId="32B3614C" w14:textId="77777777" w:rsidR="00EE3357" w:rsidRDefault="00000000">
      <w:r>
        <w:t xml:space="preserve">Pluralistic extension </w:t>
      </w:r>
      <w:proofErr w:type="spellStart"/>
      <w:r>
        <w:t>recognises</w:t>
      </w:r>
      <w:proofErr w:type="spellEnd"/>
      <w:r>
        <w:t xml:space="preserve"> that no single </w:t>
      </w:r>
      <w:proofErr w:type="spellStart"/>
      <w:r>
        <w:t>organisation</w:t>
      </w:r>
      <w:proofErr w:type="spellEnd"/>
      <w:r>
        <w:t xml:space="preserve"> can supply all required knowledge. Public agencies, agribusinesses, non-governmental </w:t>
      </w:r>
      <w:proofErr w:type="spellStart"/>
      <w:r>
        <w:t>organisations</w:t>
      </w:r>
      <w:proofErr w:type="spellEnd"/>
      <w:r>
        <w:t xml:space="preserve">, cooperatives, independent advisers and farmer networks possess different competencies and incentives. The ‘best fit’ approach therefore asks which combination of governance, capacity, management and delivery methods suits a particular problem and setting rather than prescribing one universal </w:t>
      </w:r>
      <w:proofErr w:type="spellStart"/>
      <w:r>
        <w:t>organisational</w:t>
      </w:r>
      <w:proofErr w:type="spellEnd"/>
      <w:r>
        <w:t xml:space="preserve"> form (Birner et al., 2009). Innovation-system perspectives go further by treating extension as facilitation among actors whose knowledge, resources and interests must be connected. Knowledge brokers do not merely transmit research; they translate, convene, mediate and help actors reframe problems (Klerkx et al., 2012). </w:t>
      </w:r>
      <w:proofErr w:type="spellStart"/>
      <w:r>
        <w:t>Humanising</w:t>
      </w:r>
      <w:proofErr w:type="spellEnd"/>
      <w:r>
        <w:t xml:space="preserve"> extension similarly </w:t>
      </w:r>
      <w:proofErr w:type="spellStart"/>
      <w:r>
        <w:t>emphasises</w:t>
      </w:r>
      <w:proofErr w:type="spellEnd"/>
      <w:r>
        <w:t xml:space="preserve"> relationships, recognition and the lived realities through which advice acquires meaning (Cook et al., 2021).</w:t>
      </w:r>
    </w:p>
    <w:p w14:paraId="26A86BEA" w14:textId="77777777" w:rsidR="00EE3357" w:rsidRDefault="00000000">
      <w:r>
        <w:t xml:space="preserve">These perspectives change the evaluative standard for AI. A system should not be judged only by whether it reaches more farmers or predicts accurately in a benchmark dataset. It should also be assessed by whether it improves the quality of interaction, makes uncertainty discussable, links farmers to relevant </w:t>
      </w:r>
      <w:proofErr w:type="spellStart"/>
      <w:r>
        <w:t>organisations</w:t>
      </w:r>
      <w:proofErr w:type="spellEnd"/>
      <w:r>
        <w:t xml:space="preserve">, and enables feedback to influence research and policy. AI can support these functions by retrieving diverse evidence, translating across languages, </w:t>
      </w:r>
      <w:proofErr w:type="spellStart"/>
      <w:r>
        <w:t>summarising</w:t>
      </w:r>
      <w:proofErr w:type="spellEnd"/>
      <w:r>
        <w:t xml:space="preserve"> field observations, identifying patterns across cases and routing complex problems to specialists. It can also impede them by privileging codified data, hiding </w:t>
      </w:r>
      <w:r>
        <w:lastRenderedPageBreak/>
        <w:t xml:space="preserve">contested assumptions, narrowing the range of </w:t>
      </w:r>
      <w:proofErr w:type="spellStart"/>
      <w:r>
        <w:t>recognised</w:t>
      </w:r>
      <w:proofErr w:type="spellEnd"/>
      <w:r>
        <w:t xml:space="preserve"> knowledge and moving decision authority towards platform owners.</w:t>
      </w:r>
    </w:p>
    <w:p w14:paraId="2640B88A" w14:textId="77777777" w:rsidR="00EE3357" w:rsidRDefault="00000000">
      <w:r>
        <w:t>Participatory extension does not imply that all claims are equally valid or that technical expertise is dispensable. It requires procedures through which scientific, local and commercial knowledge can be interrogated in relation to context. AI may strengthen this process when it offers hypotheses rather than commands, records the reasoning behind adviser decisions and learns from documented outcomes. It weakens participation when farmers are used principally as data providers or recipients of preselected recommendations. The decisive issue is therefore institutional design: who frames the problem, which evidence is legible to the system, who can contest an output, and how corrections travel back into models and advisory protocols.</w:t>
      </w:r>
    </w:p>
    <w:p w14:paraId="1BF45961" w14:textId="77777777" w:rsidR="00EE3357" w:rsidRDefault="00000000">
      <w:pPr>
        <w:pStyle w:val="Heading2"/>
      </w:pPr>
      <w:r>
        <w:t>3.3 A Human–AI Extension Ecology</w:t>
      </w:r>
    </w:p>
    <w:p w14:paraId="0815B083" w14:textId="77777777" w:rsidR="00EE3357" w:rsidRDefault="00000000">
      <w:r>
        <w:t xml:space="preserve">The concept of a human–AI extension ecology captures the interdependence of technical and social components. At its </w:t>
      </w:r>
      <w:proofErr w:type="spellStart"/>
      <w:r>
        <w:t>centre</w:t>
      </w:r>
      <w:proofErr w:type="spellEnd"/>
      <w:r>
        <w:t xml:space="preserve"> is not a model but an advisory episode: a farmer or group faces a decision under uncertainty. Data may come from the farmer’s description, images, sensors, weather services, markets and administrative records. AI may classify, predict, retrieve, translate or generate options. An extension professional, trained intermediary or farmer </w:t>
      </w:r>
      <w:proofErr w:type="spellStart"/>
      <w:r>
        <w:t>organisation</w:t>
      </w:r>
      <w:proofErr w:type="spellEnd"/>
      <w:r>
        <w:t xml:space="preserve"> interprets the output in relation to local conditions, communicates uncertainty and determines whether escalation is necessary. The farmer retains decision authority, while the system records outcomes that can improve future support. Governance institutions define permissible data uses, audit performance and allocate responsibility when advice causes harm.</w:t>
      </w:r>
    </w:p>
    <w:p w14:paraId="43215600" w14:textId="77777777" w:rsidR="00EE3357" w:rsidRDefault="00000000">
      <w:r>
        <w:t>This ecology is compatible with both LMIC and HIC settings, although its components differ. A village-based intermediary using a shared smartphone and a remote agronomist may perform functions analogous to an independent crop consultant interpreting sensor analytics for a large farm. The technologies, farm scales and business models are different, but both require contextual validation and trust. Framing AI as an ecology prevents the common mistake of comparing a stand-alone chatbot in one country with an integrated precision-farming platform in another as though they were equivalent interventions. It also keeps attention on the extension functions that must be preserved when delivery channels change.</w:t>
      </w:r>
    </w:p>
    <w:p w14:paraId="70ED119E" w14:textId="77777777" w:rsidR="00EE3357" w:rsidRDefault="00000000">
      <w:r>
        <w:t xml:space="preserve">Table 1 </w:t>
      </w:r>
      <w:proofErr w:type="spellStart"/>
      <w:r>
        <w:t>summarises</w:t>
      </w:r>
      <w:proofErr w:type="spellEnd"/>
      <w:r>
        <w:t xml:space="preserve"> the conceptual progression. The sequence is not a claim that one paradigm has replaced another; contemporary systems often combine all five. The analytical value lies in showing how the locus of expertise, the farmer’s role and the principal failure mode change as extension moves from transmission towards a governed human–AI ecology.</w:t>
      </w:r>
    </w:p>
    <w:p w14:paraId="51C9CF83" w14:textId="77777777" w:rsidR="00EE3357" w:rsidRDefault="00000000">
      <w:pPr>
        <w:keepNext/>
        <w:spacing w:before="120" w:after="80"/>
      </w:pPr>
      <w:r>
        <w:rPr>
          <w:b/>
          <w:sz w:val="20"/>
        </w:rPr>
        <w:t>Table 1. Evolution of extension paradigms and implications for artificial intelligence</w:t>
      </w:r>
    </w:p>
    <w:tbl>
      <w:tblPr>
        <w:tblStyle w:val="TableGrid"/>
        <w:tblW w:w="5000" w:type="pct"/>
        <w:jc w:val="center"/>
        <w:tblLook w:val="04A0" w:firstRow="1" w:lastRow="0" w:firstColumn="1" w:lastColumn="0" w:noHBand="0" w:noVBand="1"/>
      </w:tblPr>
      <w:tblGrid>
        <w:gridCol w:w="1525"/>
        <w:gridCol w:w="1790"/>
        <w:gridCol w:w="1458"/>
        <w:gridCol w:w="2385"/>
        <w:gridCol w:w="2650"/>
      </w:tblGrid>
      <w:tr w:rsidR="00EE3357" w14:paraId="02D6173A" w14:textId="77777777" w:rsidTr="00C97D6B">
        <w:trPr>
          <w:tblHeader/>
          <w:jc w:val="center"/>
        </w:trPr>
        <w:tc>
          <w:tcPr>
            <w:tcW w:w="777" w:type="pct"/>
            <w:shd w:val="clear" w:color="auto" w:fill="D9EAF7"/>
            <w:tcMar>
              <w:top w:w="70" w:type="dxa"/>
              <w:left w:w="80" w:type="dxa"/>
              <w:bottom w:w="70" w:type="dxa"/>
              <w:right w:w="80" w:type="dxa"/>
            </w:tcMar>
            <w:vAlign w:val="center"/>
          </w:tcPr>
          <w:p w14:paraId="462AAAD5" w14:textId="77777777" w:rsidR="00EE3357" w:rsidRDefault="00000000">
            <w:pPr>
              <w:spacing w:after="0"/>
              <w:jc w:val="center"/>
            </w:pPr>
            <w:r>
              <w:rPr>
                <w:b/>
                <w:sz w:val="17"/>
              </w:rPr>
              <w:t>Paradigm</w:t>
            </w:r>
          </w:p>
        </w:tc>
        <w:tc>
          <w:tcPr>
            <w:tcW w:w="912" w:type="pct"/>
            <w:shd w:val="clear" w:color="auto" w:fill="D9EAF7"/>
            <w:tcMar>
              <w:top w:w="70" w:type="dxa"/>
              <w:left w:w="80" w:type="dxa"/>
              <w:bottom w:w="70" w:type="dxa"/>
              <w:right w:w="80" w:type="dxa"/>
            </w:tcMar>
            <w:vAlign w:val="center"/>
          </w:tcPr>
          <w:p w14:paraId="6DE889D7" w14:textId="77777777" w:rsidR="00EE3357" w:rsidRDefault="00000000">
            <w:pPr>
              <w:spacing w:after="0"/>
              <w:jc w:val="center"/>
            </w:pPr>
            <w:r>
              <w:rPr>
                <w:b/>
                <w:sz w:val="17"/>
              </w:rPr>
              <w:t>Locus of expertise</w:t>
            </w:r>
          </w:p>
        </w:tc>
        <w:tc>
          <w:tcPr>
            <w:tcW w:w="743" w:type="pct"/>
            <w:shd w:val="clear" w:color="auto" w:fill="D9EAF7"/>
            <w:tcMar>
              <w:top w:w="70" w:type="dxa"/>
              <w:left w:w="80" w:type="dxa"/>
              <w:bottom w:w="70" w:type="dxa"/>
              <w:right w:w="80" w:type="dxa"/>
            </w:tcMar>
            <w:vAlign w:val="center"/>
          </w:tcPr>
          <w:p w14:paraId="0CFCDC7E" w14:textId="77777777" w:rsidR="00EE3357" w:rsidRDefault="00000000">
            <w:pPr>
              <w:spacing w:after="0"/>
              <w:jc w:val="center"/>
            </w:pPr>
            <w:r>
              <w:rPr>
                <w:b/>
                <w:sz w:val="17"/>
              </w:rPr>
              <w:t>Farmer role</w:t>
            </w:r>
          </w:p>
        </w:tc>
        <w:tc>
          <w:tcPr>
            <w:tcW w:w="1216" w:type="pct"/>
            <w:shd w:val="clear" w:color="auto" w:fill="D9EAF7"/>
            <w:tcMar>
              <w:top w:w="70" w:type="dxa"/>
              <w:left w:w="80" w:type="dxa"/>
              <w:bottom w:w="70" w:type="dxa"/>
              <w:right w:w="80" w:type="dxa"/>
            </w:tcMar>
            <w:vAlign w:val="center"/>
          </w:tcPr>
          <w:p w14:paraId="5BA38A17" w14:textId="77777777" w:rsidR="00EE3357" w:rsidRDefault="00000000">
            <w:pPr>
              <w:spacing w:after="0"/>
              <w:jc w:val="center"/>
            </w:pPr>
            <w:r>
              <w:rPr>
                <w:b/>
                <w:sz w:val="17"/>
              </w:rPr>
              <w:t>Potential contribution of AI</w:t>
            </w:r>
          </w:p>
        </w:tc>
        <w:tc>
          <w:tcPr>
            <w:tcW w:w="1351" w:type="pct"/>
            <w:shd w:val="clear" w:color="auto" w:fill="D9EAF7"/>
            <w:tcMar>
              <w:top w:w="70" w:type="dxa"/>
              <w:left w:w="80" w:type="dxa"/>
              <w:bottom w:w="70" w:type="dxa"/>
              <w:right w:w="80" w:type="dxa"/>
            </w:tcMar>
            <w:vAlign w:val="center"/>
          </w:tcPr>
          <w:p w14:paraId="2BF576AA" w14:textId="77777777" w:rsidR="00EE3357" w:rsidRDefault="00000000">
            <w:pPr>
              <w:spacing w:after="0"/>
              <w:jc w:val="center"/>
            </w:pPr>
            <w:r>
              <w:rPr>
                <w:b/>
                <w:sz w:val="17"/>
              </w:rPr>
              <w:t>Principal risk and supporting references</w:t>
            </w:r>
          </w:p>
        </w:tc>
      </w:tr>
      <w:tr w:rsidR="00EE3357" w14:paraId="63832811" w14:textId="77777777" w:rsidTr="00C97D6B">
        <w:trPr>
          <w:jc w:val="center"/>
        </w:trPr>
        <w:tc>
          <w:tcPr>
            <w:tcW w:w="777" w:type="pct"/>
            <w:tcMar>
              <w:top w:w="70" w:type="dxa"/>
              <w:left w:w="80" w:type="dxa"/>
              <w:bottom w:w="70" w:type="dxa"/>
              <w:right w:w="80" w:type="dxa"/>
            </w:tcMar>
            <w:vAlign w:val="center"/>
          </w:tcPr>
          <w:p w14:paraId="6A45B9C6" w14:textId="77777777" w:rsidR="00EE3357" w:rsidRDefault="00000000">
            <w:pPr>
              <w:spacing w:after="0"/>
              <w:jc w:val="center"/>
            </w:pPr>
            <w:r>
              <w:rPr>
                <w:sz w:val="16"/>
              </w:rPr>
              <w:t>Technology transfer</w:t>
            </w:r>
          </w:p>
        </w:tc>
        <w:tc>
          <w:tcPr>
            <w:tcW w:w="912" w:type="pct"/>
            <w:tcMar>
              <w:top w:w="70" w:type="dxa"/>
              <w:left w:w="80" w:type="dxa"/>
              <w:bottom w:w="70" w:type="dxa"/>
              <w:right w:w="80" w:type="dxa"/>
            </w:tcMar>
            <w:vAlign w:val="center"/>
          </w:tcPr>
          <w:p w14:paraId="0FF4D97F" w14:textId="77777777" w:rsidR="00EE3357" w:rsidRDefault="00000000">
            <w:pPr>
              <w:spacing w:after="0"/>
              <w:jc w:val="left"/>
            </w:pPr>
            <w:r>
              <w:rPr>
                <w:sz w:val="16"/>
              </w:rPr>
              <w:t>Research and technical agencies</w:t>
            </w:r>
          </w:p>
        </w:tc>
        <w:tc>
          <w:tcPr>
            <w:tcW w:w="743" w:type="pct"/>
            <w:tcMar>
              <w:top w:w="70" w:type="dxa"/>
              <w:left w:w="80" w:type="dxa"/>
              <w:bottom w:w="70" w:type="dxa"/>
              <w:right w:w="80" w:type="dxa"/>
            </w:tcMar>
            <w:vAlign w:val="center"/>
          </w:tcPr>
          <w:p w14:paraId="3F488B38" w14:textId="77777777" w:rsidR="00EE3357" w:rsidRDefault="00000000">
            <w:pPr>
              <w:spacing w:after="0"/>
              <w:jc w:val="left"/>
            </w:pPr>
            <w:r>
              <w:rPr>
                <w:sz w:val="16"/>
              </w:rPr>
              <w:t>Recipient and adopter</w:t>
            </w:r>
          </w:p>
        </w:tc>
        <w:tc>
          <w:tcPr>
            <w:tcW w:w="1216" w:type="pct"/>
            <w:tcMar>
              <w:top w:w="70" w:type="dxa"/>
              <w:left w:w="80" w:type="dxa"/>
              <w:bottom w:w="70" w:type="dxa"/>
              <w:right w:w="80" w:type="dxa"/>
            </w:tcMar>
            <w:vAlign w:val="center"/>
          </w:tcPr>
          <w:p w14:paraId="5D11B204" w14:textId="77777777" w:rsidR="00EE3357" w:rsidRDefault="00000000">
            <w:pPr>
              <w:spacing w:after="0"/>
              <w:jc w:val="left"/>
            </w:pPr>
            <w:r>
              <w:rPr>
                <w:sz w:val="16"/>
              </w:rPr>
              <w:t xml:space="preserve">Rapid diagnosis, </w:t>
            </w:r>
            <w:proofErr w:type="spellStart"/>
            <w:r>
              <w:rPr>
                <w:sz w:val="16"/>
              </w:rPr>
              <w:t>standardised</w:t>
            </w:r>
            <w:proofErr w:type="spellEnd"/>
            <w:r>
              <w:rPr>
                <w:sz w:val="16"/>
              </w:rPr>
              <w:t xml:space="preserve"> recommendations, broad dissemination</w:t>
            </w:r>
          </w:p>
        </w:tc>
        <w:tc>
          <w:tcPr>
            <w:tcW w:w="1351" w:type="pct"/>
            <w:tcMar>
              <w:top w:w="70" w:type="dxa"/>
              <w:left w:w="80" w:type="dxa"/>
              <w:bottom w:w="70" w:type="dxa"/>
              <w:right w:w="80" w:type="dxa"/>
            </w:tcMar>
            <w:vAlign w:val="center"/>
          </w:tcPr>
          <w:p w14:paraId="0AE73905" w14:textId="77777777" w:rsidR="00EE3357" w:rsidRDefault="00000000">
            <w:pPr>
              <w:spacing w:after="0"/>
              <w:jc w:val="left"/>
            </w:pPr>
            <w:r>
              <w:rPr>
                <w:sz w:val="16"/>
              </w:rPr>
              <w:t>False universality; advice detached from constraints (Anderson &amp; Feder, 2004)</w:t>
            </w:r>
          </w:p>
        </w:tc>
      </w:tr>
      <w:tr w:rsidR="00EE3357" w14:paraId="3617A71B" w14:textId="77777777" w:rsidTr="00C97D6B">
        <w:trPr>
          <w:jc w:val="center"/>
        </w:trPr>
        <w:tc>
          <w:tcPr>
            <w:tcW w:w="777" w:type="pct"/>
            <w:tcMar>
              <w:top w:w="70" w:type="dxa"/>
              <w:left w:w="80" w:type="dxa"/>
              <w:bottom w:w="70" w:type="dxa"/>
              <w:right w:w="80" w:type="dxa"/>
            </w:tcMar>
            <w:vAlign w:val="center"/>
          </w:tcPr>
          <w:p w14:paraId="39A4F74E" w14:textId="77777777" w:rsidR="00EE3357" w:rsidRDefault="00000000">
            <w:pPr>
              <w:spacing w:after="0"/>
              <w:jc w:val="center"/>
            </w:pPr>
            <w:r>
              <w:rPr>
                <w:sz w:val="16"/>
              </w:rPr>
              <w:t>Pluralistic advisory services</w:t>
            </w:r>
          </w:p>
        </w:tc>
        <w:tc>
          <w:tcPr>
            <w:tcW w:w="912" w:type="pct"/>
            <w:tcMar>
              <w:top w:w="70" w:type="dxa"/>
              <w:left w:w="80" w:type="dxa"/>
              <w:bottom w:w="70" w:type="dxa"/>
              <w:right w:w="80" w:type="dxa"/>
            </w:tcMar>
            <w:vAlign w:val="center"/>
          </w:tcPr>
          <w:p w14:paraId="08B05118" w14:textId="77777777" w:rsidR="00EE3357" w:rsidRDefault="00000000">
            <w:pPr>
              <w:spacing w:after="0"/>
              <w:jc w:val="left"/>
            </w:pPr>
            <w:r>
              <w:rPr>
                <w:sz w:val="16"/>
              </w:rPr>
              <w:t>Multiple public, private and civic providers</w:t>
            </w:r>
          </w:p>
        </w:tc>
        <w:tc>
          <w:tcPr>
            <w:tcW w:w="743" w:type="pct"/>
            <w:tcMar>
              <w:top w:w="70" w:type="dxa"/>
              <w:left w:w="80" w:type="dxa"/>
              <w:bottom w:w="70" w:type="dxa"/>
              <w:right w:w="80" w:type="dxa"/>
            </w:tcMar>
            <w:vAlign w:val="center"/>
          </w:tcPr>
          <w:p w14:paraId="6F23AC74" w14:textId="77777777" w:rsidR="00EE3357" w:rsidRDefault="00000000">
            <w:pPr>
              <w:spacing w:after="0"/>
              <w:jc w:val="left"/>
            </w:pPr>
            <w:r>
              <w:rPr>
                <w:sz w:val="16"/>
              </w:rPr>
              <w:t>Client choosing among services</w:t>
            </w:r>
          </w:p>
        </w:tc>
        <w:tc>
          <w:tcPr>
            <w:tcW w:w="1216" w:type="pct"/>
            <w:tcMar>
              <w:top w:w="70" w:type="dxa"/>
              <w:left w:w="80" w:type="dxa"/>
              <w:bottom w:w="70" w:type="dxa"/>
              <w:right w:w="80" w:type="dxa"/>
            </w:tcMar>
            <w:vAlign w:val="center"/>
          </w:tcPr>
          <w:p w14:paraId="469BDAD2" w14:textId="77777777" w:rsidR="00EE3357" w:rsidRDefault="00000000">
            <w:pPr>
              <w:spacing w:after="0"/>
              <w:jc w:val="left"/>
            </w:pPr>
            <w:r>
              <w:rPr>
                <w:sz w:val="16"/>
              </w:rPr>
              <w:t>Routing, provider matching and shared knowledge resources</w:t>
            </w:r>
          </w:p>
        </w:tc>
        <w:tc>
          <w:tcPr>
            <w:tcW w:w="1351" w:type="pct"/>
            <w:tcMar>
              <w:top w:w="70" w:type="dxa"/>
              <w:left w:w="80" w:type="dxa"/>
              <w:bottom w:w="70" w:type="dxa"/>
              <w:right w:w="80" w:type="dxa"/>
            </w:tcMar>
            <w:vAlign w:val="center"/>
          </w:tcPr>
          <w:p w14:paraId="64268DB8" w14:textId="77777777" w:rsidR="00EE3357" w:rsidRDefault="00000000">
            <w:pPr>
              <w:spacing w:after="0"/>
              <w:jc w:val="left"/>
            </w:pPr>
            <w:r>
              <w:rPr>
                <w:sz w:val="16"/>
              </w:rPr>
              <w:t>Fragmentation and commercial conflicts (Birner et al., 2009)</w:t>
            </w:r>
          </w:p>
        </w:tc>
      </w:tr>
      <w:tr w:rsidR="00EE3357" w14:paraId="437C1329" w14:textId="77777777" w:rsidTr="00C97D6B">
        <w:trPr>
          <w:jc w:val="center"/>
        </w:trPr>
        <w:tc>
          <w:tcPr>
            <w:tcW w:w="777" w:type="pct"/>
            <w:tcMar>
              <w:top w:w="70" w:type="dxa"/>
              <w:left w:w="80" w:type="dxa"/>
              <w:bottom w:w="70" w:type="dxa"/>
              <w:right w:w="80" w:type="dxa"/>
            </w:tcMar>
            <w:vAlign w:val="center"/>
          </w:tcPr>
          <w:p w14:paraId="447299CA" w14:textId="77777777" w:rsidR="00EE3357" w:rsidRDefault="00000000">
            <w:pPr>
              <w:spacing w:after="0"/>
              <w:jc w:val="center"/>
            </w:pPr>
            <w:r>
              <w:rPr>
                <w:sz w:val="16"/>
              </w:rPr>
              <w:t>Participatory extension</w:t>
            </w:r>
          </w:p>
        </w:tc>
        <w:tc>
          <w:tcPr>
            <w:tcW w:w="912" w:type="pct"/>
            <w:tcMar>
              <w:top w:w="70" w:type="dxa"/>
              <w:left w:w="80" w:type="dxa"/>
              <w:bottom w:w="70" w:type="dxa"/>
              <w:right w:w="80" w:type="dxa"/>
            </w:tcMar>
            <w:vAlign w:val="center"/>
          </w:tcPr>
          <w:p w14:paraId="7B82B232" w14:textId="77777777" w:rsidR="00EE3357" w:rsidRDefault="00000000">
            <w:pPr>
              <w:spacing w:after="0"/>
              <w:jc w:val="left"/>
            </w:pPr>
            <w:r>
              <w:rPr>
                <w:sz w:val="16"/>
              </w:rPr>
              <w:t>Distributed across farmers and facilitators</w:t>
            </w:r>
          </w:p>
        </w:tc>
        <w:tc>
          <w:tcPr>
            <w:tcW w:w="743" w:type="pct"/>
            <w:tcMar>
              <w:top w:w="70" w:type="dxa"/>
              <w:left w:w="80" w:type="dxa"/>
              <w:bottom w:w="70" w:type="dxa"/>
              <w:right w:w="80" w:type="dxa"/>
            </w:tcMar>
            <w:vAlign w:val="center"/>
          </w:tcPr>
          <w:p w14:paraId="5FFB23DE" w14:textId="77777777" w:rsidR="00EE3357" w:rsidRDefault="00000000">
            <w:pPr>
              <w:spacing w:after="0"/>
              <w:jc w:val="left"/>
            </w:pPr>
            <w:r>
              <w:rPr>
                <w:sz w:val="16"/>
              </w:rPr>
              <w:t>Co-producer of knowledge</w:t>
            </w:r>
          </w:p>
        </w:tc>
        <w:tc>
          <w:tcPr>
            <w:tcW w:w="1216" w:type="pct"/>
            <w:tcMar>
              <w:top w:w="70" w:type="dxa"/>
              <w:left w:w="80" w:type="dxa"/>
              <w:bottom w:w="70" w:type="dxa"/>
              <w:right w:w="80" w:type="dxa"/>
            </w:tcMar>
            <w:vAlign w:val="center"/>
          </w:tcPr>
          <w:p w14:paraId="409BF7A8" w14:textId="77777777" w:rsidR="00EE3357" w:rsidRDefault="00000000">
            <w:pPr>
              <w:spacing w:after="0"/>
              <w:jc w:val="left"/>
            </w:pPr>
            <w:r>
              <w:rPr>
                <w:sz w:val="16"/>
              </w:rPr>
              <w:t>Translation, documentation of local observations and collaborative interpretation</w:t>
            </w:r>
          </w:p>
        </w:tc>
        <w:tc>
          <w:tcPr>
            <w:tcW w:w="1351" w:type="pct"/>
            <w:tcMar>
              <w:top w:w="70" w:type="dxa"/>
              <w:left w:w="80" w:type="dxa"/>
              <w:bottom w:w="70" w:type="dxa"/>
              <w:right w:w="80" w:type="dxa"/>
            </w:tcMar>
            <w:vAlign w:val="center"/>
          </w:tcPr>
          <w:p w14:paraId="3A78B31C" w14:textId="77777777" w:rsidR="00EE3357" w:rsidRDefault="00000000">
            <w:pPr>
              <w:spacing w:after="0"/>
              <w:jc w:val="left"/>
            </w:pPr>
            <w:r>
              <w:rPr>
                <w:sz w:val="16"/>
              </w:rPr>
              <w:t>Token participation if model assumptions are fixed (Cook et al., 2021; Wijeratne &amp; De Silva, 2024)</w:t>
            </w:r>
          </w:p>
        </w:tc>
      </w:tr>
      <w:tr w:rsidR="00EE3357" w14:paraId="4D1EB3B8" w14:textId="77777777" w:rsidTr="00C97D6B">
        <w:trPr>
          <w:jc w:val="center"/>
        </w:trPr>
        <w:tc>
          <w:tcPr>
            <w:tcW w:w="777" w:type="pct"/>
            <w:tcMar>
              <w:top w:w="70" w:type="dxa"/>
              <w:left w:w="80" w:type="dxa"/>
              <w:bottom w:w="70" w:type="dxa"/>
              <w:right w:w="80" w:type="dxa"/>
            </w:tcMar>
            <w:vAlign w:val="center"/>
          </w:tcPr>
          <w:p w14:paraId="09F7EB82" w14:textId="77777777" w:rsidR="00EE3357" w:rsidRDefault="00000000">
            <w:pPr>
              <w:spacing w:after="0"/>
              <w:jc w:val="center"/>
            </w:pPr>
            <w:r>
              <w:rPr>
                <w:sz w:val="16"/>
              </w:rPr>
              <w:t>Innovation-system facilitation</w:t>
            </w:r>
          </w:p>
        </w:tc>
        <w:tc>
          <w:tcPr>
            <w:tcW w:w="912" w:type="pct"/>
            <w:tcMar>
              <w:top w:w="70" w:type="dxa"/>
              <w:left w:w="80" w:type="dxa"/>
              <w:bottom w:w="70" w:type="dxa"/>
              <w:right w:w="80" w:type="dxa"/>
            </w:tcMar>
            <w:vAlign w:val="center"/>
          </w:tcPr>
          <w:p w14:paraId="07128504" w14:textId="77777777" w:rsidR="00EE3357" w:rsidRDefault="00000000">
            <w:pPr>
              <w:spacing w:after="0"/>
              <w:jc w:val="left"/>
            </w:pPr>
            <w:r>
              <w:rPr>
                <w:sz w:val="16"/>
              </w:rPr>
              <w:t>Networks and brokers</w:t>
            </w:r>
          </w:p>
        </w:tc>
        <w:tc>
          <w:tcPr>
            <w:tcW w:w="743" w:type="pct"/>
            <w:tcMar>
              <w:top w:w="70" w:type="dxa"/>
              <w:left w:w="80" w:type="dxa"/>
              <w:bottom w:w="70" w:type="dxa"/>
              <w:right w:w="80" w:type="dxa"/>
            </w:tcMar>
            <w:vAlign w:val="center"/>
          </w:tcPr>
          <w:p w14:paraId="6C859310" w14:textId="77777777" w:rsidR="00EE3357" w:rsidRDefault="00000000">
            <w:pPr>
              <w:spacing w:after="0"/>
              <w:jc w:val="left"/>
            </w:pPr>
            <w:r>
              <w:rPr>
                <w:sz w:val="16"/>
              </w:rPr>
              <w:t>Actor within an innovation system</w:t>
            </w:r>
          </w:p>
        </w:tc>
        <w:tc>
          <w:tcPr>
            <w:tcW w:w="1216" w:type="pct"/>
            <w:tcMar>
              <w:top w:w="70" w:type="dxa"/>
              <w:left w:w="80" w:type="dxa"/>
              <w:bottom w:w="70" w:type="dxa"/>
              <w:right w:w="80" w:type="dxa"/>
            </w:tcMar>
            <w:vAlign w:val="center"/>
          </w:tcPr>
          <w:p w14:paraId="5B67B7E2" w14:textId="77777777" w:rsidR="00EE3357" w:rsidRDefault="00000000">
            <w:pPr>
              <w:spacing w:after="0"/>
              <w:jc w:val="left"/>
            </w:pPr>
            <w:r>
              <w:rPr>
                <w:sz w:val="16"/>
              </w:rPr>
              <w:t>Pattern detection, coordination and institutional memory</w:t>
            </w:r>
          </w:p>
        </w:tc>
        <w:tc>
          <w:tcPr>
            <w:tcW w:w="1351" w:type="pct"/>
            <w:tcMar>
              <w:top w:w="70" w:type="dxa"/>
              <w:left w:w="80" w:type="dxa"/>
              <w:bottom w:w="70" w:type="dxa"/>
              <w:right w:w="80" w:type="dxa"/>
            </w:tcMar>
            <w:vAlign w:val="center"/>
          </w:tcPr>
          <w:p w14:paraId="350648AC" w14:textId="77777777" w:rsidR="00EE3357" w:rsidRDefault="00000000">
            <w:pPr>
              <w:spacing w:after="0"/>
              <w:jc w:val="left"/>
            </w:pPr>
            <w:r>
              <w:rPr>
                <w:sz w:val="16"/>
              </w:rPr>
              <w:t xml:space="preserve">Data-rich actors gain disproportionate agenda power (Klerkx et al., 2012; </w:t>
            </w:r>
            <w:proofErr w:type="spellStart"/>
            <w:r>
              <w:rPr>
                <w:sz w:val="16"/>
              </w:rPr>
              <w:t>Fielke</w:t>
            </w:r>
            <w:proofErr w:type="spellEnd"/>
            <w:r>
              <w:rPr>
                <w:sz w:val="16"/>
              </w:rPr>
              <w:t xml:space="preserve"> et al., 2020)</w:t>
            </w:r>
          </w:p>
        </w:tc>
      </w:tr>
      <w:tr w:rsidR="00EE3357" w14:paraId="366C9DE0" w14:textId="77777777" w:rsidTr="00C97D6B">
        <w:trPr>
          <w:jc w:val="center"/>
        </w:trPr>
        <w:tc>
          <w:tcPr>
            <w:tcW w:w="777" w:type="pct"/>
            <w:tcMar>
              <w:top w:w="70" w:type="dxa"/>
              <w:left w:w="80" w:type="dxa"/>
              <w:bottom w:w="70" w:type="dxa"/>
              <w:right w:w="80" w:type="dxa"/>
            </w:tcMar>
            <w:vAlign w:val="center"/>
          </w:tcPr>
          <w:p w14:paraId="2DE16D64" w14:textId="77777777" w:rsidR="00EE3357" w:rsidRDefault="00000000">
            <w:pPr>
              <w:spacing w:after="0"/>
              <w:jc w:val="center"/>
            </w:pPr>
            <w:r>
              <w:rPr>
                <w:sz w:val="16"/>
              </w:rPr>
              <w:t xml:space="preserve">Human–AI </w:t>
            </w:r>
            <w:r>
              <w:rPr>
                <w:sz w:val="16"/>
              </w:rPr>
              <w:lastRenderedPageBreak/>
              <w:t>extension ecology</w:t>
            </w:r>
          </w:p>
        </w:tc>
        <w:tc>
          <w:tcPr>
            <w:tcW w:w="912" w:type="pct"/>
            <w:tcMar>
              <w:top w:w="70" w:type="dxa"/>
              <w:left w:w="80" w:type="dxa"/>
              <w:bottom w:w="70" w:type="dxa"/>
              <w:right w:w="80" w:type="dxa"/>
            </w:tcMar>
            <w:vAlign w:val="center"/>
          </w:tcPr>
          <w:p w14:paraId="3C2E5D1C" w14:textId="77777777" w:rsidR="00EE3357" w:rsidRDefault="00000000">
            <w:pPr>
              <w:spacing w:after="0"/>
              <w:jc w:val="left"/>
            </w:pPr>
            <w:r>
              <w:rPr>
                <w:sz w:val="16"/>
              </w:rPr>
              <w:lastRenderedPageBreak/>
              <w:t xml:space="preserve">Accountable </w:t>
            </w:r>
            <w:r>
              <w:rPr>
                <w:sz w:val="16"/>
              </w:rPr>
              <w:lastRenderedPageBreak/>
              <w:t>combination of models, professionals and farmers</w:t>
            </w:r>
          </w:p>
        </w:tc>
        <w:tc>
          <w:tcPr>
            <w:tcW w:w="743" w:type="pct"/>
            <w:tcMar>
              <w:top w:w="70" w:type="dxa"/>
              <w:left w:w="80" w:type="dxa"/>
              <w:bottom w:w="70" w:type="dxa"/>
              <w:right w:w="80" w:type="dxa"/>
            </w:tcMar>
            <w:vAlign w:val="center"/>
          </w:tcPr>
          <w:p w14:paraId="59B6D576" w14:textId="77777777" w:rsidR="00EE3357" w:rsidRDefault="00000000">
            <w:pPr>
              <w:spacing w:after="0"/>
              <w:jc w:val="left"/>
            </w:pPr>
            <w:r>
              <w:rPr>
                <w:sz w:val="16"/>
              </w:rPr>
              <w:lastRenderedPageBreak/>
              <w:t xml:space="preserve">Decision-maker </w:t>
            </w:r>
            <w:r>
              <w:rPr>
                <w:sz w:val="16"/>
              </w:rPr>
              <w:lastRenderedPageBreak/>
              <w:t>with contestation rights</w:t>
            </w:r>
          </w:p>
        </w:tc>
        <w:tc>
          <w:tcPr>
            <w:tcW w:w="1216" w:type="pct"/>
            <w:tcMar>
              <w:top w:w="70" w:type="dxa"/>
              <w:left w:w="80" w:type="dxa"/>
              <w:bottom w:w="70" w:type="dxa"/>
              <w:right w:w="80" w:type="dxa"/>
            </w:tcMar>
            <w:vAlign w:val="center"/>
          </w:tcPr>
          <w:p w14:paraId="5627E4FC" w14:textId="77777777" w:rsidR="00EE3357" w:rsidRDefault="00000000">
            <w:pPr>
              <w:spacing w:after="0"/>
              <w:jc w:val="left"/>
            </w:pPr>
            <w:r>
              <w:rPr>
                <w:sz w:val="16"/>
              </w:rPr>
              <w:lastRenderedPageBreak/>
              <w:t xml:space="preserve">Contextual options, uncertainty </w:t>
            </w:r>
            <w:r>
              <w:rPr>
                <w:sz w:val="16"/>
              </w:rPr>
              <w:lastRenderedPageBreak/>
              <w:t>support, escalation and learning loops</w:t>
            </w:r>
          </w:p>
        </w:tc>
        <w:tc>
          <w:tcPr>
            <w:tcW w:w="1351" w:type="pct"/>
            <w:tcMar>
              <w:top w:w="70" w:type="dxa"/>
              <w:left w:w="80" w:type="dxa"/>
              <w:bottom w:w="70" w:type="dxa"/>
              <w:right w:w="80" w:type="dxa"/>
            </w:tcMar>
            <w:vAlign w:val="center"/>
          </w:tcPr>
          <w:p w14:paraId="53887E93" w14:textId="77777777" w:rsidR="00EE3357" w:rsidRDefault="00000000">
            <w:pPr>
              <w:spacing w:after="0"/>
              <w:jc w:val="left"/>
            </w:pPr>
            <w:r>
              <w:rPr>
                <w:sz w:val="16"/>
              </w:rPr>
              <w:lastRenderedPageBreak/>
              <w:t xml:space="preserve">Automation bias, opaque </w:t>
            </w:r>
            <w:r>
              <w:rPr>
                <w:sz w:val="16"/>
              </w:rPr>
              <w:lastRenderedPageBreak/>
              <w:t>responsibility and data extraction (High et al., 2026; van der Burg et al., 2019)</w:t>
            </w:r>
          </w:p>
        </w:tc>
      </w:tr>
    </w:tbl>
    <w:p w14:paraId="7FF1775C" w14:textId="77777777" w:rsidR="00EE3357" w:rsidRDefault="00000000">
      <w:pPr>
        <w:spacing w:before="60" w:after="140"/>
      </w:pPr>
      <w:r>
        <w:rPr>
          <w:i/>
          <w:sz w:val="17"/>
        </w:rPr>
        <w:lastRenderedPageBreak/>
        <w:t xml:space="preserve">Note. </w:t>
      </w:r>
      <w:r>
        <w:rPr>
          <w:sz w:val="17"/>
        </w:rPr>
        <w:t>AI = artificial intelligence.</w:t>
      </w:r>
    </w:p>
    <w:p w14:paraId="6D7CEE38" w14:textId="77777777" w:rsidR="00EE3357" w:rsidRDefault="00000000">
      <w:pPr>
        <w:pStyle w:val="Heading1"/>
      </w:pPr>
      <w:r>
        <w:t>4. The AI Extension Stack: Capabilities, Evidence and Limits</w:t>
      </w:r>
    </w:p>
    <w:p w14:paraId="6CCBC676" w14:textId="77777777" w:rsidR="00EE3357" w:rsidRDefault="00000000">
      <w:pPr>
        <w:pStyle w:val="Heading2"/>
      </w:pPr>
      <w:r>
        <w:t>4.1 Sensing and Diagnostic Classification</w:t>
      </w:r>
    </w:p>
    <w:p w14:paraId="6089A144" w14:textId="77777777" w:rsidR="00EE3357" w:rsidRDefault="00000000">
      <w:r>
        <w:t xml:space="preserve">Machine learning can transform images, acoustic signals, satellite data and sensor streams into classifications relevant to extension. Reviews document rapid development in plant-disease recognition, weed detection, yield estimation, irrigation management and input </w:t>
      </w:r>
      <w:proofErr w:type="spellStart"/>
      <w:r>
        <w:t>optimisation</w:t>
      </w:r>
      <w:proofErr w:type="spellEnd"/>
      <w:r>
        <w:t xml:space="preserve"> (</w:t>
      </w:r>
      <w:proofErr w:type="spellStart"/>
      <w:r>
        <w:t>Kamilaris</w:t>
      </w:r>
      <w:proofErr w:type="spellEnd"/>
      <w:r>
        <w:t xml:space="preserve"> &amp; </w:t>
      </w:r>
      <w:proofErr w:type="spellStart"/>
      <w:r>
        <w:t>Prenafeta-Boldú</w:t>
      </w:r>
      <w:proofErr w:type="spellEnd"/>
      <w:r>
        <w:t xml:space="preserve">, 2018; Liakos et al., 2018; </w:t>
      </w:r>
      <w:proofErr w:type="spellStart"/>
      <w:r>
        <w:t>Talaviya</w:t>
      </w:r>
      <w:proofErr w:type="spellEnd"/>
      <w:r>
        <w:t xml:space="preserve"> et al., 2020). These capabilities can reduce the time between field observation and specialist attention, especially where agronomists cover large territories. Image-based triage is particularly attractive because smartphones can capture symptoms without </w:t>
      </w:r>
      <w:proofErr w:type="spellStart"/>
      <w:r>
        <w:t>specialised</w:t>
      </w:r>
      <w:proofErr w:type="spellEnd"/>
      <w:r>
        <w:t xml:space="preserve"> instruments. In HIC systems, the same logic operates through connected machinery and remote-sensing services that continuously flag anomalies.</w:t>
      </w:r>
    </w:p>
    <w:p w14:paraId="1AFC860C" w14:textId="77777777" w:rsidR="00EE3357" w:rsidRDefault="00000000">
      <w:r>
        <w:t xml:space="preserve">Benchmark accuracy does not establish diagnostic utility. Agricultural images collected under controlled conditions may differ from farmer photographs in lighting, background, growth stage and symptom severity. A classifier may confuse diseases, nutrient deficiencies, herbicide injury and environmental stress. Even a correct label may not determine an appropriate intervention because treatment depends on crop stage, resistance, weather, economics and regulation. Diagnostic AI therefore needs a rejection option when confidence is low, explicit differential diagnoses and a pathway to human review. Extension </w:t>
      </w:r>
      <w:proofErr w:type="spellStart"/>
      <w:r>
        <w:t>organisations</w:t>
      </w:r>
      <w:proofErr w:type="spellEnd"/>
      <w:r>
        <w:t xml:space="preserve"> must monitor performance by crop, region and user group rather than relying on an aggregate accuracy statistic.</w:t>
      </w:r>
    </w:p>
    <w:p w14:paraId="64AF33C1" w14:textId="77777777" w:rsidR="00EE3357" w:rsidRDefault="00000000">
      <w:r>
        <w:t>Data representativeness is a comparative fault line. HIC farms may generate abundant sensor and machinery data, but datasets can be locked inside proprietary systems and skewed towards large, capital-intensive operations. LMIC services may have more diverse smallholder contexts but sparse labelled data, inconsistent connectivity and limited capacity for sustained annotation. Both settings face distribution shift as varieties, pest populations, management practices and climate conditions change. Local validation is therefore not a one-time pre-deployment activity; it is a continuing extension function that depends on field observations and feedback.</w:t>
      </w:r>
    </w:p>
    <w:p w14:paraId="30615233" w14:textId="77777777" w:rsidR="00EE3357" w:rsidRDefault="00000000">
      <w:pPr>
        <w:pStyle w:val="Heading2"/>
      </w:pPr>
      <w:r>
        <w:t>4.2 Prediction and Recommendation</w:t>
      </w:r>
    </w:p>
    <w:p w14:paraId="209B3543" w14:textId="77777777" w:rsidR="00EE3357" w:rsidRDefault="00000000">
      <w:r>
        <w:t>Predictive models combine weather, soil, crop and management data to estimate yield, pest risk, irrigation need or the likely response to an intervention. In principle, this makes advice more timely and site-specific than calendar-based recommendations. Digital agriculture scholarship argues that such integration can support resource efficiency and system design, while big-data research highlights opportunities across farm management and value chains (Basso &amp; Antle, 2020; Coble et al., 2018; Wolfert et al., 2017). For extension, prediction is valuable when it changes a decision before losses occur and when the farmer can act on the warning.</w:t>
      </w:r>
    </w:p>
    <w:p w14:paraId="7D5710CC" w14:textId="77777777" w:rsidR="00EE3357" w:rsidRDefault="00000000">
      <w:r>
        <w:t xml:space="preserve">The move from prediction to recommendation introduces normative and economic assumptions. A model </w:t>
      </w:r>
      <w:proofErr w:type="spellStart"/>
      <w:r>
        <w:t>optimising</w:t>
      </w:r>
      <w:proofErr w:type="spellEnd"/>
      <w:r>
        <w:t xml:space="preserve"> expected yield may recommend a strategy that increases financial exposure, </w:t>
      </w:r>
      <w:proofErr w:type="spellStart"/>
      <w:r>
        <w:t>labour</w:t>
      </w:r>
      <w:proofErr w:type="spellEnd"/>
      <w:r>
        <w:t xml:space="preserve"> demand or environmental risk. A risk-averse smallholder may rationally prefer a lower expected return with less </w:t>
      </w:r>
      <w:r>
        <w:lastRenderedPageBreak/>
        <w:t xml:space="preserve">downside. A commercial grain producer may </w:t>
      </w:r>
      <w:proofErr w:type="spellStart"/>
      <w:r>
        <w:t>prioritise</w:t>
      </w:r>
      <w:proofErr w:type="spellEnd"/>
      <w:r>
        <w:t xml:space="preserve"> machinery </w:t>
      </w:r>
      <w:proofErr w:type="spellStart"/>
      <w:r>
        <w:t>utilisation</w:t>
      </w:r>
      <w:proofErr w:type="spellEnd"/>
      <w:r>
        <w:t xml:space="preserve"> or contract requirements. Recommendation systems must therefore allow objectives and constraints to be specified rather than silently embedding the preferences of developers or sponsors. They should provide options, anticipated trade-offs and the evidence underlying each recommendation.</w:t>
      </w:r>
    </w:p>
    <w:p w14:paraId="102C4A90" w14:textId="77777777" w:rsidR="00EE3357" w:rsidRDefault="00000000">
      <w:r>
        <w:t xml:space="preserve">Uncertainty is central but often poorly communicated. Probabilistic forecasts are frequently converted into categorical messages because interfaces </w:t>
      </w:r>
      <w:proofErr w:type="spellStart"/>
      <w:r>
        <w:t>favour</w:t>
      </w:r>
      <w:proofErr w:type="spellEnd"/>
      <w:r>
        <w:t xml:space="preserve"> simplicity. This may be defensible when a threshold has been locally validated and the cost of error is known. It is hazardous when thresholds are opaque or when false reassurance delays expert intervention. Interpretable models can be preferable in high-stakes decisions because users and auditors can understand the factors driving an output rather than relying on post hoc explanations of a black box (Rudin, 2019). In agricultural extension, interpretability should be practical: an adviser needs to know which observations mattered, what alternatives were considered and when the model is outside its validated domain.</w:t>
      </w:r>
    </w:p>
    <w:p w14:paraId="0E3531E2" w14:textId="77777777" w:rsidR="00EE3357" w:rsidRDefault="00000000">
      <w:pPr>
        <w:pStyle w:val="Heading2"/>
      </w:pPr>
      <w:r>
        <w:t>4.3 Conversational, Retrieval and Translation Systems</w:t>
      </w:r>
    </w:p>
    <w:p w14:paraId="29C76E17" w14:textId="77777777" w:rsidR="00EE3357" w:rsidRDefault="00000000">
      <w:r>
        <w:t xml:space="preserve">Conversational AI changes the interface between advisory knowledge and users. A farmer or extension worker can ask questions in natural language, request clarification and receive a response adapted to crop, stage or location. Retrieval systems can search curated agronomic resources; generative systems can </w:t>
      </w:r>
      <w:proofErr w:type="spellStart"/>
      <w:r>
        <w:t>synthesise</w:t>
      </w:r>
      <w:proofErr w:type="spellEnd"/>
      <w:r>
        <w:t xml:space="preserve"> and translate them. In low-resource settings, voice and local-language interfaces may reduce literacy barriers, while in professional HIC contexts, conversational tools may help advisers navigate regulations, product information and complex farm records. High et al. (2026) argue that AI-supported extension can contribute to transformative learning when it is embedded in interaction rather than treated as one-way message delivery.</w:t>
      </w:r>
    </w:p>
    <w:p w14:paraId="62D72AAA" w14:textId="77777777" w:rsidR="00EE3357" w:rsidRDefault="00000000">
      <w:r>
        <w:t xml:space="preserve">The same fluency that makes generative systems accessible creates risk. A response can be linguistically confident while being agronomically wrong, temporally outdated or inconsistent with local regulation. Translation may alter dosage, timing or the strength of a warning. Retrieval from </w:t>
      </w:r>
      <w:proofErr w:type="spellStart"/>
      <w:r>
        <w:t>uncurated</w:t>
      </w:r>
      <w:proofErr w:type="spellEnd"/>
      <w:r>
        <w:t xml:space="preserve"> web material can blend promotional and scientific sources. Guardrails therefore need to operate at the knowledge-base, model and </w:t>
      </w:r>
      <w:proofErr w:type="spellStart"/>
      <w:r>
        <w:t>organisational</w:t>
      </w:r>
      <w:proofErr w:type="spellEnd"/>
      <w:r>
        <w:t xml:space="preserve"> levels. The system should use verified local content, cite or identify its evidence base, distinguish fact from inference, display uncertainty, and route high-risk or unusual cases to a qualified human. Logs should support audit without becoming a mechanism for uncontrolled surveillance of farmers.</w:t>
      </w:r>
    </w:p>
    <w:p w14:paraId="738CB271" w14:textId="77777777" w:rsidR="00EE3357" w:rsidRDefault="00000000">
      <w:r>
        <w:t xml:space="preserve">Conversational systems are sometimes presented as replacements for extension agents because they can answer many queries simultaneously. This comparison mistakes information response for professional extension. Agents observe farms, assess credibility, </w:t>
      </w:r>
      <w:proofErr w:type="spellStart"/>
      <w:r>
        <w:t>recognise</w:t>
      </w:r>
      <w:proofErr w:type="spellEnd"/>
      <w:r>
        <w:t xml:space="preserve"> social and financial constraints, facilitate groups, coordinate services and carry institutional responsibility. A chatbot may reduce routine workload and expand after-hours access, but its value depends on how saved time is reinvested. If automation simply justifies staff reduction, the system may answer more questions while weakening the relational infrastructure required for difficult decisions.</w:t>
      </w:r>
    </w:p>
    <w:p w14:paraId="77A68E76" w14:textId="77777777" w:rsidR="00EE3357" w:rsidRDefault="00000000">
      <w:pPr>
        <w:pStyle w:val="Heading2"/>
      </w:pPr>
      <w:r>
        <w:t xml:space="preserve">4.4 Targeting, Triage and </w:t>
      </w:r>
      <w:proofErr w:type="spellStart"/>
      <w:r>
        <w:t>Organisational</w:t>
      </w:r>
      <w:proofErr w:type="spellEnd"/>
      <w:r>
        <w:t xml:space="preserve"> Intelligence</w:t>
      </w:r>
    </w:p>
    <w:p w14:paraId="4BB436FC" w14:textId="77777777" w:rsidR="00EE3357" w:rsidRDefault="00000000">
      <w:r>
        <w:t xml:space="preserve">AI can also operate behind the farmer-facing interface. Extension </w:t>
      </w:r>
      <w:proofErr w:type="spellStart"/>
      <w:r>
        <w:t>organisations</w:t>
      </w:r>
      <w:proofErr w:type="spellEnd"/>
      <w:r>
        <w:t xml:space="preserve"> can use models to </w:t>
      </w:r>
      <w:proofErr w:type="spellStart"/>
      <w:r>
        <w:t>prioritise</w:t>
      </w:r>
      <w:proofErr w:type="spellEnd"/>
      <w:r>
        <w:t xml:space="preserve"> field visits, identify emerging outbreaks, segment audiences, schedule campaigns and detect where advice is not reaching intended groups. Such applications may be less visible than chatbots but more consequential because they allocate scarce professional attention. They can improve responsiveness when based on reliable data and clear service obligations. They can also encode historical neglect: areas with fewer digital records may appear to have fewer problems and therefore receive even less support.</w:t>
      </w:r>
    </w:p>
    <w:p w14:paraId="5BAE2D99" w14:textId="77777777" w:rsidR="00EE3357" w:rsidRDefault="00000000">
      <w:r>
        <w:lastRenderedPageBreak/>
        <w:t xml:space="preserve">Targeting requires explicit fairness and public-value criteria. An efficiency objective that </w:t>
      </w:r>
      <w:proofErr w:type="spellStart"/>
      <w:r>
        <w:t>maximises</w:t>
      </w:r>
      <w:proofErr w:type="spellEnd"/>
      <w:r>
        <w:t xml:space="preserve"> predicted adoption may </w:t>
      </w:r>
      <w:proofErr w:type="spellStart"/>
      <w:r>
        <w:t>favour</w:t>
      </w:r>
      <w:proofErr w:type="spellEnd"/>
      <w:r>
        <w:t xml:space="preserve"> better-connected, commercially oriented farmers. A public extension mandate may instead </w:t>
      </w:r>
      <w:proofErr w:type="spellStart"/>
      <w:r>
        <w:t>prioritise</w:t>
      </w:r>
      <w:proofErr w:type="spellEnd"/>
      <w:r>
        <w:t xml:space="preserve"> vulnerability, environmental externalities or communities with low baseline access. These objectives cannot be resolved by the model alone. Governance must define who is entitled to service, which errors are acceptable, how appeals are handled and whether data collected for advice can be reused for enforcement, credit scoring or marketing. Broad AI ethics principles converge around transparency, fairness, responsibility, non-maleficence and privacy, but their practical meaning depends on implementation arrangements (Jobin et al., 2019).</w:t>
      </w:r>
    </w:p>
    <w:p w14:paraId="44182E6F" w14:textId="77777777" w:rsidR="00EE3357" w:rsidRDefault="00000000">
      <w:r>
        <w:t>Table 2 distinguishes major AI capability classes from the extension decisions they are meant to support. The comparison shows that the most serious limitations arise at the boundary between model output and action, where technical performance must be translated into locally feasible and accountable advice.</w:t>
      </w:r>
    </w:p>
    <w:p w14:paraId="6EBA28B8" w14:textId="77777777" w:rsidR="00EE3357" w:rsidRDefault="00000000">
      <w:pPr>
        <w:keepNext/>
        <w:spacing w:before="120" w:after="80"/>
      </w:pPr>
      <w:r>
        <w:rPr>
          <w:b/>
          <w:sz w:val="20"/>
        </w:rPr>
        <w:t>Table 2. Artificial-intelligence capability classes in agricultural extension</w:t>
      </w:r>
    </w:p>
    <w:tbl>
      <w:tblPr>
        <w:tblStyle w:val="TableGrid"/>
        <w:tblW w:w="5000" w:type="pct"/>
        <w:jc w:val="center"/>
        <w:tblLook w:val="04A0" w:firstRow="1" w:lastRow="0" w:firstColumn="1" w:lastColumn="0" w:noHBand="0" w:noVBand="1"/>
      </w:tblPr>
      <w:tblGrid>
        <w:gridCol w:w="1592"/>
        <w:gridCol w:w="2054"/>
        <w:gridCol w:w="2054"/>
        <w:gridCol w:w="2319"/>
        <w:gridCol w:w="1789"/>
      </w:tblGrid>
      <w:tr w:rsidR="00EE3357" w14:paraId="3BABCB2A" w14:textId="77777777" w:rsidTr="00C97D6B">
        <w:trPr>
          <w:tblHeader/>
          <w:jc w:val="center"/>
        </w:trPr>
        <w:tc>
          <w:tcPr>
            <w:tcW w:w="811" w:type="pct"/>
            <w:shd w:val="clear" w:color="auto" w:fill="D9EAF7"/>
            <w:tcMar>
              <w:top w:w="70" w:type="dxa"/>
              <w:left w:w="80" w:type="dxa"/>
              <w:bottom w:w="70" w:type="dxa"/>
              <w:right w:w="80" w:type="dxa"/>
            </w:tcMar>
            <w:vAlign w:val="center"/>
          </w:tcPr>
          <w:p w14:paraId="76B91739" w14:textId="77777777" w:rsidR="00EE3357" w:rsidRDefault="00000000">
            <w:pPr>
              <w:spacing w:after="0"/>
              <w:jc w:val="center"/>
            </w:pPr>
            <w:r>
              <w:rPr>
                <w:b/>
                <w:sz w:val="17"/>
              </w:rPr>
              <w:t>Capability</w:t>
            </w:r>
          </w:p>
        </w:tc>
        <w:tc>
          <w:tcPr>
            <w:tcW w:w="1047" w:type="pct"/>
            <w:shd w:val="clear" w:color="auto" w:fill="D9EAF7"/>
            <w:tcMar>
              <w:top w:w="70" w:type="dxa"/>
              <w:left w:w="80" w:type="dxa"/>
              <w:bottom w:w="70" w:type="dxa"/>
              <w:right w:w="80" w:type="dxa"/>
            </w:tcMar>
            <w:vAlign w:val="center"/>
          </w:tcPr>
          <w:p w14:paraId="35BCD3A1" w14:textId="77777777" w:rsidR="00EE3357" w:rsidRDefault="00000000">
            <w:pPr>
              <w:spacing w:after="0"/>
              <w:jc w:val="center"/>
            </w:pPr>
            <w:r>
              <w:rPr>
                <w:b/>
                <w:sz w:val="17"/>
              </w:rPr>
              <w:t>Extension use</w:t>
            </w:r>
          </w:p>
        </w:tc>
        <w:tc>
          <w:tcPr>
            <w:tcW w:w="1047" w:type="pct"/>
            <w:shd w:val="clear" w:color="auto" w:fill="D9EAF7"/>
            <w:tcMar>
              <w:top w:w="70" w:type="dxa"/>
              <w:left w:w="80" w:type="dxa"/>
              <w:bottom w:w="70" w:type="dxa"/>
              <w:right w:w="80" w:type="dxa"/>
            </w:tcMar>
            <w:vAlign w:val="center"/>
          </w:tcPr>
          <w:p w14:paraId="280F8CF3" w14:textId="77777777" w:rsidR="00EE3357" w:rsidRDefault="00000000">
            <w:pPr>
              <w:spacing w:after="0"/>
              <w:jc w:val="center"/>
            </w:pPr>
            <w:r>
              <w:rPr>
                <w:b/>
                <w:sz w:val="17"/>
              </w:rPr>
              <w:t>Evidence strength</w:t>
            </w:r>
          </w:p>
        </w:tc>
        <w:tc>
          <w:tcPr>
            <w:tcW w:w="1182" w:type="pct"/>
            <w:shd w:val="clear" w:color="auto" w:fill="D9EAF7"/>
            <w:tcMar>
              <w:top w:w="70" w:type="dxa"/>
              <w:left w:w="80" w:type="dxa"/>
              <w:bottom w:w="70" w:type="dxa"/>
              <w:right w:w="80" w:type="dxa"/>
            </w:tcMar>
            <w:vAlign w:val="center"/>
          </w:tcPr>
          <w:p w14:paraId="779F085C" w14:textId="77777777" w:rsidR="00EE3357" w:rsidRDefault="00000000">
            <w:pPr>
              <w:spacing w:after="0"/>
              <w:jc w:val="center"/>
            </w:pPr>
            <w:r>
              <w:rPr>
                <w:b/>
                <w:sz w:val="17"/>
              </w:rPr>
              <w:t>Critical limitation</w:t>
            </w:r>
          </w:p>
        </w:tc>
        <w:tc>
          <w:tcPr>
            <w:tcW w:w="912" w:type="pct"/>
            <w:shd w:val="clear" w:color="auto" w:fill="D9EAF7"/>
            <w:tcMar>
              <w:top w:w="70" w:type="dxa"/>
              <w:left w:w="80" w:type="dxa"/>
              <w:bottom w:w="70" w:type="dxa"/>
              <w:right w:w="80" w:type="dxa"/>
            </w:tcMar>
            <w:vAlign w:val="center"/>
          </w:tcPr>
          <w:p w14:paraId="2B10B991" w14:textId="77777777" w:rsidR="00EE3357" w:rsidRDefault="00000000">
            <w:pPr>
              <w:spacing w:after="0"/>
              <w:jc w:val="center"/>
            </w:pPr>
            <w:r>
              <w:rPr>
                <w:b/>
                <w:sz w:val="17"/>
              </w:rPr>
              <w:t>Supporting references</w:t>
            </w:r>
          </w:p>
        </w:tc>
      </w:tr>
      <w:tr w:rsidR="00EE3357" w14:paraId="653E4D50" w14:textId="77777777" w:rsidTr="00C97D6B">
        <w:trPr>
          <w:jc w:val="center"/>
        </w:trPr>
        <w:tc>
          <w:tcPr>
            <w:tcW w:w="811" w:type="pct"/>
            <w:tcMar>
              <w:top w:w="70" w:type="dxa"/>
              <w:left w:w="80" w:type="dxa"/>
              <w:bottom w:w="70" w:type="dxa"/>
              <w:right w:w="80" w:type="dxa"/>
            </w:tcMar>
            <w:vAlign w:val="center"/>
          </w:tcPr>
          <w:p w14:paraId="489DDBC8" w14:textId="77777777" w:rsidR="00EE3357" w:rsidRDefault="00000000">
            <w:pPr>
              <w:spacing w:after="0"/>
              <w:jc w:val="center"/>
            </w:pPr>
            <w:r>
              <w:rPr>
                <w:sz w:val="16"/>
              </w:rPr>
              <w:t>Classification and detection</w:t>
            </w:r>
          </w:p>
        </w:tc>
        <w:tc>
          <w:tcPr>
            <w:tcW w:w="1047" w:type="pct"/>
            <w:tcMar>
              <w:top w:w="70" w:type="dxa"/>
              <w:left w:w="80" w:type="dxa"/>
              <w:bottom w:w="70" w:type="dxa"/>
              <w:right w:w="80" w:type="dxa"/>
            </w:tcMar>
            <w:vAlign w:val="center"/>
          </w:tcPr>
          <w:p w14:paraId="6B05531B" w14:textId="77777777" w:rsidR="00EE3357" w:rsidRDefault="00000000">
            <w:pPr>
              <w:spacing w:after="0"/>
              <w:jc w:val="left"/>
            </w:pPr>
            <w:r>
              <w:rPr>
                <w:sz w:val="16"/>
              </w:rPr>
              <w:t>Disease, weed, nutrient-stress or anomaly triage</w:t>
            </w:r>
          </w:p>
        </w:tc>
        <w:tc>
          <w:tcPr>
            <w:tcW w:w="1047" w:type="pct"/>
            <w:tcMar>
              <w:top w:w="70" w:type="dxa"/>
              <w:left w:w="80" w:type="dxa"/>
              <w:bottom w:w="70" w:type="dxa"/>
              <w:right w:w="80" w:type="dxa"/>
            </w:tcMar>
            <w:vAlign w:val="center"/>
          </w:tcPr>
          <w:p w14:paraId="46522FA4" w14:textId="77777777" w:rsidR="00EE3357" w:rsidRDefault="00000000">
            <w:pPr>
              <w:spacing w:after="0"/>
              <w:jc w:val="left"/>
            </w:pPr>
            <w:r>
              <w:rPr>
                <w:sz w:val="16"/>
              </w:rPr>
              <w:t>Strong technical literature; variable field validation</w:t>
            </w:r>
          </w:p>
        </w:tc>
        <w:tc>
          <w:tcPr>
            <w:tcW w:w="1182" w:type="pct"/>
            <w:tcMar>
              <w:top w:w="70" w:type="dxa"/>
              <w:left w:w="80" w:type="dxa"/>
              <w:bottom w:w="70" w:type="dxa"/>
              <w:right w:w="80" w:type="dxa"/>
            </w:tcMar>
            <w:vAlign w:val="center"/>
          </w:tcPr>
          <w:p w14:paraId="59FA71BB" w14:textId="77777777" w:rsidR="00EE3357" w:rsidRDefault="00000000">
            <w:pPr>
              <w:spacing w:after="0"/>
              <w:jc w:val="left"/>
            </w:pPr>
            <w:r>
              <w:rPr>
                <w:sz w:val="16"/>
              </w:rPr>
              <w:t>Domain shift and confusion among visually similar stresses</w:t>
            </w:r>
          </w:p>
        </w:tc>
        <w:tc>
          <w:tcPr>
            <w:tcW w:w="912" w:type="pct"/>
            <w:tcMar>
              <w:top w:w="70" w:type="dxa"/>
              <w:left w:w="80" w:type="dxa"/>
              <w:bottom w:w="70" w:type="dxa"/>
              <w:right w:w="80" w:type="dxa"/>
            </w:tcMar>
            <w:vAlign w:val="center"/>
          </w:tcPr>
          <w:p w14:paraId="77E9F3E3" w14:textId="77777777" w:rsidR="00EE3357" w:rsidRDefault="00000000">
            <w:pPr>
              <w:spacing w:after="0"/>
              <w:jc w:val="left"/>
            </w:pPr>
            <w:r w:rsidRPr="00083F77">
              <w:rPr>
                <w:sz w:val="16"/>
                <w:lang w:val="nl-BE"/>
              </w:rPr>
              <w:t xml:space="preserve">Kamilaris &amp; Prenafeta-Boldú (2018); Liakos et al. </w:t>
            </w:r>
            <w:r>
              <w:rPr>
                <w:sz w:val="16"/>
              </w:rPr>
              <w:t>(2018)</w:t>
            </w:r>
          </w:p>
        </w:tc>
      </w:tr>
      <w:tr w:rsidR="00EE3357" w14:paraId="1C692240" w14:textId="77777777" w:rsidTr="00C97D6B">
        <w:trPr>
          <w:jc w:val="center"/>
        </w:trPr>
        <w:tc>
          <w:tcPr>
            <w:tcW w:w="811" w:type="pct"/>
            <w:tcMar>
              <w:top w:w="70" w:type="dxa"/>
              <w:left w:w="80" w:type="dxa"/>
              <w:bottom w:w="70" w:type="dxa"/>
              <w:right w:w="80" w:type="dxa"/>
            </w:tcMar>
            <w:vAlign w:val="center"/>
          </w:tcPr>
          <w:p w14:paraId="2228EE06" w14:textId="77777777" w:rsidR="00EE3357" w:rsidRDefault="00000000">
            <w:pPr>
              <w:spacing w:after="0"/>
              <w:jc w:val="center"/>
            </w:pPr>
            <w:r>
              <w:rPr>
                <w:sz w:val="16"/>
              </w:rPr>
              <w:t>Forecasting</w:t>
            </w:r>
          </w:p>
        </w:tc>
        <w:tc>
          <w:tcPr>
            <w:tcW w:w="1047" w:type="pct"/>
            <w:tcMar>
              <w:top w:w="70" w:type="dxa"/>
              <w:left w:w="80" w:type="dxa"/>
              <w:bottom w:w="70" w:type="dxa"/>
              <w:right w:w="80" w:type="dxa"/>
            </w:tcMar>
            <w:vAlign w:val="center"/>
          </w:tcPr>
          <w:p w14:paraId="17402E9B" w14:textId="77777777" w:rsidR="00EE3357" w:rsidRDefault="00000000">
            <w:pPr>
              <w:spacing w:after="0"/>
              <w:jc w:val="left"/>
            </w:pPr>
            <w:r>
              <w:rPr>
                <w:sz w:val="16"/>
              </w:rPr>
              <w:t>Weather, yield, pest and irrigation risk</w:t>
            </w:r>
          </w:p>
        </w:tc>
        <w:tc>
          <w:tcPr>
            <w:tcW w:w="1047" w:type="pct"/>
            <w:tcMar>
              <w:top w:w="70" w:type="dxa"/>
              <w:left w:w="80" w:type="dxa"/>
              <w:bottom w:w="70" w:type="dxa"/>
              <w:right w:w="80" w:type="dxa"/>
            </w:tcMar>
            <w:vAlign w:val="center"/>
          </w:tcPr>
          <w:p w14:paraId="14489C4B" w14:textId="77777777" w:rsidR="00EE3357" w:rsidRDefault="00000000">
            <w:pPr>
              <w:spacing w:after="0"/>
              <w:jc w:val="left"/>
            </w:pPr>
            <w:r>
              <w:rPr>
                <w:sz w:val="16"/>
              </w:rPr>
              <w:t>Growing operational use; limited comparable outcome evidence</w:t>
            </w:r>
          </w:p>
        </w:tc>
        <w:tc>
          <w:tcPr>
            <w:tcW w:w="1182" w:type="pct"/>
            <w:tcMar>
              <w:top w:w="70" w:type="dxa"/>
              <w:left w:w="80" w:type="dxa"/>
              <w:bottom w:w="70" w:type="dxa"/>
              <w:right w:w="80" w:type="dxa"/>
            </w:tcMar>
            <w:vAlign w:val="center"/>
          </w:tcPr>
          <w:p w14:paraId="40A0B4A0" w14:textId="77777777" w:rsidR="00EE3357" w:rsidRDefault="00000000">
            <w:pPr>
              <w:spacing w:after="0"/>
              <w:jc w:val="left"/>
            </w:pPr>
            <w:r>
              <w:rPr>
                <w:sz w:val="16"/>
              </w:rPr>
              <w:t>Uncertainty and actionability depend on local thresholds</w:t>
            </w:r>
          </w:p>
        </w:tc>
        <w:tc>
          <w:tcPr>
            <w:tcW w:w="912" w:type="pct"/>
            <w:tcMar>
              <w:top w:w="70" w:type="dxa"/>
              <w:left w:w="80" w:type="dxa"/>
              <w:bottom w:w="70" w:type="dxa"/>
              <w:right w:w="80" w:type="dxa"/>
            </w:tcMar>
            <w:vAlign w:val="center"/>
          </w:tcPr>
          <w:p w14:paraId="703E2D9F" w14:textId="77777777" w:rsidR="00EE3357" w:rsidRDefault="00000000">
            <w:pPr>
              <w:spacing w:after="0"/>
              <w:jc w:val="left"/>
            </w:pPr>
            <w:r>
              <w:rPr>
                <w:sz w:val="16"/>
              </w:rPr>
              <w:t xml:space="preserve">Basso &amp; Antle (2020); </w:t>
            </w:r>
            <w:proofErr w:type="spellStart"/>
            <w:r>
              <w:rPr>
                <w:sz w:val="16"/>
              </w:rPr>
              <w:t>Talaviya</w:t>
            </w:r>
            <w:proofErr w:type="spellEnd"/>
            <w:r>
              <w:rPr>
                <w:sz w:val="16"/>
              </w:rPr>
              <w:t xml:space="preserve"> et al. (2020)</w:t>
            </w:r>
          </w:p>
        </w:tc>
      </w:tr>
      <w:tr w:rsidR="00EE3357" w14:paraId="565CC647" w14:textId="77777777" w:rsidTr="00C97D6B">
        <w:trPr>
          <w:jc w:val="center"/>
        </w:trPr>
        <w:tc>
          <w:tcPr>
            <w:tcW w:w="811" w:type="pct"/>
            <w:tcMar>
              <w:top w:w="70" w:type="dxa"/>
              <w:left w:w="80" w:type="dxa"/>
              <w:bottom w:w="70" w:type="dxa"/>
              <w:right w:w="80" w:type="dxa"/>
            </w:tcMar>
            <w:vAlign w:val="center"/>
          </w:tcPr>
          <w:p w14:paraId="0853C3E6" w14:textId="77777777" w:rsidR="00EE3357" w:rsidRDefault="00000000">
            <w:pPr>
              <w:spacing w:after="0"/>
              <w:jc w:val="center"/>
            </w:pPr>
            <w:r>
              <w:rPr>
                <w:sz w:val="16"/>
              </w:rPr>
              <w:t xml:space="preserve">Recommendation and </w:t>
            </w:r>
            <w:proofErr w:type="spellStart"/>
            <w:r>
              <w:rPr>
                <w:sz w:val="16"/>
              </w:rPr>
              <w:t>optimisation</w:t>
            </w:r>
            <w:proofErr w:type="spellEnd"/>
          </w:p>
        </w:tc>
        <w:tc>
          <w:tcPr>
            <w:tcW w:w="1047" w:type="pct"/>
            <w:tcMar>
              <w:top w:w="70" w:type="dxa"/>
              <w:left w:w="80" w:type="dxa"/>
              <w:bottom w:w="70" w:type="dxa"/>
              <w:right w:w="80" w:type="dxa"/>
            </w:tcMar>
            <w:vAlign w:val="center"/>
          </w:tcPr>
          <w:p w14:paraId="108F0F72" w14:textId="77777777" w:rsidR="00EE3357" w:rsidRDefault="00000000">
            <w:pPr>
              <w:spacing w:after="0"/>
              <w:jc w:val="left"/>
            </w:pPr>
            <w:r>
              <w:rPr>
                <w:sz w:val="16"/>
              </w:rPr>
              <w:t>Input, timing and resource-allocation options</w:t>
            </w:r>
          </w:p>
        </w:tc>
        <w:tc>
          <w:tcPr>
            <w:tcW w:w="1047" w:type="pct"/>
            <w:tcMar>
              <w:top w:w="70" w:type="dxa"/>
              <w:left w:w="80" w:type="dxa"/>
              <w:bottom w:w="70" w:type="dxa"/>
              <w:right w:w="80" w:type="dxa"/>
            </w:tcMar>
            <w:vAlign w:val="center"/>
          </w:tcPr>
          <w:p w14:paraId="5B50476D" w14:textId="77777777" w:rsidR="00EE3357" w:rsidRDefault="00000000">
            <w:pPr>
              <w:spacing w:after="0"/>
              <w:jc w:val="left"/>
            </w:pPr>
            <w:r>
              <w:rPr>
                <w:sz w:val="16"/>
              </w:rPr>
              <w:t>Technically plausible; causal farm-benefit evidence remains uneven</w:t>
            </w:r>
          </w:p>
        </w:tc>
        <w:tc>
          <w:tcPr>
            <w:tcW w:w="1182" w:type="pct"/>
            <w:tcMar>
              <w:top w:w="70" w:type="dxa"/>
              <w:left w:w="80" w:type="dxa"/>
              <w:bottom w:w="70" w:type="dxa"/>
              <w:right w:w="80" w:type="dxa"/>
            </w:tcMar>
            <w:vAlign w:val="center"/>
          </w:tcPr>
          <w:p w14:paraId="31D11796" w14:textId="77777777" w:rsidR="00EE3357" w:rsidRDefault="00000000">
            <w:pPr>
              <w:spacing w:after="0"/>
              <w:jc w:val="left"/>
            </w:pPr>
            <w:r>
              <w:rPr>
                <w:sz w:val="16"/>
              </w:rPr>
              <w:t>Objectives may hide risk, cost or sponsor preferences</w:t>
            </w:r>
          </w:p>
        </w:tc>
        <w:tc>
          <w:tcPr>
            <w:tcW w:w="912" w:type="pct"/>
            <w:tcMar>
              <w:top w:w="70" w:type="dxa"/>
              <w:left w:w="80" w:type="dxa"/>
              <w:bottom w:w="70" w:type="dxa"/>
              <w:right w:w="80" w:type="dxa"/>
            </w:tcMar>
            <w:vAlign w:val="center"/>
          </w:tcPr>
          <w:p w14:paraId="3D829A0D" w14:textId="77777777" w:rsidR="00EE3357" w:rsidRDefault="00000000">
            <w:pPr>
              <w:spacing w:after="0"/>
              <w:jc w:val="left"/>
            </w:pPr>
            <w:r w:rsidRPr="00083F77">
              <w:rPr>
                <w:sz w:val="16"/>
                <w:lang w:val="nl-BE"/>
              </w:rPr>
              <w:t xml:space="preserve">Coble et al. (2018); Wolfert et al. </w:t>
            </w:r>
            <w:r>
              <w:rPr>
                <w:sz w:val="16"/>
              </w:rPr>
              <w:t>(2017)</w:t>
            </w:r>
          </w:p>
        </w:tc>
      </w:tr>
      <w:tr w:rsidR="00EE3357" w14:paraId="2A265E1C" w14:textId="77777777" w:rsidTr="00C97D6B">
        <w:trPr>
          <w:jc w:val="center"/>
        </w:trPr>
        <w:tc>
          <w:tcPr>
            <w:tcW w:w="811" w:type="pct"/>
            <w:tcMar>
              <w:top w:w="70" w:type="dxa"/>
              <w:left w:w="80" w:type="dxa"/>
              <w:bottom w:w="70" w:type="dxa"/>
              <w:right w:w="80" w:type="dxa"/>
            </w:tcMar>
            <w:vAlign w:val="center"/>
          </w:tcPr>
          <w:p w14:paraId="402F7EAA" w14:textId="77777777" w:rsidR="00EE3357" w:rsidRDefault="00000000">
            <w:pPr>
              <w:spacing w:after="0"/>
              <w:jc w:val="center"/>
            </w:pPr>
            <w:r>
              <w:rPr>
                <w:sz w:val="16"/>
              </w:rPr>
              <w:t>Conversational retrieval and generation</w:t>
            </w:r>
          </w:p>
        </w:tc>
        <w:tc>
          <w:tcPr>
            <w:tcW w:w="1047" w:type="pct"/>
            <w:tcMar>
              <w:top w:w="70" w:type="dxa"/>
              <w:left w:w="80" w:type="dxa"/>
              <w:bottom w:w="70" w:type="dxa"/>
              <w:right w:w="80" w:type="dxa"/>
            </w:tcMar>
            <w:vAlign w:val="center"/>
          </w:tcPr>
          <w:p w14:paraId="791B16AC" w14:textId="77777777" w:rsidR="00EE3357" w:rsidRDefault="00000000">
            <w:pPr>
              <w:spacing w:after="0"/>
              <w:jc w:val="left"/>
            </w:pPr>
            <w:r>
              <w:rPr>
                <w:sz w:val="16"/>
              </w:rPr>
              <w:t>Question answering, translation and adviser support</w:t>
            </w:r>
          </w:p>
        </w:tc>
        <w:tc>
          <w:tcPr>
            <w:tcW w:w="1047" w:type="pct"/>
            <w:tcMar>
              <w:top w:w="70" w:type="dxa"/>
              <w:left w:w="80" w:type="dxa"/>
              <w:bottom w:w="70" w:type="dxa"/>
              <w:right w:w="80" w:type="dxa"/>
            </w:tcMar>
            <w:vAlign w:val="center"/>
          </w:tcPr>
          <w:p w14:paraId="1F41B94D" w14:textId="77777777" w:rsidR="00EE3357" w:rsidRDefault="00000000">
            <w:pPr>
              <w:spacing w:after="0"/>
              <w:jc w:val="left"/>
            </w:pPr>
            <w:r>
              <w:rPr>
                <w:sz w:val="16"/>
              </w:rPr>
              <w:t>Rapidly emerging; little long-term effectiveness evidence</w:t>
            </w:r>
          </w:p>
        </w:tc>
        <w:tc>
          <w:tcPr>
            <w:tcW w:w="1182" w:type="pct"/>
            <w:tcMar>
              <w:top w:w="70" w:type="dxa"/>
              <w:left w:w="80" w:type="dxa"/>
              <w:bottom w:w="70" w:type="dxa"/>
              <w:right w:w="80" w:type="dxa"/>
            </w:tcMar>
            <w:vAlign w:val="center"/>
          </w:tcPr>
          <w:p w14:paraId="376E7958" w14:textId="77777777" w:rsidR="00EE3357" w:rsidRDefault="00000000">
            <w:pPr>
              <w:spacing w:after="0"/>
              <w:jc w:val="left"/>
            </w:pPr>
            <w:r>
              <w:rPr>
                <w:sz w:val="16"/>
              </w:rPr>
              <w:t>Hallucination, outdated content and misplaced confidence</w:t>
            </w:r>
          </w:p>
        </w:tc>
        <w:tc>
          <w:tcPr>
            <w:tcW w:w="912" w:type="pct"/>
            <w:tcMar>
              <w:top w:w="70" w:type="dxa"/>
              <w:left w:w="80" w:type="dxa"/>
              <w:bottom w:w="70" w:type="dxa"/>
              <w:right w:w="80" w:type="dxa"/>
            </w:tcMar>
            <w:vAlign w:val="center"/>
          </w:tcPr>
          <w:p w14:paraId="2431EB8E" w14:textId="77777777" w:rsidR="00EE3357" w:rsidRDefault="00000000">
            <w:pPr>
              <w:spacing w:after="0"/>
              <w:jc w:val="left"/>
            </w:pPr>
            <w:r w:rsidRPr="00083F77">
              <w:rPr>
                <w:sz w:val="16"/>
                <w:lang w:val="nl-BE"/>
              </w:rPr>
              <w:t xml:space="preserve">High et al. (2026); Jobin et al. </w:t>
            </w:r>
            <w:r>
              <w:rPr>
                <w:sz w:val="16"/>
              </w:rPr>
              <w:t>(2019)</w:t>
            </w:r>
          </w:p>
        </w:tc>
      </w:tr>
      <w:tr w:rsidR="00EE3357" w14:paraId="76E1D471" w14:textId="77777777" w:rsidTr="00C97D6B">
        <w:trPr>
          <w:jc w:val="center"/>
        </w:trPr>
        <w:tc>
          <w:tcPr>
            <w:tcW w:w="811" w:type="pct"/>
            <w:tcMar>
              <w:top w:w="70" w:type="dxa"/>
              <w:left w:w="80" w:type="dxa"/>
              <w:bottom w:w="70" w:type="dxa"/>
              <w:right w:w="80" w:type="dxa"/>
            </w:tcMar>
            <w:vAlign w:val="center"/>
          </w:tcPr>
          <w:p w14:paraId="1CF52281" w14:textId="77777777" w:rsidR="00EE3357" w:rsidRDefault="00000000">
            <w:pPr>
              <w:spacing w:after="0"/>
              <w:jc w:val="center"/>
            </w:pPr>
            <w:r>
              <w:rPr>
                <w:sz w:val="16"/>
              </w:rPr>
              <w:t>Targeting and triage</w:t>
            </w:r>
          </w:p>
        </w:tc>
        <w:tc>
          <w:tcPr>
            <w:tcW w:w="1047" w:type="pct"/>
            <w:tcMar>
              <w:top w:w="70" w:type="dxa"/>
              <w:left w:w="80" w:type="dxa"/>
              <w:bottom w:w="70" w:type="dxa"/>
              <w:right w:w="80" w:type="dxa"/>
            </w:tcMar>
            <w:vAlign w:val="center"/>
          </w:tcPr>
          <w:p w14:paraId="03396989" w14:textId="77777777" w:rsidR="00EE3357" w:rsidRDefault="00000000">
            <w:pPr>
              <w:spacing w:after="0"/>
              <w:jc w:val="left"/>
            </w:pPr>
            <w:proofErr w:type="spellStart"/>
            <w:r>
              <w:rPr>
                <w:sz w:val="16"/>
              </w:rPr>
              <w:t>Prioritising</w:t>
            </w:r>
            <w:proofErr w:type="spellEnd"/>
            <w:r>
              <w:rPr>
                <w:sz w:val="16"/>
              </w:rPr>
              <w:t xml:space="preserve"> visits, alerts and vulnerable areas</w:t>
            </w:r>
          </w:p>
        </w:tc>
        <w:tc>
          <w:tcPr>
            <w:tcW w:w="1047" w:type="pct"/>
            <w:tcMar>
              <w:top w:w="70" w:type="dxa"/>
              <w:left w:w="80" w:type="dxa"/>
              <w:bottom w:w="70" w:type="dxa"/>
              <w:right w:w="80" w:type="dxa"/>
            </w:tcMar>
            <w:vAlign w:val="center"/>
          </w:tcPr>
          <w:p w14:paraId="4C9268DD" w14:textId="77777777" w:rsidR="00EE3357" w:rsidRDefault="00000000">
            <w:pPr>
              <w:spacing w:after="0"/>
              <w:jc w:val="left"/>
            </w:pPr>
            <w:r>
              <w:rPr>
                <w:sz w:val="16"/>
              </w:rPr>
              <w:t xml:space="preserve">Potentially high </w:t>
            </w:r>
            <w:proofErr w:type="spellStart"/>
            <w:r>
              <w:rPr>
                <w:sz w:val="16"/>
              </w:rPr>
              <w:t>organisational</w:t>
            </w:r>
            <w:proofErr w:type="spellEnd"/>
            <w:r>
              <w:rPr>
                <w:sz w:val="16"/>
              </w:rPr>
              <w:t xml:space="preserve"> value; limited transparency</w:t>
            </w:r>
          </w:p>
        </w:tc>
        <w:tc>
          <w:tcPr>
            <w:tcW w:w="1182" w:type="pct"/>
            <w:tcMar>
              <w:top w:w="70" w:type="dxa"/>
              <w:left w:w="80" w:type="dxa"/>
              <w:bottom w:w="70" w:type="dxa"/>
              <w:right w:w="80" w:type="dxa"/>
            </w:tcMar>
            <w:vAlign w:val="center"/>
          </w:tcPr>
          <w:p w14:paraId="27CDB3B1" w14:textId="77777777" w:rsidR="00EE3357" w:rsidRDefault="00000000">
            <w:pPr>
              <w:spacing w:after="0"/>
              <w:jc w:val="left"/>
            </w:pPr>
            <w:r>
              <w:rPr>
                <w:sz w:val="16"/>
              </w:rPr>
              <w:t>Historical data can reproduce exclusion</w:t>
            </w:r>
          </w:p>
        </w:tc>
        <w:tc>
          <w:tcPr>
            <w:tcW w:w="912" w:type="pct"/>
            <w:tcMar>
              <w:top w:w="70" w:type="dxa"/>
              <w:left w:w="80" w:type="dxa"/>
              <w:bottom w:w="70" w:type="dxa"/>
              <w:right w:w="80" w:type="dxa"/>
            </w:tcMar>
            <w:vAlign w:val="center"/>
          </w:tcPr>
          <w:p w14:paraId="197349C5" w14:textId="77777777" w:rsidR="00EE3357" w:rsidRDefault="00000000">
            <w:pPr>
              <w:spacing w:after="0"/>
              <w:jc w:val="left"/>
            </w:pPr>
            <w:proofErr w:type="spellStart"/>
            <w:r>
              <w:rPr>
                <w:sz w:val="16"/>
              </w:rPr>
              <w:t>Hackfort</w:t>
            </w:r>
            <w:proofErr w:type="spellEnd"/>
            <w:r>
              <w:rPr>
                <w:sz w:val="16"/>
              </w:rPr>
              <w:t xml:space="preserve"> (2021); Rudin (2019)</w:t>
            </w:r>
          </w:p>
        </w:tc>
      </w:tr>
    </w:tbl>
    <w:p w14:paraId="509FF700" w14:textId="77777777" w:rsidR="00EE3357" w:rsidRDefault="00000000">
      <w:pPr>
        <w:spacing w:before="60" w:after="140"/>
      </w:pPr>
      <w:r>
        <w:rPr>
          <w:i/>
          <w:sz w:val="17"/>
        </w:rPr>
        <w:t xml:space="preserve">Note. </w:t>
      </w:r>
      <w:r>
        <w:rPr>
          <w:sz w:val="17"/>
        </w:rPr>
        <w:t>Evidence strength refers to the maturity of evidence relevant to extension use, not merely algorithmic benchmark performance.</w:t>
      </w:r>
    </w:p>
    <w:p w14:paraId="23D38FE5" w14:textId="77777777" w:rsidR="00EE3357" w:rsidRDefault="00000000">
      <w:pPr>
        <w:pStyle w:val="Heading1"/>
      </w:pPr>
      <w:r>
        <w:t>5. Comparative Political Economy of AI-Enabled Extension</w:t>
      </w:r>
    </w:p>
    <w:p w14:paraId="06441651" w14:textId="77777777" w:rsidR="00EE3357" w:rsidRDefault="00000000">
      <w:pPr>
        <w:pStyle w:val="Heading2"/>
      </w:pPr>
      <w:r>
        <w:t>5.1 LMIC Configurations: Reach, Mediation and Institutional Fragility</w:t>
      </w:r>
    </w:p>
    <w:p w14:paraId="7D18D7E5" w14:textId="77777777" w:rsidR="00EE3357" w:rsidRDefault="00000000">
      <w:r>
        <w:t xml:space="preserve">Digital extension in LMICs emerged largely through short-message services, call </w:t>
      </w:r>
      <w:proofErr w:type="spellStart"/>
      <w:r>
        <w:t>centres</w:t>
      </w:r>
      <w:proofErr w:type="spellEnd"/>
      <w:r>
        <w:t xml:space="preserve">, interactive voice response, mobile applications, videos and platform-based information. The appeal is clear: mobile communication can reduce the cost of reaching dispersed farmers and provide timely weather, price or agronomic information where conventional extension ratios are </w:t>
      </w:r>
      <w:proofErr w:type="spellStart"/>
      <w:r>
        <w:t>unfavourable</w:t>
      </w:r>
      <w:proofErr w:type="spellEnd"/>
      <w:r>
        <w:t xml:space="preserve">. Reviews nevertheless warn that access to information does not guarantee learning, adoption or income improvement, and that many initiatives report use metrics without credible counterfactuals or long-term follow-up (Aker, 2011; Aker et al., 2016; Baumüller, 2018; Porciello et al., 2022). AI adds </w:t>
      </w:r>
      <w:proofErr w:type="spellStart"/>
      <w:r>
        <w:t>personalisation</w:t>
      </w:r>
      <w:proofErr w:type="spellEnd"/>
      <w:r>
        <w:t>, natural-language interaction and automated diagnosis, but it inherits these earlier implementation problems.</w:t>
      </w:r>
    </w:p>
    <w:p w14:paraId="3D1F6E6B" w14:textId="77777777" w:rsidR="00EE3357" w:rsidRDefault="00000000">
      <w:r>
        <w:t xml:space="preserve">The dominant constraint is often not the absence of a model but the weakness of the surrounding service ecology. Farmers may share phones, change numbers, lack data credit, use basic devices or depend on family members for digital tasks. Local-language resources are uneven, and speech recognition may perform poorly for dialects, code-switching or noisy environments. Advice may arrive without access to recommended inputs, finance, markets or veterinary and plant-health services. Government systems may lack staff to curate content and respond to escalated cases, while donor-funded platforms face uncertain financing after pilot </w:t>
      </w:r>
      <w:r>
        <w:lastRenderedPageBreak/>
        <w:t xml:space="preserve">periods. These conditions </w:t>
      </w:r>
      <w:proofErr w:type="spellStart"/>
      <w:r>
        <w:t>favour</w:t>
      </w:r>
      <w:proofErr w:type="spellEnd"/>
      <w:r>
        <w:t xml:space="preserve"> hybrid delivery through extension workers, community-based facilitators, cooperatives and lead farmers rather than purely self-service AI.</w:t>
      </w:r>
    </w:p>
    <w:p w14:paraId="79DBCD05" w14:textId="2EE29D77" w:rsidR="00EE3357" w:rsidRDefault="00000000">
      <w:r>
        <w:t xml:space="preserve">Empirical research on digital advice shows both potential and restraint. SMS-based information in India did not automatically produce large </w:t>
      </w:r>
      <w:proofErr w:type="spellStart"/>
      <w:r>
        <w:t>behavioural</w:t>
      </w:r>
      <w:proofErr w:type="spellEnd"/>
      <w:r>
        <w:t xml:space="preserve"> changes, illustrating that reduced information costs may be insufficient when advice is generic or complementary services are missing (</w:t>
      </w:r>
      <w:proofErr w:type="spellStart"/>
      <w:r>
        <w:t>Fafchamps</w:t>
      </w:r>
      <w:proofErr w:type="spellEnd"/>
      <w:r>
        <w:t xml:space="preserve"> &amp; Minten, 2012). Animated videos in Burkina Faso demonstrated that carefully designed visual communication can support learning among low-literate farmers, but the intervention was more structured than open-ended AI advice (Maredia et al., 2018). Mobile advice in India has shown effects on knowledge, adoption or farm performance in particular settings, yet sustainability, diffusion and heterogeneity remain critical (</w:t>
      </w:r>
      <w:r w:rsidR="00083F77" w:rsidRPr="00083F77">
        <w:t>Cole &amp; Fernando</w:t>
      </w:r>
      <w:r>
        <w:t>, 2021; Rajkhowa &amp; Qaim, 2021). These studies support investment in digital extension while also cautioning against extrapolating from bounded information services to autonomous AI systems.</w:t>
      </w:r>
    </w:p>
    <w:p w14:paraId="005523F8" w14:textId="77777777" w:rsidR="00EE3357" w:rsidRDefault="00000000">
      <w:r>
        <w:t xml:space="preserve">Intermediation is frequently an asset rather than a transitional deficiency. A field agent can formulate a query, verify the farm context, explain alternatives and detect when a recommendation conflicts with local experience. Group-based use can spread access costs and create peer scrutiny. At the same time, mediated models can reproduce existing hierarchies if intermediaries </w:t>
      </w:r>
      <w:proofErr w:type="spellStart"/>
      <w:r>
        <w:t>favour</w:t>
      </w:r>
      <w:proofErr w:type="spellEnd"/>
      <w:r>
        <w:t xml:space="preserve"> wealthier or male farmers. Digital inequalities in Benin were associated with a sequence of attitudes, material access, skills and usage, shaped by personal and household characteristics (</w:t>
      </w:r>
      <w:proofErr w:type="spellStart"/>
      <w:r>
        <w:t>Gouthon</w:t>
      </w:r>
      <w:proofErr w:type="spellEnd"/>
      <w:r>
        <w:t xml:space="preserve"> et al., 2024). Gendered ownership and control of phones remain important, and evidence from Uganda shows that ownership and use are not interchangeable indicators of meaningful access (Mulungu, 2025). AI services that count registered accounts may therefore overstate inclusion.</w:t>
      </w:r>
    </w:p>
    <w:p w14:paraId="5D518AFA" w14:textId="77777777" w:rsidR="00EE3357" w:rsidRDefault="00000000">
      <w:r>
        <w:t xml:space="preserve">LMIC systems also confront a data paradox. They are expected to offer </w:t>
      </w:r>
      <w:proofErr w:type="spellStart"/>
      <w:r>
        <w:t>localised</w:t>
      </w:r>
      <w:proofErr w:type="spellEnd"/>
      <w:r>
        <w:t xml:space="preserve"> advice but often lack large, representative and continuously updated datasets. Data may be gathered through projects that do not interoperate, use incompatible taxonomies or provide no enduring stewardship. Public extension records can be incomplete, while commercial datasets are proprietary. Farmers contribute images, locations and </w:t>
      </w:r>
      <w:proofErr w:type="spellStart"/>
      <w:r>
        <w:t>behavioural</w:t>
      </w:r>
      <w:proofErr w:type="spellEnd"/>
      <w:r>
        <w:t xml:space="preserve"> data without clear rights to correction, withdrawal or benefit. Recent analysis of smallholder </w:t>
      </w:r>
      <w:proofErr w:type="spellStart"/>
      <w:r>
        <w:t>digitalisation</w:t>
      </w:r>
      <w:proofErr w:type="spellEnd"/>
      <w:r>
        <w:t xml:space="preserve"> argues that data governance determines whether participation becomes inclusion or extraction (Amar et al., 2026). A public-interest AI strategy must therefore invest in shared agronomic vocabularies, local validation networks and accountable data institutions, not only model procurement.</w:t>
      </w:r>
    </w:p>
    <w:p w14:paraId="1C4D8745" w14:textId="77777777" w:rsidR="00EE3357" w:rsidRDefault="00000000">
      <w:pPr>
        <w:pStyle w:val="Heading2"/>
      </w:pPr>
      <w:r>
        <w:t>5.2 HIC Configurations: Integration, Capital Intensity and Platform Dependence</w:t>
      </w:r>
    </w:p>
    <w:p w14:paraId="654B19E3" w14:textId="77777777" w:rsidR="00EE3357" w:rsidRDefault="00000000">
      <w:r>
        <w:t xml:space="preserve">In HICs, AI-enabled advice is commonly embedded in precision-agriculture and smart-farming systems. Machinery guidance, variable-rate application, remote sensing, yield monitors, weather stations and farm-management information systems generate data that can support fine-grained decisions. Adoption varies considerably by technology, farm size, enterprise and region. Precision agriculture is not a single package; farmers select tools with different costs and perceived benefits, and adoption of guidance can be much higher than adoption of variable-rate or analytics-intensive applications (Lowenberg-DeBoer &amp; Erickson, 2019). Cross-regional European research similarly shows that structural, </w:t>
      </w:r>
      <w:proofErr w:type="spellStart"/>
      <w:r>
        <w:t>behavioural</w:t>
      </w:r>
      <w:proofErr w:type="spellEnd"/>
      <w:r>
        <w:t xml:space="preserve"> and institutional factors shape uptake (Barnes et al., 2019), consistent with earlier reviews of adoption determinants (Tey &amp; Brindal, 2012).</w:t>
      </w:r>
    </w:p>
    <w:p w14:paraId="0D2CFFAC" w14:textId="77777777" w:rsidR="00EE3357" w:rsidRDefault="00000000">
      <w:r>
        <w:t xml:space="preserve">The advisory ecology is often commercially dense. Independent consultants, input suppliers, machinery dealers, software vendors, cooperatives and public or university extension services interpret data and recommend actions. AI can help advisers manage more fields, integrate remote observations and focus visits on anomalies. It can also shift expertise towards firms controlling platforms and algorithms. Interoperability problems force farmers and advisers to move data manually or remain within a vendor ecosystem. Subscription fees and hardware requirements </w:t>
      </w:r>
      <w:proofErr w:type="spellStart"/>
      <w:r>
        <w:t>favour</w:t>
      </w:r>
      <w:proofErr w:type="spellEnd"/>
      <w:r>
        <w:t xml:space="preserve"> larger operations, while platform design may </w:t>
      </w:r>
      <w:proofErr w:type="spellStart"/>
      <w:r>
        <w:t>normalise</w:t>
      </w:r>
      <w:proofErr w:type="spellEnd"/>
      <w:r>
        <w:t xml:space="preserve"> </w:t>
      </w:r>
      <w:r>
        <w:lastRenderedPageBreak/>
        <w:t xml:space="preserve">production objectives that align with commercial offerings. </w:t>
      </w:r>
      <w:proofErr w:type="spellStart"/>
      <w:r>
        <w:t>Digitalisation</w:t>
      </w:r>
      <w:proofErr w:type="spellEnd"/>
      <w:r>
        <w:t xml:space="preserve"> therefore changes not only the efficiency of advice but the distribution of bargaining power within agricultural knowledge networks (</w:t>
      </w:r>
      <w:proofErr w:type="spellStart"/>
      <w:r>
        <w:t>Fielke</w:t>
      </w:r>
      <w:proofErr w:type="spellEnd"/>
      <w:r>
        <w:t xml:space="preserve"> et al., 2020; Klerkx et al., 2019).</w:t>
      </w:r>
    </w:p>
    <w:p w14:paraId="125913AC" w14:textId="77777777" w:rsidR="00EE3357" w:rsidRDefault="00000000">
      <w:r>
        <w:t xml:space="preserve">Data abundance does not eliminate epistemic limitations. Sensor streams may be precise but still represent only what has been measured. Soil heterogeneity, operator practice, biological interactions and market contingencies remain difficult to encode. Automated recommendations can create false confidence when the data pipeline is incomplete or calibration is poor. Advisers may experience automation bias, accepting outputs because they appear quantitative, or de-skilling if diagnostic reasoning is progressively outsourced. Conversely, experienced consultants may use AI selectively and challenge outputs, producing a form of complementary expertise. The </w:t>
      </w:r>
      <w:proofErr w:type="spellStart"/>
      <w:r>
        <w:t>organisational</w:t>
      </w:r>
      <w:proofErr w:type="spellEnd"/>
      <w:r>
        <w:t xml:space="preserve"> question is whether systems are designed to support such critical use or to </w:t>
      </w:r>
      <w:proofErr w:type="spellStart"/>
      <w:r>
        <w:t>standardise</w:t>
      </w:r>
      <w:proofErr w:type="spellEnd"/>
      <w:r>
        <w:t xml:space="preserve"> advisers into platform operators.</w:t>
      </w:r>
    </w:p>
    <w:p w14:paraId="7E546B12" w14:textId="77777777" w:rsidR="00EE3357" w:rsidRDefault="00000000">
      <w:r>
        <w:t>Trust and data rights are especially visible in HIC smart farming because farms generate commercially valuable datasets. Farmers have expressed reluctance to share data when purposes, benefits and downstream access are unclear. Studies of trust in smart farming show that transparency and benefit-sharing are not peripheral ethical issues; they are preconditions for participation (Jakku et al., 2019). Ethical reviews identify unresolved questions about ownership, access, power and societal purpose (van der Burg et al., 2019). Big-data scholarship similarly notes that data integration can improve decisions while creating new governance challenges (Bronson &amp; Knezevic, 2016; Coble et al., 2018). Stronger formal institutions do not automatically resolve these concerns when contracts are complex and platform markets are concentrated.</w:t>
      </w:r>
    </w:p>
    <w:p w14:paraId="079C9D95" w14:textId="77777777" w:rsidR="00EE3357" w:rsidRDefault="00000000">
      <w:pPr>
        <w:pStyle w:val="Heading2"/>
      </w:pPr>
      <w:r>
        <w:t>5.3 Convergence and Divergence</w:t>
      </w:r>
    </w:p>
    <w:p w14:paraId="1E562357" w14:textId="77777777" w:rsidR="00EE3357" w:rsidRDefault="00000000">
      <w:r>
        <w:t xml:space="preserve">The comparison reveals convergence beneath different technical surfaces. Both LMIC and HIC systems struggle to convert data into contextually valid action, sustain user trust, assign responsibility and avoid excluding farms that are less profitable to serve. Both depend on intermediaries even when product narratives </w:t>
      </w:r>
      <w:proofErr w:type="spellStart"/>
      <w:r>
        <w:t>emphasise</w:t>
      </w:r>
      <w:proofErr w:type="spellEnd"/>
      <w:r>
        <w:t xml:space="preserve"> automation. Both face a tension between network effects, which reward large integrated platforms, and pluralism, which requires interoperability and room for local knowledge. The central difference is often the form of scarcity. LMIC services face scarcity of labelled data, connectivity, public capacity and specialist access. HIC services face scarcity of interoperability, independent oversight and control over commercially enclosed data. These scarcities produce different but related dependencies.</w:t>
      </w:r>
    </w:p>
    <w:p w14:paraId="69967BA6" w14:textId="77777777" w:rsidR="00EE3357" w:rsidRDefault="00000000">
      <w:r>
        <w:t>The categories also diverge in the consequences of error. For a resource-constrained smallholder, a wrong input recommendation can threaten food security or indebtedness, and access to redress may be weak. On a large commercial farm, the absolute financial or environmental consequences can be substantial, but insurance, professional advice and legal remedies may be more available. This does not imply that one context requires accuracy while the other requires governance; both require both. It means that acceptable risk, escalation thresholds and liability arrangements must be calibrated to the user’s capacity to absorb loss.</w:t>
      </w:r>
    </w:p>
    <w:p w14:paraId="4D126E3D" w14:textId="77777777" w:rsidR="00EE3357" w:rsidRDefault="00000000">
      <w:r>
        <w:t xml:space="preserve">A further divergence concerns the public role. In many LMIC initiatives, governments and development </w:t>
      </w:r>
      <w:proofErr w:type="spellStart"/>
      <w:r>
        <w:t>organisations</w:t>
      </w:r>
      <w:proofErr w:type="spellEnd"/>
      <w:r>
        <w:t xml:space="preserve"> </w:t>
      </w:r>
      <w:proofErr w:type="spellStart"/>
      <w:r>
        <w:t>subsidise</w:t>
      </w:r>
      <w:proofErr w:type="spellEnd"/>
      <w:r>
        <w:t xml:space="preserve"> service creation because commercial willingness to pay is limited. Public policy therefore has leverage to impose interoperability, inclusion and open standards, but procurement dependence and project cycles can weaken continuity. In HICs, innovation is often vendor-led, and public extension may lack influence over platform architecture. Regulation, competition policy, data portability and public research become important counterweights. Across both settings, the future of extension will be shaped by whether AI infrastructure is treated as a public or club good, a proprietary product, or a layered combination of these forms.</w:t>
      </w:r>
    </w:p>
    <w:p w14:paraId="571BF951" w14:textId="77777777" w:rsidR="00EE3357" w:rsidRDefault="00000000">
      <w:r>
        <w:lastRenderedPageBreak/>
        <w:t>Table 3 compares recurring configurations rather than assigning every country to a fixed type. Its main implication is that AI readiness should not be measured solely by connectivity or data volume. Institutional capacity, contestability, service integration and risk-bearing arrangements are equally decisive.</w:t>
      </w:r>
    </w:p>
    <w:p w14:paraId="67388C7D" w14:textId="77777777" w:rsidR="00EE3357" w:rsidRDefault="00000000">
      <w:pPr>
        <w:keepNext/>
        <w:spacing w:before="120" w:after="80"/>
      </w:pPr>
      <w:r>
        <w:rPr>
          <w:b/>
          <w:sz w:val="20"/>
        </w:rPr>
        <w:t>Table 3. Comparative configurations of AI-enabled agricultural extension in LMICs and HICs</w:t>
      </w:r>
    </w:p>
    <w:tbl>
      <w:tblPr>
        <w:tblStyle w:val="TableGrid"/>
        <w:tblW w:w="5000" w:type="pct"/>
        <w:jc w:val="center"/>
        <w:tblLook w:val="04A0" w:firstRow="1" w:lastRow="0" w:firstColumn="1" w:lastColumn="0" w:noHBand="0" w:noVBand="1"/>
      </w:tblPr>
      <w:tblGrid>
        <w:gridCol w:w="1499"/>
        <w:gridCol w:w="2179"/>
        <w:gridCol w:w="2179"/>
        <w:gridCol w:w="2111"/>
        <w:gridCol w:w="1840"/>
      </w:tblGrid>
      <w:tr w:rsidR="00EE3357" w14:paraId="742C7739" w14:textId="77777777" w:rsidTr="00C97D6B">
        <w:trPr>
          <w:tblHeader/>
          <w:jc w:val="center"/>
        </w:trPr>
        <w:tc>
          <w:tcPr>
            <w:tcW w:w="764" w:type="pct"/>
            <w:shd w:val="clear" w:color="auto" w:fill="D9EAF7"/>
            <w:tcMar>
              <w:top w:w="70" w:type="dxa"/>
              <w:left w:w="80" w:type="dxa"/>
              <w:bottom w:w="70" w:type="dxa"/>
              <w:right w:w="80" w:type="dxa"/>
            </w:tcMar>
            <w:vAlign w:val="center"/>
          </w:tcPr>
          <w:p w14:paraId="7F727F1B" w14:textId="77777777" w:rsidR="00EE3357" w:rsidRDefault="00000000">
            <w:pPr>
              <w:spacing w:after="0"/>
              <w:jc w:val="center"/>
            </w:pPr>
            <w:r>
              <w:rPr>
                <w:b/>
                <w:sz w:val="17"/>
              </w:rPr>
              <w:t>Dimension</w:t>
            </w:r>
          </w:p>
        </w:tc>
        <w:tc>
          <w:tcPr>
            <w:tcW w:w="1111" w:type="pct"/>
            <w:shd w:val="clear" w:color="auto" w:fill="D9EAF7"/>
            <w:tcMar>
              <w:top w:w="70" w:type="dxa"/>
              <w:left w:w="80" w:type="dxa"/>
              <w:bottom w:w="70" w:type="dxa"/>
              <w:right w:w="80" w:type="dxa"/>
            </w:tcMar>
            <w:vAlign w:val="center"/>
          </w:tcPr>
          <w:p w14:paraId="66833DFF" w14:textId="77777777" w:rsidR="00EE3357" w:rsidRDefault="00000000">
            <w:pPr>
              <w:spacing w:after="0"/>
              <w:jc w:val="center"/>
            </w:pPr>
            <w:r>
              <w:rPr>
                <w:b/>
                <w:sz w:val="17"/>
              </w:rPr>
              <w:t>Typical LMIC pattern</w:t>
            </w:r>
          </w:p>
        </w:tc>
        <w:tc>
          <w:tcPr>
            <w:tcW w:w="1111" w:type="pct"/>
            <w:shd w:val="clear" w:color="auto" w:fill="D9EAF7"/>
            <w:tcMar>
              <w:top w:w="70" w:type="dxa"/>
              <w:left w:w="80" w:type="dxa"/>
              <w:bottom w:w="70" w:type="dxa"/>
              <w:right w:w="80" w:type="dxa"/>
            </w:tcMar>
            <w:vAlign w:val="center"/>
          </w:tcPr>
          <w:p w14:paraId="53EE3DF8" w14:textId="77777777" w:rsidR="00EE3357" w:rsidRDefault="00000000">
            <w:pPr>
              <w:spacing w:after="0"/>
              <w:jc w:val="center"/>
            </w:pPr>
            <w:r>
              <w:rPr>
                <w:b/>
                <w:sz w:val="17"/>
              </w:rPr>
              <w:t>Typical HIC pattern</w:t>
            </w:r>
          </w:p>
        </w:tc>
        <w:tc>
          <w:tcPr>
            <w:tcW w:w="1076" w:type="pct"/>
            <w:shd w:val="clear" w:color="auto" w:fill="D9EAF7"/>
            <w:tcMar>
              <w:top w:w="70" w:type="dxa"/>
              <w:left w:w="80" w:type="dxa"/>
              <w:bottom w:w="70" w:type="dxa"/>
              <w:right w:w="80" w:type="dxa"/>
            </w:tcMar>
            <w:vAlign w:val="center"/>
          </w:tcPr>
          <w:p w14:paraId="75CC473B" w14:textId="77777777" w:rsidR="00EE3357" w:rsidRDefault="00000000">
            <w:pPr>
              <w:spacing w:after="0"/>
              <w:jc w:val="center"/>
            </w:pPr>
            <w:r>
              <w:rPr>
                <w:b/>
                <w:sz w:val="17"/>
              </w:rPr>
              <w:t>Comparative implication</w:t>
            </w:r>
          </w:p>
        </w:tc>
        <w:tc>
          <w:tcPr>
            <w:tcW w:w="938" w:type="pct"/>
            <w:shd w:val="clear" w:color="auto" w:fill="D9EAF7"/>
            <w:tcMar>
              <w:top w:w="70" w:type="dxa"/>
              <w:left w:w="80" w:type="dxa"/>
              <w:bottom w:w="70" w:type="dxa"/>
              <w:right w:w="80" w:type="dxa"/>
            </w:tcMar>
            <w:vAlign w:val="center"/>
          </w:tcPr>
          <w:p w14:paraId="38D5911A" w14:textId="77777777" w:rsidR="00EE3357" w:rsidRDefault="00000000">
            <w:pPr>
              <w:spacing w:after="0"/>
              <w:jc w:val="center"/>
            </w:pPr>
            <w:r>
              <w:rPr>
                <w:b/>
                <w:sz w:val="17"/>
              </w:rPr>
              <w:t>Supporting references</w:t>
            </w:r>
          </w:p>
        </w:tc>
      </w:tr>
      <w:tr w:rsidR="00EE3357" w14:paraId="187455B6" w14:textId="77777777" w:rsidTr="00C97D6B">
        <w:trPr>
          <w:jc w:val="center"/>
        </w:trPr>
        <w:tc>
          <w:tcPr>
            <w:tcW w:w="764" w:type="pct"/>
            <w:tcMar>
              <w:top w:w="70" w:type="dxa"/>
              <w:left w:w="80" w:type="dxa"/>
              <w:bottom w:w="70" w:type="dxa"/>
              <w:right w:w="80" w:type="dxa"/>
            </w:tcMar>
            <w:vAlign w:val="center"/>
          </w:tcPr>
          <w:p w14:paraId="68E6AB4F" w14:textId="77777777" w:rsidR="00EE3357" w:rsidRDefault="00000000">
            <w:pPr>
              <w:spacing w:after="0"/>
              <w:jc w:val="center"/>
            </w:pPr>
            <w:r>
              <w:rPr>
                <w:sz w:val="16"/>
              </w:rPr>
              <w:t>Farm and service structure</w:t>
            </w:r>
          </w:p>
        </w:tc>
        <w:tc>
          <w:tcPr>
            <w:tcW w:w="1111" w:type="pct"/>
            <w:tcMar>
              <w:top w:w="70" w:type="dxa"/>
              <w:left w:w="80" w:type="dxa"/>
              <w:bottom w:w="70" w:type="dxa"/>
              <w:right w:w="80" w:type="dxa"/>
            </w:tcMar>
            <w:vAlign w:val="center"/>
          </w:tcPr>
          <w:p w14:paraId="7446DB39" w14:textId="77777777" w:rsidR="00EE3357" w:rsidRDefault="00000000">
            <w:pPr>
              <w:spacing w:after="0"/>
              <w:jc w:val="left"/>
            </w:pPr>
            <w:r>
              <w:rPr>
                <w:sz w:val="16"/>
              </w:rPr>
              <w:t>Many smallholders; thin formal coverage; mixed public, donor and community provision</w:t>
            </w:r>
          </w:p>
        </w:tc>
        <w:tc>
          <w:tcPr>
            <w:tcW w:w="1111" w:type="pct"/>
            <w:tcMar>
              <w:top w:w="70" w:type="dxa"/>
              <w:left w:w="80" w:type="dxa"/>
              <w:bottom w:w="70" w:type="dxa"/>
              <w:right w:w="80" w:type="dxa"/>
            </w:tcMar>
            <w:vAlign w:val="center"/>
          </w:tcPr>
          <w:p w14:paraId="5D551EA1" w14:textId="77777777" w:rsidR="00EE3357" w:rsidRDefault="00000000">
            <w:pPr>
              <w:spacing w:after="0"/>
              <w:jc w:val="left"/>
            </w:pPr>
            <w:r>
              <w:rPr>
                <w:sz w:val="16"/>
              </w:rPr>
              <w:t xml:space="preserve">Fewer, larger and more </w:t>
            </w:r>
            <w:proofErr w:type="spellStart"/>
            <w:r>
              <w:rPr>
                <w:sz w:val="16"/>
              </w:rPr>
              <w:t>capitalised</w:t>
            </w:r>
            <w:proofErr w:type="spellEnd"/>
            <w:r>
              <w:rPr>
                <w:sz w:val="16"/>
              </w:rPr>
              <w:t xml:space="preserve"> farms; dense private advisory markets</w:t>
            </w:r>
          </w:p>
        </w:tc>
        <w:tc>
          <w:tcPr>
            <w:tcW w:w="1076" w:type="pct"/>
            <w:tcMar>
              <w:top w:w="70" w:type="dxa"/>
              <w:left w:w="80" w:type="dxa"/>
              <w:bottom w:w="70" w:type="dxa"/>
              <w:right w:w="80" w:type="dxa"/>
            </w:tcMar>
            <w:vAlign w:val="center"/>
          </w:tcPr>
          <w:p w14:paraId="2584E952" w14:textId="77777777" w:rsidR="00EE3357" w:rsidRDefault="00000000">
            <w:pPr>
              <w:spacing w:after="0"/>
              <w:jc w:val="left"/>
            </w:pPr>
            <w:r>
              <w:rPr>
                <w:sz w:val="16"/>
              </w:rPr>
              <w:t>Delivery architecture and willingness to pay differ sharply</w:t>
            </w:r>
          </w:p>
        </w:tc>
        <w:tc>
          <w:tcPr>
            <w:tcW w:w="938" w:type="pct"/>
            <w:tcMar>
              <w:top w:w="70" w:type="dxa"/>
              <w:left w:w="80" w:type="dxa"/>
              <w:bottom w:w="70" w:type="dxa"/>
              <w:right w:w="80" w:type="dxa"/>
            </w:tcMar>
            <w:vAlign w:val="center"/>
          </w:tcPr>
          <w:p w14:paraId="76F7B8AA" w14:textId="77777777" w:rsidR="00EE3357" w:rsidRDefault="00000000">
            <w:pPr>
              <w:spacing w:after="0"/>
              <w:jc w:val="left"/>
            </w:pPr>
            <w:r>
              <w:rPr>
                <w:sz w:val="16"/>
              </w:rPr>
              <w:t>Aker (2011); Barnes et al. (2019)</w:t>
            </w:r>
          </w:p>
        </w:tc>
      </w:tr>
      <w:tr w:rsidR="00EE3357" w14:paraId="0108B3FA" w14:textId="77777777" w:rsidTr="00C97D6B">
        <w:trPr>
          <w:jc w:val="center"/>
        </w:trPr>
        <w:tc>
          <w:tcPr>
            <w:tcW w:w="764" w:type="pct"/>
            <w:tcMar>
              <w:top w:w="70" w:type="dxa"/>
              <w:left w:w="80" w:type="dxa"/>
              <w:bottom w:w="70" w:type="dxa"/>
              <w:right w:w="80" w:type="dxa"/>
            </w:tcMar>
            <w:vAlign w:val="center"/>
          </w:tcPr>
          <w:p w14:paraId="4208D5A6" w14:textId="77777777" w:rsidR="00EE3357" w:rsidRDefault="00000000">
            <w:pPr>
              <w:spacing w:after="0"/>
              <w:jc w:val="center"/>
            </w:pPr>
            <w:r>
              <w:rPr>
                <w:sz w:val="16"/>
              </w:rPr>
              <w:t>Technical interface</w:t>
            </w:r>
          </w:p>
        </w:tc>
        <w:tc>
          <w:tcPr>
            <w:tcW w:w="1111" w:type="pct"/>
            <w:tcMar>
              <w:top w:w="70" w:type="dxa"/>
              <w:left w:w="80" w:type="dxa"/>
              <w:bottom w:w="70" w:type="dxa"/>
              <w:right w:w="80" w:type="dxa"/>
            </w:tcMar>
            <w:vAlign w:val="center"/>
          </w:tcPr>
          <w:p w14:paraId="67F9136D" w14:textId="77777777" w:rsidR="00EE3357" w:rsidRDefault="00000000">
            <w:pPr>
              <w:spacing w:after="0"/>
              <w:jc w:val="left"/>
            </w:pPr>
            <w:r>
              <w:rPr>
                <w:sz w:val="16"/>
              </w:rPr>
              <w:t>Mobile, voice, messaging and shared-device mediation</w:t>
            </w:r>
          </w:p>
        </w:tc>
        <w:tc>
          <w:tcPr>
            <w:tcW w:w="1111" w:type="pct"/>
            <w:tcMar>
              <w:top w:w="70" w:type="dxa"/>
              <w:left w:w="80" w:type="dxa"/>
              <w:bottom w:w="70" w:type="dxa"/>
              <w:right w:w="80" w:type="dxa"/>
            </w:tcMar>
            <w:vAlign w:val="center"/>
          </w:tcPr>
          <w:p w14:paraId="596B196F" w14:textId="77777777" w:rsidR="00EE3357" w:rsidRDefault="00000000">
            <w:pPr>
              <w:spacing w:after="0"/>
              <w:jc w:val="left"/>
            </w:pPr>
            <w:r>
              <w:rPr>
                <w:sz w:val="16"/>
              </w:rPr>
              <w:t>Sensors, machinery, software platforms and consultant dashboards</w:t>
            </w:r>
          </w:p>
        </w:tc>
        <w:tc>
          <w:tcPr>
            <w:tcW w:w="1076" w:type="pct"/>
            <w:tcMar>
              <w:top w:w="70" w:type="dxa"/>
              <w:left w:w="80" w:type="dxa"/>
              <w:bottom w:w="70" w:type="dxa"/>
              <w:right w:w="80" w:type="dxa"/>
            </w:tcMar>
            <w:vAlign w:val="center"/>
          </w:tcPr>
          <w:p w14:paraId="7CBB932F" w14:textId="77777777" w:rsidR="00EE3357" w:rsidRDefault="00000000">
            <w:pPr>
              <w:spacing w:after="0"/>
              <w:jc w:val="left"/>
            </w:pPr>
            <w:r>
              <w:rPr>
                <w:sz w:val="16"/>
              </w:rPr>
              <w:t>Self-service assumptions are unreliable in both settings</w:t>
            </w:r>
          </w:p>
        </w:tc>
        <w:tc>
          <w:tcPr>
            <w:tcW w:w="938" w:type="pct"/>
            <w:tcMar>
              <w:top w:w="70" w:type="dxa"/>
              <w:left w:w="80" w:type="dxa"/>
              <w:bottom w:w="70" w:type="dxa"/>
              <w:right w:w="80" w:type="dxa"/>
            </w:tcMar>
            <w:vAlign w:val="center"/>
          </w:tcPr>
          <w:p w14:paraId="430A6670" w14:textId="77777777" w:rsidR="00EE3357" w:rsidRDefault="00000000">
            <w:pPr>
              <w:spacing w:after="0"/>
              <w:jc w:val="left"/>
            </w:pPr>
            <w:r w:rsidRPr="00083F77">
              <w:rPr>
                <w:sz w:val="16"/>
                <w:lang w:val="nl-BE"/>
              </w:rPr>
              <w:t xml:space="preserve">Porciello et al. (2022); Wolfert et al. </w:t>
            </w:r>
            <w:r>
              <w:rPr>
                <w:sz w:val="16"/>
              </w:rPr>
              <w:t>(2017)</w:t>
            </w:r>
          </w:p>
        </w:tc>
      </w:tr>
      <w:tr w:rsidR="00EE3357" w14:paraId="35936B8F" w14:textId="77777777" w:rsidTr="00C97D6B">
        <w:trPr>
          <w:jc w:val="center"/>
        </w:trPr>
        <w:tc>
          <w:tcPr>
            <w:tcW w:w="764" w:type="pct"/>
            <w:tcMar>
              <w:top w:w="70" w:type="dxa"/>
              <w:left w:w="80" w:type="dxa"/>
              <w:bottom w:w="70" w:type="dxa"/>
              <w:right w:w="80" w:type="dxa"/>
            </w:tcMar>
            <w:vAlign w:val="center"/>
          </w:tcPr>
          <w:p w14:paraId="45ED36C4" w14:textId="77777777" w:rsidR="00EE3357" w:rsidRDefault="00000000">
            <w:pPr>
              <w:spacing w:after="0"/>
              <w:jc w:val="center"/>
            </w:pPr>
            <w:r>
              <w:rPr>
                <w:sz w:val="16"/>
              </w:rPr>
              <w:t>Data environment</w:t>
            </w:r>
          </w:p>
        </w:tc>
        <w:tc>
          <w:tcPr>
            <w:tcW w:w="1111" w:type="pct"/>
            <w:tcMar>
              <w:top w:w="70" w:type="dxa"/>
              <w:left w:w="80" w:type="dxa"/>
              <w:bottom w:w="70" w:type="dxa"/>
              <w:right w:w="80" w:type="dxa"/>
            </w:tcMar>
            <w:vAlign w:val="center"/>
          </w:tcPr>
          <w:p w14:paraId="385AD8D8" w14:textId="77777777" w:rsidR="00EE3357" w:rsidRDefault="00000000">
            <w:pPr>
              <w:spacing w:after="0"/>
              <w:jc w:val="left"/>
            </w:pPr>
            <w:r>
              <w:rPr>
                <w:sz w:val="16"/>
              </w:rPr>
              <w:t>Sparse, fragmented and linguistically diverse; weak stewardship</w:t>
            </w:r>
          </w:p>
        </w:tc>
        <w:tc>
          <w:tcPr>
            <w:tcW w:w="1111" w:type="pct"/>
            <w:tcMar>
              <w:top w:w="70" w:type="dxa"/>
              <w:left w:w="80" w:type="dxa"/>
              <w:bottom w:w="70" w:type="dxa"/>
              <w:right w:w="80" w:type="dxa"/>
            </w:tcMar>
            <w:vAlign w:val="center"/>
          </w:tcPr>
          <w:p w14:paraId="103D9B08" w14:textId="77777777" w:rsidR="00EE3357" w:rsidRDefault="00000000">
            <w:pPr>
              <w:spacing w:after="0"/>
              <w:jc w:val="left"/>
            </w:pPr>
            <w:r>
              <w:rPr>
                <w:sz w:val="16"/>
              </w:rPr>
              <w:t>Data-rich but proprietary and poorly interoperable</w:t>
            </w:r>
          </w:p>
        </w:tc>
        <w:tc>
          <w:tcPr>
            <w:tcW w:w="1076" w:type="pct"/>
            <w:tcMar>
              <w:top w:w="70" w:type="dxa"/>
              <w:left w:w="80" w:type="dxa"/>
              <w:bottom w:w="70" w:type="dxa"/>
              <w:right w:w="80" w:type="dxa"/>
            </w:tcMar>
            <w:vAlign w:val="center"/>
          </w:tcPr>
          <w:p w14:paraId="26713D1A" w14:textId="77777777" w:rsidR="00EE3357" w:rsidRDefault="00000000">
            <w:pPr>
              <w:spacing w:after="0"/>
              <w:jc w:val="left"/>
            </w:pPr>
            <w:proofErr w:type="spellStart"/>
            <w:r>
              <w:rPr>
                <w:sz w:val="16"/>
              </w:rPr>
              <w:t>Localisation</w:t>
            </w:r>
            <w:proofErr w:type="spellEnd"/>
            <w:r>
              <w:rPr>
                <w:sz w:val="16"/>
              </w:rPr>
              <w:t xml:space="preserve"> and access are different governance problems</w:t>
            </w:r>
          </w:p>
        </w:tc>
        <w:tc>
          <w:tcPr>
            <w:tcW w:w="938" w:type="pct"/>
            <w:tcMar>
              <w:top w:w="70" w:type="dxa"/>
              <w:left w:w="80" w:type="dxa"/>
              <w:bottom w:w="70" w:type="dxa"/>
              <w:right w:w="80" w:type="dxa"/>
            </w:tcMar>
            <w:vAlign w:val="center"/>
          </w:tcPr>
          <w:p w14:paraId="6141D4F3" w14:textId="77777777" w:rsidR="00EE3357" w:rsidRDefault="00000000">
            <w:pPr>
              <w:spacing w:after="0"/>
              <w:jc w:val="left"/>
            </w:pPr>
            <w:r w:rsidRPr="00083F77">
              <w:rPr>
                <w:sz w:val="16"/>
                <w:lang w:val="nl-BE"/>
              </w:rPr>
              <w:t xml:space="preserve">Amar et al. (2026); Fielke et al. </w:t>
            </w:r>
            <w:r>
              <w:rPr>
                <w:sz w:val="16"/>
              </w:rPr>
              <w:t>(2020)</w:t>
            </w:r>
          </w:p>
        </w:tc>
      </w:tr>
      <w:tr w:rsidR="00EE3357" w14:paraId="61531CA3" w14:textId="77777777" w:rsidTr="00C97D6B">
        <w:trPr>
          <w:jc w:val="center"/>
        </w:trPr>
        <w:tc>
          <w:tcPr>
            <w:tcW w:w="764" w:type="pct"/>
            <w:tcMar>
              <w:top w:w="70" w:type="dxa"/>
              <w:left w:w="80" w:type="dxa"/>
              <w:bottom w:w="70" w:type="dxa"/>
              <w:right w:w="80" w:type="dxa"/>
            </w:tcMar>
            <w:vAlign w:val="center"/>
          </w:tcPr>
          <w:p w14:paraId="73921B65" w14:textId="77777777" w:rsidR="00EE3357" w:rsidRDefault="00000000">
            <w:pPr>
              <w:spacing w:after="0"/>
              <w:jc w:val="center"/>
            </w:pPr>
            <w:r>
              <w:rPr>
                <w:sz w:val="16"/>
              </w:rPr>
              <w:t>Primary exclusion risk</w:t>
            </w:r>
          </w:p>
        </w:tc>
        <w:tc>
          <w:tcPr>
            <w:tcW w:w="1111" w:type="pct"/>
            <w:tcMar>
              <w:top w:w="70" w:type="dxa"/>
              <w:left w:w="80" w:type="dxa"/>
              <w:bottom w:w="70" w:type="dxa"/>
              <w:right w:w="80" w:type="dxa"/>
            </w:tcMar>
            <w:vAlign w:val="center"/>
          </w:tcPr>
          <w:p w14:paraId="4731F8B6" w14:textId="77777777" w:rsidR="00EE3357" w:rsidRDefault="00000000">
            <w:pPr>
              <w:spacing w:after="0"/>
              <w:jc w:val="left"/>
            </w:pPr>
            <w:r>
              <w:rPr>
                <w:sz w:val="16"/>
              </w:rPr>
              <w:t>Connectivity, literacy, gender, language and unaffordable action</w:t>
            </w:r>
          </w:p>
        </w:tc>
        <w:tc>
          <w:tcPr>
            <w:tcW w:w="1111" w:type="pct"/>
            <w:tcMar>
              <w:top w:w="70" w:type="dxa"/>
              <w:left w:w="80" w:type="dxa"/>
              <w:bottom w:w="70" w:type="dxa"/>
              <w:right w:w="80" w:type="dxa"/>
            </w:tcMar>
            <w:vAlign w:val="center"/>
          </w:tcPr>
          <w:p w14:paraId="631F443E" w14:textId="77777777" w:rsidR="00EE3357" w:rsidRDefault="00000000">
            <w:pPr>
              <w:spacing w:after="0"/>
              <w:jc w:val="left"/>
            </w:pPr>
            <w:r>
              <w:rPr>
                <w:sz w:val="16"/>
              </w:rPr>
              <w:t>Capital intensity, farm scale, subscription cost and vendor lock-in</w:t>
            </w:r>
          </w:p>
        </w:tc>
        <w:tc>
          <w:tcPr>
            <w:tcW w:w="1076" w:type="pct"/>
            <w:tcMar>
              <w:top w:w="70" w:type="dxa"/>
              <w:left w:w="80" w:type="dxa"/>
              <w:bottom w:w="70" w:type="dxa"/>
              <w:right w:w="80" w:type="dxa"/>
            </w:tcMar>
            <w:vAlign w:val="center"/>
          </w:tcPr>
          <w:p w14:paraId="4189EE77" w14:textId="77777777" w:rsidR="00EE3357" w:rsidRDefault="00000000">
            <w:pPr>
              <w:spacing w:after="0"/>
              <w:jc w:val="left"/>
            </w:pPr>
            <w:r>
              <w:rPr>
                <w:sz w:val="16"/>
              </w:rPr>
              <w:t>Usage statistics can conceal unequal benefit</w:t>
            </w:r>
          </w:p>
        </w:tc>
        <w:tc>
          <w:tcPr>
            <w:tcW w:w="938" w:type="pct"/>
            <w:tcMar>
              <w:top w:w="70" w:type="dxa"/>
              <w:left w:w="80" w:type="dxa"/>
              <w:bottom w:w="70" w:type="dxa"/>
              <w:right w:w="80" w:type="dxa"/>
            </w:tcMar>
            <w:vAlign w:val="center"/>
          </w:tcPr>
          <w:p w14:paraId="638E334E" w14:textId="77777777" w:rsidR="00EE3357" w:rsidRDefault="00000000">
            <w:pPr>
              <w:spacing w:after="0"/>
              <w:jc w:val="left"/>
            </w:pPr>
            <w:proofErr w:type="spellStart"/>
            <w:r>
              <w:rPr>
                <w:sz w:val="16"/>
              </w:rPr>
              <w:t>Gouthon</w:t>
            </w:r>
            <w:proofErr w:type="spellEnd"/>
            <w:r>
              <w:rPr>
                <w:sz w:val="16"/>
              </w:rPr>
              <w:t xml:space="preserve"> et al. (2024); </w:t>
            </w:r>
            <w:proofErr w:type="spellStart"/>
            <w:r>
              <w:rPr>
                <w:sz w:val="16"/>
              </w:rPr>
              <w:t>Hackfort</w:t>
            </w:r>
            <w:proofErr w:type="spellEnd"/>
            <w:r>
              <w:rPr>
                <w:sz w:val="16"/>
              </w:rPr>
              <w:t xml:space="preserve"> (2021)</w:t>
            </w:r>
          </w:p>
        </w:tc>
      </w:tr>
      <w:tr w:rsidR="00EE3357" w14:paraId="02AC1D5A" w14:textId="77777777" w:rsidTr="00C97D6B">
        <w:trPr>
          <w:jc w:val="center"/>
        </w:trPr>
        <w:tc>
          <w:tcPr>
            <w:tcW w:w="764" w:type="pct"/>
            <w:tcMar>
              <w:top w:w="70" w:type="dxa"/>
              <w:left w:w="80" w:type="dxa"/>
              <w:bottom w:w="70" w:type="dxa"/>
              <w:right w:w="80" w:type="dxa"/>
            </w:tcMar>
            <w:vAlign w:val="center"/>
          </w:tcPr>
          <w:p w14:paraId="4C7E893B" w14:textId="77777777" w:rsidR="00EE3357" w:rsidRDefault="00000000">
            <w:pPr>
              <w:spacing w:after="0"/>
              <w:jc w:val="center"/>
            </w:pPr>
            <w:r>
              <w:rPr>
                <w:sz w:val="16"/>
              </w:rPr>
              <w:t>Trust and accountability</w:t>
            </w:r>
          </w:p>
        </w:tc>
        <w:tc>
          <w:tcPr>
            <w:tcW w:w="1111" w:type="pct"/>
            <w:tcMar>
              <w:top w:w="70" w:type="dxa"/>
              <w:left w:w="80" w:type="dxa"/>
              <w:bottom w:w="70" w:type="dxa"/>
              <w:right w:w="80" w:type="dxa"/>
            </w:tcMar>
            <w:vAlign w:val="center"/>
          </w:tcPr>
          <w:p w14:paraId="2D638B7B" w14:textId="77777777" w:rsidR="00EE3357" w:rsidRDefault="00000000">
            <w:pPr>
              <w:spacing w:after="0"/>
              <w:jc w:val="left"/>
            </w:pPr>
            <w:r>
              <w:rPr>
                <w:sz w:val="16"/>
              </w:rPr>
              <w:t>Reliance on human intermediaries; limited redress and project continuity</w:t>
            </w:r>
          </w:p>
        </w:tc>
        <w:tc>
          <w:tcPr>
            <w:tcW w:w="1111" w:type="pct"/>
            <w:tcMar>
              <w:top w:w="70" w:type="dxa"/>
              <w:left w:w="80" w:type="dxa"/>
              <w:bottom w:w="70" w:type="dxa"/>
              <w:right w:w="80" w:type="dxa"/>
            </w:tcMar>
            <w:vAlign w:val="center"/>
          </w:tcPr>
          <w:p w14:paraId="5EEAA880" w14:textId="77777777" w:rsidR="00EE3357" w:rsidRDefault="00000000">
            <w:pPr>
              <w:spacing w:after="0"/>
              <w:jc w:val="left"/>
            </w:pPr>
            <w:r>
              <w:rPr>
                <w:sz w:val="16"/>
              </w:rPr>
              <w:t>Contractual complexity; uncertainty about reuse and benefit-sharing</w:t>
            </w:r>
          </w:p>
        </w:tc>
        <w:tc>
          <w:tcPr>
            <w:tcW w:w="1076" w:type="pct"/>
            <w:tcMar>
              <w:top w:w="70" w:type="dxa"/>
              <w:left w:w="80" w:type="dxa"/>
              <w:bottom w:w="70" w:type="dxa"/>
              <w:right w:w="80" w:type="dxa"/>
            </w:tcMar>
            <w:vAlign w:val="center"/>
          </w:tcPr>
          <w:p w14:paraId="6B4F26E4" w14:textId="77777777" w:rsidR="00EE3357" w:rsidRDefault="00000000">
            <w:pPr>
              <w:spacing w:after="0"/>
              <w:jc w:val="left"/>
            </w:pPr>
            <w:r>
              <w:rPr>
                <w:sz w:val="16"/>
              </w:rPr>
              <w:t>Human support and enforceable governance are complementary</w:t>
            </w:r>
          </w:p>
        </w:tc>
        <w:tc>
          <w:tcPr>
            <w:tcW w:w="938" w:type="pct"/>
            <w:tcMar>
              <w:top w:w="70" w:type="dxa"/>
              <w:left w:w="80" w:type="dxa"/>
              <w:bottom w:w="70" w:type="dxa"/>
              <w:right w:w="80" w:type="dxa"/>
            </w:tcMar>
            <w:vAlign w:val="center"/>
          </w:tcPr>
          <w:p w14:paraId="5693E459" w14:textId="77777777" w:rsidR="00EE3357" w:rsidRDefault="00000000">
            <w:pPr>
              <w:spacing w:after="0"/>
              <w:jc w:val="left"/>
            </w:pPr>
            <w:r>
              <w:rPr>
                <w:sz w:val="16"/>
              </w:rPr>
              <w:t>Jakku et al. (2019); Mulungu (2025)</w:t>
            </w:r>
          </w:p>
        </w:tc>
      </w:tr>
      <w:tr w:rsidR="00EE3357" w14:paraId="6C9F92C3" w14:textId="77777777" w:rsidTr="00C97D6B">
        <w:trPr>
          <w:jc w:val="center"/>
        </w:trPr>
        <w:tc>
          <w:tcPr>
            <w:tcW w:w="764" w:type="pct"/>
            <w:tcMar>
              <w:top w:w="70" w:type="dxa"/>
              <w:left w:w="80" w:type="dxa"/>
              <w:bottom w:w="70" w:type="dxa"/>
              <w:right w:w="80" w:type="dxa"/>
            </w:tcMar>
            <w:vAlign w:val="center"/>
          </w:tcPr>
          <w:p w14:paraId="1FEEB234" w14:textId="77777777" w:rsidR="00EE3357" w:rsidRDefault="00000000">
            <w:pPr>
              <w:spacing w:after="0"/>
              <w:jc w:val="center"/>
            </w:pPr>
            <w:r>
              <w:rPr>
                <w:sz w:val="16"/>
              </w:rPr>
              <w:t>Public-policy leverage</w:t>
            </w:r>
          </w:p>
        </w:tc>
        <w:tc>
          <w:tcPr>
            <w:tcW w:w="1111" w:type="pct"/>
            <w:tcMar>
              <w:top w:w="70" w:type="dxa"/>
              <w:left w:w="80" w:type="dxa"/>
              <w:bottom w:w="70" w:type="dxa"/>
              <w:right w:w="80" w:type="dxa"/>
            </w:tcMar>
            <w:vAlign w:val="center"/>
          </w:tcPr>
          <w:p w14:paraId="23374AB0" w14:textId="77777777" w:rsidR="00EE3357" w:rsidRDefault="00000000">
            <w:pPr>
              <w:spacing w:after="0"/>
              <w:jc w:val="left"/>
            </w:pPr>
            <w:r>
              <w:rPr>
                <w:sz w:val="16"/>
              </w:rPr>
              <w:t>Procurement, extension mandates, shared infrastructure and capacity building</w:t>
            </w:r>
          </w:p>
        </w:tc>
        <w:tc>
          <w:tcPr>
            <w:tcW w:w="1111" w:type="pct"/>
            <w:tcMar>
              <w:top w:w="70" w:type="dxa"/>
              <w:left w:w="80" w:type="dxa"/>
              <w:bottom w:w="70" w:type="dxa"/>
              <w:right w:w="80" w:type="dxa"/>
            </w:tcMar>
            <w:vAlign w:val="center"/>
          </w:tcPr>
          <w:p w14:paraId="1B390B98" w14:textId="77777777" w:rsidR="00EE3357" w:rsidRDefault="00000000">
            <w:pPr>
              <w:spacing w:after="0"/>
              <w:jc w:val="left"/>
            </w:pPr>
            <w:r>
              <w:rPr>
                <w:sz w:val="16"/>
              </w:rPr>
              <w:t>Regulation, competition, portability and public research</w:t>
            </w:r>
          </w:p>
        </w:tc>
        <w:tc>
          <w:tcPr>
            <w:tcW w:w="1076" w:type="pct"/>
            <w:tcMar>
              <w:top w:w="70" w:type="dxa"/>
              <w:left w:w="80" w:type="dxa"/>
              <w:bottom w:w="70" w:type="dxa"/>
              <w:right w:w="80" w:type="dxa"/>
            </w:tcMar>
            <w:vAlign w:val="center"/>
          </w:tcPr>
          <w:p w14:paraId="767E8EE5" w14:textId="77777777" w:rsidR="00EE3357" w:rsidRDefault="00000000">
            <w:pPr>
              <w:spacing w:after="0"/>
              <w:jc w:val="left"/>
            </w:pPr>
            <w:r>
              <w:rPr>
                <w:sz w:val="16"/>
              </w:rPr>
              <w:t>Public intervention must target the dominant source of dependency</w:t>
            </w:r>
          </w:p>
        </w:tc>
        <w:tc>
          <w:tcPr>
            <w:tcW w:w="938" w:type="pct"/>
            <w:tcMar>
              <w:top w:w="70" w:type="dxa"/>
              <w:left w:w="80" w:type="dxa"/>
              <w:bottom w:w="70" w:type="dxa"/>
              <w:right w:w="80" w:type="dxa"/>
            </w:tcMar>
            <w:vAlign w:val="center"/>
          </w:tcPr>
          <w:p w14:paraId="703CEEBC" w14:textId="77777777" w:rsidR="00EE3357" w:rsidRDefault="00000000">
            <w:pPr>
              <w:spacing w:after="0"/>
              <w:jc w:val="left"/>
            </w:pPr>
            <w:r w:rsidRPr="00083F77">
              <w:rPr>
                <w:sz w:val="16"/>
                <w:lang w:val="nl-BE"/>
              </w:rPr>
              <w:t xml:space="preserve">Birner et al. (2009); van der Burg et al. </w:t>
            </w:r>
            <w:r>
              <w:rPr>
                <w:sz w:val="16"/>
              </w:rPr>
              <w:t>(2019)</w:t>
            </w:r>
          </w:p>
        </w:tc>
      </w:tr>
    </w:tbl>
    <w:p w14:paraId="40CE3568" w14:textId="77777777" w:rsidR="00EE3357" w:rsidRDefault="00000000">
      <w:pPr>
        <w:spacing w:before="60" w:after="140"/>
      </w:pPr>
      <w:r>
        <w:rPr>
          <w:i/>
          <w:sz w:val="17"/>
        </w:rPr>
        <w:t xml:space="preserve">Note. </w:t>
      </w:r>
      <w:r>
        <w:rPr>
          <w:sz w:val="17"/>
        </w:rPr>
        <w:t>HICs = high-income countries; LMICs = low- and middle-income countries. Patterns are tendencies and should not be interpreted as universal national characteristics.</w:t>
      </w:r>
    </w:p>
    <w:p w14:paraId="41E3A648" w14:textId="77777777" w:rsidR="00EE3357" w:rsidRDefault="00000000">
      <w:pPr>
        <w:pStyle w:val="Heading1"/>
      </w:pPr>
      <w:r>
        <w:t>6. Evidence of Effectiveness: What Can Be Concluded?</w:t>
      </w:r>
    </w:p>
    <w:p w14:paraId="556EE748" w14:textId="77777777" w:rsidR="00EE3357" w:rsidRDefault="00000000">
      <w:pPr>
        <w:pStyle w:val="Heading2"/>
      </w:pPr>
      <w:r>
        <w:t>6.1 From Information Access to Farm Outcomes</w:t>
      </w:r>
    </w:p>
    <w:p w14:paraId="1AAB87CE" w14:textId="77777777" w:rsidR="00EE3357" w:rsidRDefault="00000000">
      <w:r>
        <w:t xml:space="preserve">The evidence base is strongest for digital information services that predate current generative AI. Studies have examined text messages, call </w:t>
      </w:r>
      <w:proofErr w:type="spellStart"/>
      <w:r>
        <w:t>centres</w:t>
      </w:r>
      <w:proofErr w:type="spellEnd"/>
      <w:r>
        <w:t>, mobile applications and videos, often using knowledge, practice adoption, yields or revenues as outcomes. This literature establishes that digital channels can reduce search and communication costs. It does not support a general claim that digital advice consistently improves welfare. Effects vary with content specificity, timing, baseline knowledge, complementary input access, trust and the farmer’s ability to act. The null or modest effects in some SMS evaluations are therefore as informative as positive findings: they show that information is one constraint among many (</w:t>
      </w:r>
      <w:proofErr w:type="spellStart"/>
      <w:r>
        <w:t>Fafchamps</w:t>
      </w:r>
      <w:proofErr w:type="spellEnd"/>
      <w:r>
        <w:t xml:space="preserve"> &amp; Minten, 2012; Fabregas et al., 2019).</w:t>
      </w:r>
    </w:p>
    <w:p w14:paraId="4185AAB9" w14:textId="4FA8217E" w:rsidR="00EE3357" w:rsidRDefault="00000000">
      <w:proofErr w:type="spellStart"/>
      <w:r>
        <w:t>Personalisation</w:t>
      </w:r>
      <w:proofErr w:type="spellEnd"/>
      <w:r>
        <w:t xml:space="preserve"> appears promising, but its meaning varies. It may refer to crop and location matching, recommendations based on reported practices, or dynamic advice using farm data. Rajkhowa and Qaim (2021) found that </w:t>
      </w:r>
      <w:proofErr w:type="spellStart"/>
      <w:r>
        <w:t>personalised</w:t>
      </w:r>
      <w:proofErr w:type="spellEnd"/>
      <w:r>
        <w:t xml:space="preserve"> digital extension in India could improve performance under particular conditions, yet such interventions rely on service quality and sustained engagement. </w:t>
      </w:r>
      <w:r w:rsidR="00083F77" w:rsidRPr="00083F77">
        <w:t>Cole &amp; Fernando</w:t>
      </w:r>
      <w:r>
        <w:t xml:space="preserve"> (2021) demonstrate that mobile advice can affect technology adoption and diffusion, while also directing attention to sustainability. These findings support carefully targeted services rather than the stronger proposition that more complex AI will necessarily deliver larger effects.</w:t>
      </w:r>
    </w:p>
    <w:p w14:paraId="3FF36096" w14:textId="77777777" w:rsidR="00EE3357" w:rsidRDefault="00000000">
      <w:r>
        <w:t xml:space="preserve">Learning design matters. Maredia et al. (2018) showed the potential of animated videos for low-literate farmers in Burkina Faso, illustrating that comprehensibility and social context can matter more than algorithmic sophistication. Interactive digital extension reviews likewise </w:t>
      </w:r>
      <w:proofErr w:type="spellStart"/>
      <w:r>
        <w:t>emphasise</w:t>
      </w:r>
      <w:proofErr w:type="spellEnd"/>
      <w:r>
        <w:t xml:space="preserve"> feedback, local relevance </w:t>
      </w:r>
      <w:r>
        <w:lastRenderedPageBreak/>
        <w:t xml:space="preserve">and user participation (Sen et al., 2025). Conversational AI could improve interactivity, but it can also generate variable answers that are difficult to </w:t>
      </w:r>
      <w:proofErr w:type="spellStart"/>
      <w:r>
        <w:t>standardise</w:t>
      </w:r>
      <w:proofErr w:type="spellEnd"/>
      <w:r>
        <w:t xml:space="preserve"> or audit. Evaluation must therefore compare not only channels but complete service models, including content governance, response quality, human follow-up and the availability of complementary services.</w:t>
      </w:r>
    </w:p>
    <w:p w14:paraId="76CD2B1D" w14:textId="77777777" w:rsidR="00EE3357" w:rsidRDefault="00000000">
      <w:pPr>
        <w:pStyle w:val="Heading2"/>
      </w:pPr>
      <w:r>
        <w:t>6.2 Technical Accuracy Is Not Extension Effectiveness</w:t>
      </w:r>
    </w:p>
    <w:p w14:paraId="37FBE275" w14:textId="77777777" w:rsidR="00EE3357" w:rsidRDefault="00000000">
      <w:r>
        <w:t>Technical AI research commonly reports accuracy, precision, recall or prediction error. These metrics are necessary but insufficient for extension. A diagnostic system may correctly classify a disease yet fail to improve outcomes because the recommendation arrives late, the treatment is unavailable, the farmer distrusts the source or the model does not account for local resistance. Conversely, a moderately accurate alert may be useful if it triggers timely scouting and professional confirmation. Extension effectiveness is therefore a chain of linked conditions: valid data, credible inference, understandable communication, feasible action, appropriate follow-up and beneficial outcome. Failure at any point breaks the causal pathway.</w:t>
      </w:r>
    </w:p>
    <w:p w14:paraId="552B8422" w14:textId="77777777" w:rsidR="00EE3357" w:rsidRDefault="00000000">
      <w:r>
        <w:t>Many studies also evaluate users who have already adopted a technology. Adoption research can identify associations with education, farm size, perceived usefulness and institutional support, but it is vulnerable to selection and self-report bias. Precision-agriculture studies show that adoption differs across tools and regions, cautioning against aggregate labels such as ‘AI adoption’ (Barnes et al., 2019; Lowenberg-DeBoer &amp; Erickson, 2019; Tey &amp; Brindal, 2012). A farmer may use GPS guidance but reject cloud analytics; another may use a messaging chatbot without trusting automated input recommendations. Evaluation should decompose capabilities and examine intensity, persistence and decision dependence.</w:t>
      </w:r>
    </w:p>
    <w:p w14:paraId="01790032" w14:textId="77777777" w:rsidR="00EE3357" w:rsidRDefault="00000000">
      <w:r>
        <w:t xml:space="preserve">Long-term and distributional outcomes are notably weak. Short trials may capture knowledge or first-season adoption but not whether advice remains useful across climatic variation, whether farmers become dependent on a platform, or whether benefits accrue disproportionately to already advantaged users. Environmental claims also require caution. </w:t>
      </w:r>
      <w:proofErr w:type="spellStart"/>
      <w:r>
        <w:t>Optimisation</w:t>
      </w:r>
      <w:proofErr w:type="spellEnd"/>
      <w:r>
        <w:t xml:space="preserve"> can reduce input use per hectare, but rebound effects, intensification and the exclusion of non-measured ecological values can offset gains. Reliable evaluation should therefore include profitability, risk, </w:t>
      </w:r>
      <w:proofErr w:type="spellStart"/>
      <w:r>
        <w:t>labour</w:t>
      </w:r>
      <w:proofErr w:type="spellEnd"/>
      <w:r>
        <w:t>, environmental effects, resilience, autonomy and distribution, not merely yield or engagement.</w:t>
      </w:r>
    </w:p>
    <w:p w14:paraId="1A092A99" w14:textId="77777777" w:rsidR="00EE3357" w:rsidRDefault="00000000">
      <w:pPr>
        <w:pStyle w:val="Heading2"/>
      </w:pPr>
      <w:r>
        <w:t>6.3 Attribution and Comparative Evaluation</w:t>
      </w:r>
    </w:p>
    <w:p w14:paraId="6CB3FE68" w14:textId="77777777" w:rsidR="00EE3357" w:rsidRDefault="00000000">
      <w:r>
        <w:t xml:space="preserve">Attributing outcomes to AI is difficult because interventions combine many components. A new service may provide better content, </w:t>
      </w:r>
      <w:proofErr w:type="spellStart"/>
      <w:r>
        <w:t>subsidised</w:t>
      </w:r>
      <w:proofErr w:type="spellEnd"/>
      <w:r>
        <w:t xml:space="preserve"> connectivity, training and access to experts at the same time as an AI interface. Comparing users with non-users can confound technology effects with motivation and resources. </w:t>
      </w:r>
      <w:proofErr w:type="spellStart"/>
      <w:r>
        <w:t>Randomised</w:t>
      </w:r>
      <w:proofErr w:type="spellEnd"/>
      <w:r>
        <w:t xml:space="preserve"> designs can isolate access to a service but may not capture network effects or institutional learning. Mixed-method and realist approaches are valuable because they explain for whom and under what conditions an intervention works. Comparative evaluations should specify the counterfactual: no advice, conventional extension, a non-AI digital service, or the same service with human review.</w:t>
      </w:r>
    </w:p>
    <w:p w14:paraId="5033C46B" w14:textId="77777777" w:rsidR="00EE3357" w:rsidRDefault="00000000">
      <w:r>
        <w:t xml:space="preserve">The most policy-relevant comparison is often augmentation versus substitution. Does AI allow an adviser to serve more farmers without reducing quality? Does it help </w:t>
      </w:r>
      <w:proofErr w:type="spellStart"/>
      <w:r>
        <w:t>recognise</w:t>
      </w:r>
      <w:proofErr w:type="spellEnd"/>
      <w:r>
        <w:t xml:space="preserve"> cases requiring field visits? Does it improve consistency while preserving discretion? Or does it replace professional contact and transfer risk to farmers? These questions require workload studies, service-quality audits and outcome measures at both farmer and </w:t>
      </w:r>
      <w:proofErr w:type="spellStart"/>
      <w:r>
        <w:t>organisational</w:t>
      </w:r>
      <w:proofErr w:type="spellEnd"/>
      <w:r>
        <w:t xml:space="preserve"> levels. High et al. (2026) place learning and transformation at the </w:t>
      </w:r>
      <w:proofErr w:type="spellStart"/>
      <w:r>
        <w:t>centre</w:t>
      </w:r>
      <w:proofErr w:type="spellEnd"/>
      <w:r>
        <w:t xml:space="preserve"> of AI extension, but the empirical field remains too young to determine which conversational architectures sustain such outcomes at scale.</w:t>
      </w:r>
    </w:p>
    <w:p w14:paraId="6D031D00" w14:textId="77777777" w:rsidR="00EE3357" w:rsidRDefault="00000000">
      <w:r>
        <w:lastRenderedPageBreak/>
        <w:t xml:space="preserve">Confidence is therefore graded. There is moderate evidence that well-designed digital advisory services can improve knowledge and some practices in specific contexts. There is plausible but less mature evidence that AI can improve </w:t>
      </w:r>
      <w:proofErr w:type="spellStart"/>
      <w:r>
        <w:t>personalisation</w:t>
      </w:r>
      <w:proofErr w:type="spellEnd"/>
      <w:r>
        <w:t xml:space="preserve">, diagnosis, translation and </w:t>
      </w:r>
      <w:proofErr w:type="spellStart"/>
      <w:r>
        <w:t>organisational</w:t>
      </w:r>
      <w:proofErr w:type="spellEnd"/>
      <w:r>
        <w:t xml:space="preserve"> triage. There is insufficient evidence that autonomous or generative systems consistently improve long-term farm welfare, environmental performance or equity across diverse contexts. The appropriate response is neither rejection nor uncritical scaling, but staged deployment with explicit validation and stopping rules.</w:t>
      </w:r>
    </w:p>
    <w:p w14:paraId="2B7C8AED" w14:textId="77777777" w:rsidR="00EE3357" w:rsidRDefault="00000000">
      <w:r>
        <w:t>Table 4 illustrates how apparently similar ‘digital extension’ interventions differ in mechanism, design and inference. The evidence supports conditional effectiveness, with the most credible findings arising from bounded services whose content and comparison conditions are clearer than those of open-ended AI systems.</w:t>
      </w:r>
    </w:p>
    <w:p w14:paraId="63EA7EBC" w14:textId="77777777" w:rsidR="00EE3357" w:rsidRDefault="00000000">
      <w:pPr>
        <w:keepNext/>
        <w:spacing w:before="120" w:after="80"/>
      </w:pPr>
      <w:r>
        <w:rPr>
          <w:b/>
          <w:sz w:val="20"/>
        </w:rPr>
        <w:t>Table 4. Representative evidence relevant to AI-enabled agricultural extension</w:t>
      </w:r>
    </w:p>
    <w:tbl>
      <w:tblPr>
        <w:tblStyle w:val="TableGrid"/>
        <w:tblW w:w="5000" w:type="pct"/>
        <w:jc w:val="center"/>
        <w:tblLook w:val="04A0" w:firstRow="1" w:lastRow="0" w:firstColumn="1" w:lastColumn="0" w:noHBand="0" w:noVBand="1"/>
      </w:tblPr>
      <w:tblGrid>
        <w:gridCol w:w="1524"/>
        <w:gridCol w:w="1922"/>
        <w:gridCol w:w="2187"/>
        <w:gridCol w:w="2519"/>
        <w:gridCol w:w="1656"/>
      </w:tblGrid>
      <w:tr w:rsidR="00EE3357" w14:paraId="7C136414" w14:textId="77777777" w:rsidTr="00C97D6B">
        <w:trPr>
          <w:tblHeader/>
          <w:jc w:val="center"/>
        </w:trPr>
        <w:tc>
          <w:tcPr>
            <w:tcW w:w="777" w:type="pct"/>
            <w:shd w:val="clear" w:color="auto" w:fill="D9EAF7"/>
            <w:tcMar>
              <w:top w:w="70" w:type="dxa"/>
              <w:left w:w="80" w:type="dxa"/>
              <w:bottom w:w="70" w:type="dxa"/>
              <w:right w:w="80" w:type="dxa"/>
            </w:tcMar>
            <w:vAlign w:val="center"/>
          </w:tcPr>
          <w:p w14:paraId="360CEDEE" w14:textId="77777777" w:rsidR="00EE3357" w:rsidRDefault="00000000">
            <w:pPr>
              <w:spacing w:after="0"/>
              <w:jc w:val="center"/>
            </w:pPr>
            <w:r>
              <w:rPr>
                <w:b/>
                <w:sz w:val="17"/>
              </w:rPr>
              <w:t>Study and setting</w:t>
            </w:r>
          </w:p>
        </w:tc>
        <w:tc>
          <w:tcPr>
            <w:tcW w:w="980" w:type="pct"/>
            <w:shd w:val="clear" w:color="auto" w:fill="D9EAF7"/>
            <w:tcMar>
              <w:top w:w="70" w:type="dxa"/>
              <w:left w:w="80" w:type="dxa"/>
              <w:bottom w:w="70" w:type="dxa"/>
              <w:right w:w="80" w:type="dxa"/>
            </w:tcMar>
            <w:vAlign w:val="center"/>
          </w:tcPr>
          <w:p w14:paraId="29109210" w14:textId="77777777" w:rsidR="00EE3357" w:rsidRDefault="00000000">
            <w:pPr>
              <w:spacing w:after="0"/>
              <w:jc w:val="center"/>
            </w:pPr>
            <w:r>
              <w:rPr>
                <w:b/>
                <w:sz w:val="17"/>
              </w:rPr>
              <w:t>Intervention or focus</w:t>
            </w:r>
          </w:p>
        </w:tc>
        <w:tc>
          <w:tcPr>
            <w:tcW w:w="1115" w:type="pct"/>
            <w:shd w:val="clear" w:color="auto" w:fill="D9EAF7"/>
            <w:tcMar>
              <w:top w:w="70" w:type="dxa"/>
              <w:left w:w="80" w:type="dxa"/>
              <w:bottom w:w="70" w:type="dxa"/>
              <w:right w:w="80" w:type="dxa"/>
            </w:tcMar>
            <w:vAlign w:val="center"/>
          </w:tcPr>
          <w:p w14:paraId="7BC0380A" w14:textId="77777777" w:rsidR="00EE3357" w:rsidRDefault="00000000">
            <w:pPr>
              <w:spacing w:after="0"/>
              <w:jc w:val="center"/>
            </w:pPr>
            <w:r>
              <w:rPr>
                <w:b/>
                <w:sz w:val="17"/>
              </w:rPr>
              <w:t>Design contribution</w:t>
            </w:r>
          </w:p>
        </w:tc>
        <w:tc>
          <w:tcPr>
            <w:tcW w:w="1284" w:type="pct"/>
            <w:shd w:val="clear" w:color="auto" w:fill="D9EAF7"/>
            <w:tcMar>
              <w:top w:w="70" w:type="dxa"/>
              <w:left w:w="80" w:type="dxa"/>
              <w:bottom w:w="70" w:type="dxa"/>
              <w:right w:w="80" w:type="dxa"/>
            </w:tcMar>
            <w:vAlign w:val="center"/>
          </w:tcPr>
          <w:p w14:paraId="1832DBBC" w14:textId="77777777" w:rsidR="00EE3357" w:rsidRDefault="00000000">
            <w:pPr>
              <w:spacing w:after="0"/>
              <w:jc w:val="center"/>
            </w:pPr>
            <w:r>
              <w:rPr>
                <w:b/>
                <w:sz w:val="17"/>
              </w:rPr>
              <w:t>Interpretive limitation</w:t>
            </w:r>
          </w:p>
        </w:tc>
        <w:tc>
          <w:tcPr>
            <w:tcW w:w="845" w:type="pct"/>
            <w:shd w:val="clear" w:color="auto" w:fill="D9EAF7"/>
            <w:tcMar>
              <w:top w:w="70" w:type="dxa"/>
              <w:left w:w="80" w:type="dxa"/>
              <w:bottom w:w="70" w:type="dxa"/>
              <w:right w:w="80" w:type="dxa"/>
            </w:tcMar>
            <w:vAlign w:val="center"/>
          </w:tcPr>
          <w:p w14:paraId="722477C3" w14:textId="77777777" w:rsidR="00EE3357" w:rsidRDefault="00000000">
            <w:pPr>
              <w:spacing w:after="0"/>
              <w:jc w:val="center"/>
            </w:pPr>
            <w:r>
              <w:rPr>
                <w:b/>
                <w:sz w:val="17"/>
              </w:rPr>
              <w:t>Supporting references</w:t>
            </w:r>
          </w:p>
        </w:tc>
      </w:tr>
      <w:tr w:rsidR="00EE3357" w14:paraId="54E2C99A" w14:textId="77777777" w:rsidTr="00C97D6B">
        <w:trPr>
          <w:jc w:val="center"/>
        </w:trPr>
        <w:tc>
          <w:tcPr>
            <w:tcW w:w="777" w:type="pct"/>
            <w:tcMar>
              <w:top w:w="70" w:type="dxa"/>
              <w:left w:w="80" w:type="dxa"/>
              <w:bottom w:w="70" w:type="dxa"/>
              <w:right w:w="80" w:type="dxa"/>
            </w:tcMar>
            <w:vAlign w:val="center"/>
          </w:tcPr>
          <w:p w14:paraId="0EF3575E" w14:textId="77777777" w:rsidR="00EE3357" w:rsidRDefault="00000000">
            <w:pPr>
              <w:spacing w:after="0"/>
              <w:jc w:val="center"/>
            </w:pPr>
            <w:r>
              <w:rPr>
                <w:sz w:val="16"/>
              </w:rPr>
              <w:t>India</w:t>
            </w:r>
          </w:p>
        </w:tc>
        <w:tc>
          <w:tcPr>
            <w:tcW w:w="980" w:type="pct"/>
            <w:tcMar>
              <w:top w:w="70" w:type="dxa"/>
              <w:left w:w="80" w:type="dxa"/>
              <w:bottom w:w="70" w:type="dxa"/>
              <w:right w:w="80" w:type="dxa"/>
            </w:tcMar>
            <w:vAlign w:val="center"/>
          </w:tcPr>
          <w:p w14:paraId="286B6D9E" w14:textId="77777777" w:rsidR="00EE3357" w:rsidRDefault="00000000">
            <w:pPr>
              <w:spacing w:after="0"/>
              <w:jc w:val="left"/>
            </w:pPr>
            <w:r>
              <w:rPr>
                <w:sz w:val="16"/>
              </w:rPr>
              <w:t>SMS-based agricultural information</w:t>
            </w:r>
          </w:p>
        </w:tc>
        <w:tc>
          <w:tcPr>
            <w:tcW w:w="1115" w:type="pct"/>
            <w:tcMar>
              <w:top w:w="70" w:type="dxa"/>
              <w:left w:w="80" w:type="dxa"/>
              <w:bottom w:w="70" w:type="dxa"/>
              <w:right w:w="80" w:type="dxa"/>
            </w:tcMar>
            <w:vAlign w:val="center"/>
          </w:tcPr>
          <w:p w14:paraId="3C591047" w14:textId="77777777" w:rsidR="00EE3357" w:rsidRDefault="00000000">
            <w:pPr>
              <w:spacing w:after="0"/>
              <w:jc w:val="left"/>
            </w:pPr>
            <w:r>
              <w:rPr>
                <w:sz w:val="16"/>
              </w:rPr>
              <w:t>Tests causal effect of reduced information cost</w:t>
            </w:r>
          </w:p>
        </w:tc>
        <w:tc>
          <w:tcPr>
            <w:tcW w:w="1284" w:type="pct"/>
            <w:tcMar>
              <w:top w:w="70" w:type="dxa"/>
              <w:left w:w="80" w:type="dxa"/>
              <w:bottom w:w="70" w:type="dxa"/>
              <w:right w:w="80" w:type="dxa"/>
            </w:tcMar>
            <w:vAlign w:val="center"/>
          </w:tcPr>
          <w:p w14:paraId="3FD25161" w14:textId="77777777" w:rsidR="00EE3357" w:rsidRDefault="00000000">
            <w:pPr>
              <w:spacing w:after="0"/>
              <w:jc w:val="left"/>
            </w:pPr>
            <w:r>
              <w:rPr>
                <w:sz w:val="16"/>
              </w:rPr>
              <w:t xml:space="preserve">Generic or weakly actionable information may yield limited </w:t>
            </w:r>
            <w:proofErr w:type="spellStart"/>
            <w:r>
              <w:rPr>
                <w:sz w:val="16"/>
              </w:rPr>
              <w:t>behavioural</w:t>
            </w:r>
            <w:proofErr w:type="spellEnd"/>
            <w:r>
              <w:rPr>
                <w:sz w:val="16"/>
              </w:rPr>
              <w:t xml:space="preserve"> change</w:t>
            </w:r>
          </w:p>
        </w:tc>
        <w:tc>
          <w:tcPr>
            <w:tcW w:w="845" w:type="pct"/>
            <w:tcMar>
              <w:top w:w="70" w:type="dxa"/>
              <w:left w:w="80" w:type="dxa"/>
              <w:bottom w:w="70" w:type="dxa"/>
              <w:right w:w="80" w:type="dxa"/>
            </w:tcMar>
            <w:vAlign w:val="center"/>
          </w:tcPr>
          <w:p w14:paraId="0288CB10" w14:textId="77777777" w:rsidR="00EE3357" w:rsidRDefault="00000000">
            <w:pPr>
              <w:spacing w:after="0"/>
              <w:jc w:val="left"/>
            </w:pPr>
            <w:proofErr w:type="spellStart"/>
            <w:r>
              <w:rPr>
                <w:sz w:val="16"/>
              </w:rPr>
              <w:t>Fafchamps</w:t>
            </w:r>
            <w:proofErr w:type="spellEnd"/>
            <w:r>
              <w:rPr>
                <w:sz w:val="16"/>
              </w:rPr>
              <w:t xml:space="preserve"> &amp; Minten (2012)</w:t>
            </w:r>
          </w:p>
        </w:tc>
      </w:tr>
      <w:tr w:rsidR="00EE3357" w14:paraId="532D2F4C" w14:textId="77777777" w:rsidTr="00C97D6B">
        <w:trPr>
          <w:jc w:val="center"/>
        </w:trPr>
        <w:tc>
          <w:tcPr>
            <w:tcW w:w="777" w:type="pct"/>
            <w:tcMar>
              <w:top w:w="70" w:type="dxa"/>
              <w:left w:w="80" w:type="dxa"/>
              <w:bottom w:w="70" w:type="dxa"/>
              <w:right w:w="80" w:type="dxa"/>
            </w:tcMar>
            <w:vAlign w:val="center"/>
          </w:tcPr>
          <w:p w14:paraId="1B5CF9E8" w14:textId="77777777" w:rsidR="00EE3357" w:rsidRDefault="00000000">
            <w:pPr>
              <w:spacing w:after="0"/>
              <w:jc w:val="center"/>
            </w:pPr>
            <w:r>
              <w:rPr>
                <w:sz w:val="16"/>
              </w:rPr>
              <w:t>Burkina Faso</w:t>
            </w:r>
          </w:p>
        </w:tc>
        <w:tc>
          <w:tcPr>
            <w:tcW w:w="980" w:type="pct"/>
            <w:tcMar>
              <w:top w:w="70" w:type="dxa"/>
              <w:left w:w="80" w:type="dxa"/>
              <w:bottom w:w="70" w:type="dxa"/>
              <w:right w:w="80" w:type="dxa"/>
            </w:tcMar>
            <w:vAlign w:val="center"/>
          </w:tcPr>
          <w:p w14:paraId="58EC0568" w14:textId="77777777" w:rsidR="00EE3357" w:rsidRDefault="00000000">
            <w:pPr>
              <w:spacing w:after="0"/>
              <w:jc w:val="left"/>
            </w:pPr>
            <w:r>
              <w:rPr>
                <w:sz w:val="16"/>
              </w:rPr>
              <w:t>Mobile animated extension videos</w:t>
            </w:r>
          </w:p>
        </w:tc>
        <w:tc>
          <w:tcPr>
            <w:tcW w:w="1115" w:type="pct"/>
            <w:tcMar>
              <w:top w:w="70" w:type="dxa"/>
              <w:left w:w="80" w:type="dxa"/>
              <w:bottom w:w="70" w:type="dxa"/>
              <w:right w:w="80" w:type="dxa"/>
            </w:tcMar>
            <w:vAlign w:val="center"/>
          </w:tcPr>
          <w:p w14:paraId="71985599" w14:textId="77777777" w:rsidR="00EE3357" w:rsidRDefault="00000000">
            <w:pPr>
              <w:spacing w:after="0"/>
              <w:jc w:val="left"/>
            </w:pPr>
            <w:r>
              <w:rPr>
                <w:sz w:val="16"/>
              </w:rPr>
              <w:t>Demonstrates accessible learning design for low-literate users</w:t>
            </w:r>
          </w:p>
        </w:tc>
        <w:tc>
          <w:tcPr>
            <w:tcW w:w="1284" w:type="pct"/>
            <w:tcMar>
              <w:top w:w="70" w:type="dxa"/>
              <w:left w:w="80" w:type="dxa"/>
              <w:bottom w:w="70" w:type="dxa"/>
              <w:right w:w="80" w:type="dxa"/>
            </w:tcMar>
            <w:vAlign w:val="center"/>
          </w:tcPr>
          <w:p w14:paraId="7C18C138" w14:textId="77777777" w:rsidR="00EE3357" w:rsidRDefault="00000000">
            <w:pPr>
              <w:spacing w:after="0"/>
              <w:jc w:val="left"/>
            </w:pPr>
            <w:r>
              <w:rPr>
                <w:sz w:val="16"/>
              </w:rPr>
              <w:t>Structured content differs from variable open-ended AI responses</w:t>
            </w:r>
          </w:p>
        </w:tc>
        <w:tc>
          <w:tcPr>
            <w:tcW w:w="845" w:type="pct"/>
            <w:tcMar>
              <w:top w:w="70" w:type="dxa"/>
              <w:left w:w="80" w:type="dxa"/>
              <w:bottom w:w="70" w:type="dxa"/>
              <w:right w:w="80" w:type="dxa"/>
            </w:tcMar>
            <w:vAlign w:val="center"/>
          </w:tcPr>
          <w:p w14:paraId="5CB97E3F" w14:textId="77777777" w:rsidR="00EE3357" w:rsidRDefault="00000000">
            <w:pPr>
              <w:spacing w:after="0"/>
              <w:jc w:val="left"/>
            </w:pPr>
            <w:r>
              <w:rPr>
                <w:sz w:val="16"/>
              </w:rPr>
              <w:t>Maredia et al. (2018)</w:t>
            </w:r>
          </w:p>
        </w:tc>
      </w:tr>
      <w:tr w:rsidR="00EE3357" w14:paraId="7A87E94C" w14:textId="77777777" w:rsidTr="00C97D6B">
        <w:trPr>
          <w:jc w:val="center"/>
        </w:trPr>
        <w:tc>
          <w:tcPr>
            <w:tcW w:w="777" w:type="pct"/>
            <w:tcMar>
              <w:top w:w="70" w:type="dxa"/>
              <w:left w:w="80" w:type="dxa"/>
              <w:bottom w:w="70" w:type="dxa"/>
              <w:right w:w="80" w:type="dxa"/>
            </w:tcMar>
            <w:vAlign w:val="center"/>
          </w:tcPr>
          <w:p w14:paraId="077C4C7B" w14:textId="77777777" w:rsidR="00EE3357" w:rsidRDefault="00000000">
            <w:pPr>
              <w:spacing w:after="0"/>
              <w:jc w:val="center"/>
            </w:pPr>
            <w:r>
              <w:rPr>
                <w:sz w:val="16"/>
              </w:rPr>
              <w:t>India</w:t>
            </w:r>
          </w:p>
        </w:tc>
        <w:tc>
          <w:tcPr>
            <w:tcW w:w="980" w:type="pct"/>
            <w:tcMar>
              <w:top w:w="70" w:type="dxa"/>
              <w:left w:w="80" w:type="dxa"/>
              <w:bottom w:w="70" w:type="dxa"/>
              <w:right w:w="80" w:type="dxa"/>
            </w:tcMar>
            <w:vAlign w:val="center"/>
          </w:tcPr>
          <w:p w14:paraId="468EC44E" w14:textId="77777777" w:rsidR="00EE3357" w:rsidRDefault="00000000">
            <w:pPr>
              <w:spacing w:after="0"/>
              <w:jc w:val="left"/>
            </w:pPr>
            <w:r>
              <w:rPr>
                <w:sz w:val="16"/>
              </w:rPr>
              <w:t>Mobile agricultural advice and diffusion</w:t>
            </w:r>
          </w:p>
        </w:tc>
        <w:tc>
          <w:tcPr>
            <w:tcW w:w="1115" w:type="pct"/>
            <w:tcMar>
              <w:top w:w="70" w:type="dxa"/>
              <w:left w:w="80" w:type="dxa"/>
              <w:bottom w:w="70" w:type="dxa"/>
              <w:right w:w="80" w:type="dxa"/>
            </w:tcMar>
            <w:vAlign w:val="center"/>
          </w:tcPr>
          <w:p w14:paraId="6E0DB1F6" w14:textId="77777777" w:rsidR="00EE3357" w:rsidRDefault="00000000">
            <w:pPr>
              <w:spacing w:after="0"/>
              <w:jc w:val="left"/>
            </w:pPr>
            <w:r>
              <w:rPr>
                <w:sz w:val="16"/>
              </w:rPr>
              <w:t>Links advice to adoption, diffusion and sustainability questions</w:t>
            </w:r>
          </w:p>
        </w:tc>
        <w:tc>
          <w:tcPr>
            <w:tcW w:w="1284" w:type="pct"/>
            <w:tcMar>
              <w:top w:w="70" w:type="dxa"/>
              <w:left w:w="80" w:type="dxa"/>
              <w:bottom w:w="70" w:type="dxa"/>
              <w:right w:w="80" w:type="dxa"/>
            </w:tcMar>
            <w:vAlign w:val="center"/>
          </w:tcPr>
          <w:p w14:paraId="1E710B1A" w14:textId="77777777" w:rsidR="00EE3357" w:rsidRDefault="00000000">
            <w:pPr>
              <w:spacing w:after="0"/>
              <w:jc w:val="left"/>
            </w:pPr>
            <w:proofErr w:type="spellStart"/>
            <w:r>
              <w:rPr>
                <w:sz w:val="16"/>
              </w:rPr>
              <w:t>Programme</w:t>
            </w:r>
            <w:proofErr w:type="spellEnd"/>
            <w:r>
              <w:rPr>
                <w:sz w:val="16"/>
              </w:rPr>
              <w:t xml:space="preserve"> and context effects limit simple transferability</w:t>
            </w:r>
          </w:p>
        </w:tc>
        <w:tc>
          <w:tcPr>
            <w:tcW w:w="845" w:type="pct"/>
            <w:tcMar>
              <w:top w:w="70" w:type="dxa"/>
              <w:left w:w="80" w:type="dxa"/>
              <w:bottom w:w="70" w:type="dxa"/>
              <w:right w:w="80" w:type="dxa"/>
            </w:tcMar>
            <w:vAlign w:val="center"/>
          </w:tcPr>
          <w:p w14:paraId="71C3AB1A" w14:textId="2A12D25A" w:rsidR="00EE3357" w:rsidRDefault="00083F77">
            <w:pPr>
              <w:spacing w:after="0"/>
              <w:jc w:val="left"/>
            </w:pPr>
            <w:r w:rsidRPr="00083F77">
              <w:rPr>
                <w:sz w:val="16"/>
              </w:rPr>
              <w:t>Cole &amp; Fernando</w:t>
            </w:r>
            <w:r w:rsidR="00000000">
              <w:rPr>
                <w:sz w:val="16"/>
              </w:rPr>
              <w:t xml:space="preserve"> (2021)</w:t>
            </w:r>
          </w:p>
        </w:tc>
      </w:tr>
      <w:tr w:rsidR="00EE3357" w14:paraId="5084950B" w14:textId="77777777" w:rsidTr="00C97D6B">
        <w:trPr>
          <w:jc w:val="center"/>
        </w:trPr>
        <w:tc>
          <w:tcPr>
            <w:tcW w:w="777" w:type="pct"/>
            <w:tcMar>
              <w:top w:w="70" w:type="dxa"/>
              <w:left w:w="80" w:type="dxa"/>
              <w:bottom w:w="70" w:type="dxa"/>
              <w:right w:w="80" w:type="dxa"/>
            </w:tcMar>
            <w:vAlign w:val="center"/>
          </w:tcPr>
          <w:p w14:paraId="4B0DF554" w14:textId="77777777" w:rsidR="00EE3357" w:rsidRDefault="00000000">
            <w:pPr>
              <w:spacing w:after="0"/>
              <w:jc w:val="center"/>
            </w:pPr>
            <w:r>
              <w:rPr>
                <w:sz w:val="16"/>
              </w:rPr>
              <w:t>India</w:t>
            </w:r>
          </w:p>
        </w:tc>
        <w:tc>
          <w:tcPr>
            <w:tcW w:w="980" w:type="pct"/>
            <w:tcMar>
              <w:top w:w="70" w:type="dxa"/>
              <w:left w:w="80" w:type="dxa"/>
              <w:bottom w:w="70" w:type="dxa"/>
              <w:right w:w="80" w:type="dxa"/>
            </w:tcMar>
            <w:vAlign w:val="center"/>
          </w:tcPr>
          <w:p w14:paraId="718986EE" w14:textId="77777777" w:rsidR="00EE3357" w:rsidRDefault="00000000">
            <w:pPr>
              <w:spacing w:after="0"/>
              <w:jc w:val="left"/>
            </w:pPr>
            <w:proofErr w:type="spellStart"/>
            <w:r>
              <w:rPr>
                <w:sz w:val="16"/>
              </w:rPr>
              <w:t>Personalised</w:t>
            </w:r>
            <w:proofErr w:type="spellEnd"/>
            <w:r>
              <w:rPr>
                <w:sz w:val="16"/>
              </w:rPr>
              <w:t xml:space="preserve"> digital extension</w:t>
            </w:r>
          </w:p>
        </w:tc>
        <w:tc>
          <w:tcPr>
            <w:tcW w:w="1115" w:type="pct"/>
            <w:tcMar>
              <w:top w:w="70" w:type="dxa"/>
              <w:left w:w="80" w:type="dxa"/>
              <w:bottom w:w="70" w:type="dxa"/>
              <w:right w:w="80" w:type="dxa"/>
            </w:tcMar>
            <w:vAlign w:val="center"/>
          </w:tcPr>
          <w:p w14:paraId="440A5C7C" w14:textId="77777777" w:rsidR="00EE3357" w:rsidRDefault="00000000">
            <w:pPr>
              <w:spacing w:after="0"/>
              <w:jc w:val="left"/>
            </w:pPr>
            <w:r>
              <w:rPr>
                <w:sz w:val="16"/>
              </w:rPr>
              <w:t>Connects tailored information with farm performance</w:t>
            </w:r>
          </w:p>
        </w:tc>
        <w:tc>
          <w:tcPr>
            <w:tcW w:w="1284" w:type="pct"/>
            <w:tcMar>
              <w:top w:w="70" w:type="dxa"/>
              <w:left w:w="80" w:type="dxa"/>
              <w:bottom w:w="70" w:type="dxa"/>
              <w:right w:w="80" w:type="dxa"/>
            </w:tcMar>
            <w:vAlign w:val="center"/>
          </w:tcPr>
          <w:p w14:paraId="5C8ADCFC" w14:textId="77777777" w:rsidR="00EE3357" w:rsidRDefault="00000000">
            <w:pPr>
              <w:spacing w:after="0"/>
              <w:jc w:val="left"/>
            </w:pPr>
            <w:proofErr w:type="spellStart"/>
            <w:r>
              <w:rPr>
                <w:sz w:val="16"/>
              </w:rPr>
              <w:t>Personalisation</w:t>
            </w:r>
            <w:proofErr w:type="spellEnd"/>
            <w:r>
              <w:rPr>
                <w:sz w:val="16"/>
              </w:rPr>
              <w:t xml:space="preserve"> depends on data quality and service ecosystem</w:t>
            </w:r>
          </w:p>
        </w:tc>
        <w:tc>
          <w:tcPr>
            <w:tcW w:w="845" w:type="pct"/>
            <w:tcMar>
              <w:top w:w="70" w:type="dxa"/>
              <w:left w:w="80" w:type="dxa"/>
              <w:bottom w:w="70" w:type="dxa"/>
              <w:right w:w="80" w:type="dxa"/>
            </w:tcMar>
            <w:vAlign w:val="center"/>
          </w:tcPr>
          <w:p w14:paraId="564C8484" w14:textId="77777777" w:rsidR="00EE3357" w:rsidRDefault="00000000">
            <w:pPr>
              <w:spacing w:after="0"/>
              <w:jc w:val="left"/>
            </w:pPr>
            <w:r>
              <w:rPr>
                <w:sz w:val="16"/>
              </w:rPr>
              <w:t>Rajkhowa &amp; Qaim (2021)</w:t>
            </w:r>
          </w:p>
        </w:tc>
      </w:tr>
      <w:tr w:rsidR="00EE3357" w14:paraId="0A221787" w14:textId="77777777" w:rsidTr="00C97D6B">
        <w:trPr>
          <w:jc w:val="center"/>
        </w:trPr>
        <w:tc>
          <w:tcPr>
            <w:tcW w:w="777" w:type="pct"/>
            <w:tcMar>
              <w:top w:w="70" w:type="dxa"/>
              <w:left w:w="80" w:type="dxa"/>
              <w:bottom w:w="70" w:type="dxa"/>
              <w:right w:w="80" w:type="dxa"/>
            </w:tcMar>
            <w:vAlign w:val="center"/>
          </w:tcPr>
          <w:p w14:paraId="09569FB7" w14:textId="77777777" w:rsidR="00EE3357" w:rsidRDefault="00000000">
            <w:pPr>
              <w:spacing w:after="0"/>
              <w:jc w:val="center"/>
            </w:pPr>
            <w:r>
              <w:rPr>
                <w:sz w:val="16"/>
              </w:rPr>
              <w:t>Multiple LMICs</w:t>
            </w:r>
          </w:p>
        </w:tc>
        <w:tc>
          <w:tcPr>
            <w:tcW w:w="980" w:type="pct"/>
            <w:tcMar>
              <w:top w:w="70" w:type="dxa"/>
              <w:left w:w="80" w:type="dxa"/>
              <w:bottom w:w="70" w:type="dxa"/>
              <w:right w:w="80" w:type="dxa"/>
            </w:tcMar>
            <w:vAlign w:val="center"/>
          </w:tcPr>
          <w:p w14:paraId="5B39E55A" w14:textId="77777777" w:rsidR="00EE3357" w:rsidRDefault="00000000">
            <w:pPr>
              <w:spacing w:after="0"/>
              <w:jc w:val="left"/>
            </w:pPr>
            <w:r>
              <w:rPr>
                <w:sz w:val="16"/>
              </w:rPr>
              <w:t>Digital agriculture service evidence</w:t>
            </w:r>
          </w:p>
        </w:tc>
        <w:tc>
          <w:tcPr>
            <w:tcW w:w="1115" w:type="pct"/>
            <w:tcMar>
              <w:top w:w="70" w:type="dxa"/>
              <w:left w:w="80" w:type="dxa"/>
              <w:bottom w:w="70" w:type="dxa"/>
              <w:right w:w="80" w:type="dxa"/>
            </w:tcMar>
            <w:vAlign w:val="center"/>
          </w:tcPr>
          <w:p w14:paraId="57209E89" w14:textId="77777777" w:rsidR="00EE3357" w:rsidRDefault="00000000">
            <w:pPr>
              <w:spacing w:after="0"/>
              <w:jc w:val="left"/>
            </w:pPr>
            <w:r>
              <w:rPr>
                <w:sz w:val="16"/>
              </w:rPr>
              <w:t>Maps interventions and identifies gaps across settings</w:t>
            </w:r>
          </w:p>
        </w:tc>
        <w:tc>
          <w:tcPr>
            <w:tcW w:w="1284" w:type="pct"/>
            <w:tcMar>
              <w:top w:w="70" w:type="dxa"/>
              <w:left w:w="80" w:type="dxa"/>
              <w:bottom w:w="70" w:type="dxa"/>
              <w:right w:w="80" w:type="dxa"/>
            </w:tcMar>
            <w:vAlign w:val="center"/>
          </w:tcPr>
          <w:p w14:paraId="196EDCBE" w14:textId="77777777" w:rsidR="00EE3357" w:rsidRDefault="00000000">
            <w:pPr>
              <w:spacing w:after="0"/>
              <w:jc w:val="left"/>
            </w:pPr>
            <w:r>
              <w:rPr>
                <w:sz w:val="16"/>
              </w:rPr>
              <w:t>Heterogeneous designs and outcomes restrict pooled conclusions</w:t>
            </w:r>
          </w:p>
        </w:tc>
        <w:tc>
          <w:tcPr>
            <w:tcW w:w="845" w:type="pct"/>
            <w:tcMar>
              <w:top w:w="70" w:type="dxa"/>
              <w:left w:w="80" w:type="dxa"/>
              <w:bottom w:w="70" w:type="dxa"/>
              <w:right w:w="80" w:type="dxa"/>
            </w:tcMar>
            <w:vAlign w:val="center"/>
          </w:tcPr>
          <w:p w14:paraId="4D1718E0" w14:textId="77777777" w:rsidR="00EE3357" w:rsidRDefault="00000000">
            <w:pPr>
              <w:spacing w:after="0"/>
              <w:jc w:val="left"/>
            </w:pPr>
            <w:r w:rsidRPr="00083F77">
              <w:rPr>
                <w:sz w:val="16"/>
                <w:lang w:val="nl-BE"/>
              </w:rPr>
              <w:t xml:space="preserve">Porciello et al. (2022); Sen et al. </w:t>
            </w:r>
            <w:r>
              <w:rPr>
                <w:sz w:val="16"/>
              </w:rPr>
              <w:t>(2025)</w:t>
            </w:r>
          </w:p>
        </w:tc>
      </w:tr>
      <w:tr w:rsidR="00EE3357" w14:paraId="04B31086" w14:textId="77777777" w:rsidTr="00C97D6B">
        <w:trPr>
          <w:jc w:val="center"/>
        </w:trPr>
        <w:tc>
          <w:tcPr>
            <w:tcW w:w="777" w:type="pct"/>
            <w:tcMar>
              <w:top w:w="70" w:type="dxa"/>
              <w:left w:w="80" w:type="dxa"/>
              <w:bottom w:w="70" w:type="dxa"/>
              <w:right w:w="80" w:type="dxa"/>
            </w:tcMar>
            <w:vAlign w:val="center"/>
          </w:tcPr>
          <w:p w14:paraId="58ED5AD3" w14:textId="77777777" w:rsidR="00EE3357" w:rsidRDefault="00000000">
            <w:pPr>
              <w:spacing w:after="0"/>
              <w:jc w:val="center"/>
            </w:pPr>
            <w:r>
              <w:rPr>
                <w:sz w:val="16"/>
              </w:rPr>
              <w:t>European regions</w:t>
            </w:r>
          </w:p>
        </w:tc>
        <w:tc>
          <w:tcPr>
            <w:tcW w:w="980" w:type="pct"/>
            <w:tcMar>
              <w:top w:w="70" w:type="dxa"/>
              <w:left w:w="80" w:type="dxa"/>
              <w:bottom w:w="70" w:type="dxa"/>
              <w:right w:w="80" w:type="dxa"/>
            </w:tcMar>
            <w:vAlign w:val="center"/>
          </w:tcPr>
          <w:p w14:paraId="24C2471E" w14:textId="77777777" w:rsidR="00EE3357" w:rsidRDefault="00000000">
            <w:pPr>
              <w:spacing w:after="0"/>
              <w:jc w:val="left"/>
            </w:pPr>
            <w:r>
              <w:rPr>
                <w:sz w:val="16"/>
              </w:rPr>
              <w:t>Precision-technology adoption</w:t>
            </w:r>
          </w:p>
        </w:tc>
        <w:tc>
          <w:tcPr>
            <w:tcW w:w="1115" w:type="pct"/>
            <w:tcMar>
              <w:top w:w="70" w:type="dxa"/>
              <w:left w:w="80" w:type="dxa"/>
              <w:bottom w:w="70" w:type="dxa"/>
              <w:right w:w="80" w:type="dxa"/>
            </w:tcMar>
            <w:vAlign w:val="center"/>
          </w:tcPr>
          <w:p w14:paraId="4C2F040B" w14:textId="77777777" w:rsidR="00EE3357" w:rsidRDefault="00000000">
            <w:pPr>
              <w:spacing w:after="0"/>
              <w:jc w:val="left"/>
            </w:pPr>
            <w:r>
              <w:rPr>
                <w:sz w:val="16"/>
              </w:rPr>
              <w:t xml:space="preserve">Shows cross-regional structural and </w:t>
            </w:r>
            <w:proofErr w:type="spellStart"/>
            <w:r>
              <w:rPr>
                <w:sz w:val="16"/>
              </w:rPr>
              <w:t>behavioural</w:t>
            </w:r>
            <w:proofErr w:type="spellEnd"/>
            <w:r>
              <w:rPr>
                <w:sz w:val="16"/>
              </w:rPr>
              <w:t xml:space="preserve"> variation</w:t>
            </w:r>
          </w:p>
        </w:tc>
        <w:tc>
          <w:tcPr>
            <w:tcW w:w="1284" w:type="pct"/>
            <w:tcMar>
              <w:top w:w="70" w:type="dxa"/>
              <w:left w:w="80" w:type="dxa"/>
              <w:bottom w:w="70" w:type="dxa"/>
              <w:right w:w="80" w:type="dxa"/>
            </w:tcMar>
            <w:vAlign w:val="center"/>
          </w:tcPr>
          <w:p w14:paraId="42BAF209" w14:textId="77777777" w:rsidR="00EE3357" w:rsidRDefault="00000000">
            <w:pPr>
              <w:spacing w:after="0"/>
              <w:jc w:val="left"/>
            </w:pPr>
            <w:r>
              <w:rPr>
                <w:sz w:val="16"/>
              </w:rPr>
              <w:t>Adoption is not equivalent to agronomic or welfare benefit</w:t>
            </w:r>
          </w:p>
        </w:tc>
        <w:tc>
          <w:tcPr>
            <w:tcW w:w="845" w:type="pct"/>
            <w:tcMar>
              <w:top w:w="70" w:type="dxa"/>
              <w:left w:w="80" w:type="dxa"/>
              <w:bottom w:w="70" w:type="dxa"/>
              <w:right w:w="80" w:type="dxa"/>
            </w:tcMar>
            <w:vAlign w:val="center"/>
          </w:tcPr>
          <w:p w14:paraId="18E42D85" w14:textId="77777777" w:rsidR="00EE3357" w:rsidRDefault="00000000">
            <w:pPr>
              <w:spacing w:after="0"/>
              <w:jc w:val="left"/>
            </w:pPr>
            <w:r>
              <w:rPr>
                <w:sz w:val="16"/>
              </w:rPr>
              <w:t>Barnes et al. (2019)</w:t>
            </w:r>
          </w:p>
        </w:tc>
      </w:tr>
      <w:tr w:rsidR="00EE3357" w14:paraId="0A0B22DE" w14:textId="77777777" w:rsidTr="00C97D6B">
        <w:trPr>
          <w:jc w:val="center"/>
        </w:trPr>
        <w:tc>
          <w:tcPr>
            <w:tcW w:w="777" w:type="pct"/>
            <w:tcMar>
              <w:top w:w="70" w:type="dxa"/>
              <w:left w:w="80" w:type="dxa"/>
              <w:bottom w:w="70" w:type="dxa"/>
              <w:right w:w="80" w:type="dxa"/>
            </w:tcMar>
            <w:vAlign w:val="center"/>
          </w:tcPr>
          <w:p w14:paraId="648DA9E9" w14:textId="77777777" w:rsidR="00EE3357" w:rsidRDefault="00000000">
            <w:pPr>
              <w:spacing w:after="0"/>
              <w:jc w:val="center"/>
            </w:pPr>
            <w:r>
              <w:rPr>
                <w:sz w:val="16"/>
              </w:rPr>
              <w:t>Smallholder AI extension</w:t>
            </w:r>
          </w:p>
        </w:tc>
        <w:tc>
          <w:tcPr>
            <w:tcW w:w="980" w:type="pct"/>
            <w:tcMar>
              <w:top w:w="70" w:type="dxa"/>
              <w:left w:w="80" w:type="dxa"/>
              <w:bottom w:w="70" w:type="dxa"/>
              <w:right w:w="80" w:type="dxa"/>
            </w:tcMar>
            <w:vAlign w:val="center"/>
          </w:tcPr>
          <w:p w14:paraId="29BC498E" w14:textId="77777777" w:rsidR="00EE3357" w:rsidRDefault="00000000">
            <w:pPr>
              <w:spacing w:after="0"/>
              <w:jc w:val="left"/>
            </w:pPr>
            <w:r>
              <w:rPr>
                <w:sz w:val="16"/>
              </w:rPr>
              <w:t>Conversational and learning-oriented systems</w:t>
            </w:r>
          </w:p>
        </w:tc>
        <w:tc>
          <w:tcPr>
            <w:tcW w:w="1115" w:type="pct"/>
            <w:tcMar>
              <w:top w:w="70" w:type="dxa"/>
              <w:left w:w="80" w:type="dxa"/>
              <w:bottom w:w="70" w:type="dxa"/>
              <w:right w:w="80" w:type="dxa"/>
            </w:tcMar>
            <w:vAlign w:val="center"/>
          </w:tcPr>
          <w:p w14:paraId="375E945E" w14:textId="77777777" w:rsidR="00EE3357" w:rsidRDefault="00000000">
            <w:pPr>
              <w:spacing w:after="0"/>
              <w:jc w:val="left"/>
            </w:pPr>
            <w:r>
              <w:rPr>
                <w:sz w:val="16"/>
              </w:rPr>
              <w:t>Reframes AI as support for transformative learning</w:t>
            </w:r>
          </w:p>
        </w:tc>
        <w:tc>
          <w:tcPr>
            <w:tcW w:w="1284" w:type="pct"/>
            <w:tcMar>
              <w:top w:w="70" w:type="dxa"/>
              <w:left w:w="80" w:type="dxa"/>
              <w:bottom w:w="70" w:type="dxa"/>
              <w:right w:w="80" w:type="dxa"/>
            </w:tcMar>
            <w:vAlign w:val="center"/>
          </w:tcPr>
          <w:p w14:paraId="426EB470" w14:textId="77777777" w:rsidR="00EE3357" w:rsidRDefault="00000000">
            <w:pPr>
              <w:spacing w:after="0"/>
              <w:jc w:val="left"/>
            </w:pPr>
            <w:r>
              <w:rPr>
                <w:sz w:val="16"/>
              </w:rPr>
              <w:t>Long-term comparative outcome evidence remains limited</w:t>
            </w:r>
          </w:p>
        </w:tc>
        <w:tc>
          <w:tcPr>
            <w:tcW w:w="845" w:type="pct"/>
            <w:tcMar>
              <w:top w:w="70" w:type="dxa"/>
              <w:left w:w="80" w:type="dxa"/>
              <w:bottom w:w="70" w:type="dxa"/>
              <w:right w:w="80" w:type="dxa"/>
            </w:tcMar>
            <w:vAlign w:val="center"/>
          </w:tcPr>
          <w:p w14:paraId="2C0D01CF" w14:textId="77777777" w:rsidR="00EE3357" w:rsidRDefault="00000000">
            <w:pPr>
              <w:spacing w:after="0"/>
              <w:jc w:val="left"/>
            </w:pPr>
            <w:r>
              <w:rPr>
                <w:sz w:val="16"/>
              </w:rPr>
              <w:t>High et al. (2026)</w:t>
            </w:r>
          </w:p>
        </w:tc>
      </w:tr>
    </w:tbl>
    <w:p w14:paraId="684548C2" w14:textId="77777777" w:rsidR="00EE3357" w:rsidRDefault="00000000">
      <w:pPr>
        <w:spacing w:before="60" w:after="140"/>
      </w:pPr>
      <w:r>
        <w:rPr>
          <w:i/>
          <w:sz w:val="17"/>
        </w:rPr>
        <w:t xml:space="preserve">Note. </w:t>
      </w:r>
      <w:r>
        <w:rPr>
          <w:sz w:val="17"/>
        </w:rPr>
        <w:t xml:space="preserve">The table is illustrative rather than exhaustive and </w:t>
      </w:r>
      <w:proofErr w:type="spellStart"/>
      <w:r>
        <w:rPr>
          <w:sz w:val="17"/>
        </w:rPr>
        <w:t>emphasises</w:t>
      </w:r>
      <w:proofErr w:type="spellEnd"/>
      <w:r>
        <w:rPr>
          <w:sz w:val="17"/>
        </w:rPr>
        <w:t xml:space="preserve"> what each study permits the reader to infer.</w:t>
      </w:r>
    </w:p>
    <w:p w14:paraId="45051776" w14:textId="77777777" w:rsidR="00EE3357" w:rsidRDefault="00000000">
      <w:pPr>
        <w:pStyle w:val="Heading1"/>
      </w:pPr>
      <w:r>
        <w:t>7. Inclusion, Trust, Data Governance and Epistemic Justice</w:t>
      </w:r>
    </w:p>
    <w:p w14:paraId="6F61F3AA" w14:textId="77777777" w:rsidR="00EE3357" w:rsidRDefault="00000000">
      <w:pPr>
        <w:pStyle w:val="Heading2"/>
      </w:pPr>
      <w:r>
        <w:t>7.1 Beyond the Binary Digital Divide</w:t>
      </w:r>
    </w:p>
    <w:p w14:paraId="1BCDACE2" w14:textId="77777777" w:rsidR="00EE3357" w:rsidRDefault="00000000">
      <w:r>
        <w:t xml:space="preserve">Digital inclusion is often reduced to device ownership or connectivity. Meaningful use requires a sequence of access, skills, confidence, relevant content, affordability and the power to act on advice. </w:t>
      </w:r>
      <w:proofErr w:type="spellStart"/>
      <w:r>
        <w:t>Gouthon</w:t>
      </w:r>
      <w:proofErr w:type="spellEnd"/>
      <w:r>
        <w:t xml:space="preserve"> et al. (2024) show how attitudes, material access, skills and usage are linked among smallholders, while gender, age, income and education shape these relationships. Mobile ownership can conceal shared-device dependence, limited privacy and restricted control over expenditure. Gender-focused research on climate information and mobile-phone use similarly indicates that services must address social relations, not only technical availability (Mittal, 2016; Mulungu, 2025).</w:t>
      </w:r>
    </w:p>
    <w:p w14:paraId="3C6E11C6" w14:textId="77777777" w:rsidR="00EE3357" w:rsidRDefault="00000000">
      <w:r>
        <w:t xml:space="preserve">AI may reduce some barriers through voice, translation and adaptive explanation. It may also deepen them. Speech models can underperform for local accents; image interfaces assume camera quality and data access; </w:t>
      </w:r>
      <w:proofErr w:type="spellStart"/>
      <w:r>
        <w:t>personalisation</w:t>
      </w:r>
      <w:proofErr w:type="spellEnd"/>
      <w:r>
        <w:t xml:space="preserve"> can require detailed profiles that users are unable or unwilling to provide. Systems trained on better-documented commercial farms may recommend practices incompatible with small plots, mixed cropping or informal input markets. In HICs, the divide appears through capital intensity, broadband quality, subscription costs and the capacity to integrate farm records. </w:t>
      </w:r>
      <w:proofErr w:type="spellStart"/>
      <w:r>
        <w:t>Hackfort’s</w:t>
      </w:r>
      <w:proofErr w:type="spellEnd"/>
      <w:r>
        <w:t xml:space="preserve"> (2021) review shows that digital </w:t>
      </w:r>
      <w:r>
        <w:lastRenderedPageBreak/>
        <w:t>agriculture can reproduce inequalities across resources, knowledge and power rather than simply closing an information gap.</w:t>
      </w:r>
    </w:p>
    <w:p w14:paraId="65ACB131" w14:textId="77777777" w:rsidR="00EE3357" w:rsidRDefault="00000000">
      <w:r>
        <w:t>Inclusion should therefore be evaluated distributionally. Aggregate adoption can rise while gaps widen. An extension agency should examine who receives accurate answers, who is escalated to human support, whose queries are abandoned, and who can act on recommendations. Disaggregated performance auditing is especially important because model error may be correlated with language, farm type or geography. Inclusion also requires non-digital alternatives. A service becomes coercive when essential public advice is available only through a platform that demands data or a device the farmer cannot control.</w:t>
      </w:r>
    </w:p>
    <w:p w14:paraId="2D16A3F5" w14:textId="77777777" w:rsidR="00EE3357" w:rsidRDefault="00000000">
      <w:pPr>
        <w:pStyle w:val="Heading2"/>
      </w:pPr>
      <w:r>
        <w:t>7.2 Trust, Transparency and Contestability</w:t>
      </w:r>
    </w:p>
    <w:p w14:paraId="589CAAD8" w14:textId="77777777" w:rsidR="00EE3357" w:rsidRDefault="00000000">
      <w:r>
        <w:t>Trust is not a stable attitude towards technology; it is a judgement about competence, intention and accountability. Farmers may trust an extension worker because the person is known, can observe the farm and can be questioned. They may distrust a platform whose data practices and commercial interests are opaque. Research on smart farming indicates that users want to know what happens to their data and how benefits are shared (Jakku et al., 2019). Ethical analyses similarly show that unresolved differences about the purpose of digital farming sit behind disputes over ownership and access (van der Burg et al., 2019).</w:t>
      </w:r>
    </w:p>
    <w:p w14:paraId="0D530D31" w14:textId="77777777" w:rsidR="00EE3357" w:rsidRDefault="00000000">
      <w:r>
        <w:t>Transparency should not be equated with publishing technical documentation that users cannot interpret. Operational transparency requires clear communication of the system’s purpose, data sources, limitations, sponsor interests and routes for correction. For a recommendation, the user should be able to understand the relevant observations and assumptions. For a targeting model, communities should know which criteria affect service allocation. Interpretable models are particularly valuable when decisions carry high consequences, although interpretation alone cannot resolve an unjust objective or inadequate data (Rudin, 2019).</w:t>
      </w:r>
    </w:p>
    <w:p w14:paraId="462DD9C8" w14:textId="77777777" w:rsidR="00EE3357" w:rsidRDefault="00000000">
      <w:r>
        <w:t xml:space="preserve">Contestability converts transparency into agency. Farmers and advisers need mechanisms to challenge a diagnosis, correct records, request human review and report harm. Appeals should not depend on advanced digital literacy. Extension </w:t>
      </w:r>
      <w:proofErr w:type="spellStart"/>
      <w:r>
        <w:t>organisations</w:t>
      </w:r>
      <w:proofErr w:type="spellEnd"/>
      <w:r>
        <w:t xml:space="preserve"> also need authority to suspend a model when local performance deteriorates. Without such procedures, ‘human in the loop’ can become symbolic: a low-paid operator merely confirms automated recommendations without time, expertise or discretion. Meaningful oversight requires professional competence, manageable workloads and institutional protection for disagreement.</w:t>
      </w:r>
    </w:p>
    <w:p w14:paraId="6808A459" w14:textId="77777777" w:rsidR="00EE3357" w:rsidRDefault="00000000">
      <w:pPr>
        <w:pStyle w:val="Heading2"/>
      </w:pPr>
      <w:r>
        <w:t>7.3 Data Governance and the Politics of Value</w:t>
      </w:r>
    </w:p>
    <w:p w14:paraId="2E95CA3E" w14:textId="77777777" w:rsidR="00EE3357" w:rsidRDefault="00000000">
      <w:r>
        <w:t xml:space="preserve">Agricultural data are relational. A field boundary, yield record or disease image may appear to belong to an individual farm, yet its value emerges when combined with weather, soil, market and </w:t>
      </w:r>
      <w:proofErr w:type="spellStart"/>
      <w:r>
        <w:t>neighbouring</w:t>
      </w:r>
      <w:proofErr w:type="spellEnd"/>
      <w:r>
        <w:t xml:space="preserve">-farm data. This complicates simple ownership claims. Governance must specify access, permitted use, retention, portability, security, benefit-sharing and responsibilities for collective risks. Big-data research in agriculture has highlighted both analytical opportunity and uncertainty about who captures value (Bronson &amp; Knezevic, 2016; Coble et al., 2018). Political </w:t>
      </w:r>
      <w:proofErr w:type="spellStart"/>
      <w:r>
        <w:t>analyses</w:t>
      </w:r>
      <w:proofErr w:type="spellEnd"/>
      <w:r>
        <w:t xml:space="preserve"> warn that </w:t>
      </w:r>
      <w:proofErr w:type="spellStart"/>
      <w:r>
        <w:t>platformisation</w:t>
      </w:r>
      <w:proofErr w:type="spellEnd"/>
      <w:r>
        <w:t xml:space="preserve"> can consolidate power among technology and input firms (Rotz et al., 2019).</w:t>
      </w:r>
    </w:p>
    <w:p w14:paraId="437C732E" w14:textId="77777777" w:rsidR="00EE3357" w:rsidRDefault="00000000">
      <w:r>
        <w:t xml:space="preserve">LMIC smallholder data raise particular concerns because consent may be bundled with access to a valued service and legal remedies may be weak. Data collected for advice can later influence credit, insurance, market access or surveillance. Amar et al. (2026) argue that the movement from data collection to control determines whether </w:t>
      </w:r>
      <w:proofErr w:type="spellStart"/>
      <w:r>
        <w:t>digitalisation</w:t>
      </w:r>
      <w:proofErr w:type="spellEnd"/>
      <w:r>
        <w:t xml:space="preserve"> is inclusive. HIC farmers may have stronger contractual capacity, but complex </w:t>
      </w:r>
      <w:proofErr w:type="spellStart"/>
      <w:r>
        <w:t>licence</w:t>
      </w:r>
      <w:proofErr w:type="spellEnd"/>
      <w:r>
        <w:t xml:space="preserve"> agreements, interoperability barriers and platform concentration still constrain meaningful </w:t>
      </w:r>
      <w:r>
        <w:lastRenderedPageBreak/>
        <w:t>choice. In both settings, data portability and purpose limitation are necessary but not sufficient; farmers and public institutions also need technical capacity to exercise those rights.</w:t>
      </w:r>
    </w:p>
    <w:p w14:paraId="185B9091" w14:textId="77777777" w:rsidR="00EE3357" w:rsidRDefault="00000000">
      <w:r>
        <w:t xml:space="preserve">Benefit-sharing should move beyond token compensation. Farmers can contribute to model improvement through labelled images, outcome reports and local knowledge. Governance can </w:t>
      </w:r>
      <w:proofErr w:type="spellStart"/>
      <w:r>
        <w:t>recognise</w:t>
      </w:r>
      <w:proofErr w:type="spellEnd"/>
      <w:r>
        <w:t xml:space="preserve"> this contribution through cooperative data trusts, public repositories with appropriate safeguards, shared service benefits or negotiated access terms. Yet open data are not automatically equitable. Making sensitive location or production data broadly available can expose vulnerable farmers, while open datasets without sustained curation may be captured by well-resourced firms. Public-interest data infrastructure therefore requires stewardship, access tiers, community representation and funding for maintenance.</w:t>
      </w:r>
    </w:p>
    <w:p w14:paraId="0BC5D0E3" w14:textId="77777777" w:rsidR="00EE3357" w:rsidRDefault="00000000">
      <w:pPr>
        <w:pStyle w:val="Heading2"/>
      </w:pPr>
      <w:r>
        <w:t>7.4 Epistemic Justice and the Status of Local Knowledge</w:t>
      </w:r>
    </w:p>
    <w:p w14:paraId="3EEB4F82" w14:textId="77777777" w:rsidR="00EE3357" w:rsidRDefault="00000000">
      <w:r>
        <w:t>AI systems privilege knowledge that can be encoded. Standard crop names, labelled symptoms, georeferenced plots and formal recommendations are easier to process than tacit observations, culturally embedded classifications or contested accounts of environmental change. This can create epistemic injustice: farmers’ knowledge is treated as noise or raw data while formal models are treated as authoritative. Participatory extension sought to correct this asymmetry, but digital systems can reintroduce it at scale if local contributions are used only to improve externally controlled models.</w:t>
      </w:r>
    </w:p>
    <w:p w14:paraId="64560D29" w14:textId="77777777" w:rsidR="00EE3357" w:rsidRDefault="00000000">
      <w:r>
        <w:t xml:space="preserve">A more defensible approach treats local knowledge as evidence that can test and refine model assumptions. Extension agents can document exceptions, compare predictions with outcomes and identify missing variables. Farmer groups can help define relevant categories and acceptable trade-offs. This does not mean that every local belief should be incorporated uncritically. It means that disagreements should be made visible and investigated rather than resolved automatically in </w:t>
      </w:r>
      <w:proofErr w:type="spellStart"/>
      <w:r>
        <w:t>favour</w:t>
      </w:r>
      <w:proofErr w:type="spellEnd"/>
      <w:r>
        <w:t xml:space="preserve"> of the digital system. </w:t>
      </w:r>
      <w:proofErr w:type="spellStart"/>
      <w:r>
        <w:t>Humanising</w:t>
      </w:r>
      <w:proofErr w:type="spellEnd"/>
      <w:r>
        <w:t xml:space="preserve"> and innovation-system perspectives provide an institutional basis for such negotiation (Cook et al., 2021; Klerkx et al., 2012).</w:t>
      </w:r>
    </w:p>
    <w:p w14:paraId="5443BD0D" w14:textId="77777777" w:rsidR="00EE3357" w:rsidRDefault="00000000">
      <w:r>
        <w:t>Epistemic justice also concerns language. Translation is not a neutral substitution of words; agronomic terms may have no direct equivalent, and local expressions can encode diagnostic distinctions absent from formal taxonomies. Language models should therefore be evaluated with local practitioners and farmers, including for potentially harmful ambiguity. The objective is not merely to make a global model speak locally, but to build advisory knowledge that is locally governed and scientifically accountable.</w:t>
      </w:r>
    </w:p>
    <w:p w14:paraId="45B88FC9" w14:textId="77777777" w:rsidR="00EE3357" w:rsidRDefault="00000000">
      <w:r>
        <w:t xml:space="preserve">Table 5 links recurrent risks to practical safeguards. Its purpose is to prevent ethics from remaining at the level of broad principles by identifying institutional arrangements that can be audited in extension </w:t>
      </w:r>
      <w:proofErr w:type="spellStart"/>
      <w:r>
        <w:t>programmes</w:t>
      </w:r>
      <w:proofErr w:type="spellEnd"/>
      <w:r>
        <w:t>.</w:t>
      </w:r>
    </w:p>
    <w:p w14:paraId="5470F9B8" w14:textId="77777777" w:rsidR="00EE3357" w:rsidRDefault="00000000">
      <w:pPr>
        <w:keepNext/>
        <w:spacing w:before="120" w:after="80"/>
      </w:pPr>
      <w:r>
        <w:rPr>
          <w:b/>
          <w:sz w:val="20"/>
        </w:rPr>
        <w:t>Table 5. Governance risks and safeguards for human–AI agricultural extension</w:t>
      </w:r>
    </w:p>
    <w:tbl>
      <w:tblPr>
        <w:tblStyle w:val="TableGrid"/>
        <w:tblW w:w="5000" w:type="pct"/>
        <w:jc w:val="center"/>
        <w:tblLook w:val="04A0" w:firstRow="1" w:lastRow="0" w:firstColumn="1" w:lastColumn="0" w:noHBand="0" w:noVBand="1"/>
      </w:tblPr>
      <w:tblGrid>
        <w:gridCol w:w="1440"/>
        <w:gridCol w:w="2126"/>
        <w:gridCol w:w="2264"/>
        <w:gridCol w:w="2126"/>
        <w:gridCol w:w="1852"/>
      </w:tblGrid>
      <w:tr w:rsidR="00EE3357" w14:paraId="640E1731" w14:textId="77777777" w:rsidTr="00C97D6B">
        <w:trPr>
          <w:tblHeader/>
          <w:jc w:val="center"/>
        </w:trPr>
        <w:tc>
          <w:tcPr>
            <w:tcW w:w="734" w:type="pct"/>
            <w:shd w:val="clear" w:color="auto" w:fill="D9EAF7"/>
            <w:tcMar>
              <w:top w:w="70" w:type="dxa"/>
              <w:left w:w="80" w:type="dxa"/>
              <w:bottom w:w="70" w:type="dxa"/>
              <w:right w:w="80" w:type="dxa"/>
            </w:tcMar>
            <w:vAlign w:val="center"/>
          </w:tcPr>
          <w:p w14:paraId="0D28F0AC" w14:textId="77777777" w:rsidR="00EE3357" w:rsidRDefault="00000000">
            <w:pPr>
              <w:spacing w:after="0"/>
              <w:jc w:val="center"/>
            </w:pPr>
            <w:r>
              <w:rPr>
                <w:b/>
                <w:sz w:val="17"/>
              </w:rPr>
              <w:t>Risk</w:t>
            </w:r>
          </w:p>
        </w:tc>
        <w:tc>
          <w:tcPr>
            <w:tcW w:w="1084" w:type="pct"/>
            <w:shd w:val="clear" w:color="auto" w:fill="D9EAF7"/>
            <w:tcMar>
              <w:top w:w="70" w:type="dxa"/>
              <w:left w:w="80" w:type="dxa"/>
              <w:bottom w:w="70" w:type="dxa"/>
              <w:right w:w="80" w:type="dxa"/>
            </w:tcMar>
            <w:vAlign w:val="center"/>
          </w:tcPr>
          <w:p w14:paraId="76A5AE61" w14:textId="77777777" w:rsidR="00EE3357" w:rsidRDefault="00000000">
            <w:pPr>
              <w:spacing w:after="0"/>
              <w:jc w:val="center"/>
            </w:pPr>
            <w:r>
              <w:rPr>
                <w:b/>
                <w:sz w:val="17"/>
              </w:rPr>
              <w:t>How it arises</w:t>
            </w:r>
          </w:p>
        </w:tc>
        <w:tc>
          <w:tcPr>
            <w:tcW w:w="1154" w:type="pct"/>
            <w:shd w:val="clear" w:color="auto" w:fill="D9EAF7"/>
            <w:tcMar>
              <w:top w:w="70" w:type="dxa"/>
              <w:left w:w="80" w:type="dxa"/>
              <w:bottom w:w="70" w:type="dxa"/>
              <w:right w:w="80" w:type="dxa"/>
            </w:tcMar>
            <w:vAlign w:val="center"/>
          </w:tcPr>
          <w:p w14:paraId="4D1FAC69" w14:textId="77777777" w:rsidR="00EE3357" w:rsidRDefault="00000000">
            <w:pPr>
              <w:spacing w:after="0"/>
              <w:jc w:val="center"/>
            </w:pPr>
            <w:r>
              <w:rPr>
                <w:b/>
                <w:sz w:val="17"/>
              </w:rPr>
              <w:t>Required safeguard</w:t>
            </w:r>
          </w:p>
        </w:tc>
        <w:tc>
          <w:tcPr>
            <w:tcW w:w="1084" w:type="pct"/>
            <w:shd w:val="clear" w:color="auto" w:fill="D9EAF7"/>
            <w:tcMar>
              <w:top w:w="70" w:type="dxa"/>
              <w:left w:w="80" w:type="dxa"/>
              <w:bottom w:w="70" w:type="dxa"/>
              <w:right w:w="80" w:type="dxa"/>
            </w:tcMar>
            <w:vAlign w:val="center"/>
          </w:tcPr>
          <w:p w14:paraId="532604A5" w14:textId="77777777" w:rsidR="00EE3357" w:rsidRDefault="00000000">
            <w:pPr>
              <w:spacing w:after="0"/>
              <w:jc w:val="center"/>
            </w:pPr>
            <w:r>
              <w:rPr>
                <w:b/>
                <w:sz w:val="17"/>
              </w:rPr>
              <w:t>Auditable indicator</w:t>
            </w:r>
          </w:p>
        </w:tc>
        <w:tc>
          <w:tcPr>
            <w:tcW w:w="944" w:type="pct"/>
            <w:shd w:val="clear" w:color="auto" w:fill="D9EAF7"/>
            <w:tcMar>
              <w:top w:w="70" w:type="dxa"/>
              <w:left w:w="80" w:type="dxa"/>
              <w:bottom w:w="70" w:type="dxa"/>
              <w:right w:w="80" w:type="dxa"/>
            </w:tcMar>
            <w:vAlign w:val="center"/>
          </w:tcPr>
          <w:p w14:paraId="748D193C" w14:textId="77777777" w:rsidR="00EE3357" w:rsidRDefault="00000000">
            <w:pPr>
              <w:spacing w:after="0"/>
              <w:jc w:val="center"/>
            </w:pPr>
            <w:r>
              <w:rPr>
                <w:b/>
                <w:sz w:val="17"/>
              </w:rPr>
              <w:t>Supporting references</w:t>
            </w:r>
          </w:p>
        </w:tc>
      </w:tr>
      <w:tr w:rsidR="00EE3357" w14:paraId="74932ECC" w14:textId="77777777" w:rsidTr="00C97D6B">
        <w:trPr>
          <w:jc w:val="center"/>
        </w:trPr>
        <w:tc>
          <w:tcPr>
            <w:tcW w:w="734" w:type="pct"/>
            <w:tcMar>
              <w:top w:w="70" w:type="dxa"/>
              <w:left w:w="80" w:type="dxa"/>
              <w:bottom w:w="70" w:type="dxa"/>
              <w:right w:w="80" w:type="dxa"/>
            </w:tcMar>
            <w:vAlign w:val="center"/>
          </w:tcPr>
          <w:p w14:paraId="0B9CB182" w14:textId="77777777" w:rsidR="00EE3357" w:rsidRDefault="00000000">
            <w:pPr>
              <w:spacing w:after="0"/>
              <w:jc w:val="center"/>
            </w:pPr>
            <w:r>
              <w:rPr>
                <w:sz w:val="16"/>
              </w:rPr>
              <w:t>Unequal access and benefit</w:t>
            </w:r>
          </w:p>
        </w:tc>
        <w:tc>
          <w:tcPr>
            <w:tcW w:w="1084" w:type="pct"/>
            <w:tcMar>
              <w:top w:w="70" w:type="dxa"/>
              <w:left w:w="80" w:type="dxa"/>
              <w:bottom w:w="70" w:type="dxa"/>
              <w:right w:w="80" w:type="dxa"/>
            </w:tcMar>
            <w:vAlign w:val="center"/>
          </w:tcPr>
          <w:p w14:paraId="155281A0" w14:textId="77777777" w:rsidR="00EE3357" w:rsidRDefault="00000000">
            <w:pPr>
              <w:spacing w:after="0"/>
              <w:jc w:val="left"/>
            </w:pPr>
            <w:r>
              <w:rPr>
                <w:sz w:val="16"/>
              </w:rPr>
              <w:t>Devices, literacy, language, capital and social norms shape use</w:t>
            </w:r>
          </w:p>
        </w:tc>
        <w:tc>
          <w:tcPr>
            <w:tcW w:w="1154" w:type="pct"/>
            <w:tcMar>
              <w:top w:w="70" w:type="dxa"/>
              <w:left w:w="80" w:type="dxa"/>
              <w:bottom w:w="70" w:type="dxa"/>
              <w:right w:w="80" w:type="dxa"/>
            </w:tcMar>
            <w:vAlign w:val="center"/>
          </w:tcPr>
          <w:p w14:paraId="19438FD9" w14:textId="77777777" w:rsidR="00EE3357" w:rsidRDefault="00000000">
            <w:pPr>
              <w:spacing w:after="0"/>
              <w:jc w:val="left"/>
            </w:pPr>
            <w:r>
              <w:rPr>
                <w:sz w:val="16"/>
              </w:rPr>
              <w:t>Multiple channels, assisted access and disaggregated evaluation</w:t>
            </w:r>
          </w:p>
        </w:tc>
        <w:tc>
          <w:tcPr>
            <w:tcW w:w="1084" w:type="pct"/>
            <w:tcMar>
              <w:top w:w="70" w:type="dxa"/>
              <w:left w:w="80" w:type="dxa"/>
              <w:bottom w:w="70" w:type="dxa"/>
              <w:right w:w="80" w:type="dxa"/>
            </w:tcMar>
            <w:vAlign w:val="center"/>
          </w:tcPr>
          <w:p w14:paraId="4FF23E90" w14:textId="77777777" w:rsidR="00EE3357" w:rsidRDefault="00000000">
            <w:pPr>
              <w:spacing w:after="0"/>
              <w:jc w:val="left"/>
            </w:pPr>
            <w:r>
              <w:rPr>
                <w:sz w:val="16"/>
              </w:rPr>
              <w:t>Error, completion and benefit rates by user group</w:t>
            </w:r>
          </w:p>
        </w:tc>
        <w:tc>
          <w:tcPr>
            <w:tcW w:w="944" w:type="pct"/>
            <w:tcMar>
              <w:top w:w="70" w:type="dxa"/>
              <w:left w:w="80" w:type="dxa"/>
              <w:bottom w:w="70" w:type="dxa"/>
              <w:right w:w="80" w:type="dxa"/>
            </w:tcMar>
            <w:vAlign w:val="center"/>
          </w:tcPr>
          <w:p w14:paraId="1B570623" w14:textId="77777777" w:rsidR="00EE3357" w:rsidRDefault="00000000">
            <w:pPr>
              <w:spacing w:after="0"/>
              <w:jc w:val="left"/>
            </w:pPr>
            <w:proofErr w:type="spellStart"/>
            <w:r>
              <w:rPr>
                <w:sz w:val="16"/>
              </w:rPr>
              <w:t>Gouthon</w:t>
            </w:r>
            <w:proofErr w:type="spellEnd"/>
            <w:r>
              <w:rPr>
                <w:sz w:val="16"/>
              </w:rPr>
              <w:t xml:space="preserve"> et al. (2024); </w:t>
            </w:r>
            <w:proofErr w:type="spellStart"/>
            <w:r>
              <w:rPr>
                <w:sz w:val="16"/>
              </w:rPr>
              <w:t>Hackfort</w:t>
            </w:r>
            <w:proofErr w:type="spellEnd"/>
            <w:r>
              <w:rPr>
                <w:sz w:val="16"/>
              </w:rPr>
              <w:t xml:space="preserve"> (2021); Mulungu (2025)</w:t>
            </w:r>
          </w:p>
        </w:tc>
      </w:tr>
      <w:tr w:rsidR="00EE3357" w14:paraId="253D3285" w14:textId="77777777" w:rsidTr="00C97D6B">
        <w:trPr>
          <w:jc w:val="center"/>
        </w:trPr>
        <w:tc>
          <w:tcPr>
            <w:tcW w:w="734" w:type="pct"/>
            <w:tcMar>
              <w:top w:w="70" w:type="dxa"/>
              <w:left w:w="80" w:type="dxa"/>
              <w:bottom w:w="70" w:type="dxa"/>
              <w:right w:w="80" w:type="dxa"/>
            </w:tcMar>
            <w:vAlign w:val="center"/>
          </w:tcPr>
          <w:p w14:paraId="4D775041" w14:textId="77777777" w:rsidR="00EE3357" w:rsidRDefault="00000000">
            <w:pPr>
              <w:spacing w:after="0"/>
              <w:jc w:val="center"/>
            </w:pPr>
            <w:r>
              <w:rPr>
                <w:sz w:val="16"/>
              </w:rPr>
              <w:t>Invalid or overconfident advice</w:t>
            </w:r>
          </w:p>
        </w:tc>
        <w:tc>
          <w:tcPr>
            <w:tcW w:w="1084" w:type="pct"/>
            <w:tcMar>
              <w:top w:w="70" w:type="dxa"/>
              <w:left w:w="80" w:type="dxa"/>
              <w:bottom w:w="70" w:type="dxa"/>
              <w:right w:w="80" w:type="dxa"/>
            </w:tcMar>
            <w:vAlign w:val="center"/>
          </w:tcPr>
          <w:p w14:paraId="754EA919" w14:textId="77777777" w:rsidR="00EE3357" w:rsidRDefault="00000000">
            <w:pPr>
              <w:spacing w:after="0"/>
              <w:jc w:val="left"/>
            </w:pPr>
            <w:r>
              <w:rPr>
                <w:sz w:val="16"/>
              </w:rPr>
              <w:t>Domain shift, sparse local data and fluent generation</w:t>
            </w:r>
          </w:p>
        </w:tc>
        <w:tc>
          <w:tcPr>
            <w:tcW w:w="1154" w:type="pct"/>
            <w:tcMar>
              <w:top w:w="70" w:type="dxa"/>
              <w:left w:w="80" w:type="dxa"/>
              <w:bottom w:w="70" w:type="dxa"/>
              <w:right w:w="80" w:type="dxa"/>
            </w:tcMar>
            <w:vAlign w:val="center"/>
          </w:tcPr>
          <w:p w14:paraId="65BA1BF7" w14:textId="77777777" w:rsidR="00EE3357" w:rsidRDefault="00000000">
            <w:pPr>
              <w:spacing w:after="0"/>
              <w:jc w:val="left"/>
            </w:pPr>
            <w:r>
              <w:rPr>
                <w:sz w:val="16"/>
              </w:rPr>
              <w:t>Local validation, uncertainty display, rejection and escalation</w:t>
            </w:r>
          </w:p>
        </w:tc>
        <w:tc>
          <w:tcPr>
            <w:tcW w:w="1084" w:type="pct"/>
            <w:tcMar>
              <w:top w:w="70" w:type="dxa"/>
              <w:left w:w="80" w:type="dxa"/>
              <w:bottom w:w="70" w:type="dxa"/>
              <w:right w:w="80" w:type="dxa"/>
            </w:tcMar>
            <w:vAlign w:val="center"/>
          </w:tcPr>
          <w:p w14:paraId="2FCFC48C" w14:textId="77777777" w:rsidR="00EE3357" w:rsidRDefault="00000000">
            <w:pPr>
              <w:spacing w:after="0"/>
              <w:jc w:val="left"/>
            </w:pPr>
            <w:r>
              <w:rPr>
                <w:sz w:val="16"/>
              </w:rPr>
              <w:t>Performance by crop/region; proportion escalated; documented harm</w:t>
            </w:r>
          </w:p>
        </w:tc>
        <w:tc>
          <w:tcPr>
            <w:tcW w:w="944" w:type="pct"/>
            <w:tcMar>
              <w:top w:w="70" w:type="dxa"/>
              <w:left w:w="80" w:type="dxa"/>
              <w:bottom w:w="70" w:type="dxa"/>
              <w:right w:w="80" w:type="dxa"/>
            </w:tcMar>
            <w:vAlign w:val="center"/>
          </w:tcPr>
          <w:p w14:paraId="50B40553" w14:textId="77777777" w:rsidR="00EE3357" w:rsidRDefault="00000000">
            <w:pPr>
              <w:spacing w:after="0"/>
              <w:jc w:val="left"/>
            </w:pPr>
            <w:r>
              <w:rPr>
                <w:sz w:val="16"/>
              </w:rPr>
              <w:t>High et al. (2026); Rudin (2019)</w:t>
            </w:r>
          </w:p>
        </w:tc>
      </w:tr>
      <w:tr w:rsidR="00EE3357" w14:paraId="5A22C9EF" w14:textId="77777777" w:rsidTr="00C97D6B">
        <w:trPr>
          <w:jc w:val="center"/>
        </w:trPr>
        <w:tc>
          <w:tcPr>
            <w:tcW w:w="734" w:type="pct"/>
            <w:tcMar>
              <w:top w:w="70" w:type="dxa"/>
              <w:left w:w="80" w:type="dxa"/>
              <w:bottom w:w="70" w:type="dxa"/>
              <w:right w:w="80" w:type="dxa"/>
            </w:tcMar>
            <w:vAlign w:val="center"/>
          </w:tcPr>
          <w:p w14:paraId="37C7EB56" w14:textId="77777777" w:rsidR="00EE3357" w:rsidRDefault="00000000">
            <w:pPr>
              <w:spacing w:after="0"/>
              <w:jc w:val="center"/>
            </w:pPr>
            <w:r>
              <w:rPr>
                <w:sz w:val="16"/>
              </w:rPr>
              <w:t>Opaque commercial influence</w:t>
            </w:r>
          </w:p>
        </w:tc>
        <w:tc>
          <w:tcPr>
            <w:tcW w:w="1084" w:type="pct"/>
            <w:tcMar>
              <w:top w:w="70" w:type="dxa"/>
              <w:left w:w="80" w:type="dxa"/>
              <w:bottom w:w="70" w:type="dxa"/>
              <w:right w:w="80" w:type="dxa"/>
            </w:tcMar>
            <w:vAlign w:val="center"/>
          </w:tcPr>
          <w:p w14:paraId="0B9C25FA" w14:textId="77777777" w:rsidR="00EE3357" w:rsidRDefault="00000000">
            <w:pPr>
              <w:spacing w:after="0"/>
              <w:jc w:val="left"/>
            </w:pPr>
            <w:r>
              <w:rPr>
                <w:sz w:val="16"/>
              </w:rPr>
              <w:t>Advice and platform revenue are linked to products or data capture</w:t>
            </w:r>
          </w:p>
        </w:tc>
        <w:tc>
          <w:tcPr>
            <w:tcW w:w="1154" w:type="pct"/>
            <w:tcMar>
              <w:top w:w="70" w:type="dxa"/>
              <w:left w:w="80" w:type="dxa"/>
              <w:bottom w:w="70" w:type="dxa"/>
              <w:right w:w="80" w:type="dxa"/>
            </w:tcMar>
            <w:vAlign w:val="center"/>
          </w:tcPr>
          <w:p w14:paraId="0069923C" w14:textId="77777777" w:rsidR="00EE3357" w:rsidRDefault="00000000">
            <w:pPr>
              <w:spacing w:after="0"/>
              <w:jc w:val="left"/>
            </w:pPr>
            <w:r>
              <w:rPr>
                <w:sz w:val="16"/>
              </w:rPr>
              <w:t>Conflict disclosure, independent content governance and audit</w:t>
            </w:r>
          </w:p>
        </w:tc>
        <w:tc>
          <w:tcPr>
            <w:tcW w:w="1084" w:type="pct"/>
            <w:tcMar>
              <w:top w:w="70" w:type="dxa"/>
              <w:left w:w="80" w:type="dxa"/>
              <w:bottom w:w="70" w:type="dxa"/>
              <w:right w:w="80" w:type="dxa"/>
            </w:tcMar>
            <w:vAlign w:val="center"/>
          </w:tcPr>
          <w:p w14:paraId="6D1BB3ED" w14:textId="77777777" w:rsidR="00EE3357" w:rsidRDefault="00000000">
            <w:pPr>
              <w:spacing w:after="0"/>
              <w:jc w:val="left"/>
            </w:pPr>
            <w:r>
              <w:rPr>
                <w:sz w:val="16"/>
              </w:rPr>
              <w:t>Sponsor visibility; recommendation diversity; audit findings</w:t>
            </w:r>
          </w:p>
        </w:tc>
        <w:tc>
          <w:tcPr>
            <w:tcW w:w="944" w:type="pct"/>
            <w:tcMar>
              <w:top w:w="70" w:type="dxa"/>
              <w:left w:w="80" w:type="dxa"/>
              <w:bottom w:w="70" w:type="dxa"/>
              <w:right w:w="80" w:type="dxa"/>
            </w:tcMar>
            <w:vAlign w:val="center"/>
          </w:tcPr>
          <w:p w14:paraId="5AD28AC7" w14:textId="77777777" w:rsidR="00EE3357" w:rsidRDefault="00000000">
            <w:pPr>
              <w:spacing w:after="0"/>
              <w:jc w:val="left"/>
            </w:pPr>
            <w:r w:rsidRPr="00083F77">
              <w:rPr>
                <w:sz w:val="16"/>
                <w:lang w:val="nl-BE"/>
              </w:rPr>
              <w:t xml:space="preserve">Rotz et al. (2019); van der Burg et al. </w:t>
            </w:r>
            <w:r>
              <w:rPr>
                <w:sz w:val="16"/>
              </w:rPr>
              <w:t>(2019)</w:t>
            </w:r>
          </w:p>
        </w:tc>
      </w:tr>
      <w:tr w:rsidR="00EE3357" w14:paraId="03D4C0EC" w14:textId="77777777" w:rsidTr="00C97D6B">
        <w:trPr>
          <w:jc w:val="center"/>
        </w:trPr>
        <w:tc>
          <w:tcPr>
            <w:tcW w:w="734" w:type="pct"/>
            <w:tcMar>
              <w:top w:w="70" w:type="dxa"/>
              <w:left w:w="80" w:type="dxa"/>
              <w:bottom w:w="70" w:type="dxa"/>
              <w:right w:w="80" w:type="dxa"/>
            </w:tcMar>
            <w:vAlign w:val="center"/>
          </w:tcPr>
          <w:p w14:paraId="03A9C745" w14:textId="77777777" w:rsidR="00EE3357" w:rsidRDefault="00000000">
            <w:pPr>
              <w:spacing w:after="0"/>
              <w:jc w:val="center"/>
            </w:pPr>
            <w:r>
              <w:rPr>
                <w:sz w:val="16"/>
              </w:rPr>
              <w:t>Loss of data control</w:t>
            </w:r>
          </w:p>
        </w:tc>
        <w:tc>
          <w:tcPr>
            <w:tcW w:w="1084" w:type="pct"/>
            <w:tcMar>
              <w:top w:w="70" w:type="dxa"/>
              <w:left w:w="80" w:type="dxa"/>
              <w:bottom w:w="70" w:type="dxa"/>
              <w:right w:w="80" w:type="dxa"/>
            </w:tcMar>
            <w:vAlign w:val="center"/>
          </w:tcPr>
          <w:p w14:paraId="234E55B2" w14:textId="77777777" w:rsidR="00EE3357" w:rsidRDefault="00000000">
            <w:pPr>
              <w:spacing w:after="0"/>
              <w:jc w:val="left"/>
            </w:pPr>
            <w:r>
              <w:rPr>
                <w:sz w:val="16"/>
              </w:rPr>
              <w:t>Broad consent, secondary use and weak portability</w:t>
            </w:r>
          </w:p>
        </w:tc>
        <w:tc>
          <w:tcPr>
            <w:tcW w:w="1154" w:type="pct"/>
            <w:tcMar>
              <w:top w:w="70" w:type="dxa"/>
              <w:left w:w="80" w:type="dxa"/>
              <w:bottom w:w="70" w:type="dxa"/>
              <w:right w:w="80" w:type="dxa"/>
            </w:tcMar>
            <w:vAlign w:val="center"/>
          </w:tcPr>
          <w:p w14:paraId="0F3A46EA" w14:textId="77777777" w:rsidR="00EE3357" w:rsidRDefault="00000000">
            <w:pPr>
              <w:spacing w:after="0"/>
              <w:jc w:val="left"/>
            </w:pPr>
            <w:r>
              <w:rPr>
                <w:sz w:val="16"/>
              </w:rPr>
              <w:t>Purpose limitation, access logs, correction, deletion and portability</w:t>
            </w:r>
          </w:p>
        </w:tc>
        <w:tc>
          <w:tcPr>
            <w:tcW w:w="1084" w:type="pct"/>
            <w:tcMar>
              <w:top w:w="70" w:type="dxa"/>
              <w:left w:w="80" w:type="dxa"/>
              <w:bottom w:w="70" w:type="dxa"/>
              <w:right w:w="80" w:type="dxa"/>
            </w:tcMar>
            <w:vAlign w:val="center"/>
          </w:tcPr>
          <w:p w14:paraId="49BF29CB" w14:textId="77777777" w:rsidR="00EE3357" w:rsidRDefault="00000000">
            <w:pPr>
              <w:spacing w:after="0"/>
              <w:jc w:val="left"/>
            </w:pPr>
            <w:r>
              <w:rPr>
                <w:sz w:val="16"/>
              </w:rPr>
              <w:t>Time to export/correct data; documented secondary uses</w:t>
            </w:r>
          </w:p>
        </w:tc>
        <w:tc>
          <w:tcPr>
            <w:tcW w:w="944" w:type="pct"/>
            <w:tcMar>
              <w:top w:w="70" w:type="dxa"/>
              <w:left w:w="80" w:type="dxa"/>
              <w:bottom w:w="70" w:type="dxa"/>
              <w:right w:w="80" w:type="dxa"/>
            </w:tcMar>
            <w:vAlign w:val="center"/>
          </w:tcPr>
          <w:p w14:paraId="45B31FB8" w14:textId="77777777" w:rsidR="00EE3357" w:rsidRDefault="00000000">
            <w:pPr>
              <w:spacing w:after="0"/>
              <w:jc w:val="left"/>
            </w:pPr>
            <w:r w:rsidRPr="00083F77">
              <w:rPr>
                <w:sz w:val="16"/>
                <w:lang w:val="nl-BE"/>
              </w:rPr>
              <w:t xml:space="preserve">Amar et al. (2026); Jakku et al. </w:t>
            </w:r>
            <w:r>
              <w:rPr>
                <w:sz w:val="16"/>
              </w:rPr>
              <w:t>(2019)</w:t>
            </w:r>
          </w:p>
        </w:tc>
      </w:tr>
      <w:tr w:rsidR="00EE3357" w14:paraId="0572D7CC" w14:textId="77777777" w:rsidTr="00C97D6B">
        <w:trPr>
          <w:jc w:val="center"/>
        </w:trPr>
        <w:tc>
          <w:tcPr>
            <w:tcW w:w="734" w:type="pct"/>
            <w:tcMar>
              <w:top w:w="70" w:type="dxa"/>
              <w:left w:w="80" w:type="dxa"/>
              <w:bottom w:w="70" w:type="dxa"/>
              <w:right w:w="80" w:type="dxa"/>
            </w:tcMar>
            <w:vAlign w:val="center"/>
          </w:tcPr>
          <w:p w14:paraId="13F9C081" w14:textId="77777777" w:rsidR="00EE3357" w:rsidRDefault="00000000">
            <w:pPr>
              <w:spacing w:after="0"/>
              <w:jc w:val="center"/>
            </w:pPr>
            <w:r>
              <w:rPr>
                <w:sz w:val="16"/>
              </w:rPr>
              <w:lastRenderedPageBreak/>
              <w:t>De-skilling and symbolic oversight</w:t>
            </w:r>
          </w:p>
        </w:tc>
        <w:tc>
          <w:tcPr>
            <w:tcW w:w="1084" w:type="pct"/>
            <w:tcMar>
              <w:top w:w="70" w:type="dxa"/>
              <w:left w:w="80" w:type="dxa"/>
              <w:bottom w:w="70" w:type="dxa"/>
              <w:right w:w="80" w:type="dxa"/>
            </w:tcMar>
            <w:vAlign w:val="center"/>
          </w:tcPr>
          <w:p w14:paraId="6F5AD320" w14:textId="77777777" w:rsidR="00EE3357" w:rsidRDefault="00000000">
            <w:pPr>
              <w:spacing w:after="0"/>
              <w:jc w:val="left"/>
            </w:pPr>
            <w:r>
              <w:rPr>
                <w:sz w:val="16"/>
              </w:rPr>
              <w:t>Professionals become passive approvers of automated outputs</w:t>
            </w:r>
          </w:p>
        </w:tc>
        <w:tc>
          <w:tcPr>
            <w:tcW w:w="1154" w:type="pct"/>
            <w:tcMar>
              <w:top w:w="70" w:type="dxa"/>
              <w:left w:w="80" w:type="dxa"/>
              <w:bottom w:w="70" w:type="dxa"/>
              <w:right w:w="80" w:type="dxa"/>
            </w:tcMar>
            <w:vAlign w:val="center"/>
          </w:tcPr>
          <w:p w14:paraId="0A6270A8" w14:textId="77777777" w:rsidR="00EE3357" w:rsidRDefault="00000000">
            <w:pPr>
              <w:spacing w:after="0"/>
              <w:jc w:val="left"/>
            </w:pPr>
            <w:r>
              <w:rPr>
                <w:sz w:val="16"/>
              </w:rPr>
              <w:t>Training, protected discretion and workload-aware review</w:t>
            </w:r>
          </w:p>
        </w:tc>
        <w:tc>
          <w:tcPr>
            <w:tcW w:w="1084" w:type="pct"/>
            <w:tcMar>
              <w:top w:w="70" w:type="dxa"/>
              <w:left w:w="80" w:type="dxa"/>
              <w:bottom w:w="70" w:type="dxa"/>
              <w:right w:w="80" w:type="dxa"/>
            </w:tcMar>
            <w:vAlign w:val="center"/>
          </w:tcPr>
          <w:p w14:paraId="7D88A496" w14:textId="77777777" w:rsidR="00EE3357" w:rsidRDefault="00000000">
            <w:pPr>
              <w:spacing w:after="0"/>
              <w:jc w:val="left"/>
            </w:pPr>
            <w:r>
              <w:rPr>
                <w:sz w:val="16"/>
              </w:rPr>
              <w:t>Override rate with reasons; competence assessment; follow-up quality</w:t>
            </w:r>
          </w:p>
        </w:tc>
        <w:tc>
          <w:tcPr>
            <w:tcW w:w="944" w:type="pct"/>
            <w:tcMar>
              <w:top w:w="70" w:type="dxa"/>
              <w:left w:w="80" w:type="dxa"/>
              <w:bottom w:w="70" w:type="dxa"/>
              <w:right w:w="80" w:type="dxa"/>
            </w:tcMar>
            <w:vAlign w:val="center"/>
          </w:tcPr>
          <w:p w14:paraId="7E1EFA3C" w14:textId="77777777" w:rsidR="00EE3357" w:rsidRDefault="00000000">
            <w:pPr>
              <w:spacing w:after="0"/>
              <w:jc w:val="left"/>
            </w:pPr>
            <w:r w:rsidRPr="00083F77">
              <w:rPr>
                <w:sz w:val="16"/>
                <w:lang w:val="nl-BE"/>
              </w:rPr>
              <w:t xml:space="preserve">Fielke et al. (2020); Klerkx et al. </w:t>
            </w:r>
            <w:r>
              <w:rPr>
                <w:sz w:val="16"/>
              </w:rPr>
              <w:t>(2019)</w:t>
            </w:r>
          </w:p>
        </w:tc>
      </w:tr>
      <w:tr w:rsidR="00EE3357" w:rsidRPr="00083F77" w14:paraId="55DDAB4A" w14:textId="77777777" w:rsidTr="00C97D6B">
        <w:trPr>
          <w:jc w:val="center"/>
        </w:trPr>
        <w:tc>
          <w:tcPr>
            <w:tcW w:w="734" w:type="pct"/>
            <w:tcMar>
              <w:top w:w="70" w:type="dxa"/>
              <w:left w:w="80" w:type="dxa"/>
              <w:bottom w:w="70" w:type="dxa"/>
              <w:right w:w="80" w:type="dxa"/>
            </w:tcMar>
            <w:vAlign w:val="center"/>
          </w:tcPr>
          <w:p w14:paraId="21CD544D" w14:textId="77777777" w:rsidR="00EE3357" w:rsidRDefault="00000000">
            <w:pPr>
              <w:spacing w:after="0"/>
              <w:jc w:val="center"/>
            </w:pPr>
            <w:proofErr w:type="spellStart"/>
            <w:r>
              <w:rPr>
                <w:sz w:val="16"/>
              </w:rPr>
              <w:t>Marginalisation</w:t>
            </w:r>
            <w:proofErr w:type="spellEnd"/>
            <w:r>
              <w:rPr>
                <w:sz w:val="16"/>
              </w:rPr>
              <w:t xml:space="preserve"> of local knowledge</w:t>
            </w:r>
          </w:p>
        </w:tc>
        <w:tc>
          <w:tcPr>
            <w:tcW w:w="1084" w:type="pct"/>
            <w:tcMar>
              <w:top w:w="70" w:type="dxa"/>
              <w:left w:w="80" w:type="dxa"/>
              <w:bottom w:w="70" w:type="dxa"/>
              <w:right w:w="80" w:type="dxa"/>
            </w:tcMar>
            <w:vAlign w:val="center"/>
          </w:tcPr>
          <w:p w14:paraId="5D27C15F" w14:textId="77777777" w:rsidR="00EE3357" w:rsidRDefault="00000000">
            <w:pPr>
              <w:spacing w:after="0"/>
              <w:jc w:val="left"/>
            </w:pPr>
            <w:r>
              <w:rPr>
                <w:sz w:val="16"/>
              </w:rPr>
              <w:t>Only codified variables and formal categories enter the system</w:t>
            </w:r>
          </w:p>
        </w:tc>
        <w:tc>
          <w:tcPr>
            <w:tcW w:w="1154" w:type="pct"/>
            <w:tcMar>
              <w:top w:w="70" w:type="dxa"/>
              <w:left w:w="80" w:type="dxa"/>
              <w:bottom w:w="70" w:type="dxa"/>
              <w:right w:w="80" w:type="dxa"/>
            </w:tcMar>
            <w:vAlign w:val="center"/>
          </w:tcPr>
          <w:p w14:paraId="59324A94" w14:textId="77777777" w:rsidR="00EE3357" w:rsidRDefault="00000000">
            <w:pPr>
              <w:spacing w:after="0"/>
              <w:jc w:val="left"/>
            </w:pPr>
            <w:r>
              <w:rPr>
                <w:sz w:val="16"/>
              </w:rPr>
              <w:t>Participatory taxonomy, outcome feedback and dispute documentation</w:t>
            </w:r>
          </w:p>
        </w:tc>
        <w:tc>
          <w:tcPr>
            <w:tcW w:w="1084" w:type="pct"/>
            <w:tcMar>
              <w:top w:w="70" w:type="dxa"/>
              <w:left w:w="80" w:type="dxa"/>
              <w:bottom w:w="70" w:type="dxa"/>
              <w:right w:w="80" w:type="dxa"/>
            </w:tcMar>
            <w:vAlign w:val="center"/>
          </w:tcPr>
          <w:p w14:paraId="7963ED46" w14:textId="77777777" w:rsidR="00EE3357" w:rsidRDefault="00000000">
            <w:pPr>
              <w:spacing w:after="0"/>
              <w:jc w:val="left"/>
            </w:pPr>
            <w:r>
              <w:rPr>
                <w:sz w:val="16"/>
              </w:rPr>
              <w:t>Local categories represented; corrections incorporated</w:t>
            </w:r>
          </w:p>
        </w:tc>
        <w:tc>
          <w:tcPr>
            <w:tcW w:w="944" w:type="pct"/>
            <w:tcMar>
              <w:top w:w="70" w:type="dxa"/>
              <w:left w:w="80" w:type="dxa"/>
              <w:bottom w:w="70" w:type="dxa"/>
              <w:right w:w="80" w:type="dxa"/>
            </w:tcMar>
            <w:vAlign w:val="center"/>
          </w:tcPr>
          <w:p w14:paraId="09928AA6" w14:textId="77777777" w:rsidR="00EE3357" w:rsidRPr="00083F77" w:rsidRDefault="00000000">
            <w:pPr>
              <w:spacing w:after="0"/>
              <w:jc w:val="left"/>
              <w:rPr>
                <w:lang w:val="nl-BE"/>
              </w:rPr>
            </w:pPr>
            <w:r w:rsidRPr="00083F77">
              <w:rPr>
                <w:sz w:val="16"/>
                <w:lang w:val="nl-BE"/>
              </w:rPr>
              <w:t>Cook et al. (2021); Wijeratne &amp; De Silva (2024)</w:t>
            </w:r>
          </w:p>
        </w:tc>
      </w:tr>
    </w:tbl>
    <w:p w14:paraId="34011D6F" w14:textId="77777777" w:rsidR="00EE3357" w:rsidRDefault="00000000">
      <w:pPr>
        <w:spacing w:before="60" w:after="140"/>
      </w:pPr>
      <w:r>
        <w:rPr>
          <w:i/>
          <w:sz w:val="17"/>
        </w:rPr>
        <w:t xml:space="preserve">Note. </w:t>
      </w:r>
      <w:r>
        <w:rPr>
          <w:sz w:val="17"/>
        </w:rPr>
        <w:t xml:space="preserve">Indicators are examples for </w:t>
      </w:r>
      <w:proofErr w:type="spellStart"/>
      <w:r>
        <w:rPr>
          <w:sz w:val="17"/>
        </w:rPr>
        <w:t>programme</w:t>
      </w:r>
      <w:proofErr w:type="spellEnd"/>
      <w:r>
        <w:rPr>
          <w:sz w:val="17"/>
        </w:rPr>
        <w:t xml:space="preserve"> governance and require adaptation to local legal and institutional conditions.</w:t>
      </w:r>
    </w:p>
    <w:p w14:paraId="29D30637" w14:textId="77777777" w:rsidR="00EE3357" w:rsidRDefault="00000000">
      <w:pPr>
        <w:pStyle w:val="Heading1"/>
      </w:pPr>
      <w:r>
        <w:t>8. Designing Human–AI Extension Systems</w:t>
      </w:r>
    </w:p>
    <w:p w14:paraId="1FA22C1F" w14:textId="77777777" w:rsidR="00EE3357" w:rsidRDefault="00000000">
      <w:pPr>
        <w:pStyle w:val="Heading2"/>
      </w:pPr>
      <w:r>
        <w:t>8.1 Design Principles</w:t>
      </w:r>
    </w:p>
    <w:p w14:paraId="2B836752" w14:textId="77777777" w:rsidR="00EE3357" w:rsidRDefault="00000000">
      <w:r>
        <w:t xml:space="preserve">A defensible human–AI extension system begins with the advisory problem rather than the model. Designers should identify the decision, the consequences of error, existing sources of advice and the constraints that determine whether a farmer can act. Low-risk information retrieval may tolerate automated responses with clear sourcing. Diagnosis involving pesticide use, animal health, food safety or substantial expenditure should require stronger validation and human escalation. Risk tiering allows </w:t>
      </w:r>
      <w:proofErr w:type="spellStart"/>
      <w:r>
        <w:t>organisations</w:t>
      </w:r>
      <w:proofErr w:type="spellEnd"/>
      <w:r>
        <w:t xml:space="preserve"> to allocate oversight where it is most valuable instead of applying a generic ‘human in the loop’ label.</w:t>
      </w:r>
    </w:p>
    <w:p w14:paraId="6B1F8842" w14:textId="77777777" w:rsidR="00EE3357" w:rsidRDefault="00000000">
      <w:r>
        <w:t>The system should separate evidence, inference and recommendation. Evidence includes farmer observations, sensor readings, weather data and verified knowledge resources. Inference is the model’s interpretation, which should include uncertainty and alternatives. Recommendation combines inference with objectives, constraints and responsibility. Keeping these layers visible enables advisers and farmers to understand where disagreement occurs. It also reduces the risk that commercial preferences or policy priorities are presented as agronomic facts.</w:t>
      </w:r>
    </w:p>
    <w:p w14:paraId="33BB3327" w14:textId="77777777" w:rsidR="00EE3357" w:rsidRDefault="00000000">
      <w:r>
        <w:t xml:space="preserve">Interoperability is a governance principle as well as a technical one. Extension </w:t>
      </w:r>
      <w:proofErr w:type="spellStart"/>
      <w:r>
        <w:t>organisations</w:t>
      </w:r>
      <w:proofErr w:type="spellEnd"/>
      <w:r>
        <w:t xml:space="preserve"> should be able to move content, user records and feedback across systems without losing provenance. Farmers should not forfeit historical data when changing providers. Open standards can reduce lock-in, but they require investment in maintenance and cybersecurity. In LMIC public systems, shared services for identity, language resources, weather and agronomic content may prevent duplication. In HICs, portability and application programming interfaces can support independent advisers and competition.</w:t>
      </w:r>
    </w:p>
    <w:p w14:paraId="2FA63DA7" w14:textId="77777777" w:rsidR="00EE3357" w:rsidRDefault="00000000">
      <w:pPr>
        <w:pStyle w:val="Heading2"/>
      </w:pPr>
      <w:r>
        <w:t>8.2 Reconfiguring Extension Work</w:t>
      </w:r>
    </w:p>
    <w:p w14:paraId="17980B62" w14:textId="77777777" w:rsidR="00EE3357" w:rsidRDefault="00000000">
      <w:r>
        <w:t xml:space="preserve">AI changes professional roles rather than eliminating the need for expertise. Routine retrieval, translation and record </w:t>
      </w:r>
      <w:proofErr w:type="spellStart"/>
      <w:r>
        <w:t>summarisation</w:t>
      </w:r>
      <w:proofErr w:type="spellEnd"/>
      <w:r>
        <w:t xml:space="preserve"> can be automated, allowing agents to devote more time to field diagnosis, facilitation and complex cases. Advisers become validators of data, interpreters of uncertainty, coordinators of services and stewards of feedback. This role is more demanding than message delivery and requires training in data quality, model limitations, ethical practice and participatory methods. Workforce policy must </w:t>
      </w:r>
      <w:proofErr w:type="spellStart"/>
      <w:r>
        <w:t>recognise</w:t>
      </w:r>
      <w:proofErr w:type="spellEnd"/>
      <w:r>
        <w:t xml:space="preserve"> these competencies and avoid using AI primarily as a rationale for reducing staff.</w:t>
      </w:r>
    </w:p>
    <w:p w14:paraId="3EF96EAA" w14:textId="77777777" w:rsidR="00EE3357" w:rsidRDefault="00000000">
      <w:proofErr w:type="spellStart"/>
      <w:r>
        <w:t>Organisations</w:t>
      </w:r>
      <w:proofErr w:type="spellEnd"/>
      <w:r>
        <w:t xml:space="preserve"> also need new quality-assurance functions. Content experts should curate knowledge bases and update recommendations when regulations or evidence change. Data teams should monitor drift and subgroup performance. </w:t>
      </w:r>
      <w:proofErr w:type="spellStart"/>
      <w:r>
        <w:t>Programme</w:t>
      </w:r>
      <w:proofErr w:type="spellEnd"/>
      <w:r>
        <w:t xml:space="preserve"> managers should review complaints, overrides and escalation delays. Farmer </w:t>
      </w:r>
      <w:proofErr w:type="spellStart"/>
      <w:r>
        <w:t>organisations</w:t>
      </w:r>
      <w:proofErr w:type="spellEnd"/>
      <w:r>
        <w:t xml:space="preserve"> and independent experts should participate in oversight. These functions create costs that are often omitted from pilot budgets. Sustainable financing must cover maintenance, evaluation and human support, not only initial model development.</w:t>
      </w:r>
    </w:p>
    <w:p w14:paraId="02175537" w14:textId="77777777" w:rsidR="00EE3357" w:rsidRDefault="00000000">
      <w:r>
        <w:lastRenderedPageBreak/>
        <w:t>The allocation of liability should be explicit. A farmer should not be expected to determine whether harm arose from inaccurate data, a faulty model, outdated content or negligent implementation. Contracts and public rules should identify responsibilities among developers, service operators, extension agencies and professionals. Liability need not suppress innovation; it can create incentives for documentation, risk-appropriate deployment and rapid correction. In settings with weak legal redress, administrative grievance mechanisms and public reporting are especially important.</w:t>
      </w:r>
    </w:p>
    <w:p w14:paraId="542CD035" w14:textId="77777777" w:rsidR="00EE3357" w:rsidRDefault="00000000">
      <w:pPr>
        <w:pStyle w:val="Heading2"/>
      </w:pPr>
      <w:r>
        <w:t>8.3 Public Value and Business Models</w:t>
      </w:r>
    </w:p>
    <w:p w14:paraId="563C680F" w14:textId="77777777" w:rsidR="00EE3357" w:rsidRDefault="00000000">
      <w:r>
        <w:t xml:space="preserve">Business models shape advice. Subscription services may support maintenance but exclude poorer users. Input-linked services can </w:t>
      </w:r>
      <w:proofErr w:type="spellStart"/>
      <w:r>
        <w:t>subsidise</w:t>
      </w:r>
      <w:proofErr w:type="spellEnd"/>
      <w:r>
        <w:t xml:space="preserve"> access but create conflicts of interest. Data-</w:t>
      </w:r>
      <w:proofErr w:type="spellStart"/>
      <w:r>
        <w:t>monetisation</w:t>
      </w:r>
      <w:proofErr w:type="spellEnd"/>
      <w:r>
        <w:t xml:space="preserve"> models may make the service appear free while shifting costs to privacy and bargaining power. Public provision can </w:t>
      </w:r>
      <w:proofErr w:type="spellStart"/>
      <w:r>
        <w:t>prioritise</w:t>
      </w:r>
      <w:proofErr w:type="spellEnd"/>
      <w:r>
        <w:t xml:space="preserve"> inclusion but may face procurement rigidity and underinvestment. Cooperative models can align governance with farmer interests but require technical and managerial capacity. The appropriate arrangement is likely layered: public or collectively governed core infrastructure, competitive services at the interface, and enforceable standards for data and advice.</w:t>
      </w:r>
    </w:p>
    <w:p w14:paraId="6670DA05" w14:textId="77777777" w:rsidR="00EE3357" w:rsidRDefault="00000000">
      <w:r>
        <w:t>Public investment is particularly justified for non-rival knowledge resources, local-language corpora, pest and disease surveillance, environmental externalities and services to marginal areas. Yet public sponsorship does not guarantee public value. Procurement should specify interoperability, audit access, performance disaggregation, content independence and exit arrangements. Pilots should include a plan for institutional ownership and financing after external support ends. In HICs, public research and extension can provide independent benchmarks and validation that commercial platforms have weak incentives to supply.</w:t>
      </w:r>
    </w:p>
    <w:p w14:paraId="1268D21A" w14:textId="77777777" w:rsidR="00EE3357" w:rsidRDefault="00000000">
      <w:r>
        <w:t xml:space="preserve">The desired endpoint is not a universal platform. Agricultural diversity </w:t>
      </w:r>
      <w:proofErr w:type="spellStart"/>
      <w:r>
        <w:t>favours</w:t>
      </w:r>
      <w:proofErr w:type="spellEnd"/>
      <w:r>
        <w:t xml:space="preserve"> modular systems that can combine validated components and preserve local discretion. Common standards should support exchange, while governance should remain close enough to users to understand context. This balance reflects the best-fit logic of pluralistic extension and the network orientation of agricultural innovation systems (Birner et al., 2009; </w:t>
      </w:r>
      <w:proofErr w:type="spellStart"/>
      <w:r>
        <w:t>Fielke</w:t>
      </w:r>
      <w:proofErr w:type="spellEnd"/>
      <w:r>
        <w:t xml:space="preserve"> et al., 2020).</w:t>
      </w:r>
    </w:p>
    <w:p w14:paraId="5A50F294" w14:textId="77777777" w:rsidR="00EE3357" w:rsidRDefault="00000000">
      <w:pPr>
        <w:pStyle w:val="Heading1"/>
      </w:pPr>
      <w:r>
        <w:t>9. Future Directions</w:t>
      </w:r>
    </w:p>
    <w:p w14:paraId="6E770E60" w14:textId="77777777" w:rsidR="00EE3357" w:rsidRDefault="00000000">
      <w:r>
        <w:t>The immediate research priority is comparative effectiveness. Trials should distinguish the contribution of AI from improvements in content, connectivity, training and human support. At minimum, evaluations should compare conventional extension, non-AI digital delivery, AI with human review and more autonomous AI where ethically permissible. Cluster-</w:t>
      </w:r>
      <w:proofErr w:type="spellStart"/>
      <w:r>
        <w:t>randomised</w:t>
      </w:r>
      <w:proofErr w:type="spellEnd"/>
      <w:r>
        <w:t xml:space="preserve"> or stepped-wedge designs may suit </w:t>
      </w:r>
      <w:proofErr w:type="spellStart"/>
      <w:r>
        <w:t>organisational</w:t>
      </w:r>
      <w:proofErr w:type="spellEnd"/>
      <w:r>
        <w:t xml:space="preserve"> deployment, while embedded qualitative work should examine trust, appropriation and unintended effects. Follow-up should extend across seasons and include profitability, downside risk, </w:t>
      </w:r>
      <w:proofErr w:type="spellStart"/>
      <w:r>
        <w:t>labour</w:t>
      </w:r>
      <w:proofErr w:type="spellEnd"/>
      <w:r>
        <w:t>, environmental outcomes, service equity and farmer agency rather than stopping at engagement or stated satisfaction.</w:t>
      </w:r>
    </w:p>
    <w:p w14:paraId="686F6751" w14:textId="77777777" w:rsidR="00EE3357" w:rsidRDefault="00000000">
      <w:r>
        <w:t xml:space="preserve">A second priority is field validity under distribution shift. Agricultural models should be tested across varieties, production systems, languages, seasons, device types and user groups. Research protocols should report rejection rates and calibration, not only accuracy. Post-deployment studies should examine how errors are detected and corrected. Public benchmark datasets can support comparison, but they must be governed to protect sensitive data and avoid privileging easily documented systems. Federated or privacy-preserving approaches warrant evaluation where they can improve learning without </w:t>
      </w:r>
      <w:proofErr w:type="spellStart"/>
      <w:r>
        <w:t>centralising</w:t>
      </w:r>
      <w:proofErr w:type="spellEnd"/>
      <w:r>
        <w:t xml:space="preserve"> raw farm data, but their institutional costs and actual privacy guarantees should be assessed rather than assumed.</w:t>
      </w:r>
    </w:p>
    <w:p w14:paraId="14DB84BE" w14:textId="77777777" w:rsidR="00EE3357" w:rsidRDefault="00000000">
      <w:r>
        <w:t xml:space="preserve">A third priority is the economics and </w:t>
      </w:r>
      <w:proofErr w:type="spellStart"/>
      <w:r>
        <w:t>organisation</w:t>
      </w:r>
      <w:proofErr w:type="spellEnd"/>
      <w:r>
        <w:t xml:space="preserve"> of augmentation. Time-and-motion studies can determine whether AI reduces routine workload or creates new verification burdens. Research should compare advisers </w:t>
      </w:r>
      <w:r>
        <w:lastRenderedPageBreak/>
        <w:t xml:space="preserve">with different levels of experience and examine automation bias, skill development and professional identity. </w:t>
      </w:r>
      <w:proofErr w:type="spellStart"/>
      <w:r>
        <w:t>Organisational</w:t>
      </w:r>
      <w:proofErr w:type="spellEnd"/>
      <w:r>
        <w:t xml:space="preserve"> outcomes should include case resolution, visit targeting, response delay, continuity and quality of referral. These studies are necessary to move beyond speculative claims that AI will either replace extension agents or automatically make them more productive.</w:t>
      </w:r>
    </w:p>
    <w:p w14:paraId="4480193B" w14:textId="77777777" w:rsidR="00EE3357" w:rsidRDefault="00000000">
      <w:r>
        <w:t>Inclusion research should treat gender, age, language, disability, land tenure, farm scale and connectivity as interacting conditions. Experimental and longitudinal designs can test assisted-access models, voice interfaces, group mediation and offline functionality. Evaluation should identify who receives lower-quality answers and who drops out before obtaining usable advice. In LMIC contexts, particular attention is needed to shared-device use and the social consequences of data requests. In HIC contexts, research should examine smaller farms, tenants and regions outside high-connectivity corridors rather than treating commercial early adopters as representative.</w:t>
      </w:r>
    </w:p>
    <w:p w14:paraId="0154CCB8" w14:textId="77777777" w:rsidR="00EE3357" w:rsidRDefault="00000000">
      <w:r>
        <w:t xml:space="preserve">Governance research must become implementation-oriented. Comparative studies should test data cooperatives, trusts, portability mandates, procurement clauses, audit regimes and grievance mechanisms. Outcome measures should include bargaining power, user comprehension, correction time, incidence of </w:t>
      </w:r>
      <w:proofErr w:type="spellStart"/>
      <w:r>
        <w:t>unauthorised</w:t>
      </w:r>
      <w:proofErr w:type="spellEnd"/>
      <w:r>
        <w:t xml:space="preserve"> reuse and distribution of economic value. Ethics guidelines are useful starting points, but the gap between convergent principles and enforceable practice remains large (Jobin et al., 2019). Agricultural extension provides a valuable domain for studying how transparency, fairness and responsibility operate in recurrent, place-based decisions.</w:t>
      </w:r>
    </w:p>
    <w:p w14:paraId="2D3E71FB" w14:textId="77777777" w:rsidR="00EE3357" w:rsidRDefault="00000000">
      <w:r>
        <w:t xml:space="preserve">Research on knowledge integration should investigate how local observations enter AI systems without being appropriated or stripped of context. Participatory design studies can compare taxonomies, elicitation methods and feedback rights. The relevant outcome is not simply user acceptance but whether farmer and adviser contributions change the knowledge base and improve decisions. This line of work can connect AI development with the participatory and </w:t>
      </w:r>
      <w:proofErr w:type="spellStart"/>
      <w:r>
        <w:t>humanising</w:t>
      </w:r>
      <w:proofErr w:type="spellEnd"/>
      <w:r>
        <w:t xml:space="preserve"> traditions of extension rather than treating co-design as a late-stage interface exercise.</w:t>
      </w:r>
    </w:p>
    <w:p w14:paraId="4FA77A6F" w14:textId="77777777" w:rsidR="00EE3357" w:rsidRDefault="00000000">
      <w:r>
        <w:t>Longer-term research should examine system-level effects. AI may alter competition among advisory providers, concentrate control over farm data, change input demand and reshape public extension budgets. It may also enable new forms of cooperative learning and regional surveillance. These consequences require political-economy analysis, not only user studies. Cross-country comparisons should avoid treating HIC trajectories as a template for LMICs; instead, they should identify how different institutional arrangements allocate capability, risk and value. The most useful comparative question is which configurations sustain accurate, inclusive and contestable advice over time.</w:t>
      </w:r>
    </w:p>
    <w:p w14:paraId="6710C7E8" w14:textId="77777777" w:rsidR="00EE3357" w:rsidRDefault="00000000">
      <w:pPr>
        <w:pStyle w:val="Heading1"/>
      </w:pPr>
      <w:r>
        <w:t>10. Conclusions</w:t>
      </w:r>
    </w:p>
    <w:p w14:paraId="09D1EDB2" w14:textId="77777777" w:rsidR="00EE3357" w:rsidRDefault="00000000">
      <w:r>
        <w:t xml:space="preserve">Artificial intelligence can expand the reach and responsiveness of agricultural extension, but its contribution depends on the model of extension into which it is inserted. When AI is used to automate a linear technology-transfer approach, it can disseminate advice efficiently while concealing uncertainty, local constraints and commercial assumptions. When embedded in pluralistic and participatory systems, it can support diagnosis, translation, retrieval, triage, coordination and institutional learning. The evidence is strongest for bounded digital advisory services and for technical capabilities such as classification and prediction. Evidence that autonomous or generative systems improve sustained farm welfare, environmental performance or equity remains limited and context-dependent. LMIC and HIC systems differ in infrastructure, farm structure, data environments and business models, yet both face risks of exclusion, platform dependence, weak contestability and displacement of professional judgement. A human–AI extension ecology offers the most defensible direction. It treats farmers as decision-makers, extension </w:t>
      </w:r>
      <w:r>
        <w:lastRenderedPageBreak/>
        <w:t>professionals as contextual interpreters and accountable stewards, and AI as an augmentative component subject to local validation, uncertainty communication, escalation and data governance. The future of extension will therefore be determined less by whether AI becomes more capable than by whether institutions can align that capability with public value, farmer agency and ecological responsibility.</w:t>
      </w:r>
    </w:p>
    <w:p w14:paraId="5598740B" w14:textId="77777777" w:rsidR="00EE3357" w:rsidRDefault="00000000">
      <w:pPr>
        <w:pStyle w:val="Heading1"/>
      </w:pPr>
      <w:r>
        <w:t>11. Limitations</w:t>
      </w:r>
    </w:p>
    <w:p w14:paraId="54A8B48B" w14:textId="77777777" w:rsidR="00EE3357" w:rsidRDefault="00000000">
      <w:r>
        <w:t>As a critical narrative review, this synthesis is intrinsically vulnerable to selection and interpretive bias despite the use of transparent search concepts, source verification and structured appraisal. Direct access to subscription bibliographic databases was not available, and the review relied on accessible scholarly indexes, DOI records, journal pages and citation searching; relevant studies may therefore have been missed. Only English-language literature was included. The evidence base is highly heterogeneous in intervention, farm context, outcome and study design, preventing quantitative synthesis and limiting direct comparison between LMIC and HIC settings. Much of the causal evidence concerns earlier digital information services rather than contemporary generative AI, while technical AI studies often lack long-term field outcomes. Geographic coverage is uneven, and published studies may overrepresent successful pilots and better-connected users. The rapid pace of technological change also means that specific tools and business models may evolve faster than the peer-reviewed evidence.</w:t>
      </w:r>
    </w:p>
    <w:p w14:paraId="67231D93" w14:textId="77777777" w:rsidR="00B171FC" w:rsidRPr="000839CE" w:rsidRDefault="00B171FC" w:rsidP="00B171FC">
      <w:pPr>
        <w:spacing w:after="0" w:line="240" w:lineRule="auto"/>
        <w:rPr>
          <w:rFonts w:cs="Times New Roman"/>
          <w:b/>
        </w:rPr>
      </w:pPr>
      <w:r w:rsidRPr="000839CE">
        <w:rPr>
          <w:rFonts w:cs="Times New Roman"/>
          <w:b/>
        </w:rPr>
        <w:t>Declaration of AI Use</w:t>
      </w:r>
    </w:p>
    <w:p w14:paraId="49326B84" w14:textId="77777777" w:rsidR="00B171FC" w:rsidRPr="000839CE" w:rsidRDefault="00B171FC" w:rsidP="00B171FC">
      <w:pPr>
        <w:spacing w:after="0" w:line="240" w:lineRule="auto"/>
        <w:rPr>
          <w:rFonts w:cs="Times New Roman"/>
        </w:rPr>
      </w:pPr>
    </w:p>
    <w:p w14:paraId="2E537C00" w14:textId="77777777" w:rsidR="00B171FC" w:rsidRPr="000839CE" w:rsidRDefault="00B171FC" w:rsidP="00B171FC">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C8C5B2" w14:textId="77777777" w:rsidR="00B171FC" w:rsidRDefault="00B171FC"/>
    <w:p w14:paraId="58551242" w14:textId="77777777" w:rsidR="00EE3357" w:rsidRDefault="00000000">
      <w:pPr>
        <w:pStyle w:val="Heading1"/>
      </w:pPr>
      <w:r>
        <w:t>References</w:t>
      </w:r>
    </w:p>
    <w:p w14:paraId="715F4AAF" w14:textId="77777777" w:rsidR="00083F77" w:rsidRDefault="00083F77" w:rsidP="00083F77">
      <w:pPr>
        <w:pStyle w:val="pdq2pgselectionanchorcontainer"/>
        <w:ind w:left="540" w:hanging="540"/>
        <w:jc w:val="both"/>
      </w:pPr>
      <w:r>
        <w:t xml:space="preserve">Aker, J. C. (2011). Dial “A” for agriculture: A review of information and communication technologies for agricultural extension in developing countries. </w:t>
      </w:r>
      <w:r>
        <w:rPr>
          <w:rStyle w:val="Emphasis"/>
        </w:rPr>
        <w:t>Agricultural Economics, 42</w:t>
      </w:r>
      <w:r>
        <w:t xml:space="preserve">(6), 631–647. </w:t>
      </w:r>
      <w:hyperlink r:id="rId8" w:tgtFrame="_new" w:history="1">
        <w:r>
          <w:rPr>
            <w:rStyle w:val="Hyperlink"/>
          </w:rPr>
          <w:t>https://doi.org/10.1111/j.1574-0862.2011.00545.x</w:t>
        </w:r>
      </w:hyperlink>
    </w:p>
    <w:p w14:paraId="6FC11D33" w14:textId="77777777" w:rsidR="00083F77" w:rsidRDefault="00083F77" w:rsidP="00083F77">
      <w:pPr>
        <w:pStyle w:val="NormalWeb"/>
        <w:ind w:left="540" w:hanging="540"/>
        <w:jc w:val="both"/>
      </w:pPr>
      <w:r>
        <w:t xml:space="preserve">Aker, J. C., Ghosh, I., &amp; Burrell, J. (2016). The promise (and pitfalls) of ICT for agriculture initiatives. </w:t>
      </w:r>
      <w:r>
        <w:rPr>
          <w:rStyle w:val="Emphasis"/>
        </w:rPr>
        <w:t>Agricultural Economics, 47</w:t>
      </w:r>
      <w:r>
        <w:t xml:space="preserve">(S1), 35–48. </w:t>
      </w:r>
      <w:hyperlink r:id="rId9" w:tgtFrame="_new" w:history="1">
        <w:r>
          <w:rPr>
            <w:rStyle w:val="Hyperlink"/>
          </w:rPr>
          <w:t>https://doi.org/10.1111/agec.12301</w:t>
        </w:r>
      </w:hyperlink>
    </w:p>
    <w:p w14:paraId="5E8A10A8" w14:textId="77777777" w:rsidR="00083F77" w:rsidRDefault="00083F77" w:rsidP="00083F77">
      <w:pPr>
        <w:pStyle w:val="NormalWeb"/>
        <w:ind w:left="540" w:hanging="540"/>
        <w:jc w:val="both"/>
      </w:pPr>
      <w:r>
        <w:t xml:space="preserve">Amar, S., Bori, N., &amp; </w:t>
      </w:r>
      <w:proofErr w:type="spellStart"/>
      <w:r>
        <w:t>Cörvers</w:t>
      </w:r>
      <w:proofErr w:type="spellEnd"/>
      <w:r>
        <w:t xml:space="preserve">, R. (2026). From collection to control: Data governance, digital technologies, and the politics of inclusion in the </w:t>
      </w:r>
      <w:proofErr w:type="spellStart"/>
      <w:r>
        <w:t>digitalisation</w:t>
      </w:r>
      <w:proofErr w:type="spellEnd"/>
      <w:r>
        <w:t xml:space="preserve"> of smallholder agriculture. </w:t>
      </w:r>
      <w:r>
        <w:rPr>
          <w:rStyle w:val="Emphasis"/>
        </w:rPr>
        <w:t>Outlook on Agriculture, 55</w:t>
      </w:r>
      <w:r>
        <w:t xml:space="preserve">(1), 19–27. </w:t>
      </w:r>
      <w:hyperlink r:id="rId10" w:tgtFrame="_new" w:history="1">
        <w:r>
          <w:rPr>
            <w:rStyle w:val="Hyperlink"/>
          </w:rPr>
          <w:t>https://doi.org/10.1177/00307270251410944</w:t>
        </w:r>
      </w:hyperlink>
    </w:p>
    <w:p w14:paraId="71ADE2DB" w14:textId="77777777" w:rsidR="00083F77" w:rsidRDefault="00083F77" w:rsidP="00083F77">
      <w:pPr>
        <w:pStyle w:val="NormalWeb"/>
        <w:ind w:left="540" w:hanging="540"/>
        <w:jc w:val="both"/>
      </w:pPr>
      <w:r>
        <w:t xml:space="preserve">Anderson, J. R., &amp; Feder, G. (2004). Agricultural extension: Good intentions and hard realities. </w:t>
      </w:r>
      <w:r>
        <w:rPr>
          <w:rStyle w:val="Emphasis"/>
        </w:rPr>
        <w:t>The World Bank Research Observer, 19</w:t>
      </w:r>
      <w:r>
        <w:t xml:space="preserve">(1), 41–60. </w:t>
      </w:r>
      <w:hyperlink r:id="rId11" w:tgtFrame="_new" w:history="1">
        <w:r>
          <w:rPr>
            <w:rStyle w:val="Hyperlink"/>
          </w:rPr>
          <w:t>https://doi.org/10.1093/wbro/lkh013</w:t>
        </w:r>
      </w:hyperlink>
    </w:p>
    <w:p w14:paraId="36E4E5FE" w14:textId="77777777" w:rsidR="00083F77" w:rsidRDefault="00083F77" w:rsidP="00083F77">
      <w:pPr>
        <w:pStyle w:val="NormalWeb"/>
        <w:ind w:left="540" w:hanging="540"/>
        <w:jc w:val="both"/>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12" w:tgtFrame="_new" w:history="1">
        <w:r>
          <w:rPr>
            <w:rStyle w:val="Hyperlink"/>
          </w:rPr>
          <w:t>https://doi.org/10.1186/s41073-019-0064-8</w:t>
        </w:r>
      </w:hyperlink>
    </w:p>
    <w:p w14:paraId="065813A0" w14:textId="77777777" w:rsidR="00083F77" w:rsidRDefault="00083F77" w:rsidP="00083F77">
      <w:pPr>
        <w:pStyle w:val="NormalWeb"/>
        <w:ind w:left="540" w:hanging="540"/>
        <w:jc w:val="both"/>
      </w:pPr>
      <w:r>
        <w:lastRenderedPageBreak/>
        <w:t xml:space="preserve">Barnes, A. P., Soto, I., </w:t>
      </w:r>
      <w:proofErr w:type="spellStart"/>
      <w:r>
        <w:t>Eory</w:t>
      </w:r>
      <w:proofErr w:type="spellEnd"/>
      <w:r>
        <w:t xml:space="preserve">, V., Beck, B., </w:t>
      </w:r>
      <w:proofErr w:type="spellStart"/>
      <w:r>
        <w:t>Balafoutis</w:t>
      </w:r>
      <w:proofErr w:type="spellEnd"/>
      <w:r>
        <w:t xml:space="preserve">, A., Sánchez, B., </w:t>
      </w:r>
      <w:proofErr w:type="spellStart"/>
      <w:r>
        <w:t>Vangeyte</w:t>
      </w:r>
      <w:proofErr w:type="spellEnd"/>
      <w:r>
        <w:t xml:space="preserve">, J., Fountas, S., van der Wal, T., &amp; Gómez-Barbero, M. (2019). Exploring the adoption of precision agricultural technologies: A cross regional study of EU farmers. </w:t>
      </w:r>
      <w:r>
        <w:rPr>
          <w:rStyle w:val="Emphasis"/>
        </w:rPr>
        <w:t>Land Use Policy, 80</w:t>
      </w:r>
      <w:r>
        <w:t xml:space="preserve">, 163–174. </w:t>
      </w:r>
      <w:hyperlink r:id="rId13" w:tgtFrame="_new" w:history="1">
        <w:r>
          <w:rPr>
            <w:rStyle w:val="Hyperlink"/>
          </w:rPr>
          <w:t>https://doi.org/10.1016/j.landusepol.2018.10.004</w:t>
        </w:r>
      </w:hyperlink>
    </w:p>
    <w:p w14:paraId="7BF58623" w14:textId="77777777" w:rsidR="00083F77" w:rsidRDefault="00083F77" w:rsidP="00083F77">
      <w:pPr>
        <w:pStyle w:val="NormalWeb"/>
        <w:ind w:left="540" w:hanging="540"/>
        <w:jc w:val="both"/>
      </w:pPr>
      <w:r>
        <w:t xml:space="preserve">Basso, B., &amp; Antle, J. (2020). Digital agriculture to design sustainable agricultural systems. </w:t>
      </w:r>
      <w:r>
        <w:rPr>
          <w:rStyle w:val="Emphasis"/>
        </w:rPr>
        <w:t>Nature Sustainability, 3</w:t>
      </w:r>
      <w:r>
        <w:t xml:space="preserve">, 254–256. </w:t>
      </w:r>
      <w:hyperlink r:id="rId14" w:tgtFrame="_new" w:history="1">
        <w:r>
          <w:rPr>
            <w:rStyle w:val="Hyperlink"/>
          </w:rPr>
          <w:t>https://doi.org/10.1038/s41893-020-0510-0</w:t>
        </w:r>
      </w:hyperlink>
    </w:p>
    <w:p w14:paraId="1527E294" w14:textId="77777777" w:rsidR="00083F77" w:rsidRDefault="00083F77" w:rsidP="00083F77">
      <w:pPr>
        <w:pStyle w:val="NormalWeb"/>
        <w:ind w:left="540" w:hanging="540"/>
        <w:jc w:val="both"/>
      </w:pPr>
      <w:r>
        <w:t xml:space="preserve">Baul, T., Karlan, D., Toyama, K., &amp; </w:t>
      </w:r>
      <w:proofErr w:type="spellStart"/>
      <w:r>
        <w:t>Vasilaky</w:t>
      </w:r>
      <w:proofErr w:type="spellEnd"/>
      <w:r>
        <w:t xml:space="preserve">, K. (2024). Improving smallholder agriculture via video-based group extension. </w:t>
      </w:r>
      <w:r>
        <w:rPr>
          <w:rStyle w:val="Emphasis"/>
        </w:rPr>
        <w:t>Journal of Development Economics, 169</w:t>
      </w:r>
      <w:r>
        <w:t xml:space="preserve">, Article 103267. </w:t>
      </w:r>
      <w:hyperlink r:id="rId15" w:tgtFrame="_new" w:history="1">
        <w:r>
          <w:rPr>
            <w:rStyle w:val="Hyperlink"/>
          </w:rPr>
          <w:t>https://doi.org/10.1016/j.jdeveco.2024.103267</w:t>
        </w:r>
      </w:hyperlink>
    </w:p>
    <w:p w14:paraId="362C16F7" w14:textId="77777777" w:rsidR="00083F77" w:rsidRDefault="00083F77" w:rsidP="00083F77">
      <w:pPr>
        <w:pStyle w:val="NormalWeb"/>
        <w:ind w:left="540" w:hanging="540"/>
        <w:jc w:val="both"/>
      </w:pPr>
      <w:r>
        <w:t xml:space="preserve">Baumüller, H. (2018). The little we know: An exploratory literature review on the utility of mobile phone-enabled services for smallholder farmers. </w:t>
      </w:r>
      <w:r>
        <w:rPr>
          <w:rStyle w:val="Emphasis"/>
        </w:rPr>
        <w:t>Journal of International Development, 30</w:t>
      </w:r>
      <w:r>
        <w:t xml:space="preserve">(1), 134–154. </w:t>
      </w:r>
      <w:hyperlink r:id="rId16" w:tgtFrame="_new" w:history="1">
        <w:r>
          <w:rPr>
            <w:rStyle w:val="Hyperlink"/>
          </w:rPr>
          <w:t>https://doi.org/10.1002/jid.3314</w:t>
        </w:r>
      </w:hyperlink>
    </w:p>
    <w:p w14:paraId="5479DB58" w14:textId="77777777" w:rsidR="00083F77" w:rsidRDefault="00083F77" w:rsidP="00083F77">
      <w:pPr>
        <w:pStyle w:val="NormalWeb"/>
        <w:ind w:left="540" w:hanging="540"/>
        <w:jc w:val="both"/>
      </w:pPr>
      <w:r>
        <w:t xml:space="preserve">Birner, R., Davis, K., Pender, J., </w:t>
      </w:r>
      <w:proofErr w:type="spellStart"/>
      <w:r>
        <w:t>Nkonya</w:t>
      </w:r>
      <w:proofErr w:type="spellEnd"/>
      <w:r>
        <w:t xml:space="preserve">, E., </w:t>
      </w:r>
      <w:proofErr w:type="spellStart"/>
      <w:r>
        <w:t>Anandajayasekeram</w:t>
      </w:r>
      <w:proofErr w:type="spellEnd"/>
      <w:r>
        <w:t xml:space="preserve">, P., </w:t>
      </w:r>
      <w:proofErr w:type="spellStart"/>
      <w:r>
        <w:t>Ekboir</w:t>
      </w:r>
      <w:proofErr w:type="spellEnd"/>
      <w:r>
        <w:t xml:space="preserve">, J., </w:t>
      </w:r>
      <w:proofErr w:type="spellStart"/>
      <w:r>
        <w:t>Mbabu</w:t>
      </w:r>
      <w:proofErr w:type="spellEnd"/>
      <w:r>
        <w:t xml:space="preserve">, A., Spielman, D. J., Horna, D., Benin, S., &amp; Cohen, M. (2009). From best practice to best fit: A framework for designing and analyzing pluralistic agricultural advisory services worldwide. </w:t>
      </w:r>
      <w:r>
        <w:rPr>
          <w:rStyle w:val="Emphasis"/>
        </w:rPr>
        <w:t>The Journal of Agricultural Education and Extension, 15</w:t>
      </w:r>
      <w:r>
        <w:t xml:space="preserve">(4), 341–355. </w:t>
      </w:r>
      <w:hyperlink r:id="rId17" w:tgtFrame="_new" w:history="1">
        <w:r>
          <w:rPr>
            <w:rStyle w:val="Hyperlink"/>
          </w:rPr>
          <w:t>https://doi.org/10.1080/13892240903309595</w:t>
        </w:r>
      </w:hyperlink>
    </w:p>
    <w:p w14:paraId="61E0A219" w14:textId="77777777" w:rsidR="00083F77" w:rsidRDefault="00083F77" w:rsidP="00083F77">
      <w:pPr>
        <w:pStyle w:val="NormalWeb"/>
        <w:ind w:left="540" w:hanging="540"/>
        <w:jc w:val="both"/>
      </w:pPr>
      <w:r>
        <w:t xml:space="preserve">Bronson, K., &amp; Knezevic, I. (2016). Big data in food and agriculture. </w:t>
      </w:r>
      <w:r>
        <w:rPr>
          <w:rStyle w:val="Emphasis"/>
        </w:rPr>
        <w:t>Big Data &amp; Society, 3</w:t>
      </w:r>
      <w:r>
        <w:t xml:space="preserve">(1), Article 2053951716648174. </w:t>
      </w:r>
      <w:hyperlink r:id="rId18" w:tgtFrame="_new" w:history="1">
        <w:r>
          <w:rPr>
            <w:rStyle w:val="Hyperlink"/>
          </w:rPr>
          <w:t>https://doi.org/10.1177/2053951716648174</w:t>
        </w:r>
      </w:hyperlink>
    </w:p>
    <w:p w14:paraId="01B77ED7" w14:textId="77777777" w:rsidR="00083F77" w:rsidRDefault="00083F77" w:rsidP="00083F77">
      <w:pPr>
        <w:pStyle w:val="NormalWeb"/>
        <w:ind w:left="540" w:hanging="540"/>
        <w:jc w:val="both"/>
      </w:pPr>
      <w:r>
        <w:t xml:space="preserve">Coble, K. H., Mishra, A. K., Ferrell, S., &amp; Griffin, T. (2018). Big data in agriculture: A challenge for the future. </w:t>
      </w:r>
      <w:r>
        <w:rPr>
          <w:rStyle w:val="Emphasis"/>
        </w:rPr>
        <w:t>Applied Economic Perspectives and Policy, 40</w:t>
      </w:r>
      <w:r>
        <w:t xml:space="preserve">(1), 79–96. </w:t>
      </w:r>
      <w:hyperlink r:id="rId19" w:tgtFrame="_new" w:history="1">
        <w:r>
          <w:rPr>
            <w:rStyle w:val="Hyperlink"/>
          </w:rPr>
          <w:t>https://doi.org/10.1093/aepp/ppx056</w:t>
        </w:r>
      </w:hyperlink>
    </w:p>
    <w:p w14:paraId="7789A4D7" w14:textId="77777777" w:rsidR="00083F77" w:rsidRDefault="00083F77" w:rsidP="00083F77">
      <w:pPr>
        <w:pStyle w:val="NormalWeb"/>
        <w:ind w:left="540" w:hanging="540"/>
        <w:jc w:val="both"/>
      </w:pPr>
      <w:r>
        <w:t xml:space="preserve">Cook, B. R., </w:t>
      </w:r>
      <w:proofErr w:type="spellStart"/>
      <w:r>
        <w:t>Satizábal</w:t>
      </w:r>
      <w:proofErr w:type="spellEnd"/>
      <w:r>
        <w:t xml:space="preserve">, P., &amp; Curnow, J. (2021). </w:t>
      </w:r>
      <w:proofErr w:type="spellStart"/>
      <w:r>
        <w:t>Humanising</w:t>
      </w:r>
      <w:proofErr w:type="spellEnd"/>
      <w:r>
        <w:t xml:space="preserve"> agricultural extension: A review. </w:t>
      </w:r>
      <w:r>
        <w:rPr>
          <w:rStyle w:val="Emphasis"/>
        </w:rPr>
        <w:t>World Development, 140</w:t>
      </w:r>
      <w:r>
        <w:t xml:space="preserve">, Article 105337. </w:t>
      </w:r>
      <w:hyperlink r:id="rId20" w:tgtFrame="_new" w:history="1">
        <w:r>
          <w:rPr>
            <w:rStyle w:val="Hyperlink"/>
          </w:rPr>
          <w:t>https://doi.org/10.1016/j.worlddev.2020.105337</w:t>
        </w:r>
      </w:hyperlink>
    </w:p>
    <w:p w14:paraId="7685C8C9" w14:textId="77777777" w:rsidR="00083F77" w:rsidRDefault="00083F77" w:rsidP="00083F77">
      <w:pPr>
        <w:pStyle w:val="NormalWeb"/>
        <w:ind w:left="540" w:hanging="540"/>
        <w:jc w:val="both"/>
      </w:pPr>
      <w:r>
        <w:t xml:space="preserve">Fabregas, R., Kremer, M., &amp; </w:t>
      </w:r>
      <w:proofErr w:type="spellStart"/>
      <w:r>
        <w:t>Schilbach</w:t>
      </w:r>
      <w:proofErr w:type="spellEnd"/>
      <w:r>
        <w:t xml:space="preserve">, F. (2019). Realizing the potential of digital development: The case of agricultural advice. </w:t>
      </w:r>
      <w:r>
        <w:rPr>
          <w:rStyle w:val="Emphasis"/>
        </w:rPr>
        <w:t>Science, 366</w:t>
      </w:r>
      <w:r>
        <w:t xml:space="preserve">(6471), Article eaay3038. </w:t>
      </w:r>
      <w:hyperlink r:id="rId21" w:tgtFrame="_new" w:history="1">
        <w:r>
          <w:rPr>
            <w:rStyle w:val="Hyperlink"/>
          </w:rPr>
          <w:t>https://doi.org/10.1126/science.aay3038</w:t>
        </w:r>
      </w:hyperlink>
    </w:p>
    <w:p w14:paraId="0574C188" w14:textId="77777777" w:rsidR="00083F77" w:rsidRDefault="00083F77" w:rsidP="00083F77">
      <w:pPr>
        <w:pStyle w:val="NormalWeb"/>
        <w:ind w:left="540" w:hanging="540"/>
        <w:jc w:val="both"/>
      </w:pPr>
      <w:r>
        <w:t xml:space="preserve">Fafchamps, M., &amp; Minten, B. (2012). Impact of SMS-based agricultural information on Indian farmers. </w:t>
      </w:r>
      <w:r>
        <w:rPr>
          <w:rStyle w:val="Emphasis"/>
        </w:rPr>
        <w:t>The World Bank Economic Review, 26</w:t>
      </w:r>
      <w:r>
        <w:t xml:space="preserve">(3), 383–414. </w:t>
      </w:r>
      <w:hyperlink r:id="rId22" w:tgtFrame="_new" w:history="1">
        <w:r>
          <w:rPr>
            <w:rStyle w:val="Hyperlink"/>
          </w:rPr>
          <w:t>https://doi.org/10.1093/wber/lhr056</w:t>
        </w:r>
      </w:hyperlink>
    </w:p>
    <w:p w14:paraId="6B313148" w14:textId="77777777" w:rsidR="00083F77" w:rsidRDefault="00083F77" w:rsidP="00083F77">
      <w:pPr>
        <w:pStyle w:val="NormalWeb"/>
        <w:ind w:left="540" w:hanging="540"/>
        <w:jc w:val="both"/>
      </w:pPr>
      <w:r>
        <w:t>Cole, S. A., &amp; Fernando, A. N. (2021). ‘</w:t>
      </w:r>
      <w:proofErr w:type="spellStart"/>
      <w:r>
        <w:t>Mobile’izing</w:t>
      </w:r>
      <w:proofErr w:type="spellEnd"/>
      <w:r>
        <w:t xml:space="preserve"> agricultural advice: Technology adoption, diffusion and sustainability. </w:t>
      </w:r>
      <w:r>
        <w:rPr>
          <w:rStyle w:val="Emphasis"/>
        </w:rPr>
        <w:t>The Economic Journal, 131</w:t>
      </w:r>
      <w:r>
        <w:t xml:space="preserve">(633), 192–219. </w:t>
      </w:r>
      <w:hyperlink r:id="rId23" w:tgtFrame="_new" w:history="1">
        <w:r>
          <w:rPr>
            <w:rStyle w:val="Hyperlink"/>
          </w:rPr>
          <w:t>https://doi.org/10.1093/ej/ueaa084</w:t>
        </w:r>
      </w:hyperlink>
    </w:p>
    <w:p w14:paraId="00B34259" w14:textId="77777777" w:rsidR="00083F77" w:rsidRDefault="00083F77" w:rsidP="00083F77">
      <w:pPr>
        <w:pStyle w:val="NormalWeb"/>
        <w:ind w:left="540" w:hanging="540"/>
        <w:jc w:val="both"/>
      </w:pPr>
      <w:proofErr w:type="spellStart"/>
      <w:r>
        <w:t>Fielke</w:t>
      </w:r>
      <w:proofErr w:type="spellEnd"/>
      <w:r>
        <w:t xml:space="preserve">, S., Taylor, B. M., &amp; Jakku, E. (2020). </w:t>
      </w:r>
      <w:proofErr w:type="spellStart"/>
      <w:r>
        <w:t>Digitalisation</w:t>
      </w:r>
      <w:proofErr w:type="spellEnd"/>
      <w:r>
        <w:t xml:space="preserve"> of agricultural knowledge and advice networks: A state-of-the-art review. </w:t>
      </w:r>
      <w:r>
        <w:rPr>
          <w:rStyle w:val="Emphasis"/>
        </w:rPr>
        <w:t>Agricultural Systems, 180</w:t>
      </w:r>
      <w:r>
        <w:t xml:space="preserve">, Article 102763. </w:t>
      </w:r>
      <w:hyperlink r:id="rId24" w:tgtFrame="_new" w:history="1">
        <w:r>
          <w:rPr>
            <w:rStyle w:val="Hyperlink"/>
          </w:rPr>
          <w:t>https://doi.org/10.1016/j.agsy.2019.102763</w:t>
        </w:r>
      </w:hyperlink>
    </w:p>
    <w:p w14:paraId="78050321" w14:textId="77777777" w:rsidR="00083F77" w:rsidRDefault="00083F77" w:rsidP="00083F77">
      <w:pPr>
        <w:pStyle w:val="NormalWeb"/>
        <w:ind w:left="540" w:hanging="540"/>
        <w:jc w:val="both"/>
      </w:pPr>
      <w:r>
        <w:lastRenderedPageBreak/>
        <w:t xml:space="preserve">Gardezi, M., Joshi, B., Rizzo, D. M., Ryan, M., </w:t>
      </w:r>
      <w:proofErr w:type="spellStart"/>
      <w:r>
        <w:t>Prutzer</w:t>
      </w:r>
      <w:proofErr w:type="spellEnd"/>
      <w:r>
        <w:t xml:space="preserve">, E., Brugler, S., &amp; Dadkhah, A. (2024). Artificial intelligence in farming: Challenges and opportunities for building trust. </w:t>
      </w:r>
      <w:r>
        <w:rPr>
          <w:rStyle w:val="Emphasis"/>
        </w:rPr>
        <w:t>Agronomy Journal, 116</w:t>
      </w:r>
      <w:r>
        <w:t xml:space="preserve">(3), 1217–1228. </w:t>
      </w:r>
      <w:hyperlink r:id="rId25" w:tgtFrame="_new" w:history="1">
        <w:r>
          <w:rPr>
            <w:rStyle w:val="Hyperlink"/>
          </w:rPr>
          <w:t>https://doi.org/10.1002/agj2.21353</w:t>
        </w:r>
      </w:hyperlink>
    </w:p>
    <w:p w14:paraId="73560F09" w14:textId="77777777" w:rsidR="00083F77" w:rsidRDefault="00083F77" w:rsidP="00083F77">
      <w:pPr>
        <w:pStyle w:val="NormalWeb"/>
        <w:ind w:left="540" w:hanging="540"/>
        <w:jc w:val="both"/>
      </w:pPr>
      <w:r>
        <w:t xml:space="preserve">Gouthon, M., </w:t>
      </w:r>
      <w:proofErr w:type="spellStart"/>
      <w:r>
        <w:t>Gouroubera</w:t>
      </w:r>
      <w:proofErr w:type="spellEnd"/>
      <w:r>
        <w:t>, M. W., Tama-</w:t>
      </w:r>
      <w:proofErr w:type="spellStart"/>
      <w:r>
        <w:t>Imorou</w:t>
      </w:r>
      <w:proofErr w:type="spellEnd"/>
      <w:r>
        <w:t xml:space="preserve">, C., &amp; Moumouni-Moussa, I. (2024). Digital inequalities among smallholder farmers in Benin: Determinants of attitude, material access, skills and usage. </w:t>
      </w:r>
      <w:r>
        <w:rPr>
          <w:rStyle w:val="Emphasis"/>
        </w:rPr>
        <w:t>Information Development</w:t>
      </w:r>
      <w:r>
        <w:t xml:space="preserve">. Advance online publication. </w:t>
      </w:r>
      <w:hyperlink r:id="rId26" w:tgtFrame="_new" w:history="1">
        <w:r>
          <w:rPr>
            <w:rStyle w:val="Hyperlink"/>
          </w:rPr>
          <w:t>https://doi.org/10.1177/02666669241280411</w:t>
        </w:r>
      </w:hyperlink>
    </w:p>
    <w:p w14:paraId="478BB000" w14:textId="77777777" w:rsidR="00083F77" w:rsidRDefault="00083F77" w:rsidP="00083F77">
      <w:pPr>
        <w:pStyle w:val="NormalWeb"/>
        <w:ind w:left="540" w:hanging="540"/>
        <w:jc w:val="both"/>
      </w:pPr>
      <w:proofErr w:type="spellStart"/>
      <w:r>
        <w:t>Hackfort</w:t>
      </w:r>
      <w:proofErr w:type="spellEnd"/>
      <w:r>
        <w:t xml:space="preserve">, S. (2021). Patterns of inequalities in digital agriculture: A systematic literature review. </w:t>
      </w:r>
      <w:r>
        <w:rPr>
          <w:rStyle w:val="Emphasis"/>
        </w:rPr>
        <w:t>Sustainability, 13</w:t>
      </w:r>
      <w:r>
        <w:t xml:space="preserve">(22), Article 12345. </w:t>
      </w:r>
      <w:hyperlink r:id="rId27" w:tgtFrame="_new" w:history="1">
        <w:r>
          <w:rPr>
            <w:rStyle w:val="Hyperlink"/>
          </w:rPr>
          <w:t>https://doi.org/10.3390/su132212345</w:t>
        </w:r>
      </w:hyperlink>
    </w:p>
    <w:p w14:paraId="54EBC0D9" w14:textId="77777777" w:rsidR="00083F77" w:rsidRDefault="00083F77" w:rsidP="00083F77">
      <w:pPr>
        <w:pStyle w:val="NormalWeb"/>
        <w:ind w:left="540" w:hanging="540"/>
        <w:jc w:val="both"/>
      </w:pPr>
      <w:r>
        <w:t xml:space="preserve">High, C., Singh, N., &amp; Nemes, G. (2026). Artificial intelligence for agricultural extension: Supporting transformative learning among smallholder farmers. </w:t>
      </w:r>
      <w:r>
        <w:rPr>
          <w:rStyle w:val="Emphasis"/>
        </w:rPr>
        <w:t>Journal of Development Policy and Practice, 11</w:t>
      </w:r>
      <w:r>
        <w:t xml:space="preserve">(1), 61–80. </w:t>
      </w:r>
      <w:hyperlink r:id="rId28" w:tgtFrame="_new" w:history="1">
        <w:r>
          <w:rPr>
            <w:rStyle w:val="Hyperlink"/>
          </w:rPr>
          <w:t>https://doi.org/10.1177/24551333251345224</w:t>
        </w:r>
      </w:hyperlink>
    </w:p>
    <w:p w14:paraId="73521E4B" w14:textId="77777777" w:rsidR="00083F77" w:rsidRDefault="00083F77" w:rsidP="00083F77">
      <w:pPr>
        <w:pStyle w:val="NormalWeb"/>
        <w:ind w:left="540" w:hanging="540"/>
        <w:jc w:val="both"/>
      </w:pPr>
      <w:r>
        <w:t xml:space="preserve">Ingram, J., &amp; Maye, D. (2020). What are the implications of </w:t>
      </w:r>
      <w:proofErr w:type="spellStart"/>
      <w:r>
        <w:t>digitalisation</w:t>
      </w:r>
      <w:proofErr w:type="spellEnd"/>
      <w:r>
        <w:t xml:space="preserve"> for agricultural knowledge? </w:t>
      </w:r>
      <w:r>
        <w:rPr>
          <w:rStyle w:val="Emphasis"/>
        </w:rPr>
        <w:t>Frontiers in Sustainable Food Systems, 4</w:t>
      </w:r>
      <w:r>
        <w:t xml:space="preserve">, Article 66. </w:t>
      </w:r>
      <w:hyperlink r:id="rId29" w:tgtFrame="_new" w:history="1">
        <w:r>
          <w:rPr>
            <w:rStyle w:val="Hyperlink"/>
          </w:rPr>
          <w:t>https://doi.org/10.3389/fsufs.2020.00066</w:t>
        </w:r>
      </w:hyperlink>
    </w:p>
    <w:p w14:paraId="30611ECE" w14:textId="77777777" w:rsidR="00083F77" w:rsidRDefault="00083F77" w:rsidP="00083F77">
      <w:pPr>
        <w:pStyle w:val="NormalWeb"/>
        <w:ind w:left="540" w:hanging="540"/>
        <w:jc w:val="both"/>
      </w:pPr>
      <w:r>
        <w:t xml:space="preserve">Jakku, E., Taylor, B., Fleming, A., Mason, C., </w:t>
      </w:r>
      <w:proofErr w:type="spellStart"/>
      <w:r>
        <w:t>Fielke</w:t>
      </w:r>
      <w:proofErr w:type="spellEnd"/>
      <w:r>
        <w:t xml:space="preserve">, S., </w:t>
      </w:r>
      <w:proofErr w:type="spellStart"/>
      <w:r>
        <w:t>Sounness</w:t>
      </w:r>
      <w:proofErr w:type="spellEnd"/>
      <w:r>
        <w:t xml:space="preserve">, C., &amp; Thorburn, P. (2019). ‘If they don’t tell us what they do with it, why would we trust them?’ Trust, transparency and benefit-sharing in smart farming. </w:t>
      </w:r>
      <w:r>
        <w:rPr>
          <w:rStyle w:val="Emphasis"/>
        </w:rPr>
        <w:t>NJAS: Wageningen Journal of Life Sciences, 90–91</w:t>
      </w:r>
      <w:r>
        <w:t xml:space="preserve">, Article 100285. </w:t>
      </w:r>
      <w:hyperlink r:id="rId30" w:tgtFrame="_new" w:history="1">
        <w:r>
          <w:rPr>
            <w:rStyle w:val="Hyperlink"/>
          </w:rPr>
          <w:t>https://doi.org/10.1016/j.njas.2018.11.002</w:t>
        </w:r>
      </w:hyperlink>
    </w:p>
    <w:p w14:paraId="18E78C8C" w14:textId="77777777" w:rsidR="00083F77" w:rsidRDefault="00083F77" w:rsidP="00083F77">
      <w:pPr>
        <w:pStyle w:val="NormalWeb"/>
        <w:ind w:left="540" w:hanging="540"/>
        <w:jc w:val="both"/>
      </w:pPr>
      <w:r>
        <w:t xml:space="preserve">Jakku, E., Fleming, A., </w:t>
      </w:r>
      <w:proofErr w:type="spellStart"/>
      <w:r>
        <w:t>Fielke</w:t>
      </w:r>
      <w:proofErr w:type="spellEnd"/>
      <w:r>
        <w:t xml:space="preserve">, S., Snow, S., Malakar, Y., Cornish, G., Hay, R., &amp; Williams, L. (2024). Advisors as key partners for achieving adoption at scale: Embedding “My Climate View” into agricultural advisory networks. </w:t>
      </w:r>
      <w:r>
        <w:rPr>
          <w:rStyle w:val="Emphasis"/>
        </w:rPr>
        <w:t>Frontiers in Sustainable Food Systems, 8</w:t>
      </w:r>
      <w:r>
        <w:t xml:space="preserve">, Article 1455581. </w:t>
      </w:r>
      <w:hyperlink r:id="rId31" w:tgtFrame="_new" w:history="1">
        <w:r>
          <w:rPr>
            <w:rStyle w:val="Hyperlink"/>
          </w:rPr>
          <w:t>https://doi.org/10.3389/fsufs.2024.1455581</w:t>
        </w:r>
      </w:hyperlink>
    </w:p>
    <w:p w14:paraId="060783D2" w14:textId="77777777" w:rsidR="00083F77" w:rsidRDefault="00083F77" w:rsidP="00083F77">
      <w:pPr>
        <w:pStyle w:val="NormalWeb"/>
        <w:ind w:left="540" w:hanging="540"/>
        <w:jc w:val="both"/>
      </w:pPr>
      <w:r>
        <w:t xml:space="preserve">Jobin, A., Ienca, M., &amp; </w:t>
      </w:r>
      <w:proofErr w:type="spellStart"/>
      <w:r>
        <w:t>Vayena</w:t>
      </w:r>
      <w:proofErr w:type="spellEnd"/>
      <w:r>
        <w:t xml:space="preserve">, E. (2019). The global landscape of AI ethics guidelines. </w:t>
      </w:r>
      <w:r>
        <w:rPr>
          <w:rStyle w:val="Emphasis"/>
        </w:rPr>
        <w:t>Nature Machine Intelligence, 1</w:t>
      </w:r>
      <w:r>
        <w:t xml:space="preserve">, 389–399. </w:t>
      </w:r>
      <w:hyperlink r:id="rId32" w:tgtFrame="_new" w:history="1">
        <w:r>
          <w:rPr>
            <w:rStyle w:val="Hyperlink"/>
          </w:rPr>
          <w:t>https://doi.org/10.1038/s42256-019-0088-2</w:t>
        </w:r>
      </w:hyperlink>
    </w:p>
    <w:p w14:paraId="6958C22A" w14:textId="77777777" w:rsidR="00083F77" w:rsidRDefault="00083F77" w:rsidP="00083F77">
      <w:pPr>
        <w:pStyle w:val="NormalWeb"/>
        <w:ind w:left="540" w:hanging="540"/>
        <w:jc w:val="both"/>
      </w:pPr>
      <w:proofErr w:type="spellStart"/>
      <w:r>
        <w:t>Kamilaris</w:t>
      </w:r>
      <w:proofErr w:type="spellEnd"/>
      <w:r>
        <w:t xml:space="preserve">, A., &amp; </w:t>
      </w:r>
      <w:proofErr w:type="spellStart"/>
      <w:r>
        <w:t>Prenafeta-Boldú</w:t>
      </w:r>
      <w:proofErr w:type="spellEnd"/>
      <w:r>
        <w:t xml:space="preserve">, F. X. (2018). Deep learning in agriculture: A survey. </w:t>
      </w:r>
      <w:r>
        <w:rPr>
          <w:rStyle w:val="Emphasis"/>
        </w:rPr>
        <w:t>Computers and Electronics in Agriculture, 147</w:t>
      </w:r>
      <w:r>
        <w:t xml:space="preserve">, 70–90. </w:t>
      </w:r>
      <w:hyperlink r:id="rId33" w:tgtFrame="_new" w:history="1">
        <w:r>
          <w:rPr>
            <w:rStyle w:val="Hyperlink"/>
          </w:rPr>
          <w:t>https://doi.org/10.1016/j.compag.2018.02.016</w:t>
        </w:r>
      </w:hyperlink>
    </w:p>
    <w:p w14:paraId="0D1DABEA" w14:textId="77777777" w:rsidR="00083F77" w:rsidRDefault="00083F77" w:rsidP="00083F77">
      <w:pPr>
        <w:pStyle w:val="NormalWeb"/>
        <w:ind w:left="540" w:hanging="540"/>
        <w:jc w:val="both"/>
      </w:pPr>
      <w:r>
        <w:t xml:space="preserve">Klerkx, L., Jakku, E., &amp; Labarthe, P. (2019). A review of social science on digital agriculture, smart farming and agriculture 4.0: New contributions and a future research agenda. </w:t>
      </w:r>
      <w:r>
        <w:rPr>
          <w:rStyle w:val="Emphasis"/>
        </w:rPr>
        <w:t>NJAS: Wageningen Journal of Life Sciences, 90–91</w:t>
      </w:r>
      <w:r>
        <w:t xml:space="preserve">, Article 100315. </w:t>
      </w:r>
      <w:hyperlink r:id="rId34" w:tgtFrame="_new" w:history="1">
        <w:r>
          <w:rPr>
            <w:rStyle w:val="Hyperlink"/>
          </w:rPr>
          <w:t>https://doi.org/10.1016/j.njas.2019.100315</w:t>
        </w:r>
      </w:hyperlink>
    </w:p>
    <w:p w14:paraId="4658DDA4" w14:textId="77777777" w:rsidR="00083F77" w:rsidRDefault="00083F77" w:rsidP="00083F77">
      <w:pPr>
        <w:pStyle w:val="NormalWeb"/>
        <w:ind w:left="540" w:hanging="540"/>
        <w:jc w:val="both"/>
      </w:pPr>
      <w:r w:rsidRPr="00083F77">
        <w:rPr>
          <w:lang w:val="nl-BE"/>
        </w:rPr>
        <w:t xml:space="preserve">Klerkx, L., Schut, M., Leeuwis, C., &amp; Kilelu, C. (2012). </w:t>
      </w:r>
      <w:r>
        <w:t xml:space="preserve">Advances in knowledge brokering in the agricultural sector: Towards innovation system facilitation. </w:t>
      </w:r>
      <w:r>
        <w:rPr>
          <w:rStyle w:val="Emphasis"/>
        </w:rPr>
        <w:t>IDS Bulletin, 43</w:t>
      </w:r>
      <w:r>
        <w:t xml:space="preserve">(5), 53–60. </w:t>
      </w:r>
      <w:hyperlink r:id="rId35" w:tgtFrame="_new" w:history="1">
        <w:r>
          <w:rPr>
            <w:rStyle w:val="Hyperlink"/>
          </w:rPr>
          <w:t>https://doi.org/10.1111/j.1759-5436.2012.00363.x</w:t>
        </w:r>
      </w:hyperlink>
    </w:p>
    <w:p w14:paraId="5A3BA7CE" w14:textId="77777777" w:rsidR="00083F77" w:rsidRDefault="00083F77" w:rsidP="00083F77">
      <w:pPr>
        <w:pStyle w:val="NormalWeb"/>
        <w:ind w:left="540" w:hanging="540"/>
        <w:jc w:val="both"/>
      </w:pPr>
      <w:r>
        <w:t xml:space="preserve">Liakos, K. G., Busato, P., </w:t>
      </w:r>
      <w:proofErr w:type="spellStart"/>
      <w:r>
        <w:t>Moshou</w:t>
      </w:r>
      <w:proofErr w:type="spellEnd"/>
      <w:r>
        <w:t xml:space="preserve">, D., Pearson, S., &amp; </w:t>
      </w:r>
      <w:proofErr w:type="spellStart"/>
      <w:r>
        <w:t>Bochtis</w:t>
      </w:r>
      <w:proofErr w:type="spellEnd"/>
      <w:r>
        <w:t xml:space="preserve">, D. (2018). Machine learning in agriculture: A review. </w:t>
      </w:r>
      <w:r>
        <w:rPr>
          <w:rStyle w:val="Emphasis"/>
        </w:rPr>
        <w:t>Sensors, 18</w:t>
      </w:r>
      <w:r>
        <w:t xml:space="preserve">(8), Article 2674. </w:t>
      </w:r>
      <w:hyperlink r:id="rId36" w:tgtFrame="_new" w:history="1">
        <w:r>
          <w:rPr>
            <w:rStyle w:val="Hyperlink"/>
          </w:rPr>
          <w:t>https://doi.org/10.3390/s18082674</w:t>
        </w:r>
      </w:hyperlink>
    </w:p>
    <w:p w14:paraId="3DA171C3" w14:textId="77777777" w:rsidR="00083F77" w:rsidRDefault="00083F77" w:rsidP="00083F77">
      <w:pPr>
        <w:pStyle w:val="NormalWeb"/>
        <w:ind w:left="540" w:hanging="540"/>
        <w:jc w:val="both"/>
      </w:pPr>
      <w:r>
        <w:lastRenderedPageBreak/>
        <w:t xml:space="preserve">Lowenberg-DeBoer, J., &amp; Erickson, B. (2019). Setting the record straight on precision agriculture adoption. </w:t>
      </w:r>
      <w:r>
        <w:rPr>
          <w:rStyle w:val="Emphasis"/>
        </w:rPr>
        <w:t>Agronomy Journal, 111</w:t>
      </w:r>
      <w:r>
        <w:t xml:space="preserve">(4), 1552–1569. </w:t>
      </w:r>
      <w:hyperlink r:id="rId37" w:tgtFrame="_new" w:history="1">
        <w:r>
          <w:rPr>
            <w:rStyle w:val="Hyperlink"/>
          </w:rPr>
          <w:t>https://doi.org/10.2134/agronj2018.12.0779</w:t>
        </w:r>
      </w:hyperlink>
    </w:p>
    <w:p w14:paraId="75961D34" w14:textId="77777777" w:rsidR="00083F77" w:rsidRDefault="00083F77" w:rsidP="00083F77">
      <w:pPr>
        <w:pStyle w:val="NormalWeb"/>
        <w:ind w:left="540" w:hanging="540"/>
        <w:jc w:val="both"/>
      </w:pPr>
      <w:r>
        <w:t xml:space="preserve">Maredia, M. K., Reyes, B., Ba, M. N., Dabire, C. L., Pittendrigh, B., &amp; Bello-Bravo, J. (2018). Can mobile phone-based animated videos induce learning and technology adoption among low-literate farmers? A field experiment in Burkina Faso. </w:t>
      </w:r>
      <w:r>
        <w:rPr>
          <w:rStyle w:val="Emphasis"/>
        </w:rPr>
        <w:t>Information Technology for Development, 24</w:t>
      </w:r>
      <w:r>
        <w:t xml:space="preserve">(3), 429–460. </w:t>
      </w:r>
      <w:hyperlink r:id="rId38" w:tgtFrame="_new" w:history="1">
        <w:r>
          <w:rPr>
            <w:rStyle w:val="Hyperlink"/>
          </w:rPr>
          <w:t>https://doi.org/10.1080/02681102.2017.1312245</w:t>
        </w:r>
      </w:hyperlink>
    </w:p>
    <w:p w14:paraId="1AEB4C27" w14:textId="77777777" w:rsidR="00083F77" w:rsidRDefault="00083F77" w:rsidP="00083F77">
      <w:pPr>
        <w:pStyle w:val="NormalWeb"/>
        <w:ind w:left="540" w:hanging="540"/>
        <w:jc w:val="both"/>
      </w:pPr>
      <w:r>
        <w:t xml:space="preserve">Mittal, S. (2016). Role of mobile phone-enabled climate information services in gender-inclusive agriculture. </w:t>
      </w:r>
      <w:r>
        <w:rPr>
          <w:rStyle w:val="Emphasis"/>
        </w:rPr>
        <w:t>Gender, Technology and Development, 20</w:t>
      </w:r>
      <w:r>
        <w:t xml:space="preserve">(2), 200–217. </w:t>
      </w:r>
      <w:hyperlink r:id="rId39" w:tgtFrame="_new" w:history="1">
        <w:r>
          <w:rPr>
            <w:rStyle w:val="Hyperlink"/>
          </w:rPr>
          <w:t>https://doi.org/10.1177/0971852416639772</w:t>
        </w:r>
      </w:hyperlink>
    </w:p>
    <w:p w14:paraId="4FD53C2C" w14:textId="77777777" w:rsidR="00083F77" w:rsidRDefault="00083F77" w:rsidP="00083F77">
      <w:pPr>
        <w:pStyle w:val="NormalWeb"/>
        <w:ind w:left="540" w:hanging="540"/>
        <w:jc w:val="both"/>
      </w:pPr>
      <w:r>
        <w:t xml:space="preserve">Mulungu, K. H. (2025). Gender perspectives on mobile phone ownership and use: A case study of smallholder farmers in Uganda. </w:t>
      </w:r>
      <w:r>
        <w:rPr>
          <w:rStyle w:val="Emphasis"/>
        </w:rPr>
        <w:t>Gender, Technology and Development, 29</w:t>
      </w:r>
      <w:r>
        <w:t xml:space="preserve">(3), 384–397. </w:t>
      </w:r>
      <w:hyperlink r:id="rId40" w:tgtFrame="_new" w:history="1">
        <w:r>
          <w:rPr>
            <w:rStyle w:val="Hyperlink"/>
          </w:rPr>
          <w:t>https://doi.org/10.1080/09718524.2025.2557649</w:t>
        </w:r>
      </w:hyperlink>
    </w:p>
    <w:p w14:paraId="4272532E" w14:textId="77777777" w:rsidR="00083F77" w:rsidRDefault="00083F77" w:rsidP="00083F77">
      <w:pPr>
        <w:pStyle w:val="NormalWeb"/>
        <w:ind w:left="540" w:hanging="540"/>
        <w:jc w:val="both"/>
      </w:pPr>
      <w:r>
        <w:t xml:space="preserve">Porciello, J., Coggins, S., Mabaya, E., &amp; </w:t>
      </w:r>
      <w:proofErr w:type="spellStart"/>
      <w:r>
        <w:t>Otunba</w:t>
      </w:r>
      <w:proofErr w:type="spellEnd"/>
      <w:r>
        <w:t xml:space="preserve">-Payne, G. (2022). Digital agriculture services in low- and middle-income countries: A systematic scoping review. </w:t>
      </w:r>
      <w:r>
        <w:rPr>
          <w:rStyle w:val="Emphasis"/>
        </w:rPr>
        <w:t>Global Food Security, 34</w:t>
      </w:r>
      <w:r>
        <w:t xml:space="preserve">, Article 100640. </w:t>
      </w:r>
      <w:hyperlink r:id="rId41" w:tgtFrame="_new" w:history="1">
        <w:r>
          <w:rPr>
            <w:rStyle w:val="Hyperlink"/>
          </w:rPr>
          <w:t>https://doi.org/10.1016/j.gfs.2022.100640</w:t>
        </w:r>
      </w:hyperlink>
    </w:p>
    <w:p w14:paraId="36EDD478" w14:textId="77777777" w:rsidR="00083F77" w:rsidRDefault="00083F77" w:rsidP="00083F77">
      <w:pPr>
        <w:pStyle w:val="NormalWeb"/>
        <w:ind w:left="540" w:hanging="540"/>
        <w:jc w:val="both"/>
      </w:pPr>
      <w:r>
        <w:t xml:space="preserve">Rajkhowa, P., &amp; Qaim, M. (2021). Personalized digital extension services and agricultural performance: Evidence from smallholder farmers in India. </w:t>
      </w:r>
      <w:r>
        <w:rPr>
          <w:rStyle w:val="Emphasis"/>
        </w:rPr>
        <w:t>PLOS ONE, 16</w:t>
      </w:r>
      <w:r>
        <w:t xml:space="preserve">(10), Article e0259319. </w:t>
      </w:r>
      <w:hyperlink r:id="rId42" w:tgtFrame="_new" w:history="1">
        <w:r>
          <w:rPr>
            <w:rStyle w:val="Hyperlink"/>
          </w:rPr>
          <w:t>https://doi.org/10.1371/journal.pone.0259319</w:t>
        </w:r>
      </w:hyperlink>
    </w:p>
    <w:p w14:paraId="5CFCC161" w14:textId="77777777" w:rsidR="00083F77" w:rsidRDefault="00083F77" w:rsidP="00083F77">
      <w:pPr>
        <w:pStyle w:val="NormalWeb"/>
        <w:ind w:left="540" w:hanging="540"/>
        <w:jc w:val="both"/>
      </w:pPr>
      <w:r>
        <w:t xml:space="preserve">Rotz, S., Duncan, E., Small, M., </w:t>
      </w:r>
      <w:proofErr w:type="spellStart"/>
      <w:r>
        <w:t>Botschner</w:t>
      </w:r>
      <w:proofErr w:type="spellEnd"/>
      <w:r>
        <w:t xml:space="preserve">, J., Dara, R., Mosby, I., Reed, M., &amp; Fraser, E. D. G. (2019). The politics of digital agricultural technologies: A preliminary review. </w:t>
      </w:r>
      <w:proofErr w:type="spellStart"/>
      <w:r>
        <w:rPr>
          <w:rStyle w:val="Emphasis"/>
        </w:rPr>
        <w:t>Sociologia</w:t>
      </w:r>
      <w:proofErr w:type="spellEnd"/>
      <w:r>
        <w:rPr>
          <w:rStyle w:val="Emphasis"/>
        </w:rPr>
        <w:t xml:space="preserve"> </w:t>
      </w:r>
      <w:proofErr w:type="spellStart"/>
      <w:r>
        <w:rPr>
          <w:rStyle w:val="Emphasis"/>
        </w:rPr>
        <w:t>Ruralis</w:t>
      </w:r>
      <w:proofErr w:type="spellEnd"/>
      <w:r>
        <w:rPr>
          <w:rStyle w:val="Emphasis"/>
        </w:rPr>
        <w:t>, 59</w:t>
      </w:r>
      <w:r>
        <w:t xml:space="preserve">(2), 203–229. </w:t>
      </w:r>
      <w:hyperlink r:id="rId43" w:tgtFrame="_new" w:history="1">
        <w:r>
          <w:rPr>
            <w:rStyle w:val="Hyperlink"/>
          </w:rPr>
          <w:t>https://doi.org/10.1111/soru.12233</w:t>
        </w:r>
      </w:hyperlink>
    </w:p>
    <w:p w14:paraId="67939282" w14:textId="77777777" w:rsidR="00083F77" w:rsidRDefault="00083F77" w:rsidP="00083F77">
      <w:pPr>
        <w:pStyle w:val="NormalWeb"/>
        <w:ind w:left="540" w:hanging="540"/>
        <w:jc w:val="both"/>
      </w:pPr>
      <w:r>
        <w:t xml:space="preserve">Rudin, C. (2019). Stop explaining black box machine learning models for high stakes decisions and use interpretable models instead. </w:t>
      </w:r>
      <w:r>
        <w:rPr>
          <w:rStyle w:val="Emphasis"/>
        </w:rPr>
        <w:t>Nature Machine Intelligence, 1</w:t>
      </w:r>
      <w:r>
        <w:t xml:space="preserve">, 206–215. </w:t>
      </w:r>
      <w:hyperlink r:id="rId44" w:tgtFrame="_new" w:history="1">
        <w:r>
          <w:rPr>
            <w:rStyle w:val="Hyperlink"/>
          </w:rPr>
          <w:t>https://doi.org/10.1038/s42256-019-0048-x</w:t>
        </w:r>
      </w:hyperlink>
    </w:p>
    <w:p w14:paraId="23687120" w14:textId="77777777" w:rsidR="00083F77" w:rsidRDefault="00083F77" w:rsidP="00083F77">
      <w:pPr>
        <w:pStyle w:val="NormalWeb"/>
        <w:ind w:left="540" w:hanging="540"/>
        <w:jc w:val="both"/>
      </w:pPr>
      <w:r>
        <w:t xml:space="preserve">Sen, L. T. H., Phuong, L. T. H., Chou, P., </w:t>
      </w:r>
      <w:proofErr w:type="spellStart"/>
      <w:r>
        <w:t>Dacuyan</w:t>
      </w:r>
      <w:proofErr w:type="spellEnd"/>
      <w:r>
        <w:t xml:space="preserve">, F. B., Nyberg, Y., &amp; </w:t>
      </w:r>
      <w:proofErr w:type="spellStart"/>
      <w:r>
        <w:t>Wetterlind</w:t>
      </w:r>
      <w:proofErr w:type="spellEnd"/>
      <w:r>
        <w:t xml:space="preserve">, J. (2025). The opportunities and barriers in developing interactive digital extension services for smallholder farmers as a pathway to sustainable agriculture: A systematic review. </w:t>
      </w:r>
      <w:r>
        <w:rPr>
          <w:rStyle w:val="Emphasis"/>
        </w:rPr>
        <w:t>Sustainability, 17</w:t>
      </w:r>
      <w:r>
        <w:t xml:space="preserve">(7), Article 3007. </w:t>
      </w:r>
      <w:hyperlink r:id="rId45" w:tgtFrame="_new" w:history="1">
        <w:r>
          <w:rPr>
            <w:rStyle w:val="Hyperlink"/>
          </w:rPr>
          <w:t>https://doi.org/10.3390/su17073007</w:t>
        </w:r>
      </w:hyperlink>
    </w:p>
    <w:p w14:paraId="78C8A1AD" w14:textId="77777777" w:rsidR="00083F77" w:rsidRDefault="00083F77" w:rsidP="00083F77">
      <w:pPr>
        <w:pStyle w:val="NormalWeb"/>
        <w:ind w:left="540" w:hanging="540"/>
        <w:jc w:val="both"/>
      </w:pPr>
      <w:proofErr w:type="spellStart"/>
      <w:r>
        <w:t>Talaviya</w:t>
      </w:r>
      <w:proofErr w:type="spellEnd"/>
      <w:r>
        <w:t xml:space="preserve">, T., Shah, D., Patel, N., Yagnik, H., &amp; Shah, M. (2020). Implementation of artificial intelligence in agriculture for </w:t>
      </w:r>
      <w:proofErr w:type="spellStart"/>
      <w:r>
        <w:t>optimisation</w:t>
      </w:r>
      <w:proofErr w:type="spellEnd"/>
      <w:r>
        <w:t xml:space="preserve"> of irrigation and application of pesticides and herbicides. </w:t>
      </w:r>
      <w:r>
        <w:rPr>
          <w:rStyle w:val="Emphasis"/>
        </w:rPr>
        <w:t>Artificial Intelligence in Agriculture, 4</w:t>
      </w:r>
      <w:r>
        <w:t xml:space="preserve">, 58–73. </w:t>
      </w:r>
      <w:hyperlink r:id="rId46" w:tgtFrame="_new" w:history="1">
        <w:r>
          <w:rPr>
            <w:rStyle w:val="Hyperlink"/>
          </w:rPr>
          <w:t>https://doi.org/10.1016/j.aiia.2020.04.002</w:t>
        </w:r>
      </w:hyperlink>
    </w:p>
    <w:p w14:paraId="43EF6DDF" w14:textId="77777777" w:rsidR="00083F77" w:rsidRDefault="00083F77" w:rsidP="00083F77">
      <w:pPr>
        <w:pStyle w:val="NormalWeb"/>
        <w:ind w:left="540" w:hanging="540"/>
        <w:jc w:val="both"/>
      </w:pPr>
      <w:r>
        <w:t xml:space="preserve">Tey, Y. S., &amp; Brindal, M. (2012). Factors influencing the adoption of precision agricultural technologies: A review for policy implications. </w:t>
      </w:r>
      <w:r>
        <w:rPr>
          <w:rStyle w:val="Emphasis"/>
        </w:rPr>
        <w:t>Precision Agriculture, 13</w:t>
      </w:r>
      <w:r>
        <w:t xml:space="preserve">(6), 713–730. </w:t>
      </w:r>
      <w:hyperlink r:id="rId47" w:tgtFrame="_new" w:history="1">
        <w:r>
          <w:rPr>
            <w:rStyle w:val="Hyperlink"/>
          </w:rPr>
          <w:t>https://doi.org/10.1007/s11119-012-9273-6</w:t>
        </w:r>
      </w:hyperlink>
    </w:p>
    <w:p w14:paraId="5356DFF3" w14:textId="77777777" w:rsidR="00083F77" w:rsidRDefault="00083F77" w:rsidP="00083F77">
      <w:pPr>
        <w:pStyle w:val="NormalWeb"/>
        <w:ind w:left="540" w:hanging="540"/>
        <w:jc w:val="both"/>
      </w:pPr>
      <w:r>
        <w:lastRenderedPageBreak/>
        <w:t xml:space="preserve">van der Burg, S., Bogaardt, M. J., &amp; Wolfert, S. (2019). Ethics of smart farming: Current questions and directions for responsible innovation towards the future. </w:t>
      </w:r>
      <w:r>
        <w:rPr>
          <w:rStyle w:val="Emphasis"/>
        </w:rPr>
        <w:t>NJAS: Wageningen Journal of Life Sciences, 90–91</w:t>
      </w:r>
      <w:r>
        <w:t xml:space="preserve">, Article 100289. </w:t>
      </w:r>
      <w:hyperlink r:id="rId48" w:tgtFrame="_new" w:history="1">
        <w:r>
          <w:rPr>
            <w:rStyle w:val="Hyperlink"/>
          </w:rPr>
          <w:t>https://doi.org/10.1016/j.njas.2019.01.001</w:t>
        </w:r>
      </w:hyperlink>
    </w:p>
    <w:p w14:paraId="46DA423F" w14:textId="77777777" w:rsidR="00083F77" w:rsidRPr="00083F77" w:rsidRDefault="00083F77" w:rsidP="00083F77">
      <w:pPr>
        <w:pStyle w:val="NormalWeb"/>
        <w:ind w:left="540" w:hanging="540"/>
        <w:jc w:val="both"/>
        <w:rPr>
          <w:lang w:val="nl-BE"/>
        </w:rPr>
      </w:pPr>
      <w:r>
        <w:t xml:space="preserve">Varghese, B. B., Gopinath, P. P., Paul, M. M., Chandrakumar, A., Radhakrishnan, G., Sonia, N. S., &amp; Balasundaram, A. (2026). Integrating AI chatbots for advisory support in black pepper cultivation: A case study on stakeholder acceptance. </w:t>
      </w:r>
      <w:r>
        <w:rPr>
          <w:rStyle w:val="Emphasis"/>
        </w:rPr>
        <w:t>The Journal of Agricultural Education and Extension</w:t>
      </w:r>
      <w:r>
        <w:t xml:space="preserve">. Advance online publication. </w:t>
      </w:r>
      <w:hyperlink r:id="rId49" w:tgtFrame="_new" w:history="1">
        <w:r w:rsidRPr="00083F77">
          <w:rPr>
            <w:rStyle w:val="Hyperlink"/>
            <w:lang w:val="nl-BE"/>
          </w:rPr>
          <w:t>https://doi.org/10.1080/1389224X.2025.2610194</w:t>
        </w:r>
      </w:hyperlink>
    </w:p>
    <w:p w14:paraId="3E2C43FA" w14:textId="77777777" w:rsidR="00083F77" w:rsidRDefault="00083F77" w:rsidP="00083F77">
      <w:pPr>
        <w:pStyle w:val="NormalWeb"/>
        <w:ind w:left="540" w:hanging="540"/>
        <w:jc w:val="both"/>
      </w:pPr>
      <w:r w:rsidRPr="00083F77">
        <w:rPr>
          <w:lang w:val="nl-BE"/>
        </w:rPr>
        <w:t xml:space="preserve">Wijeratne, M., &amp; De Silva, W. N. (2024). </w:t>
      </w:r>
      <w:r>
        <w:t xml:space="preserve">The paradigm shift of agricultural extension from technology transfer towards participatory approaches. </w:t>
      </w:r>
      <w:r>
        <w:rPr>
          <w:rStyle w:val="Emphasis"/>
        </w:rPr>
        <w:t>The Journal of Agricultural Sciences – Sri Lanka, 19</w:t>
      </w:r>
      <w:r>
        <w:t xml:space="preserve">(1), 1–13. </w:t>
      </w:r>
      <w:hyperlink r:id="rId50" w:tgtFrame="_new" w:history="1">
        <w:r>
          <w:rPr>
            <w:rStyle w:val="Hyperlink"/>
          </w:rPr>
          <w:t>https://doi.org/10.4038/jas.v19i1.9851</w:t>
        </w:r>
      </w:hyperlink>
    </w:p>
    <w:p w14:paraId="4338A689" w14:textId="77777777" w:rsidR="00083F77" w:rsidRDefault="00083F77" w:rsidP="00083F77">
      <w:pPr>
        <w:pStyle w:val="NormalWeb"/>
        <w:ind w:left="540" w:hanging="540"/>
        <w:jc w:val="both"/>
      </w:pPr>
      <w:r w:rsidRPr="00083F77">
        <w:rPr>
          <w:lang w:val="nl-BE"/>
        </w:rPr>
        <w:t xml:space="preserve">Wolfert, S., Ge, L., Verdouw, C., &amp; Bogaardt, M. J. (2017). </w:t>
      </w:r>
      <w:r>
        <w:t xml:space="preserve">Big data in smart farming—A review. </w:t>
      </w:r>
      <w:r>
        <w:rPr>
          <w:rStyle w:val="Emphasis"/>
        </w:rPr>
        <w:t>Agricultural Systems, 153</w:t>
      </w:r>
      <w:r>
        <w:t xml:space="preserve">, 69–80. </w:t>
      </w:r>
      <w:hyperlink r:id="rId51" w:tgtFrame="_new" w:history="1">
        <w:r>
          <w:rPr>
            <w:rStyle w:val="Hyperlink"/>
          </w:rPr>
          <w:t>https://doi.org/10.1016/j.agsy.2017.01.023</w:t>
        </w:r>
      </w:hyperlink>
    </w:p>
    <w:p w14:paraId="6BEE92F9" w14:textId="6702CC2A" w:rsidR="00EE3357" w:rsidRPr="001B5A00" w:rsidRDefault="00EE3357" w:rsidP="00083F77">
      <w:pPr>
        <w:pStyle w:val="Reference"/>
      </w:pPr>
    </w:p>
    <w:sectPr w:rsidR="00EE3357" w:rsidRPr="001B5A00" w:rsidSect="00034616">
      <w:headerReference w:type="even" r:id="rId52"/>
      <w:headerReference w:type="default" r:id="rId53"/>
      <w:footerReference w:type="even" r:id="rId54"/>
      <w:footerReference w:type="default" r:id="rId55"/>
      <w:headerReference w:type="first" r:id="rId56"/>
      <w:footerReference w:type="first" r:id="rId57"/>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0F54" w14:textId="77777777" w:rsidR="00A72A5C" w:rsidRDefault="00A72A5C">
      <w:pPr>
        <w:spacing w:after="0" w:line="240" w:lineRule="auto"/>
      </w:pPr>
      <w:r>
        <w:separator/>
      </w:r>
    </w:p>
  </w:endnote>
  <w:endnote w:type="continuationSeparator" w:id="0">
    <w:p w14:paraId="22753742" w14:textId="77777777" w:rsidR="00A72A5C" w:rsidRDefault="00A7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0A68" w14:textId="77777777" w:rsidR="00D37D9B" w:rsidRDefault="00D37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9F84" w14:textId="77777777" w:rsidR="00EE3357" w:rsidRDefault="00000000">
    <w:pPr>
      <w:pStyle w:val="Footer"/>
      <w:jc w:val="center"/>
    </w:pPr>
    <w:r>
      <w:fldChar w:fldCharType="begin"/>
    </w:r>
    <w:r>
      <w:instrText xml:space="preserve"> PAGE </w:instrText>
    </w:r>
    <w:r>
      <w:fldChar w:fldCharType="separate"/>
    </w:r>
    <w:r w:rsidR="00C97D6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44F8" w14:textId="77777777" w:rsidR="00D37D9B" w:rsidRDefault="00D37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3862" w14:textId="77777777" w:rsidR="00A72A5C" w:rsidRDefault="00A72A5C">
      <w:pPr>
        <w:spacing w:after="0" w:line="240" w:lineRule="auto"/>
      </w:pPr>
      <w:r>
        <w:separator/>
      </w:r>
    </w:p>
  </w:footnote>
  <w:footnote w:type="continuationSeparator" w:id="0">
    <w:p w14:paraId="3BC0FC3A" w14:textId="77777777" w:rsidR="00A72A5C" w:rsidRDefault="00A72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874F" w14:textId="77777777" w:rsidR="00D37D9B" w:rsidRDefault="00000000">
    <w:pPr>
      <w:pStyle w:val="Header"/>
    </w:pPr>
    <w:r>
      <w:rPr>
        <w:noProof/>
      </w:rPr>
      <w:pict w14:anchorId="26797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680782" o:spid="_x0000_s1026" type="#_x0000_t136" style="position:absolute;left:0;text-align:left;margin-left:0;margin-top:0;width:612.05pt;height:68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7724" w14:textId="77777777" w:rsidR="00D37D9B" w:rsidRDefault="00000000">
    <w:pPr>
      <w:pStyle w:val="Header"/>
    </w:pPr>
    <w:r>
      <w:rPr>
        <w:noProof/>
      </w:rPr>
      <w:pict w14:anchorId="147BA9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680783" o:spid="_x0000_s1027" type="#_x0000_t136" style="position:absolute;left:0;text-align:left;margin-left:0;margin-top:0;width:612.05pt;height:68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12DC" w14:textId="77777777" w:rsidR="00D37D9B" w:rsidRDefault="00000000">
    <w:pPr>
      <w:pStyle w:val="Header"/>
    </w:pPr>
    <w:r>
      <w:rPr>
        <w:noProof/>
      </w:rPr>
      <w:pict w14:anchorId="53E1B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680781" o:spid="_x0000_s1025" type="#_x0000_t136" style="position:absolute;left:0;text-align:left;margin-left:0;margin-top:0;width:612.05pt;height:68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6343445">
    <w:abstractNumId w:val="8"/>
  </w:num>
  <w:num w:numId="2" w16cid:durableId="391925425">
    <w:abstractNumId w:val="6"/>
  </w:num>
  <w:num w:numId="3" w16cid:durableId="905185466">
    <w:abstractNumId w:val="5"/>
  </w:num>
  <w:num w:numId="4" w16cid:durableId="2093045705">
    <w:abstractNumId w:val="4"/>
  </w:num>
  <w:num w:numId="5" w16cid:durableId="2099475286">
    <w:abstractNumId w:val="7"/>
  </w:num>
  <w:num w:numId="6" w16cid:durableId="615793183">
    <w:abstractNumId w:val="3"/>
  </w:num>
  <w:num w:numId="7" w16cid:durableId="1909607012">
    <w:abstractNumId w:val="2"/>
  </w:num>
  <w:num w:numId="8" w16cid:durableId="668875061">
    <w:abstractNumId w:val="1"/>
  </w:num>
  <w:num w:numId="9" w16cid:durableId="1873569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F77"/>
    <w:rsid w:val="0015074B"/>
    <w:rsid w:val="00196E31"/>
    <w:rsid w:val="001B5A00"/>
    <w:rsid w:val="00206519"/>
    <w:rsid w:val="0029639D"/>
    <w:rsid w:val="0030711A"/>
    <w:rsid w:val="00326F90"/>
    <w:rsid w:val="003D435C"/>
    <w:rsid w:val="0042267F"/>
    <w:rsid w:val="00516A6D"/>
    <w:rsid w:val="00873CF5"/>
    <w:rsid w:val="00A72A5C"/>
    <w:rsid w:val="00AA1D8D"/>
    <w:rsid w:val="00AB46B0"/>
    <w:rsid w:val="00B171FC"/>
    <w:rsid w:val="00B47730"/>
    <w:rsid w:val="00C97D6B"/>
    <w:rsid w:val="00CB0664"/>
    <w:rsid w:val="00D37D9B"/>
    <w:rsid w:val="00E3201D"/>
    <w:rsid w:val="00EE3357"/>
    <w:rsid w:val="00FC5A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AD4BF8"/>
  <w14:defaultImageDpi w14:val="300"/>
  <w15:docId w15:val="{772A16C0-5576-44B2-AF96-F6326642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244062"/>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365F9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color w:val="17365D"/>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20" w:line="252" w:lineRule="auto"/>
      <w:jc w:val="both"/>
    </w:pPr>
    <w:rPr>
      <w:rFonts w:ascii="Times New Roman" w:eastAsia="Times New Roman" w:hAnsi="Times New Roman"/>
      <w:sz w:val="21"/>
    </w:rPr>
  </w:style>
  <w:style w:type="paragraph" w:customStyle="1" w:styleId="Reference">
    <w:name w:val="Reference"/>
    <w:pPr>
      <w:spacing w:after="80" w:line="240" w:lineRule="auto"/>
      <w:ind w:left="432" w:hanging="432"/>
    </w:pPr>
    <w:rPr>
      <w:rFonts w:ascii="Times New Roman" w:eastAsia="Times New Roman" w:hAnsi="Times New Roman"/>
      <w:sz w:val="19"/>
    </w:rPr>
  </w:style>
  <w:style w:type="paragraph" w:customStyle="1" w:styleId="pdq2pgselectionanchorcontainer">
    <w:name w:val="pdq2pg_selectionanchorcontainer"/>
    <w:basedOn w:val="Normal"/>
    <w:rsid w:val="00083F77"/>
    <w:pPr>
      <w:spacing w:before="100" w:beforeAutospacing="1" w:after="100" w:afterAutospacing="1" w:line="240" w:lineRule="auto"/>
      <w:jc w:val="left"/>
    </w:pPr>
    <w:rPr>
      <w:rFonts w:cs="Times New Roman"/>
      <w:sz w:val="24"/>
      <w:szCs w:val="24"/>
    </w:rPr>
  </w:style>
  <w:style w:type="character" w:styleId="Hyperlink">
    <w:name w:val="Hyperlink"/>
    <w:basedOn w:val="DefaultParagraphFont"/>
    <w:uiPriority w:val="99"/>
    <w:semiHidden/>
    <w:unhideWhenUsed/>
    <w:rsid w:val="00083F77"/>
    <w:rPr>
      <w:color w:val="0000FF"/>
      <w:u w:val="single"/>
    </w:rPr>
  </w:style>
  <w:style w:type="paragraph" w:styleId="NormalWeb">
    <w:name w:val="Normal (Web)"/>
    <w:basedOn w:val="Normal"/>
    <w:uiPriority w:val="99"/>
    <w:semiHidden/>
    <w:unhideWhenUsed/>
    <w:rsid w:val="00083F77"/>
    <w:pPr>
      <w:spacing w:before="100" w:beforeAutospacing="1" w:after="100" w:afterAutospacing="1" w:line="240" w:lineRule="auto"/>
      <w:jc w:val="left"/>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landusepol.2018.10.004" TargetMode="External"/><Relationship Id="rId18" Type="http://schemas.openxmlformats.org/officeDocument/2006/relationships/hyperlink" Target="https://doi.org/10.1177/2053951716648174" TargetMode="External"/><Relationship Id="rId26" Type="http://schemas.openxmlformats.org/officeDocument/2006/relationships/hyperlink" Target="https://doi.org/10.1177/02666669241280411" TargetMode="External"/><Relationship Id="rId39" Type="http://schemas.openxmlformats.org/officeDocument/2006/relationships/hyperlink" Target="https://doi.org/10.1177/0971852416639772" TargetMode="External"/><Relationship Id="rId21" Type="http://schemas.openxmlformats.org/officeDocument/2006/relationships/hyperlink" Target="https://doi.org/10.1126/science.aay3038" TargetMode="External"/><Relationship Id="rId34" Type="http://schemas.openxmlformats.org/officeDocument/2006/relationships/hyperlink" Target="https://doi.org/10.1016/j.njas.2019.100315" TargetMode="External"/><Relationship Id="rId42" Type="http://schemas.openxmlformats.org/officeDocument/2006/relationships/hyperlink" Target="https://doi.org/10.1371/journal.pone.0259319" TargetMode="External"/><Relationship Id="rId47" Type="http://schemas.openxmlformats.org/officeDocument/2006/relationships/hyperlink" Target="https://doi.org/10.1007/s11119-012-9273-6" TargetMode="External"/><Relationship Id="rId50" Type="http://schemas.openxmlformats.org/officeDocument/2006/relationships/hyperlink" Target="https://doi.org/10.4038/jas.v19i1.9851"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jid.3314" TargetMode="External"/><Relationship Id="rId29" Type="http://schemas.openxmlformats.org/officeDocument/2006/relationships/hyperlink" Target="https://doi.org/10.3389/fsufs.2020.00066" TargetMode="External"/><Relationship Id="rId11" Type="http://schemas.openxmlformats.org/officeDocument/2006/relationships/hyperlink" Target="https://doi.org/10.1093/wbro/lkh013" TargetMode="External"/><Relationship Id="rId24" Type="http://schemas.openxmlformats.org/officeDocument/2006/relationships/hyperlink" Target="https://doi.org/10.1016/j.agsy.2019.102763" TargetMode="External"/><Relationship Id="rId32" Type="http://schemas.openxmlformats.org/officeDocument/2006/relationships/hyperlink" Target="https://doi.org/10.1038/s42256-019-0088-2" TargetMode="External"/><Relationship Id="rId37" Type="http://schemas.openxmlformats.org/officeDocument/2006/relationships/hyperlink" Target="https://doi.org/10.2134/agronj2018.12.0779" TargetMode="External"/><Relationship Id="rId40" Type="http://schemas.openxmlformats.org/officeDocument/2006/relationships/hyperlink" Target="https://doi.org/10.1080/09718524.2025.2557649" TargetMode="External"/><Relationship Id="rId45" Type="http://schemas.openxmlformats.org/officeDocument/2006/relationships/hyperlink" Target="https://doi.org/10.3390/su17073007"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093/aepp/ppx056" TargetMode="External"/><Relationship Id="rId4" Type="http://schemas.openxmlformats.org/officeDocument/2006/relationships/settings" Target="settings.xml"/><Relationship Id="rId9" Type="http://schemas.openxmlformats.org/officeDocument/2006/relationships/hyperlink" Target="https://doi.org/10.1111/agec.12301" TargetMode="External"/><Relationship Id="rId14" Type="http://schemas.openxmlformats.org/officeDocument/2006/relationships/hyperlink" Target="https://doi.org/10.1038/s41893-020-0510-0" TargetMode="External"/><Relationship Id="rId22" Type="http://schemas.openxmlformats.org/officeDocument/2006/relationships/hyperlink" Target="https://doi.org/10.1093/wber/lhr056" TargetMode="External"/><Relationship Id="rId27" Type="http://schemas.openxmlformats.org/officeDocument/2006/relationships/hyperlink" Target="https://doi.org/10.3390/su132212345" TargetMode="External"/><Relationship Id="rId30" Type="http://schemas.openxmlformats.org/officeDocument/2006/relationships/hyperlink" Target="https://doi.org/10.1016/j.njas.2018.11.002" TargetMode="External"/><Relationship Id="rId35" Type="http://schemas.openxmlformats.org/officeDocument/2006/relationships/hyperlink" Target="https://doi.org/10.1111/j.1759-5436.2012.00363.x" TargetMode="External"/><Relationship Id="rId43" Type="http://schemas.openxmlformats.org/officeDocument/2006/relationships/hyperlink" Target="https://doi.org/10.1111/soru.12233" TargetMode="External"/><Relationship Id="rId48" Type="http://schemas.openxmlformats.org/officeDocument/2006/relationships/hyperlink" Target="https://doi.org/10.1016/j.njas.2019.01.001" TargetMode="External"/><Relationship Id="rId56" Type="http://schemas.openxmlformats.org/officeDocument/2006/relationships/header" Target="header3.xml"/><Relationship Id="rId8" Type="http://schemas.openxmlformats.org/officeDocument/2006/relationships/hyperlink" Target="https://doi.org/10.1111/j.1574-0862.2011.00545.x" TargetMode="External"/><Relationship Id="rId51" Type="http://schemas.openxmlformats.org/officeDocument/2006/relationships/hyperlink" Target="https://doi.org/10.1016/j.agsy.2017.01.023" TargetMode="External"/><Relationship Id="rId3" Type="http://schemas.openxmlformats.org/officeDocument/2006/relationships/styles" Target="styles.xml"/><Relationship Id="rId12" Type="http://schemas.openxmlformats.org/officeDocument/2006/relationships/hyperlink" Target="https://doi.org/10.1186/s41073-019-0064-8" TargetMode="External"/><Relationship Id="rId17" Type="http://schemas.openxmlformats.org/officeDocument/2006/relationships/hyperlink" Target="https://doi.org/10.1080/13892240903309595" TargetMode="External"/><Relationship Id="rId25" Type="http://schemas.openxmlformats.org/officeDocument/2006/relationships/hyperlink" Target="https://doi.org/10.1002/agj2.21353" TargetMode="External"/><Relationship Id="rId33" Type="http://schemas.openxmlformats.org/officeDocument/2006/relationships/hyperlink" Target="https://doi.org/10.1016/j.compag.2018.02.016" TargetMode="External"/><Relationship Id="rId38" Type="http://schemas.openxmlformats.org/officeDocument/2006/relationships/hyperlink" Target="https://doi.org/10.1080/02681102.2017.1312245" TargetMode="External"/><Relationship Id="rId46" Type="http://schemas.openxmlformats.org/officeDocument/2006/relationships/hyperlink" Target="https://doi.org/10.1016/j.aiia.2020.04.002" TargetMode="External"/><Relationship Id="rId59" Type="http://schemas.openxmlformats.org/officeDocument/2006/relationships/theme" Target="theme/theme1.xml"/><Relationship Id="rId20" Type="http://schemas.openxmlformats.org/officeDocument/2006/relationships/hyperlink" Target="https://doi.org/10.1016/j.worlddev.2020.105337" TargetMode="External"/><Relationship Id="rId41" Type="http://schemas.openxmlformats.org/officeDocument/2006/relationships/hyperlink" Target="https://doi.org/10.1016/j.gfs.2022.100640"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jdeveco.2024.103267" TargetMode="External"/><Relationship Id="rId23" Type="http://schemas.openxmlformats.org/officeDocument/2006/relationships/hyperlink" Target="https://doi.org/10.1093/ej/ueaa084" TargetMode="External"/><Relationship Id="rId28" Type="http://schemas.openxmlformats.org/officeDocument/2006/relationships/hyperlink" Target="https://doi.org/10.1177/24551333251345224" TargetMode="External"/><Relationship Id="rId36" Type="http://schemas.openxmlformats.org/officeDocument/2006/relationships/hyperlink" Target="https://doi.org/10.3390/s18082674" TargetMode="External"/><Relationship Id="rId49" Type="http://schemas.openxmlformats.org/officeDocument/2006/relationships/hyperlink" Target="https://doi.org/10.1080/1389224X.2025.2610194" TargetMode="External"/><Relationship Id="rId57" Type="http://schemas.openxmlformats.org/officeDocument/2006/relationships/footer" Target="footer3.xml"/><Relationship Id="rId10" Type="http://schemas.openxmlformats.org/officeDocument/2006/relationships/hyperlink" Target="https://doi.org/10.1177/00307270251410944" TargetMode="External"/><Relationship Id="rId31" Type="http://schemas.openxmlformats.org/officeDocument/2006/relationships/hyperlink" Target="https://doi.org/10.3389/fsufs.2024.1455581" TargetMode="External"/><Relationship Id="rId44" Type="http://schemas.openxmlformats.org/officeDocument/2006/relationships/hyperlink" Target="https://doi.org/10.1038/s42256-019-0048-x"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13797</Words>
  <Characters>78646</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Technology Transfer: Artificial Intelligence and the Future of Agricultural Extension in LMICs and HICs</dc:title>
  <dc:subject>Critical narrative review</dc:subject>
  <dc:creator/>
  <cp:keywords>artificial intelligence, agricultural extension, LMICs, HICs, digital agriculture</cp:keywords>
  <dc:description>generated by python-docx</dc:description>
  <cp:lastModifiedBy>Editor-90</cp:lastModifiedBy>
  <cp:revision>7</cp:revision>
  <dcterms:created xsi:type="dcterms:W3CDTF">2013-12-23T23:15:00Z</dcterms:created>
  <dcterms:modified xsi:type="dcterms:W3CDTF">2026-08-03T10:44:00Z</dcterms:modified>
  <cp:category/>
</cp:coreProperties>
</file>