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5CD22" w14:textId="77777777" w:rsidR="00AC27EF" w:rsidRDefault="00AC27EF" w:rsidP="00D014A5">
      <w:pPr>
        <w:spacing w:after="320" w:line="300" w:lineRule="auto"/>
        <w:jc w:val="both"/>
        <w:rPr>
          <w:b/>
          <w:bCs/>
          <w:sz w:val="30"/>
          <w:szCs w:val="30"/>
        </w:rPr>
      </w:pPr>
      <w:r w:rsidRPr="00AC27EF">
        <w:rPr>
          <w:b/>
          <w:bCs/>
          <w:sz w:val="30"/>
          <w:szCs w:val="30"/>
        </w:rPr>
        <w:t>Review Article</w:t>
      </w:r>
    </w:p>
    <w:p w14:paraId="280B6067" w14:textId="77777777" w:rsidR="00975881" w:rsidRDefault="00000000" w:rsidP="00D014A5">
      <w:pPr>
        <w:spacing w:after="320" w:line="300" w:lineRule="auto"/>
        <w:jc w:val="both"/>
        <w:rPr>
          <w:b/>
          <w:bCs/>
          <w:sz w:val="30"/>
          <w:szCs w:val="30"/>
        </w:rPr>
      </w:pPr>
      <w:r>
        <w:rPr>
          <w:b/>
          <w:bCs/>
          <w:sz w:val="30"/>
          <w:szCs w:val="30"/>
        </w:rPr>
        <w:t>Value-Based Health Care and Cost-Containment Innovation Amid Rising Global Health Expenditure: A Critical Review of Strategies, Constraints and Evidentiary Foundations</w:t>
      </w:r>
    </w:p>
    <w:p w14:paraId="577E1B18" w14:textId="77777777" w:rsidR="00252AC2" w:rsidRDefault="00252AC2" w:rsidP="00D014A5">
      <w:pPr>
        <w:spacing w:after="320" w:line="300" w:lineRule="auto"/>
        <w:jc w:val="both"/>
      </w:pPr>
    </w:p>
    <w:p w14:paraId="1BE25318" w14:textId="77777777" w:rsidR="00975881" w:rsidRDefault="00000000" w:rsidP="00D014A5">
      <w:pPr>
        <w:pStyle w:val="Heading1"/>
        <w:spacing w:before="340" w:after="140"/>
        <w:jc w:val="both"/>
      </w:pPr>
      <w:r>
        <w:rPr>
          <w:b/>
          <w:bCs/>
          <w:color w:val="000000"/>
          <w:sz w:val="24"/>
          <w:szCs w:val="24"/>
        </w:rPr>
        <w:t>Abstract</w:t>
      </w:r>
    </w:p>
    <w:p w14:paraId="549A7E5C" w14:textId="77777777" w:rsidR="00975881" w:rsidRDefault="00000000" w:rsidP="00D014A5">
      <w:pPr>
        <w:spacing w:after="140" w:line="320" w:lineRule="auto"/>
        <w:jc w:val="both"/>
      </w:pPr>
      <w:r>
        <w:t>Health expenditure continues to expand faster than national income in most economies, and the fiscal space available to absorb that expansion has narrowed since the coronavirus disease 2019 pandemic. Value-based health care has become the dominant policy vocabulary for reconciling rising cost with sustained or improved outcomes, and it now coexists with an older repertoire of cost-containment instruments spanning payment reform, price regulation, health technology assessment and the removal of low-value services. This critical narrative review examines how far the empirical record supports the claims made for these strategies, where the evidence is strongest, and where confident assertion has outrun demonstration. Literature was identified through structured searching of PubMed, Europe PMC, OpenAlex, Crossref, OpenAIRE and EconBiz, supplemented by citation chaining and by expenditure statistics from intergovernmental sources, with a final search date of 22 June 2026. The synthesis is organised around six analytical problems rather than around individual studies: the contested definition of value and its measurement infrastructure; the differential performance of payment models; the behaviour of price-side and technology-side instruments; the persistent gap between estimated waste and recoverable savings; the distributional consequences of value-based contracting; and the transferability of high-income reform templates to lower-income financing systems. Evidence of spending restraint is reasonably consistent for episode-based payment in lower-extremity joint replacement, for global budgeting in a single well-studied jurisdiction, and for competitive off-patent markets in pharmaceuticals. It is weak or contested for penalty-based quality incentives, for artificial intelligence as a cost-reducing technology, and for the proposition that documented waste is largely recoverable. Measured value remains partly endogenous to coding behaviour, which complicates causal interpretation of programme evaluations. Priority should shift from generating further descriptive implementation accounts towards designing evaluations capable of distinguishing genuine efficiency gains from measurement artefact, cost shifting and favourable patient selection.</w:t>
      </w:r>
    </w:p>
    <w:p w14:paraId="45EE6391" w14:textId="77777777" w:rsidR="00975881" w:rsidRDefault="00000000" w:rsidP="00D014A5">
      <w:pPr>
        <w:pStyle w:val="Heading1"/>
        <w:spacing w:before="340" w:after="140"/>
        <w:jc w:val="both"/>
      </w:pPr>
      <w:r>
        <w:rPr>
          <w:b/>
          <w:bCs/>
          <w:color w:val="000000"/>
          <w:sz w:val="24"/>
          <w:szCs w:val="24"/>
        </w:rPr>
        <w:t>Keywords</w:t>
      </w:r>
    </w:p>
    <w:p w14:paraId="656E8AD7" w14:textId="77777777" w:rsidR="00975881" w:rsidRDefault="00000000" w:rsidP="00D014A5">
      <w:pPr>
        <w:spacing w:after="140" w:line="320" w:lineRule="auto"/>
        <w:jc w:val="both"/>
      </w:pPr>
      <w:r>
        <w:t>value-based health care; cost containment; health expenditure; provider payment reform; health technology assessment; low-value care; strategic purchasing</w:t>
      </w:r>
    </w:p>
    <w:p w14:paraId="5CD139CA" w14:textId="77777777" w:rsidR="00975881" w:rsidRDefault="00000000" w:rsidP="00D014A5">
      <w:pPr>
        <w:pStyle w:val="Heading1"/>
        <w:spacing w:before="340" w:after="140"/>
        <w:jc w:val="both"/>
      </w:pPr>
      <w:r>
        <w:rPr>
          <w:b/>
          <w:bCs/>
          <w:color w:val="000000"/>
          <w:sz w:val="24"/>
          <w:szCs w:val="24"/>
        </w:rPr>
        <w:t>1. Introduction</w:t>
      </w:r>
    </w:p>
    <w:p w14:paraId="61A2D27F" w14:textId="77777777" w:rsidR="00975881" w:rsidRDefault="00000000" w:rsidP="00D014A5">
      <w:pPr>
        <w:spacing w:after="140" w:line="320" w:lineRule="auto"/>
        <w:jc w:val="both"/>
      </w:pPr>
      <w:r>
        <w:lastRenderedPageBreak/>
        <w:t>Health systems in almost every income group are being asked to deliver more care, to more people, with better documented outcomes, under budget constraints that are tightening rather than loosening. Health spending across countries belonging to the Organisation for Economic Co-operation and Development reached 9.3% of gross domestic product in 2024, above pre-pandemic levels, and public spending on health is projected to rise by approximately 1.5 percentage points of gross domestic product by 2045, driven mainly by technological change, ageing populations and rising expectations of what medicine can accomplish (Organisation for Economic Co-operation and Development [OECD], 2025). Historical accounting confirms that this trajectory is neither novel nor confined to wealthy countries: global health financing grew steadily across all income groups between 1995 and the late 2010s, with projections indicating continued divergence in absolute per capita spending between high-income and low-income settings (Global Burden of Disease Health Financing Collaborator Network, 2019). Expenditure growth by itself is not evidence of inefficiency. It becomes a policy problem when the marginal health return on additional spending is low, when the additional spending crowds out other public priorities, or when it is financed through mechanisms that expose households to impoverishment.</w:t>
      </w:r>
    </w:p>
    <w:p w14:paraId="3E72435B" w14:textId="77777777" w:rsidR="00975881" w:rsidRDefault="00000000" w:rsidP="00D014A5">
      <w:pPr>
        <w:spacing w:after="140" w:line="320" w:lineRule="auto"/>
        <w:jc w:val="both"/>
      </w:pPr>
      <w:r>
        <w:t>Two intellectual traditions have converged on this problem from different directions. The first is the cost-containment tradition, which is older, more heterogeneous and largely instrumental. It encompasses administered prices, budget caps, formulary restriction, utilisation review, reference pricing and the regulation of market entry, and its analytical criterion is whether an instrument slows expenditure growth without unacceptable losses in access or quality. The second is value-based health care, which reframes the objective. Rather than asking how spending can be restrained, it asks how the ratio of patient-relevant outcomes to the cost of achieving them can be raised, and it locates the unit of analysis in the full cycle of care for a defined medical condition rather than in discrete services or budget lines (Porter, 2010). The two traditions are frequently treated as complementary, and in policy discourse they are often merged. That merger deserves scrutiny, because the instruments they license are not identical and the evidence supporting them is of markedly different character.</w:t>
      </w:r>
    </w:p>
    <w:p w14:paraId="408EBF25" w14:textId="77777777" w:rsidR="00975881" w:rsidRPr="00D014A5" w:rsidRDefault="00000000" w:rsidP="00D014A5">
      <w:pPr>
        <w:spacing w:after="140" w:line="320" w:lineRule="auto"/>
        <w:jc w:val="both"/>
      </w:pPr>
      <w:r>
        <w:t xml:space="preserve">The appeal of the value framing is easy to understand. It offers a normatively attractive alternative to blunt rationing, promises that efficiency and quality can be pursued jointly, and supplies a vocabulary acceptable to clinicians, purchasers and finance ministries at once. Its diffusion has been rapid. Reviews of implementation experience document initiatives across hospital systems, disease-specific programmes and national reform agendas on several continents (van Staalduinen et al., 2022; Zanotto et al., 2021). Yet the same reviews record a striking asymmetry: implementation is widespread, description of implementation is abundant, and rigorous evaluation of whether implementation changed spending or outcomes is </w:t>
      </w:r>
      <w:r w:rsidRPr="00D014A5">
        <w:t>comparatively scarce. Reviews of performance management within value-based programmes reach a similar conclusion, noting that organisations frequently adopt the language of value while retaining measurement systems designed for volume (van Elten et al., 2023).</w:t>
      </w:r>
    </w:p>
    <w:p w14:paraId="3F47B40D" w14:textId="77777777" w:rsidR="004D74B3" w:rsidRPr="00D014A5" w:rsidRDefault="00000000" w:rsidP="00D014A5">
      <w:pPr>
        <w:spacing w:after="140" w:line="320" w:lineRule="auto"/>
        <w:jc w:val="both"/>
      </w:pPr>
      <w:r w:rsidRPr="00D014A5">
        <w:rPr>
          <w:highlight w:val="yellow"/>
        </w:rPr>
        <w:t>More recent scoping reviews likewise indicate that published VBHC implementation remains concentrated in high-income settings and often at departmental or institutional rather than system-wide level, while variation in outcome measures and financial structures continues to limit comparison across programmes (Douglas et al., 2025; Khalil et al., 2025).</w:t>
      </w:r>
    </w:p>
    <w:p w14:paraId="3CD326BF" w14:textId="77777777" w:rsidR="00975881" w:rsidRPr="00D014A5" w:rsidRDefault="00000000" w:rsidP="00D014A5">
      <w:pPr>
        <w:spacing w:after="140" w:line="320" w:lineRule="auto"/>
        <w:jc w:val="both"/>
      </w:pPr>
      <w:r w:rsidRPr="00D014A5">
        <w:lastRenderedPageBreak/>
        <w:t>A second difficulty concerns the concept itself. Analyses of how value is defined and deployed in practice show that the term functions less as a technical construct than as a boundary object accommodating incompatible interpretations, ranging from cost-effectiveness in the health economic sense, through patient-reported benefit, to organisational efficiency and to normative commitments about what health systems owe their populations (Steinmann et al., 2020). Recent empirical work on how practitioners and managers understand the term confirms substantial divergence in perception within single systems (Jiang et al., 2026). Where a construct means different things to different actors, evidence about its effects becomes difficult to aggregate, and apparent disagreement between studies may reflect divergent operationalisation rather than genuine contradiction.</w:t>
      </w:r>
    </w:p>
    <w:p w14:paraId="0B8246EE" w14:textId="77777777" w:rsidR="004D74B3" w:rsidRPr="00D014A5" w:rsidRDefault="00000000" w:rsidP="00D014A5">
      <w:pPr>
        <w:spacing w:after="140" w:line="320" w:lineRule="auto"/>
        <w:jc w:val="both"/>
      </w:pPr>
      <w:r w:rsidRPr="00D014A5">
        <w:rPr>
          <w:highlight w:val="yellow"/>
        </w:rPr>
        <w:t>An umbrella review of 48 evidence syntheses similarly identified contextual variation, fragmented performance metrics, limited integration of patient-reported measures and inadequate cost-evaluation models as continuing constraints on inference across VBHC initiatives (Moreira &amp; Crispim, 2026).</w:t>
      </w:r>
    </w:p>
    <w:p w14:paraId="1AE0A3DA" w14:textId="5A758795" w:rsidR="004D74B3" w:rsidRPr="00D014A5" w:rsidRDefault="00000000" w:rsidP="00D014A5">
      <w:pPr>
        <w:spacing w:after="140" w:line="320" w:lineRule="auto"/>
        <w:jc w:val="both"/>
      </w:pPr>
      <w:r w:rsidRPr="00D014A5">
        <w:t>The fiscal environment has also changed in ways that alter the stakes. External financing for health in lower-income settings, which had grown for three decades, contracted sharply in the mid-2020s, with projections indicating that levels will remain well below the previous peak (Apeagyei et al., 2025). Where donor resources recede and domestic revenue growth is constrained, the practical</w:t>
      </w:r>
      <w:r>
        <w:t xml:space="preserve"> question is not whether to pursue efficiency but which efficiency instruments are feasible in systems with limited </w:t>
      </w:r>
      <w:r w:rsidRPr="00D014A5">
        <w:t>administrative capacity, incomplete provider information and fragmented purchasing arrangements. High-income reform templates were not designed for those conditions, and the assumption that they transfer has rarely been tested directly.</w:t>
      </w:r>
      <w:r w:rsidR="00D014A5">
        <w:t xml:space="preserve"> </w:t>
      </w:r>
      <w:r w:rsidRPr="00D014A5">
        <w:rPr>
          <w:highlight w:val="yellow"/>
        </w:rPr>
        <w:t>Recent expert consensus on value-based payment models also emphasises that implementation depends not only on measurable design features such as outcome measures and benchmarks, but on context-sensitive factors including data availability, leadership, communication and trust (Leao et al., 2025).</w:t>
      </w:r>
    </w:p>
    <w:p w14:paraId="36FAAEEC" w14:textId="77777777" w:rsidR="00975881" w:rsidRDefault="00000000" w:rsidP="00D014A5">
      <w:pPr>
        <w:pStyle w:val="Heading2"/>
        <w:spacing w:before="260" w:after="110"/>
        <w:jc w:val="both"/>
      </w:pPr>
      <w:r>
        <w:rPr>
          <w:b/>
          <w:bCs/>
          <w:i/>
          <w:iCs/>
          <w:color w:val="000000"/>
          <w:sz w:val="22"/>
          <w:szCs w:val="22"/>
        </w:rPr>
        <w:t>1.1 Scope, Research Gap and Objectives</w:t>
      </w:r>
    </w:p>
    <w:p w14:paraId="4A156D93" w14:textId="77777777" w:rsidR="00975881" w:rsidRDefault="00000000" w:rsidP="00D014A5">
      <w:pPr>
        <w:spacing w:after="140" w:line="320" w:lineRule="auto"/>
        <w:jc w:val="both"/>
      </w:pPr>
      <w:r>
        <w:t>This review addresses value-based health care and adjacent cost-containment innovation as a single field of policy practice, examined critically against the empirical record. Its boundaries are as follows. It covers strategies operating at system, purchaser and provider level, including provider payment reform, price-side and technology-side regulation, health technology assessment and priority setting, initiatives to reduce low-value care, administrative simplification, and digital and analytical infrastructure. It covers evidence from high-income systems and, where available, from middle-income and low-income systems. It excludes clinical cost-effectiveness analyses of individual interventions, disease-specific economic evaluations conducted for reimbursement purposes, and hospital operational efficiency techniques considered in isolation from purchasing or payment arrangements. It also excludes health insurance design questions concerning household cost sharing, which raise distinct analytical issues.</w:t>
      </w:r>
    </w:p>
    <w:p w14:paraId="33197213" w14:textId="77777777" w:rsidR="00975881" w:rsidRDefault="00000000" w:rsidP="00D014A5">
      <w:pPr>
        <w:spacing w:after="140" w:line="320" w:lineRule="auto"/>
        <w:jc w:val="both"/>
      </w:pPr>
      <w:r>
        <w:t xml:space="preserve">Existing reviews within this field are numerous but partitioned. Implementation reviews document how value-based programmes are organised without assessing expenditure effects. Payment reviews assess individual payment models without situating them within the wider containment repertoire. Waste and low-value care reviews quantify the theoretical opportunity without establishing what proportion is </w:t>
      </w:r>
      <w:r>
        <w:lastRenderedPageBreak/>
        <w:t>recoverable in practice. Reviews concerned with lower-income settings address financing functions with limited reference to the value literature. What is missing is an integrated critical appraisal that places these strands alongside one another, asks whether the evidentiary standards applied within each are comparable, and identifies where the field's central claims rest on demonstration rather than on plausibility.</w:t>
      </w:r>
    </w:p>
    <w:p w14:paraId="723A1C4A" w14:textId="77777777" w:rsidR="00975881" w:rsidRDefault="00000000" w:rsidP="00D014A5">
      <w:pPr>
        <w:spacing w:after="140" w:line="320" w:lineRule="auto"/>
        <w:jc w:val="both"/>
      </w:pPr>
      <w:r>
        <w:t>The objectives are therefore fivefold. The first is to clarify how value is defined, measured and operationalised, and to establish what follows analytically from the ambiguity that remains. The second is to appraise the evidence on payment and organisational reform, distinguishing settings where spending restraint has been demonstrated from settings where it has been asserted. The third is to appraise price-side and technology-side instruments, which have attracted less attention within the value literature despite accounting for a substantial share of documented containment potential. The fourth is to examine distributional consequences and unintended effects, including the behaviour of measured value under incentive pressure. The fifth is to assess transferability to systems whose financing and administrative conditions differ fundamentally from those in which the dominant models were developed. The intended contribution is an evidence-calibrated account of what is known, what is contested and what has not been established, together with a prioritised agenda for the evaluations that would resolve the principal uncertainties.</w:t>
      </w:r>
    </w:p>
    <w:p w14:paraId="3A5C3779" w14:textId="77777777" w:rsidR="00975881" w:rsidRDefault="00000000" w:rsidP="00D014A5">
      <w:pPr>
        <w:pStyle w:val="Heading1"/>
        <w:spacing w:before="340" w:after="140"/>
        <w:jc w:val="both"/>
      </w:pPr>
      <w:r>
        <w:rPr>
          <w:b/>
          <w:bCs/>
          <w:color w:val="000000"/>
          <w:sz w:val="24"/>
          <w:szCs w:val="24"/>
        </w:rPr>
        <w:t>2. Methods for Literature Selection</w:t>
      </w:r>
    </w:p>
    <w:p w14:paraId="7EC8E8B5" w14:textId="77777777" w:rsidR="00975881" w:rsidRDefault="00000000" w:rsidP="00D014A5">
      <w:pPr>
        <w:pStyle w:val="Heading2"/>
        <w:spacing w:before="260" w:after="110"/>
        <w:jc w:val="both"/>
      </w:pPr>
      <w:r>
        <w:rPr>
          <w:b/>
          <w:bCs/>
          <w:i/>
          <w:iCs/>
          <w:color w:val="000000"/>
          <w:sz w:val="22"/>
          <w:szCs w:val="22"/>
        </w:rPr>
        <w:t>2.1 Review Design and Rationale</w:t>
      </w:r>
    </w:p>
    <w:p w14:paraId="7C945A17" w14:textId="77777777" w:rsidR="00975881" w:rsidRDefault="00000000" w:rsidP="00D014A5">
      <w:pPr>
        <w:spacing w:after="140" w:line="320" w:lineRule="auto"/>
        <w:jc w:val="both"/>
      </w:pPr>
      <w:r>
        <w:t>A critical narrative design was selected because the review question concerns the coherence, adequacy and comparability of a heterogeneous body of evidence rather than the magnitude of a single effect. The literature spans quasi-experimental policy evaluation, systematic reviews of payment models, qualitative implementation research, health economic modelling, conceptual analysis and institutional statistical reporting. These bodies of work differ in design, outcome definition, unit of analysis and epistemic purpose to a degree that precludes meaningful pooling, and a systematic review restricted to one design or one intervention class would exclude precisely the comparative material the question requires. Narrative synthesis retains the capacity to interrogate why bodies of evidence disagree, a capacity that formal aggregation does not provide (Greenhalgh et al., 2018). The design choice does not relax expectations of transparency or appraisal. Reporting was guided by established criteria for narrative review quality, which require explicit justification of importance, a described and reproducible search, appropriate referencing of statements of fact, and evidence-calibrated presentation of data (Baethge et al., 2019). Where synthesis is interpretive, that status is stated rather than concealed.</w:t>
      </w:r>
    </w:p>
    <w:p w14:paraId="62512BC0" w14:textId="77777777" w:rsidR="00975881" w:rsidRDefault="00000000" w:rsidP="00D014A5">
      <w:pPr>
        <w:pStyle w:val="Heading2"/>
        <w:spacing w:before="260" w:after="110"/>
        <w:jc w:val="both"/>
      </w:pPr>
      <w:r>
        <w:rPr>
          <w:b/>
          <w:bCs/>
          <w:i/>
          <w:iCs/>
          <w:color w:val="000000"/>
          <w:sz w:val="22"/>
          <w:szCs w:val="22"/>
        </w:rPr>
        <w:t>2.2 Information Sources</w:t>
      </w:r>
    </w:p>
    <w:p w14:paraId="5F084747" w14:textId="77777777" w:rsidR="00975881" w:rsidRDefault="00000000" w:rsidP="00D014A5">
      <w:pPr>
        <w:spacing w:after="140" w:line="320" w:lineRule="auto"/>
        <w:jc w:val="both"/>
      </w:pPr>
      <w:r>
        <w:t xml:space="preserve">Bibliographic searching was conducted in PubMed, Europe PMC, OpenAlex, Crossref, OpenAIRE and EconBiz. PubMed and Europe PMC provided coverage of clinical, health services and public health literature. OpenAlex and Crossref supported broader multidisciplinary retrieval and bibliographic verification. OpenAIRE extended coverage to European repository-held scholarship, and EconBiz was used for health economics and public finance material that is unevenly indexed in biomedical sources. </w:t>
      </w:r>
      <w:r>
        <w:lastRenderedPageBreak/>
        <w:t>Institutional evidence on expenditure levels, trends and projections was drawn from the World Health Organization and the OECD. Database searching was supplemented by backward citation searching from included reviews, by forward citation checks on foundational conceptual papers, by related-article retrieval, and by targeted verification against publisher landing pages and digital object identifier registration records. Retrieved records were checked for corrections, errata and expressions of concern before inclusion.</w:t>
      </w:r>
    </w:p>
    <w:p w14:paraId="5BA36986" w14:textId="77777777" w:rsidR="00975881" w:rsidRDefault="00000000" w:rsidP="00D014A5">
      <w:pPr>
        <w:pStyle w:val="Heading2"/>
        <w:spacing w:before="260" w:after="110"/>
        <w:jc w:val="both"/>
      </w:pPr>
      <w:r>
        <w:rPr>
          <w:b/>
          <w:bCs/>
          <w:i/>
          <w:iCs/>
          <w:color w:val="000000"/>
          <w:sz w:val="22"/>
          <w:szCs w:val="22"/>
        </w:rPr>
        <w:t>2.3 Search Strategy and Search Period</w:t>
      </w:r>
    </w:p>
    <w:p w14:paraId="271427C0" w14:textId="77777777" w:rsidR="00975881" w:rsidRDefault="00000000" w:rsidP="00D014A5">
      <w:pPr>
        <w:spacing w:after="140" w:line="320" w:lineRule="auto"/>
        <w:jc w:val="both"/>
      </w:pPr>
      <w:r>
        <w:t>Search concepts were constructed from four elements: the value construct, the containment instrument, the outcome domain and the system context. Representative strings combined controlled and free-text terms as follows. For the value construct: ("value-based health care" OR "value-based healthcare" OR "value-based payment" OR "value-based purchasing" OR "high-value care"). For instruments: (bundled payment OR episode-based payment OR "accountable care" OR "shared savings" OR capitation OR "global budget" OR "pay for performance" OR "diagnosis-related group" OR "reference pricing" OR "managed entry agreement" OR "health technology assessment" OR "strategic purchasing"). For outcomes: (expenditure OR spending OR cost OR efficiency OR "cost containment" OR savings OR "patient-reported outcome"). For context and constraint: ("low- and middle-income" OR "universal health coverage" OR equity OR "unintended consequence" OR implementation OR sustainability). Concepts were combined with the Boolean operator AND, with synonyms combined using OR, and were adapted to the syntax and field structure of each source. Supplementary searches addressed low-value care and de-implementation, administrative cost, biosimilar and generic competition, time-driven activity-based costing, and the economic evaluation of digital and artificial intelligence applications.</w:t>
      </w:r>
    </w:p>
    <w:p w14:paraId="4B45C412" w14:textId="77777777" w:rsidR="00975881" w:rsidRDefault="00000000" w:rsidP="00D014A5">
      <w:pPr>
        <w:spacing w:after="140" w:line="320" w:lineRule="auto"/>
        <w:jc w:val="both"/>
      </w:pPr>
      <w:r>
        <w:t>The search period extended from 2000 to 22 June 2026, which was the final search date. The starting year reflects the point at which comparable international health accounting became available and at which contemporary purchasing reform began to be evaluated systematically. Foundational publications preceding that year were eligible where they were necessary to explain the intellectual development of the field.</w:t>
      </w:r>
    </w:p>
    <w:p w14:paraId="4E7FBFC7" w14:textId="77777777" w:rsidR="00975881" w:rsidRDefault="00000000" w:rsidP="00D014A5">
      <w:pPr>
        <w:pStyle w:val="Heading2"/>
        <w:spacing w:before="260" w:after="110"/>
        <w:jc w:val="both"/>
      </w:pPr>
      <w:r>
        <w:rPr>
          <w:b/>
          <w:bCs/>
          <w:i/>
          <w:iCs/>
          <w:color w:val="000000"/>
          <w:sz w:val="22"/>
          <w:szCs w:val="22"/>
        </w:rPr>
        <w:t>2.4 Eligibility Criteria</w:t>
      </w:r>
    </w:p>
    <w:p w14:paraId="15ED1BF3" w14:textId="77777777" w:rsidR="00975881" w:rsidRDefault="00000000" w:rsidP="00D014A5">
      <w:pPr>
        <w:spacing w:after="140" w:line="320" w:lineRule="auto"/>
        <w:jc w:val="both"/>
      </w:pPr>
      <w:r>
        <w:t>Eligible publications were peer-reviewed journal articles reporting empirical evaluation, systematic or scoping review, conceptual or methodological analysis, or policy analysis relevant to value-based health care or to cost containment in health systems. Institutional reports were eligible where issued by intergovernmental or governmental bodies and where they provided expenditure statistics or projections not otherwise available in the peer-reviewed literature. Publications were required to be in English, to concern human health systems, and to address at least one of the following: expenditure, cost, efficiency, value measurement, payment design, priority setting, service utilisation of contested appropriateness, or the distributional consequences of the foregoing.</w:t>
      </w:r>
    </w:p>
    <w:p w14:paraId="4455E6E9" w14:textId="77777777" w:rsidR="00975881" w:rsidRDefault="00000000" w:rsidP="00D014A5">
      <w:pPr>
        <w:spacing w:after="140" w:line="320" w:lineRule="auto"/>
        <w:jc w:val="both"/>
      </w:pPr>
      <w:r>
        <w:t xml:space="preserve">Publications were excluded when they reported single-institution operational descriptions without comparative or evaluative content, when they were commentaries offering no new analysis or synthesis, when they addressed clinical effectiveness without an economic or system dimension, when bibliographic identity could not be confirmed, or when they were preprints for which peer-reviewed </w:t>
      </w:r>
      <w:r>
        <w:lastRenderedPageBreak/>
        <w:t>evidence on the same question was available. Trade publications, promotional material and non-scholarly commentary were excluded throughout.</w:t>
      </w:r>
    </w:p>
    <w:p w14:paraId="2E8843E0" w14:textId="77777777" w:rsidR="00975881" w:rsidRDefault="00000000" w:rsidP="00D014A5">
      <w:pPr>
        <w:pStyle w:val="Heading2"/>
        <w:spacing w:before="260" w:after="110"/>
        <w:jc w:val="both"/>
      </w:pPr>
      <w:r>
        <w:rPr>
          <w:b/>
          <w:bCs/>
          <w:i/>
          <w:iCs/>
          <w:color w:val="000000"/>
          <w:sz w:val="22"/>
          <w:szCs w:val="22"/>
        </w:rPr>
        <w:t>2.5 Screening, Duplicate Handling and Study Selection</w:t>
      </w:r>
    </w:p>
    <w:p w14:paraId="3CA0A9F0" w14:textId="77777777" w:rsidR="00975881" w:rsidRDefault="00000000" w:rsidP="00D014A5">
      <w:pPr>
        <w:spacing w:after="140" w:line="320" w:lineRule="auto"/>
        <w:jc w:val="both"/>
      </w:pPr>
      <w:r>
        <w:t>Records retrieved from each source were assessed by title and abstract against the eligibility criteria, and records passing that stage were assessed in full text where the full text was accessible. Duplicates arising from overlapping coverage across sources were identified by matching digital object identifiers, and, where identifiers were absent, by matching title, first author and year. Preprint versions were removed where the corresponding peer-reviewed article was retrieved. Where a record could not be obtained in full text, it was retained only if the abstract and indexed metadata were sufficient to support the specific claim for which it would be cited, and it was otherwise excluded. Because selection was purposive and interpretive rather than exhaustive, no record counts are reported and no flow diagram is presented; reporting screening tallies would imply a systematic selection process that was not undertaken.</w:t>
      </w:r>
    </w:p>
    <w:p w14:paraId="7AA4338D" w14:textId="77777777" w:rsidR="00975881" w:rsidRDefault="00000000" w:rsidP="00D014A5">
      <w:pPr>
        <w:pStyle w:val="Heading2"/>
        <w:spacing w:before="260" w:after="110"/>
        <w:jc w:val="both"/>
      </w:pPr>
      <w:r>
        <w:rPr>
          <w:b/>
          <w:bCs/>
          <w:i/>
          <w:iCs/>
          <w:color w:val="000000"/>
          <w:sz w:val="22"/>
          <w:szCs w:val="22"/>
        </w:rPr>
        <w:t>2.6 Critical Appraisal and Evidence Synthesis</w:t>
      </w:r>
    </w:p>
    <w:p w14:paraId="085AA07C" w14:textId="77777777" w:rsidR="00975881" w:rsidRDefault="00000000" w:rsidP="00D014A5">
      <w:pPr>
        <w:spacing w:after="140" w:line="320" w:lineRule="auto"/>
        <w:jc w:val="both"/>
      </w:pPr>
      <w:r>
        <w:t>Included studies were appraised against criteria appropriate to their design. Policy evaluations were assessed for the credibility of the counterfactual, the plausibility of parallel trends where difference-in-differences methods were used, the treatment of voluntary participation and selection, the handling of concurrent reforms, the adequacy of risk adjustment, and the length of follow-up relative to the mechanism postulated. Systematic reviews were assessed for search adequacy, transparency of inclusion, treatment of heterogeneity and the strength of the inferences drawn relative to the primary evidence. Modelling studies were assessed for the transparency of assumptions and for the extent to which conclusions depended on parameters that were themselves uncertain. Institutional statistics were assessed for methodological documentation and for consistency across reporting cycles. Formal risk-of-bias instruments were not applied, because the heterogeneity of designs precluded the consistent application of any single recognised tool.</w:t>
      </w:r>
    </w:p>
    <w:p w14:paraId="17CB7D0E" w14:textId="77777777" w:rsidR="00975881" w:rsidRDefault="00000000" w:rsidP="00D014A5">
      <w:pPr>
        <w:spacing w:after="140" w:line="320" w:lineRule="auto"/>
        <w:jc w:val="both"/>
      </w:pPr>
      <w:r>
        <w:t>Themes were developed inductively from the appraised literature and then tested against it. An initial reading identified recurrent analytical problems rather than intervention categories, and material was reorganised around those problems. Where studies disagreed, the disagreement was examined for its source, distinguishing differences in population, comparator, outcome definition, time horizon and analytical method from substantive contradiction. Confidence statements in the synthesis reflect the consistency of findings across independent evaluations, the strength of the designs producing them, and the extent to which alternative explanations have been excluded.</w:t>
      </w:r>
    </w:p>
    <w:p w14:paraId="74894AEA" w14:textId="77777777" w:rsidR="00975881" w:rsidRDefault="00000000" w:rsidP="00D014A5">
      <w:pPr>
        <w:pStyle w:val="Heading1"/>
        <w:spacing w:before="340" w:after="140"/>
        <w:jc w:val="both"/>
      </w:pPr>
      <w:r>
        <w:rPr>
          <w:b/>
          <w:bCs/>
          <w:color w:val="000000"/>
          <w:sz w:val="24"/>
          <w:szCs w:val="24"/>
        </w:rPr>
        <w:t>3. The Fiscal Setting and the Structure of the Containment Problem</w:t>
      </w:r>
    </w:p>
    <w:p w14:paraId="520BE220" w14:textId="77777777" w:rsidR="00975881" w:rsidRDefault="00000000" w:rsidP="00D014A5">
      <w:pPr>
        <w:pStyle w:val="Heading2"/>
        <w:spacing w:before="260" w:after="110"/>
        <w:jc w:val="both"/>
      </w:pPr>
      <w:r>
        <w:rPr>
          <w:b/>
          <w:bCs/>
          <w:i/>
          <w:iCs/>
          <w:color w:val="000000"/>
          <w:sz w:val="22"/>
          <w:szCs w:val="22"/>
        </w:rPr>
        <w:t>3.1 Expenditure growth and its uneven distribution</w:t>
      </w:r>
    </w:p>
    <w:p w14:paraId="2CEECDDA" w14:textId="77777777" w:rsidR="00975881" w:rsidRDefault="00000000" w:rsidP="00D014A5">
      <w:pPr>
        <w:spacing w:after="140" w:line="320" w:lineRule="auto"/>
        <w:jc w:val="both"/>
      </w:pPr>
      <w:r>
        <w:t xml:space="preserve">The aggregate picture is one of sustained real growth in health spending accompanied by wide and persistent dispersion between systems. Within the OECD, spending stood at 9.3% of gross domestic product in 2024, having receded from its pandemic peak while remaining above the pre-pandemic </w:t>
      </w:r>
      <w:r>
        <w:lastRenderedPageBreak/>
        <w:t>baseline, and in sixteen member countries health accounted for at least a tenth of national output (OECD, 2025). Public spending on health represented approximately 15% of total government expenditure in the average member country, which places health financing in direct competition with other claims on the public purse rather than in a protected category of its own. Longer-run accounting across all income groups shows that this expansion was not confined to wealthy systems, although the absolute gap in per capita spending between income groups widened rather than narrowed over the period examined (Global Burden of Disease Health Financing Collaborator Network, 2019).</w:t>
      </w:r>
    </w:p>
    <w:p w14:paraId="605BF112" w14:textId="77777777" w:rsidR="00975881" w:rsidRDefault="00000000" w:rsidP="00D014A5">
      <w:pPr>
        <w:spacing w:after="140" w:line="320" w:lineRule="auto"/>
        <w:jc w:val="both"/>
      </w:pPr>
      <w:r>
        <w:t>Cross-national comparison also demonstrates that expenditure levels are poorly predicted by utilisation. The most widely cited comparative analysis found that the United States spent 17.8% of gross domestic product on health in 2016, against a range of 9.6% to 12.4% among ten other high-income comparators, without corresponding differences in the volume of most services delivered; the divergence was attributable predominantly to prices, to administrative complexity and to the cost of pharmaceuticals and salaried labour (Papanicolas et al., 2018). The analytical significance of that finding for the present review is considerable. If a substantial share of expenditure variation reflects price and transaction cost rather than volume, then containment strategies aimed at volume, which describes the majority of value-based payment designs, address a smaller portion of the problem than their prominence suggests.</w:t>
      </w:r>
    </w:p>
    <w:p w14:paraId="423C2751" w14:textId="77777777" w:rsidR="00975881" w:rsidRDefault="00000000" w:rsidP="00D014A5">
      <w:pPr>
        <w:pStyle w:val="Heading2"/>
        <w:spacing w:before="260" w:after="110"/>
        <w:jc w:val="both"/>
      </w:pPr>
      <w:r>
        <w:rPr>
          <w:b/>
          <w:bCs/>
          <w:i/>
          <w:iCs/>
          <w:color w:val="000000"/>
          <w:sz w:val="22"/>
          <w:szCs w:val="22"/>
        </w:rPr>
        <w:t>3.2 What drives growth, and why the attribution matters</w:t>
      </w:r>
    </w:p>
    <w:p w14:paraId="18BD17DC" w14:textId="77777777" w:rsidR="00975881" w:rsidRDefault="00000000" w:rsidP="00D014A5">
      <w:pPr>
        <w:spacing w:after="140" w:line="320" w:lineRule="auto"/>
        <w:jc w:val="both"/>
      </w:pPr>
      <w:r>
        <w:t>Attribution of expenditure growth to underlying causes remains contested, and the contest is consequential because different attributions license different instruments. Institutional analysis attributes the projected increase in public health spending principally to technological change, to rising expectations of what health care can deliver, and to demographic ageing (OECD, 2025). Each of these has a distinct policy implication. If technology is dominant, the operative levers are assessment, coverage decision-making and price negotiation. If expectations are dominant, the operative levers concern demand management, shared decision-making and the reconstruction of clinical norms. If ageing is dominant, the levers concern service configuration, long-term care integration and prevention. Because the three operate simultaneously and interact, single-instrument strategies are unlikely to alter the aggregate trajectory, and evaluations that attribute observed savings to one instrument in isolation should be interpreted with corresponding caution.</w:t>
      </w:r>
    </w:p>
    <w:p w14:paraId="294906B3" w14:textId="77777777" w:rsidR="00975881" w:rsidRDefault="00000000" w:rsidP="00D014A5">
      <w:pPr>
        <w:spacing w:after="140" w:line="320" w:lineRule="auto"/>
        <w:jc w:val="both"/>
      </w:pPr>
      <w:r>
        <w:t>The same institutional analysis draws attention to an allocation pattern that complicates optimistic readings of the prevention argument. Preventive care accounted for approximately 3% of health spending in the average member country in 2023, having risen to 6% during the pandemic before returning to its historical level, while primary care accounted for approximately 14% (OECD, 2025). The reversion is informative. It indicates that pandemic-era reallocation towards prevention was a response to acute circumstance rather than a durable structural shift, and it suggests that arguments for prevention as a containment strategy must contend with a demonstrated tendency for such allocations to revert once the precipitating pressure recedes.</w:t>
      </w:r>
    </w:p>
    <w:p w14:paraId="7192C835" w14:textId="77777777" w:rsidR="00975881" w:rsidRDefault="00000000" w:rsidP="00D014A5">
      <w:pPr>
        <w:pStyle w:val="Heading2"/>
        <w:spacing w:before="260" w:after="110"/>
        <w:jc w:val="both"/>
      </w:pPr>
      <w:r>
        <w:rPr>
          <w:b/>
          <w:bCs/>
          <w:i/>
          <w:iCs/>
          <w:color w:val="000000"/>
          <w:sz w:val="22"/>
          <w:szCs w:val="22"/>
        </w:rPr>
        <w:t>3.3 The post-pandemic financing environment</w:t>
      </w:r>
    </w:p>
    <w:p w14:paraId="27178886" w14:textId="77777777" w:rsidR="00975881" w:rsidRDefault="00000000" w:rsidP="00D014A5">
      <w:pPr>
        <w:spacing w:after="140" w:line="320" w:lineRule="auto"/>
        <w:jc w:val="both"/>
      </w:pPr>
      <w:r>
        <w:t xml:space="preserve">The financing environment changed materially during the mid-2020s in ways that bear directly on the feasibility of reform. External financing for health, which had expanded almost continuously since </w:t>
      </w:r>
      <w:r>
        <w:lastRenderedPageBreak/>
        <w:t>1990, contracted sharply, and tracking analysis indicates that assistance is unlikely to return to its earlier peak within the projection horizon (Apeagyei et al., 2025). Institutional expenditure reporting for the immediate post-pandemic period documented a related pattern of retrenchment in government health spending in many countries as emergency financing was withdrawn (World Health Organization, 2024). For systems with substantial external dependence, the practical consequence is that efficiency improvement ceases to be one option among several and becomes a condition of maintaining existing service levels.</w:t>
      </w:r>
    </w:p>
    <w:p w14:paraId="4CDD4C7A" w14:textId="77777777" w:rsidR="00975881" w:rsidRDefault="00000000" w:rsidP="00D014A5">
      <w:pPr>
        <w:spacing w:after="140" w:line="320" w:lineRule="auto"/>
        <w:jc w:val="both"/>
      </w:pPr>
      <w:r>
        <w:t>This shift alters the analytical question that the value literature must answer. In a high-income system with a growing budget, value-based reform can be framed as a way of purchasing better outcomes with resources that would have been spent regardless. In a system facing absolute contraction, the same reforms must demonstrate that they release resources rather than merely redistribute them between providers, and that they do so at an administrative cost lower than the savings realised. Very little of the existing evaluation literature has been designed to answer that second question, a point developed in Section 11.</w:t>
      </w:r>
    </w:p>
    <w:p w14:paraId="60CBCF51" w14:textId="77777777" w:rsidR="00975881" w:rsidRDefault="00000000" w:rsidP="00D014A5">
      <w:pPr>
        <w:pStyle w:val="Heading1"/>
        <w:spacing w:before="340" w:after="140"/>
        <w:jc w:val="both"/>
      </w:pPr>
      <w:r>
        <w:rPr>
          <w:b/>
          <w:bCs/>
          <w:color w:val="000000"/>
          <w:sz w:val="24"/>
          <w:szCs w:val="24"/>
        </w:rPr>
        <w:t>4. The Contested Construct of Value and Its Measurement Infrastructure</w:t>
      </w:r>
    </w:p>
    <w:p w14:paraId="05DD3EF4" w14:textId="77777777" w:rsidR="00975881" w:rsidRDefault="00000000" w:rsidP="00D014A5">
      <w:pPr>
        <w:pStyle w:val="Heading2"/>
        <w:spacing w:before="260" w:after="110"/>
        <w:jc w:val="both"/>
      </w:pPr>
      <w:r>
        <w:rPr>
          <w:b/>
          <w:bCs/>
          <w:i/>
          <w:iCs/>
          <w:color w:val="000000"/>
          <w:sz w:val="22"/>
          <w:szCs w:val="22"/>
        </w:rPr>
        <w:t>4.1 The original formulation and its analytical attractions</w:t>
      </w:r>
    </w:p>
    <w:p w14:paraId="13C4D908" w14:textId="77777777" w:rsidR="00975881" w:rsidRDefault="00000000" w:rsidP="00D014A5">
      <w:pPr>
        <w:spacing w:after="140" w:line="320" w:lineRule="auto"/>
        <w:jc w:val="both"/>
      </w:pPr>
      <w:r>
        <w:t>The formulation that gave the field its name defines value as the health outcomes achieved per unit of currency expended, measured over the full cycle of care for a patient's medical condition rather than for individual services, departments or institutions (Porter, 2010). Three features of this definition account for much of its influence. It makes outcomes rather than process the numerator, which aligns measurement with what patients are held to want. It makes the condition rather than the service the unit of analysis, which exposes the fragmentation that fee-for-service arrangements reward. It treats cost as the denominator of a ratio rather than as an independent target, which permits advocacy for efficiency without advocacy for reduced provision. The formulation is analytically disciplined in a way that much preceding quality improvement discourse was not.</w:t>
      </w:r>
    </w:p>
    <w:p w14:paraId="01C6B8D7" w14:textId="77777777" w:rsidR="00975881" w:rsidRDefault="00000000" w:rsidP="00D014A5">
      <w:pPr>
        <w:spacing w:after="140" w:line="320" w:lineRule="auto"/>
        <w:jc w:val="both"/>
      </w:pPr>
      <w:r>
        <w:t>Its practical demands, however, are severe. Computing the ratio requires longitudinal outcome measurement at the level of the condition, accurate attribution of cost to the full care cycle across organisational boundaries, and information systems capable of linking the two. Reviews of implementation experience find that most initiatives satisfy none of these requirements fully and many satisfy none at all, with programmes typically adopting a subset of the model's organisational components, most commonly outcome measurement or multidisciplinary team reorganisation, while leaving costing and payment untouched (van Staalduinen et al., 2022; Zanotto et al., 2021). Scoping work on implementation strategies reaches the same conclusion and documents that the components adopted are those requiring least disruption to existing financial architecture (de Mattia et al., 2024).</w:t>
      </w:r>
    </w:p>
    <w:p w14:paraId="3FADB4AC" w14:textId="77777777" w:rsidR="00975881" w:rsidRDefault="00000000" w:rsidP="00D014A5">
      <w:pPr>
        <w:pStyle w:val="Heading2"/>
        <w:spacing w:before="260" w:after="110"/>
        <w:jc w:val="both"/>
      </w:pPr>
      <w:r>
        <w:rPr>
          <w:b/>
          <w:bCs/>
          <w:i/>
          <w:iCs/>
          <w:color w:val="000000"/>
          <w:sz w:val="22"/>
          <w:szCs w:val="22"/>
        </w:rPr>
        <w:t>4.2 Plural meanings and the normative critique</w:t>
      </w:r>
    </w:p>
    <w:p w14:paraId="05F8F68B" w14:textId="77777777" w:rsidR="00975881" w:rsidRDefault="00000000" w:rsidP="00D014A5">
      <w:pPr>
        <w:spacing w:after="140" w:line="320" w:lineRule="auto"/>
        <w:jc w:val="both"/>
      </w:pPr>
      <w:r>
        <w:t xml:space="preserve">Discourse analysis of how the term is used shows that value operates as a container for at least four distinguishable meanings: economic value in the cost-effectiveness sense, personal value reflecting what matters to the individual patient, technical value concerning the appropriate use of resources for a </w:t>
      </w:r>
      <w:r>
        <w:lastRenderedPageBreak/>
        <w:t>given outcome, and societal or allocative value concerning the distribution of benefit across a population (Steinmann et al., 2020). These meanings are not merely different emphases. They can conflict directly, since maximising personal value for individual patients may reduce allocative value across a population, and maximising technical efficiency within a condition may worsen outcomes for patients with multiple conditions who fall outside the defined care cycle. Empirical investigation of how the term is understood by clinicians and managers within operating systems confirms that divergent interpretations coexist and that the divergence is not resolved by exposure to formal programme definitions (Jiang et al., 2026).</w:t>
      </w:r>
    </w:p>
    <w:p w14:paraId="3B16E4A0" w14:textId="77777777" w:rsidR="00975881" w:rsidRDefault="00000000" w:rsidP="00D014A5">
      <w:pPr>
        <w:spacing w:after="140" w:line="320" w:lineRule="auto"/>
        <w:jc w:val="both"/>
      </w:pPr>
      <w:r>
        <w:t>A more fundamental critique concerns the competitive mechanism through which the original formulation expects value to improve. Analysis of the ethical implications of value-based competition argues that competition on measured value creates incentives to define care cycles narrowly, to select patients whose outcomes are predictable, and to privilege dimensions of care that are measurable over dimensions that are not, and that these incentives are structural rather than incidental (Groenewoud et al., 2019). The proposed alternative, an approach driven by explicitly articulated values rather than by measured value alone, has not been evaluated empirically at system scale, and its practical implications for purchasing remain undeveloped. The critique is nonetheless important because it identifies a mechanism, the endogeneity of measured value to strategic behaviour, that recurs throughout the payment evidence examined in Section 5.</w:t>
      </w:r>
    </w:p>
    <w:p w14:paraId="784D9574" w14:textId="77777777" w:rsidR="00975881" w:rsidRDefault="00000000" w:rsidP="00D014A5">
      <w:pPr>
        <w:pStyle w:val="Heading2"/>
        <w:spacing w:before="260" w:after="110"/>
        <w:jc w:val="both"/>
      </w:pPr>
      <w:r>
        <w:rPr>
          <w:b/>
          <w:bCs/>
          <w:i/>
          <w:iCs/>
          <w:color w:val="000000"/>
          <w:sz w:val="22"/>
          <w:szCs w:val="22"/>
        </w:rPr>
        <w:t>4.3 Measuring outcomes and costs</w:t>
      </w:r>
    </w:p>
    <w:p w14:paraId="536B8058" w14:textId="77777777" w:rsidR="00975881" w:rsidRDefault="00000000" w:rsidP="00D014A5">
      <w:pPr>
        <w:spacing w:after="140" w:line="320" w:lineRule="auto"/>
        <w:jc w:val="both"/>
      </w:pPr>
      <w:r>
        <w:t>The measurement infrastructure required by the value construct has advanced unevenly. On the outcome side, standardised condition-specific outcome sets have been developed and deployed, and their application in routine care has proved capable of revealing deficits in current practice that administrative data do not capture. Implementation of a standardised outcome set in inflammatory bowel disease, for instance, quantified shortfalls in care that would otherwise have remained invisible to the responsible clinicians (Wong et al., 2022). Such demonstrations establish feasibility within motivated services. They do not establish that routine collection is sustainable at system scale, nor that the resulting information changes purchasing decisions, and evidence on the latter question remains notably thin.</w:t>
      </w:r>
    </w:p>
    <w:p w14:paraId="5E279DE3" w14:textId="77777777" w:rsidR="00975881" w:rsidRDefault="00000000" w:rsidP="00D014A5">
      <w:pPr>
        <w:spacing w:after="140" w:line="320" w:lineRule="auto"/>
        <w:jc w:val="both"/>
      </w:pPr>
      <w:r>
        <w:t>On the cost side, time-driven activity-based costing has been proposed as the accounting method capable of supplying a defensible denominator. Systematic appraisal of its use in health economic analysis finds that the method has been applied across a widening range of settings and that it produces cost estimates more granular than traditional allocation approaches, while also finding substantial variation in the rigour with which time estimates are derived and considerable inconsistency in reporting (Shakya et al., 2025). Review of its application within oncology reports similar conclusions, noting that most studies are single-centre, that time inputs are frequently obtained by expert estimation rather than direct observation, and that the resulting figures are therefore of uncertain external validity (Busschaert et al., 2025). The implication is not that the method is unsound but that the denominator of the value ratio is presently estimated with a precision inferior to that assumed by the framework relying on it.</w:t>
      </w:r>
    </w:p>
    <w:p w14:paraId="30E0F937" w14:textId="77777777" w:rsidR="00975881" w:rsidRDefault="00000000" w:rsidP="00D014A5">
      <w:pPr>
        <w:spacing w:after="140" w:line="320" w:lineRule="auto"/>
        <w:jc w:val="both"/>
      </w:pPr>
      <w:r>
        <w:t xml:space="preserve">The organisational precondition has received less attention than the technical one. Evidence on the role of leadership within integrated practice units, the organisational form the original model prescribes, </w:t>
      </w:r>
      <w:r>
        <w:lastRenderedPageBreak/>
        <w:t>indicates that the coordinating and relational work required to sustain such units is substantial and is rarely resourced explicitly in programme design (van Staalduinen et al., 2025). Where the reorganisation is treated as an administrative reclassification rather than as a change in working relationships, the measurement apparatus may be installed without the clinical integration it was intended to support.</w:t>
      </w:r>
    </w:p>
    <w:p w14:paraId="41C56E19" w14:textId="77777777" w:rsidR="00975881" w:rsidRDefault="00000000" w:rsidP="00D014A5">
      <w:pPr>
        <w:spacing w:after="140" w:line="320" w:lineRule="auto"/>
        <w:jc w:val="both"/>
      </w:pPr>
      <w:r>
        <w:t>Table 1 sets out the principal conceptualisations of value encountered in the reviewed literature, the measurement each requires, and the analytical difficulty each generates. The table is intended to make explicit why apparently conflicting findings about value-based programmes may reflect divergent construct definitions rather than substantive disagreement; a programme improving technical value within a condition may simultaneously reduce allocative value across a population, and an evaluation measuring only one of these will report an unambiguous result where the underlying position is ambiguous. The distinctions also clarify which critiques apply to which formulation, since the objection that measured value invites patient selection applies with force to competitive and technical formulations and considerably less force to allocative formulations administered through population budgets.</w:t>
      </w:r>
    </w:p>
    <w:p w14:paraId="4E1D9AFC" w14:textId="77777777" w:rsidR="00975881" w:rsidRDefault="00000000" w:rsidP="00D014A5">
      <w:pPr>
        <w:spacing w:before="240" w:after="100"/>
        <w:jc w:val="both"/>
      </w:pPr>
      <w:r>
        <w:rPr>
          <w:b/>
          <w:bCs/>
          <w:sz w:val="19"/>
          <w:szCs w:val="19"/>
        </w:rPr>
        <w:t>Table 1. Competing conceptualisations of value in health care, their measurement requirements and their principal analytical difficulties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2076"/>
        <w:gridCol w:w="1805"/>
        <w:gridCol w:w="2076"/>
        <w:gridCol w:w="1625"/>
      </w:tblGrid>
      <w:tr w:rsidR="00975881" w14:paraId="097E962A" w14:textId="77777777">
        <w:trPr>
          <w:tblHeader/>
        </w:trPr>
        <w:tc>
          <w:tcPr>
            <w:tcW w:w="1444" w:type="dxa"/>
            <w:shd w:val="clear" w:color="auto" w:fill="E8EDF2"/>
            <w:tcMar>
              <w:top w:w="60" w:type="dxa"/>
              <w:left w:w="90" w:type="dxa"/>
              <w:bottom w:w="60" w:type="dxa"/>
              <w:right w:w="90" w:type="dxa"/>
            </w:tcMar>
          </w:tcPr>
          <w:p w14:paraId="60CF9095" w14:textId="77777777" w:rsidR="00975881" w:rsidRDefault="00000000" w:rsidP="00D014A5">
            <w:pPr>
              <w:spacing w:after="20" w:line="220" w:lineRule="auto"/>
              <w:jc w:val="both"/>
            </w:pPr>
            <w:r>
              <w:rPr>
                <w:b/>
                <w:bCs/>
                <w:sz w:val="16"/>
                <w:szCs w:val="16"/>
              </w:rPr>
              <w:t>Conceptualisation</w:t>
            </w:r>
          </w:p>
        </w:tc>
        <w:tc>
          <w:tcPr>
            <w:tcW w:w="2076" w:type="dxa"/>
            <w:shd w:val="clear" w:color="auto" w:fill="E8EDF2"/>
            <w:tcMar>
              <w:top w:w="60" w:type="dxa"/>
              <w:left w:w="90" w:type="dxa"/>
              <w:bottom w:w="60" w:type="dxa"/>
              <w:right w:w="90" w:type="dxa"/>
            </w:tcMar>
          </w:tcPr>
          <w:p w14:paraId="15EA9892" w14:textId="77777777" w:rsidR="00975881" w:rsidRDefault="00000000" w:rsidP="00D014A5">
            <w:pPr>
              <w:spacing w:after="20" w:line="220" w:lineRule="auto"/>
              <w:jc w:val="both"/>
            </w:pPr>
            <w:r>
              <w:rPr>
                <w:b/>
                <w:bCs/>
                <w:sz w:val="16"/>
                <w:szCs w:val="16"/>
              </w:rPr>
              <w:t>Core claim</w:t>
            </w:r>
          </w:p>
        </w:tc>
        <w:tc>
          <w:tcPr>
            <w:tcW w:w="1805" w:type="dxa"/>
            <w:shd w:val="clear" w:color="auto" w:fill="E8EDF2"/>
            <w:tcMar>
              <w:top w:w="60" w:type="dxa"/>
              <w:left w:w="90" w:type="dxa"/>
              <w:bottom w:w="60" w:type="dxa"/>
              <w:right w:w="90" w:type="dxa"/>
            </w:tcMar>
          </w:tcPr>
          <w:p w14:paraId="63EBD6DA" w14:textId="77777777" w:rsidR="00975881" w:rsidRDefault="00000000" w:rsidP="00D014A5">
            <w:pPr>
              <w:spacing w:after="20" w:line="220" w:lineRule="auto"/>
              <w:jc w:val="both"/>
            </w:pPr>
            <w:r>
              <w:rPr>
                <w:b/>
                <w:bCs/>
                <w:sz w:val="16"/>
                <w:szCs w:val="16"/>
              </w:rPr>
              <w:t>Measurement required</w:t>
            </w:r>
          </w:p>
        </w:tc>
        <w:tc>
          <w:tcPr>
            <w:tcW w:w="2076" w:type="dxa"/>
            <w:shd w:val="clear" w:color="auto" w:fill="E8EDF2"/>
            <w:tcMar>
              <w:top w:w="60" w:type="dxa"/>
              <w:left w:w="90" w:type="dxa"/>
              <w:bottom w:w="60" w:type="dxa"/>
              <w:right w:w="90" w:type="dxa"/>
            </w:tcMar>
          </w:tcPr>
          <w:p w14:paraId="699E63C7" w14:textId="77777777" w:rsidR="00975881" w:rsidRDefault="00000000" w:rsidP="00D014A5">
            <w:pPr>
              <w:spacing w:after="20" w:line="220" w:lineRule="auto"/>
              <w:jc w:val="both"/>
            </w:pPr>
            <w:r>
              <w:rPr>
                <w:b/>
                <w:bCs/>
                <w:sz w:val="16"/>
                <w:szCs w:val="16"/>
              </w:rPr>
              <w:t>Principal analytical difficulty</w:t>
            </w:r>
          </w:p>
        </w:tc>
        <w:tc>
          <w:tcPr>
            <w:tcW w:w="1625" w:type="dxa"/>
            <w:shd w:val="clear" w:color="auto" w:fill="E8EDF2"/>
            <w:tcMar>
              <w:top w:w="60" w:type="dxa"/>
              <w:left w:w="90" w:type="dxa"/>
              <w:bottom w:w="60" w:type="dxa"/>
              <w:right w:w="90" w:type="dxa"/>
            </w:tcMar>
          </w:tcPr>
          <w:p w14:paraId="7C66A96C" w14:textId="77777777" w:rsidR="00975881" w:rsidRDefault="00000000" w:rsidP="00D014A5">
            <w:pPr>
              <w:spacing w:after="20" w:line="220" w:lineRule="auto"/>
              <w:jc w:val="both"/>
            </w:pPr>
            <w:r>
              <w:rPr>
                <w:b/>
                <w:bCs/>
                <w:sz w:val="16"/>
                <w:szCs w:val="16"/>
              </w:rPr>
              <w:t>Supporting references</w:t>
            </w:r>
          </w:p>
        </w:tc>
      </w:tr>
      <w:tr w:rsidR="00975881" w14:paraId="6FA4508C" w14:textId="77777777">
        <w:tc>
          <w:tcPr>
            <w:tcW w:w="1444" w:type="dxa"/>
            <w:tcMar>
              <w:top w:w="60" w:type="dxa"/>
              <w:left w:w="90" w:type="dxa"/>
              <w:bottom w:w="60" w:type="dxa"/>
              <w:right w:w="90" w:type="dxa"/>
            </w:tcMar>
          </w:tcPr>
          <w:p w14:paraId="58537B89" w14:textId="77777777" w:rsidR="00975881" w:rsidRDefault="00000000" w:rsidP="00D014A5">
            <w:pPr>
              <w:spacing w:after="20" w:line="220" w:lineRule="auto"/>
              <w:jc w:val="both"/>
            </w:pPr>
            <w:r>
              <w:rPr>
                <w:sz w:val="16"/>
                <w:szCs w:val="16"/>
              </w:rPr>
              <w:t>Outcome-per-cost (condition-cycle)</w:t>
            </w:r>
          </w:p>
        </w:tc>
        <w:tc>
          <w:tcPr>
            <w:tcW w:w="2076" w:type="dxa"/>
            <w:tcMar>
              <w:top w:w="60" w:type="dxa"/>
              <w:left w:w="90" w:type="dxa"/>
              <w:bottom w:w="60" w:type="dxa"/>
              <w:right w:w="90" w:type="dxa"/>
            </w:tcMar>
          </w:tcPr>
          <w:p w14:paraId="15B70C0A" w14:textId="77777777" w:rsidR="00975881" w:rsidRDefault="00000000" w:rsidP="00D014A5">
            <w:pPr>
              <w:spacing w:after="20" w:line="220" w:lineRule="auto"/>
              <w:jc w:val="both"/>
            </w:pPr>
            <w:r>
              <w:rPr>
                <w:sz w:val="16"/>
                <w:szCs w:val="16"/>
              </w:rPr>
              <w:t>Value is the health outcome achieved per unit of currency spent across the full cycle of care for a medical condition</w:t>
            </w:r>
          </w:p>
        </w:tc>
        <w:tc>
          <w:tcPr>
            <w:tcW w:w="1805" w:type="dxa"/>
            <w:tcMar>
              <w:top w:w="60" w:type="dxa"/>
              <w:left w:w="90" w:type="dxa"/>
              <w:bottom w:w="60" w:type="dxa"/>
              <w:right w:w="90" w:type="dxa"/>
            </w:tcMar>
          </w:tcPr>
          <w:p w14:paraId="2A55AA3C" w14:textId="77777777" w:rsidR="00975881" w:rsidRDefault="00000000" w:rsidP="00D014A5">
            <w:pPr>
              <w:spacing w:after="20" w:line="220" w:lineRule="auto"/>
              <w:jc w:val="both"/>
            </w:pPr>
            <w:r>
              <w:rPr>
                <w:sz w:val="16"/>
                <w:szCs w:val="16"/>
              </w:rPr>
              <w:t>Longitudinal condition-level outcomes; cost attributed across the whole care cycle</w:t>
            </w:r>
          </w:p>
        </w:tc>
        <w:tc>
          <w:tcPr>
            <w:tcW w:w="2076" w:type="dxa"/>
            <w:tcMar>
              <w:top w:w="60" w:type="dxa"/>
              <w:left w:w="90" w:type="dxa"/>
              <w:bottom w:w="60" w:type="dxa"/>
              <w:right w:w="90" w:type="dxa"/>
            </w:tcMar>
          </w:tcPr>
          <w:p w14:paraId="33708807" w14:textId="77777777" w:rsidR="00975881" w:rsidRDefault="00000000" w:rsidP="00D014A5">
            <w:pPr>
              <w:spacing w:after="20" w:line="220" w:lineRule="auto"/>
              <w:jc w:val="both"/>
            </w:pPr>
            <w:r>
              <w:rPr>
                <w:sz w:val="16"/>
                <w:szCs w:val="16"/>
              </w:rPr>
              <w:t>Requires linked outcome and cost infrastructure that most systems lack; care-cycle boundaries fit multimorbidity poorly</w:t>
            </w:r>
          </w:p>
        </w:tc>
        <w:tc>
          <w:tcPr>
            <w:tcW w:w="1625" w:type="dxa"/>
            <w:tcMar>
              <w:top w:w="60" w:type="dxa"/>
              <w:left w:w="90" w:type="dxa"/>
              <w:bottom w:w="60" w:type="dxa"/>
              <w:right w:w="90" w:type="dxa"/>
            </w:tcMar>
          </w:tcPr>
          <w:p w14:paraId="7F1F5246" w14:textId="77777777" w:rsidR="00975881" w:rsidRDefault="00000000" w:rsidP="00D014A5">
            <w:pPr>
              <w:spacing w:after="20" w:line="220" w:lineRule="auto"/>
              <w:jc w:val="both"/>
            </w:pPr>
            <w:r>
              <w:rPr>
                <w:sz w:val="16"/>
                <w:szCs w:val="16"/>
              </w:rPr>
              <w:t>Porter (2010); van Staalduinen et al. (2022)</w:t>
            </w:r>
          </w:p>
        </w:tc>
      </w:tr>
      <w:tr w:rsidR="00975881" w14:paraId="2A4E56A1" w14:textId="77777777">
        <w:tc>
          <w:tcPr>
            <w:tcW w:w="1444" w:type="dxa"/>
            <w:tcMar>
              <w:top w:w="60" w:type="dxa"/>
              <w:left w:w="90" w:type="dxa"/>
              <w:bottom w:w="60" w:type="dxa"/>
              <w:right w:w="90" w:type="dxa"/>
            </w:tcMar>
          </w:tcPr>
          <w:p w14:paraId="0DB2F449" w14:textId="77777777" w:rsidR="00975881" w:rsidRDefault="00000000" w:rsidP="00D014A5">
            <w:pPr>
              <w:spacing w:after="20" w:line="220" w:lineRule="auto"/>
              <w:jc w:val="both"/>
            </w:pPr>
            <w:r>
              <w:rPr>
                <w:sz w:val="16"/>
                <w:szCs w:val="16"/>
              </w:rPr>
              <w:t>Economic (cost-effectiveness) value</w:t>
            </w:r>
          </w:p>
        </w:tc>
        <w:tc>
          <w:tcPr>
            <w:tcW w:w="2076" w:type="dxa"/>
            <w:tcMar>
              <w:top w:w="60" w:type="dxa"/>
              <w:left w:w="90" w:type="dxa"/>
              <w:bottom w:w="60" w:type="dxa"/>
              <w:right w:w="90" w:type="dxa"/>
            </w:tcMar>
          </w:tcPr>
          <w:p w14:paraId="25525DE0" w14:textId="77777777" w:rsidR="00975881" w:rsidRDefault="00000000" w:rsidP="00D014A5">
            <w:pPr>
              <w:spacing w:after="20" w:line="220" w:lineRule="auto"/>
              <w:jc w:val="both"/>
            </w:pPr>
            <w:r>
              <w:rPr>
                <w:sz w:val="16"/>
                <w:szCs w:val="16"/>
              </w:rPr>
              <w:t>Value is incremental benefit per incremental cost assessed against an opportunity-cost threshold</w:t>
            </w:r>
          </w:p>
        </w:tc>
        <w:tc>
          <w:tcPr>
            <w:tcW w:w="1805" w:type="dxa"/>
            <w:tcMar>
              <w:top w:w="60" w:type="dxa"/>
              <w:left w:w="90" w:type="dxa"/>
              <w:bottom w:w="60" w:type="dxa"/>
              <w:right w:w="90" w:type="dxa"/>
            </w:tcMar>
          </w:tcPr>
          <w:p w14:paraId="63E82D8B" w14:textId="77777777" w:rsidR="00975881" w:rsidRDefault="00000000" w:rsidP="00D014A5">
            <w:pPr>
              <w:spacing w:after="20" w:line="220" w:lineRule="auto"/>
              <w:jc w:val="both"/>
            </w:pPr>
            <w:r>
              <w:rPr>
                <w:sz w:val="16"/>
                <w:szCs w:val="16"/>
              </w:rPr>
              <w:t>Comparative effectiveness estimates; threshold estimate; budget impact analysis</w:t>
            </w:r>
          </w:p>
        </w:tc>
        <w:tc>
          <w:tcPr>
            <w:tcW w:w="2076" w:type="dxa"/>
            <w:tcMar>
              <w:top w:w="60" w:type="dxa"/>
              <w:left w:w="90" w:type="dxa"/>
              <w:bottom w:w="60" w:type="dxa"/>
              <w:right w:w="90" w:type="dxa"/>
            </w:tcMar>
          </w:tcPr>
          <w:p w14:paraId="5D281F29" w14:textId="77777777" w:rsidR="00975881" w:rsidRDefault="00000000" w:rsidP="00D014A5">
            <w:pPr>
              <w:spacing w:after="20" w:line="220" w:lineRule="auto"/>
              <w:jc w:val="both"/>
            </w:pPr>
            <w:r>
              <w:rPr>
                <w:sz w:val="16"/>
                <w:szCs w:val="16"/>
              </w:rPr>
              <w:t>Threshold determination is contested and the health displaced by a higher threshold is never directly observed</w:t>
            </w:r>
          </w:p>
        </w:tc>
        <w:tc>
          <w:tcPr>
            <w:tcW w:w="1625" w:type="dxa"/>
            <w:tcMar>
              <w:top w:w="60" w:type="dxa"/>
              <w:left w:w="90" w:type="dxa"/>
              <w:bottom w:w="60" w:type="dxa"/>
              <w:right w:w="90" w:type="dxa"/>
            </w:tcMar>
          </w:tcPr>
          <w:p w14:paraId="674056C9" w14:textId="77777777" w:rsidR="00975881" w:rsidRDefault="00000000" w:rsidP="00D014A5">
            <w:pPr>
              <w:spacing w:after="20" w:line="220" w:lineRule="auto"/>
              <w:jc w:val="both"/>
            </w:pPr>
            <w:r>
              <w:rPr>
                <w:sz w:val="16"/>
                <w:szCs w:val="16"/>
              </w:rPr>
              <w:t>Nemzoff et al. (2021); Paulden (2026)</w:t>
            </w:r>
          </w:p>
        </w:tc>
      </w:tr>
      <w:tr w:rsidR="00975881" w14:paraId="04B36539" w14:textId="77777777">
        <w:tc>
          <w:tcPr>
            <w:tcW w:w="1444" w:type="dxa"/>
            <w:tcMar>
              <w:top w:w="60" w:type="dxa"/>
              <w:left w:w="90" w:type="dxa"/>
              <w:bottom w:w="60" w:type="dxa"/>
              <w:right w:w="90" w:type="dxa"/>
            </w:tcMar>
          </w:tcPr>
          <w:p w14:paraId="1A5E30C3" w14:textId="77777777" w:rsidR="00975881" w:rsidRDefault="00000000" w:rsidP="00D014A5">
            <w:pPr>
              <w:spacing w:after="20" w:line="220" w:lineRule="auto"/>
              <w:jc w:val="both"/>
            </w:pPr>
            <w:r>
              <w:rPr>
                <w:sz w:val="16"/>
                <w:szCs w:val="16"/>
              </w:rPr>
              <w:t>Personal value</w:t>
            </w:r>
          </w:p>
        </w:tc>
        <w:tc>
          <w:tcPr>
            <w:tcW w:w="2076" w:type="dxa"/>
            <w:tcMar>
              <w:top w:w="60" w:type="dxa"/>
              <w:left w:w="90" w:type="dxa"/>
              <w:bottom w:w="60" w:type="dxa"/>
              <w:right w:w="90" w:type="dxa"/>
            </w:tcMar>
          </w:tcPr>
          <w:p w14:paraId="2A816D40" w14:textId="77777777" w:rsidR="00975881" w:rsidRDefault="00000000" w:rsidP="00D014A5">
            <w:pPr>
              <w:spacing w:after="20" w:line="220" w:lineRule="auto"/>
              <w:jc w:val="both"/>
            </w:pPr>
            <w:r>
              <w:rPr>
                <w:sz w:val="16"/>
                <w:szCs w:val="16"/>
              </w:rPr>
              <w:t>Value is the achievement of outcomes that matter to the individual patient</w:t>
            </w:r>
          </w:p>
        </w:tc>
        <w:tc>
          <w:tcPr>
            <w:tcW w:w="1805" w:type="dxa"/>
            <w:tcMar>
              <w:top w:w="60" w:type="dxa"/>
              <w:left w:w="90" w:type="dxa"/>
              <w:bottom w:w="60" w:type="dxa"/>
              <w:right w:w="90" w:type="dxa"/>
            </w:tcMar>
          </w:tcPr>
          <w:p w14:paraId="424903DF" w14:textId="77777777" w:rsidR="00975881" w:rsidRDefault="00000000" w:rsidP="00D014A5">
            <w:pPr>
              <w:spacing w:after="20" w:line="220" w:lineRule="auto"/>
              <w:jc w:val="both"/>
            </w:pPr>
            <w:r>
              <w:rPr>
                <w:sz w:val="16"/>
                <w:szCs w:val="16"/>
              </w:rPr>
              <w:t>Patient-reported outcome and experience measures; preference elicitation</w:t>
            </w:r>
          </w:p>
        </w:tc>
        <w:tc>
          <w:tcPr>
            <w:tcW w:w="2076" w:type="dxa"/>
            <w:tcMar>
              <w:top w:w="60" w:type="dxa"/>
              <w:left w:w="90" w:type="dxa"/>
              <w:bottom w:w="60" w:type="dxa"/>
              <w:right w:w="90" w:type="dxa"/>
            </w:tcMar>
          </w:tcPr>
          <w:p w14:paraId="062650C4" w14:textId="77777777" w:rsidR="00975881" w:rsidRDefault="00000000" w:rsidP="00D014A5">
            <w:pPr>
              <w:spacing w:after="20" w:line="220" w:lineRule="auto"/>
              <w:jc w:val="both"/>
            </w:pPr>
            <w:r>
              <w:rPr>
                <w:sz w:val="16"/>
                <w:szCs w:val="16"/>
              </w:rPr>
              <w:t>May conflict with allocative value; aggregation across heterogeneous preferences is contested</w:t>
            </w:r>
          </w:p>
        </w:tc>
        <w:tc>
          <w:tcPr>
            <w:tcW w:w="1625" w:type="dxa"/>
            <w:tcMar>
              <w:top w:w="60" w:type="dxa"/>
              <w:left w:w="90" w:type="dxa"/>
              <w:bottom w:w="60" w:type="dxa"/>
              <w:right w:w="90" w:type="dxa"/>
            </w:tcMar>
          </w:tcPr>
          <w:p w14:paraId="06F51F03" w14:textId="77777777" w:rsidR="00975881" w:rsidRDefault="00000000" w:rsidP="00D014A5">
            <w:pPr>
              <w:spacing w:after="20" w:line="220" w:lineRule="auto"/>
              <w:jc w:val="both"/>
            </w:pPr>
            <w:r>
              <w:rPr>
                <w:sz w:val="16"/>
                <w:szCs w:val="16"/>
              </w:rPr>
              <w:t>Steinmann et al. (2020); Wong et al. (2022)</w:t>
            </w:r>
          </w:p>
        </w:tc>
      </w:tr>
      <w:tr w:rsidR="00975881" w14:paraId="6C0BEEA6" w14:textId="77777777">
        <w:tc>
          <w:tcPr>
            <w:tcW w:w="1444" w:type="dxa"/>
            <w:tcMar>
              <w:top w:w="60" w:type="dxa"/>
              <w:left w:w="90" w:type="dxa"/>
              <w:bottom w:w="60" w:type="dxa"/>
              <w:right w:w="90" w:type="dxa"/>
            </w:tcMar>
          </w:tcPr>
          <w:p w14:paraId="713EF8D9" w14:textId="77777777" w:rsidR="00975881" w:rsidRDefault="00000000" w:rsidP="00D014A5">
            <w:pPr>
              <w:spacing w:after="20" w:line="220" w:lineRule="auto"/>
              <w:jc w:val="both"/>
            </w:pPr>
            <w:r>
              <w:rPr>
                <w:sz w:val="16"/>
                <w:szCs w:val="16"/>
              </w:rPr>
              <w:t>Technical value</w:t>
            </w:r>
          </w:p>
        </w:tc>
        <w:tc>
          <w:tcPr>
            <w:tcW w:w="2076" w:type="dxa"/>
            <w:tcMar>
              <w:top w:w="60" w:type="dxa"/>
              <w:left w:w="90" w:type="dxa"/>
              <w:bottom w:w="60" w:type="dxa"/>
              <w:right w:w="90" w:type="dxa"/>
            </w:tcMar>
          </w:tcPr>
          <w:p w14:paraId="17DD7F11" w14:textId="77777777" w:rsidR="00975881" w:rsidRDefault="00000000" w:rsidP="00D014A5">
            <w:pPr>
              <w:spacing w:after="20" w:line="220" w:lineRule="auto"/>
              <w:jc w:val="both"/>
            </w:pPr>
            <w:r>
              <w:rPr>
                <w:sz w:val="16"/>
                <w:szCs w:val="16"/>
              </w:rPr>
              <w:t>Value is the appropriate use of resources to achieve a specified outcome</w:t>
            </w:r>
          </w:p>
        </w:tc>
        <w:tc>
          <w:tcPr>
            <w:tcW w:w="1805" w:type="dxa"/>
            <w:tcMar>
              <w:top w:w="60" w:type="dxa"/>
              <w:left w:w="90" w:type="dxa"/>
              <w:bottom w:w="60" w:type="dxa"/>
              <w:right w:w="90" w:type="dxa"/>
            </w:tcMar>
          </w:tcPr>
          <w:p w14:paraId="276067C0" w14:textId="77777777" w:rsidR="00975881" w:rsidRDefault="00000000" w:rsidP="00D014A5">
            <w:pPr>
              <w:spacing w:after="20" w:line="220" w:lineRule="auto"/>
              <w:jc w:val="both"/>
            </w:pPr>
            <w:r>
              <w:rPr>
                <w:sz w:val="16"/>
                <w:szCs w:val="16"/>
              </w:rPr>
              <w:t>Appropriateness of process; resource use per unit of output; granular costing</w:t>
            </w:r>
          </w:p>
        </w:tc>
        <w:tc>
          <w:tcPr>
            <w:tcW w:w="2076" w:type="dxa"/>
            <w:tcMar>
              <w:top w:w="60" w:type="dxa"/>
              <w:left w:w="90" w:type="dxa"/>
              <w:bottom w:w="60" w:type="dxa"/>
              <w:right w:w="90" w:type="dxa"/>
            </w:tcMar>
          </w:tcPr>
          <w:p w14:paraId="3878E98C" w14:textId="77777777" w:rsidR="00975881" w:rsidRDefault="00000000" w:rsidP="00D014A5">
            <w:pPr>
              <w:spacing w:after="20" w:line="220" w:lineRule="auto"/>
              <w:jc w:val="both"/>
            </w:pPr>
            <w:r>
              <w:rPr>
                <w:sz w:val="16"/>
                <w:szCs w:val="16"/>
              </w:rPr>
              <w:t>Rewards narrow optimisation and creates incentives to exclude costly or unpredictable patients</w:t>
            </w:r>
          </w:p>
        </w:tc>
        <w:tc>
          <w:tcPr>
            <w:tcW w:w="1625" w:type="dxa"/>
            <w:tcMar>
              <w:top w:w="60" w:type="dxa"/>
              <w:left w:w="90" w:type="dxa"/>
              <w:bottom w:w="60" w:type="dxa"/>
              <w:right w:w="90" w:type="dxa"/>
            </w:tcMar>
          </w:tcPr>
          <w:p w14:paraId="11A46D90" w14:textId="77777777" w:rsidR="00975881" w:rsidRDefault="00000000" w:rsidP="00D014A5">
            <w:pPr>
              <w:spacing w:after="20" w:line="220" w:lineRule="auto"/>
              <w:jc w:val="both"/>
            </w:pPr>
            <w:r>
              <w:rPr>
                <w:sz w:val="16"/>
                <w:szCs w:val="16"/>
              </w:rPr>
              <w:t>Groenewoud et al. (2019); Hendriks et al. (2025)</w:t>
            </w:r>
          </w:p>
        </w:tc>
      </w:tr>
      <w:tr w:rsidR="00975881" w14:paraId="1931CFEB" w14:textId="77777777">
        <w:tc>
          <w:tcPr>
            <w:tcW w:w="1444" w:type="dxa"/>
            <w:tcMar>
              <w:top w:w="60" w:type="dxa"/>
              <w:left w:w="90" w:type="dxa"/>
              <w:bottom w:w="60" w:type="dxa"/>
              <w:right w:w="90" w:type="dxa"/>
            </w:tcMar>
          </w:tcPr>
          <w:p w14:paraId="20CF3F22" w14:textId="77777777" w:rsidR="00975881" w:rsidRDefault="00000000" w:rsidP="00D014A5">
            <w:pPr>
              <w:spacing w:after="20" w:line="220" w:lineRule="auto"/>
              <w:jc w:val="both"/>
            </w:pPr>
            <w:r>
              <w:rPr>
                <w:sz w:val="16"/>
                <w:szCs w:val="16"/>
              </w:rPr>
              <w:t>Allocative or societal value</w:t>
            </w:r>
          </w:p>
        </w:tc>
        <w:tc>
          <w:tcPr>
            <w:tcW w:w="2076" w:type="dxa"/>
            <w:tcMar>
              <w:top w:w="60" w:type="dxa"/>
              <w:left w:w="90" w:type="dxa"/>
              <w:bottom w:w="60" w:type="dxa"/>
              <w:right w:w="90" w:type="dxa"/>
            </w:tcMar>
          </w:tcPr>
          <w:p w14:paraId="49B5B353" w14:textId="77777777" w:rsidR="00975881" w:rsidRDefault="00000000" w:rsidP="00D014A5">
            <w:pPr>
              <w:spacing w:after="20" w:line="220" w:lineRule="auto"/>
              <w:jc w:val="both"/>
            </w:pPr>
            <w:r>
              <w:rPr>
                <w:sz w:val="16"/>
                <w:szCs w:val="16"/>
              </w:rPr>
              <w:t>Value is the distribution of benefit achieved across a population for a given budget</w:t>
            </w:r>
          </w:p>
        </w:tc>
        <w:tc>
          <w:tcPr>
            <w:tcW w:w="1805" w:type="dxa"/>
            <w:tcMar>
              <w:top w:w="60" w:type="dxa"/>
              <w:left w:w="90" w:type="dxa"/>
              <w:bottom w:w="60" w:type="dxa"/>
              <w:right w:w="90" w:type="dxa"/>
            </w:tcMar>
          </w:tcPr>
          <w:p w14:paraId="5AAD44ED" w14:textId="77777777" w:rsidR="00975881" w:rsidRDefault="00000000" w:rsidP="00D014A5">
            <w:pPr>
              <w:spacing w:after="20" w:line="220" w:lineRule="auto"/>
              <w:jc w:val="both"/>
            </w:pPr>
            <w:r>
              <w:rPr>
                <w:sz w:val="16"/>
                <w:szCs w:val="16"/>
              </w:rPr>
              <w:t>Population-level outcomes; equity indicators; total expenditure within a defined budget</w:t>
            </w:r>
          </w:p>
        </w:tc>
        <w:tc>
          <w:tcPr>
            <w:tcW w:w="2076" w:type="dxa"/>
            <w:tcMar>
              <w:top w:w="60" w:type="dxa"/>
              <w:left w:w="90" w:type="dxa"/>
              <w:bottom w:w="60" w:type="dxa"/>
              <w:right w:w="90" w:type="dxa"/>
            </w:tcMar>
          </w:tcPr>
          <w:p w14:paraId="443A26C4" w14:textId="77777777" w:rsidR="00975881" w:rsidRDefault="00000000" w:rsidP="00D014A5">
            <w:pPr>
              <w:spacing w:after="20" w:line="220" w:lineRule="auto"/>
              <w:jc w:val="both"/>
            </w:pPr>
            <w:r>
              <w:rPr>
                <w:sz w:val="16"/>
                <w:szCs w:val="16"/>
              </w:rPr>
              <w:t>Requires population budgets and purchaser authority; exerts weak traction at individual provider level</w:t>
            </w:r>
          </w:p>
        </w:tc>
        <w:tc>
          <w:tcPr>
            <w:tcW w:w="1625" w:type="dxa"/>
            <w:tcMar>
              <w:top w:w="60" w:type="dxa"/>
              <w:left w:w="90" w:type="dxa"/>
              <w:bottom w:w="60" w:type="dxa"/>
              <w:right w:w="90" w:type="dxa"/>
            </w:tcMar>
          </w:tcPr>
          <w:p w14:paraId="05EE11E9" w14:textId="77777777" w:rsidR="00975881" w:rsidRDefault="00000000" w:rsidP="00D014A5">
            <w:pPr>
              <w:spacing w:after="20" w:line="220" w:lineRule="auto"/>
              <w:jc w:val="both"/>
            </w:pPr>
            <w:r>
              <w:rPr>
                <w:sz w:val="16"/>
                <w:szCs w:val="16"/>
              </w:rPr>
              <w:t>Cashin and Gatome-Munyua (2022); Kutzin (2013)</w:t>
            </w:r>
          </w:p>
        </w:tc>
      </w:tr>
      <w:tr w:rsidR="00975881" w14:paraId="1706F808" w14:textId="77777777">
        <w:tc>
          <w:tcPr>
            <w:tcW w:w="1444" w:type="dxa"/>
            <w:tcMar>
              <w:top w:w="60" w:type="dxa"/>
              <w:left w:w="90" w:type="dxa"/>
              <w:bottom w:w="60" w:type="dxa"/>
              <w:right w:w="90" w:type="dxa"/>
            </w:tcMar>
          </w:tcPr>
          <w:p w14:paraId="27022DA9" w14:textId="77777777" w:rsidR="00975881" w:rsidRDefault="00000000" w:rsidP="00D014A5">
            <w:pPr>
              <w:spacing w:after="20" w:line="220" w:lineRule="auto"/>
              <w:jc w:val="both"/>
            </w:pPr>
            <w:r>
              <w:rPr>
                <w:sz w:val="16"/>
                <w:szCs w:val="16"/>
              </w:rPr>
              <w:t>Organisational value-in-use</w:t>
            </w:r>
          </w:p>
        </w:tc>
        <w:tc>
          <w:tcPr>
            <w:tcW w:w="2076" w:type="dxa"/>
            <w:tcMar>
              <w:top w:w="60" w:type="dxa"/>
              <w:left w:w="90" w:type="dxa"/>
              <w:bottom w:w="60" w:type="dxa"/>
              <w:right w:w="90" w:type="dxa"/>
            </w:tcMar>
          </w:tcPr>
          <w:p w14:paraId="199E6438" w14:textId="77777777" w:rsidR="00975881" w:rsidRDefault="00000000" w:rsidP="00D014A5">
            <w:pPr>
              <w:spacing w:after="20" w:line="220" w:lineRule="auto"/>
              <w:jc w:val="both"/>
            </w:pPr>
            <w:r>
              <w:rPr>
                <w:sz w:val="16"/>
                <w:szCs w:val="16"/>
              </w:rPr>
              <w:t>Value is whatever practitioners and managers interpret the term to mean within a given setting</w:t>
            </w:r>
          </w:p>
        </w:tc>
        <w:tc>
          <w:tcPr>
            <w:tcW w:w="1805" w:type="dxa"/>
            <w:tcMar>
              <w:top w:w="60" w:type="dxa"/>
              <w:left w:w="90" w:type="dxa"/>
              <w:bottom w:w="60" w:type="dxa"/>
              <w:right w:w="90" w:type="dxa"/>
            </w:tcMar>
          </w:tcPr>
          <w:p w14:paraId="6C77782E" w14:textId="77777777" w:rsidR="00975881" w:rsidRDefault="00000000" w:rsidP="00D014A5">
            <w:pPr>
              <w:spacing w:after="20" w:line="220" w:lineRule="auto"/>
              <w:jc w:val="both"/>
            </w:pPr>
            <w:r>
              <w:rPr>
                <w:sz w:val="16"/>
                <w:szCs w:val="16"/>
              </w:rPr>
              <w:t>Documented programme definitions; qualitative study of interpretation in practice</w:t>
            </w:r>
          </w:p>
        </w:tc>
        <w:tc>
          <w:tcPr>
            <w:tcW w:w="2076" w:type="dxa"/>
            <w:tcMar>
              <w:top w:w="60" w:type="dxa"/>
              <w:left w:w="90" w:type="dxa"/>
              <w:bottom w:w="60" w:type="dxa"/>
              <w:right w:w="90" w:type="dxa"/>
            </w:tcMar>
          </w:tcPr>
          <w:p w14:paraId="3E4A739F" w14:textId="77777777" w:rsidR="00975881" w:rsidRDefault="00000000" w:rsidP="00D014A5">
            <w:pPr>
              <w:spacing w:after="20" w:line="220" w:lineRule="auto"/>
              <w:jc w:val="both"/>
            </w:pPr>
            <w:r>
              <w:rPr>
                <w:sz w:val="16"/>
                <w:szCs w:val="16"/>
              </w:rPr>
              <w:t>Divergent interpretation within single systems undermines comparability across evaluations</w:t>
            </w:r>
          </w:p>
        </w:tc>
        <w:tc>
          <w:tcPr>
            <w:tcW w:w="1625" w:type="dxa"/>
            <w:tcMar>
              <w:top w:w="60" w:type="dxa"/>
              <w:left w:w="90" w:type="dxa"/>
              <w:bottom w:w="60" w:type="dxa"/>
              <w:right w:w="90" w:type="dxa"/>
            </w:tcMar>
          </w:tcPr>
          <w:p w14:paraId="49427ECA" w14:textId="77777777" w:rsidR="00975881" w:rsidRDefault="00000000" w:rsidP="00D014A5">
            <w:pPr>
              <w:spacing w:after="20" w:line="220" w:lineRule="auto"/>
              <w:jc w:val="both"/>
            </w:pPr>
            <w:r>
              <w:rPr>
                <w:sz w:val="16"/>
                <w:szCs w:val="16"/>
              </w:rPr>
              <w:t>Jiang et al. (2026); van Elten et al. (2023)</w:t>
            </w:r>
          </w:p>
        </w:tc>
      </w:tr>
    </w:tbl>
    <w:p w14:paraId="01660CEC" w14:textId="77777777" w:rsidR="00975881" w:rsidRDefault="00000000" w:rsidP="00D014A5">
      <w:pPr>
        <w:spacing w:before="100" w:after="240"/>
        <w:jc w:val="both"/>
      </w:pPr>
      <w:r>
        <w:rPr>
          <w:i/>
          <w:iCs/>
          <w:sz w:val="16"/>
          <w:szCs w:val="16"/>
        </w:rPr>
        <w:t>Note. The table is illustrative of the principal conceptualisations encountered in the reviewed literature and is not an exhaustive taxonomy. The conceptualisations are analytically distinguishable but frequently coexist within a single programme.</w:t>
      </w:r>
    </w:p>
    <w:p w14:paraId="430A6E2F" w14:textId="77777777" w:rsidR="00975881" w:rsidRDefault="00000000" w:rsidP="00D014A5">
      <w:pPr>
        <w:pStyle w:val="Heading2"/>
        <w:spacing w:before="260" w:after="110"/>
        <w:jc w:val="both"/>
      </w:pPr>
      <w:r>
        <w:rPr>
          <w:b/>
          <w:bCs/>
          <w:i/>
          <w:iCs/>
          <w:color w:val="000000"/>
          <w:sz w:val="22"/>
          <w:szCs w:val="22"/>
        </w:rPr>
        <w:t>4.4 Implications for the evidence base</w:t>
      </w:r>
    </w:p>
    <w:p w14:paraId="0231E09D" w14:textId="77777777" w:rsidR="00975881" w:rsidRDefault="00000000" w:rsidP="00D014A5">
      <w:pPr>
        <w:spacing w:after="140" w:line="320" w:lineRule="auto"/>
        <w:jc w:val="both"/>
      </w:pPr>
      <w:r>
        <w:t xml:space="preserve">Two consequences follow for the appraisal undertaken in the remainder of this review. The first is that the absence of an agreed operationalisation means that the term value-based, applied to a payment model or programme, conveys little information about what was actually implemented. Claims about </w:t>
      </w:r>
      <w:r>
        <w:lastRenderedPageBreak/>
        <w:t>the effects of value-based reform in general are correspondingly weak, and the analytically defensible claims concern specific instruments in specific settings. The second is that where measurement infrastructure is incomplete, programmes tend to be evaluated against the outcomes that existing data systems can produce, which are typically utilisation, spending and process compliance rather than condition-level outcomes. The literature therefore contains a systematic mismatch between the theory being tested and the outcomes used to test it, and the direction of the resulting bias is not obvious.</w:t>
      </w:r>
    </w:p>
    <w:p w14:paraId="4E829650" w14:textId="77777777" w:rsidR="00975881" w:rsidRDefault="00000000" w:rsidP="00D014A5">
      <w:pPr>
        <w:pStyle w:val="Heading1"/>
        <w:spacing w:before="340" w:after="140"/>
        <w:jc w:val="both"/>
      </w:pPr>
      <w:r>
        <w:rPr>
          <w:b/>
          <w:bCs/>
          <w:color w:val="000000"/>
          <w:sz w:val="24"/>
          <w:szCs w:val="24"/>
        </w:rPr>
        <w:t>5. Payment and Organisational Reform as Containment Instruments</w:t>
      </w:r>
    </w:p>
    <w:p w14:paraId="02CD6C83" w14:textId="77777777" w:rsidR="00975881" w:rsidRDefault="00000000" w:rsidP="00D014A5">
      <w:pPr>
        <w:pStyle w:val="Heading2"/>
        <w:spacing w:before="260" w:after="110"/>
        <w:jc w:val="both"/>
      </w:pPr>
      <w:r>
        <w:rPr>
          <w:b/>
          <w:bCs/>
          <w:i/>
          <w:iCs/>
          <w:color w:val="000000"/>
          <w:sz w:val="22"/>
          <w:szCs w:val="22"/>
        </w:rPr>
        <w:t>5.1 Episode-based payment</w:t>
      </w:r>
    </w:p>
    <w:p w14:paraId="1DC881DC" w14:textId="77777777" w:rsidR="00975881" w:rsidRDefault="00000000" w:rsidP="00D014A5">
      <w:pPr>
        <w:spacing w:after="140" w:line="320" w:lineRule="auto"/>
        <w:jc w:val="both"/>
      </w:pPr>
      <w:r>
        <w:t>Bundled payment transfers responsibility for the cost of a defined episode of care to a provider or group of providers, on the expectation that accountability for the whole episode will suppress unnecessary components. Systematic appraisal of the three principal programmes operated by the United States Medicare programme reached a conclusion that is unusually clear by the standards of this literature: across twenty evaluations, bundled payment maintained or improved quality while lowering costs for lower-extremity joint replacement, but comparable effects were not observed for other conditions or procedures (Agarwal et al., 2020). The contrast between joint replacement and everything else is the most informative feature of the finding. Joint replacement is elective, its episode boundaries are unambiguous, its principal source of discretionary cost lies in post-acute care, and its patient population is relatively homogeneous. Conditions lacking those properties, particularly medical conditions with heterogeneous trajectories, do not exhibit the same response.</w:t>
      </w:r>
    </w:p>
    <w:p w14:paraId="302A851B" w14:textId="77777777" w:rsidR="00975881" w:rsidRDefault="00000000" w:rsidP="00D014A5">
      <w:pPr>
        <w:spacing w:after="140" w:line="320" w:lineRule="auto"/>
        <w:jc w:val="both"/>
      </w:pPr>
      <w:r>
        <w:t>The mechanism of savings within joint replacement is itself relevant to the interpretation. Reductions arose predominantly from substituting home-based for institutional post-acute care rather than from changes in the acute episode. Savings of that character are bounded, because the substitution can only be made once, and they raise questions about who bears the residual cost when institutional care is withdrawn. The evaluations reviewed were not designed to capture costs displaced onto families or onto services outside the episode definition.</w:t>
      </w:r>
    </w:p>
    <w:p w14:paraId="6A411F6B" w14:textId="77777777" w:rsidR="00975881" w:rsidRDefault="00000000" w:rsidP="00D014A5">
      <w:pPr>
        <w:spacing w:after="140" w:line="320" w:lineRule="auto"/>
        <w:jc w:val="both"/>
      </w:pPr>
      <w:r>
        <w:t>Risk selection remains the principal threat to the validity of episode-based savings estimates, and systematic review of how initiatives handle patient risk profiles indicates that the threat has not been adequately controlled. Across ninety-five documents describing seventeen initiatives in OECD countries, patient exclusion and risk adjustment of bundle prices were the most commonly applied approaches, while risk stratification was used in only three initiatives, and the authors concluded that most approaches remain basic despite a trend towards greater sophistication (Hendriks et al., 2025). Where exclusion is the dominant method, apparent efficiency gains are partly definitional, since the patients most likely to generate cost overruns are removed from the population over which performance is assessed. This does not mean that reported savings are illusory, but it does mean that estimates derived from initiatives relying on exclusion should be regarded as upper bounds.</w:t>
      </w:r>
    </w:p>
    <w:p w14:paraId="5F5F3811" w14:textId="77777777" w:rsidR="00975881" w:rsidRDefault="00000000" w:rsidP="00D014A5">
      <w:pPr>
        <w:pStyle w:val="Heading2"/>
        <w:spacing w:before="260" w:after="110"/>
        <w:jc w:val="both"/>
      </w:pPr>
      <w:r>
        <w:rPr>
          <w:b/>
          <w:bCs/>
          <w:i/>
          <w:iCs/>
          <w:color w:val="000000"/>
          <w:sz w:val="22"/>
          <w:szCs w:val="22"/>
        </w:rPr>
        <w:t>5.2 Population-based accountability and shared savings</w:t>
      </w:r>
    </w:p>
    <w:p w14:paraId="62F6C91A" w14:textId="77777777" w:rsidR="00975881" w:rsidRDefault="00000000" w:rsidP="00D014A5">
      <w:pPr>
        <w:spacing w:after="140" w:line="320" w:lineRule="auto"/>
        <w:jc w:val="both"/>
      </w:pPr>
      <w:r>
        <w:t xml:space="preserve">Accountable care arrangements assign responsibility for the total cost and quality of care for an attributed population, with providers retaining a share of savings against a spending benchmark. The </w:t>
      </w:r>
      <w:r>
        <w:lastRenderedPageBreak/>
        <w:t>most methodologically careful evaluation of the largest such programme found that savings depended decisively on organisational form. By the third year of participation, physician-group organisations entering in 2012 showed a differential reduction of 474 United States dollars per patient, equivalent to 4.9% of pre-entry mean spending, with smaller reductions among later entrants, whereas hospital-integrated organisations showed reductions that were smaller, inconsistent and in one cohort absent altogether; net savings to the programme from physician groups amounted to 256.4 million dollars in 2015, while savings among hospital-integrated organisations were offset by the bonus payments made to them (McWilliams et al., 2018).</w:t>
      </w:r>
    </w:p>
    <w:p w14:paraId="308DDDFC" w14:textId="77777777" w:rsidR="00975881" w:rsidRDefault="00000000" w:rsidP="00D014A5">
      <w:pPr>
        <w:spacing w:after="140" w:line="320" w:lineRule="auto"/>
        <w:jc w:val="both"/>
      </w:pPr>
      <w:r>
        <w:t>Two inferences follow. The first concerns incentives: organisations that do not own the facilities from which savings are extracted face a stronger net incentive to reduce utilisation than organisations that would forgo facility revenue by doing so. The second concerns programme design: a shared-savings arrangement can generate genuine efficiency at the level of participating organisations while producing no net saving for the payer, because bonus payments consume the gain. Evaluations reporting only participant-level savings therefore overstate the fiscal effect, and this reporting asymmetry is common in the wider literature.</w:t>
      </w:r>
    </w:p>
    <w:p w14:paraId="4D89E9D5" w14:textId="77777777" w:rsidR="00975881" w:rsidRDefault="00000000" w:rsidP="00D014A5">
      <w:pPr>
        <w:spacing w:after="140" w:line="320" w:lineRule="auto"/>
        <w:jc w:val="both"/>
      </w:pPr>
      <w:r>
        <w:t>Systematic review of initiatives combining global base payments with explicit quality incentives reports generally promising results, with lower spending growth accompanied by equal or improved quality across eighteen initiatives described in more than one hundred documents, alongside a strong emphasis on primary care, the widespread use of virtual rather than actual spending targets, and extensive reliance on risk adjustment and other risk-mitigating measures (Cattel &amp; Eijkenaar, 2020). The reliance on virtual targets is analytically significant and insufficiently discussed. Where the target is notional and reconciliation occurs retrospectively, providers do not face genuine budgetary risk, and the behavioural mechanism postulated by the model operates only partially. Findings from such initiatives cannot be assumed to generalise to arrangements involving real budget transfer.</w:t>
      </w:r>
    </w:p>
    <w:p w14:paraId="3EDC6FB0" w14:textId="77777777" w:rsidR="00975881" w:rsidRDefault="00000000" w:rsidP="00D014A5">
      <w:pPr>
        <w:pStyle w:val="Heading2"/>
        <w:spacing w:before="260" w:after="110"/>
        <w:jc w:val="both"/>
      </w:pPr>
      <w:r>
        <w:rPr>
          <w:b/>
          <w:bCs/>
          <w:i/>
          <w:iCs/>
          <w:color w:val="000000"/>
          <w:sz w:val="22"/>
          <w:szCs w:val="22"/>
        </w:rPr>
        <w:t>5.3 Quality incentives and penalty programmes</w:t>
      </w:r>
    </w:p>
    <w:p w14:paraId="29B58E94" w14:textId="77777777" w:rsidR="00975881" w:rsidRDefault="00000000" w:rsidP="00D014A5">
      <w:pPr>
        <w:spacing w:after="140" w:line="320" w:lineRule="auto"/>
        <w:jc w:val="both"/>
      </w:pPr>
      <w:r>
        <w:t>Pay-for-performance has accumulated the largest evaluation literature of any value-based instrument and the least favourable overall verdict. Systematic review with quantitative synthesis of the longest-running national programme, the United Kingdom Quality and Outcomes Framework, found improvement in recorded quality one year after incentives were introduced, with a median change of 6.1 percentage points relative to pre-incentivisation trends across eighty-three indicators, but markedly attenuated effects at three years, with a median change of 0.7 percentage points across seventy-two indicators; withdrawal of incentives was associated with substantial deterioration in recorded quality at both one and three years, with median changes of −10.7 and −12.8 percentage points respectively (Ho et al., 2025). The asymmetry between introduction and withdrawal is the most interesting result. It suggests that incentives sustain documented performance rather than embedding it, which is inconsistent with the theory that financial incentives catalyse durable practice change and consistent with the alternative interpretation that they principally alter recording behaviour and attention allocation.</w:t>
      </w:r>
    </w:p>
    <w:p w14:paraId="352B7CDD" w14:textId="77777777" w:rsidR="00975881" w:rsidRDefault="00000000" w:rsidP="00D014A5">
      <w:pPr>
        <w:spacing w:after="140" w:line="320" w:lineRule="auto"/>
        <w:jc w:val="both"/>
      </w:pPr>
      <w:r>
        <w:lastRenderedPageBreak/>
        <w:t>Evidence on patient safety incentives in hospital settings is weaker still. Systematic review of the field identified fifty-three eligible sources and found that just over half of included studies observed no improvement in outcomes, with positive findings concentrated disproportionately among evaluations of poorer methodological quality; the single consistent exception was the Fragility Hip Fracture Best Practice Tariff in England, where sustained improvement was observed across multiple evaluations, and all policies examined exerted a negligible effect on total hospital revenue (Slawomirski et al., 2024). The revenue observation is important and is rarely foregrounded. If the amount at stake is trivial relative to total income, the absence of response is unsurprising, and the literature may have been testing whether hospitals respond to incentives that were never large enough to matter.</w:t>
      </w:r>
    </w:p>
    <w:p w14:paraId="6061ED7F" w14:textId="77777777" w:rsidR="00975881" w:rsidRDefault="00000000" w:rsidP="00D014A5">
      <w:pPr>
        <w:spacing w:after="140" w:line="320" w:lineRule="auto"/>
        <w:jc w:val="both"/>
      </w:pPr>
      <w:r>
        <w:t>Penalty-based programmes raise a distinct concern. Analysis of the Hospital Readmissions Reduction Program found that, among patients hospitalised for heart failure, thirty-day post-discharge mortality increased relative to baseline trend following both the announcement and the implementation of the programme, with differences in change of 0.22 and 0.25 percentage points respectively (Wadhera et al., 2018). Interpretation of this finding remains contested, since coding changes, shifts in admission thresholds and secular trends in case mix offer competing explanations, and other analyses of the same programme have reached different conclusions. The appropriate reading is not that the programme caused harm but that a plausible harm signal emerged in a well-conducted analysis of a widely adopted policy and has not been decisively refuted. Where a containment instrument targets a proxy outcome that providers can influence through mechanisms other than the intended one, monitoring of hard clinical endpoints is a design requirement rather than an optional supplement.</w:t>
      </w:r>
    </w:p>
    <w:p w14:paraId="27E0F85B" w14:textId="77777777" w:rsidR="00975881" w:rsidRDefault="00000000" w:rsidP="00D014A5">
      <w:pPr>
        <w:pStyle w:val="Heading2"/>
        <w:spacing w:before="260" w:after="110"/>
        <w:jc w:val="both"/>
      </w:pPr>
      <w:r>
        <w:rPr>
          <w:b/>
          <w:bCs/>
          <w:i/>
          <w:iCs/>
          <w:color w:val="000000"/>
          <w:sz w:val="22"/>
          <w:szCs w:val="22"/>
        </w:rPr>
        <w:t>5.4 Global budgets and capitated arrangements</w:t>
      </w:r>
    </w:p>
    <w:p w14:paraId="7CA47F04" w14:textId="77777777" w:rsidR="00975881" w:rsidRDefault="00000000" w:rsidP="00D014A5">
      <w:pPr>
        <w:spacing w:after="140" w:line="320" w:lineRule="auto"/>
        <w:jc w:val="both"/>
      </w:pPr>
      <w:r>
        <w:t>Global budgeting caps the revenue a provider may receive over a period irrespective of volume, thereby removing the incentive to increase activity at its source. Systematic review and meta-analysis of surgical care under the Maryland Global Budget Revenue model, drawing on fourteen studies with eight contributing to pooled analysis across more than 170,000 patients, identified modest cost reductions together with lower odds of complications, readmission and mortality and reduced length of stay (Shammas et al., 2023). The direction and consistency of these estimates are notable, since the theoretical objection to global budgets is that they invite under-provision. The evidence from this setting does not support that objection for surgical care.</w:t>
      </w:r>
    </w:p>
    <w:p w14:paraId="4DA9B2FD" w14:textId="77777777" w:rsidR="00975881" w:rsidRDefault="00000000" w:rsidP="00D014A5">
      <w:pPr>
        <w:spacing w:after="140" w:line="320" w:lineRule="auto"/>
        <w:jc w:val="both"/>
      </w:pPr>
      <w:r>
        <w:t>Generalisation nonetheless requires caution for three reasons. The model operates in a single jurisdiction with an unusual all-payer rate-setting history, which supplies regulatory infrastructure that most systems lack. The evaluations are observational and drawn from a period during which multiple concurrent reforms were in progress. Separate evidence from the same setting has raised the possibility that complex procedures became more centralised under global capitation, which may explain part of the improvement in measured outcomes through case selection and referral patterns rather than through improved care processes. A single-jurisdiction evidence base, however internally consistent, cannot establish the transferability of the model.</w:t>
      </w:r>
    </w:p>
    <w:p w14:paraId="02447B8A" w14:textId="77777777" w:rsidR="00975881" w:rsidRDefault="00000000" w:rsidP="00D014A5">
      <w:pPr>
        <w:spacing w:after="140" w:line="320" w:lineRule="auto"/>
        <w:jc w:val="both"/>
      </w:pPr>
      <w:r>
        <w:t xml:space="preserve">Capitation combined with performance payment in primary care has been examined comparatively across four countries, with analysis emphasising that the effect depends on the adequacy of the </w:t>
      </w:r>
      <w:r>
        <w:lastRenderedPageBreak/>
        <w:t>capitation rate, the quality of the risk adjustment applied and the strength of the accompanying accountability arrangements rather than on the payment form itself (Barber et al., 2025). This conclusion recurs across the payment literature and deserves emphasis. Payment models are not interventions with stable effects; they are contracts whose consequences depend on parameters that are frequently unreported in evaluations.</w:t>
      </w:r>
    </w:p>
    <w:p w14:paraId="184418A1" w14:textId="77777777" w:rsidR="00975881" w:rsidRDefault="00000000" w:rsidP="00D014A5">
      <w:pPr>
        <w:spacing w:after="140" w:line="320" w:lineRule="auto"/>
        <w:jc w:val="both"/>
      </w:pPr>
      <w:r>
        <w:t>Table 2 summarises the principal payment and delivery-side instruments, the strongest available evidence for each, and the main threats to the validity of that evidence. Read across the rows, the table shows that the instruments with the clearest evidence of spending restraint are those applied to well-defined, elective, procedurally homogeneous care, and that evidence weakens systematically as clinical heterogeneity increases. Read down the final column, it shows that the dominant validity threats are not random error but directional: selection, exclusion and coding behaviour all tend to inflate apparent performance, which implies that the true effect sizes are more likely to lie below than above the published estimates.</w:t>
      </w:r>
    </w:p>
    <w:p w14:paraId="07719483" w14:textId="77777777" w:rsidR="00975881" w:rsidRDefault="00000000" w:rsidP="00D014A5">
      <w:pPr>
        <w:spacing w:before="240" w:after="100"/>
        <w:jc w:val="both"/>
      </w:pPr>
      <w:r>
        <w:rPr>
          <w:b/>
          <w:bCs/>
          <w:sz w:val="19"/>
          <w:szCs w:val="19"/>
        </w:rPr>
        <w:t>Table 2. Payment and delivery-side containment instruments: mechanism, strongest available evidence and principal threats to validity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4"/>
        <w:gridCol w:w="1805"/>
        <w:gridCol w:w="2347"/>
        <w:gridCol w:w="1986"/>
        <w:gridCol w:w="1534"/>
      </w:tblGrid>
      <w:tr w:rsidR="00975881" w14:paraId="54D53153" w14:textId="77777777">
        <w:trPr>
          <w:tblHeader/>
        </w:trPr>
        <w:tc>
          <w:tcPr>
            <w:tcW w:w="1354" w:type="dxa"/>
            <w:shd w:val="clear" w:color="auto" w:fill="E8EDF2"/>
            <w:tcMar>
              <w:top w:w="60" w:type="dxa"/>
              <w:left w:w="90" w:type="dxa"/>
              <w:bottom w:w="60" w:type="dxa"/>
              <w:right w:w="90" w:type="dxa"/>
            </w:tcMar>
          </w:tcPr>
          <w:p w14:paraId="2B5B1CAA" w14:textId="77777777" w:rsidR="00975881" w:rsidRDefault="00000000" w:rsidP="00D014A5">
            <w:pPr>
              <w:spacing w:after="20" w:line="220" w:lineRule="auto"/>
              <w:jc w:val="both"/>
            </w:pPr>
            <w:r>
              <w:rPr>
                <w:b/>
                <w:bCs/>
                <w:sz w:val="16"/>
                <w:szCs w:val="16"/>
              </w:rPr>
              <w:t>Instrument</w:t>
            </w:r>
          </w:p>
        </w:tc>
        <w:tc>
          <w:tcPr>
            <w:tcW w:w="1805" w:type="dxa"/>
            <w:shd w:val="clear" w:color="auto" w:fill="E8EDF2"/>
            <w:tcMar>
              <w:top w:w="60" w:type="dxa"/>
              <w:left w:w="90" w:type="dxa"/>
              <w:bottom w:w="60" w:type="dxa"/>
              <w:right w:w="90" w:type="dxa"/>
            </w:tcMar>
          </w:tcPr>
          <w:p w14:paraId="61676CA3" w14:textId="77777777" w:rsidR="00975881" w:rsidRDefault="00000000" w:rsidP="00D014A5">
            <w:pPr>
              <w:spacing w:after="20" w:line="220" w:lineRule="auto"/>
              <w:jc w:val="both"/>
            </w:pPr>
            <w:r>
              <w:rPr>
                <w:b/>
                <w:bCs/>
                <w:sz w:val="16"/>
                <w:szCs w:val="16"/>
              </w:rPr>
              <w:t>Containment mechanism</w:t>
            </w:r>
          </w:p>
        </w:tc>
        <w:tc>
          <w:tcPr>
            <w:tcW w:w="2347" w:type="dxa"/>
            <w:shd w:val="clear" w:color="auto" w:fill="E8EDF2"/>
            <w:tcMar>
              <w:top w:w="60" w:type="dxa"/>
              <w:left w:w="90" w:type="dxa"/>
              <w:bottom w:w="60" w:type="dxa"/>
              <w:right w:w="90" w:type="dxa"/>
            </w:tcMar>
          </w:tcPr>
          <w:p w14:paraId="57BFA2F9" w14:textId="77777777" w:rsidR="00975881" w:rsidRDefault="00000000" w:rsidP="00D014A5">
            <w:pPr>
              <w:spacing w:after="20" w:line="220" w:lineRule="auto"/>
              <w:jc w:val="both"/>
            </w:pPr>
            <w:r>
              <w:rPr>
                <w:b/>
                <w:bCs/>
                <w:sz w:val="16"/>
                <w:szCs w:val="16"/>
              </w:rPr>
              <w:t>Strongest available evidence</w:t>
            </w:r>
          </w:p>
        </w:tc>
        <w:tc>
          <w:tcPr>
            <w:tcW w:w="1986" w:type="dxa"/>
            <w:shd w:val="clear" w:color="auto" w:fill="E8EDF2"/>
            <w:tcMar>
              <w:top w:w="60" w:type="dxa"/>
              <w:left w:w="90" w:type="dxa"/>
              <w:bottom w:w="60" w:type="dxa"/>
              <w:right w:w="90" w:type="dxa"/>
            </w:tcMar>
          </w:tcPr>
          <w:p w14:paraId="6DDC0AAA" w14:textId="77777777" w:rsidR="00975881" w:rsidRDefault="00000000" w:rsidP="00D014A5">
            <w:pPr>
              <w:spacing w:after="20" w:line="220" w:lineRule="auto"/>
              <w:jc w:val="both"/>
            </w:pPr>
            <w:r>
              <w:rPr>
                <w:b/>
                <w:bCs/>
                <w:sz w:val="16"/>
                <w:szCs w:val="16"/>
              </w:rPr>
              <w:t>Principal threats to validity</w:t>
            </w:r>
          </w:p>
        </w:tc>
        <w:tc>
          <w:tcPr>
            <w:tcW w:w="1534" w:type="dxa"/>
            <w:shd w:val="clear" w:color="auto" w:fill="E8EDF2"/>
            <w:tcMar>
              <w:top w:w="60" w:type="dxa"/>
              <w:left w:w="90" w:type="dxa"/>
              <w:bottom w:w="60" w:type="dxa"/>
              <w:right w:w="90" w:type="dxa"/>
            </w:tcMar>
          </w:tcPr>
          <w:p w14:paraId="2D91FE4A" w14:textId="77777777" w:rsidR="00975881" w:rsidRDefault="00000000" w:rsidP="00D014A5">
            <w:pPr>
              <w:spacing w:after="20" w:line="220" w:lineRule="auto"/>
              <w:jc w:val="both"/>
            </w:pPr>
            <w:r>
              <w:rPr>
                <w:b/>
                <w:bCs/>
                <w:sz w:val="16"/>
                <w:szCs w:val="16"/>
              </w:rPr>
              <w:t>Supporting references</w:t>
            </w:r>
          </w:p>
        </w:tc>
      </w:tr>
      <w:tr w:rsidR="00975881" w14:paraId="6D62A530" w14:textId="77777777">
        <w:tc>
          <w:tcPr>
            <w:tcW w:w="1354" w:type="dxa"/>
            <w:tcMar>
              <w:top w:w="60" w:type="dxa"/>
              <w:left w:w="90" w:type="dxa"/>
              <w:bottom w:w="60" w:type="dxa"/>
              <w:right w:w="90" w:type="dxa"/>
            </w:tcMar>
          </w:tcPr>
          <w:p w14:paraId="11D23232" w14:textId="77777777" w:rsidR="00975881" w:rsidRDefault="00000000" w:rsidP="00D014A5">
            <w:pPr>
              <w:spacing w:after="20" w:line="220" w:lineRule="auto"/>
              <w:jc w:val="both"/>
            </w:pPr>
            <w:r>
              <w:rPr>
                <w:sz w:val="16"/>
                <w:szCs w:val="16"/>
              </w:rPr>
              <w:t>Episode-based (bundled) payment</w:t>
            </w:r>
          </w:p>
        </w:tc>
        <w:tc>
          <w:tcPr>
            <w:tcW w:w="1805" w:type="dxa"/>
            <w:tcMar>
              <w:top w:w="60" w:type="dxa"/>
              <w:left w:w="90" w:type="dxa"/>
              <w:bottom w:w="60" w:type="dxa"/>
              <w:right w:w="90" w:type="dxa"/>
            </w:tcMar>
          </w:tcPr>
          <w:p w14:paraId="47DC5100" w14:textId="77777777" w:rsidR="00975881" w:rsidRDefault="00000000" w:rsidP="00D014A5">
            <w:pPr>
              <w:spacing w:after="20" w:line="220" w:lineRule="auto"/>
              <w:jc w:val="both"/>
            </w:pPr>
            <w:r>
              <w:rPr>
                <w:sz w:val="16"/>
                <w:szCs w:val="16"/>
              </w:rPr>
              <w:t>Provider accountability for total cost of a defined episode suppresses discretionary components</w:t>
            </w:r>
          </w:p>
        </w:tc>
        <w:tc>
          <w:tcPr>
            <w:tcW w:w="2347" w:type="dxa"/>
            <w:tcMar>
              <w:top w:w="60" w:type="dxa"/>
              <w:left w:w="90" w:type="dxa"/>
              <w:bottom w:w="60" w:type="dxa"/>
              <w:right w:w="90" w:type="dxa"/>
            </w:tcMar>
          </w:tcPr>
          <w:p w14:paraId="6A1C469D" w14:textId="77777777" w:rsidR="00975881" w:rsidRDefault="00000000" w:rsidP="00D014A5">
            <w:pPr>
              <w:spacing w:after="20" w:line="220" w:lineRule="auto"/>
              <w:jc w:val="both"/>
            </w:pPr>
            <w:r>
              <w:rPr>
                <w:sz w:val="16"/>
                <w:szCs w:val="16"/>
              </w:rPr>
              <w:t>Costs lowered with quality maintained or improved for lower-extremity joint replacement across 20 evaluations; effects not observed for other conditions or procedures</w:t>
            </w:r>
          </w:p>
        </w:tc>
        <w:tc>
          <w:tcPr>
            <w:tcW w:w="1986" w:type="dxa"/>
            <w:tcMar>
              <w:top w:w="60" w:type="dxa"/>
              <w:left w:w="90" w:type="dxa"/>
              <w:bottom w:w="60" w:type="dxa"/>
              <w:right w:w="90" w:type="dxa"/>
            </w:tcMar>
          </w:tcPr>
          <w:p w14:paraId="59CDD82A" w14:textId="77777777" w:rsidR="00975881" w:rsidRDefault="00000000" w:rsidP="00D014A5">
            <w:pPr>
              <w:spacing w:after="20" w:line="220" w:lineRule="auto"/>
              <w:jc w:val="both"/>
            </w:pPr>
            <w:r>
              <w:rPr>
                <w:sz w:val="16"/>
                <w:szCs w:val="16"/>
              </w:rPr>
              <w:t>Patient exclusion is the dominant risk-handling method; cost displaced beyond the episode boundary is not measured</w:t>
            </w:r>
          </w:p>
        </w:tc>
        <w:tc>
          <w:tcPr>
            <w:tcW w:w="1534" w:type="dxa"/>
            <w:tcMar>
              <w:top w:w="60" w:type="dxa"/>
              <w:left w:w="90" w:type="dxa"/>
              <w:bottom w:w="60" w:type="dxa"/>
              <w:right w:w="90" w:type="dxa"/>
            </w:tcMar>
          </w:tcPr>
          <w:p w14:paraId="48EAA903" w14:textId="77777777" w:rsidR="00975881" w:rsidRDefault="00000000" w:rsidP="00D014A5">
            <w:pPr>
              <w:spacing w:after="20" w:line="220" w:lineRule="auto"/>
              <w:jc w:val="both"/>
            </w:pPr>
            <w:r>
              <w:rPr>
                <w:sz w:val="16"/>
                <w:szCs w:val="16"/>
              </w:rPr>
              <w:t>Agarwal et al. (2020); Hendriks et al. (2025)</w:t>
            </w:r>
          </w:p>
        </w:tc>
      </w:tr>
      <w:tr w:rsidR="00975881" w14:paraId="6B327E6E" w14:textId="77777777">
        <w:tc>
          <w:tcPr>
            <w:tcW w:w="1354" w:type="dxa"/>
            <w:tcMar>
              <w:top w:w="60" w:type="dxa"/>
              <w:left w:w="90" w:type="dxa"/>
              <w:bottom w:w="60" w:type="dxa"/>
              <w:right w:w="90" w:type="dxa"/>
            </w:tcMar>
          </w:tcPr>
          <w:p w14:paraId="7C681F1D" w14:textId="77777777" w:rsidR="00975881" w:rsidRDefault="00000000" w:rsidP="00D014A5">
            <w:pPr>
              <w:spacing w:after="20" w:line="220" w:lineRule="auto"/>
              <w:jc w:val="both"/>
            </w:pPr>
            <w:r>
              <w:rPr>
                <w:sz w:val="16"/>
                <w:szCs w:val="16"/>
              </w:rPr>
              <w:t>Shared savings and accountable care</w:t>
            </w:r>
          </w:p>
        </w:tc>
        <w:tc>
          <w:tcPr>
            <w:tcW w:w="1805" w:type="dxa"/>
            <w:tcMar>
              <w:top w:w="60" w:type="dxa"/>
              <w:left w:w="90" w:type="dxa"/>
              <w:bottom w:w="60" w:type="dxa"/>
              <w:right w:w="90" w:type="dxa"/>
            </w:tcMar>
          </w:tcPr>
          <w:p w14:paraId="417EA554" w14:textId="77777777" w:rsidR="00975881" w:rsidRDefault="00000000" w:rsidP="00D014A5">
            <w:pPr>
              <w:spacing w:after="20" w:line="220" w:lineRule="auto"/>
              <w:jc w:val="both"/>
            </w:pPr>
            <w:r>
              <w:rPr>
                <w:sz w:val="16"/>
                <w:szCs w:val="16"/>
              </w:rPr>
              <w:t>Providers retain a share of savings against a population spending benchmark</w:t>
            </w:r>
          </w:p>
        </w:tc>
        <w:tc>
          <w:tcPr>
            <w:tcW w:w="2347" w:type="dxa"/>
            <w:tcMar>
              <w:top w:w="60" w:type="dxa"/>
              <w:left w:w="90" w:type="dxa"/>
              <w:bottom w:w="60" w:type="dxa"/>
              <w:right w:w="90" w:type="dxa"/>
            </w:tcMar>
          </w:tcPr>
          <w:p w14:paraId="329962DB" w14:textId="77777777" w:rsidR="00975881" w:rsidRDefault="00000000" w:rsidP="00D014A5">
            <w:pPr>
              <w:spacing w:after="20" w:line="220" w:lineRule="auto"/>
              <w:jc w:val="both"/>
            </w:pPr>
            <w:r>
              <w:rPr>
                <w:sz w:val="16"/>
                <w:szCs w:val="16"/>
              </w:rPr>
              <w:t>Differential reduction of US$474 per patient (4.9% of pre-entry mean) by year three for early-entry physician-group organisations; hospital-integrated organisations showed smaller or absent reductions offset by bonus payments</w:t>
            </w:r>
          </w:p>
        </w:tc>
        <w:tc>
          <w:tcPr>
            <w:tcW w:w="1986" w:type="dxa"/>
            <w:tcMar>
              <w:top w:w="60" w:type="dxa"/>
              <w:left w:w="90" w:type="dxa"/>
              <w:bottom w:w="60" w:type="dxa"/>
              <w:right w:w="90" w:type="dxa"/>
            </w:tcMar>
          </w:tcPr>
          <w:p w14:paraId="41722F25" w14:textId="77777777" w:rsidR="00975881" w:rsidRDefault="00000000" w:rsidP="00D014A5">
            <w:pPr>
              <w:spacing w:after="20" w:line="220" w:lineRule="auto"/>
              <w:jc w:val="both"/>
            </w:pPr>
            <w:r>
              <w:rPr>
                <w:sz w:val="16"/>
                <w:szCs w:val="16"/>
              </w:rPr>
              <w:t>Voluntary participation; benchmark construction determines measured savings; provider-level savings do not equal payer-level savings</w:t>
            </w:r>
          </w:p>
        </w:tc>
        <w:tc>
          <w:tcPr>
            <w:tcW w:w="1534" w:type="dxa"/>
            <w:tcMar>
              <w:top w:w="60" w:type="dxa"/>
              <w:left w:w="90" w:type="dxa"/>
              <w:bottom w:w="60" w:type="dxa"/>
              <w:right w:w="90" w:type="dxa"/>
            </w:tcMar>
          </w:tcPr>
          <w:p w14:paraId="54877223" w14:textId="77777777" w:rsidR="00975881" w:rsidRDefault="00000000" w:rsidP="00D014A5">
            <w:pPr>
              <w:spacing w:after="20" w:line="220" w:lineRule="auto"/>
              <w:jc w:val="both"/>
            </w:pPr>
            <w:r>
              <w:rPr>
                <w:sz w:val="16"/>
                <w:szCs w:val="16"/>
              </w:rPr>
              <w:t>Gondi et al. (2022); McWilliams et al. (2018)</w:t>
            </w:r>
          </w:p>
        </w:tc>
      </w:tr>
      <w:tr w:rsidR="00975881" w14:paraId="3EC996DC" w14:textId="77777777">
        <w:tc>
          <w:tcPr>
            <w:tcW w:w="1354" w:type="dxa"/>
            <w:tcMar>
              <w:top w:w="60" w:type="dxa"/>
              <w:left w:w="90" w:type="dxa"/>
              <w:bottom w:w="60" w:type="dxa"/>
              <w:right w:w="90" w:type="dxa"/>
            </w:tcMar>
          </w:tcPr>
          <w:p w14:paraId="0B293A60" w14:textId="77777777" w:rsidR="00975881" w:rsidRDefault="00000000" w:rsidP="00D014A5">
            <w:pPr>
              <w:spacing w:after="20" w:line="220" w:lineRule="auto"/>
              <w:jc w:val="both"/>
            </w:pPr>
            <w:r>
              <w:rPr>
                <w:sz w:val="16"/>
                <w:szCs w:val="16"/>
              </w:rPr>
              <w:t>Global payment with explicit quality incentives</w:t>
            </w:r>
          </w:p>
        </w:tc>
        <w:tc>
          <w:tcPr>
            <w:tcW w:w="1805" w:type="dxa"/>
            <w:tcMar>
              <w:top w:w="60" w:type="dxa"/>
              <w:left w:w="90" w:type="dxa"/>
              <w:bottom w:w="60" w:type="dxa"/>
              <w:right w:w="90" w:type="dxa"/>
            </w:tcMar>
          </w:tcPr>
          <w:p w14:paraId="47B12474" w14:textId="77777777" w:rsidR="00975881" w:rsidRDefault="00000000" w:rsidP="00D014A5">
            <w:pPr>
              <w:spacing w:after="20" w:line="220" w:lineRule="auto"/>
              <w:jc w:val="both"/>
            </w:pPr>
            <w:r>
              <w:rPr>
                <w:sz w:val="16"/>
                <w:szCs w:val="16"/>
              </w:rPr>
              <w:t>Base payment decoupled from volume with quality incentives preventing under-provision</w:t>
            </w:r>
          </w:p>
        </w:tc>
        <w:tc>
          <w:tcPr>
            <w:tcW w:w="2347" w:type="dxa"/>
            <w:tcMar>
              <w:top w:w="60" w:type="dxa"/>
              <w:left w:w="90" w:type="dxa"/>
              <w:bottom w:w="60" w:type="dxa"/>
              <w:right w:w="90" w:type="dxa"/>
            </w:tcMar>
          </w:tcPr>
          <w:p w14:paraId="71D05D17" w14:textId="77777777" w:rsidR="00975881" w:rsidRDefault="00000000" w:rsidP="00D014A5">
            <w:pPr>
              <w:spacing w:after="20" w:line="220" w:lineRule="auto"/>
              <w:jc w:val="both"/>
            </w:pPr>
            <w:r>
              <w:rPr>
                <w:sz w:val="16"/>
                <w:szCs w:val="16"/>
              </w:rPr>
              <w:t>Across 18 initiatives, generally lower spending growth with equal or improved quality; strong primary care orientation</w:t>
            </w:r>
          </w:p>
        </w:tc>
        <w:tc>
          <w:tcPr>
            <w:tcW w:w="1986" w:type="dxa"/>
            <w:tcMar>
              <w:top w:w="60" w:type="dxa"/>
              <w:left w:w="90" w:type="dxa"/>
              <w:bottom w:w="60" w:type="dxa"/>
              <w:right w:w="90" w:type="dxa"/>
            </w:tcMar>
          </w:tcPr>
          <w:p w14:paraId="61902B39" w14:textId="77777777" w:rsidR="00975881" w:rsidRDefault="00000000" w:rsidP="00D014A5">
            <w:pPr>
              <w:spacing w:after="20" w:line="220" w:lineRule="auto"/>
              <w:jc w:val="both"/>
            </w:pPr>
            <w:r>
              <w:rPr>
                <w:sz w:val="16"/>
                <w:szCs w:val="16"/>
              </w:rPr>
              <w:t>Widespread use of virtual rather than actual spending targets means genuine budgetary risk is limited</w:t>
            </w:r>
          </w:p>
        </w:tc>
        <w:tc>
          <w:tcPr>
            <w:tcW w:w="1534" w:type="dxa"/>
            <w:tcMar>
              <w:top w:w="60" w:type="dxa"/>
              <w:left w:w="90" w:type="dxa"/>
              <w:bottom w:w="60" w:type="dxa"/>
              <w:right w:w="90" w:type="dxa"/>
            </w:tcMar>
          </w:tcPr>
          <w:p w14:paraId="72D70AE3" w14:textId="77777777" w:rsidR="00975881" w:rsidRDefault="00000000" w:rsidP="00D014A5">
            <w:pPr>
              <w:spacing w:after="20" w:line="220" w:lineRule="auto"/>
              <w:jc w:val="both"/>
            </w:pPr>
            <w:r>
              <w:rPr>
                <w:sz w:val="16"/>
                <w:szCs w:val="16"/>
              </w:rPr>
              <w:t>Cattel and Eijkenaar (2020)</w:t>
            </w:r>
          </w:p>
        </w:tc>
      </w:tr>
      <w:tr w:rsidR="00975881" w14:paraId="0DABDE5C" w14:textId="77777777">
        <w:tc>
          <w:tcPr>
            <w:tcW w:w="1354" w:type="dxa"/>
            <w:tcMar>
              <w:top w:w="60" w:type="dxa"/>
              <w:left w:w="90" w:type="dxa"/>
              <w:bottom w:w="60" w:type="dxa"/>
              <w:right w:w="90" w:type="dxa"/>
            </w:tcMar>
          </w:tcPr>
          <w:p w14:paraId="56AD3B14" w14:textId="77777777" w:rsidR="00975881" w:rsidRDefault="00000000" w:rsidP="00D014A5">
            <w:pPr>
              <w:spacing w:after="20" w:line="220" w:lineRule="auto"/>
              <w:jc w:val="both"/>
            </w:pPr>
            <w:r>
              <w:rPr>
                <w:sz w:val="16"/>
                <w:szCs w:val="16"/>
              </w:rPr>
              <w:t>Reward-based pay-for-performance</w:t>
            </w:r>
          </w:p>
        </w:tc>
        <w:tc>
          <w:tcPr>
            <w:tcW w:w="1805" w:type="dxa"/>
            <w:tcMar>
              <w:top w:w="60" w:type="dxa"/>
              <w:left w:w="90" w:type="dxa"/>
              <w:bottom w:w="60" w:type="dxa"/>
              <w:right w:w="90" w:type="dxa"/>
            </w:tcMar>
          </w:tcPr>
          <w:p w14:paraId="4EC06134" w14:textId="77777777" w:rsidR="00975881" w:rsidRDefault="00000000" w:rsidP="00D014A5">
            <w:pPr>
              <w:spacing w:after="20" w:line="220" w:lineRule="auto"/>
              <w:jc w:val="both"/>
            </w:pPr>
            <w:r>
              <w:rPr>
                <w:sz w:val="16"/>
                <w:szCs w:val="16"/>
              </w:rPr>
              <w:t>Financial reward for documented achievement on specified quality indicators</w:t>
            </w:r>
          </w:p>
        </w:tc>
        <w:tc>
          <w:tcPr>
            <w:tcW w:w="2347" w:type="dxa"/>
            <w:tcMar>
              <w:top w:w="60" w:type="dxa"/>
              <w:left w:w="90" w:type="dxa"/>
              <w:bottom w:w="60" w:type="dxa"/>
              <w:right w:w="90" w:type="dxa"/>
            </w:tcMar>
          </w:tcPr>
          <w:p w14:paraId="455DFA28" w14:textId="77777777" w:rsidR="00975881" w:rsidRDefault="00000000" w:rsidP="00D014A5">
            <w:pPr>
              <w:spacing w:after="20" w:line="220" w:lineRule="auto"/>
              <w:jc w:val="both"/>
            </w:pPr>
            <w:r>
              <w:rPr>
                <w:sz w:val="16"/>
                <w:szCs w:val="16"/>
              </w:rPr>
              <w:t>Median improvement of 6.1 percentage points at one year after incentive introduction, attenuating to 0.7 percentage points at three years; withdrawal associated with reductions of 10.7 and 12.8 percentage points at one and three years</w:t>
            </w:r>
          </w:p>
        </w:tc>
        <w:tc>
          <w:tcPr>
            <w:tcW w:w="1986" w:type="dxa"/>
            <w:tcMar>
              <w:top w:w="60" w:type="dxa"/>
              <w:left w:w="90" w:type="dxa"/>
              <w:bottom w:w="60" w:type="dxa"/>
              <w:right w:w="90" w:type="dxa"/>
            </w:tcMar>
          </w:tcPr>
          <w:p w14:paraId="4152AA72" w14:textId="77777777" w:rsidR="00975881" w:rsidRDefault="00000000" w:rsidP="00D014A5">
            <w:pPr>
              <w:spacing w:after="20" w:line="220" w:lineRule="auto"/>
              <w:jc w:val="both"/>
            </w:pPr>
            <w:r>
              <w:rPr>
                <w:sz w:val="16"/>
                <w:szCs w:val="16"/>
              </w:rPr>
              <w:t>Recorded quality may change more than delivered care; attention displaced from unincentivised activity</w:t>
            </w:r>
          </w:p>
        </w:tc>
        <w:tc>
          <w:tcPr>
            <w:tcW w:w="1534" w:type="dxa"/>
            <w:tcMar>
              <w:top w:w="60" w:type="dxa"/>
              <w:left w:w="90" w:type="dxa"/>
              <w:bottom w:w="60" w:type="dxa"/>
              <w:right w:w="90" w:type="dxa"/>
            </w:tcMar>
          </w:tcPr>
          <w:p w14:paraId="1B61B00F" w14:textId="77777777" w:rsidR="00975881" w:rsidRDefault="00000000" w:rsidP="00D014A5">
            <w:pPr>
              <w:spacing w:after="20" w:line="220" w:lineRule="auto"/>
              <w:jc w:val="both"/>
            </w:pPr>
            <w:r>
              <w:rPr>
                <w:sz w:val="16"/>
                <w:szCs w:val="16"/>
              </w:rPr>
              <w:t>Ho et al. (2025)</w:t>
            </w:r>
          </w:p>
        </w:tc>
      </w:tr>
      <w:tr w:rsidR="00975881" w14:paraId="172BF7F9" w14:textId="77777777">
        <w:tc>
          <w:tcPr>
            <w:tcW w:w="1354" w:type="dxa"/>
            <w:tcMar>
              <w:top w:w="60" w:type="dxa"/>
              <w:left w:w="90" w:type="dxa"/>
              <w:bottom w:w="60" w:type="dxa"/>
              <w:right w:w="90" w:type="dxa"/>
            </w:tcMar>
          </w:tcPr>
          <w:p w14:paraId="157E17A9" w14:textId="77777777" w:rsidR="00975881" w:rsidRDefault="00000000" w:rsidP="00D014A5">
            <w:pPr>
              <w:spacing w:after="20" w:line="220" w:lineRule="auto"/>
              <w:jc w:val="both"/>
            </w:pPr>
            <w:r>
              <w:rPr>
                <w:sz w:val="16"/>
                <w:szCs w:val="16"/>
              </w:rPr>
              <w:t>Penalty-based programmes</w:t>
            </w:r>
          </w:p>
        </w:tc>
        <w:tc>
          <w:tcPr>
            <w:tcW w:w="1805" w:type="dxa"/>
            <w:tcMar>
              <w:top w:w="60" w:type="dxa"/>
              <w:left w:w="90" w:type="dxa"/>
              <w:bottom w:w="60" w:type="dxa"/>
              <w:right w:w="90" w:type="dxa"/>
            </w:tcMar>
          </w:tcPr>
          <w:p w14:paraId="215E76A1" w14:textId="77777777" w:rsidR="00975881" w:rsidRDefault="00000000" w:rsidP="00D014A5">
            <w:pPr>
              <w:spacing w:after="20" w:line="220" w:lineRule="auto"/>
              <w:jc w:val="both"/>
            </w:pPr>
            <w:r>
              <w:rPr>
                <w:sz w:val="16"/>
                <w:szCs w:val="16"/>
              </w:rPr>
              <w:t>Financial penalty for performance below a threshold on a targeted outcome</w:t>
            </w:r>
          </w:p>
        </w:tc>
        <w:tc>
          <w:tcPr>
            <w:tcW w:w="2347" w:type="dxa"/>
            <w:tcMar>
              <w:top w:w="60" w:type="dxa"/>
              <w:left w:w="90" w:type="dxa"/>
              <w:bottom w:w="60" w:type="dxa"/>
              <w:right w:w="90" w:type="dxa"/>
            </w:tcMar>
          </w:tcPr>
          <w:p w14:paraId="3FF9B5DC" w14:textId="77777777" w:rsidR="00975881" w:rsidRDefault="00000000" w:rsidP="00D014A5">
            <w:pPr>
              <w:spacing w:after="20" w:line="220" w:lineRule="auto"/>
              <w:jc w:val="both"/>
            </w:pPr>
            <w:r>
              <w:rPr>
                <w:sz w:val="16"/>
                <w:szCs w:val="16"/>
              </w:rPr>
              <w:t>Just over half of hospital patient-safety evaluations found no improvement, with positive findings concentrated among weaker studies; increased post-discharge mortality in heart failure observed after readmission-penalty announcement and implementation</w:t>
            </w:r>
          </w:p>
        </w:tc>
        <w:tc>
          <w:tcPr>
            <w:tcW w:w="1986" w:type="dxa"/>
            <w:tcMar>
              <w:top w:w="60" w:type="dxa"/>
              <w:left w:w="90" w:type="dxa"/>
              <w:bottom w:w="60" w:type="dxa"/>
              <w:right w:w="90" w:type="dxa"/>
            </w:tcMar>
          </w:tcPr>
          <w:p w14:paraId="69C29BAD" w14:textId="77777777" w:rsidR="00975881" w:rsidRDefault="00000000" w:rsidP="00D014A5">
            <w:pPr>
              <w:spacing w:after="20" w:line="220" w:lineRule="auto"/>
              <w:jc w:val="both"/>
            </w:pPr>
            <w:r>
              <w:rPr>
                <w:sz w:val="16"/>
                <w:szCs w:val="16"/>
              </w:rPr>
              <w:t>Amounts at stake are negligible relative to hospital revenue; harm signals contested and not decisively resolved</w:t>
            </w:r>
          </w:p>
        </w:tc>
        <w:tc>
          <w:tcPr>
            <w:tcW w:w="1534" w:type="dxa"/>
            <w:tcMar>
              <w:top w:w="60" w:type="dxa"/>
              <w:left w:w="90" w:type="dxa"/>
              <w:bottom w:w="60" w:type="dxa"/>
              <w:right w:w="90" w:type="dxa"/>
            </w:tcMar>
          </w:tcPr>
          <w:p w14:paraId="69DB251F" w14:textId="77777777" w:rsidR="00975881" w:rsidRDefault="00000000" w:rsidP="00D014A5">
            <w:pPr>
              <w:spacing w:after="20" w:line="220" w:lineRule="auto"/>
              <w:jc w:val="both"/>
            </w:pPr>
            <w:r>
              <w:rPr>
                <w:sz w:val="16"/>
                <w:szCs w:val="16"/>
              </w:rPr>
              <w:t>Slawomirski et al. (2024); Wadhera et al. (2018)</w:t>
            </w:r>
          </w:p>
        </w:tc>
      </w:tr>
      <w:tr w:rsidR="00975881" w14:paraId="13376B15" w14:textId="77777777">
        <w:tc>
          <w:tcPr>
            <w:tcW w:w="1354" w:type="dxa"/>
            <w:tcMar>
              <w:top w:w="60" w:type="dxa"/>
              <w:left w:w="90" w:type="dxa"/>
              <w:bottom w:w="60" w:type="dxa"/>
              <w:right w:w="90" w:type="dxa"/>
            </w:tcMar>
          </w:tcPr>
          <w:p w14:paraId="0CD4B98B" w14:textId="77777777" w:rsidR="00975881" w:rsidRDefault="00000000" w:rsidP="00D014A5">
            <w:pPr>
              <w:spacing w:after="20" w:line="220" w:lineRule="auto"/>
              <w:jc w:val="both"/>
            </w:pPr>
            <w:r>
              <w:rPr>
                <w:sz w:val="16"/>
                <w:szCs w:val="16"/>
              </w:rPr>
              <w:t>Global budgets</w:t>
            </w:r>
          </w:p>
        </w:tc>
        <w:tc>
          <w:tcPr>
            <w:tcW w:w="1805" w:type="dxa"/>
            <w:tcMar>
              <w:top w:w="60" w:type="dxa"/>
              <w:left w:w="90" w:type="dxa"/>
              <w:bottom w:w="60" w:type="dxa"/>
              <w:right w:w="90" w:type="dxa"/>
            </w:tcMar>
          </w:tcPr>
          <w:p w14:paraId="57DEB1CE" w14:textId="77777777" w:rsidR="00975881" w:rsidRDefault="00000000" w:rsidP="00D014A5">
            <w:pPr>
              <w:spacing w:after="20" w:line="220" w:lineRule="auto"/>
              <w:jc w:val="both"/>
            </w:pPr>
            <w:r>
              <w:rPr>
                <w:sz w:val="16"/>
                <w:szCs w:val="16"/>
              </w:rPr>
              <w:t>Revenue cap removes the financial return to additional volume</w:t>
            </w:r>
          </w:p>
        </w:tc>
        <w:tc>
          <w:tcPr>
            <w:tcW w:w="2347" w:type="dxa"/>
            <w:tcMar>
              <w:top w:w="60" w:type="dxa"/>
              <w:left w:w="90" w:type="dxa"/>
              <w:bottom w:w="60" w:type="dxa"/>
              <w:right w:w="90" w:type="dxa"/>
            </w:tcMar>
          </w:tcPr>
          <w:p w14:paraId="15582167" w14:textId="77777777" w:rsidR="00975881" w:rsidRDefault="00000000" w:rsidP="00D014A5">
            <w:pPr>
              <w:spacing w:after="20" w:line="220" w:lineRule="auto"/>
              <w:jc w:val="both"/>
            </w:pPr>
            <w:r>
              <w:rPr>
                <w:sz w:val="16"/>
                <w:szCs w:val="16"/>
              </w:rPr>
              <w:t>Pooled analysis of surgical care in one jurisdiction found modest cost reduction with lower odds of complications, readmission and mortality and reduced length of stay across more than 170,000 patients</w:t>
            </w:r>
          </w:p>
        </w:tc>
        <w:tc>
          <w:tcPr>
            <w:tcW w:w="1986" w:type="dxa"/>
            <w:tcMar>
              <w:top w:w="60" w:type="dxa"/>
              <w:left w:w="90" w:type="dxa"/>
              <w:bottom w:w="60" w:type="dxa"/>
              <w:right w:w="90" w:type="dxa"/>
            </w:tcMar>
          </w:tcPr>
          <w:p w14:paraId="71061FAB" w14:textId="77777777" w:rsidR="00975881" w:rsidRDefault="00000000" w:rsidP="00D014A5">
            <w:pPr>
              <w:spacing w:after="20" w:line="220" w:lineRule="auto"/>
              <w:jc w:val="both"/>
            </w:pPr>
            <w:r>
              <w:rPr>
                <w:sz w:val="16"/>
                <w:szCs w:val="16"/>
              </w:rPr>
              <w:t>Single jurisdiction with atypical rate-setting history; observational designs during concurrent reform; possible case selection through centralisation</w:t>
            </w:r>
          </w:p>
        </w:tc>
        <w:tc>
          <w:tcPr>
            <w:tcW w:w="1534" w:type="dxa"/>
            <w:tcMar>
              <w:top w:w="60" w:type="dxa"/>
              <w:left w:w="90" w:type="dxa"/>
              <w:bottom w:w="60" w:type="dxa"/>
              <w:right w:w="90" w:type="dxa"/>
            </w:tcMar>
          </w:tcPr>
          <w:p w14:paraId="12F9C641" w14:textId="77777777" w:rsidR="00975881" w:rsidRDefault="00000000" w:rsidP="00D014A5">
            <w:pPr>
              <w:spacing w:after="20" w:line="220" w:lineRule="auto"/>
              <w:jc w:val="both"/>
            </w:pPr>
            <w:r>
              <w:rPr>
                <w:sz w:val="16"/>
                <w:szCs w:val="16"/>
              </w:rPr>
              <w:t>Shammas et al. (2023)</w:t>
            </w:r>
          </w:p>
        </w:tc>
      </w:tr>
      <w:tr w:rsidR="00975881" w14:paraId="316BFA14" w14:textId="77777777">
        <w:tc>
          <w:tcPr>
            <w:tcW w:w="1354" w:type="dxa"/>
            <w:tcMar>
              <w:top w:w="60" w:type="dxa"/>
              <w:left w:w="90" w:type="dxa"/>
              <w:bottom w:w="60" w:type="dxa"/>
              <w:right w:w="90" w:type="dxa"/>
            </w:tcMar>
          </w:tcPr>
          <w:p w14:paraId="5013B256" w14:textId="77777777" w:rsidR="00975881" w:rsidRDefault="00000000" w:rsidP="00D014A5">
            <w:pPr>
              <w:spacing w:after="20" w:line="220" w:lineRule="auto"/>
              <w:jc w:val="both"/>
            </w:pPr>
            <w:r>
              <w:rPr>
                <w:sz w:val="16"/>
                <w:szCs w:val="16"/>
              </w:rPr>
              <w:lastRenderedPageBreak/>
              <w:t>Capitation with performance payment</w:t>
            </w:r>
          </w:p>
        </w:tc>
        <w:tc>
          <w:tcPr>
            <w:tcW w:w="1805" w:type="dxa"/>
            <w:tcMar>
              <w:top w:w="60" w:type="dxa"/>
              <w:left w:w="90" w:type="dxa"/>
              <w:bottom w:w="60" w:type="dxa"/>
              <w:right w:w="90" w:type="dxa"/>
            </w:tcMar>
          </w:tcPr>
          <w:p w14:paraId="1EAD5F71" w14:textId="77777777" w:rsidR="00975881" w:rsidRDefault="00000000" w:rsidP="00D014A5">
            <w:pPr>
              <w:spacing w:after="20" w:line="220" w:lineRule="auto"/>
              <w:jc w:val="both"/>
            </w:pPr>
            <w:r>
              <w:rPr>
                <w:sz w:val="16"/>
                <w:szCs w:val="16"/>
              </w:rPr>
              <w:t>Prospective per-capita payment with quality-linked supplement</w:t>
            </w:r>
          </w:p>
        </w:tc>
        <w:tc>
          <w:tcPr>
            <w:tcW w:w="2347" w:type="dxa"/>
            <w:tcMar>
              <w:top w:w="60" w:type="dxa"/>
              <w:left w:w="90" w:type="dxa"/>
              <w:bottom w:w="60" w:type="dxa"/>
              <w:right w:w="90" w:type="dxa"/>
            </w:tcMar>
          </w:tcPr>
          <w:p w14:paraId="7C332F7D" w14:textId="77777777" w:rsidR="00975881" w:rsidRDefault="00000000" w:rsidP="00D014A5">
            <w:pPr>
              <w:spacing w:after="20" w:line="220" w:lineRule="auto"/>
              <w:jc w:val="both"/>
            </w:pPr>
            <w:r>
              <w:rPr>
                <w:sz w:val="16"/>
                <w:szCs w:val="16"/>
              </w:rPr>
              <w:t>Comparative analysis across four countries indicates effects depend on rate adequacy, risk adjustment quality and accountability arrangements rather than on payment form</w:t>
            </w:r>
          </w:p>
        </w:tc>
        <w:tc>
          <w:tcPr>
            <w:tcW w:w="1986" w:type="dxa"/>
            <w:tcMar>
              <w:top w:w="60" w:type="dxa"/>
              <w:left w:w="90" w:type="dxa"/>
              <w:bottom w:w="60" w:type="dxa"/>
              <w:right w:w="90" w:type="dxa"/>
            </w:tcMar>
          </w:tcPr>
          <w:p w14:paraId="52B1CC83" w14:textId="77777777" w:rsidR="00975881" w:rsidRDefault="00000000" w:rsidP="00D014A5">
            <w:pPr>
              <w:spacing w:after="20" w:line="220" w:lineRule="auto"/>
              <w:jc w:val="both"/>
            </w:pPr>
            <w:r>
              <w:rPr>
                <w:sz w:val="16"/>
                <w:szCs w:val="16"/>
              </w:rPr>
              <w:t>Rate and risk-adjustment parameters frequently unreported, preventing comparison across evaluations</w:t>
            </w:r>
          </w:p>
        </w:tc>
        <w:tc>
          <w:tcPr>
            <w:tcW w:w="1534" w:type="dxa"/>
            <w:tcMar>
              <w:top w:w="60" w:type="dxa"/>
              <w:left w:w="90" w:type="dxa"/>
              <w:bottom w:w="60" w:type="dxa"/>
              <w:right w:w="90" w:type="dxa"/>
            </w:tcMar>
          </w:tcPr>
          <w:p w14:paraId="09FFB268" w14:textId="77777777" w:rsidR="00975881" w:rsidRDefault="00000000" w:rsidP="00D014A5">
            <w:pPr>
              <w:spacing w:after="20" w:line="220" w:lineRule="auto"/>
              <w:jc w:val="both"/>
            </w:pPr>
            <w:r>
              <w:rPr>
                <w:sz w:val="16"/>
                <w:szCs w:val="16"/>
              </w:rPr>
              <w:t>Barber et al. (2025)</w:t>
            </w:r>
          </w:p>
        </w:tc>
      </w:tr>
      <w:tr w:rsidR="00975881" w14:paraId="6EADB7D2" w14:textId="77777777">
        <w:tc>
          <w:tcPr>
            <w:tcW w:w="1354" w:type="dxa"/>
            <w:tcMar>
              <w:top w:w="60" w:type="dxa"/>
              <w:left w:w="90" w:type="dxa"/>
              <w:bottom w:w="60" w:type="dxa"/>
              <w:right w:w="90" w:type="dxa"/>
            </w:tcMar>
          </w:tcPr>
          <w:p w14:paraId="166590E2" w14:textId="77777777" w:rsidR="00975881" w:rsidRDefault="00000000" w:rsidP="00D014A5">
            <w:pPr>
              <w:spacing w:after="20" w:line="220" w:lineRule="auto"/>
              <w:jc w:val="both"/>
            </w:pPr>
            <w:r>
              <w:rPr>
                <w:sz w:val="16"/>
                <w:szCs w:val="16"/>
              </w:rPr>
              <w:t>Case-based (diagnosis-related group) payment</w:t>
            </w:r>
          </w:p>
        </w:tc>
        <w:tc>
          <w:tcPr>
            <w:tcW w:w="1805" w:type="dxa"/>
            <w:tcMar>
              <w:top w:w="60" w:type="dxa"/>
              <w:left w:w="90" w:type="dxa"/>
              <w:bottom w:w="60" w:type="dxa"/>
              <w:right w:w="90" w:type="dxa"/>
            </w:tcMar>
          </w:tcPr>
          <w:p w14:paraId="5173E9BE" w14:textId="77777777" w:rsidR="00975881" w:rsidRDefault="00000000" w:rsidP="00D014A5">
            <w:pPr>
              <w:spacing w:after="20" w:line="220" w:lineRule="auto"/>
              <w:jc w:val="both"/>
            </w:pPr>
            <w:r>
              <w:rPr>
                <w:sz w:val="16"/>
                <w:szCs w:val="16"/>
              </w:rPr>
              <w:t>Fixed payment per case class removes the return to additional inputs within an admission</w:t>
            </w:r>
          </w:p>
        </w:tc>
        <w:tc>
          <w:tcPr>
            <w:tcW w:w="2347" w:type="dxa"/>
            <w:tcMar>
              <w:top w:w="60" w:type="dxa"/>
              <w:left w:w="90" w:type="dxa"/>
              <w:bottom w:w="60" w:type="dxa"/>
              <w:right w:w="90" w:type="dxa"/>
            </w:tcMar>
          </w:tcPr>
          <w:p w14:paraId="66DB0E57" w14:textId="77777777" w:rsidR="00975881" w:rsidRDefault="00000000" w:rsidP="00D014A5">
            <w:pPr>
              <w:spacing w:after="20" w:line="220" w:lineRule="auto"/>
              <w:jc w:val="both"/>
            </w:pPr>
            <w:r>
              <w:rPr>
                <w:sz w:val="16"/>
                <w:szCs w:val="16"/>
              </w:rPr>
              <w:t>Expenditure per admission fell following reform in Chinese public hospitals; concurrent evidence documents systematic upcoding behaviour and its organisational drivers</w:t>
            </w:r>
          </w:p>
        </w:tc>
        <w:tc>
          <w:tcPr>
            <w:tcW w:w="1986" w:type="dxa"/>
            <w:tcMar>
              <w:top w:w="60" w:type="dxa"/>
              <w:left w:w="90" w:type="dxa"/>
              <w:bottom w:w="60" w:type="dxa"/>
              <w:right w:w="90" w:type="dxa"/>
            </w:tcMar>
          </w:tcPr>
          <w:p w14:paraId="7CC20428" w14:textId="77777777" w:rsidR="00975881" w:rsidRDefault="00000000" w:rsidP="00D014A5">
            <w:pPr>
              <w:spacing w:after="20" w:line="220" w:lineRule="auto"/>
              <w:jc w:val="both"/>
            </w:pPr>
            <w:r>
              <w:rPr>
                <w:sz w:val="16"/>
                <w:szCs w:val="16"/>
              </w:rPr>
              <w:t>Measured savings cannot be separated from case-mix drift without independent validation of recorded severity</w:t>
            </w:r>
          </w:p>
        </w:tc>
        <w:tc>
          <w:tcPr>
            <w:tcW w:w="1534" w:type="dxa"/>
            <w:tcMar>
              <w:top w:w="60" w:type="dxa"/>
              <w:left w:w="90" w:type="dxa"/>
              <w:bottom w:w="60" w:type="dxa"/>
              <w:right w:w="90" w:type="dxa"/>
            </w:tcMar>
          </w:tcPr>
          <w:p w14:paraId="3A266998" w14:textId="77777777" w:rsidR="00975881" w:rsidRDefault="00000000" w:rsidP="00D014A5">
            <w:pPr>
              <w:spacing w:after="20" w:line="220" w:lineRule="auto"/>
              <w:jc w:val="both"/>
            </w:pPr>
            <w:r>
              <w:rPr>
                <w:sz w:val="16"/>
                <w:szCs w:val="16"/>
              </w:rPr>
              <w:t>Li et al. (2025); Zhou et al. (2025)</w:t>
            </w:r>
          </w:p>
        </w:tc>
      </w:tr>
    </w:tbl>
    <w:p w14:paraId="1971D7B2" w14:textId="77777777" w:rsidR="00975881" w:rsidRDefault="00000000" w:rsidP="00D014A5">
      <w:pPr>
        <w:spacing w:before="100" w:after="240"/>
        <w:jc w:val="both"/>
      </w:pPr>
      <w:r>
        <w:rPr>
          <w:i/>
          <w:iCs/>
          <w:sz w:val="16"/>
          <w:szCs w:val="16"/>
        </w:rPr>
        <w:t>Note. US$ = United States dollars. The table summarises instruments for which evaluative evidence was retrieved and is not exhaustive of payment models in use. Evidence positions reflect the strongest identified studies rather than the full distribution of published findings. Monetary values are reported in the currency and year of the original source.</w:t>
      </w:r>
    </w:p>
    <w:p w14:paraId="3F6C8A6D" w14:textId="77777777" w:rsidR="00975881" w:rsidRDefault="00000000" w:rsidP="00D014A5">
      <w:pPr>
        <w:pStyle w:val="Heading2"/>
        <w:spacing w:before="260" w:after="110"/>
        <w:jc w:val="both"/>
      </w:pPr>
      <w:r>
        <w:rPr>
          <w:b/>
          <w:bCs/>
          <w:i/>
          <w:iCs/>
          <w:color w:val="000000"/>
          <w:sz w:val="22"/>
          <w:szCs w:val="22"/>
        </w:rPr>
        <w:t>5.5 Coding behaviour and the endogeneity of measured value</w:t>
      </w:r>
    </w:p>
    <w:p w14:paraId="42074B5E" w14:textId="77777777" w:rsidR="00975881" w:rsidRDefault="00000000" w:rsidP="00D014A5">
      <w:pPr>
        <w:spacing w:after="140" w:line="320" w:lineRule="auto"/>
        <w:jc w:val="both"/>
      </w:pPr>
      <w:r>
        <w:t>A recurrent difficulty across all the instruments considered above is that the measurements on which payment depends are produced by the parties being paid. Economic analysis of risk adjustment in Medicare demonstrated that transferring enrollees into a payment system that rewards documented severity generated substantial increases in recorded risk scores without corresponding change in underlying health, establishing that coding responds to financial incentive independently of clinical status (Geruso &amp; Layton, 2020). The same phenomenon has been documented in a very different institutional context. Mixed-methods investigation of diagnosis-related group upcoding in China identified systematic behaviours through which hospitals adjusted recorded diagnoses in response to payment classification, together with the organisational drivers sustaining those behaviours (Zhou et al., 2025).</w:t>
      </w:r>
    </w:p>
    <w:p w14:paraId="2CE331D6" w14:textId="77777777" w:rsidR="00975881" w:rsidRDefault="00000000" w:rsidP="00D014A5">
      <w:pPr>
        <w:spacing w:after="140" w:line="320" w:lineRule="auto"/>
        <w:jc w:val="both"/>
      </w:pPr>
      <w:r>
        <w:t>Evaluations of diagnosis-related group payment reform in China nonetheless report reductions in hospitalisation-related expenditure following implementation (Li et al., 2025). Reconciling these two findings is instructive. It is entirely possible for a payment reform to reduce expenditure per admission while also inducing classification behaviour that inflates measured case complexity, and the net effect on total expenditure then depends on the relative magnitude of the two responses. Evaluations that measure spending per episode without simultaneously monitoring case-mix drift cannot distinguish genuine efficiency from reclassification. This is not a peripheral methodological caveat; it applies to the majority of payment evaluations in the field, including several of those summarised above.</w:t>
      </w:r>
    </w:p>
    <w:p w14:paraId="22FBACAB" w14:textId="77777777" w:rsidR="00975881" w:rsidRDefault="00000000" w:rsidP="00D014A5">
      <w:pPr>
        <w:pStyle w:val="Heading1"/>
        <w:spacing w:before="340" w:after="140"/>
        <w:jc w:val="both"/>
      </w:pPr>
      <w:r>
        <w:rPr>
          <w:b/>
          <w:bCs/>
          <w:color w:val="000000"/>
          <w:sz w:val="24"/>
          <w:szCs w:val="24"/>
        </w:rPr>
        <w:t>6. Price, Technology and Pharmaceutical Containment</w:t>
      </w:r>
    </w:p>
    <w:p w14:paraId="2C1BF25D" w14:textId="77777777" w:rsidR="00975881" w:rsidRDefault="00000000" w:rsidP="00D014A5">
      <w:pPr>
        <w:pStyle w:val="Heading2"/>
        <w:spacing w:before="260" w:after="110"/>
        <w:jc w:val="both"/>
      </w:pPr>
      <w:r>
        <w:rPr>
          <w:b/>
          <w:bCs/>
          <w:i/>
          <w:iCs/>
          <w:color w:val="000000"/>
          <w:sz w:val="22"/>
          <w:szCs w:val="22"/>
        </w:rPr>
        <w:t>6.1 Assessment and threshold-based coverage</w:t>
      </w:r>
    </w:p>
    <w:p w14:paraId="472DB63F" w14:textId="77777777" w:rsidR="00975881" w:rsidRDefault="00000000" w:rsidP="00D014A5">
      <w:pPr>
        <w:spacing w:after="140" w:line="320" w:lineRule="auto"/>
        <w:jc w:val="both"/>
      </w:pPr>
      <w:r>
        <w:t>Health technology assessment remains the principal formal mechanism through which systems refuse to purchase interventions whose incremental benefit does not justify their incremental cost. Its containment function operates through two channels: exclusion of poor-value technologies from coverage, and the leverage that credible refusal confers in price negotiation. The second channel is frequently more consequential than the first and is much less studied.</w:t>
      </w:r>
    </w:p>
    <w:p w14:paraId="3FB56E45" w14:textId="77777777" w:rsidR="00975881" w:rsidRDefault="00000000" w:rsidP="00D014A5">
      <w:pPr>
        <w:spacing w:after="140" w:line="320" w:lineRule="auto"/>
        <w:jc w:val="both"/>
      </w:pPr>
      <w:r>
        <w:lastRenderedPageBreak/>
        <w:t>The cost-effectiveness threshold is the parameter through which assessment translates into fiscal consequence, and its determination has become the subject of renewed contention. Analysis of the economic consequences of raising the threshold applied by the National Institute for Health and Care Excellence concludes that increases would raise expenditure and, on plausible assumptions about the health forgone elsewhere in a fixed budget, would reduce aggregate population health despite improving access to individual technologies (Paulden, 2026). The argument is analytically transparent and rests on the opportunity cost of displaced services rather than on affordability alone. It also identifies a structural asymmetry in the politics of assessment: the beneficiaries of a higher threshold are identifiable patients receiving a named technology, while those bearing the cost are statistical patients whose displaced services are never observed.</w:t>
      </w:r>
    </w:p>
    <w:p w14:paraId="2E542FAC" w14:textId="77777777" w:rsidR="00975881" w:rsidRDefault="00000000" w:rsidP="00D014A5">
      <w:pPr>
        <w:spacing w:after="140" w:line="320" w:lineRule="auto"/>
        <w:jc w:val="both"/>
      </w:pPr>
      <w:r>
        <w:t>Extension of assessment to lower-income systems has proceeded through adaptation rather than replication. Adaptive approaches, which use existing evidence and simplified analytical methods to support priority setting where analytical capacity and local data are limited, have been developed explicitly for such settings (Nemzoff et al., 2021). Assessment of the field's trajectory identifies institutionalisation, sustained financing of assessment agencies and the linkage of assessment output to actual purchasing decisions as the binding constraints, rather than methodological sophistication (Guzman et al., 2023). This diagnosis is consistent with a broader pattern in the containment literature: the limiting factor is usually institutional capacity to act on analysis rather than the availability of analysis.</w:t>
      </w:r>
    </w:p>
    <w:p w14:paraId="6EB5B4D2" w14:textId="77777777" w:rsidR="00975881" w:rsidRDefault="00000000" w:rsidP="00D014A5">
      <w:pPr>
        <w:pStyle w:val="Heading2"/>
        <w:spacing w:before="260" w:after="110"/>
        <w:jc w:val="both"/>
      </w:pPr>
      <w:r>
        <w:rPr>
          <w:b/>
          <w:bCs/>
          <w:i/>
          <w:iCs/>
          <w:color w:val="000000"/>
          <w:sz w:val="22"/>
          <w:szCs w:val="22"/>
        </w:rPr>
        <w:t>6.2 Price regulation and off-patent competition</w:t>
      </w:r>
    </w:p>
    <w:p w14:paraId="4BE6C63D" w14:textId="77777777" w:rsidR="00975881" w:rsidRDefault="00000000" w:rsidP="00D014A5">
      <w:pPr>
        <w:spacing w:after="140" w:line="320" w:lineRule="auto"/>
        <w:jc w:val="both"/>
      </w:pPr>
      <w:r>
        <w:t>Price-side instruments address the component of expenditure variation that comparative analysis identifies as dominant. Reference pricing, which sets reimbursement by comparison with a defined basket of products or jurisdictions, has been evaluated most comprehensively in the Chinese context, where analysis of procurement and cost following the introduction of the policy documented measurable effects on procurement prices alongside considerable heterogeneity across product categories and provinces (Jiang et al., 2022). Modelling of therapeutic reference pricing applied to price negotiation in the United States estimates that basing negotiated prices on added therapeutic benefit would generate substantial savings relative to the approaches actually adopted (DiStefano et al., 2023). Modelled estimates of this kind are informative about the magnitude of the opportunity and are not evidence that the opportunity would be realised, since they typically hold manufacturer behaviour and market structure constant.</w:t>
      </w:r>
    </w:p>
    <w:p w14:paraId="6F4FE601" w14:textId="77777777" w:rsidR="00975881" w:rsidRDefault="00000000" w:rsidP="00D014A5">
      <w:pPr>
        <w:spacing w:after="140" w:line="320" w:lineRule="auto"/>
        <w:jc w:val="both"/>
      </w:pPr>
      <w:r>
        <w:t xml:space="preserve">Evidence on off-patent competition is more direct. A difference-in-differences analysis across fourteen high-income and upper-middle-income countries found that expenditure on adalimumab fell by 14% over four quarters in countries where biosimilars were available, driven principally by price and drug-mix effects, while consumption rose; in countries without biosimilar availability, expenditure increased in a quantity-dependent manner (Woo et al., 2024). The combination of falling expenditure with rising consumption is the outcome that containment policy ideally seeks and rarely achieves, and it distinguishes competitive off-patent markets from most other instruments considered in this review, which restrain spending by restraining volume. The estimate derives from a limited observation window </w:t>
      </w:r>
      <w:r>
        <w:lastRenderedPageBreak/>
        <w:t>and from a single molecule, and the durability of such savings depends on continued competitive entry, which is itself sensitive to regulatory and procurement design.</w:t>
      </w:r>
    </w:p>
    <w:p w14:paraId="67379804" w14:textId="77777777" w:rsidR="00975881" w:rsidRDefault="00000000" w:rsidP="00D014A5">
      <w:pPr>
        <w:pStyle w:val="Heading2"/>
        <w:spacing w:before="260" w:after="110"/>
        <w:jc w:val="both"/>
      </w:pPr>
      <w:r>
        <w:rPr>
          <w:b/>
          <w:bCs/>
          <w:i/>
          <w:iCs/>
          <w:color w:val="000000"/>
          <w:sz w:val="22"/>
          <w:szCs w:val="22"/>
        </w:rPr>
        <w:t>6.3 Managed entry and outcome-based contracting</w:t>
      </w:r>
    </w:p>
    <w:p w14:paraId="5ACFC1C5" w14:textId="77777777" w:rsidR="00975881" w:rsidRDefault="00000000" w:rsidP="00D014A5">
      <w:pPr>
        <w:spacing w:after="140" w:line="320" w:lineRule="auto"/>
        <w:jc w:val="both"/>
      </w:pPr>
      <w:r>
        <w:t>Managed entry agreements have proliferated as a response to the arrival of high-cost therapies whose long-term benefit is uncertain at the point of coverage decision. Systematic review of global frameworks, system-level components and implementation challenges documents extensive adoption across jurisdictions alongside persistent difficulties concerning confidentiality of agreed terms, the administrative burden of outcome tracking, and the absence of published evaluation of whether agreements deliver the value they are designed to secure (Al-Omar et al., 2026). Work on the drivers of such agreements for orphan medicinal products reaches a compatible conclusion, identifying uncertainty about clinical effectiveness and about budget impact as the principal motivations and noting that agreement design is frequently determined by negotiating convenience rather than by the specific uncertainty to be resolved (Callenbach et al., 2025).</w:t>
      </w:r>
    </w:p>
    <w:p w14:paraId="6F49871E" w14:textId="77777777" w:rsidR="00975881" w:rsidRDefault="00000000" w:rsidP="00D014A5">
      <w:pPr>
        <w:spacing w:after="140" w:line="320" w:lineRule="auto"/>
        <w:jc w:val="both"/>
      </w:pPr>
      <w:r>
        <w:t>The confidentiality problem deserves particular emphasis because it is corrosive of the evidence base itself. Where the financial terms of agreements are not disclosed, the net price actually paid is unknown, and neither the cost-effectiveness of the technology at its real price nor the aggregate containment effect of the instrument can be established externally. The instrument thereby generates precisely the information asymmetry that value-based purchasing is intended to reduce. Analysis of the affordability of gene therapies anticipated this difficulty, identifying the need for payment mechanisms capable of aligning expenditure with realised benefit while acknowledging that the evidentiary and contractual infrastructure to support such mechanisms did not then exist (Hampson et al., 2018). The infrastructure has advanced since, but the fundamental asymmetry has not been resolved.</w:t>
      </w:r>
    </w:p>
    <w:p w14:paraId="72D180F5" w14:textId="77777777" w:rsidR="00975881" w:rsidRDefault="00000000" w:rsidP="00D014A5">
      <w:pPr>
        <w:spacing w:after="140" w:line="320" w:lineRule="auto"/>
        <w:jc w:val="both"/>
      </w:pPr>
      <w:r>
        <w:t>Table 3 compares price-side and technology-side instruments on the same analytical dimensions applied to payment models in Table 2. Its central implication is that this family of instruments addresses the expenditure component that comparative analysis identifies as quantitatively dominant, yet it occupies a much smaller share of the value-based literature and its evaluations are correspondingly less methodologically developed. The final column also indicates a distinctive vulnerability: several instruments depend for their effect on market structures and on disclosure regimes that policy can alter, so evidence generated under one regulatory configuration transfers poorly to another.</w:t>
      </w:r>
    </w:p>
    <w:p w14:paraId="6A4D28F8" w14:textId="77777777" w:rsidR="00975881" w:rsidRDefault="00000000" w:rsidP="00D014A5">
      <w:pPr>
        <w:spacing w:before="240" w:after="100"/>
        <w:jc w:val="both"/>
      </w:pPr>
      <w:r>
        <w:rPr>
          <w:b/>
          <w:bCs/>
          <w:sz w:val="19"/>
          <w:szCs w:val="19"/>
        </w:rPr>
        <w:t>Table 3. Price-side and technology-side containment instruments: mechanism, evidence position and principal dependencies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1895"/>
        <w:gridCol w:w="2257"/>
        <w:gridCol w:w="1895"/>
        <w:gridCol w:w="1535"/>
      </w:tblGrid>
      <w:tr w:rsidR="00975881" w14:paraId="23C121FC" w14:textId="77777777">
        <w:trPr>
          <w:tblHeader/>
        </w:trPr>
        <w:tc>
          <w:tcPr>
            <w:tcW w:w="1444" w:type="dxa"/>
            <w:shd w:val="clear" w:color="auto" w:fill="E8EDF2"/>
            <w:tcMar>
              <w:top w:w="60" w:type="dxa"/>
              <w:left w:w="90" w:type="dxa"/>
              <w:bottom w:w="60" w:type="dxa"/>
              <w:right w:w="90" w:type="dxa"/>
            </w:tcMar>
          </w:tcPr>
          <w:p w14:paraId="2D299693" w14:textId="77777777" w:rsidR="00975881" w:rsidRDefault="00000000" w:rsidP="00D014A5">
            <w:pPr>
              <w:spacing w:after="20" w:line="220" w:lineRule="auto"/>
              <w:jc w:val="both"/>
            </w:pPr>
            <w:r>
              <w:rPr>
                <w:b/>
                <w:bCs/>
                <w:sz w:val="16"/>
                <w:szCs w:val="16"/>
              </w:rPr>
              <w:t>Instrument</w:t>
            </w:r>
          </w:p>
        </w:tc>
        <w:tc>
          <w:tcPr>
            <w:tcW w:w="1895" w:type="dxa"/>
            <w:shd w:val="clear" w:color="auto" w:fill="E8EDF2"/>
            <w:tcMar>
              <w:top w:w="60" w:type="dxa"/>
              <w:left w:w="90" w:type="dxa"/>
              <w:bottom w:w="60" w:type="dxa"/>
              <w:right w:w="90" w:type="dxa"/>
            </w:tcMar>
          </w:tcPr>
          <w:p w14:paraId="2F824F22" w14:textId="77777777" w:rsidR="00975881" w:rsidRDefault="00000000" w:rsidP="00D014A5">
            <w:pPr>
              <w:spacing w:after="20" w:line="220" w:lineRule="auto"/>
              <w:jc w:val="both"/>
            </w:pPr>
            <w:r>
              <w:rPr>
                <w:b/>
                <w:bCs/>
                <w:sz w:val="16"/>
                <w:szCs w:val="16"/>
              </w:rPr>
              <w:t>Containment mechanism</w:t>
            </w:r>
          </w:p>
        </w:tc>
        <w:tc>
          <w:tcPr>
            <w:tcW w:w="2257" w:type="dxa"/>
            <w:shd w:val="clear" w:color="auto" w:fill="E8EDF2"/>
            <w:tcMar>
              <w:top w:w="60" w:type="dxa"/>
              <w:left w:w="90" w:type="dxa"/>
              <w:bottom w:w="60" w:type="dxa"/>
              <w:right w:w="90" w:type="dxa"/>
            </w:tcMar>
          </w:tcPr>
          <w:p w14:paraId="35229B00" w14:textId="77777777" w:rsidR="00975881" w:rsidRDefault="00000000" w:rsidP="00D014A5">
            <w:pPr>
              <w:spacing w:after="20" w:line="220" w:lineRule="auto"/>
              <w:jc w:val="both"/>
            </w:pPr>
            <w:r>
              <w:rPr>
                <w:b/>
                <w:bCs/>
                <w:sz w:val="16"/>
                <w:szCs w:val="16"/>
              </w:rPr>
              <w:t>Evidence position</w:t>
            </w:r>
          </w:p>
        </w:tc>
        <w:tc>
          <w:tcPr>
            <w:tcW w:w="1895" w:type="dxa"/>
            <w:shd w:val="clear" w:color="auto" w:fill="E8EDF2"/>
            <w:tcMar>
              <w:top w:w="60" w:type="dxa"/>
              <w:left w:w="90" w:type="dxa"/>
              <w:bottom w:w="60" w:type="dxa"/>
              <w:right w:w="90" w:type="dxa"/>
            </w:tcMar>
          </w:tcPr>
          <w:p w14:paraId="0BA12C11" w14:textId="77777777" w:rsidR="00975881" w:rsidRDefault="00000000" w:rsidP="00D014A5">
            <w:pPr>
              <w:spacing w:after="20" w:line="220" w:lineRule="auto"/>
              <w:jc w:val="both"/>
            </w:pPr>
            <w:r>
              <w:rPr>
                <w:b/>
                <w:bCs/>
                <w:sz w:val="16"/>
                <w:szCs w:val="16"/>
              </w:rPr>
              <w:t>Principal limitation or dependency</w:t>
            </w:r>
          </w:p>
        </w:tc>
        <w:tc>
          <w:tcPr>
            <w:tcW w:w="1535" w:type="dxa"/>
            <w:shd w:val="clear" w:color="auto" w:fill="E8EDF2"/>
            <w:tcMar>
              <w:top w:w="60" w:type="dxa"/>
              <w:left w:w="90" w:type="dxa"/>
              <w:bottom w:w="60" w:type="dxa"/>
              <w:right w:w="90" w:type="dxa"/>
            </w:tcMar>
          </w:tcPr>
          <w:p w14:paraId="41242C37" w14:textId="77777777" w:rsidR="00975881" w:rsidRDefault="00000000" w:rsidP="00D014A5">
            <w:pPr>
              <w:spacing w:after="20" w:line="220" w:lineRule="auto"/>
              <w:jc w:val="both"/>
            </w:pPr>
            <w:r>
              <w:rPr>
                <w:b/>
                <w:bCs/>
                <w:sz w:val="16"/>
                <w:szCs w:val="16"/>
              </w:rPr>
              <w:t>Supporting references</w:t>
            </w:r>
          </w:p>
        </w:tc>
      </w:tr>
      <w:tr w:rsidR="00975881" w14:paraId="0C347506" w14:textId="77777777">
        <w:tc>
          <w:tcPr>
            <w:tcW w:w="1444" w:type="dxa"/>
            <w:tcMar>
              <w:top w:w="60" w:type="dxa"/>
              <w:left w:w="90" w:type="dxa"/>
              <w:bottom w:w="60" w:type="dxa"/>
              <w:right w:w="90" w:type="dxa"/>
            </w:tcMar>
          </w:tcPr>
          <w:p w14:paraId="43417885" w14:textId="77777777" w:rsidR="00975881" w:rsidRDefault="00000000" w:rsidP="00D014A5">
            <w:pPr>
              <w:spacing w:after="20" w:line="220" w:lineRule="auto"/>
              <w:jc w:val="both"/>
            </w:pPr>
            <w:r>
              <w:rPr>
                <w:sz w:val="16"/>
                <w:szCs w:val="16"/>
              </w:rPr>
              <w:t>Health technology assessment with an explicit threshold</w:t>
            </w:r>
          </w:p>
        </w:tc>
        <w:tc>
          <w:tcPr>
            <w:tcW w:w="1895" w:type="dxa"/>
            <w:tcMar>
              <w:top w:w="60" w:type="dxa"/>
              <w:left w:w="90" w:type="dxa"/>
              <w:bottom w:w="60" w:type="dxa"/>
              <w:right w:w="90" w:type="dxa"/>
            </w:tcMar>
          </w:tcPr>
          <w:p w14:paraId="41B95418" w14:textId="77777777" w:rsidR="00975881" w:rsidRDefault="00000000" w:rsidP="00D014A5">
            <w:pPr>
              <w:spacing w:after="20" w:line="220" w:lineRule="auto"/>
              <w:jc w:val="both"/>
            </w:pPr>
            <w:r>
              <w:rPr>
                <w:sz w:val="16"/>
                <w:szCs w:val="16"/>
              </w:rPr>
              <w:t>Exclusion of poor-value technologies from coverage and leverage in price negotiation</w:t>
            </w:r>
          </w:p>
        </w:tc>
        <w:tc>
          <w:tcPr>
            <w:tcW w:w="2257" w:type="dxa"/>
            <w:tcMar>
              <w:top w:w="60" w:type="dxa"/>
              <w:left w:w="90" w:type="dxa"/>
              <w:bottom w:w="60" w:type="dxa"/>
              <w:right w:w="90" w:type="dxa"/>
            </w:tcMar>
          </w:tcPr>
          <w:p w14:paraId="7DDBE505" w14:textId="77777777" w:rsidR="00975881" w:rsidRDefault="00000000" w:rsidP="00D014A5">
            <w:pPr>
              <w:spacing w:after="20" w:line="220" w:lineRule="auto"/>
              <w:jc w:val="both"/>
            </w:pPr>
            <w:r>
              <w:rPr>
                <w:sz w:val="16"/>
                <w:szCs w:val="16"/>
              </w:rPr>
              <w:t>Analytical work indicates that raising the threshold increases expenditure and, given a fixed budget, reduces aggregate population health through displacement</w:t>
            </w:r>
          </w:p>
        </w:tc>
        <w:tc>
          <w:tcPr>
            <w:tcW w:w="1895" w:type="dxa"/>
            <w:tcMar>
              <w:top w:w="60" w:type="dxa"/>
              <w:left w:w="90" w:type="dxa"/>
              <w:bottom w:w="60" w:type="dxa"/>
              <w:right w:w="90" w:type="dxa"/>
            </w:tcMar>
          </w:tcPr>
          <w:p w14:paraId="77EDFBE1" w14:textId="77777777" w:rsidR="00975881" w:rsidRDefault="00000000" w:rsidP="00D014A5">
            <w:pPr>
              <w:spacing w:after="20" w:line="220" w:lineRule="auto"/>
              <w:jc w:val="both"/>
            </w:pPr>
            <w:r>
              <w:rPr>
                <w:sz w:val="16"/>
                <w:szCs w:val="16"/>
              </w:rPr>
              <w:t>Effect depends on the credibility of refusal; displaced services are unobserved, weakening political support</w:t>
            </w:r>
          </w:p>
        </w:tc>
        <w:tc>
          <w:tcPr>
            <w:tcW w:w="1535" w:type="dxa"/>
            <w:tcMar>
              <w:top w:w="60" w:type="dxa"/>
              <w:left w:w="90" w:type="dxa"/>
              <w:bottom w:w="60" w:type="dxa"/>
              <w:right w:w="90" w:type="dxa"/>
            </w:tcMar>
          </w:tcPr>
          <w:p w14:paraId="7FE4EBBC" w14:textId="77777777" w:rsidR="00975881" w:rsidRDefault="00000000" w:rsidP="00D014A5">
            <w:pPr>
              <w:spacing w:after="20" w:line="220" w:lineRule="auto"/>
              <w:jc w:val="both"/>
            </w:pPr>
            <w:r>
              <w:rPr>
                <w:sz w:val="16"/>
                <w:szCs w:val="16"/>
              </w:rPr>
              <w:t>Paulden (2026)</w:t>
            </w:r>
          </w:p>
        </w:tc>
      </w:tr>
      <w:tr w:rsidR="00975881" w14:paraId="13E1BC51" w14:textId="77777777">
        <w:tc>
          <w:tcPr>
            <w:tcW w:w="1444" w:type="dxa"/>
            <w:tcMar>
              <w:top w:w="60" w:type="dxa"/>
              <w:left w:w="90" w:type="dxa"/>
              <w:bottom w:w="60" w:type="dxa"/>
              <w:right w:w="90" w:type="dxa"/>
            </w:tcMar>
          </w:tcPr>
          <w:p w14:paraId="537A260B" w14:textId="77777777" w:rsidR="00975881" w:rsidRDefault="00000000" w:rsidP="00D014A5">
            <w:pPr>
              <w:spacing w:after="20" w:line="220" w:lineRule="auto"/>
              <w:jc w:val="both"/>
            </w:pPr>
            <w:r>
              <w:rPr>
                <w:sz w:val="16"/>
                <w:szCs w:val="16"/>
              </w:rPr>
              <w:t>Therapeutic and international reference pricing</w:t>
            </w:r>
          </w:p>
        </w:tc>
        <w:tc>
          <w:tcPr>
            <w:tcW w:w="1895" w:type="dxa"/>
            <w:tcMar>
              <w:top w:w="60" w:type="dxa"/>
              <w:left w:w="90" w:type="dxa"/>
              <w:bottom w:w="60" w:type="dxa"/>
              <w:right w:w="90" w:type="dxa"/>
            </w:tcMar>
          </w:tcPr>
          <w:p w14:paraId="10125D0C" w14:textId="77777777" w:rsidR="00975881" w:rsidRDefault="00000000" w:rsidP="00D014A5">
            <w:pPr>
              <w:spacing w:after="20" w:line="220" w:lineRule="auto"/>
              <w:jc w:val="both"/>
            </w:pPr>
            <w:r>
              <w:rPr>
                <w:sz w:val="16"/>
                <w:szCs w:val="16"/>
              </w:rPr>
              <w:t>Reimbursement benchmarked to comparator products or jurisdictions</w:t>
            </w:r>
          </w:p>
        </w:tc>
        <w:tc>
          <w:tcPr>
            <w:tcW w:w="2257" w:type="dxa"/>
            <w:tcMar>
              <w:top w:w="60" w:type="dxa"/>
              <w:left w:w="90" w:type="dxa"/>
              <w:bottom w:w="60" w:type="dxa"/>
              <w:right w:w="90" w:type="dxa"/>
            </w:tcMar>
          </w:tcPr>
          <w:p w14:paraId="2B88622A" w14:textId="77777777" w:rsidR="00975881" w:rsidRDefault="00000000" w:rsidP="00D014A5">
            <w:pPr>
              <w:spacing w:after="20" w:line="220" w:lineRule="auto"/>
              <w:jc w:val="both"/>
            </w:pPr>
            <w:r>
              <w:rPr>
                <w:sz w:val="16"/>
                <w:szCs w:val="16"/>
              </w:rPr>
              <w:t xml:space="preserve">Measurable effects on procurement prices in the Chinese setting with substantial heterogeneity across products and provinces; modelled savings </w:t>
            </w:r>
            <w:r>
              <w:rPr>
                <w:sz w:val="16"/>
                <w:szCs w:val="16"/>
              </w:rPr>
              <w:lastRenderedPageBreak/>
              <w:t>from added-benefit pricing in negotiation</w:t>
            </w:r>
          </w:p>
        </w:tc>
        <w:tc>
          <w:tcPr>
            <w:tcW w:w="1895" w:type="dxa"/>
            <w:tcMar>
              <w:top w:w="60" w:type="dxa"/>
              <w:left w:w="90" w:type="dxa"/>
              <w:bottom w:w="60" w:type="dxa"/>
              <w:right w:w="90" w:type="dxa"/>
            </w:tcMar>
          </w:tcPr>
          <w:p w14:paraId="2A2A9FB4" w14:textId="77777777" w:rsidR="00975881" w:rsidRDefault="00000000" w:rsidP="00D014A5">
            <w:pPr>
              <w:spacing w:after="20" w:line="220" w:lineRule="auto"/>
              <w:jc w:val="both"/>
            </w:pPr>
            <w:r>
              <w:rPr>
                <w:sz w:val="16"/>
                <w:szCs w:val="16"/>
              </w:rPr>
              <w:lastRenderedPageBreak/>
              <w:t>Modelled estimates hold manufacturer behaviour constant; effects vary with basket composition and market structure</w:t>
            </w:r>
          </w:p>
        </w:tc>
        <w:tc>
          <w:tcPr>
            <w:tcW w:w="1535" w:type="dxa"/>
            <w:tcMar>
              <w:top w:w="60" w:type="dxa"/>
              <w:left w:w="90" w:type="dxa"/>
              <w:bottom w:w="60" w:type="dxa"/>
              <w:right w:w="90" w:type="dxa"/>
            </w:tcMar>
          </w:tcPr>
          <w:p w14:paraId="403D89F1" w14:textId="77777777" w:rsidR="00975881" w:rsidRDefault="00000000" w:rsidP="00D014A5">
            <w:pPr>
              <w:spacing w:after="20" w:line="220" w:lineRule="auto"/>
              <w:jc w:val="both"/>
            </w:pPr>
            <w:r>
              <w:rPr>
                <w:sz w:val="16"/>
                <w:szCs w:val="16"/>
              </w:rPr>
              <w:t>DiStefano et al. (2023); Jiang et al. (2022)</w:t>
            </w:r>
          </w:p>
        </w:tc>
      </w:tr>
      <w:tr w:rsidR="00975881" w14:paraId="1ACEEDDC" w14:textId="77777777">
        <w:tc>
          <w:tcPr>
            <w:tcW w:w="1444" w:type="dxa"/>
            <w:tcMar>
              <w:top w:w="60" w:type="dxa"/>
              <w:left w:w="90" w:type="dxa"/>
              <w:bottom w:w="60" w:type="dxa"/>
              <w:right w:w="90" w:type="dxa"/>
            </w:tcMar>
          </w:tcPr>
          <w:p w14:paraId="56023A21" w14:textId="77777777" w:rsidR="00975881" w:rsidRDefault="00000000" w:rsidP="00D014A5">
            <w:pPr>
              <w:spacing w:after="20" w:line="220" w:lineRule="auto"/>
              <w:jc w:val="both"/>
            </w:pPr>
            <w:r>
              <w:rPr>
                <w:sz w:val="16"/>
                <w:szCs w:val="16"/>
              </w:rPr>
              <w:t>Biosimilar and generic competition</w:t>
            </w:r>
          </w:p>
        </w:tc>
        <w:tc>
          <w:tcPr>
            <w:tcW w:w="1895" w:type="dxa"/>
            <w:tcMar>
              <w:top w:w="60" w:type="dxa"/>
              <w:left w:w="90" w:type="dxa"/>
              <w:bottom w:w="60" w:type="dxa"/>
              <w:right w:w="90" w:type="dxa"/>
            </w:tcMar>
          </w:tcPr>
          <w:p w14:paraId="2E7CE180" w14:textId="77777777" w:rsidR="00975881" w:rsidRDefault="00000000" w:rsidP="00D014A5">
            <w:pPr>
              <w:spacing w:after="20" w:line="220" w:lineRule="auto"/>
              <w:jc w:val="both"/>
            </w:pPr>
            <w:r>
              <w:rPr>
                <w:sz w:val="16"/>
                <w:szCs w:val="16"/>
              </w:rPr>
              <w:t>Price competition following loss of exclusivity</w:t>
            </w:r>
          </w:p>
        </w:tc>
        <w:tc>
          <w:tcPr>
            <w:tcW w:w="2257" w:type="dxa"/>
            <w:tcMar>
              <w:top w:w="60" w:type="dxa"/>
              <w:left w:w="90" w:type="dxa"/>
              <w:bottom w:w="60" w:type="dxa"/>
              <w:right w:w="90" w:type="dxa"/>
            </w:tcMar>
          </w:tcPr>
          <w:p w14:paraId="07E3B95B" w14:textId="77777777" w:rsidR="00975881" w:rsidRDefault="00000000" w:rsidP="00D014A5">
            <w:pPr>
              <w:spacing w:after="20" w:line="220" w:lineRule="auto"/>
              <w:jc w:val="both"/>
            </w:pPr>
            <w:r>
              <w:rPr>
                <w:sz w:val="16"/>
                <w:szCs w:val="16"/>
              </w:rPr>
              <w:t>Adalimumab expenditure fell 14% over four quarters where biosimilars were available, driven by price and drug-mix effects, while consumption rose; expenditure rose with quantity where biosimilars were absent</w:t>
            </w:r>
          </w:p>
        </w:tc>
        <w:tc>
          <w:tcPr>
            <w:tcW w:w="1895" w:type="dxa"/>
            <w:tcMar>
              <w:top w:w="60" w:type="dxa"/>
              <w:left w:w="90" w:type="dxa"/>
              <w:bottom w:w="60" w:type="dxa"/>
              <w:right w:w="90" w:type="dxa"/>
            </w:tcMar>
          </w:tcPr>
          <w:p w14:paraId="464A80F8" w14:textId="77777777" w:rsidR="00975881" w:rsidRDefault="00000000" w:rsidP="00D014A5">
            <w:pPr>
              <w:spacing w:after="20" w:line="220" w:lineRule="auto"/>
              <w:jc w:val="both"/>
            </w:pPr>
            <w:r>
              <w:rPr>
                <w:sz w:val="16"/>
                <w:szCs w:val="16"/>
              </w:rPr>
              <w:t>Single molecule and short observation window; durability depends on continued competitive entry and procurement design</w:t>
            </w:r>
          </w:p>
        </w:tc>
        <w:tc>
          <w:tcPr>
            <w:tcW w:w="1535" w:type="dxa"/>
            <w:tcMar>
              <w:top w:w="60" w:type="dxa"/>
              <w:left w:w="90" w:type="dxa"/>
              <w:bottom w:w="60" w:type="dxa"/>
              <w:right w:w="90" w:type="dxa"/>
            </w:tcMar>
          </w:tcPr>
          <w:p w14:paraId="33428AAD" w14:textId="77777777" w:rsidR="00975881" w:rsidRDefault="00000000" w:rsidP="00D014A5">
            <w:pPr>
              <w:spacing w:after="20" w:line="220" w:lineRule="auto"/>
              <w:jc w:val="both"/>
            </w:pPr>
            <w:r>
              <w:rPr>
                <w:sz w:val="16"/>
                <w:szCs w:val="16"/>
              </w:rPr>
              <w:t>Woo et al. (2024)</w:t>
            </w:r>
          </w:p>
        </w:tc>
      </w:tr>
      <w:tr w:rsidR="00975881" w14:paraId="371E8C2B" w14:textId="77777777">
        <w:tc>
          <w:tcPr>
            <w:tcW w:w="1444" w:type="dxa"/>
            <w:tcMar>
              <w:top w:w="60" w:type="dxa"/>
              <w:left w:w="90" w:type="dxa"/>
              <w:bottom w:w="60" w:type="dxa"/>
              <w:right w:w="90" w:type="dxa"/>
            </w:tcMar>
          </w:tcPr>
          <w:p w14:paraId="0F87D0B0" w14:textId="77777777" w:rsidR="00975881" w:rsidRDefault="00000000" w:rsidP="00D014A5">
            <w:pPr>
              <w:spacing w:after="20" w:line="220" w:lineRule="auto"/>
              <w:jc w:val="both"/>
            </w:pPr>
            <w:r>
              <w:rPr>
                <w:sz w:val="16"/>
                <w:szCs w:val="16"/>
              </w:rPr>
              <w:t>Managed entry agreements (financial)</w:t>
            </w:r>
          </w:p>
        </w:tc>
        <w:tc>
          <w:tcPr>
            <w:tcW w:w="1895" w:type="dxa"/>
            <w:tcMar>
              <w:top w:w="60" w:type="dxa"/>
              <w:left w:w="90" w:type="dxa"/>
              <w:bottom w:w="60" w:type="dxa"/>
              <w:right w:w="90" w:type="dxa"/>
            </w:tcMar>
          </w:tcPr>
          <w:p w14:paraId="685DB984" w14:textId="77777777" w:rsidR="00975881" w:rsidRDefault="00000000" w:rsidP="00D014A5">
            <w:pPr>
              <w:spacing w:after="20" w:line="220" w:lineRule="auto"/>
              <w:jc w:val="both"/>
            </w:pPr>
            <w:r>
              <w:rPr>
                <w:sz w:val="16"/>
                <w:szCs w:val="16"/>
              </w:rPr>
              <w:t>Confidential discounts, caps or rebates conditional on volume or budget impact</w:t>
            </w:r>
          </w:p>
        </w:tc>
        <w:tc>
          <w:tcPr>
            <w:tcW w:w="2257" w:type="dxa"/>
            <w:tcMar>
              <w:top w:w="60" w:type="dxa"/>
              <w:left w:w="90" w:type="dxa"/>
              <w:bottom w:w="60" w:type="dxa"/>
              <w:right w:w="90" w:type="dxa"/>
            </w:tcMar>
          </w:tcPr>
          <w:p w14:paraId="6EA2E507" w14:textId="77777777" w:rsidR="00975881" w:rsidRDefault="00000000" w:rsidP="00D014A5">
            <w:pPr>
              <w:spacing w:after="20" w:line="220" w:lineRule="auto"/>
              <w:jc w:val="both"/>
            </w:pPr>
            <w:r>
              <w:rPr>
                <w:sz w:val="16"/>
                <w:szCs w:val="16"/>
              </w:rPr>
              <w:t>Extensive international adoption documented; published evaluation of whether agreements deliver intended value remains scarce</w:t>
            </w:r>
          </w:p>
        </w:tc>
        <w:tc>
          <w:tcPr>
            <w:tcW w:w="1895" w:type="dxa"/>
            <w:tcMar>
              <w:top w:w="60" w:type="dxa"/>
              <w:left w:w="90" w:type="dxa"/>
              <w:bottom w:w="60" w:type="dxa"/>
              <w:right w:w="90" w:type="dxa"/>
            </w:tcMar>
          </w:tcPr>
          <w:p w14:paraId="7A3922D8" w14:textId="77777777" w:rsidR="00975881" w:rsidRDefault="00000000" w:rsidP="00D014A5">
            <w:pPr>
              <w:spacing w:after="20" w:line="220" w:lineRule="auto"/>
              <w:jc w:val="both"/>
            </w:pPr>
            <w:r>
              <w:rPr>
                <w:sz w:val="16"/>
                <w:szCs w:val="16"/>
              </w:rPr>
              <w:t>Confidentiality of terms conceals net price, preventing external assessment of cost-effectiveness or aggregate containment effect</w:t>
            </w:r>
          </w:p>
        </w:tc>
        <w:tc>
          <w:tcPr>
            <w:tcW w:w="1535" w:type="dxa"/>
            <w:tcMar>
              <w:top w:w="60" w:type="dxa"/>
              <w:left w:w="90" w:type="dxa"/>
              <w:bottom w:w="60" w:type="dxa"/>
              <w:right w:w="90" w:type="dxa"/>
            </w:tcMar>
          </w:tcPr>
          <w:p w14:paraId="7CFAA87C" w14:textId="77777777" w:rsidR="00975881" w:rsidRDefault="00000000" w:rsidP="00D014A5">
            <w:pPr>
              <w:spacing w:after="20" w:line="220" w:lineRule="auto"/>
              <w:jc w:val="both"/>
            </w:pPr>
            <w:r>
              <w:rPr>
                <w:sz w:val="16"/>
                <w:szCs w:val="16"/>
              </w:rPr>
              <w:t>Al-Omar et al. (2026)</w:t>
            </w:r>
          </w:p>
        </w:tc>
      </w:tr>
      <w:tr w:rsidR="00975881" w14:paraId="49BF832F" w14:textId="77777777">
        <w:tc>
          <w:tcPr>
            <w:tcW w:w="1444" w:type="dxa"/>
            <w:tcMar>
              <w:top w:w="60" w:type="dxa"/>
              <w:left w:w="90" w:type="dxa"/>
              <w:bottom w:w="60" w:type="dxa"/>
              <w:right w:w="90" w:type="dxa"/>
            </w:tcMar>
          </w:tcPr>
          <w:p w14:paraId="29F40F7C" w14:textId="77777777" w:rsidR="00975881" w:rsidRDefault="00000000" w:rsidP="00D014A5">
            <w:pPr>
              <w:spacing w:after="20" w:line="220" w:lineRule="auto"/>
              <w:jc w:val="both"/>
            </w:pPr>
            <w:r>
              <w:rPr>
                <w:sz w:val="16"/>
                <w:szCs w:val="16"/>
              </w:rPr>
              <w:t>Outcome-based agreements for high-cost therapies</w:t>
            </w:r>
          </w:p>
        </w:tc>
        <w:tc>
          <w:tcPr>
            <w:tcW w:w="1895" w:type="dxa"/>
            <w:tcMar>
              <w:top w:w="60" w:type="dxa"/>
              <w:left w:w="90" w:type="dxa"/>
              <w:bottom w:w="60" w:type="dxa"/>
              <w:right w:w="90" w:type="dxa"/>
            </w:tcMar>
          </w:tcPr>
          <w:p w14:paraId="1302D4ED" w14:textId="77777777" w:rsidR="00975881" w:rsidRDefault="00000000" w:rsidP="00D014A5">
            <w:pPr>
              <w:spacing w:after="20" w:line="220" w:lineRule="auto"/>
              <w:jc w:val="both"/>
            </w:pPr>
            <w:r>
              <w:rPr>
                <w:sz w:val="16"/>
                <w:szCs w:val="16"/>
              </w:rPr>
              <w:t>Payment linked to realised clinical outcome over time</w:t>
            </w:r>
          </w:p>
        </w:tc>
        <w:tc>
          <w:tcPr>
            <w:tcW w:w="2257" w:type="dxa"/>
            <w:tcMar>
              <w:top w:w="60" w:type="dxa"/>
              <w:left w:w="90" w:type="dxa"/>
              <w:bottom w:w="60" w:type="dxa"/>
              <w:right w:w="90" w:type="dxa"/>
            </w:tcMar>
          </w:tcPr>
          <w:p w14:paraId="6EAF4982" w14:textId="77777777" w:rsidR="00975881" w:rsidRDefault="00000000" w:rsidP="00D014A5">
            <w:pPr>
              <w:spacing w:after="20" w:line="220" w:lineRule="auto"/>
              <w:jc w:val="both"/>
            </w:pPr>
            <w:r>
              <w:rPr>
                <w:sz w:val="16"/>
                <w:szCs w:val="16"/>
              </w:rPr>
              <w:t>Design is frequently determined by negotiating convenience rather than by the specific uncertainty to be resolved; contractual and evidentiary infrastructure remains incomplete</w:t>
            </w:r>
          </w:p>
        </w:tc>
        <w:tc>
          <w:tcPr>
            <w:tcW w:w="1895" w:type="dxa"/>
            <w:tcMar>
              <w:top w:w="60" w:type="dxa"/>
              <w:left w:w="90" w:type="dxa"/>
              <w:bottom w:w="60" w:type="dxa"/>
              <w:right w:w="90" w:type="dxa"/>
            </w:tcMar>
          </w:tcPr>
          <w:p w14:paraId="55A3F005" w14:textId="77777777" w:rsidR="00975881" w:rsidRDefault="00000000" w:rsidP="00D014A5">
            <w:pPr>
              <w:spacing w:after="20" w:line="220" w:lineRule="auto"/>
              <w:jc w:val="both"/>
            </w:pPr>
            <w:r>
              <w:rPr>
                <w:sz w:val="16"/>
                <w:szCs w:val="16"/>
              </w:rPr>
              <w:t>Requires durable outcome tracking, agreed endpoints and enforceable reconciliation over long horizons</w:t>
            </w:r>
          </w:p>
        </w:tc>
        <w:tc>
          <w:tcPr>
            <w:tcW w:w="1535" w:type="dxa"/>
            <w:tcMar>
              <w:top w:w="60" w:type="dxa"/>
              <w:left w:w="90" w:type="dxa"/>
              <w:bottom w:w="60" w:type="dxa"/>
              <w:right w:w="90" w:type="dxa"/>
            </w:tcMar>
          </w:tcPr>
          <w:p w14:paraId="0D3BC9F5" w14:textId="77777777" w:rsidR="00975881" w:rsidRDefault="00000000" w:rsidP="00D014A5">
            <w:pPr>
              <w:spacing w:after="20" w:line="220" w:lineRule="auto"/>
              <w:jc w:val="both"/>
            </w:pPr>
            <w:r>
              <w:rPr>
                <w:sz w:val="16"/>
                <w:szCs w:val="16"/>
              </w:rPr>
              <w:t>Callenbach et al. (2025); Hampson et al. (2018)</w:t>
            </w:r>
          </w:p>
        </w:tc>
      </w:tr>
      <w:tr w:rsidR="00975881" w14:paraId="3997ADC5" w14:textId="77777777">
        <w:tc>
          <w:tcPr>
            <w:tcW w:w="1444" w:type="dxa"/>
            <w:tcMar>
              <w:top w:w="60" w:type="dxa"/>
              <w:left w:w="90" w:type="dxa"/>
              <w:bottom w:w="60" w:type="dxa"/>
              <w:right w:w="90" w:type="dxa"/>
            </w:tcMar>
          </w:tcPr>
          <w:p w14:paraId="53189158" w14:textId="77777777" w:rsidR="00975881" w:rsidRDefault="00000000" w:rsidP="00D014A5">
            <w:pPr>
              <w:spacing w:after="20" w:line="220" w:lineRule="auto"/>
              <w:jc w:val="both"/>
            </w:pPr>
            <w:r>
              <w:rPr>
                <w:sz w:val="16"/>
                <w:szCs w:val="16"/>
              </w:rPr>
              <w:t>Adaptive assessment in capacity-constrained systems</w:t>
            </w:r>
          </w:p>
        </w:tc>
        <w:tc>
          <w:tcPr>
            <w:tcW w:w="1895" w:type="dxa"/>
            <w:tcMar>
              <w:top w:w="60" w:type="dxa"/>
              <w:left w:w="90" w:type="dxa"/>
              <w:bottom w:w="60" w:type="dxa"/>
              <w:right w:w="90" w:type="dxa"/>
            </w:tcMar>
          </w:tcPr>
          <w:p w14:paraId="708CACB1" w14:textId="77777777" w:rsidR="00975881" w:rsidRDefault="00000000" w:rsidP="00D014A5">
            <w:pPr>
              <w:spacing w:after="20" w:line="220" w:lineRule="auto"/>
              <w:jc w:val="both"/>
            </w:pPr>
            <w:r>
              <w:rPr>
                <w:sz w:val="16"/>
                <w:szCs w:val="16"/>
              </w:rPr>
              <w:t>Simplified assessment methods using existing evidence to support priority setting</w:t>
            </w:r>
          </w:p>
        </w:tc>
        <w:tc>
          <w:tcPr>
            <w:tcW w:w="2257" w:type="dxa"/>
            <w:tcMar>
              <w:top w:w="60" w:type="dxa"/>
              <w:left w:w="90" w:type="dxa"/>
              <w:bottom w:w="60" w:type="dxa"/>
              <w:right w:w="90" w:type="dxa"/>
            </w:tcMar>
          </w:tcPr>
          <w:p w14:paraId="5FC9E654" w14:textId="77777777" w:rsidR="00975881" w:rsidRDefault="00000000" w:rsidP="00D014A5">
            <w:pPr>
              <w:spacing w:after="20" w:line="220" w:lineRule="auto"/>
              <w:jc w:val="both"/>
            </w:pPr>
            <w:r>
              <w:rPr>
                <w:sz w:val="16"/>
                <w:szCs w:val="16"/>
              </w:rPr>
              <w:t>Methods developed and applied where analytical capacity and local data are limited</w:t>
            </w:r>
          </w:p>
        </w:tc>
        <w:tc>
          <w:tcPr>
            <w:tcW w:w="1895" w:type="dxa"/>
            <w:tcMar>
              <w:top w:w="60" w:type="dxa"/>
              <w:left w:w="90" w:type="dxa"/>
              <w:bottom w:w="60" w:type="dxa"/>
              <w:right w:w="90" w:type="dxa"/>
            </w:tcMar>
          </w:tcPr>
          <w:p w14:paraId="5F96113C" w14:textId="77777777" w:rsidR="00975881" w:rsidRDefault="00000000" w:rsidP="00D014A5">
            <w:pPr>
              <w:spacing w:after="20" w:line="220" w:lineRule="auto"/>
              <w:jc w:val="both"/>
            </w:pPr>
            <w:r>
              <w:rPr>
                <w:sz w:val="16"/>
                <w:szCs w:val="16"/>
              </w:rPr>
              <w:t>Binding constraints are institutionalisation, sustained financing and linkage of assessment output to purchasing decisions rather than analytical method</w:t>
            </w:r>
          </w:p>
        </w:tc>
        <w:tc>
          <w:tcPr>
            <w:tcW w:w="1535" w:type="dxa"/>
            <w:tcMar>
              <w:top w:w="60" w:type="dxa"/>
              <w:left w:w="90" w:type="dxa"/>
              <w:bottom w:w="60" w:type="dxa"/>
              <w:right w:w="90" w:type="dxa"/>
            </w:tcMar>
          </w:tcPr>
          <w:p w14:paraId="1B201A25" w14:textId="77777777" w:rsidR="00975881" w:rsidRDefault="00000000" w:rsidP="00D014A5">
            <w:pPr>
              <w:spacing w:after="20" w:line="220" w:lineRule="auto"/>
              <w:jc w:val="both"/>
            </w:pPr>
            <w:r>
              <w:rPr>
                <w:sz w:val="16"/>
                <w:szCs w:val="16"/>
              </w:rPr>
              <w:t>Guzman et al. (2023); Nemzoff et al. (2021)</w:t>
            </w:r>
          </w:p>
        </w:tc>
      </w:tr>
    </w:tbl>
    <w:p w14:paraId="0AF23E7A" w14:textId="77777777" w:rsidR="00975881" w:rsidRDefault="00000000" w:rsidP="00D014A5">
      <w:pPr>
        <w:spacing w:before="100" w:after="240"/>
        <w:jc w:val="both"/>
      </w:pPr>
      <w:r>
        <w:rPr>
          <w:i/>
          <w:iCs/>
          <w:sz w:val="16"/>
          <w:szCs w:val="16"/>
        </w:rPr>
        <w:t>Note. Evidence positions describe the strongest identified studies for each instrument. Instruments in this family act primarily on price rather than on volume, and several depend for their effect on market structures and disclosure regimes that policy can alter.</w:t>
      </w:r>
    </w:p>
    <w:p w14:paraId="0A5394FB" w14:textId="77777777" w:rsidR="00975881" w:rsidRDefault="00000000" w:rsidP="00D014A5">
      <w:pPr>
        <w:pStyle w:val="Heading1"/>
        <w:spacing w:before="340" w:after="140"/>
        <w:jc w:val="both"/>
      </w:pPr>
      <w:r>
        <w:rPr>
          <w:b/>
          <w:bCs/>
          <w:color w:val="000000"/>
          <w:sz w:val="24"/>
          <w:szCs w:val="24"/>
        </w:rPr>
        <w:t>7. Waste, Low-Value Care and the Recoverability Problem</w:t>
      </w:r>
    </w:p>
    <w:p w14:paraId="43871FAD" w14:textId="77777777" w:rsidR="00975881" w:rsidRDefault="00000000" w:rsidP="00D014A5">
      <w:pPr>
        <w:pStyle w:val="Heading2"/>
        <w:spacing w:before="260" w:after="110"/>
        <w:jc w:val="both"/>
      </w:pPr>
      <w:r>
        <w:rPr>
          <w:b/>
          <w:bCs/>
          <w:i/>
          <w:iCs/>
          <w:color w:val="000000"/>
          <w:sz w:val="22"/>
          <w:szCs w:val="22"/>
        </w:rPr>
        <w:t>7.1 The size of the theoretical opportunity</w:t>
      </w:r>
    </w:p>
    <w:p w14:paraId="31D6F60F" w14:textId="77777777" w:rsidR="00975881" w:rsidRDefault="00000000" w:rsidP="00D014A5">
      <w:pPr>
        <w:spacing w:after="140" w:line="320" w:lineRule="auto"/>
        <w:jc w:val="both"/>
      </w:pPr>
      <w:r>
        <w:t>The proposition that a substantial share of health expenditure purchases no health has been central to containment advocacy for more than a decade. The formulation that established the domain structure of subsequent work estimated that, across six categories comprising overtreatment, failures of care coordination, failures in the execution of care processes, administrative complexity, pricing failures, and fraud and abuse, the sum of the lowest available estimates exceeded a fifth of total health expenditure in the United States (Berwick &amp; Hackbarth, 2012). Subsequent re-estimation using the same domains and a systematic evidence search produced annual figures of 230.7 to 240.5 billion dollars for pricing failure, 265.6 billion dollars for administrative complexity, 102.4 to 165.7 billion dollars for failure of care delivery, 75.7 to 101.2 billion dollars for overtreatment or low-value care, 58.5 to 83.9 billion dollars for fraud and abuse, and 27.2 to 78.2 billion dollars for failure of care coordination (Shrank et al., 2019).</w:t>
      </w:r>
    </w:p>
    <w:p w14:paraId="1EAA587F" w14:textId="77777777" w:rsidR="00975881" w:rsidRDefault="00000000" w:rsidP="00D014A5">
      <w:pPr>
        <w:spacing w:after="140" w:line="320" w:lineRule="auto"/>
        <w:jc w:val="both"/>
      </w:pPr>
      <w:r>
        <w:t xml:space="preserve">The critical feature of the later analysis is not the magnitude of waste it estimates but the magnitude of savings it judges achievable. Estimated annual savings from interventions demonstrated to reduce waste were 81.4 to 91.2 billion dollars for pricing failure, 44.4 to 97.3 billion dollars for failure of care delivery, 29.6 to 38.2 billion dollars for failure of care coordination, 22.8 to 30.8 billion dollars for fraud and abuse, and 12.8 to 28.6 billion dollars for overtreatment or low-value care, and no studies were identified that addressed administrative complexity, the single largest category (Shrank et al., </w:t>
      </w:r>
      <w:r>
        <w:lastRenderedPageBreak/>
        <w:t>2019). The gap between identified waste and recoverable waste is therefore very large, and it is largest precisely where the waste is greatest. This asymmetry is routinely omitted when waste estimates are cited in support of reform, and its omission has distorted expectations about what containment strategies can deliver.</w:t>
      </w:r>
    </w:p>
    <w:p w14:paraId="0811B8B6" w14:textId="77777777" w:rsidR="00975881" w:rsidRDefault="00000000" w:rsidP="00D014A5">
      <w:pPr>
        <w:pStyle w:val="Heading2"/>
        <w:spacing w:before="260" w:after="110"/>
        <w:jc w:val="both"/>
      </w:pPr>
      <w:r>
        <w:rPr>
          <w:b/>
          <w:bCs/>
          <w:i/>
          <w:iCs/>
          <w:color w:val="000000"/>
          <w:sz w:val="22"/>
          <w:szCs w:val="22"/>
        </w:rPr>
        <w:t>7.2 What de-implementation achieves</w:t>
      </w:r>
    </w:p>
    <w:p w14:paraId="2AE7D6EA" w14:textId="77777777" w:rsidR="00975881" w:rsidRDefault="00000000" w:rsidP="00D014A5">
      <w:pPr>
        <w:spacing w:after="140" w:line="320" w:lineRule="auto"/>
        <w:jc w:val="both"/>
      </w:pPr>
      <w:r>
        <w:t>The most rigorous evidence on removing low-value services comes from a systematic review and meta-analysis of randomised de-implementation trials in primary care, encompassing one hundred and forty trials with a median follow-up of two hundred and eighty-seven days, the majority targeting antibiotic prescribing. Provider education combined with audit and feedback reduced the use of targeted low-value care, with an odds ratio of 0.73 and a confidence interval from 0.63 to 0.84, assessed as moderate certainty; individual strategies including provider education alone, audit and feedback alone, and patient education produced smaller and less certain effects (Raudasoja et al., 2025). An effect of this size is real but modest, and it was achieved in the most tractable clinical territory available, where the target behaviour is discrete, frequent, measurable and supported by unambiguous guidance.</w:t>
      </w:r>
    </w:p>
    <w:p w14:paraId="1B2C9CB6" w14:textId="77777777" w:rsidR="00975881" w:rsidRDefault="00000000" w:rsidP="00D014A5">
      <w:pPr>
        <w:spacing w:after="140" w:line="320" w:lineRule="auto"/>
        <w:jc w:val="both"/>
      </w:pPr>
      <w:r>
        <w:t>Scoping work on de-implementation strategies more broadly finds that most reported strategies are educational or informational, that structural and financial strategies are comparatively rare, and that strategy selection is seldom matched to the determinants sustaining the practice being removed (Ingvarsson et al., 2022). Policy-level analysis reaches a compatible conclusion, cataloguing an extensive inventory of available levers while noting that evidence on their comparative effectiveness is sparse and that few have been evaluated as deliberate policy instruments (Warkentin et al., 2026). International campaign activity has produced consolidated recommendation sets intended to focus effort on the practices with the greatest combination of prevalence and potential harm (Levinson et al., 2025), and regional analysis documents the adaptation of such campaigns across Asian systems while observing that adaptation has generally preceded evaluation (Yeo et al., 2026).</w:t>
      </w:r>
    </w:p>
    <w:p w14:paraId="1984B375" w14:textId="77777777" w:rsidR="00975881" w:rsidRDefault="00000000" w:rsidP="00D014A5">
      <w:pPr>
        <w:spacing w:after="140" w:line="320" w:lineRule="auto"/>
        <w:jc w:val="both"/>
      </w:pPr>
      <w:r>
        <w:t>The broader diagnostic literature on overuse establishes that the phenomenon is genuinely international rather than an artefact of any single payment system, and that underuse coexists with overuse within the same populations (Brownlee et al., 2017). The accompanying analysis of available levers argues that professional, regulatory, financial and patient-directed instruments each address different determinants and that none is sufficient alone (Elshaug et al., 2017). Nearly a decade later, the empirical support for that argument has strengthened while the evidence on comparative effectiveness of the levers has advanced only marginally.</w:t>
      </w:r>
    </w:p>
    <w:p w14:paraId="12E551F8" w14:textId="77777777" w:rsidR="00975881" w:rsidRDefault="00000000" w:rsidP="00D014A5">
      <w:pPr>
        <w:pStyle w:val="Heading2"/>
        <w:spacing w:before="260" w:after="110"/>
        <w:jc w:val="both"/>
      </w:pPr>
      <w:r>
        <w:rPr>
          <w:b/>
          <w:bCs/>
          <w:i/>
          <w:iCs/>
          <w:color w:val="000000"/>
          <w:sz w:val="22"/>
          <w:szCs w:val="22"/>
        </w:rPr>
        <w:t>7.3 Administrative cost</w:t>
      </w:r>
    </w:p>
    <w:p w14:paraId="02864EFF" w14:textId="77777777" w:rsidR="00975881" w:rsidRDefault="00000000" w:rsidP="00D014A5">
      <w:pPr>
        <w:spacing w:after="140" w:line="320" w:lineRule="auto"/>
        <w:jc w:val="both"/>
      </w:pPr>
      <w:r>
        <w:t xml:space="preserve">Administrative complexity is the largest documented waste category and the least addressed. Comparative analysis of administrative spending found that insurers and providers in the United States spent 2,497 dollars per capita on administration in 2017, amounting to 34.2% of national health expenditure, against 551 dollars per capita and 17.0% in Canada, and that of the 3.2 percentage point increase in the administrative share since 1999, 2.4 percentage points was attributable to growth in private insurers' overhead (Himmelstein et al., 2020). Estimates of this kind have been contested on methodological grounds concerning the boundary between administration and care coordination and </w:t>
      </w:r>
      <w:r>
        <w:lastRenderedPageBreak/>
        <w:t>the comparability of national accounting categories, and the authors themselves note that accounting categories differ between the two countries.</w:t>
      </w:r>
    </w:p>
    <w:p w14:paraId="75912D14" w14:textId="77777777" w:rsidR="00975881" w:rsidRDefault="00000000" w:rsidP="00D014A5">
      <w:pPr>
        <w:spacing w:after="140" w:line="320" w:lineRule="auto"/>
        <w:jc w:val="both"/>
      </w:pPr>
      <w:r>
        <w:t>The finding that matters for this review is structural rather than numerical. Administrative cost is generated substantially by the multiplicity of payers, contracts and reporting requirements, and value-based contracting adds to that multiplicity rather than reducing it. Each new payment model introduces its own measurement set, attribution logic, reconciliation process and appeals mechanism. The literature contains almost no estimates of the administrative cost of operating value-based programmes set against the savings they generate, and in the absence of such estimates the net fiscal effect of the reform agenda cannot be stated with confidence. This is arguably the single most consequential gap in the field.</w:t>
      </w:r>
    </w:p>
    <w:p w14:paraId="5D7B4B0F" w14:textId="77777777" w:rsidR="00975881" w:rsidRDefault="00000000" w:rsidP="00D014A5">
      <w:pPr>
        <w:pStyle w:val="Heading1"/>
        <w:spacing w:before="340" w:after="140"/>
        <w:jc w:val="both"/>
      </w:pPr>
      <w:r>
        <w:rPr>
          <w:b/>
          <w:bCs/>
          <w:color w:val="000000"/>
          <w:sz w:val="24"/>
          <w:szCs w:val="24"/>
        </w:rPr>
        <w:t>8. Digital Infrastructure and Artificial Intelligence</w:t>
      </w:r>
    </w:p>
    <w:p w14:paraId="5DFB537E" w14:textId="77777777" w:rsidR="00975881" w:rsidRDefault="00000000" w:rsidP="00D014A5">
      <w:pPr>
        <w:spacing w:after="140" w:line="320" w:lineRule="auto"/>
        <w:jc w:val="both"/>
      </w:pPr>
      <w:r>
        <w:t>Digital technologies occupy an ambiguous position in containment strategy. They are simultaneously a driver of expenditure, an enabler of the measurement infrastructure that value-based models require, and a candidate containment instrument in their own right. The third role has attracted the strongest claims and has the weakest evidentiary support.</w:t>
      </w:r>
    </w:p>
    <w:p w14:paraId="0DBEE8D6" w14:textId="77777777" w:rsidR="00975881" w:rsidRDefault="00000000" w:rsidP="00D014A5">
      <w:pPr>
        <w:spacing w:after="140" w:line="320" w:lineRule="auto"/>
        <w:jc w:val="both"/>
      </w:pPr>
      <w:r>
        <w:t>Systematic review of economic impact studies of artificial intelligence in health care found that, of sixty-six publications identified, only six met inclusion criteria for economic assessment, and that none of those six contained a methodologically complete cost impact analysis; the recurring deficiencies were the omission of infrastructure and operational costs and the failure to compare the technology against alternative means of achieving comparable effect (Wolff et al., 2020). The review predates the most recent generation of applications, and its specific findings should not be extrapolated to technologies developed subsequently. Its methodological diagnosis, however, concerns how economic evaluation of such technologies is conducted rather than which technologies are evaluated, and there is little indication that the underlying practice has changed. Claims that artificial intelligence will reduce health expenditure should therefore be treated as hypotheses awaiting adequate evaluation rather than as findings.</w:t>
      </w:r>
    </w:p>
    <w:p w14:paraId="6FF707F8" w14:textId="77777777" w:rsidR="00975881" w:rsidRDefault="00000000" w:rsidP="00D014A5">
      <w:pPr>
        <w:spacing w:after="140" w:line="320" w:lineRule="auto"/>
        <w:jc w:val="both"/>
      </w:pPr>
      <w:r>
        <w:t>Conceptual work proposing artificial intelligence-enabled learning health systems as a mechanism for advancing value-based care articulates a coherent architecture linking routine data capture, analysis and clinical decision support to outcome improvement (Ko et al., 2026). Frameworks of this kind are valuable for specifying what would need to be true for the mechanism to operate, and they identify the organisational and data governance preconditions that most systems have yet to satisfy. They do not constitute evidence that the mechanism operates.</w:t>
      </w:r>
    </w:p>
    <w:p w14:paraId="72F9B811" w14:textId="77777777" w:rsidR="00975881" w:rsidRDefault="00000000" w:rsidP="00D014A5">
      <w:pPr>
        <w:spacing w:after="140" w:line="320" w:lineRule="auto"/>
        <w:jc w:val="both"/>
      </w:pPr>
      <w:r>
        <w:t>Evidence on remotely delivered care is more mature and more equivocal. Systematic review of the cost-effectiveness of telehealth-delivered diet and exercise interventions found heterogeneous results, with cost-effectiveness depending heavily on the comparator, the perspective adopted and the assumptions applied to the valuation of patient time (Law et al., 2024). Where remote delivery substitutes for in-person care, savings may accrue; where it supplements existing care, expenditure may rise even if outcomes improve. The distinction between substitution and supplementation is the principal determinant of the fiscal result, and it is frequently not specified in either policy claims or evaluations.</w:t>
      </w:r>
    </w:p>
    <w:p w14:paraId="7117517E" w14:textId="77777777" w:rsidR="00975881" w:rsidRDefault="00000000" w:rsidP="00D014A5">
      <w:pPr>
        <w:pStyle w:val="Heading1"/>
        <w:spacing w:before="340" w:after="140"/>
        <w:jc w:val="both"/>
      </w:pPr>
      <w:r>
        <w:rPr>
          <w:b/>
          <w:bCs/>
          <w:color w:val="000000"/>
          <w:sz w:val="24"/>
          <w:szCs w:val="24"/>
        </w:rPr>
        <w:lastRenderedPageBreak/>
        <w:t>9. Distributional Consequences and Unintended Effects</w:t>
      </w:r>
    </w:p>
    <w:p w14:paraId="269E4F94" w14:textId="77777777" w:rsidR="00975881" w:rsidRDefault="00000000" w:rsidP="00D014A5">
      <w:pPr>
        <w:spacing w:after="140" w:line="320" w:lineRule="auto"/>
        <w:jc w:val="both"/>
      </w:pPr>
      <w:r>
        <w:t>Value-based payment redistributes revenue between providers according to measured performance, and providers do not begin from equivalent positions. Analysis of the Medicare Value-Based Purchasing Program found that safety-net hospitals experienced changes in patient care experience measures that differed from those at other hospitals, in a programme that weights such measures within its scoring (Chiu et al., 2022). Where performance measures are correlated with the socioeconomic composition of the served population, payment adjustment functions in part as a transfer from institutions serving disadvantaged populations to institutions serving advantaged ones, irrespective of the care those institutions deliver.</w:t>
      </w:r>
    </w:p>
    <w:p w14:paraId="225F9D89" w14:textId="77777777" w:rsidR="00975881" w:rsidRDefault="00000000" w:rsidP="00D014A5">
      <w:pPr>
        <w:spacing w:after="140" w:line="320" w:lineRule="auto"/>
        <w:jc w:val="both"/>
      </w:pPr>
      <w:r>
        <w:t>Policy analysis of accountable care model design has argued that benchmark construction can render value-based payment structurally regressive, because organisations serving populations with historically low spending face benchmarks that are difficult to undercut while organisations serving historically high-spending populations are rewarded for reductions that may reflect regression towards the mean rather than improved efficiency, and that deliberate design changes are required to reverse this (Gondi et al., 2022). The argument is analytically robust, and its practical implications extend beyond equity to validity, because it implies that measured savings are partly determined by benchmark construction rather than by provider behaviour.</w:t>
      </w:r>
    </w:p>
    <w:p w14:paraId="492B5029" w14:textId="77777777" w:rsidR="00975881" w:rsidRDefault="00000000" w:rsidP="00D014A5">
      <w:pPr>
        <w:spacing w:after="140" w:line="320" w:lineRule="auto"/>
        <w:jc w:val="both"/>
      </w:pPr>
      <w:r>
        <w:t>Three further categories of unintended effect recur in the reviewed literature and warrant explicit statement. The first is cost shifting, in which expenditure is displaced beyond the boundary of the measured episode, population or budget rather than avoided; the substitution of home-based for institutional post-acute care under episode payment is the clearest documented instance. The second is measurement distortion, in which recorded performance improves without corresponding change in care, of which the coding responses documented in both Medicare and Chinese hospital settings are established examples (Geruso &amp; Layton, 2020; Zhou et al., 2025). The third is attention displacement, in which incentivised activities improve at the expense of unincentivised ones, which the pattern of deterioration following incentive withdrawal in the Quality and Outcomes Framework is consistent with (Ho et al., 2025).</w:t>
      </w:r>
    </w:p>
    <w:p w14:paraId="1DAF0200" w14:textId="77777777" w:rsidR="00975881" w:rsidRDefault="00000000" w:rsidP="00D014A5">
      <w:pPr>
        <w:spacing w:after="140" w:line="320" w:lineRule="auto"/>
        <w:jc w:val="both"/>
      </w:pPr>
      <w:r>
        <w:t>None of these effects implies that value-based payment should be abandoned. Each implies that evaluation designs which measure only the incentivised outcome within only the contracted population over only the contract period will systematically overstate benefit. The frequency with which such designs appear in the literature is itself a finding about the field.</w:t>
      </w:r>
    </w:p>
    <w:p w14:paraId="5DEC69F4" w14:textId="77777777" w:rsidR="00975881" w:rsidRDefault="00000000" w:rsidP="00D014A5">
      <w:pPr>
        <w:pStyle w:val="Heading1"/>
        <w:spacing w:before="340" w:after="140"/>
        <w:jc w:val="both"/>
      </w:pPr>
      <w:r>
        <w:rPr>
          <w:b/>
          <w:bCs/>
          <w:color w:val="000000"/>
          <w:sz w:val="24"/>
          <w:szCs w:val="24"/>
        </w:rPr>
        <w:t>10. Transferability to Lower-Income Financing Systems</w:t>
      </w:r>
    </w:p>
    <w:p w14:paraId="51A99912" w14:textId="77777777" w:rsidR="00975881" w:rsidRDefault="00000000" w:rsidP="00D014A5">
      <w:pPr>
        <w:spacing w:after="140" w:line="320" w:lineRule="auto"/>
        <w:jc w:val="both"/>
      </w:pPr>
      <w:r>
        <w:t xml:space="preserve">Whether the instruments examined above transfer to systems with different financing architecture is a question of considerable practical importance and limited direct evidence. The conceptual foundation for the transfer argument rests on the distinction between passive and strategic purchasing, in which the purchasing function is understood as an active instrument for allocating resources according to population need and provider performance rather than as a mechanism for settling claims (Kutzin, 2013). Framed this way, value-based purchasing is a particular elaboration of strategic purchasing rather </w:t>
      </w:r>
      <w:r>
        <w:lastRenderedPageBreak/>
        <w:t>than a categorically distinct innovation, and the relevant question becomes which elaborations are feasible given the capacity available.</w:t>
      </w:r>
    </w:p>
    <w:p w14:paraId="726222CD" w14:textId="77777777" w:rsidR="00975881" w:rsidRDefault="00000000" w:rsidP="00D014A5">
      <w:pPr>
        <w:spacing w:after="140" w:line="320" w:lineRule="auto"/>
        <w:jc w:val="both"/>
      </w:pPr>
      <w:r>
        <w:t>Comparative analysis of purchasing arrangements identifies the binding constraints as the availability of provider-level information, the credibility of contracting and enforcement, and the alignment between purchasing and the wider governance of the health system, rather than the technical design of payment formulae (Cashin &amp; Gatome-Munyua, 2022). The same diagnosis is advanced in analysis of why strategic purchasing has remained a neglected financing function in lower-income and middle-income settings despite sustained advocacy, which attributes the neglect to fragmentation of purchasing across schemes and to limited institutional authority over providers (Hanson et al., 2019). Where a purchaser cannot verify what was delivered or enforce the terms of a contract, sophisticated payment design cannot function as intended, and its introduction may generate administrative cost without behavioural effect.</w:t>
      </w:r>
    </w:p>
    <w:p w14:paraId="39DDF574" w14:textId="77777777" w:rsidR="00975881" w:rsidRDefault="00000000" w:rsidP="00D014A5">
      <w:pPr>
        <w:spacing w:after="140" w:line="320" w:lineRule="auto"/>
        <w:jc w:val="both"/>
      </w:pPr>
      <w:r>
        <w:t>Country evidence supports a qualified transfer argument. Analysis of purchasing under India's national publicly funded insurance scheme documents the operation of contrasting institutional models across states and identifies capacity, provider empanelment and fraud control as the determinants of purchasing effectiveness (Furtado et al., 2022). Analysis of benefit package policy interventions within the same scheme in a single state found measurable changes in service utilisation following package revision, demonstrating that purchasing parameters do influence provider behaviour in this setting (Prinja et al., 2024). Longer-standing experience from Thailand indicates that strategic purchasing contributed materially to the achievement of coverage goals, with the purchaser's capacity to negotiate prices and define benefits identified as the operative mechanism (Tangcharoensathien et al., 2015). Comparative examination of capitation with performance payment across four countries reaches consistent conclusions about the dependence of results on rate adequacy and risk adjustment (Barber et al., 2025).</w:t>
      </w:r>
    </w:p>
    <w:p w14:paraId="131E3B09" w14:textId="77777777" w:rsidR="00975881" w:rsidRDefault="00000000" w:rsidP="00D014A5">
      <w:pPr>
        <w:spacing w:after="140" w:line="320" w:lineRule="auto"/>
        <w:jc w:val="both"/>
      </w:pPr>
      <w:r>
        <w:t>Two cautions apply. The successful cases are systems that invested over extended periods in purchasing institutions, information infrastructure and provider regulation, which is to say that the transferable element is institutional development rather than payment design. The financing contraction documented in Section 3.3 reduces the resources available for exactly that development, creating a policy tension that the literature acknowledges but has not resolved: efficiency reform requires investment that contracting budgets make harder to sustain.</w:t>
      </w:r>
    </w:p>
    <w:p w14:paraId="09CB7E39" w14:textId="77777777" w:rsidR="00975881" w:rsidRDefault="00000000" w:rsidP="00D014A5">
      <w:pPr>
        <w:pStyle w:val="Heading1"/>
        <w:spacing w:before="340" w:after="140"/>
        <w:jc w:val="both"/>
      </w:pPr>
      <w:r>
        <w:rPr>
          <w:b/>
          <w:bCs/>
          <w:color w:val="000000"/>
          <w:sz w:val="24"/>
          <w:szCs w:val="24"/>
        </w:rPr>
        <w:t>11. The Methodological Foundations of the Evidence Base</w:t>
      </w:r>
    </w:p>
    <w:p w14:paraId="5EB5FBCA" w14:textId="77777777" w:rsidR="00975881" w:rsidRDefault="00000000" w:rsidP="00D014A5">
      <w:pPr>
        <w:spacing w:after="140" w:line="320" w:lineRule="auto"/>
        <w:jc w:val="both"/>
      </w:pPr>
      <w:r>
        <w:t>A recurring feature of this literature is that the confidence with which conclusions are expressed exceeds what the underlying designs support. Several structural weaknesses account for this and are worth stating as a set, because they recur across instrument classes and therefore compromise the field's aggregate evidence rather than isolated studies within it.</w:t>
      </w:r>
    </w:p>
    <w:p w14:paraId="06895F3C" w14:textId="77777777" w:rsidR="00975881" w:rsidRDefault="00000000" w:rsidP="00D014A5">
      <w:pPr>
        <w:spacing w:after="140" w:line="320" w:lineRule="auto"/>
        <w:jc w:val="both"/>
      </w:pPr>
      <w:r>
        <w:t xml:space="preserve">Voluntary participation is the most pervasive. Providers that elect to enter a value-based arrangement differ systematically from those that do not, typically in ways correlated with the outcomes evaluated. Where evaluation compares participants with non-participants, the estimate confounds programme effect with selection, and where evaluation compares participants before and after entry, it confounds </w:t>
      </w:r>
      <w:r>
        <w:lastRenderedPageBreak/>
        <w:t>programme effect with the reasons for entering. Mandatory programmes avoid this difficulty and constitute the more informative subset of the evidence, but they remain a minority.</w:t>
      </w:r>
    </w:p>
    <w:p w14:paraId="5F173505" w14:textId="77777777" w:rsidR="00975881" w:rsidRDefault="00000000" w:rsidP="00D014A5">
      <w:pPr>
        <w:spacing w:after="140" w:line="320" w:lineRule="auto"/>
        <w:jc w:val="both"/>
      </w:pPr>
      <w:r>
        <w:t>The credibility of the counterfactual is a second weakness. Difference-in-differences designs dominate the field and rest on the assumption that treated and control units would have followed parallel trajectories absent the reform. This assumption is difficult to sustain in periods of concurrent reform, which describes most of the evaluated period in most systems. The concentration of evaluations within the United States Medicare programme compounds the difficulty, since multiple programmes operated simultaneously on overlapping provider populations.</w:t>
      </w:r>
    </w:p>
    <w:p w14:paraId="1859F1D0" w14:textId="77777777" w:rsidR="00975881" w:rsidRDefault="00000000" w:rsidP="00D014A5">
      <w:pPr>
        <w:spacing w:after="140" w:line="320" w:lineRule="auto"/>
        <w:jc w:val="both"/>
      </w:pPr>
      <w:r>
        <w:t>Outcome definition constitutes a third. Spending per episode, spending per attributed beneficiary and total programme expenditure are distinct quantities that respond differently to the same intervention, and conclusions drawn on one are frequently reported as though they applied to another. The distinction between provider-level savings and payer-level savings, illustrated by the offsetting effect of bonus payments in shared savings arrangements, is the clearest instance.</w:t>
      </w:r>
    </w:p>
    <w:p w14:paraId="4D9E68BE" w14:textId="77777777" w:rsidR="00975881" w:rsidRDefault="00000000" w:rsidP="00D014A5">
      <w:pPr>
        <w:spacing w:after="140" w:line="320" w:lineRule="auto"/>
        <w:jc w:val="both"/>
      </w:pPr>
      <w:r>
        <w:t>Time horizon is a fourth. Reported effects attenuate with follow-up duration in the instances where long follow-up exists, of which the Quality and Outcomes Framework synthesis is the most complete example. Short evaluation windows therefore favour positive findings, and the distribution of follow-up durations in the literature is skewed towards the short.</w:t>
      </w:r>
    </w:p>
    <w:p w14:paraId="512512FF" w14:textId="77777777" w:rsidR="00975881" w:rsidRDefault="00000000" w:rsidP="00D014A5">
      <w:pPr>
        <w:spacing w:after="140" w:line="320" w:lineRule="auto"/>
        <w:jc w:val="both"/>
      </w:pPr>
      <w:r>
        <w:t>Publication and evaluation asymmetry is a fifth. Evaluations are commissioned disproportionately for programmes expected to succeed, are frequently conducted by parties with an interest in the outcome, and are more likely to be published when positive. The observation that positive findings on patient safety incentives were concentrated among lower-quality evaluations is direct evidence of this pattern operating within the field (Slawomirski et al., 2024).</w:t>
      </w:r>
    </w:p>
    <w:p w14:paraId="16568F8A" w14:textId="77777777" w:rsidR="00975881" w:rsidRDefault="00000000" w:rsidP="00D014A5">
      <w:pPr>
        <w:spacing w:after="140" w:line="320" w:lineRule="auto"/>
        <w:jc w:val="both"/>
      </w:pPr>
      <w:r>
        <w:t>Table 4 sets out these limitations, the instrument classes most affected, and the design responses that would mitigate them. The pattern the table reveals is that the weaknesses are not distributed randomly across the literature but cluster in the evaluations most frequently cited in support of reform, which suggests that the field's confidence has been calibrated against its most visible rather than its most rigorous evidence. The final column indicates that the required remedies are largely known and are matters of evaluation design and data access rather than of methodological innovation.</w:t>
      </w:r>
    </w:p>
    <w:p w14:paraId="11CD5EE0" w14:textId="77777777" w:rsidR="00975881" w:rsidRDefault="00000000" w:rsidP="00D014A5">
      <w:pPr>
        <w:spacing w:before="240" w:after="100"/>
        <w:jc w:val="both"/>
      </w:pPr>
      <w:r>
        <w:rPr>
          <w:b/>
          <w:bCs/>
          <w:sz w:val="19"/>
          <w:szCs w:val="19"/>
        </w:rPr>
        <w:t>Table 4. Recurrent methodological limitations in the evaluation literature, their directional consequences and the design responses required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2166"/>
        <w:gridCol w:w="1715"/>
        <w:gridCol w:w="2166"/>
        <w:gridCol w:w="1535"/>
      </w:tblGrid>
      <w:tr w:rsidR="00975881" w14:paraId="60C5E0A4" w14:textId="77777777">
        <w:trPr>
          <w:tblHeader/>
        </w:trPr>
        <w:tc>
          <w:tcPr>
            <w:tcW w:w="1444" w:type="dxa"/>
            <w:shd w:val="clear" w:color="auto" w:fill="E8EDF2"/>
            <w:tcMar>
              <w:top w:w="60" w:type="dxa"/>
              <w:left w:w="90" w:type="dxa"/>
              <w:bottom w:w="60" w:type="dxa"/>
              <w:right w:w="90" w:type="dxa"/>
            </w:tcMar>
          </w:tcPr>
          <w:p w14:paraId="0EBD84A1" w14:textId="77777777" w:rsidR="00975881" w:rsidRDefault="00000000" w:rsidP="00D014A5">
            <w:pPr>
              <w:spacing w:after="20" w:line="220" w:lineRule="auto"/>
              <w:jc w:val="both"/>
            </w:pPr>
            <w:r>
              <w:rPr>
                <w:b/>
                <w:bCs/>
                <w:sz w:val="16"/>
                <w:szCs w:val="16"/>
              </w:rPr>
              <w:t>Limitation</w:t>
            </w:r>
          </w:p>
        </w:tc>
        <w:tc>
          <w:tcPr>
            <w:tcW w:w="2166" w:type="dxa"/>
            <w:shd w:val="clear" w:color="auto" w:fill="E8EDF2"/>
            <w:tcMar>
              <w:top w:w="60" w:type="dxa"/>
              <w:left w:w="90" w:type="dxa"/>
              <w:bottom w:w="60" w:type="dxa"/>
              <w:right w:w="90" w:type="dxa"/>
            </w:tcMar>
          </w:tcPr>
          <w:p w14:paraId="1795D262" w14:textId="77777777" w:rsidR="00975881" w:rsidRDefault="00000000" w:rsidP="00D014A5">
            <w:pPr>
              <w:spacing w:after="20" w:line="220" w:lineRule="auto"/>
              <w:jc w:val="both"/>
            </w:pPr>
            <w:r>
              <w:rPr>
                <w:b/>
                <w:bCs/>
                <w:sz w:val="16"/>
                <w:szCs w:val="16"/>
              </w:rPr>
              <w:t>Directional consequence for findings</w:t>
            </w:r>
          </w:p>
        </w:tc>
        <w:tc>
          <w:tcPr>
            <w:tcW w:w="1715" w:type="dxa"/>
            <w:shd w:val="clear" w:color="auto" w:fill="E8EDF2"/>
            <w:tcMar>
              <w:top w:w="60" w:type="dxa"/>
              <w:left w:w="90" w:type="dxa"/>
              <w:bottom w:w="60" w:type="dxa"/>
              <w:right w:w="90" w:type="dxa"/>
            </w:tcMar>
          </w:tcPr>
          <w:p w14:paraId="69B4AE6C" w14:textId="77777777" w:rsidR="00975881" w:rsidRDefault="00000000" w:rsidP="00D014A5">
            <w:pPr>
              <w:spacing w:after="20" w:line="220" w:lineRule="auto"/>
              <w:jc w:val="both"/>
            </w:pPr>
            <w:r>
              <w:rPr>
                <w:b/>
                <w:bCs/>
                <w:sz w:val="16"/>
                <w:szCs w:val="16"/>
              </w:rPr>
              <w:t>Instrument classes most affected</w:t>
            </w:r>
          </w:p>
        </w:tc>
        <w:tc>
          <w:tcPr>
            <w:tcW w:w="2166" w:type="dxa"/>
            <w:shd w:val="clear" w:color="auto" w:fill="E8EDF2"/>
            <w:tcMar>
              <w:top w:w="60" w:type="dxa"/>
              <w:left w:w="90" w:type="dxa"/>
              <w:bottom w:w="60" w:type="dxa"/>
              <w:right w:w="90" w:type="dxa"/>
            </w:tcMar>
          </w:tcPr>
          <w:p w14:paraId="5394679C" w14:textId="77777777" w:rsidR="00975881" w:rsidRDefault="00000000" w:rsidP="00D014A5">
            <w:pPr>
              <w:spacing w:after="20" w:line="220" w:lineRule="auto"/>
              <w:jc w:val="both"/>
            </w:pPr>
            <w:r>
              <w:rPr>
                <w:b/>
                <w:bCs/>
                <w:sz w:val="16"/>
                <w:szCs w:val="16"/>
              </w:rPr>
              <w:t>Design response</w:t>
            </w:r>
          </w:p>
        </w:tc>
        <w:tc>
          <w:tcPr>
            <w:tcW w:w="1535" w:type="dxa"/>
            <w:shd w:val="clear" w:color="auto" w:fill="E8EDF2"/>
            <w:tcMar>
              <w:top w:w="60" w:type="dxa"/>
              <w:left w:w="90" w:type="dxa"/>
              <w:bottom w:w="60" w:type="dxa"/>
              <w:right w:w="90" w:type="dxa"/>
            </w:tcMar>
          </w:tcPr>
          <w:p w14:paraId="7F57A79B" w14:textId="77777777" w:rsidR="00975881" w:rsidRDefault="00000000" w:rsidP="00D014A5">
            <w:pPr>
              <w:spacing w:after="20" w:line="220" w:lineRule="auto"/>
              <w:jc w:val="both"/>
            </w:pPr>
            <w:r>
              <w:rPr>
                <w:b/>
                <w:bCs/>
                <w:sz w:val="16"/>
                <w:szCs w:val="16"/>
              </w:rPr>
              <w:t>Supporting references</w:t>
            </w:r>
          </w:p>
        </w:tc>
      </w:tr>
      <w:tr w:rsidR="00975881" w14:paraId="5B379DCF" w14:textId="77777777">
        <w:tc>
          <w:tcPr>
            <w:tcW w:w="1444" w:type="dxa"/>
            <w:tcMar>
              <w:top w:w="60" w:type="dxa"/>
              <w:left w:w="90" w:type="dxa"/>
              <w:bottom w:w="60" w:type="dxa"/>
              <w:right w:w="90" w:type="dxa"/>
            </w:tcMar>
          </w:tcPr>
          <w:p w14:paraId="2247CCD2" w14:textId="77777777" w:rsidR="00975881" w:rsidRDefault="00000000" w:rsidP="00D014A5">
            <w:pPr>
              <w:spacing w:after="20" w:line="220" w:lineRule="auto"/>
              <w:jc w:val="both"/>
            </w:pPr>
            <w:r>
              <w:rPr>
                <w:sz w:val="16"/>
                <w:szCs w:val="16"/>
              </w:rPr>
              <w:t>Voluntary participation and self-selection</w:t>
            </w:r>
          </w:p>
        </w:tc>
        <w:tc>
          <w:tcPr>
            <w:tcW w:w="2166" w:type="dxa"/>
            <w:tcMar>
              <w:top w:w="60" w:type="dxa"/>
              <w:left w:w="90" w:type="dxa"/>
              <w:bottom w:w="60" w:type="dxa"/>
              <w:right w:w="90" w:type="dxa"/>
            </w:tcMar>
          </w:tcPr>
          <w:p w14:paraId="37895494" w14:textId="77777777" w:rsidR="00975881" w:rsidRDefault="00000000" w:rsidP="00D014A5">
            <w:pPr>
              <w:spacing w:after="20" w:line="220" w:lineRule="auto"/>
              <w:jc w:val="both"/>
            </w:pPr>
            <w:r>
              <w:rPr>
                <w:sz w:val="16"/>
                <w:szCs w:val="16"/>
              </w:rPr>
              <w:t>Programme effect is confounded with the characteristics and motivations of entering providers, generally overstating benefit</w:t>
            </w:r>
          </w:p>
        </w:tc>
        <w:tc>
          <w:tcPr>
            <w:tcW w:w="1715" w:type="dxa"/>
            <w:tcMar>
              <w:top w:w="60" w:type="dxa"/>
              <w:left w:w="90" w:type="dxa"/>
              <w:bottom w:w="60" w:type="dxa"/>
              <w:right w:w="90" w:type="dxa"/>
            </w:tcMar>
          </w:tcPr>
          <w:p w14:paraId="2A7E85C3" w14:textId="77777777" w:rsidR="00975881" w:rsidRDefault="00000000" w:rsidP="00D014A5">
            <w:pPr>
              <w:spacing w:after="20" w:line="220" w:lineRule="auto"/>
              <w:jc w:val="both"/>
            </w:pPr>
            <w:r>
              <w:rPr>
                <w:sz w:val="16"/>
                <w:szCs w:val="16"/>
              </w:rPr>
              <w:t>Shared savings; voluntary bundled payment; capitated contracts</w:t>
            </w:r>
          </w:p>
        </w:tc>
        <w:tc>
          <w:tcPr>
            <w:tcW w:w="2166" w:type="dxa"/>
            <w:tcMar>
              <w:top w:w="60" w:type="dxa"/>
              <w:left w:w="90" w:type="dxa"/>
              <w:bottom w:w="60" w:type="dxa"/>
              <w:right w:w="90" w:type="dxa"/>
            </w:tcMar>
          </w:tcPr>
          <w:p w14:paraId="52DE5511" w14:textId="77777777" w:rsidR="00975881" w:rsidRDefault="00000000" w:rsidP="00D014A5">
            <w:pPr>
              <w:spacing w:after="20" w:line="220" w:lineRule="auto"/>
              <w:jc w:val="both"/>
            </w:pPr>
            <w:r>
              <w:rPr>
                <w:sz w:val="16"/>
                <w:szCs w:val="16"/>
              </w:rPr>
              <w:t>Mandatory programmes; cluster randomisation of implementation timing where rollout is staged</w:t>
            </w:r>
          </w:p>
        </w:tc>
        <w:tc>
          <w:tcPr>
            <w:tcW w:w="1535" w:type="dxa"/>
            <w:tcMar>
              <w:top w:w="60" w:type="dxa"/>
              <w:left w:w="90" w:type="dxa"/>
              <w:bottom w:w="60" w:type="dxa"/>
              <w:right w:w="90" w:type="dxa"/>
            </w:tcMar>
          </w:tcPr>
          <w:p w14:paraId="3672551A" w14:textId="77777777" w:rsidR="00975881" w:rsidRDefault="00000000" w:rsidP="00D014A5">
            <w:pPr>
              <w:spacing w:after="20" w:line="220" w:lineRule="auto"/>
              <w:jc w:val="both"/>
            </w:pPr>
            <w:r>
              <w:rPr>
                <w:sz w:val="16"/>
                <w:szCs w:val="16"/>
              </w:rPr>
              <w:t>Agarwal et al. (2020); McWilliams et al. (2018)</w:t>
            </w:r>
          </w:p>
        </w:tc>
      </w:tr>
      <w:tr w:rsidR="00975881" w14:paraId="5ABD3A47" w14:textId="77777777">
        <w:tc>
          <w:tcPr>
            <w:tcW w:w="1444" w:type="dxa"/>
            <w:tcMar>
              <w:top w:w="60" w:type="dxa"/>
              <w:left w:w="90" w:type="dxa"/>
              <w:bottom w:w="60" w:type="dxa"/>
              <w:right w:w="90" w:type="dxa"/>
            </w:tcMar>
          </w:tcPr>
          <w:p w14:paraId="7FAE0675" w14:textId="77777777" w:rsidR="00975881" w:rsidRDefault="00000000" w:rsidP="00D014A5">
            <w:pPr>
              <w:spacing w:after="20" w:line="220" w:lineRule="auto"/>
              <w:jc w:val="both"/>
            </w:pPr>
            <w:r>
              <w:rPr>
                <w:sz w:val="16"/>
                <w:szCs w:val="16"/>
              </w:rPr>
              <w:t>Weak counterfactual under concurrent reform</w:t>
            </w:r>
          </w:p>
        </w:tc>
        <w:tc>
          <w:tcPr>
            <w:tcW w:w="2166" w:type="dxa"/>
            <w:tcMar>
              <w:top w:w="60" w:type="dxa"/>
              <w:left w:w="90" w:type="dxa"/>
              <w:bottom w:w="60" w:type="dxa"/>
              <w:right w:w="90" w:type="dxa"/>
            </w:tcMar>
          </w:tcPr>
          <w:p w14:paraId="523AA4CC" w14:textId="77777777" w:rsidR="00975881" w:rsidRDefault="00000000" w:rsidP="00D014A5">
            <w:pPr>
              <w:spacing w:after="20" w:line="220" w:lineRule="auto"/>
              <w:jc w:val="both"/>
            </w:pPr>
            <w:r>
              <w:rPr>
                <w:sz w:val="16"/>
                <w:szCs w:val="16"/>
              </w:rPr>
              <w:t>Parallel-trend assumptions are difficult to sustain, and effects of overlapping programmes are attributed to the one under study</w:t>
            </w:r>
          </w:p>
        </w:tc>
        <w:tc>
          <w:tcPr>
            <w:tcW w:w="1715" w:type="dxa"/>
            <w:tcMar>
              <w:top w:w="60" w:type="dxa"/>
              <w:left w:w="90" w:type="dxa"/>
              <w:bottom w:w="60" w:type="dxa"/>
              <w:right w:w="90" w:type="dxa"/>
            </w:tcMar>
          </w:tcPr>
          <w:p w14:paraId="2ED10E56" w14:textId="77777777" w:rsidR="00975881" w:rsidRDefault="00000000" w:rsidP="00D014A5">
            <w:pPr>
              <w:spacing w:after="20" w:line="220" w:lineRule="auto"/>
              <w:jc w:val="both"/>
            </w:pPr>
            <w:r>
              <w:rPr>
                <w:sz w:val="16"/>
                <w:szCs w:val="16"/>
              </w:rPr>
              <w:t>All payment instruments, particularly where evaluated within a single national programme</w:t>
            </w:r>
          </w:p>
        </w:tc>
        <w:tc>
          <w:tcPr>
            <w:tcW w:w="2166" w:type="dxa"/>
            <w:tcMar>
              <w:top w:w="60" w:type="dxa"/>
              <w:left w:w="90" w:type="dxa"/>
              <w:bottom w:w="60" w:type="dxa"/>
              <w:right w:w="90" w:type="dxa"/>
            </w:tcMar>
          </w:tcPr>
          <w:p w14:paraId="251FC61F" w14:textId="77777777" w:rsidR="00975881" w:rsidRDefault="00000000" w:rsidP="00D014A5">
            <w:pPr>
              <w:spacing w:after="20" w:line="220" w:lineRule="auto"/>
              <w:jc w:val="both"/>
            </w:pPr>
            <w:r>
              <w:rPr>
                <w:sz w:val="16"/>
                <w:szCs w:val="16"/>
              </w:rPr>
              <w:t>Explicit modelling of concurrent policies; pre-specified falsification tests; multi-jurisdiction replication</w:t>
            </w:r>
          </w:p>
        </w:tc>
        <w:tc>
          <w:tcPr>
            <w:tcW w:w="1535" w:type="dxa"/>
            <w:tcMar>
              <w:top w:w="60" w:type="dxa"/>
              <w:left w:w="90" w:type="dxa"/>
              <w:bottom w:w="60" w:type="dxa"/>
              <w:right w:w="90" w:type="dxa"/>
            </w:tcMar>
          </w:tcPr>
          <w:p w14:paraId="4F0054AC" w14:textId="77777777" w:rsidR="00975881" w:rsidRDefault="00000000" w:rsidP="00D014A5">
            <w:pPr>
              <w:spacing w:after="20" w:line="220" w:lineRule="auto"/>
              <w:jc w:val="both"/>
            </w:pPr>
            <w:r>
              <w:rPr>
                <w:sz w:val="16"/>
                <w:szCs w:val="16"/>
              </w:rPr>
              <w:t>Shammas et al. (2023); Wadhera et al. (2018)</w:t>
            </w:r>
          </w:p>
        </w:tc>
      </w:tr>
      <w:tr w:rsidR="00975881" w14:paraId="17ADF19C" w14:textId="77777777">
        <w:tc>
          <w:tcPr>
            <w:tcW w:w="1444" w:type="dxa"/>
            <w:tcMar>
              <w:top w:w="60" w:type="dxa"/>
              <w:left w:w="90" w:type="dxa"/>
              <w:bottom w:w="60" w:type="dxa"/>
              <w:right w:w="90" w:type="dxa"/>
            </w:tcMar>
          </w:tcPr>
          <w:p w14:paraId="28718FEF" w14:textId="77777777" w:rsidR="00975881" w:rsidRDefault="00000000" w:rsidP="00D014A5">
            <w:pPr>
              <w:spacing w:after="20" w:line="220" w:lineRule="auto"/>
              <w:jc w:val="both"/>
            </w:pPr>
            <w:r>
              <w:rPr>
                <w:sz w:val="16"/>
                <w:szCs w:val="16"/>
              </w:rPr>
              <w:lastRenderedPageBreak/>
              <w:t>Endogeneity of measured value to coding behaviour</w:t>
            </w:r>
          </w:p>
        </w:tc>
        <w:tc>
          <w:tcPr>
            <w:tcW w:w="2166" w:type="dxa"/>
            <w:tcMar>
              <w:top w:w="60" w:type="dxa"/>
              <w:left w:w="90" w:type="dxa"/>
              <w:bottom w:w="60" w:type="dxa"/>
              <w:right w:w="90" w:type="dxa"/>
            </w:tcMar>
          </w:tcPr>
          <w:p w14:paraId="27AB8B02" w14:textId="77777777" w:rsidR="00975881" w:rsidRDefault="00000000" w:rsidP="00D014A5">
            <w:pPr>
              <w:spacing w:after="20" w:line="220" w:lineRule="auto"/>
              <w:jc w:val="both"/>
            </w:pPr>
            <w:r>
              <w:rPr>
                <w:sz w:val="16"/>
                <w:szCs w:val="16"/>
              </w:rPr>
              <w:t>Reclassification is indistinguishable from efficiency, inflating apparent savings and quality</w:t>
            </w:r>
          </w:p>
        </w:tc>
        <w:tc>
          <w:tcPr>
            <w:tcW w:w="1715" w:type="dxa"/>
            <w:tcMar>
              <w:top w:w="60" w:type="dxa"/>
              <w:left w:w="90" w:type="dxa"/>
              <w:bottom w:w="60" w:type="dxa"/>
              <w:right w:w="90" w:type="dxa"/>
            </w:tcMar>
          </w:tcPr>
          <w:p w14:paraId="7B0094A1" w14:textId="77777777" w:rsidR="00975881" w:rsidRDefault="00000000" w:rsidP="00D014A5">
            <w:pPr>
              <w:spacing w:after="20" w:line="220" w:lineRule="auto"/>
              <w:jc w:val="both"/>
            </w:pPr>
            <w:r>
              <w:rPr>
                <w:sz w:val="16"/>
                <w:szCs w:val="16"/>
              </w:rPr>
              <w:t>Case-based payment; risk-adjusted capitation; severity-weighted benchmarks</w:t>
            </w:r>
          </w:p>
        </w:tc>
        <w:tc>
          <w:tcPr>
            <w:tcW w:w="2166" w:type="dxa"/>
            <w:tcMar>
              <w:top w:w="60" w:type="dxa"/>
              <w:left w:w="90" w:type="dxa"/>
              <w:bottom w:w="60" w:type="dxa"/>
              <w:right w:w="90" w:type="dxa"/>
            </w:tcMar>
          </w:tcPr>
          <w:p w14:paraId="6052DA93" w14:textId="77777777" w:rsidR="00975881" w:rsidRDefault="00000000" w:rsidP="00D014A5">
            <w:pPr>
              <w:spacing w:after="20" w:line="220" w:lineRule="auto"/>
              <w:jc w:val="both"/>
            </w:pPr>
            <w:r>
              <w:rPr>
                <w:sz w:val="16"/>
                <w:szCs w:val="16"/>
              </w:rPr>
              <w:t>Independent clinical validation of recorded severity on audited subsamples; reporting of bounds for plausible coding response</w:t>
            </w:r>
          </w:p>
        </w:tc>
        <w:tc>
          <w:tcPr>
            <w:tcW w:w="1535" w:type="dxa"/>
            <w:tcMar>
              <w:top w:w="60" w:type="dxa"/>
              <w:left w:w="90" w:type="dxa"/>
              <w:bottom w:w="60" w:type="dxa"/>
              <w:right w:w="90" w:type="dxa"/>
            </w:tcMar>
          </w:tcPr>
          <w:p w14:paraId="65981D6E" w14:textId="77777777" w:rsidR="00975881" w:rsidRDefault="00000000" w:rsidP="00D014A5">
            <w:pPr>
              <w:spacing w:after="20" w:line="220" w:lineRule="auto"/>
              <w:jc w:val="both"/>
            </w:pPr>
            <w:r>
              <w:rPr>
                <w:sz w:val="16"/>
                <w:szCs w:val="16"/>
              </w:rPr>
              <w:t>Geruso and Layton (2020); Zhou et al. (2025)</w:t>
            </w:r>
          </w:p>
        </w:tc>
      </w:tr>
      <w:tr w:rsidR="00975881" w14:paraId="0AADC10A" w14:textId="77777777">
        <w:tc>
          <w:tcPr>
            <w:tcW w:w="1444" w:type="dxa"/>
            <w:tcMar>
              <w:top w:w="60" w:type="dxa"/>
              <w:left w:w="90" w:type="dxa"/>
              <w:bottom w:w="60" w:type="dxa"/>
              <w:right w:w="90" w:type="dxa"/>
            </w:tcMar>
          </w:tcPr>
          <w:p w14:paraId="071AAFB0" w14:textId="77777777" w:rsidR="00975881" w:rsidRDefault="00000000" w:rsidP="00D014A5">
            <w:pPr>
              <w:spacing w:after="20" w:line="220" w:lineRule="auto"/>
              <w:jc w:val="both"/>
            </w:pPr>
            <w:r>
              <w:rPr>
                <w:sz w:val="16"/>
                <w:szCs w:val="16"/>
              </w:rPr>
              <w:t>Conflation of provider-level and payer-level savings</w:t>
            </w:r>
          </w:p>
        </w:tc>
        <w:tc>
          <w:tcPr>
            <w:tcW w:w="2166" w:type="dxa"/>
            <w:tcMar>
              <w:top w:w="60" w:type="dxa"/>
              <w:left w:w="90" w:type="dxa"/>
              <w:bottom w:w="60" w:type="dxa"/>
              <w:right w:w="90" w:type="dxa"/>
            </w:tcMar>
          </w:tcPr>
          <w:p w14:paraId="25D2A764" w14:textId="77777777" w:rsidR="00975881" w:rsidRDefault="00000000" w:rsidP="00D014A5">
            <w:pPr>
              <w:spacing w:after="20" w:line="220" w:lineRule="auto"/>
              <w:jc w:val="both"/>
            </w:pPr>
            <w:r>
              <w:rPr>
                <w:sz w:val="16"/>
                <w:szCs w:val="16"/>
              </w:rPr>
              <w:t>Savings retained by participants are reported as fiscal savings, overstating the effect on public expenditure</w:t>
            </w:r>
          </w:p>
        </w:tc>
        <w:tc>
          <w:tcPr>
            <w:tcW w:w="1715" w:type="dxa"/>
            <w:tcMar>
              <w:top w:w="60" w:type="dxa"/>
              <w:left w:w="90" w:type="dxa"/>
              <w:bottom w:w="60" w:type="dxa"/>
              <w:right w:w="90" w:type="dxa"/>
            </w:tcMar>
          </w:tcPr>
          <w:p w14:paraId="1D6C6080" w14:textId="77777777" w:rsidR="00975881" w:rsidRDefault="00000000" w:rsidP="00D014A5">
            <w:pPr>
              <w:spacing w:after="20" w:line="220" w:lineRule="auto"/>
              <w:jc w:val="both"/>
            </w:pPr>
            <w:r>
              <w:rPr>
                <w:sz w:val="16"/>
                <w:szCs w:val="16"/>
              </w:rPr>
              <w:t>Shared savings; any arrangement with retained bonus payments</w:t>
            </w:r>
          </w:p>
        </w:tc>
        <w:tc>
          <w:tcPr>
            <w:tcW w:w="2166" w:type="dxa"/>
            <w:tcMar>
              <w:top w:w="60" w:type="dxa"/>
              <w:left w:w="90" w:type="dxa"/>
              <w:bottom w:w="60" w:type="dxa"/>
              <w:right w:w="90" w:type="dxa"/>
            </w:tcMar>
          </w:tcPr>
          <w:p w14:paraId="61BED8AD" w14:textId="77777777" w:rsidR="00975881" w:rsidRDefault="00000000" w:rsidP="00D014A5">
            <w:pPr>
              <w:spacing w:after="20" w:line="220" w:lineRule="auto"/>
              <w:jc w:val="both"/>
            </w:pPr>
            <w:r>
              <w:rPr>
                <w:sz w:val="16"/>
                <w:szCs w:val="16"/>
              </w:rPr>
              <w:t>Mandatory reporting of net position after incentive payments; separate presentation of both quantities</w:t>
            </w:r>
          </w:p>
        </w:tc>
        <w:tc>
          <w:tcPr>
            <w:tcW w:w="1535" w:type="dxa"/>
            <w:tcMar>
              <w:top w:w="60" w:type="dxa"/>
              <w:left w:w="90" w:type="dxa"/>
              <w:bottom w:w="60" w:type="dxa"/>
              <w:right w:w="90" w:type="dxa"/>
            </w:tcMar>
          </w:tcPr>
          <w:p w14:paraId="718B5E4E" w14:textId="77777777" w:rsidR="00975881" w:rsidRDefault="00000000" w:rsidP="00D014A5">
            <w:pPr>
              <w:spacing w:after="20" w:line="220" w:lineRule="auto"/>
              <w:jc w:val="both"/>
            </w:pPr>
            <w:r>
              <w:rPr>
                <w:sz w:val="16"/>
                <w:szCs w:val="16"/>
              </w:rPr>
              <w:t>McWilliams et al. (2018)</w:t>
            </w:r>
          </w:p>
        </w:tc>
      </w:tr>
      <w:tr w:rsidR="00975881" w14:paraId="668BAF64" w14:textId="77777777">
        <w:tc>
          <w:tcPr>
            <w:tcW w:w="1444" w:type="dxa"/>
            <w:tcMar>
              <w:top w:w="60" w:type="dxa"/>
              <w:left w:w="90" w:type="dxa"/>
              <w:bottom w:w="60" w:type="dxa"/>
              <w:right w:w="90" w:type="dxa"/>
            </w:tcMar>
          </w:tcPr>
          <w:p w14:paraId="46D342EC" w14:textId="77777777" w:rsidR="00975881" w:rsidRDefault="00000000" w:rsidP="00D014A5">
            <w:pPr>
              <w:spacing w:after="20" w:line="220" w:lineRule="auto"/>
              <w:jc w:val="both"/>
            </w:pPr>
            <w:r>
              <w:rPr>
                <w:sz w:val="16"/>
                <w:szCs w:val="16"/>
              </w:rPr>
              <w:t>Short evaluation horizon</w:t>
            </w:r>
          </w:p>
        </w:tc>
        <w:tc>
          <w:tcPr>
            <w:tcW w:w="2166" w:type="dxa"/>
            <w:tcMar>
              <w:top w:w="60" w:type="dxa"/>
              <w:left w:w="90" w:type="dxa"/>
              <w:bottom w:w="60" w:type="dxa"/>
              <w:right w:w="90" w:type="dxa"/>
            </w:tcMar>
          </w:tcPr>
          <w:p w14:paraId="31BB2A9B" w14:textId="77777777" w:rsidR="00975881" w:rsidRDefault="00000000" w:rsidP="00D014A5">
            <w:pPr>
              <w:spacing w:after="20" w:line="220" w:lineRule="auto"/>
              <w:jc w:val="both"/>
            </w:pPr>
            <w:r>
              <w:rPr>
                <w:sz w:val="16"/>
                <w:szCs w:val="16"/>
              </w:rPr>
              <w:t>Initial effects that subsequently attenuate are reported as durable</w:t>
            </w:r>
          </w:p>
        </w:tc>
        <w:tc>
          <w:tcPr>
            <w:tcW w:w="1715" w:type="dxa"/>
            <w:tcMar>
              <w:top w:w="60" w:type="dxa"/>
              <w:left w:w="90" w:type="dxa"/>
              <w:bottom w:w="60" w:type="dxa"/>
              <w:right w:w="90" w:type="dxa"/>
            </w:tcMar>
          </w:tcPr>
          <w:p w14:paraId="745E5219" w14:textId="77777777" w:rsidR="00975881" w:rsidRDefault="00000000" w:rsidP="00D014A5">
            <w:pPr>
              <w:spacing w:after="20" w:line="220" w:lineRule="auto"/>
              <w:jc w:val="both"/>
            </w:pPr>
            <w:r>
              <w:rPr>
                <w:sz w:val="16"/>
                <w:szCs w:val="16"/>
              </w:rPr>
              <w:t>Pay-for-performance; de-implementation initiatives; digital interventions</w:t>
            </w:r>
          </w:p>
        </w:tc>
        <w:tc>
          <w:tcPr>
            <w:tcW w:w="2166" w:type="dxa"/>
            <w:tcMar>
              <w:top w:w="60" w:type="dxa"/>
              <w:left w:w="90" w:type="dxa"/>
              <w:bottom w:w="60" w:type="dxa"/>
              <w:right w:w="90" w:type="dxa"/>
            </w:tcMar>
          </w:tcPr>
          <w:p w14:paraId="61808875" w14:textId="77777777" w:rsidR="00975881" w:rsidRDefault="00000000" w:rsidP="00D014A5">
            <w:pPr>
              <w:spacing w:after="20" w:line="220" w:lineRule="auto"/>
              <w:jc w:val="both"/>
            </w:pPr>
            <w:r>
              <w:rPr>
                <w:sz w:val="16"/>
                <w:szCs w:val="16"/>
              </w:rPr>
              <w:t>Minimum follow-up specified in relation to the postulated mechanism; pre-registered long-term analysis</w:t>
            </w:r>
          </w:p>
        </w:tc>
        <w:tc>
          <w:tcPr>
            <w:tcW w:w="1535" w:type="dxa"/>
            <w:tcMar>
              <w:top w:w="60" w:type="dxa"/>
              <w:left w:w="90" w:type="dxa"/>
              <w:bottom w:w="60" w:type="dxa"/>
              <w:right w:w="90" w:type="dxa"/>
            </w:tcMar>
          </w:tcPr>
          <w:p w14:paraId="1AFFE89E" w14:textId="77777777" w:rsidR="00975881" w:rsidRDefault="00000000" w:rsidP="00D014A5">
            <w:pPr>
              <w:spacing w:after="20" w:line="220" w:lineRule="auto"/>
              <w:jc w:val="both"/>
            </w:pPr>
            <w:r>
              <w:rPr>
                <w:sz w:val="16"/>
                <w:szCs w:val="16"/>
              </w:rPr>
              <w:t>Ho et al. (2025); Raudasoja et al. (2025)</w:t>
            </w:r>
          </w:p>
        </w:tc>
      </w:tr>
      <w:tr w:rsidR="00975881" w14:paraId="3919D38F" w14:textId="77777777">
        <w:tc>
          <w:tcPr>
            <w:tcW w:w="1444" w:type="dxa"/>
            <w:tcMar>
              <w:top w:w="60" w:type="dxa"/>
              <w:left w:w="90" w:type="dxa"/>
              <w:bottom w:w="60" w:type="dxa"/>
              <w:right w:w="90" w:type="dxa"/>
            </w:tcMar>
          </w:tcPr>
          <w:p w14:paraId="17D47FCC" w14:textId="77777777" w:rsidR="00975881" w:rsidRDefault="00000000" w:rsidP="00D014A5">
            <w:pPr>
              <w:spacing w:after="20" w:line="220" w:lineRule="auto"/>
              <w:jc w:val="both"/>
            </w:pPr>
            <w:r>
              <w:rPr>
                <w:sz w:val="16"/>
                <w:szCs w:val="16"/>
              </w:rPr>
              <w:t>Omission of programme administrative cost</w:t>
            </w:r>
          </w:p>
        </w:tc>
        <w:tc>
          <w:tcPr>
            <w:tcW w:w="2166" w:type="dxa"/>
            <w:tcMar>
              <w:top w:w="60" w:type="dxa"/>
              <w:left w:w="90" w:type="dxa"/>
              <w:bottom w:w="60" w:type="dxa"/>
              <w:right w:w="90" w:type="dxa"/>
            </w:tcMar>
          </w:tcPr>
          <w:p w14:paraId="4E37813C" w14:textId="77777777" w:rsidR="00975881" w:rsidRDefault="00000000" w:rsidP="00D014A5">
            <w:pPr>
              <w:spacing w:after="20" w:line="220" w:lineRule="auto"/>
              <w:jc w:val="both"/>
            </w:pPr>
            <w:r>
              <w:rPr>
                <w:sz w:val="16"/>
                <w:szCs w:val="16"/>
              </w:rPr>
              <w:t>Net fiscal effect is unstated, and gross savings are read as net savings</w:t>
            </w:r>
          </w:p>
        </w:tc>
        <w:tc>
          <w:tcPr>
            <w:tcW w:w="1715" w:type="dxa"/>
            <w:tcMar>
              <w:top w:w="60" w:type="dxa"/>
              <w:left w:w="90" w:type="dxa"/>
              <w:bottom w:w="60" w:type="dxa"/>
              <w:right w:w="90" w:type="dxa"/>
            </w:tcMar>
          </w:tcPr>
          <w:p w14:paraId="4265C99E" w14:textId="77777777" w:rsidR="00975881" w:rsidRDefault="00000000" w:rsidP="00D014A5">
            <w:pPr>
              <w:spacing w:after="20" w:line="220" w:lineRule="auto"/>
              <w:jc w:val="both"/>
            </w:pPr>
            <w:r>
              <w:rPr>
                <w:sz w:val="16"/>
                <w:szCs w:val="16"/>
              </w:rPr>
              <w:t>All value-based contracting arrangements</w:t>
            </w:r>
          </w:p>
        </w:tc>
        <w:tc>
          <w:tcPr>
            <w:tcW w:w="2166" w:type="dxa"/>
            <w:tcMar>
              <w:top w:w="60" w:type="dxa"/>
              <w:left w:w="90" w:type="dxa"/>
              <w:bottom w:w="60" w:type="dxa"/>
              <w:right w:w="90" w:type="dxa"/>
            </w:tcMar>
          </w:tcPr>
          <w:p w14:paraId="55F47EAD" w14:textId="77777777" w:rsidR="00975881" w:rsidRDefault="00000000" w:rsidP="00D014A5">
            <w:pPr>
              <w:spacing w:after="20" w:line="220" w:lineRule="auto"/>
              <w:jc w:val="both"/>
            </w:pPr>
            <w:r>
              <w:rPr>
                <w:sz w:val="16"/>
                <w:szCs w:val="16"/>
              </w:rPr>
              <w:t>Prospective micro-costing of programme administration alongside outcome evaluation using consistent cost boundaries</w:t>
            </w:r>
          </w:p>
        </w:tc>
        <w:tc>
          <w:tcPr>
            <w:tcW w:w="1535" w:type="dxa"/>
            <w:tcMar>
              <w:top w:w="60" w:type="dxa"/>
              <w:left w:w="90" w:type="dxa"/>
              <w:bottom w:w="60" w:type="dxa"/>
              <w:right w:w="90" w:type="dxa"/>
            </w:tcMar>
          </w:tcPr>
          <w:p w14:paraId="1FAC893E" w14:textId="77777777" w:rsidR="00975881" w:rsidRDefault="00000000" w:rsidP="00D014A5">
            <w:pPr>
              <w:spacing w:after="20" w:line="220" w:lineRule="auto"/>
              <w:jc w:val="both"/>
            </w:pPr>
            <w:r>
              <w:rPr>
                <w:sz w:val="16"/>
                <w:szCs w:val="16"/>
              </w:rPr>
              <w:t>Himmelstein et al. (2020); Shrank et al. (2019)</w:t>
            </w:r>
          </w:p>
        </w:tc>
      </w:tr>
      <w:tr w:rsidR="00975881" w14:paraId="3DB0F562" w14:textId="77777777">
        <w:tc>
          <w:tcPr>
            <w:tcW w:w="1444" w:type="dxa"/>
            <w:tcMar>
              <w:top w:w="60" w:type="dxa"/>
              <w:left w:w="90" w:type="dxa"/>
              <w:bottom w:w="60" w:type="dxa"/>
              <w:right w:w="90" w:type="dxa"/>
            </w:tcMar>
          </w:tcPr>
          <w:p w14:paraId="2ED5EC18" w14:textId="77777777" w:rsidR="00975881" w:rsidRDefault="00000000" w:rsidP="00D014A5">
            <w:pPr>
              <w:spacing w:after="20" w:line="220" w:lineRule="auto"/>
              <w:jc w:val="both"/>
            </w:pPr>
            <w:r>
              <w:rPr>
                <w:sz w:val="16"/>
                <w:szCs w:val="16"/>
              </w:rPr>
              <w:t>Evaluation and publication asymmetry</w:t>
            </w:r>
          </w:p>
        </w:tc>
        <w:tc>
          <w:tcPr>
            <w:tcW w:w="2166" w:type="dxa"/>
            <w:tcMar>
              <w:top w:w="60" w:type="dxa"/>
              <w:left w:w="90" w:type="dxa"/>
              <w:bottom w:w="60" w:type="dxa"/>
              <w:right w:w="90" w:type="dxa"/>
            </w:tcMar>
          </w:tcPr>
          <w:p w14:paraId="5FCF11B5" w14:textId="77777777" w:rsidR="00975881" w:rsidRDefault="00000000" w:rsidP="00D014A5">
            <w:pPr>
              <w:spacing w:after="20" w:line="220" w:lineRule="auto"/>
              <w:jc w:val="both"/>
            </w:pPr>
            <w:r>
              <w:rPr>
                <w:sz w:val="16"/>
                <w:szCs w:val="16"/>
              </w:rPr>
              <w:t>Evidence base is weighted towards programmes expected and observed to succeed</w:t>
            </w:r>
          </w:p>
        </w:tc>
        <w:tc>
          <w:tcPr>
            <w:tcW w:w="1715" w:type="dxa"/>
            <w:tcMar>
              <w:top w:w="60" w:type="dxa"/>
              <w:left w:w="90" w:type="dxa"/>
              <w:bottom w:w="60" w:type="dxa"/>
              <w:right w:w="90" w:type="dxa"/>
            </w:tcMar>
          </w:tcPr>
          <w:p w14:paraId="25E7476A" w14:textId="77777777" w:rsidR="00975881" w:rsidRDefault="00000000" w:rsidP="00D014A5">
            <w:pPr>
              <w:spacing w:after="20" w:line="220" w:lineRule="auto"/>
              <w:jc w:val="both"/>
            </w:pPr>
            <w:r>
              <w:rPr>
                <w:sz w:val="16"/>
                <w:szCs w:val="16"/>
              </w:rPr>
              <w:t>Quality incentives; digital and analytical interventions</w:t>
            </w:r>
          </w:p>
        </w:tc>
        <w:tc>
          <w:tcPr>
            <w:tcW w:w="2166" w:type="dxa"/>
            <w:tcMar>
              <w:top w:w="60" w:type="dxa"/>
              <w:left w:w="90" w:type="dxa"/>
              <w:bottom w:w="60" w:type="dxa"/>
              <w:right w:w="90" w:type="dxa"/>
            </w:tcMar>
          </w:tcPr>
          <w:p w14:paraId="34AB6E3F" w14:textId="77777777" w:rsidR="00975881" w:rsidRDefault="00000000" w:rsidP="00D014A5">
            <w:pPr>
              <w:spacing w:after="20" w:line="220" w:lineRule="auto"/>
              <w:jc w:val="both"/>
            </w:pPr>
            <w:r>
              <w:rPr>
                <w:sz w:val="16"/>
                <w:szCs w:val="16"/>
              </w:rPr>
              <w:t>Pre-registration of evaluations; commissioning independent of programme sponsors; publication irrespective of direction</w:t>
            </w:r>
          </w:p>
        </w:tc>
        <w:tc>
          <w:tcPr>
            <w:tcW w:w="1535" w:type="dxa"/>
            <w:tcMar>
              <w:top w:w="60" w:type="dxa"/>
              <w:left w:w="90" w:type="dxa"/>
              <w:bottom w:w="60" w:type="dxa"/>
              <w:right w:w="90" w:type="dxa"/>
            </w:tcMar>
          </w:tcPr>
          <w:p w14:paraId="2FB13E54" w14:textId="77777777" w:rsidR="00975881" w:rsidRDefault="00000000" w:rsidP="00D014A5">
            <w:pPr>
              <w:spacing w:after="20" w:line="220" w:lineRule="auto"/>
              <w:jc w:val="both"/>
            </w:pPr>
            <w:r>
              <w:rPr>
                <w:sz w:val="16"/>
                <w:szCs w:val="16"/>
              </w:rPr>
              <w:t>Slawomirski et al. (2024); Wolff et al. (2020)</w:t>
            </w:r>
          </w:p>
        </w:tc>
      </w:tr>
      <w:tr w:rsidR="00975881" w14:paraId="3B8404DE" w14:textId="77777777">
        <w:tc>
          <w:tcPr>
            <w:tcW w:w="1444" w:type="dxa"/>
            <w:tcMar>
              <w:top w:w="60" w:type="dxa"/>
              <w:left w:w="90" w:type="dxa"/>
              <w:bottom w:w="60" w:type="dxa"/>
              <w:right w:w="90" w:type="dxa"/>
            </w:tcMar>
          </w:tcPr>
          <w:p w14:paraId="48C27469" w14:textId="77777777" w:rsidR="00975881" w:rsidRDefault="00000000" w:rsidP="00D014A5">
            <w:pPr>
              <w:spacing w:after="20" w:line="220" w:lineRule="auto"/>
              <w:jc w:val="both"/>
            </w:pPr>
            <w:r>
              <w:rPr>
                <w:sz w:val="16"/>
                <w:szCs w:val="16"/>
              </w:rPr>
              <w:t>Geographic and system concentration</w:t>
            </w:r>
          </w:p>
        </w:tc>
        <w:tc>
          <w:tcPr>
            <w:tcW w:w="2166" w:type="dxa"/>
            <w:tcMar>
              <w:top w:w="60" w:type="dxa"/>
              <w:left w:w="90" w:type="dxa"/>
              <w:bottom w:w="60" w:type="dxa"/>
              <w:right w:w="90" w:type="dxa"/>
            </w:tcMar>
          </w:tcPr>
          <w:p w14:paraId="66F8C8BE" w14:textId="77777777" w:rsidR="00975881" w:rsidRDefault="00000000" w:rsidP="00D014A5">
            <w:pPr>
              <w:spacing w:after="20" w:line="220" w:lineRule="auto"/>
              <w:jc w:val="both"/>
            </w:pPr>
            <w:r>
              <w:rPr>
                <w:sz w:val="16"/>
                <w:szCs w:val="16"/>
              </w:rPr>
              <w:t>Findings from atypical financing environments are generalised beyond their institutional preconditions</w:t>
            </w:r>
          </w:p>
        </w:tc>
        <w:tc>
          <w:tcPr>
            <w:tcW w:w="1715" w:type="dxa"/>
            <w:tcMar>
              <w:top w:w="60" w:type="dxa"/>
              <w:left w:w="90" w:type="dxa"/>
              <w:bottom w:w="60" w:type="dxa"/>
              <w:right w:w="90" w:type="dxa"/>
            </w:tcMar>
          </w:tcPr>
          <w:p w14:paraId="713A10BD" w14:textId="77777777" w:rsidR="00975881" w:rsidRDefault="00000000" w:rsidP="00D014A5">
            <w:pPr>
              <w:spacing w:after="20" w:line="220" w:lineRule="auto"/>
              <w:jc w:val="both"/>
            </w:pPr>
            <w:r>
              <w:rPr>
                <w:sz w:val="16"/>
                <w:szCs w:val="16"/>
              </w:rPr>
              <w:t>Bundled payment; shared savings; global budgets</w:t>
            </w:r>
          </w:p>
        </w:tc>
        <w:tc>
          <w:tcPr>
            <w:tcW w:w="2166" w:type="dxa"/>
            <w:tcMar>
              <w:top w:w="60" w:type="dxa"/>
              <w:left w:w="90" w:type="dxa"/>
              <w:bottom w:w="60" w:type="dxa"/>
              <w:right w:w="90" w:type="dxa"/>
            </w:tcMar>
          </w:tcPr>
          <w:p w14:paraId="5BA11C31" w14:textId="77777777" w:rsidR="00975881" w:rsidRDefault="00000000" w:rsidP="00D014A5">
            <w:pPr>
              <w:spacing w:after="20" w:line="220" w:lineRule="auto"/>
              <w:jc w:val="both"/>
            </w:pPr>
            <w:r>
              <w:rPr>
                <w:sz w:val="16"/>
                <w:szCs w:val="16"/>
              </w:rPr>
              <w:t>Replication in systems with differing purchasing capacity; explicit statement of institutional preconditions</w:t>
            </w:r>
          </w:p>
        </w:tc>
        <w:tc>
          <w:tcPr>
            <w:tcW w:w="1535" w:type="dxa"/>
            <w:tcMar>
              <w:top w:w="60" w:type="dxa"/>
              <w:left w:w="90" w:type="dxa"/>
              <w:bottom w:w="60" w:type="dxa"/>
              <w:right w:w="90" w:type="dxa"/>
            </w:tcMar>
          </w:tcPr>
          <w:p w14:paraId="4EC3759E" w14:textId="77777777" w:rsidR="00975881" w:rsidRDefault="00000000" w:rsidP="00D014A5">
            <w:pPr>
              <w:spacing w:after="20" w:line="220" w:lineRule="auto"/>
              <w:jc w:val="both"/>
            </w:pPr>
            <w:r>
              <w:rPr>
                <w:sz w:val="16"/>
                <w:szCs w:val="16"/>
              </w:rPr>
              <w:t>Cashin and Gatome-Munyua (2022); Hanson et al. (2019)</w:t>
            </w:r>
          </w:p>
        </w:tc>
      </w:tr>
    </w:tbl>
    <w:p w14:paraId="52BB83A7" w14:textId="77777777" w:rsidR="00975881" w:rsidRDefault="00000000" w:rsidP="00D014A5">
      <w:pPr>
        <w:spacing w:before="100" w:after="240"/>
        <w:jc w:val="both"/>
      </w:pPr>
      <w:r>
        <w:rPr>
          <w:i/>
          <w:iCs/>
          <w:sz w:val="16"/>
          <w:szCs w:val="16"/>
        </w:rPr>
        <w:t>Note. Limitations are listed in approximate order of how frequently they were encountered across the reviewed evaluations. Most bias the literature in the direction of overstating benefit, which implies that published effect sizes are more likely to represent upper than lower bounds.</w:t>
      </w:r>
    </w:p>
    <w:p w14:paraId="7EB670AF" w14:textId="77777777" w:rsidR="00975881" w:rsidRDefault="00000000" w:rsidP="00D014A5">
      <w:pPr>
        <w:pStyle w:val="Heading1"/>
        <w:spacing w:before="340" w:after="140"/>
        <w:jc w:val="both"/>
      </w:pPr>
      <w:r>
        <w:rPr>
          <w:b/>
          <w:bCs/>
          <w:color w:val="000000"/>
          <w:sz w:val="24"/>
          <w:szCs w:val="24"/>
        </w:rPr>
        <w:t>12. Future Directions</w:t>
      </w:r>
    </w:p>
    <w:p w14:paraId="380DF3AB" w14:textId="77777777" w:rsidR="00975881" w:rsidRDefault="00000000" w:rsidP="00D014A5">
      <w:pPr>
        <w:spacing w:after="140" w:line="320" w:lineRule="auto"/>
        <w:jc w:val="both"/>
      </w:pPr>
      <w:r>
        <w:t>The research priorities that follow are ordered by the extent to which resolving them would change policy, and each is stated together with the reason current evidence is inadequate and the design that would remedy it.</w:t>
      </w:r>
    </w:p>
    <w:p w14:paraId="0A49B7F9" w14:textId="77777777" w:rsidR="00975881" w:rsidRDefault="00000000" w:rsidP="00D014A5">
      <w:pPr>
        <w:spacing w:after="140" w:line="320" w:lineRule="auto"/>
        <w:jc w:val="both"/>
      </w:pPr>
      <w:r>
        <w:t>The first and most urgent priority is the net fiscal effect of value-based programmes inclusive of their administrative cost. Administrative complexity is the largest documented waste category and the one for which no effective intervention has been identified (Shrank et al., 2019), while administrative expenditure has grown as a share of health spending in the system where it has been measured most carefully (Himmelstein et al., 2020). Value-based contracting adds measurement, attribution and reconciliation burden, yet no substantial body of evidence sets the cost of operating such programmes against the savings they produce. The required work is prospective micro-costing of programme administration at purchaser and provider level, conducted alongside outcome evaluation using consistent cost boundaries, over horizons of at least five years. Time-driven activity-based costing offers a suitable method provided that time inputs are directly observed rather than estimated, which appraisal of the method indicates is presently the exception (Shakya et al., 2025). Without this evidence, the field cannot state whether its central reform agenda is fiscally positive.</w:t>
      </w:r>
    </w:p>
    <w:p w14:paraId="49237E8F" w14:textId="77777777" w:rsidR="00975881" w:rsidRDefault="00000000" w:rsidP="00D014A5">
      <w:pPr>
        <w:spacing w:after="140" w:line="320" w:lineRule="auto"/>
        <w:jc w:val="both"/>
      </w:pPr>
      <w:r>
        <w:t xml:space="preserve">The second priority is separating genuine efficiency from coding response. Coding behaviour has been shown to respond to payment incentive independently of clinical status in institutionally dissimilar systems (Geruso &amp; Layton, 2020; Zhou et al., 2025), yet the majority of payment evaluations measure expenditure without simultaneously monitoring case-mix drift. The appropriate design pairs </w:t>
      </w:r>
      <w:r>
        <w:lastRenderedPageBreak/>
        <w:t>expenditure evaluation with independent clinical validation of recorded severity on audited subsamples, ideally through blinded chart review conducted on a sampling frame insensitive to the payment classification under study. Where such validation is infeasible, evaluations should report measured effects alongside bounds derived from plausible coding response. Immediate progress is achievable, since the method is established and the principal obstacle is data access rather than technique.</w:t>
      </w:r>
    </w:p>
    <w:p w14:paraId="71BB0924" w14:textId="77777777" w:rsidR="00975881" w:rsidRDefault="00000000" w:rsidP="00D014A5">
      <w:pPr>
        <w:spacing w:after="140" w:line="320" w:lineRule="auto"/>
        <w:jc w:val="both"/>
      </w:pPr>
      <w:r>
        <w:t>The third priority is evaluation of episode-based and population-based payment in clinically heterogeneous conditions. Existing evidence establishes reasonably consistent savings for lower-extremity joint replacement and does not establish them elsewhere (Agarwal et al., 2020), and the risk adjustment approaches applied to bundle prices remain basic, with patient exclusion prevalent and risk stratification rare (Hendriks et al., 2025). The most informative design is mandatory participation with cluster randomisation of implementation timing where mandatory rollout is planned, coupled with pre-specified analysis of populations excluded from the bundle so that displaced cost is observed rather than assumed. Outcomes should include cost incurred outside the episode boundary and by patients and families, which current designs almost uniformly omit. This is a medium-term priority requiring cooperation between purchasers and evaluators at the design stage rather than after implementation.</w:t>
      </w:r>
    </w:p>
    <w:p w14:paraId="2F5A9813" w14:textId="77777777" w:rsidR="00975881" w:rsidRDefault="00000000" w:rsidP="00D014A5">
      <w:pPr>
        <w:spacing w:after="140" w:line="320" w:lineRule="auto"/>
        <w:jc w:val="both"/>
      </w:pPr>
      <w:r>
        <w:t>The fourth priority concerns whether outcome measurement changes purchasing. Standardised condition-level outcome sets have demonstrated feasibility and have revealed care deficits invisible to administrative data (Wong et al., 2022), but evidence that collected outcomes influence contracting, resource allocation or service configuration is scarce, and implementation reviews indicate that measurement is commonly adopted without accompanying payment change (de Mattia et al., 2024; van Staalduinen et al., 2022). The design required is longitudinal comparative case study of purchasing organisations that have implemented outcome collection, tracing whether and how outcome information entered specific allocation decisions, combined with quantitative comparison of contracting behaviour before and after implementation. The relevant outcome measure is decisional rather than clinical, and its neglect explains why the measurement literature and the payment literature have developed with so little contact.</w:t>
      </w:r>
    </w:p>
    <w:p w14:paraId="4188DD41" w14:textId="77777777" w:rsidR="00975881" w:rsidRDefault="00000000" w:rsidP="00D014A5">
      <w:pPr>
        <w:spacing w:after="140" w:line="320" w:lineRule="auto"/>
        <w:jc w:val="both"/>
      </w:pPr>
      <w:r>
        <w:t>The fifth priority is the transferability of purchasing reform to systems experiencing financing contraction. External financing has declined sharply and is not projected to recover to its previous level (Apeagyei et al., 2025), while the determinants of purchasing effectiveness identified in lower-income settings are institutional capacities that require sustained investment (Cashin &amp; Gatome-Munyua, 2022; Hanson et al., 2019). The evidence needed is prospective evaluation of purchasing reform implemented under budget contraction, with explicit measurement of implementation cost, of effects on service availability at facility level, and of financial protection at household level. Country experience where purchasing parameters have been varied deliberately, such as benefit package revision within national insurance schemes (Prinja et al., 2024), provides natural experiments that are currently underexploited. This is a longer-term priority whose value increases if contraction persists.</w:t>
      </w:r>
    </w:p>
    <w:p w14:paraId="3A9CE3F9" w14:textId="77777777" w:rsidR="00975881" w:rsidRDefault="00000000" w:rsidP="00D014A5">
      <w:pPr>
        <w:spacing w:after="140" w:line="320" w:lineRule="auto"/>
        <w:jc w:val="both"/>
      </w:pPr>
      <w:r>
        <w:t xml:space="preserve">The sixth priority is economic evaluation of digital and artificial intelligence applications conducted to a defensible standard. Existing appraisal found that almost no published economic assessment in this area was methodologically complete, with infrastructure and operational costs typically omitted and </w:t>
      </w:r>
      <w:r>
        <w:lastRenderedPageBreak/>
        <w:t>alternative means of achieving the same effect rarely considered (Wolff et al., 2020). Minimum requirements are transparent inclusion of implementation, infrastructure, maintenance and retraining costs; comparison against the best available non-digital alternative rather than against no intervention; explicit specification of whether the technology substitutes for or supplements existing activity; and evaluation over horizons sufficient to capture the decay of initial effects. Given the volume of investment currently directed towards these technologies, the absence of such evaluation represents an unusually large mismatch between expenditure and evidence.</w:t>
      </w:r>
    </w:p>
    <w:p w14:paraId="2FE2ADBC" w14:textId="77777777" w:rsidR="00975881" w:rsidRDefault="00000000" w:rsidP="00D014A5">
      <w:pPr>
        <w:spacing w:after="140" w:line="320" w:lineRule="auto"/>
        <w:jc w:val="both"/>
      </w:pPr>
      <w:r>
        <w:t>The seventh priority is the distributional consequence of value-based contracting, examined as a design question rather than as a monitoring exercise. Benchmark construction has been argued to render such payment structurally regressive (Gondi et al., 2022), and differential effects on safety-net institutions have been documented (Chiu et al., 2022). What has not been done is systematic comparison of alternative benchmark and risk adjustment specifications on their distributional consequences, using simulation against real claims data followed by prospective evaluation of the specifications selected. The purpose is to establish which design choices reconcile efficiency incentives with equitable payment, a question that cannot be answered by documenting inequity after the fact.</w:t>
      </w:r>
    </w:p>
    <w:p w14:paraId="262FDCD1" w14:textId="77777777" w:rsidR="00975881" w:rsidRDefault="00000000" w:rsidP="00D014A5">
      <w:pPr>
        <w:spacing w:after="140" w:line="320" w:lineRule="auto"/>
        <w:jc w:val="both"/>
      </w:pPr>
      <w:r>
        <w:t>Table 5 consolidates these priorities, the specific gap each addresses and the design that would close it, and indicates the timescale over which each could realistically yield policy-relevant evidence. The consolidation makes visible a feature that the individual entries do not: the priorities requiring least methodological innovation are those most likely to change policy conclusions, which suggests that the binding constraint on the field is access to purchaser and provider data under evaluation-friendly governance rather than any deficiency in available analytical technique.</w:t>
      </w:r>
    </w:p>
    <w:p w14:paraId="1536F766" w14:textId="77777777" w:rsidR="00975881" w:rsidRDefault="00000000" w:rsidP="00D014A5">
      <w:pPr>
        <w:spacing w:before="240" w:after="100"/>
        <w:jc w:val="both"/>
      </w:pPr>
      <w:r>
        <w:rPr>
          <w:b/>
          <w:bCs/>
          <w:sz w:val="19"/>
          <w:szCs w:val="19"/>
        </w:rPr>
        <w:t>Table 5. Prioritised research agenda: unresolved problems, required designs and expected timescale to policy-relevant evidence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4"/>
        <w:gridCol w:w="2076"/>
        <w:gridCol w:w="2437"/>
        <w:gridCol w:w="993"/>
        <w:gridCol w:w="1986"/>
      </w:tblGrid>
      <w:tr w:rsidR="00975881" w14:paraId="5A9FB35D" w14:textId="77777777">
        <w:trPr>
          <w:tblHeader/>
        </w:trPr>
        <w:tc>
          <w:tcPr>
            <w:tcW w:w="1534" w:type="dxa"/>
            <w:shd w:val="clear" w:color="auto" w:fill="E8EDF2"/>
            <w:tcMar>
              <w:top w:w="60" w:type="dxa"/>
              <w:left w:w="90" w:type="dxa"/>
              <w:bottom w:w="60" w:type="dxa"/>
              <w:right w:w="90" w:type="dxa"/>
            </w:tcMar>
          </w:tcPr>
          <w:p w14:paraId="78BDC3BE" w14:textId="77777777" w:rsidR="00975881" w:rsidRDefault="00000000" w:rsidP="00D014A5">
            <w:pPr>
              <w:spacing w:after="20" w:line="220" w:lineRule="auto"/>
              <w:jc w:val="both"/>
            </w:pPr>
            <w:r>
              <w:rPr>
                <w:b/>
                <w:bCs/>
                <w:sz w:val="16"/>
                <w:szCs w:val="16"/>
              </w:rPr>
              <w:t>Priority</w:t>
            </w:r>
          </w:p>
        </w:tc>
        <w:tc>
          <w:tcPr>
            <w:tcW w:w="2076" w:type="dxa"/>
            <w:shd w:val="clear" w:color="auto" w:fill="E8EDF2"/>
            <w:tcMar>
              <w:top w:w="60" w:type="dxa"/>
              <w:left w:w="90" w:type="dxa"/>
              <w:bottom w:w="60" w:type="dxa"/>
              <w:right w:w="90" w:type="dxa"/>
            </w:tcMar>
          </w:tcPr>
          <w:p w14:paraId="230B3900" w14:textId="77777777" w:rsidR="00975881" w:rsidRDefault="00000000" w:rsidP="00D014A5">
            <w:pPr>
              <w:spacing w:after="20" w:line="220" w:lineRule="auto"/>
              <w:jc w:val="both"/>
            </w:pPr>
            <w:r>
              <w:rPr>
                <w:b/>
                <w:bCs/>
                <w:sz w:val="16"/>
                <w:szCs w:val="16"/>
              </w:rPr>
              <w:t>Unresolved problem</w:t>
            </w:r>
          </w:p>
        </w:tc>
        <w:tc>
          <w:tcPr>
            <w:tcW w:w="2437" w:type="dxa"/>
            <w:shd w:val="clear" w:color="auto" w:fill="E8EDF2"/>
            <w:tcMar>
              <w:top w:w="60" w:type="dxa"/>
              <w:left w:w="90" w:type="dxa"/>
              <w:bottom w:w="60" w:type="dxa"/>
              <w:right w:w="90" w:type="dxa"/>
            </w:tcMar>
          </w:tcPr>
          <w:p w14:paraId="00967AEA" w14:textId="77777777" w:rsidR="00975881" w:rsidRDefault="00000000" w:rsidP="00D014A5">
            <w:pPr>
              <w:spacing w:after="20" w:line="220" w:lineRule="auto"/>
              <w:jc w:val="both"/>
            </w:pPr>
            <w:r>
              <w:rPr>
                <w:b/>
                <w:bCs/>
                <w:sz w:val="16"/>
                <w:szCs w:val="16"/>
              </w:rPr>
              <w:t>Required design and outcome measures</w:t>
            </w:r>
          </w:p>
        </w:tc>
        <w:tc>
          <w:tcPr>
            <w:tcW w:w="993" w:type="dxa"/>
            <w:shd w:val="clear" w:color="auto" w:fill="E8EDF2"/>
            <w:tcMar>
              <w:top w:w="60" w:type="dxa"/>
              <w:left w:w="90" w:type="dxa"/>
              <w:bottom w:w="60" w:type="dxa"/>
              <w:right w:w="90" w:type="dxa"/>
            </w:tcMar>
          </w:tcPr>
          <w:p w14:paraId="27F6022E" w14:textId="77777777" w:rsidR="00975881" w:rsidRDefault="00000000" w:rsidP="00D014A5">
            <w:pPr>
              <w:spacing w:after="20" w:line="220" w:lineRule="auto"/>
              <w:jc w:val="both"/>
            </w:pPr>
            <w:r>
              <w:rPr>
                <w:b/>
                <w:bCs/>
                <w:sz w:val="16"/>
                <w:szCs w:val="16"/>
              </w:rPr>
              <w:t>Timescale</w:t>
            </w:r>
          </w:p>
        </w:tc>
        <w:tc>
          <w:tcPr>
            <w:tcW w:w="1986" w:type="dxa"/>
            <w:shd w:val="clear" w:color="auto" w:fill="E8EDF2"/>
            <w:tcMar>
              <w:top w:w="60" w:type="dxa"/>
              <w:left w:w="90" w:type="dxa"/>
              <w:bottom w:w="60" w:type="dxa"/>
              <w:right w:w="90" w:type="dxa"/>
            </w:tcMar>
          </w:tcPr>
          <w:p w14:paraId="23BE67C5" w14:textId="77777777" w:rsidR="00975881" w:rsidRDefault="00000000" w:rsidP="00D014A5">
            <w:pPr>
              <w:spacing w:after="20" w:line="220" w:lineRule="auto"/>
              <w:jc w:val="both"/>
            </w:pPr>
            <w:r>
              <w:rPr>
                <w:b/>
                <w:bCs/>
                <w:sz w:val="16"/>
                <w:szCs w:val="16"/>
              </w:rPr>
              <w:t>Supporting references</w:t>
            </w:r>
          </w:p>
        </w:tc>
      </w:tr>
      <w:tr w:rsidR="00975881" w14:paraId="0DCDE898" w14:textId="77777777">
        <w:tc>
          <w:tcPr>
            <w:tcW w:w="1534" w:type="dxa"/>
            <w:tcMar>
              <w:top w:w="60" w:type="dxa"/>
              <w:left w:w="90" w:type="dxa"/>
              <w:bottom w:w="60" w:type="dxa"/>
              <w:right w:w="90" w:type="dxa"/>
            </w:tcMar>
          </w:tcPr>
          <w:p w14:paraId="3BB0E139" w14:textId="77777777" w:rsidR="00975881" w:rsidRDefault="00000000" w:rsidP="00D014A5">
            <w:pPr>
              <w:spacing w:after="20" w:line="220" w:lineRule="auto"/>
              <w:jc w:val="both"/>
            </w:pPr>
            <w:r>
              <w:rPr>
                <w:sz w:val="16"/>
                <w:szCs w:val="16"/>
              </w:rPr>
              <w:t>Net fiscal effect inclusive of administrative cost</w:t>
            </w:r>
          </w:p>
        </w:tc>
        <w:tc>
          <w:tcPr>
            <w:tcW w:w="2076" w:type="dxa"/>
            <w:tcMar>
              <w:top w:w="60" w:type="dxa"/>
              <w:left w:w="90" w:type="dxa"/>
              <w:bottom w:w="60" w:type="dxa"/>
              <w:right w:w="90" w:type="dxa"/>
            </w:tcMar>
          </w:tcPr>
          <w:p w14:paraId="0BBD0F31" w14:textId="77777777" w:rsidR="00975881" w:rsidRDefault="00000000" w:rsidP="00D014A5">
            <w:pPr>
              <w:spacing w:after="20" w:line="220" w:lineRule="auto"/>
              <w:jc w:val="both"/>
            </w:pPr>
            <w:r>
              <w:rPr>
                <w:sz w:val="16"/>
                <w:szCs w:val="16"/>
              </w:rPr>
              <w:t>Whether value-based programmes save more than they cost to operate is unknown, while administrative complexity is the largest waste category with no identified effective intervention</w:t>
            </w:r>
          </w:p>
        </w:tc>
        <w:tc>
          <w:tcPr>
            <w:tcW w:w="2437" w:type="dxa"/>
            <w:tcMar>
              <w:top w:w="60" w:type="dxa"/>
              <w:left w:w="90" w:type="dxa"/>
              <w:bottom w:w="60" w:type="dxa"/>
              <w:right w:w="90" w:type="dxa"/>
            </w:tcMar>
          </w:tcPr>
          <w:p w14:paraId="6EFC8937" w14:textId="77777777" w:rsidR="00975881" w:rsidRDefault="00000000" w:rsidP="00D014A5">
            <w:pPr>
              <w:spacing w:after="20" w:line="220" w:lineRule="auto"/>
              <w:jc w:val="both"/>
            </w:pPr>
            <w:r>
              <w:rPr>
                <w:sz w:val="16"/>
                <w:szCs w:val="16"/>
              </w:rPr>
              <w:t>Prospective micro-costing of programme administration at purchaser and provider level, alongside outcome evaluation with consistent cost boundaries over at least five years; directly observed rather than estimated time inputs</w:t>
            </w:r>
          </w:p>
        </w:tc>
        <w:tc>
          <w:tcPr>
            <w:tcW w:w="993" w:type="dxa"/>
            <w:tcMar>
              <w:top w:w="60" w:type="dxa"/>
              <w:left w:w="90" w:type="dxa"/>
              <w:bottom w:w="60" w:type="dxa"/>
              <w:right w:w="90" w:type="dxa"/>
            </w:tcMar>
          </w:tcPr>
          <w:p w14:paraId="6928E895" w14:textId="77777777" w:rsidR="00975881" w:rsidRDefault="00000000" w:rsidP="00D014A5">
            <w:pPr>
              <w:spacing w:after="20" w:line="220" w:lineRule="auto"/>
              <w:jc w:val="both"/>
            </w:pPr>
            <w:r>
              <w:rPr>
                <w:sz w:val="16"/>
                <w:szCs w:val="16"/>
              </w:rPr>
              <w:t>Immediate to medium term</w:t>
            </w:r>
          </w:p>
        </w:tc>
        <w:tc>
          <w:tcPr>
            <w:tcW w:w="1986" w:type="dxa"/>
            <w:tcMar>
              <w:top w:w="60" w:type="dxa"/>
              <w:left w:w="90" w:type="dxa"/>
              <w:bottom w:w="60" w:type="dxa"/>
              <w:right w:w="90" w:type="dxa"/>
            </w:tcMar>
          </w:tcPr>
          <w:p w14:paraId="616F81A8" w14:textId="77777777" w:rsidR="00975881" w:rsidRDefault="00000000" w:rsidP="00D014A5">
            <w:pPr>
              <w:spacing w:after="20" w:line="220" w:lineRule="auto"/>
              <w:jc w:val="both"/>
            </w:pPr>
            <w:r>
              <w:rPr>
                <w:sz w:val="16"/>
                <w:szCs w:val="16"/>
              </w:rPr>
              <w:t>Himmelstein et al. (2020); Shakya et al. (2025); Shrank et al. (2019)</w:t>
            </w:r>
          </w:p>
        </w:tc>
      </w:tr>
      <w:tr w:rsidR="00975881" w14:paraId="2F09C2C1" w14:textId="77777777">
        <w:tc>
          <w:tcPr>
            <w:tcW w:w="1534" w:type="dxa"/>
            <w:tcMar>
              <w:top w:w="60" w:type="dxa"/>
              <w:left w:w="90" w:type="dxa"/>
              <w:bottom w:w="60" w:type="dxa"/>
              <w:right w:w="90" w:type="dxa"/>
            </w:tcMar>
          </w:tcPr>
          <w:p w14:paraId="2F60CB8A" w14:textId="77777777" w:rsidR="00975881" w:rsidRDefault="00000000" w:rsidP="00D014A5">
            <w:pPr>
              <w:spacing w:after="20" w:line="220" w:lineRule="auto"/>
              <w:jc w:val="both"/>
            </w:pPr>
            <w:r>
              <w:rPr>
                <w:sz w:val="16"/>
                <w:szCs w:val="16"/>
              </w:rPr>
              <w:t>Separating efficiency from coding response</w:t>
            </w:r>
          </w:p>
        </w:tc>
        <w:tc>
          <w:tcPr>
            <w:tcW w:w="2076" w:type="dxa"/>
            <w:tcMar>
              <w:top w:w="60" w:type="dxa"/>
              <w:left w:w="90" w:type="dxa"/>
              <w:bottom w:w="60" w:type="dxa"/>
              <w:right w:w="90" w:type="dxa"/>
            </w:tcMar>
          </w:tcPr>
          <w:p w14:paraId="2F6D2914" w14:textId="77777777" w:rsidR="00975881" w:rsidRDefault="00000000" w:rsidP="00D014A5">
            <w:pPr>
              <w:spacing w:after="20" w:line="220" w:lineRule="auto"/>
              <w:jc w:val="both"/>
            </w:pPr>
            <w:r>
              <w:rPr>
                <w:sz w:val="16"/>
                <w:szCs w:val="16"/>
              </w:rPr>
              <w:t>Expenditure evaluations cannot distinguish genuine efficiency from reclassification, and coding responds to incentive independently of clinical status</w:t>
            </w:r>
          </w:p>
        </w:tc>
        <w:tc>
          <w:tcPr>
            <w:tcW w:w="2437" w:type="dxa"/>
            <w:tcMar>
              <w:top w:w="60" w:type="dxa"/>
              <w:left w:w="90" w:type="dxa"/>
              <w:bottom w:w="60" w:type="dxa"/>
              <w:right w:w="90" w:type="dxa"/>
            </w:tcMar>
          </w:tcPr>
          <w:p w14:paraId="09CDA3BC" w14:textId="77777777" w:rsidR="00975881" w:rsidRDefault="00000000" w:rsidP="00D014A5">
            <w:pPr>
              <w:spacing w:after="20" w:line="220" w:lineRule="auto"/>
              <w:jc w:val="both"/>
            </w:pPr>
            <w:r>
              <w:rPr>
                <w:sz w:val="16"/>
                <w:szCs w:val="16"/>
              </w:rPr>
              <w:t>Expenditure evaluation paired with blinded independent validation of recorded severity on audited subsamples; reporting of bounds where validation is infeasible</w:t>
            </w:r>
          </w:p>
        </w:tc>
        <w:tc>
          <w:tcPr>
            <w:tcW w:w="993" w:type="dxa"/>
            <w:tcMar>
              <w:top w:w="60" w:type="dxa"/>
              <w:left w:w="90" w:type="dxa"/>
              <w:bottom w:w="60" w:type="dxa"/>
              <w:right w:w="90" w:type="dxa"/>
            </w:tcMar>
          </w:tcPr>
          <w:p w14:paraId="310F1101" w14:textId="77777777" w:rsidR="00975881" w:rsidRDefault="00000000" w:rsidP="00D014A5">
            <w:pPr>
              <w:spacing w:after="20" w:line="220" w:lineRule="auto"/>
              <w:jc w:val="both"/>
            </w:pPr>
            <w:r>
              <w:rPr>
                <w:sz w:val="16"/>
                <w:szCs w:val="16"/>
              </w:rPr>
              <w:t>Immediate</w:t>
            </w:r>
          </w:p>
        </w:tc>
        <w:tc>
          <w:tcPr>
            <w:tcW w:w="1986" w:type="dxa"/>
            <w:tcMar>
              <w:top w:w="60" w:type="dxa"/>
              <w:left w:w="90" w:type="dxa"/>
              <w:bottom w:w="60" w:type="dxa"/>
              <w:right w:w="90" w:type="dxa"/>
            </w:tcMar>
          </w:tcPr>
          <w:p w14:paraId="2A0C2590" w14:textId="77777777" w:rsidR="00975881" w:rsidRDefault="00000000" w:rsidP="00D014A5">
            <w:pPr>
              <w:spacing w:after="20" w:line="220" w:lineRule="auto"/>
              <w:jc w:val="both"/>
            </w:pPr>
            <w:r>
              <w:rPr>
                <w:sz w:val="16"/>
                <w:szCs w:val="16"/>
              </w:rPr>
              <w:t>Geruso and Layton (2020); Li et al. (2025); Zhou et al. (2025)</w:t>
            </w:r>
          </w:p>
        </w:tc>
      </w:tr>
      <w:tr w:rsidR="00975881" w14:paraId="14A40885" w14:textId="77777777">
        <w:tc>
          <w:tcPr>
            <w:tcW w:w="1534" w:type="dxa"/>
            <w:tcMar>
              <w:top w:w="60" w:type="dxa"/>
              <w:left w:w="90" w:type="dxa"/>
              <w:bottom w:w="60" w:type="dxa"/>
              <w:right w:w="90" w:type="dxa"/>
            </w:tcMar>
          </w:tcPr>
          <w:p w14:paraId="24813DDB" w14:textId="77777777" w:rsidR="00975881" w:rsidRDefault="00000000" w:rsidP="00D014A5">
            <w:pPr>
              <w:spacing w:after="20" w:line="220" w:lineRule="auto"/>
              <w:jc w:val="both"/>
            </w:pPr>
            <w:r>
              <w:rPr>
                <w:sz w:val="16"/>
                <w:szCs w:val="16"/>
              </w:rPr>
              <w:t>Payment reform in clinically heterogeneous conditions</w:t>
            </w:r>
          </w:p>
        </w:tc>
        <w:tc>
          <w:tcPr>
            <w:tcW w:w="2076" w:type="dxa"/>
            <w:tcMar>
              <w:top w:w="60" w:type="dxa"/>
              <w:left w:w="90" w:type="dxa"/>
              <w:bottom w:w="60" w:type="dxa"/>
              <w:right w:w="90" w:type="dxa"/>
            </w:tcMar>
          </w:tcPr>
          <w:p w14:paraId="0D2EC8F0" w14:textId="77777777" w:rsidR="00975881" w:rsidRDefault="00000000" w:rsidP="00D014A5">
            <w:pPr>
              <w:spacing w:after="20" w:line="220" w:lineRule="auto"/>
              <w:jc w:val="both"/>
            </w:pPr>
            <w:r>
              <w:rPr>
                <w:sz w:val="16"/>
                <w:szCs w:val="16"/>
              </w:rPr>
              <w:t>Savings are established for one elective procedure class and not elsewhere, while risk handling relies predominantly on patient exclusion</w:t>
            </w:r>
          </w:p>
        </w:tc>
        <w:tc>
          <w:tcPr>
            <w:tcW w:w="2437" w:type="dxa"/>
            <w:tcMar>
              <w:top w:w="60" w:type="dxa"/>
              <w:left w:w="90" w:type="dxa"/>
              <w:bottom w:w="60" w:type="dxa"/>
              <w:right w:w="90" w:type="dxa"/>
            </w:tcMar>
          </w:tcPr>
          <w:p w14:paraId="56DF5283" w14:textId="77777777" w:rsidR="00975881" w:rsidRDefault="00000000" w:rsidP="00D014A5">
            <w:pPr>
              <w:spacing w:after="20" w:line="220" w:lineRule="auto"/>
              <w:jc w:val="both"/>
            </w:pPr>
            <w:r>
              <w:rPr>
                <w:sz w:val="16"/>
                <w:szCs w:val="16"/>
              </w:rPr>
              <w:t>Mandatory participation with cluster-randomised implementation timing; pre-specified analysis of excluded populations; outcomes including cost displaced outside the episode and onto patients and families</w:t>
            </w:r>
          </w:p>
        </w:tc>
        <w:tc>
          <w:tcPr>
            <w:tcW w:w="993" w:type="dxa"/>
            <w:tcMar>
              <w:top w:w="60" w:type="dxa"/>
              <w:left w:w="90" w:type="dxa"/>
              <w:bottom w:w="60" w:type="dxa"/>
              <w:right w:w="90" w:type="dxa"/>
            </w:tcMar>
          </w:tcPr>
          <w:p w14:paraId="506D55B0" w14:textId="77777777" w:rsidR="00975881" w:rsidRDefault="00000000" w:rsidP="00D014A5">
            <w:pPr>
              <w:spacing w:after="20" w:line="220" w:lineRule="auto"/>
              <w:jc w:val="both"/>
            </w:pPr>
            <w:r>
              <w:rPr>
                <w:sz w:val="16"/>
                <w:szCs w:val="16"/>
              </w:rPr>
              <w:t>Medium term</w:t>
            </w:r>
          </w:p>
        </w:tc>
        <w:tc>
          <w:tcPr>
            <w:tcW w:w="1986" w:type="dxa"/>
            <w:tcMar>
              <w:top w:w="60" w:type="dxa"/>
              <w:left w:w="90" w:type="dxa"/>
              <w:bottom w:w="60" w:type="dxa"/>
              <w:right w:w="90" w:type="dxa"/>
            </w:tcMar>
          </w:tcPr>
          <w:p w14:paraId="0D7D2293" w14:textId="77777777" w:rsidR="00975881" w:rsidRDefault="00000000" w:rsidP="00D014A5">
            <w:pPr>
              <w:spacing w:after="20" w:line="220" w:lineRule="auto"/>
              <w:jc w:val="both"/>
            </w:pPr>
            <w:r>
              <w:rPr>
                <w:sz w:val="16"/>
                <w:szCs w:val="16"/>
              </w:rPr>
              <w:t>Agarwal et al. (2020); Hendriks et al. (2025)</w:t>
            </w:r>
          </w:p>
        </w:tc>
      </w:tr>
      <w:tr w:rsidR="00975881" w14:paraId="515508BB" w14:textId="77777777">
        <w:tc>
          <w:tcPr>
            <w:tcW w:w="1534" w:type="dxa"/>
            <w:tcMar>
              <w:top w:w="60" w:type="dxa"/>
              <w:left w:w="90" w:type="dxa"/>
              <w:bottom w:w="60" w:type="dxa"/>
              <w:right w:w="90" w:type="dxa"/>
            </w:tcMar>
          </w:tcPr>
          <w:p w14:paraId="73E782BF" w14:textId="77777777" w:rsidR="00975881" w:rsidRDefault="00000000" w:rsidP="00D014A5">
            <w:pPr>
              <w:spacing w:after="20" w:line="220" w:lineRule="auto"/>
              <w:jc w:val="both"/>
            </w:pPr>
            <w:r>
              <w:rPr>
                <w:sz w:val="16"/>
                <w:szCs w:val="16"/>
              </w:rPr>
              <w:t>Whether outcome measurement changes purchasing</w:t>
            </w:r>
          </w:p>
        </w:tc>
        <w:tc>
          <w:tcPr>
            <w:tcW w:w="2076" w:type="dxa"/>
            <w:tcMar>
              <w:top w:w="60" w:type="dxa"/>
              <w:left w:w="90" w:type="dxa"/>
              <w:bottom w:w="60" w:type="dxa"/>
              <w:right w:w="90" w:type="dxa"/>
            </w:tcMar>
          </w:tcPr>
          <w:p w14:paraId="138FCE94" w14:textId="77777777" w:rsidR="00975881" w:rsidRDefault="00000000" w:rsidP="00D014A5">
            <w:pPr>
              <w:spacing w:after="20" w:line="220" w:lineRule="auto"/>
              <w:jc w:val="both"/>
            </w:pPr>
            <w:r>
              <w:rPr>
                <w:sz w:val="16"/>
                <w:szCs w:val="16"/>
              </w:rPr>
              <w:t>Outcome collection is widely implemented but its influence on contracting and allocation decisions is undocumented</w:t>
            </w:r>
          </w:p>
        </w:tc>
        <w:tc>
          <w:tcPr>
            <w:tcW w:w="2437" w:type="dxa"/>
            <w:tcMar>
              <w:top w:w="60" w:type="dxa"/>
              <w:left w:w="90" w:type="dxa"/>
              <w:bottom w:w="60" w:type="dxa"/>
              <w:right w:w="90" w:type="dxa"/>
            </w:tcMar>
          </w:tcPr>
          <w:p w14:paraId="0EF4BA8B" w14:textId="77777777" w:rsidR="00975881" w:rsidRDefault="00000000" w:rsidP="00D014A5">
            <w:pPr>
              <w:spacing w:after="20" w:line="220" w:lineRule="auto"/>
              <w:jc w:val="both"/>
            </w:pPr>
            <w:r>
              <w:rPr>
                <w:sz w:val="16"/>
                <w:szCs w:val="16"/>
              </w:rPr>
              <w:t xml:space="preserve">Longitudinal comparative case study of purchasing organisations tracing outcome information into specific allocation decisions, with quantitative comparison of </w:t>
            </w:r>
            <w:r>
              <w:rPr>
                <w:sz w:val="16"/>
                <w:szCs w:val="16"/>
              </w:rPr>
              <w:lastRenderedPageBreak/>
              <w:t>contracting behaviour before and after implementation</w:t>
            </w:r>
          </w:p>
        </w:tc>
        <w:tc>
          <w:tcPr>
            <w:tcW w:w="993" w:type="dxa"/>
            <w:tcMar>
              <w:top w:w="60" w:type="dxa"/>
              <w:left w:w="90" w:type="dxa"/>
              <w:bottom w:w="60" w:type="dxa"/>
              <w:right w:w="90" w:type="dxa"/>
            </w:tcMar>
          </w:tcPr>
          <w:p w14:paraId="5DA51181" w14:textId="77777777" w:rsidR="00975881" w:rsidRDefault="00000000" w:rsidP="00D014A5">
            <w:pPr>
              <w:spacing w:after="20" w:line="220" w:lineRule="auto"/>
              <w:jc w:val="both"/>
            </w:pPr>
            <w:r>
              <w:rPr>
                <w:sz w:val="16"/>
                <w:szCs w:val="16"/>
              </w:rPr>
              <w:lastRenderedPageBreak/>
              <w:t>Medium term</w:t>
            </w:r>
          </w:p>
        </w:tc>
        <w:tc>
          <w:tcPr>
            <w:tcW w:w="1986" w:type="dxa"/>
            <w:tcMar>
              <w:top w:w="60" w:type="dxa"/>
              <w:left w:w="90" w:type="dxa"/>
              <w:bottom w:w="60" w:type="dxa"/>
              <w:right w:w="90" w:type="dxa"/>
            </w:tcMar>
          </w:tcPr>
          <w:p w14:paraId="209D65BF" w14:textId="77777777" w:rsidR="00975881" w:rsidRDefault="00000000" w:rsidP="00D014A5">
            <w:pPr>
              <w:spacing w:after="20" w:line="220" w:lineRule="auto"/>
              <w:jc w:val="both"/>
            </w:pPr>
            <w:r>
              <w:rPr>
                <w:sz w:val="16"/>
                <w:szCs w:val="16"/>
              </w:rPr>
              <w:t>de Mattia et al. (2024); van Staalduinen et al. (2022); Wong et al. (2022)</w:t>
            </w:r>
          </w:p>
        </w:tc>
      </w:tr>
      <w:tr w:rsidR="00975881" w14:paraId="0E59C2DF" w14:textId="77777777">
        <w:tc>
          <w:tcPr>
            <w:tcW w:w="1534" w:type="dxa"/>
            <w:tcMar>
              <w:top w:w="60" w:type="dxa"/>
              <w:left w:w="90" w:type="dxa"/>
              <w:bottom w:w="60" w:type="dxa"/>
              <w:right w:w="90" w:type="dxa"/>
            </w:tcMar>
          </w:tcPr>
          <w:p w14:paraId="463CDE8D" w14:textId="77777777" w:rsidR="00975881" w:rsidRDefault="00000000" w:rsidP="00D014A5">
            <w:pPr>
              <w:spacing w:after="20" w:line="220" w:lineRule="auto"/>
              <w:jc w:val="both"/>
            </w:pPr>
            <w:r>
              <w:rPr>
                <w:sz w:val="16"/>
                <w:szCs w:val="16"/>
              </w:rPr>
              <w:t>Purchasing reform under financing contraction</w:t>
            </w:r>
          </w:p>
        </w:tc>
        <w:tc>
          <w:tcPr>
            <w:tcW w:w="2076" w:type="dxa"/>
            <w:tcMar>
              <w:top w:w="60" w:type="dxa"/>
              <w:left w:w="90" w:type="dxa"/>
              <w:bottom w:w="60" w:type="dxa"/>
              <w:right w:w="90" w:type="dxa"/>
            </w:tcMar>
          </w:tcPr>
          <w:p w14:paraId="2832A14A" w14:textId="77777777" w:rsidR="00975881" w:rsidRDefault="00000000" w:rsidP="00D014A5">
            <w:pPr>
              <w:spacing w:after="20" w:line="220" w:lineRule="auto"/>
              <w:jc w:val="both"/>
            </w:pPr>
            <w:r>
              <w:rPr>
                <w:sz w:val="16"/>
                <w:szCs w:val="16"/>
              </w:rPr>
              <w:t>Transferability of purchasing instruments to systems facing absolute budget reduction is untested, while the required institutional investment is itself constrained</w:t>
            </w:r>
          </w:p>
        </w:tc>
        <w:tc>
          <w:tcPr>
            <w:tcW w:w="2437" w:type="dxa"/>
            <w:tcMar>
              <w:top w:w="60" w:type="dxa"/>
              <w:left w:w="90" w:type="dxa"/>
              <w:bottom w:w="60" w:type="dxa"/>
              <w:right w:w="90" w:type="dxa"/>
            </w:tcMar>
          </w:tcPr>
          <w:p w14:paraId="39625419" w14:textId="77777777" w:rsidR="00975881" w:rsidRDefault="00000000" w:rsidP="00D014A5">
            <w:pPr>
              <w:spacing w:after="20" w:line="220" w:lineRule="auto"/>
              <w:jc w:val="both"/>
            </w:pPr>
            <w:r>
              <w:rPr>
                <w:sz w:val="16"/>
                <w:szCs w:val="16"/>
              </w:rPr>
              <w:t>Prospective evaluation of purchasing reform implemented under contraction, measuring implementation cost, facility-level service availability and household financial protection; exploitation of deliberate benefit-package variation as natural experiments</w:t>
            </w:r>
          </w:p>
        </w:tc>
        <w:tc>
          <w:tcPr>
            <w:tcW w:w="993" w:type="dxa"/>
            <w:tcMar>
              <w:top w:w="60" w:type="dxa"/>
              <w:left w:w="90" w:type="dxa"/>
              <w:bottom w:w="60" w:type="dxa"/>
              <w:right w:w="90" w:type="dxa"/>
            </w:tcMar>
          </w:tcPr>
          <w:p w14:paraId="0C41101D" w14:textId="77777777" w:rsidR="00975881" w:rsidRDefault="00000000" w:rsidP="00D014A5">
            <w:pPr>
              <w:spacing w:after="20" w:line="220" w:lineRule="auto"/>
              <w:jc w:val="both"/>
            </w:pPr>
            <w:r>
              <w:rPr>
                <w:sz w:val="16"/>
                <w:szCs w:val="16"/>
              </w:rPr>
              <w:t>Longer term</w:t>
            </w:r>
          </w:p>
        </w:tc>
        <w:tc>
          <w:tcPr>
            <w:tcW w:w="1986" w:type="dxa"/>
            <w:tcMar>
              <w:top w:w="60" w:type="dxa"/>
              <w:left w:w="90" w:type="dxa"/>
              <w:bottom w:w="60" w:type="dxa"/>
              <w:right w:w="90" w:type="dxa"/>
            </w:tcMar>
          </w:tcPr>
          <w:p w14:paraId="3713D186" w14:textId="77777777" w:rsidR="00975881" w:rsidRDefault="00000000" w:rsidP="00D014A5">
            <w:pPr>
              <w:spacing w:after="20" w:line="220" w:lineRule="auto"/>
              <w:jc w:val="both"/>
            </w:pPr>
            <w:r>
              <w:rPr>
                <w:sz w:val="16"/>
                <w:szCs w:val="16"/>
              </w:rPr>
              <w:t>Apeagyei et al. (2025); Cashin and Gatome-Munyua (2022); Prinja et al. (2024)</w:t>
            </w:r>
          </w:p>
        </w:tc>
      </w:tr>
      <w:tr w:rsidR="00975881" w14:paraId="6F63956A" w14:textId="77777777">
        <w:tc>
          <w:tcPr>
            <w:tcW w:w="1534" w:type="dxa"/>
            <w:tcMar>
              <w:top w:w="60" w:type="dxa"/>
              <w:left w:w="90" w:type="dxa"/>
              <w:bottom w:w="60" w:type="dxa"/>
              <w:right w:w="90" w:type="dxa"/>
            </w:tcMar>
          </w:tcPr>
          <w:p w14:paraId="2495998A" w14:textId="77777777" w:rsidR="00975881" w:rsidRDefault="00000000" w:rsidP="00D014A5">
            <w:pPr>
              <w:spacing w:after="20" w:line="220" w:lineRule="auto"/>
              <w:jc w:val="both"/>
            </w:pPr>
            <w:r>
              <w:rPr>
                <w:sz w:val="16"/>
                <w:szCs w:val="16"/>
              </w:rPr>
              <w:t>Defensible economic evaluation of digital and analytical technologies</w:t>
            </w:r>
          </w:p>
        </w:tc>
        <w:tc>
          <w:tcPr>
            <w:tcW w:w="2076" w:type="dxa"/>
            <w:tcMar>
              <w:top w:w="60" w:type="dxa"/>
              <w:left w:w="90" w:type="dxa"/>
              <w:bottom w:w="60" w:type="dxa"/>
              <w:right w:w="90" w:type="dxa"/>
            </w:tcMar>
          </w:tcPr>
          <w:p w14:paraId="1A300346" w14:textId="77777777" w:rsidR="00975881" w:rsidRDefault="00000000" w:rsidP="00D014A5">
            <w:pPr>
              <w:spacing w:after="20" w:line="220" w:lineRule="auto"/>
              <w:jc w:val="both"/>
            </w:pPr>
            <w:r>
              <w:rPr>
                <w:sz w:val="16"/>
                <w:szCs w:val="16"/>
              </w:rPr>
              <w:t>Published economic assessments are methodologically incomplete, typically omitting infrastructure and operational cost and lacking appropriate comparators</w:t>
            </w:r>
          </w:p>
        </w:tc>
        <w:tc>
          <w:tcPr>
            <w:tcW w:w="2437" w:type="dxa"/>
            <w:tcMar>
              <w:top w:w="60" w:type="dxa"/>
              <w:left w:w="90" w:type="dxa"/>
              <w:bottom w:w="60" w:type="dxa"/>
              <w:right w:w="90" w:type="dxa"/>
            </w:tcMar>
          </w:tcPr>
          <w:p w14:paraId="3EFA5A7D" w14:textId="77777777" w:rsidR="00975881" w:rsidRDefault="00000000" w:rsidP="00D014A5">
            <w:pPr>
              <w:spacing w:after="20" w:line="220" w:lineRule="auto"/>
              <w:jc w:val="both"/>
            </w:pPr>
            <w:r>
              <w:rPr>
                <w:sz w:val="16"/>
                <w:szCs w:val="16"/>
              </w:rPr>
              <w:t>Evaluation including implementation, infrastructure, maintenance and retraining cost; comparison against the best non-digital alternative; explicit specification of substitution versus supplementation; horizons capturing effect decay</w:t>
            </w:r>
          </w:p>
        </w:tc>
        <w:tc>
          <w:tcPr>
            <w:tcW w:w="993" w:type="dxa"/>
            <w:tcMar>
              <w:top w:w="60" w:type="dxa"/>
              <w:left w:w="90" w:type="dxa"/>
              <w:bottom w:w="60" w:type="dxa"/>
              <w:right w:w="90" w:type="dxa"/>
            </w:tcMar>
          </w:tcPr>
          <w:p w14:paraId="256E40E2" w14:textId="77777777" w:rsidR="00975881" w:rsidRDefault="00000000" w:rsidP="00D014A5">
            <w:pPr>
              <w:spacing w:after="20" w:line="220" w:lineRule="auto"/>
              <w:jc w:val="both"/>
            </w:pPr>
            <w:r>
              <w:rPr>
                <w:sz w:val="16"/>
                <w:szCs w:val="16"/>
              </w:rPr>
              <w:t>Immediate to medium term</w:t>
            </w:r>
          </w:p>
        </w:tc>
        <w:tc>
          <w:tcPr>
            <w:tcW w:w="1986" w:type="dxa"/>
            <w:tcMar>
              <w:top w:w="60" w:type="dxa"/>
              <w:left w:w="90" w:type="dxa"/>
              <w:bottom w:w="60" w:type="dxa"/>
              <w:right w:w="90" w:type="dxa"/>
            </w:tcMar>
          </w:tcPr>
          <w:p w14:paraId="11BBDEEB" w14:textId="77777777" w:rsidR="00975881" w:rsidRDefault="00000000" w:rsidP="00D014A5">
            <w:pPr>
              <w:spacing w:after="20" w:line="220" w:lineRule="auto"/>
              <w:jc w:val="both"/>
            </w:pPr>
            <w:r>
              <w:rPr>
                <w:sz w:val="16"/>
                <w:szCs w:val="16"/>
              </w:rPr>
              <w:t>Ko et al. (2026); Law et al. (2024); Wolff et al. (2020)</w:t>
            </w:r>
          </w:p>
        </w:tc>
      </w:tr>
      <w:tr w:rsidR="00975881" w14:paraId="798C1E3A" w14:textId="77777777">
        <w:tc>
          <w:tcPr>
            <w:tcW w:w="1534" w:type="dxa"/>
            <w:tcMar>
              <w:top w:w="60" w:type="dxa"/>
              <w:left w:w="90" w:type="dxa"/>
              <w:bottom w:w="60" w:type="dxa"/>
              <w:right w:w="90" w:type="dxa"/>
            </w:tcMar>
          </w:tcPr>
          <w:p w14:paraId="5A67FE9D" w14:textId="77777777" w:rsidR="00975881" w:rsidRDefault="00000000" w:rsidP="00D014A5">
            <w:pPr>
              <w:spacing w:after="20" w:line="220" w:lineRule="auto"/>
              <w:jc w:val="both"/>
            </w:pPr>
            <w:r>
              <w:rPr>
                <w:sz w:val="16"/>
                <w:szCs w:val="16"/>
              </w:rPr>
              <w:t>Distributional consequences as a design question</w:t>
            </w:r>
          </w:p>
        </w:tc>
        <w:tc>
          <w:tcPr>
            <w:tcW w:w="2076" w:type="dxa"/>
            <w:tcMar>
              <w:top w:w="60" w:type="dxa"/>
              <w:left w:w="90" w:type="dxa"/>
              <w:bottom w:w="60" w:type="dxa"/>
              <w:right w:w="90" w:type="dxa"/>
            </w:tcMar>
          </w:tcPr>
          <w:p w14:paraId="629FB7A8" w14:textId="77777777" w:rsidR="00975881" w:rsidRDefault="00000000" w:rsidP="00D014A5">
            <w:pPr>
              <w:spacing w:after="20" w:line="220" w:lineRule="auto"/>
              <w:jc w:val="both"/>
            </w:pPr>
            <w:r>
              <w:rPr>
                <w:sz w:val="16"/>
                <w:szCs w:val="16"/>
              </w:rPr>
              <w:t>Benchmark construction may render value-based payment structurally regressive, and differential effects on safety-net institutions are documented but not designed against</w:t>
            </w:r>
          </w:p>
        </w:tc>
        <w:tc>
          <w:tcPr>
            <w:tcW w:w="2437" w:type="dxa"/>
            <w:tcMar>
              <w:top w:w="60" w:type="dxa"/>
              <w:left w:w="90" w:type="dxa"/>
              <w:bottom w:w="60" w:type="dxa"/>
              <w:right w:w="90" w:type="dxa"/>
            </w:tcMar>
          </w:tcPr>
          <w:p w14:paraId="24559414" w14:textId="77777777" w:rsidR="00975881" w:rsidRDefault="00000000" w:rsidP="00D014A5">
            <w:pPr>
              <w:spacing w:after="20" w:line="220" w:lineRule="auto"/>
              <w:jc w:val="both"/>
            </w:pPr>
            <w:r>
              <w:rPr>
                <w:sz w:val="16"/>
                <w:szCs w:val="16"/>
              </w:rPr>
              <w:t>Simulation of alternative benchmark and risk-adjustment specifications against real claims data, followed by prospective evaluation of selected specifications with pre-specified equity outcomes</w:t>
            </w:r>
          </w:p>
        </w:tc>
        <w:tc>
          <w:tcPr>
            <w:tcW w:w="993" w:type="dxa"/>
            <w:tcMar>
              <w:top w:w="60" w:type="dxa"/>
              <w:left w:w="90" w:type="dxa"/>
              <w:bottom w:w="60" w:type="dxa"/>
              <w:right w:w="90" w:type="dxa"/>
            </w:tcMar>
          </w:tcPr>
          <w:p w14:paraId="021E9A43" w14:textId="77777777" w:rsidR="00975881" w:rsidRDefault="00000000" w:rsidP="00D014A5">
            <w:pPr>
              <w:spacing w:after="20" w:line="220" w:lineRule="auto"/>
              <w:jc w:val="both"/>
            </w:pPr>
            <w:r>
              <w:rPr>
                <w:sz w:val="16"/>
                <w:szCs w:val="16"/>
              </w:rPr>
              <w:t>Medium term</w:t>
            </w:r>
          </w:p>
        </w:tc>
        <w:tc>
          <w:tcPr>
            <w:tcW w:w="1986" w:type="dxa"/>
            <w:tcMar>
              <w:top w:w="60" w:type="dxa"/>
              <w:left w:w="90" w:type="dxa"/>
              <w:bottom w:w="60" w:type="dxa"/>
              <w:right w:w="90" w:type="dxa"/>
            </w:tcMar>
          </w:tcPr>
          <w:p w14:paraId="6B10AB64" w14:textId="77777777" w:rsidR="00975881" w:rsidRDefault="00000000" w:rsidP="00D014A5">
            <w:pPr>
              <w:spacing w:after="20" w:line="220" w:lineRule="auto"/>
              <w:jc w:val="both"/>
            </w:pPr>
            <w:r>
              <w:rPr>
                <w:sz w:val="16"/>
                <w:szCs w:val="16"/>
              </w:rPr>
              <w:t>Chiu et al. (2022); Gondi et al. (2022)</w:t>
            </w:r>
          </w:p>
        </w:tc>
      </w:tr>
    </w:tbl>
    <w:p w14:paraId="0F70946E" w14:textId="77777777" w:rsidR="00975881" w:rsidRDefault="00000000" w:rsidP="00D014A5">
      <w:pPr>
        <w:spacing w:before="100" w:after="240"/>
        <w:jc w:val="both"/>
      </w:pPr>
      <w:r>
        <w:rPr>
          <w:i/>
          <w:iCs/>
          <w:sz w:val="16"/>
          <w:szCs w:val="16"/>
        </w:rPr>
        <w:t>Note. Priorities are ordered by the extent to which resolution would alter policy conclusions. Timescale refers to the period over which an appropriately designed programme of work could be expected to yield evidence capable of informing purchasing decisions, and assumes access to purchaser and provider data.</w:t>
      </w:r>
    </w:p>
    <w:p w14:paraId="6CFAEF17" w14:textId="77777777" w:rsidR="00975881" w:rsidRDefault="00000000" w:rsidP="00D014A5">
      <w:pPr>
        <w:pStyle w:val="Heading1"/>
        <w:spacing w:before="340" w:after="140"/>
        <w:jc w:val="both"/>
      </w:pPr>
      <w:r>
        <w:rPr>
          <w:b/>
          <w:bCs/>
          <w:color w:val="000000"/>
          <w:sz w:val="24"/>
          <w:szCs w:val="24"/>
        </w:rPr>
        <w:t>13. Conclusions</w:t>
      </w:r>
    </w:p>
    <w:p w14:paraId="71B328DC" w14:textId="77777777" w:rsidR="00975881" w:rsidRDefault="00000000" w:rsidP="00D014A5">
      <w:pPr>
        <w:spacing w:after="140" w:line="320" w:lineRule="auto"/>
        <w:jc w:val="both"/>
      </w:pPr>
      <w:r>
        <w:t>Value-based health care has succeeded as a reform vocabulary more completely than it has succeeded as a demonstrated containment strategy. The construct itself remains plural, accommodating economic, personal, technical and allocative meanings that can conflict in practice, and the resulting ambiguity means that the description of a programme as value-based conveys little about what was implemented. This is not merely a semantic difficulty. It explains a substantial part of the apparent inconsistency across the evidence base, because studies reporting on differently constructed programmes have been read as though they addressed a common intervention.</w:t>
      </w:r>
    </w:p>
    <w:p w14:paraId="01336228" w14:textId="77777777" w:rsidR="00975881" w:rsidRDefault="00000000" w:rsidP="00D014A5">
      <w:pPr>
        <w:spacing w:after="140" w:line="320" w:lineRule="auto"/>
        <w:jc w:val="both"/>
      </w:pPr>
      <w:r>
        <w:t>The evidence on specific instruments is more informative than the evidence on the agenda as a whole, and it is unevenly distributed. Spending restraint has been demonstrated with reasonable consistency for episode-based payment in lower-extremity joint replacement, for global budgeting in the single jurisdiction where it has been examined at scale, for shared savings arrangements among physician-led organisations that do not own the facilities from which savings are extracted, and for competitive off-patent pharmaceutical markets. The last of these is distinctive because it restrained expenditure while consumption rose, which is the outcome containment policy seeks and rarely obtains. Evidence is weak, contested or absent for penalty-based quality incentives, for the proposition that documented waste is substantially recoverable, for artificial intelligence as a cost-reducing technology, and for the transferability of high-income payment templates to systems lacking the purchasing institutions those templates presuppose.</w:t>
      </w:r>
    </w:p>
    <w:p w14:paraId="2B49511B" w14:textId="77777777" w:rsidR="00975881" w:rsidRDefault="00000000" w:rsidP="00D014A5">
      <w:pPr>
        <w:spacing w:after="140" w:line="320" w:lineRule="auto"/>
        <w:jc w:val="both"/>
      </w:pPr>
      <w:r>
        <w:t xml:space="preserve">Three structural findings cut across the instrument classes. Measured value is partly endogenous to the behaviour of the parties being measured, and coding response to payment incentive has been established </w:t>
      </w:r>
      <w:r>
        <w:lastRenderedPageBreak/>
        <w:t>in institutionally dissimilar systems, which means that expenditure evaluations lacking independent validation of case mix cannot separate efficiency from reclassification. Savings estimated at provider level frequently do not survive translation to payer level once incentive payments are netted out, and the two are often reported interchangeably. The largest documented category of waste, administrative complexity, is the one for which no effective intervention has been identified, and value-based contracting adds to administrative burden rather than reducing it, with the net fiscal position consequently unestablished.</w:t>
      </w:r>
    </w:p>
    <w:p w14:paraId="36B9319B" w14:textId="77777777" w:rsidR="00975881" w:rsidRDefault="00000000" w:rsidP="00D014A5">
      <w:pPr>
        <w:spacing w:after="140" w:line="320" w:lineRule="auto"/>
        <w:jc w:val="both"/>
      </w:pPr>
      <w:r>
        <w:t>The distributional dimension is not separable from the efficiency dimension. Where benchmarks and performance measures correlate with the social composition of served populations, payment adjustment transfers resources according to patient characteristics as well as provider performance, which compromises equity and the validity of measured savings simultaneously. Design choices about benchmark construction and risk adjustment are therefore technical and normative at once, and treating them as purely technical has obscured their consequences.</w:t>
      </w:r>
    </w:p>
    <w:p w14:paraId="79B0E082" w14:textId="77777777" w:rsidR="00975881" w:rsidRDefault="00000000" w:rsidP="00D014A5">
      <w:pPr>
        <w:spacing w:after="140" w:line="320" w:lineRule="auto"/>
        <w:jc w:val="both"/>
      </w:pPr>
      <w:r>
        <w:t>The defensible position is neither endorsement nor rejection. Instruments with demonstrated effects in defined circumstances should be deployed in those circumstances and evaluated as they are extended beyond them. Claims that exceed the evidence, particularly claims that efficiency gains can substitute for difficult decisions about coverage and price, should be identified as such. The field's most consequential deficiency is not an absence of ideas but an absence of evaluations designed to distinguish genuine efficiency from measurement artefact, cost displacement and favourable selection. Correcting that deficiency requires no methodological breakthrough, only the willingness of purchasers to permit evaluation on terms capable of producing an unwelcome answer.</w:t>
      </w:r>
    </w:p>
    <w:p w14:paraId="11A1D19E" w14:textId="77777777" w:rsidR="00975881" w:rsidRDefault="00000000" w:rsidP="00D014A5">
      <w:pPr>
        <w:pStyle w:val="Heading1"/>
        <w:spacing w:before="340" w:after="140"/>
        <w:jc w:val="both"/>
      </w:pPr>
      <w:r>
        <w:rPr>
          <w:b/>
          <w:bCs/>
          <w:color w:val="000000"/>
          <w:sz w:val="24"/>
          <w:szCs w:val="24"/>
        </w:rPr>
        <w:t>14. Limitations</w:t>
      </w:r>
    </w:p>
    <w:p w14:paraId="07F34D94" w14:textId="77777777" w:rsidR="00975881" w:rsidRDefault="00000000" w:rsidP="00D014A5">
      <w:pPr>
        <w:spacing w:after="140" w:line="320" w:lineRule="auto"/>
        <w:jc w:val="both"/>
      </w:pPr>
      <w:r>
        <w:t>This review is subject to the limitations intrinsic to narrative synthesis. Selection of literature was purposive and interpretive, guided by relevance to the analytical problems around which the synthesis is organised rather than by exhaustive retrieval, and a different reviewer applying the same search strategy could reasonably have assembled a different corpus and reached somewhat different emphases. The appraisal of individual studies rested on judgement informed by design-appropriate criteria rather than on a single validated instrument, and no formal risk-of-bias scoring was applied. The transparency of the search and appraisal process reduces but does not eliminate the possibility of selection and interpretive bias.</w:t>
      </w:r>
    </w:p>
    <w:p w14:paraId="1BF3DC91" w14:textId="77777777" w:rsidR="00975881" w:rsidRDefault="00000000" w:rsidP="00D014A5">
      <w:pPr>
        <w:spacing w:after="140" w:line="320" w:lineRule="auto"/>
        <w:jc w:val="both"/>
      </w:pPr>
      <w:r>
        <w:t>Several further constraints apply. Searching was confined to sources accessible without subscription, and relevant material indexed exclusively in subscription databases may not have been retrieved. Eligibility was restricted to publications in English, which is likely to have under-represented evidence from systems where health services research is published predominantly in other languages, a limitation of particular consequence for a review addressing international transferability. The evidence base is geographically concentrated, with evaluations of payment reform drawn disproportionately from a single national programme, and this concentration constrains generalisation more severely than the volume of available literature might suggest.</w:t>
      </w:r>
    </w:p>
    <w:p w14:paraId="75616A2F" w14:textId="77777777" w:rsidR="00975881" w:rsidRDefault="00000000" w:rsidP="00D014A5">
      <w:pPr>
        <w:spacing w:after="140" w:line="320" w:lineRule="auto"/>
        <w:jc w:val="both"/>
      </w:pPr>
      <w:r>
        <w:lastRenderedPageBreak/>
        <w:t>The heterogeneity of designs, comparators, outcome definitions and time horizons across the included literature precluded quantitative synthesis, and comparisons between instrument classes are consequently qualitative and vulnerable to the influence of differing measurement conventions. Much of the evidence on payment reform is observational and derived from settings with concurrent policy change, so causal attribution is weaker than the published estimates often imply. Long-term follow-up is scarce across the field, and the attenuation of effects observed where longer horizons exist suggests that the shorter-horizon literature is likely to overstate durable effects. Publication and evaluation asymmetry favouring programmes expected to succeed is probable and could not be quantified.</w:t>
      </w:r>
    </w:p>
    <w:p w14:paraId="3533802A" w14:textId="77777777" w:rsidR="00975881" w:rsidRDefault="00000000" w:rsidP="00D014A5">
      <w:pPr>
        <w:spacing w:after="140" w:line="320" w:lineRule="auto"/>
        <w:jc w:val="both"/>
      </w:pPr>
      <w:r>
        <w:t>The field is also developing rapidly, particularly in relation to digital and analytical technologies and to the consequences of the recent contraction in external health financing, and evidence published after the search period may modify the assessments offered here. Finally, cost figures drawn from different countries and periods are reported as published in their original currencies and years, without conversion to a common basis, and comparisons involving them should be read as indicative of magnitude rather than as exact equivalences.</w:t>
      </w:r>
    </w:p>
    <w:p w14:paraId="13C8A51A" w14:textId="77777777" w:rsidR="00AC27EF" w:rsidRDefault="00AC27EF" w:rsidP="00D014A5">
      <w:pPr>
        <w:jc w:val="both"/>
        <w:rPr>
          <w:b/>
        </w:rPr>
      </w:pPr>
      <w:r w:rsidRPr="000839CE">
        <w:rPr>
          <w:b/>
        </w:rPr>
        <w:t>Declaration of AI Use</w:t>
      </w:r>
    </w:p>
    <w:p w14:paraId="137281C2" w14:textId="77777777" w:rsidR="00AC27EF" w:rsidRDefault="00AC27EF" w:rsidP="00D014A5">
      <w:pPr>
        <w:jc w:val="both"/>
        <w:rPr>
          <w:b/>
        </w:rPr>
      </w:pPr>
    </w:p>
    <w:p w14:paraId="2AE8A281" w14:textId="77777777" w:rsidR="00AC27EF" w:rsidRDefault="00AC27EF" w:rsidP="00D014A5">
      <w:pPr>
        <w:jc w:val="both"/>
        <w:rPr>
          <w:b/>
        </w:rPr>
      </w:pPr>
    </w:p>
    <w:p w14:paraId="39AEFD17" w14:textId="77777777" w:rsidR="00AC27EF" w:rsidRDefault="00AC27EF" w:rsidP="00D014A5">
      <w:pPr>
        <w:jc w:val="both"/>
        <w:rPr>
          <w:b/>
        </w:rPr>
      </w:pPr>
    </w:p>
    <w:p w14:paraId="0930271D" w14:textId="77777777" w:rsidR="00AC27EF" w:rsidRPr="002D08AC" w:rsidRDefault="00AC27EF" w:rsidP="00D014A5">
      <w:pPr>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7592927" w14:textId="77777777" w:rsidR="00AC27EF" w:rsidRDefault="00AC27EF" w:rsidP="00D014A5">
      <w:pPr>
        <w:spacing w:after="140" w:line="320" w:lineRule="auto"/>
        <w:jc w:val="both"/>
      </w:pPr>
    </w:p>
    <w:p w14:paraId="528C77B0" w14:textId="77777777" w:rsidR="00975881" w:rsidRDefault="00000000" w:rsidP="00D014A5">
      <w:pPr>
        <w:pStyle w:val="Heading1"/>
        <w:spacing w:before="380" w:after="160"/>
        <w:jc w:val="both"/>
      </w:pPr>
      <w:r>
        <w:rPr>
          <w:b/>
          <w:bCs/>
          <w:color w:val="000000"/>
          <w:sz w:val="24"/>
          <w:szCs w:val="24"/>
        </w:rPr>
        <w:t>References</w:t>
      </w:r>
    </w:p>
    <w:p w14:paraId="71D86F74" w14:textId="77777777" w:rsidR="00975881" w:rsidRDefault="00000000" w:rsidP="00D014A5">
      <w:pPr>
        <w:spacing w:after="120" w:line="300" w:lineRule="auto"/>
        <w:ind w:left="720" w:hanging="720"/>
        <w:jc w:val="both"/>
      </w:pPr>
      <w:r>
        <w:t xml:space="preserve">Agarwal, R., Liao, J. M., Gupta, A., &amp; Navathe, A. S. (2020). The impact of bundled payment on health care spending, utilization, and quality: A systematic review. </w:t>
      </w:r>
      <w:r>
        <w:rPr>
          <w:i/>
          <w:iCs/>
        </w:rPr>
        <w:t>Health Affairs, 39</w:t>
      </w:r>
      <w:r>
        <w:t xml:space="preserve">(1), 50–57. </w:t>
      </w:r>
      <w:r w:rsidRPr="00252AC2">
        <w:t>https://doi.org/10.1377/hlthaff.2019.00784</w:t>
      </w:r>
    </w:p>
    <w:p w14:paraId="1738B126" w14:textId="77777777" w:rsidR="00975881" w:rsidRDefault="00000000" w:rsidP="00D014A5">
      <w:pPr>
        <w:spacing w:after="120" w:line="300" w:lineRule="auto"/>
        <w:ind w:left="720" w:hanging="720"/>
        <w:jc w:val="both"/>
      </w:pPr>
      <w:r>
        <w:t xml:space="preserve">Al-Omar, H. A., Almuhsin, A. A., Almudaiyan, L. H., Al-Najjar, A. H., Abu Esba, L. C., Almodaimegh, H., Alamre, J., Yousef, C. C., Khan, M. A., AlYahya, K., Altawil, E. S., Binjumayah, A. S., Alharbi, F. A., AlShurbaji, S. T., Maraiki, F., Espín, J., Tarricone, R., &amp; Kanavos, P. (2026). Mapping the landscape of managed entry agreements: A systematic review of global frameworks, system-level components, and implementation challenges. </w:t>
      </w:r>
      <w:r>
        <w:rPr>
          <w:i/>
          <w:iCs/>
        </w:rPr>
        <w:t>Frontiers in Pharmacology, 17</w:t>
      </w:r>
      <w:r>
        <w:t xml:space="preserve">, 1803870. </w:t>
      </w:r>
      <w:r w:rsidRPr="00252AC2">
        <w:t>https://doi.org/10.3389/fphar.2026.1803870</w:t>
      </w:r>
    </w:p>
    <w:p w14:paraId="74F0C9F4" w14:textId="77777777" w:rsidR="00975881" w:rsidRDefault="00000000" w:rsidP="00D014A5">
      <w:pPr>
        <w:spacing w:after="120" w:line="300" w:lineRule="auto"/>
        <w:ind w:left="720" w:hanging="720"/>
        <w:jc w:val="both"/>
      </w:pPr>
      <w:r>
        <w:t xml:space="preserve">Apeagyei, A. E., Bisignano, C., Elliott, H., Hay, S. I., Lidral-Porter, B., Nam, S., Shyong, C., Tsakalos, G., Zlavog, B. S., Barış, E., Murray, C. J. L., &amp; Dieleman, J. L. (2025). Tracking development assistance for health, 1990–2030: Historical trends, recent cuts, and outlook. </w:t>
      </w:r>
      <w:r>
        <w:rPr>
          <w:i/>
          <w:iCs/>
        </w:rPr>
        <w:t>The Lancet, 406</w:t>
      </w:r>
      <w:r>
        <w:t xml:space="preserve">(10501), 337–348. </w:t>
      </w:r>
      <w:r w:rsidRPr="00252AC2">
        <w:t>https://doi.org/10.1016/S0140-6736(25)01240-1</w:t>
      </w:r>
    </w:p>
    <w:p w14:paraId="54809CF6" w14:textId="77777777" w:rsidR="00975881" w:rsidRDefault="00000000" w:rsidP="00D014A5">
      <w:pPr>
        <w:spacing w:after="120" w:line="300" w:lineRule="auto"/>
        <w:ind w:left="720" w:hanging="720"/>
        <w:jc w:val="both"/>
      </w:pPr>
      <w:r>
        <w:t xml:space="preserve">Baethge, C., Goldbeck-Wood, S., &amp; Mertens, S. (2019). SANRA—a scale for the quality assessment of narrative review articles. </w:t>
      </w:r>
      <w:r>
        <w:rPr>
          <w:i/>
          <w:iCs/>
        </w:rPr>
        <w:t>Research Integrity and Peer Review, 4</w:t>
      </w:r>
      <w:r>
        <w:t xml:space="preserve">, 5. </w:t>
      </w:r>
      <w:r w:rsidRPr="00252AC2">
        <w:t>https://doi.org/10.1186/s41073-019-0064-8</w:t>
      </w:r>
    </w:p>
    <w:p w14:paraId="65126501" w14:textId="77777777" w:rsidR="00975881" w:rsidRDefault="00000000" w:rsidP="00D014A5">
      <w:pPr>
        <w:spacing w:after="120" w:line="300" w:lineRule="auto"/>
        <w:ind w:left="720" w:hanging="720"/>
        <w:jc w:val="both"/>
      </w:pPr>
      <w:r>
        <w:lastRenderedPageBreak/>
        <w:t xml:space="preserve">Barber, S. L., Mathauer, I., Rosenberg, M., Larrain, N., Liu, Y., Long, Q., Smith, A., Nappoe, S. A., &amp; Lorenzoni, L. (2025). Purchasing primary care services for quality chronic care: Capitation with performance payments in four countries. </w:t>
      </w:r>
      <w:r>
        <w:rPr>
          <w:i/>
          <w:iCs/>
        </w:rPr>
        <w:t>The International Journal of Health Planning and Management, 40</w:t>
      </w:r>
      <w:r>
        <w:t xml:space="preserve">(4), 1007–1012. </w:t>
      </w:r>
      <w:r w:rsidRPr="00252AC2">
        <w:t>https://doi.org/10.1002/hpm.3929</w:t>
      </w:r>
    </w:p>
    <w:p w14:paraId="0DB9B6D3" w14:textId="77777777" w:rsidR="00975881" w:rsidRDefault="00000000" w:rsidP="00D014A5">
      <w:pPr>
        <w:spacing w:after="120" w:line="300" w:lineRule="auto"/>
        <w:ind w:left="720" w:hanging="720"/>
        <w:jc w:val="both"/>
      </w:pPr>
      <w:r>
        <w:t xml:space="preserve">Berwick, D. M., &amp; Hackbarth, A. D. (2012). Eliminating waste in US health care. </w:t>
      </w:r>
      <w:r>
        <w:rPr>
          <w:i/>
          <w:iCs/>
        </w:rPr>
        <w:t>JAMA, 307</w:t>
      </w:r>
      <w:r>
        <w:t xml:space="preserve">(14), 1513–1516. </w:t>
      </w:r>
      <w:r w:rsidRPr="00252AC2">
        <w:t>https://doi.org/10.1001/jama.2012.362</w:t>
      </w:r>
    </w:p>
    <w:p w14:paraId="28A77FDD" w14:textId="77777777" w:rsidR="00975881" w:rsidRPr="00D014A5" w:rsidRDefault="00000000" w:rsidP="00D014A5">
      <w:pPr>
        <w:spacing w:after="120" w:line="300" w:lineRule="auto"/>
        <w:ind w:left="720" w:hanging="720"/>
        <w:jc w:val="both"/>
      </w:pPr>
      <w:r>
        <w:t xml:space="preserve">Brownlee, S., Chalkidou, K., Doust, J., Elshaug, A. G., Glasziou, P., Heath, I., Nagpal, S., Saini, V., </w:t>
      </w:r>
      <w:r w:rsidRPr="00D014A5">
        <w:t xml:space="preserve">Srivastava, D., Chalmers, K., &amp; Korenstein, D. (2017). Evidence for overuse of medical services around the world. </w:t>
      </w:r>
      <w:r w:rsidRPr="00D014A5">
        <w:rPr>
          <w:i/>
          <w:iCs/>
        </w:rPr>
        <w:t>The Lancet, 390</w:t>
      </w:r>
      <w:r w:rsidRPr="00D014A5">
        <w:t>(10090), 156–168. https://doi.org/10.1016/S0140-6736(16)32585-5</w:t>
      </w:r>
    </w:p>
    <w:p w14:paraId="3CE11881" w14:textId="77777777" w:rsidR="00975881" w:rsidRPr="00D014A5" w:rsidRDefault="00000000" w:rsidP="00D014A5">
      <w:pPr>
        <w:spacing w:after="120" w:line="300" w:lineRule="auto"/>
        <w:ind w:left="720" w:hanging="720"/>
        <w:jc w:val="both"/>
      </w:pPr>
      <w:r w:rsidRPr="00D014A5">
        <w:t xml:space="preserve">Busschaert, S.-L., Werbrouck, A., De Ridder, M., &amp; Putman, K. (2025). The application of time-driven activity-based costing in oncology: A systematic review. </w:t>
      </w:r>
      <w:r w:rsidRPr="00D014A5">
        <w:rPr>
          <w:i/>
          <w:iCs/>
        </w:rPr>
        <w:t>Value in Health, 28</w:t>
      </w:r>
      <w:r w:rsidRPr="00D014A5">
        <w:t>(4), 643–651. https://doi.org/10.1016/j.jval.2024.11.003</w:t>
      </w:r>
    </w:p>
    <w:p w14:paraId="2275D0D3" w14:textId="77777777" w:rsidR="00975881" w:rsidRPr="00D014A5" w:rsidRDefault="00000000" w:rsidP="00D014A5">
      <w:pPr>
        <w:spacing w:after="120" w:line="300" w:lineRule="auto"/>
        <w:ind w:left="720" w:hanging="720"/>
        <w:jc w:val="both"/>
      </w:pPr>
      <w:r w:rsidRPr="00D014A5">
        <w:t xml:space="preserve">Callenbach, M. H. E., van den Berg, S., Hulsbosch, A., Hollak, C. E. M., Leopold, C., Mantel-Teeuwisse, A. K., &amp; Goettsch, W. G. (2025). Drivers of managed entry agreements to reduce reimbursement challenges of orphan medicinal products: The development of a matrix. </w:t>
      </w:r>
      <w:r w:rsidRPr="00D014A5">
        <w:rPr>
          <w:i/>
          <w:iCs/>
        </w:rPr>
        <w:t>Orphanet Journal of Rare Diseases, 20</w:t>
      </w:r>
      <w:r w:rsidRPr="00D014A5">
        <w:t>(1), 540. https://doi.org/10.1186/s13023-025-04020-8</w:t>
      </w:r>
    </w:p>
    <w:p w14:paraId="1CD8FED4" w14:textId="77777777" w:rsidR="00975881" w:rsidRPr="00D014A5" w:rsidRDefault="00000000" w:rsidP="00D014A5">
      <w:pPr>
        <w:spacing w:after="120" w:line="300" w:lineRule="auto"/>
        <w:ind w:left="720" w:hanging="720"/>
        <w:jc w:val="both"/>
      </w:pPr>
      <w:r w:rsidRPr="00D014A5">
        <w:t xml:space="preserve">Cashin, C., &amp; Gatome-Munyua, A. (2022). The strategic health purchasing progress tracking framework: A practical approach to describing, assessing, and improving strategic purchasing for universal health coverage. </w:t>
      </w:r>
      <w:r w:rsidRPr="00D014A5">
        <w:rPr>
          <w:i/>
          <w:iCs/>
        </w:rPr>
        <w:t>Health Systems &amp; Reform, 8</w:t>
      </w:r>
      <w:r w:rsidRPr="00D014A5">
        <w:t>(2), e2051794. https://doi.org/10.1080/23288604.2022.2051794</w:t>
      </w:r>
    </w:p>
    <w:p w14:paraId="4BB4CC21" w14:textId="77777777" w:rsidR="00975881" w:rsidRPr="00D014A5" w:rsidRDefault="00000000" w:rsidP="00D014A5">
      <w:pPr>
        <w:spacing w:after="120" w:line="300" w:lineRule="auto"/>
        <w:ind w:left="720" w:hanging="720"/>
        <w:jc w:val="both"/>
      </w:pPr>
      <w:r w:rsidRPr="00D014A5">
        <w:t xml:space="preserve">Cattel, D., &amp; Eijkenaar, F. (2020). Value-based provider payment initiatives combining global payments with explicit quality incentives: A systematic review. </w:t>
      </w:r>
      <w:r w:rsidRPr="00D014A5">
        <w:rPr>
          <w:i/>
          <w:iCs/>
        </w:rPr>
        <w:t>Medical Care Research and Review, 77</w:t>
      </w:r>
      <w:r w:rsidRPr="00D014A5">
        <w:t>(6), 511–537. https://doi.org/10.1177/1077558719856775</w:t>
      </w:r>
    </w:p>
    <w:p w14:paraId="7207E1E8" w14:textId="77777777" w:rsidR="00975881" w:rsidRPr="00D014A5" w:rsidRDefault="00000000" w:rsidP="00D014A5">
      <w:pPr>
        <w:spacing w:after="120" w:line="300" w:lineRule="auto"/>
        <w:ind w:left="720" w:hanging="720"/>
        <w:jc w:val="both"/>
      </w:pPr>
      <w:r w:rsidRPr="00D014A5">
        <w:t xml:space="preserve">Chiu, N., Aggarwal, R., Song, Y., &amp; Wadhera, R. K. (2022). Association of the Medicare Value-Based Purchasing Program with changes in patient care experience at safety-net vs non–safety-net hospitals. </w:t>
      </w:r>
      <w:r w:rsidRPr="00D014A5">
        <w:rPr>
          <w:i/>
          <w:iCs/>
        </w:rPr>
        <w:t>JAMA Health Forum, 3</w:t>
      </w:r>
      <w:r w:rsidRPr="00D014A5">
        <w:t>(7), e221956. https://doi.org/10.1001/jamahealthforum.2022.1956</w:t>
      </w:r>
    </w:p>
    <w:p w14:paraId="33726BE8" w14:textId="77777777" w:rsidR="00975881" w:rsidRPr="00D014A5" w:rsidRDefault="00000000" w:rsidP="00D014A5">
      <w:pPr>
        <w:spacing w:after="120" w:line="300" w:lineRule="auto"/>
        <w:ind w:left="720" w:hanging="720"/>
        <w:jc w:val="both"/>
      </w:pPr>
      <w:r w:rsidRPr="00D014A5">
        <w:t xml:space="preserve">de Mattia, E., Angioletti, C., D'Agostino, M., Paoletti, F., &amp; de Belvis, A. G. (2024). Moving from principles to practice: A scoping review of value-based healthcare (VBHC) implementation strategies. </w:t>
      </w:r>
      <w:r w:rsidRPr="00D014A5">
        <w:rPr>
          <w:i/>
          <w:iCs/>
        </w:rPr>
        <w:t>Healthcare, 12</w:t>
      </w:r>
      <w:r w:rsidRPr="00D014A5">
        <w:t>(23), 2457. https://doi.org/10.3390/healthcare12232457</w:t>
      </w:r>
    </w:p>
    <w:p w14:paraId="47A2690A" w14:textId="77777777" w:rsidR="00975881" w:rsidRPr="00D014A5" w:rsidRDefault="00000000" w:rsidP="00D014A5">
      <w:pPr>
        <w:spacing w:after="120" w:line="300" w:lineRule="auto"/>
        <w:ind w:left="720" w:hanging="720"/>
        <w:jc w:val="both"/>
      </w:pPr>
      <w:r w:rsidRPr="00D014A5">
        <w:t xml:space="preserve">DiStefano, M. J., Levy, J. F., Odouard, I. C., &amp; Anderson, G. F. (2023). Estimated savings from using added therapeutic benefit and therapeutic reference pricing in United States Medicare drug price negotiations. </w:t>
      </w:r>
      <w:r w:rsidRPr="00D014A5">
        <w:rPr>
          <w:i/>
          <w:iCs/>
        </w:rPr>
        <w:t>Value in Health, 26</w:t>
      </w:r>
      <w:r w:rsidRPr="00D014A5">
        <w:t>(11), 1618–1624. https://doi.org/10.1016/j.jval.2023.08.004</w:t>
      </w:r>
    </w:p>
    <w:p w14:paraId="3CA48298" w14:textId="77777777" w:rsidR="004D74B3" w:rsidRPr="00D014A5" w:rsidRDefault="00000000" w:rsidP="00D014A5">
      <w:pPr>
        <w:spacing w:after="120" w:line="300" w:lineRule="auto"/>
        <w:ind w:left="720" w:hanging="720"/>
        <w:jc w:val="both"/>
      </w:pPr>
      <w:r w:rsidRPr="00D014A5">
        <w:rPr>
          <w:highlight w:val="yellow"/>
        </w:rPr>
        <w:t xml:space="preserve">Douglas, A. O., Senkaiahliyan, S., Bulstra, C. A., Mita, C., Reddy, C. L., &amp; Atun, R. (2025). Global adoption of value-based health care initiatives within health systems: A scoping review. </w:t>
      </w:r>
      <w:r w:rsidRPr="00D014A5">
        <w:rPr>
          <w:i/>
          <w:iCs/>
          <w:highlight w:val="yellow"/>
        </w:rPr>
        <w:t>JAMA Health Forum, 6</w:t>
      </w:r>
      <w:r w:rsidRPr="00D014A5">
        <w:rPr>
          <w:highlight w:val="yellow"/>
        </w:rPr>
        <w:t>(5), e250746. https://doi.org/10.1001/jamahealthforum.2025.0746</w:t>
      </w:r>
    </w:p>
    <w:p w14:paraId="0E32D285" w14:textId="77777777" w:rsidR="00975881" w:rsidRPr="00D014A5" w:rsidRDefault="00000000" w:rsidP="00D014A5">
      <w:pPr>
        <w:spacing w:after="120" w:line="300" w:lineRule="auto"/>
        <w:ind w:left="720" w:hanging="720"/>
        <w:jc w:val="both"/>
      </w:pPr>
      <w:r w:rsidRPr="00D014A5">
        <w:t xml:space="preserve">Elshaug, A. G., Rosenthal, M. B., Lavis, J. N., Brownlee, S., Schmidt, H., Nagpal, S., Littlejohns, P., Srivastava, D., Tunis, S., &amp; Saini, V. (2017). Levers for addressing medical underuse and </w:t>
      </w:r>
      <w:r w:rsidRPr="00D014A5">
        <w:lastRenderedPageBreak/>
        <w:t xml:space="preserve">overuse: Achieving high-value health care. </w:t>
      </w:r>
      <w:r w:rsidRPr="00D014A5">
        <w:rPr>
          <w:i/>
          <w:iCs/>
        </w:rPr>
        <w:t>The Lancet, 390</w:t>
      </w:r>
      <w:r w:rsidRPr="00D014A5">
        <w:t>(10090), 191–202. https://doi.org/10.1016/S0140-6736(16)32586-7</w:t>
      </w:r>
    </w:p>
    <w:p w14:paraId="4EC2EEDD" w14:textId="77777777" w:rsidR="00975881" w:rsidRPr="00D014A5" w:rsidRDefault="00000000" w:rsidP="00D014A5">
      <w:pPr>
        <w:spacing w:after="120" w:line="300" w:lineRule="auto"/>
        <w:ind w:left="720" w:hanging="720"/>
        <w:jc w:val="both"/>
      </w:pPr>
      <w:r w:rsidRPr="00D014A5">
        <w:t xml:space="preserve">Furtado, K. M., Raza, A., Mathur, D., Vaz, N., Agrawal, R., &amp; Shroff, Z. C. (2022). The trust and insurance models of healthcare purchasing in the Ayushman Bharat Pradhan Mantri Jan Arogya Yojana in India: Early findings from case studies of two states. </w:t>
      </w:r>
      <w:r w:rsidRPr="00D014A5">
        <w:rPr>
          <w:i/>
          <w:iCs/>
        </w:rPr>
        <w:t>BMC Health Services Research, 22</w:t>
      </w:r>
      <w:r w:rsidRPr="00D014A5">
        <w:t>(1), 1056. https://doi.org/10.1186/s12913-022-08407-2</w:t>
      </w:r>
    </w:p>
    <w:p w14:paraId="2752771E" w14:textId="77777777" w:rsidR="00975881" w:rsidRPr="00D014A5" w:rsidRDefault="00000000" w:rsidP="00D014A5">
      <w:pPr>
        <w:spacing w:after="120" w:line="300" w:lineRule="auto"/>
        <w:ind w:left="720" w:hanging="720"/>
        <w:jc w:val="both"/>
      </w:pPr>
      <w:r w:rsidRPr="00D014A5">
        <w:t xml:space="preserve">Geruso, M., &amp; Layton, T. (2020). Upcoding: Evidence from Medicare on squishy risk adjustment. </w:t>
      </w:r>
      <w:r w:rsidRPr="00D014A5">
        <w:rPr>
          <w:i/>
          <w:iCs/>
        </w:rPr>
        <w:t>Journal of Political Economy, 128</w:t>
      </w:r>
      <w:r w:rsidRPr="00D014A5">
        <w:t>(3), 984–1026. https://doi.org/10.1086/704756</w:t>
      </w:r>
    </w:p>
    <w:p w14:paraId="21B083C8" w14:textId="77777777" w:rsidR="00975881" w:rsidRPr="00D014A5" w:rsidRDefault="00000000" w:rsidP="00D014A5">
      <w:pPr>
        <w:spacing w:after="120" w:line="300" w:lineRule="auto"/>
        <w:ind w:left="720" w:hanging="720"/>
        <w:jc w:val="both"/>
      </w:pPr>
      <w:r w:rsidRPr="00D014A5">
        <w:t xml:space="preserve">Global Burden of Disease Health Financing Collaborator Network. (2019). Past, present, and future of global health financing: A review of development assistance, government, out-of-pocket, and other private spending on health for 195 countries, 1995–2050. </w:t>
      </w:r>
      <w:r w:rsidRPr="00D014A5">
        <w:rPr>
          <w:i/>
          <w:iCs/>
        </w:rPr>
        <w:t>The Lancet, 393</w:t>
      </w:r>
      <w:r w:rsidRPr="00D014A5">
        <w:t>(10187), 2233–2260. https://doi.org/10.1016/S0140-6736(19)30841-4</w:t>
      </w:r>
    </w:p>
    <w:p w14:paraId="0BBC46E2" w14:textId="77777777" w:rsidR="00975881" w:rsidRPr="00D014A5" w:rsidRDefault="00000000" w:rsidP="00D014A5">
      <w:pPr>
        <w:spacing w:after="120" w:line="300" w:lineRule="auto"/>
        <w:ind w:left="720" w:hanging="720"/>
        <w:jc w:val="both"/>
      </w:pPr>
      <w:r w:rsidRPr="00D014A5">
        <w:t xml:space="preserve">Gondi, S., Joynt Maddox, K., &amp; Wadhera, R. K. (2022). “REACHing” for equity: Moving from regressive toward progressive value-based payment. </w:t>
      </w:r>
      <w:r w:rsidRPr="00D014A5">
        <w:rPr>
          <w:i/>
          <w:iCs/>
        </w:rPr>
        <w:t>New England Journal of Medicine, 387</w:t>
      </w:r>
      <w:r w:rsidRPr="00D014A5">
        <w:t>(2), 97–99. https://doi.org/10.1056/NEJMp2204749</w:t>
      </w:r>
    </w:p>
    <w:p w14:paraId="50F7FA8E" w14:textId="77777777" w:rsidR="00975881" w:rsidRPr="00D014A5" w:rsidRDefault="00000000" w:rsidP="00D014A5">
      <w:pPr>
        <w:spacing w:after="120" w:line="300" w:lineRule="auto"/>
        <w:ind w:left="720" w:hanging="720"/>
        <w:jc w:val="both"/>
      </w:pPr>
      <w:r w:rsidRPr="00D014A5">
        <w:t xml:space="preserve">Greenhalgh, T., Thorne, S., &amp; Malterud, K. (2018). Time to challenge the spurious hierarchy of systematic over narrative reviews? </w:t>
      </w:r>
      <w:r w:rsidRPr="00D014A5">
        <w:rPr>
          <w:i/>
          <w:iCs/>
        </w:rPr>
        <w:t>European Journal of Clinical Investigation, 48</w:t>
      </w:r>
      <w:r w:rsidRPr="00D014A5">
        <w:t>(6), e12931. https://doi.org/10.1111/eci.12931</w:t>
      </w:r>
    </w:p>
    <w:p w14:paraId="54540B1A" w14:textId="77777777" w:rsidR="00975881" w:rsidRPr="00D014A5" w:rsidRDefault="00000000" w:rsidP="00D014A5">
      <w:pPr>
        <w:spacing w:after="120" w:line="300" w:lineRule="auto"/>
        <w:ind w:left="720" w:hanging="720"/>
        <w:jc w:val="both"/>
      </w:pPr>
      <w:r w:rsidRPr="00D014A5">
        <w:t xml:space="preserve">Groenewoud, A. S., Westert, G. P., &amp; Kremer, J. A. M. (2019). Value based competition in health care's ethical drawbacks and the need for a values-driven approach. </w:t>
      </w:r>
      <w:r w:rsidRPr="00D014A5">
        <w:rPr>
          <w:i/>
          <w:iCs/>
        </w:rPr>
        <w:t>BMC Health Services Research, 19</w:t>
      </w:r>
      <w:r w:rsidRPr="00D014A5">
        <w:t>(1), 256. https://doi.org/10.1186/s12913-019-4081-6</w:t>
      </w:r>
    </w:p>
    <w:p w14:paraId="373AC567" w14:textId="77777777" w:rsidR="00975881" w:rsidRPr="00D014A5" w:rsidRDefault="00000000" w:rsidP="00D014A5">
      <w:pPr>
        <w:spacing w:after="120" w:line="300" w:lineRule="auto"/>
        <w:ind w:left="720" w:hanging="720"/>
        <w:jc w:val="both"/>
      </w:pPr>
      <w:r w:rsidRPr="00D014A5">
        <w:t xml:space="preserve">Guzman, J., Fan, V. Y., &amp; Baker, P. (2023). The future of health technology assessment in low- and middle-income countries. </w:t>
      </w:r>
      <w:r w:rsidRPr="00D014A5">
        <w:rPr>
          <w:i/>
          <w:iCs/>
        </w:rPr>
        <w:t>Health Systems &amp; Reform, 9</w:t>
      </w:r>
      <w:r w:rsidRPr="00D014A5">
        <w:t>(3), 2400399. https://doi.org/10.1080/23288604.2024.2400399</w:t>
      </w:r>
    </w:p>
    <w:p w14:paraId="64B3DBE7" w14:textId="77777777" w:rsidR="00975881" w:rsidRPr="00D014A5" w:rsidRDefault="00000000" w:rsidP="00D014A5">
      <w:pPr>
        <w:spacing w:after="120" w:line="300" w:lineRule="auto"/>
        <w:ind w:left="720" w:hanging="720"/>
        <w:jc w:val="both"/>
      </w:pPr>
      <w:r w:rsidRPr="00D014A5">
        <w:t xml:space="preserve">Hampson, G., Towse, A., Pearson, S. D., Dreitlein, W. B., &amp; Henshall, C. (2018). Gene therapy: Evidence, value and affordability in the US health care system. </w:t>
      </w:r>
      <w:r w:rsidRPr="00D014A5">
        <w:rPr>
          <w:i/>
          <w:iCs/>
        </w:rPr>
        <w:t>Journal of Comparative Effectiveness Research, 7</w:t>
      </w:r>
      <w:r w:rsidRPr="00D014A5">
        <w:t>(1), 15–28. https://doi.org/10.2217/cer-2017-0068</w:t>
      </w:r>
    </w:p>
    <w:p w14:paraId="630824CD" w14:textId="77777777" w:rsidR="00975881" w:rsidRPr="00D014A5" w:rsidRDefault="00000000" w:rsidP="00D014A5">
      <w:pPr>
        <w:spacing w:after="120" w:line="300" w:lineRule="auto"/>
        <w:ind w:left="720" w:hanging="720"/>
        <w:jc w:val="both"/>
      </w:pPr>
      <w:r w:rsidRPr="00D014A5">
        <w:t xml:space="preserve">Hanson, K., Barasa, E., Honda, A., Panichkriangkrai, W., &amp; Patcharanarumol, W. (2019). Strategic purchasing: The neglected health financing function for pursuing universal health coverage in low- and middle-income countries. </w:t>
      </w:r>
      <w:r w:rsidRPr="00D014A5">
        <w:rPr>
          <w:i/>
          <w:iCs/>
        </w:rPr>
        <w:t>International Journal of Health Policy and Management, 8</w:t>
      </w:r>
      <w:r w:rsidRPr="00D014A5">
        <w:t>(8), 501–504. https://doi.org/10.15171/ijhpm.2019.34</w:t>
      </w:r>
    </w:p>
    <w:p w14:paraId="4A78BE4A" w14:textId="77777777" w:rsidR="00975881" w:rsidRPr="00D014A5" w:rsidRDefault="00000000" w:rsidP="00D014A5">
      <w:pPr>
        <w:spacing w:after="120" w:line="300" w:lineRule="auto"/>
        <w:ind w:left="720" w:hanging="720"/>
        <w:jc w:val="both"/>
      </w:pPr>
      <w:r w:rsidRPr="00D014A5">
        <w:t xml:space="preserve">Hendriks, C. M. R., Koster, F., Cattel, D., Kok, M. R., Weel-Koenders, A. E. A. M., Barreto, D. L., &amp; Eijkenaar, F. (2025). How do bundled payment initiatives account for differences in patient risk profiles? A systematic review. </w:t>
      </w:r>
      <w:r w:rsidRPr="00D014A5">
        <w:rPr>
          <w:i/>
          <w:iCs/>
        </w:rPr>
        <w:t>Value in Health, 28</w:t>
      </w:r>
      <w:r w:rsidRPr="00D014A5">
        <w:t>(4), 652–669. https://doi.org/10.1016/j.jval.2024.11.011</w:t>
      </w:r>
    </w:p>
    <w:p w14:paraId="1528F35A" w14:textId="77777777" w:rsidR="00975881" w:rsidRPr="00D014A5" w:rsidRDefault="00000000" w:rsidP="00D014A5">
      <w:pPr>
        <w:spacing w:after="120" w:line="300" w:lineRule="auto"/>
        <w:ind w:left="720" w:hanging="720"/>
        <w:jc w:val="both"/>
      </w:pPr>
      <w:r w:rsidRPr="00D014A5">
        <w:t xml:space="preserve">Himmelstein, D. U., Campbell, T., &amp; Woolhandler, S. (2020). Health care administrative costs in the United States and Canada, 2017. </w:t>
      </w:r>
      <w:r w:rsidRPr="00D014A5">
        <w:rPr>
          <w:i/>
          <w:iCs/>
        </w:rPr>
        <w:t>Annals of Internal Medicine, 172</w:t>
      </w:r>
      <w:r w:rsidRPr="00D014A5">
        <w:t>(2), 134–142. https://doi.org/10.7326/M19-2818</w:t>
      </w:r>
    </w:p>
    <w:p w14:paraId="5F0C8EB2" w14:textId="77777777" w:rsidR="00975881" w:rsidRPr="00D014A5" w:rsidRDefault="00000000" w:rsidP="00D014A5">
      <w:pPr>
        <w:spacing w:after="120" w:line="300" w:lineRule="auto"/>
        <w:ind w:left="720" w:hanging="720"/>
        <w:jc w:val="both"/>
      </w:pPr>
      <w:r w:rsidRPr="00D014A5">
        <w:lastRenderedPageBreak/>
        <w:t xml:space="preserve">Ho, L., Mercer, S. W., Henderson, D., Donaghy, E., &amp; Guthrie, B. (2025). Effect of UK Quality and Outcomes Framework pay-for-performance programme on quality of primary care: Systematic review with quantitative synthesis. </w:t>
      </w:r>
      <w:r w:rsidRPr="00D014A5">
        <w:rPr>
          <w:i/>
          <w:iCs/>
        </w:rPr>
        <w:t>BMJ, 389</w:t>
      </w:r>
      <w:r w:rsidRPr="00D014A5">
        <w:t>, e083424. https://doi.org/10.1136/bmj-2024-083424</w:t>
      </w:r>
    </w:p>
    <w:p w14:paraId="7FCB3C0B" w14:textId="77777777" w:rsidR="00975881" w:rsidRPr="00D014A5" w:rsidRDefault="00000000" w:rsidP="00D014A5">
      <w:pPr>
        <w:spacing w:after="120" w:line="300" w:lineRule="auto"/>
        <w:ind w:left="720" w:hanging="720"/>
        <w:jc w:val="both"/>
      </w:pPr>
      <w:r w:rsidRPr="00D014A5">
        <w:t xml:space="preserve">Ingvarsson, S., Hasson, H., von Thiele Schwarz, U., Nilsen, P., Powell, B. J., Lindberg, C., &amp; Augustsson, H. (2022). Strategies for de-implementation of low-value care: A scoping review. </w:t>
      </w:r>
      <w:r w:rsidRPr="00D014A5">
        <w:rPr>
          <w:i/>
          <w:iCs/>
        </w:rPr>
        <w:t>Implementation Science, 17</w:t>
      </w:r>
      <w:r w:rsidRPr="00D014A5">
        <w:t>(1), 73. https://doi.org/10.1186/s13012-022-01247-y</w:t>
      </w:r>
    </w:p>
    <w:p w14:paraId="32CB7C17" w14:textId="77777777" w:rsidR="00975881" w:rsidRPr="00D014A5" w:rsidRDefault="00000000" w:rsidP="00D014A5">
      <w:pPr>
        <w:spacing w:after="120" w:line="300" w:lineRule="auto"/>
        <w:ind w:left="720" w:hanging="720"/>
        <w:jc w:val="both"/>
      </w:pPr>
      <w:r w:rsidRPr="00D014A5">
        <w:t xml:space="preserve">Jiang, B., Zhou, R. J., &amp; Feng, X. L. (2022). The impact of the reference pricing policy in China on drug procurement and cost. </w:t>
      </w:r>
      <w:r w:rsidRPr="00D014A5">
        <w:rPr>
          <w:i/>
          <w:iCs/>
        </w:rPr>
        <w:t>Health Policy and Planning, 37</w:t>
      </w:r>
      <w:r w:rsidRPr="00D014A5">
        <w:t>(1), 73–99. https://doi.org/10.1093/heapol/czab012</w:t>
      </w:r>
    </w:p>
    <w:p w14:paraId="43644F34" w14:textId="77777777" w:rsidR="00975881" w:rsidRPr="00D014A5" w:rsidRDefault="00000000" w:rsidP="00D014A5">
      <w:pPr>
        <w:spacing w:after="120" w:line="300" w:lineRule="auto"/>
        <w:ind w:left="720" w:hanging="720"/>
        <w:jc w:val="both"/>
      </w:pPr>
      <w:r w:rsidRPr="00D014A5">
        <w:t xml:space="preserve">Jiang, W., Lu, S., Xie, C., Shu, Q., &amp; Song, G. (2026). The connotations of value-based healthcare: Interpretive perspectives and differences in perceptions. </w:t>
      </w:r>
      <w:r w:rsidRPr="00D014A5">
        <w:rPr>
          <w:i/>
          <w:iCs/>
        </w:rPr>
        <w:t>Frontiers in Public Health, 14</w:t>
      </w:r>
      <w:r w:rsidRPr="00D014A5">
        <w:t>, 1866891. https://doi.org/10.3389/fpubh.2026.1866891</w:t>
      </w:r>
    </w:p>
    <w:p w14:paraId="7A3F575A" w14:textId="77777777" w:rsidR="004D74B3" w:rsidRPr="00D014A5" w:rsidRDefault="00000000" w:rsidP="00D014A5">
      <w:pPr>
        <w:spacing w:after="120" w:line="300" w:lineRule="auto"/>
        <w:ind w:left="720" w:hanging="720"/>
        <w:jc w:val="both"/>
      </w:pPr>
      <w:r w:rsidRPr="00D014A5">
        <w:rPr>
          <w:highlight w:val="yellow"/>
        </w:rPr>
        <w:t xml:space="preserve">Khalil, H., Ameen, M., Davies, C., &amp; Liu, C. (2025). Implementing value-based healthcare: A scoping review of key elements, outcomes, and challenges for sustainable healthcare systems. </w:t>
      </w:r>
      <w:r w:rsidRPr="00D014A5">
        <w:rPr>
          <w:i/>
          <w:iCs/>
          <w:highlight w:val="yellow"/>
        </w:rPr>
        <w:t>Frontiers in Public Health, 13</w:t>
      </w:r>
      <w:r w:rsidRPr="00D014A5">
        <w:rPr>
          <w:highlight w:val="yellow"/>
        </w:rPr>
        <w:t>, 1514098. https://doi.org/10.3389/fpubh.2025.1514098</w:t>
      </w:r>
    </w:p>
    <w:p w14:paraId="6B071340" w14:textId="77777777" w:rsidR="00975881" w:rsidRPr="00D014A5" w:rsidRDefault="00000000" w:rsidP="00D014A5">
      <w:pPr>
        <w:spacing w:after="120" w:line="300" w:lineRule="auto"/>
        <w:ind w:left="720" w:hanging="720"/>
        <w:jc w:val="both"/>
      </w:pPr>
      <w:r w:rsidRPr="00D014A5">
        <w:t xml:space="preserve">Ko, D.-G., Tachinardi, U., Warm, E. J., &amp; Kissela, B. M. (2026). Leveraging AI-enabled learning health systems to advance value-based health care: A conceptual framework. </w:t>
      </w:r>
      <w:r w:rsidRPr="00D014A5">
        <w:rPr>
          <w:i/>
          <w:iCs/>
        </w:rPr>
        <w:t>Health Care Management Review, 51</w:t>
      </w:r>
      <w:r w:rsidRPr="00D014A5">
        <w:t>(2), 151–161. https://doi.org/10.1097/HMR.0000000000000472</w:t>
      </w:r>
    </w:p>
    <w:p w14:paraId="097A6C53" w14:textId="77777777" w:rsidR="00975881" w:rsidRPr="00D014A5" w:rsidRDefault="00000000" w:rsidP="00D014A5">
      <w:pPr>
        <w:spacing w:after="120" w:line="300" w:lineRule="auto"/>
        <w:ind w:left="720" w:hanging="720"/>
        <w:jc w:val="both"/>
      </w:pPr>
      <w:r w:rsidRPr="00D014A5">
        <w:t xml:space="preserve">Kutzin, J. (2013). Health financing for universal coverage and health system performance: Concepts and implications for policy. </w:t>
      </w:r>
      <w:r w:rsidRPr="00D014A5">
        <w:rPr>
          <w:i/>
          <w:iCs/>
        </w:rPr>
        <w:t>Bulletin of the World Health Organization, 91</w:t>
      </w:r>
      <w:r w:rsidRPr="00D014A5">
        <w:t>(8), 602–611. https://doi.org/10.2471/BLT.12.113985</w:t>
      </w:r>
    </w:p>
    <w:p w14:paraId="389A592F" w14:textId="77777777" w:rsidR="00975881" w:rsidRPr="00D014A5" w:rsidRDefault="00000000" w:rsidP="00D014A5">
      <w:pPr>
        <w:spacing w:after="120" w:line="300" w:lineRule="auto"/>
        <w:ind w:left="720" w:hanging="720"/>
        <w:jc w:val="both"/>
      </w:pPr>
      <w:r w:rsidRPr="00D014A5">
        <w:t xml:space="preserve">Law, L., Kelly, J. T., Savill, H., Wallen, M. P., Hickman, I. J., Erku, D., &amp; Mayr, H. L. (2024). Cost-effectiveness of telehealth-delivered diet and exercise interventions: A systematic review. </w:t>
      </w:r>
      <w:r w:rsidRPr="00D014A5">
        <w:rPr>
          <w:i/>
          <w:iCs/>
        </w:rPr>
        <w:t>Journal of Telemedicine and Telecare, 30</w:t>
      </w:r>
      <w:r w:rsidRPr="00D014A5">
        <w:t>(3), 420–437. https://doi.org/10.1177/1357633X211070721</w:t>
      </w:r>
    </w:p>
    <w:p w14:paraId="145C4049" w14:textId="77777777" w:rsidR="004D74B3" w:rsidRPr="00D014A5" w:rsidRDefault="00000000" w:rsidP="00D014A5">
      <w:pPr>
        <w:spacing w:after="120" w:line="300" w:lineRule="auto"/>
        <w:ind w:left="720" w:hanging="720"/>
        <w:jc w:val="both"/>
      </w:pPr>
      <w:r w:rsidRPr="00D014A5">
        <w:rPr>
          <w:highlight w:val="yellow"/>
        </w:rPr>
        <w:t xml:space="preserve">Leao, D. L. L., Moers, L. A. M., Cremers, H.-P., van Veghel, D., Groot, W., &amp; Pavlova, M. (2025). Design, implementation and evaluation of value-based payment models: A Delphi study. </w:t>
      </w:r>
      <w:r w:rsidRPr="00D014A5">
        <w:rPr>
          <w:i/>
          <w:iCs/>
          <w:highlight w:val="yellow"/>
        </w:rPr>
        <w:t>BMC Health Services Research, 25</w:t>
      </w:r>
      <w:r w:rsidRPr="00D014A5">
        <w:rPr>
          <w:highlight w:val="yellow"/>
        </w:rPr>
        <w:t>, 116. https://doi.org/10.1186/s12913-025-12281-z</w:t>
      </w:r>
    </w:p>
    <w:p w14:paraId="321AECB0" w14:textId="77777777" w:rsidR="00975881" w:rsidRPr="00D014A5" w:rsidRDefault="00000000" w:rsidP="00D014A5">
      <w:pPr>
        <w:spacing w:after="120" w:line="300" w:lineRule="auto"/>
        <w:ind w:left="720" w:hanging="720"/>
        <w:jc w:val="both"/>
      </w:pPr>
      <w:r w:rsidRPr="00D014A5">
        <w:t xml:space="preserve">Levinson, W., Born, K., Franco, J. V. A., &amp; Kopitowski, K. S. (2025). Top 15 Choosing Wisely international campaign recommendations to reduce low-value care. </w:t>
      </w:r>
      <w:r w:rsidRPr="00D014A5">
        <w:rPr>
          <w:i/>
          <w:iCs/>
        </w:rPr>
        <w:t>BMJ Evidence-Based Medicine, 30</w:t>
      </w:r>
      <w:r w:rsidRPr="00D014A5">
        <w:t>(5), 355–357. https://doi.org/10.1136/bmjebm-2025-113804</w:t>
      </w:r>
    </w:p>
    <w:p w14:paraId="4DF6F04E" w14:textId="77777777" w:rsidR="00975881" w:rsidRPr="00D014A5" w:rsidRDefault="00000000" w:rsidP="00D014A5">
      <w:pPr>
        <w:spacing w:after="120" w:line="300" w:lineRule="auto"/>
        <w:ind w:left="720" w:hanging="720"/>
        <w:jc w:val="both"/>
      </w:pPr>
      <w:r w:rsidRPr="00D014A5">
        <w:t xml:space="preserve">Li, L., Yang, W., Tang, X., Zeng, S., Liu, X., &amp; Dong, S. (2025). The impacts of the diagnosis-related group payment reform on hospitalization-related medical expenses: Evidence from China. </w:t>
      </w:r>
      <w:r w:rsidRPr="00D014A5">
        <w:rPr>
          <w:i/>
          <w:iCs/>
        </w:rPr>
        <w:t>Health Economics Review, 15</w:t>
      </w:r>
      <w:r w:rsidRPr="00D014A5">
        <w:t>(1), 94. https://doi.org/10.1186/s13561-025-00687-8</w:t>
      </w:r>
    </w:p>
    <w:p w14:paraId="156DCE69" w14:textId="77777777" w:rsidR="00975881" w:rsidRPr="00D014A5" w:rsidRDefault="00000000" w:rsidP="00D014A5">
      <w:pPr>
        <w:spacing w:after="120" w:line="300" w:lineRule="auto"/>
        <w:ind w:left="720" w:hanging="720"/>
        <w:jc w:val="both"/>
      </w:pPr>
      <w:r w:rsidRPr="00D014A5">
        <w:t xml:space="preserve">McWilliams, J. M., Hatfield, L. A., Landon, B. E., Hamed, P., &amp; Chernew, M. E. (2018). Medicare spending after 3 years of the Medicare Shared Savings Program. </w:t>
      </w:r>
      <w:r w:rsidRPr="00D014A5">
        <w:rPr>
          <w:i/>
          <w:iCs/>
        </w:rPr>
        <w:t>New England Journal of Medicine, 379</w:t>
      </w:r>
      <w:r w:rsidRPr="00D014A5">
        <w:t>(12), 1139–1149. https://doi.org/10.1056/NEJMsa1803388</w:t>
      </w:r>
    </w:p>
    <w:p w14:paraId="30943F1A" w14:textId="77777777" w:rsidR="004D74B3" w:rsidRPr="00D014A5" w:rsidRDefault="00000000" w:rsidP="00D014A5">
      <w:pPr>
        <w:spacing w:after="120" w:line="300" w:lineRule="auto"/>
        <w:ind w:left="720" w:hanging="720"/>
        <w:jc w:val="both"/>
      </w:pPr>
      <w:r w:rsidRPr="00D014A5">
        <w:rPr>
          <w:highlight w:val="yellow"/>
        </w:rPr>
        <w:lastRenderedPageBreak/>
        <w:t xml:space="preserve">Moreira, A., &amp; Crispim, J. (2026). The VBHC big picture: An umbrella review. </w:t>
      </w:r>
      <w:r w:rsidRPr="00D014A5">
        <w:rPr>
          <w:i/>
          <w:iCs/>
          <w:highlight w:val="yellow"/>
        </w:rPr>
        <w:t>BMC Health Services Research, 26</w:t>
      </w:r>
      <w:r w:rsidRPr="00D014A5">
        <w:rPr>
          <w:highlight w:val="yellow"/>
        </w:rPr>
        <w:t>, 28. https://doi.org/10.1186/s12913-025-13037-5</w:t>
      </w:r>
    </w:p>
    <w:p w14:paraId="4245A1AF" w14:textId="77777777" w:rsidR="00975881" w:rsidRPr="00D014A5" w:rsidRDefault="00000000" w:rsidP="00D014A5">
      <w:pPr>
        <w:spacing w:after="120" w:line="300" w:lineRule="auto"/>
        <w:ind w:left="720" w:hanging="720"/>
        <w:jc w:val="both"/>
      </w:pPr>
      <w:r w:rsidRPr="00D014A5">
        <w:t xml:space="preserve">Nemzoff, C., Ruiz, F., Chalkidou, K., Mehndiratta, A., Guinness, L., Cluzeau, F., &amp; Shah, H. (2021). Adaptive health technology assessment to facilitate priority setting in low- and middle-income countries. </w:t>
      </w:r>
      <w:r w:rsidRPr="00D014A5">
        <w:rPr>
          <w:i/>
          <w:iCs/>
        </w:rPr>
        <w:t>BMJ Global Health, 6</w:t>
      </w:r>
      <w:r w:rsidRPr="00D014A5">
        <w:t>(4), e004549. https://doi.org/10.1136/bmjgh-2020-004549</w:t>
      </w:r>
    </w:p>
    <w:p w14:paraId="04589D3B" w14:textId="77777777" w:rsidR="00975881" w:rsidRPr="00D014A5" w:rsidRDefault="00000000" w:rsidP="00D014A5">
      <w:pPr>
        <w:spacing w:after="120" w:line="300" w:lineRule="auto"/>
        <w:ind w:left="720" w:hanging="720"/>
        <w:jc w:val="both"/>
      </w:pPr>
      <w:r w:rsidRPr="00D014A5">
        <w:t xml:space="preserve">Organisation for Economic Co-operation and Development. (2025). </w:t>
      </w:r>
      <w:r w:rsidRPr="00D014A5">
        <w:rPr>
          <w:i/>
          <w:iCs/>
        </w:rPr>
        <w:t>Health at a glance 2025: OECD indicators</w:t>
      </w:r>
      <w:r w:rsidRPr="00D014A5">
        <w:t>. OECD Publishing. https://doi.org/10.1787/8f9e3f98-en</w:t>
      </w:r>
    </w:p>
    <w:p w14:paraId="56948E10" w14:textId="77777777" w:rsidR="00975881" w:rsidRPr="00D014A5" w:rsidRDefault="00000000" w:rsidP="00D014A5">
      <w:pPr>
        <w:spacing w:after="120" w:line="300" w:lineRule="auto"/>
        <w:ind w:left="720" w:hanging="720"/>
        <w:jc w:val="both"/>
      </w:pPr>
      <w:r w:rsidRPr="00D014A5">
        <w:t xml:space="preserve">Papanicolas, I., Woskie, L. R., &amp; Jha, A. K. (2018). Health care spending in the United States and other high-income countries. </w:t>
      </w:r>
      <w:r w:rsidRPr="00D014A5">
        <w:rPr>
          <w:i/>
          <w:iCs/>
        </w:rPr>
        <w:t>JAMA, 319</w:t>
      </w:r>
      <w:r w:rsidRPr="00D014A5">
        <w:t>(10), 1024–1039. https://doi.org/10.1001/jama.2018.1150</w:t>
      </w:r>
    </w:p>
    <w:p w14:paraId="1C1AED68" w14:textId="77777777" w:rsidR="00975881" w:rsidRPr="00D014A5" w:rsidRDefault="00000000" w:rsidP="00D014A5">
      <w:pPr>
        <w:spacing w:after="120" w:line="300" w:lineRule="auto"/>
        <w:ind w:left="720" w:hanging="720"/>
        <w:jc w:val="both"/>
      </w:pPr>
      <w:r w:rsidRPr="00D014A5">
        <w:t xml:space="preserve">Paulden, M. (2026). Economic consequences of increasing the NICE cost-effectiveness threshold. </w:t>
      </w:r>
      <w:r w:rsidRPr="00D014A5">
        <w:rPr>
          <w:i/>
          <w:iCs/>
        </w:rPr>
        <w:t>PharmacoEconomics, 44</w:t>
      </w:r>
      <w:r w:rsidRPr="00D014A5">
        <w:t>(1), 5–8. https://doi.org/10.1007/s40273-025-01579-9</w:t>
      </w:r>
    </w:p>
    <w:p w14:paraId="50127058" w14:textId="77777777" w:rsidR="00975881" w:rsidRPr="00D014A5" w:rsidRDefault="00000000" w:rsidP="00D014A5">
      <w:pPr>
        <w:spacing w:after="120" w:line="300" w:lineRule="auto"/>
        <w:ind w:left="720" w:hanging="720"/>
        <w:jc w:val="both"/>
      </w:pPr>
      <w:r w:rsidRPr="00D014A5">
        <w:t xml:space="preserve">Porter, M. E. (2010). What is value in health care? </w:t>
      </w:r>
      <w:r w:rsidRPr="00D014A5">
        <w:rPr>
          <w:i/>
          <w:iCs/>
        </w:rPr>
        <w:t>New England Journal of Medicine, 363</w:t>
      </w:r>
      <w:r w:rsidRPr="00D014A5">
        <w:t>(26), 2477–2481. https://doi.org/10.1056/NEJMp1011024</w:t>
      </w:r>
    </w:p>
    <w:p w14:paraId="6E6CB755" w14:textId="77777777" w:rsidR="00975881" w:rsidRPr="00D014A5" w:rsidRDefault="00000000" w:rsidP="00D014A5">
      <w:pPr>
        <w:spacing w:after="120" w:line="300" w:lineRule="auto"/>
        <w:ind w:left="720" w:hanging="720"/>
        <w:jc w:val="both"/>
      </w:pPr>
      <w:r w:rsidRPr="00D014A5">
        <w:t xml:space="preserve">Prinja, S., Dixit, J., Nimesh, R., Garg, B., Khurana, R., Paliwal, A., &amp; Aggarwal, A. K. (2024). Impact of health benefit package policy interventions on service utilisation under government-funded health insurance in Punjab, India: Analysis of Ayushman Bharat Pradhan Mantri Jan Arogya Yojana (PM-JAY). </w:t>
      </w:r>
      <w:r w:rsidRPr="00D014A5">
        <w:rPr>
          <w:i/>
          <w:iCs/>
        </w:rPr>
        <w:t>The Lancet Regional Health – Southeast Asia, 28</w:t>
      </w:r>
      <w:r w:rsidRPr="00D014A5">
        <w:t>, 100462. https://doi.org/10.1016/j.lansea.2024.100462</w:t>
      </w:r>
    </w:p>
    <w:p w14:paraId="5BC23023" w14:textId="77777777" w:rsidR="00975881" w:rsidRPr="00D014A5" w:rsidRDefault="00000000" w:rsidP="00D014A5">
      <w:pPr>
        <w:spacing w:after="120" w:line="300" w:lineRule="auto"/>
        <w:ind w:left="720" w:hanging="720"/>
        <w:jc w:val="both"/>
      </w:pPr>
      <w:r w:rsidRPr="00D014A5">
        <w:t xml:space="preserve">Raudasoja, A., Parpia, S., Mustonen, J. M. J., Vernooij, R., Falkenbach, P., Aoki, Y., Barchuk, A., Blanker, M. H., Cartwright, R., Crowder, K., Garcia-Perdomo, H. A., Gutschon, R., Halme, A. L. E., Kilpeläinen, T. P., Kuitunen, I., Lamberg, T., Lang, E., Matos, J., Nevalainen, O. P. O., . . . Tikkinen, K. A. O. (2025). Effectiveness of different de-implementation strategies in primary care: Systematic review and meta-analysis. </w:t>
      </w:r>
      <w:r w:rsidRPr="00D014A5">
        <w:rPr>
          <w:i/>
          <w:iCs/>
        </w:rPr>
        <w:t>BMJ Medicine, 4</w:t>
      </w:r>
      <w:r w:rsidRPr="00D014A5">
        <w:t>(1), e001343. https://doi.org/10.1136/bmjmed-2025-001343</w:t>
      </w:r>
    </w:p>
    <w:p w14:paraId="43BD9D16" w14:textId="77777777" w:rsidR="00975881" w:rsidRPr="00D014A5" w:rsidRDefault="00000000" w:rsidP="00D014A5">
      <w:pPr>
        <w:spacing w:after="120" w:line="300" w:lineRule="auto"/>
        <w:ind w:left="720" w:hanging="720"/>
        <w:jc w:val="both"/>
      </w:pPr>
      <w:r w:rsidRPr="00D014A5">
        <w:t xml:space="preserve">Shakya, S., Bohingamu Mudiyanselage, S., Robinson, S., Randall, S., &amp; Gao, L. (2025). Time-driven activity-based costing and its use in health economic analysis: A systematic literature review. </w:t>
      </w:r>
      <w:r w:rsidRPr="00D014A5">
        <w:rPr>
          <w:i/>
          <w:iCs/>
        </w:rPr>
        <w:t>Applied Health Economics and Health Policy, 23</w:t>
      </w:r>
      <w:r w:rsidRPr="00D014A5">
        <w:t>(6), 989–1004. https://doi.org/10.1007/s40258-025-00988-3</w:t>
      </w:r>
    </w:p>
    <w:p w14:paraId="5C401DD2" w14:textId="77777777" w:rsidR="00975881" w:rsidRPr="00D014A5" w:rsidRDefault="00000000" w:rsidP="00D014A5">
      <w:pPr>
        <w:spacing w:after="120" w:line="300" w:lineRule="auto"/>
        <w:ind w:left="720" w:hanging="720"/>
        <w:jc w:val="both"/>
      </w:pPr>
      <w:r w:rsidRPr="00D014A5">
        <w:t xml:space="preserve">Shammas, R. L., Coroneos, C. J., Ortiz-Babilonia, C., Graton, M., Jain, A., &amp; Offodile, A. C. (2023). Implementation of the Maryland Global Budget Revenue model and variation in the expenditures and outcomes of surgical care: A systematic review and meta-analysis. </w:t>
      </w:r>
      <w:r w:rsidRPr="00D014A5">
        <w:rPr>
          <w:i/>
          <w:iCs/>
        </w:rPr>
        <w:t>Annals of Surgery, 277</w:t>
      </w:r>
      <w:r w:rsidRPr="00D014A5">
        <w:t>(4), 542–548. https://doi.org/10.1097/SLA.0000000000005744</w:t>
      </w:r>
    </w:p>
    <w:p w14:paraId="22C4F069" w14:textId="77777777" w:rsidR="00975881" w:rsidRPr="00D014A5" w:rsidRDefault="00000000" w:rsidP="00D014A5">
      <w:pPr>
        <w:spacing w:after="120" w:line="300" w:lineRule="auto"/>
        <w:ind w:left="720" w:hanging="720"/>
        <w:jc w:val="both"/>
      </w:pPr>
      <w:r w:rsidRPr="00D014A5">
        <w:t xml:space="preserve">Shrank, W. H., Rogstad, T. L., &amp; Parekh, N. (2019). Waste in the US health care system: Estimated costs and potential for savings. </w:t>
      </w:r>
      <w:r w:rsidRPr="00D014A5">
        <w:rPr>
          <w:i/>
          <w:iCs/>
        </w:rPr>
        <w:t>JAMA, 322</w:t>
      </w:r>
      <w:r w:rsidRPr="00D014A5">
        <w:t>(15), 1501–1509. https://doi.org/10.1001/jama.2019.13978</w:t>
      </w:r>
    </w:p>
    <w:p w14:paraId="7847ADEE" w14:textId="77777777" w:rsidR="00975881" w:rsidRPr="00D014A5" w:rsidRDefault="00000000" w:rsidP="00D014A5">
      <w:pPr>
        <w:spacing w:after="120" w:line="300" w:lineRule="auto"/>
        <w:ind w:left="720" w:hanging="720"/>
        <w:jc w:val="both"/>
      </w:pPr>
      <w:r w:rsidRPr="00D014A5">
        <w:t xml:space="preserve">Slawomirski, L., Hensher, M., Campbell, J., &amp; deGraaff, B. (2024). Pay-for-performance and patient safety in acute care: A systematic review. </w:t>
      </w:r>
      <w:r w:rsidRPr="00D014A5">
        <w:rPr>
          <w:i/>
          <w:iCs/>
        </w:rPr>
        <w:t>Health Policy, 143</w:t>
      </w:r>
      <w:r w:rsidRPr="00D014A5">
        <w:t>, 105051. https://doi.org/10.1016/j.healthpol.2024.105051</w:t>
      </w:r>
    </w:p>
    <w:p w14:paraId="70E86FBB" w14:textId="77777777" w:rsidR="00975881" w:rsidRPr="00D014A5" w:rsidRDefault="00000000" w:rsidP="00D014A5">
      <w:pPr>
        <w:spacing w:after="120" w:line="300" w:lineRule="auto"/>
        <w:ind w:left="720" w:hanging="720"/>
        <w:jc w:val="both"/>
      </w:pPr>
      <w:r w:rsidRPr="00D014A5">
        <w:lastRenderedPageBreak/>
        <w:t xml:space="preserve">Steinmann, G., van de Bovenkamp, H., de Bont, A., &amp; Delnoij, D. (2020). Redefining value: A discourse analysis on value-based health care. </w:t>
      </w:r>
      <w:r w:rsidRPr="00D014A5">
        <w:rPr>
          <w:i/>
          <w:iCs/>
        </w:rPr>
        <w:t>BMC Health Services Research, 20</w:t>
      </w:r>
      <w:r w:rsidRPr="00D014A5">
        <w:t>(1), 862. https://doi.org/10.1186/s12913-020-05614-7</w:t>
      </w:r>
    </w:p>
    <w:p w14:paraId="201344E8" w14:textId="77777777" w:rsidR="00975881" w:rsidRPr="00D014A5" w:rsidRDefault="00000000" w:rsidP="00D014A5">
      <w:pPr>
        <w:spacing w:after="120" w:line="300" w:lineRule="auto"/>
        <w:ind w:left="720" w:hanging="720"/>
        <w:jc w:val="both"/>
      </w:pPr>
      <w:r w:rsidRPr="00D014A5">
        <w:t xml:space="preserve">Tangcharoensathien, V., Limwattananon, S., Patcharanarumol, W., Thammatacharee, J., Jongudomsuk, P., &amp; Sirilak, S. (2015). Achieving universal health coverage goals in Thailand: The vital role of strategic purchasing. </w:t>
      </w:r>
      <w:r w:rsidRPr="00D014A5">
        <w:rPr>
          <w:i/>
          <w:iCs/>
        </w:rPr>
        <w:t>Health Policy and Planning, 30</w:t>
      </w:r>
      <w:r w:rsidRPr="00D014A5">
        <w:t>(9), 1152–1161. https://doi.org/10.1093/heapol/czu120</w:t>
      </w:r>
    </w:p>
    <w:p w14:paraId="1E474862" w14:textId="77777777" w:rsidR="00975881" w:rsidRPr="00D014A5" w:rsidRDefault="00000000" w:rsidP="00D014A5">
      <w:pPr>
        <w:spacing w:after="120" w:line="300" w:lineRule="auto"/>
        <w:ind w:left="720" w:hanging="720"/>
        <w:jc w:val="both"/>
      </w:pPr>
      <w:r w:rsidRPr="00D014A5">
        <w:t xml:space="preserve">van Elten, H. J., Howard, S. W., De Loo, I., &amp; Schaepkens, F. (2023). Reflections on managing the performance of value-based healthcare: A scoping review. </w:t>
      </w:r>
      <w:r w:rsidRPr="00D014A5">
        <w:rPr>
          <w:i/>
          <w:iCs/>
        </w:rPr>
        <w:t>International Journal of Health Policy and Management, 12</w:t>
      </w:r>
      <w:r w:rsidRPr="00D014A5">
        <w:t>, 7366. https://doi.org/10.34172/ijhpm.2023.7366</w:t>
      </w:r>
    </w:p>
    <w:p w14:paraId="2FB091BF" w14:textId="77777777" w:rsidR="00975881" w:rsidRPr="00D014A5" w:rsidRDefault="00000000" w:rsidP="00D014A5">
      <w:pPr>
        <w:spacing w:after="120" w:line="300" w:lineRule="auto"/>
        <w:ind w:left="720" w:hanging="720"/>
        <w:jc w:val="both"/>
      </w:pPr>
      <w:r w:rsidRPr="00D014A5">
        <w:t xml:space="preserve">van Staalduinen, D. J., van den Bekerom, P., Groeneveld, S., Kidanemariam, M., Stiggelbout, A. M., &amp; van den Akker-van Marle, M. E. (2022). The implementation of value-based healthcare: A scoping review. </w:t>
      </w:r>
      <w:r w:rsidRPr="00D014A5">
        <w:rPr>
          <w:i/>
          <w:iCs/>
        </w:rPr>
        <w:t>BMC Health Services Research, 22</w:t>
      </w:r>
      <w:r w:rsidRPr="00D014A5">
        <w:t>(1), 270. https://doi.org/10.1186/s12913-022-07489-2</w:t>
      </w:r>
    </w:p>
    <w:p w14:paraId="23D4246E" w14:textId="77777777" w:rsidR="00975881" w:rsidRPr="00D014A5" w:rsidRDefault="00000000" w:rsidP="00D014A5">
      <w:pPr>
        <w:spacing w:after="120" w:line="300" w:lineRule="auto"/>
        <w:ind w:left="720" w:hanging="720"/>
        <w:jc w:val="both"/>
      </w:pPr>
      <w:r w:rsidRPr="00D014A5">
        <w:t xml:space="preserve">van Staalduinen, D. J., van den Bekerom, P. E. A., Groeneveld, S. M., Stiggelbout, A. M., &amp; van den Akker-van Marle, M. E. (2025). Leading value-based health care: The role of leadership in integrated practice units. </w:t>
      </w:r>
      <w:r w:rsidRPr="00D014A5">
        <w:rPr>
          <w:i/>
          <w:iCs/>
        </w:rPr>
        <w:t>Health Care Management Review, 50</w:t>
      </w:r>
      <w:r w:rsidRPr="00D014A5">
        <w:t>(2), 130–139. https://doi.org/10.1097/HMR.0000000000000437</w:t>
      </w:r>
    </w:p>
    <w:p w14:paraId="1C8653D9" w14:textId="77777777" w:rsidR="00975881" w:rsidRPr="00D014A5" w:rsidRDefault="00000000" w:rsidP="00D014A5">
      <w:pPr>
        <w:spacing w:after="120" w:line="300" w:lineRule="auto"/>
        <w:ind w:left="720" w:hanging="720"/>
        <w:jc w:val="both"/>
      </w:pPr>
      <w:r w:rsidRPr="00D014A5">
        <w:t xml:space="preserve">Wadhera, R. K., Joynt Maddox, K. E., Wasfy, J. H., Haneuse, S., Shen, C., &amp; Yeh, R. W. (2018). Association of the Hospital Readmissions Reduction Program with mortality among Medicare beneficiaries hospitalized for heart failure, acute myocardial infarction, and pneumonia. </w:t>
      </w:r>
      <w:r w:rsidRPr="00D014A5">
        <w:rPr>
          <w:i/>
          <w:iCs/>
        </w:rPr>
        <w:t>JAMA, 320</w:t>
      </w:r>
      <w:r w:rsidRPr="00D014A5">
        <w:t>(24), 2542–2552. https://doi.org/10.1001/jama.2018.19232</w:t>
      </w:r>
    </w:p>
    <w:p w14:paraId="684B7509" w14:textId="77777777" w:rsidR="00975881" w:rsidRPr="00D014A5" w:rsidRDefault="00000000" w:rsidP="00D014A5">
      <w:pPr>
        <w:spacing w:after="120" w:line="300" w:lineRule="auto"/>
        <w:ind w:left="720" w:hanging="720"/>
        <w:jc w:val="both"/>
      </w:pPr>
      <w:r w:rsidRPr="00D014A5">
        <w:t xml:space="preserve">Warkentin, L. M., Tjosvold, L., &amp; Bond, K. (2026). An inventory of policy levers to reduce low value care: Results of a rapid scoping review. </w:t>
      </w:r>
      <w:r w:rsidRPr="00D014A5">
        <w:rPr>
          <w:i/>
          <w:iCs/>
        </w:rPr>
        <w:t>Health Policy, 164</w:t>
      </w:r>
      <w:r w:rsidRPr="00D014A5">
        <w:t>, 105508. https://doi.org/10.1016/j.healthpol.2025.105508</w:t>
      </w:r>
    </w:p>
    <w:p w14:paraId="31D5C5DE" w14:textId="77777777" w:rsidR="00975881" w:rsidRPr="00D014A5" w:rsidRDefault="00000000" w:rsidP="00D014A5">
      <w:pPr>
        <w:spacing w:after="120" w:line="300" w:lineRule="auto"/>
        <w:ind w:left="720" w:hanging="720"/>
        <w:jc w:val="both"/>
      </w:pPr>
      <w:r w:rsidRPr="00D014A5">
        <w:t xml:space="preserve">Wolff, J., Pauling, J., Keck, A., &amp; Baumbach, J. (2020). The economic impact of artificial intelligence in health care: Systematic review. </w:t>
      </w:r>
      <w:r w:rsidRPr="00D014A5">
        <w:rPr>
          <w:i/>
          <w:iCs/>
        </w:rPr>
        <w:t>Journal of Medical Internet Research, 22</w:t>
      </w:r>
      <w:r w:rsidRPr="00D014A5">
        <w:t>(2), e16866. https://doi.org/10.2196/16866</w:t>
      </w:r>
    </w:p>
    <w:p w14:paraId="7114A931" w14:textId="77777777" w:rsidR="00975881" w:rsidRPr="00D014A5" w:rsidRDefault="00000000" w:rsidP="00D014A5">
      <w:pPr>
        <w:spacing w:after="120" w:line="300" w:lineRule="auto"/>
        <w:ind w:left="720" w:hanging="720"/>
        <w:jc w:val="both"/>
      </w:pPr>
      <w:r w:rsidRPr="00D014A5">
        <w:t xml:space="preserve">Wong, D., Matini, L., Kormilitzin, A., Kantschuster, R., Simadibrata, D. M., Lyden, S., Wilson, J., Brain, O. A., Palmer, R., Ambrose, T., Satsangi, J., South, M., Geddes, J., Bodger, K., Travis, S. P. L., &amp; Walsh, A. (2022). Patient-reported outcomes: The ICHOM standard set for inflammatory bowel disease in real-life practice helps quantify deficits in current care. </w:t>
      </w:r>
      <w:r w:rsidRPr="00D014A5">
        <w:rPr>
          <w:i/>
          <w:iCs/>
        </w:rPr>
        <w:t>Journal of Crohn's and Colitis, 16</w:t>
      </w:r>
      <w:r w:rsidRPr="00D014A5">
        <w:t>(12), 1874–1881. https://doi.org/10.1093/ecco-jcc/jjac099</w:t>
      </w:r>
    </w:p>
    <w:p w14:paraId="40ABAAF2" w14:textId="77777777" w:rsidR="00975881" w:rsidRPr="00D014A5" w:rsidRDefault="00000000" w:rsidP="00D014A5">
      <w:pPr>
        <w:spacing w:after="120" w:line="300" w:lineRule="auto"/>
        <w:ind w:left="720" w:hanging="720"/>
        <w:jc w:val="both"/>
      </w:pPr>
      <w:r w:rsidRPr="00D014A5">
        <w:t xml:space="preserve">Woo, H., Shin, G., Lee, D., Kwon, H.-Y., &amp; Bae, S. (2024). Is the availability of biosimilar adalimumab associated with budget savings? A difference-in-difference analysis of 14 countries. </w:t>
      </w:r>
      <w:r w:rsidRPr="00D014A5">
        <w:rPr>
          <w:i/>
          <w:iCs/>
        </w:rPr>
        <w:t>BioDrugs, 38</w:t>
      </w:r>
      <w:r w:rsidRPr="00D014A5">
        <w:t>(1), 133–144. https://doi.org/10.1007/s40259-023-00636-z</w:t>
      </w:r>
    </w:p>
    <w:p w14:paraId="14C9E05B" w14:textId="77777777" w:rsidR="00975881" w:rsidRPr="00D014A5" w:rsidRDefault="00000000" w:rsidP="00D014A5">
      <w:pPr>
        <w:spacing w:after="120" w:line="300" w:lineRule="auto"/>
        <w:ind w:left="720" w:hanging="720"/>
        <w:jc w:val="both"/>
      </w:pPr>
      <w:r w:rsidRPr="00D014A5">
        <w:t xml:space="preserve">World Health Organization. (2024). </w:t>
      </w:r>
      <w:r w:rsidRPr="00D014A5">
        <w:rPr>
          <w:i/>
          <w:iCs/>
        </w:rPr>
        <w:t>Global spending on health: Emerging from the pandemic</w:t>
      </w:r>
      <w:r w:rsidRPr="00D014A5">
        <w:t>. World Health Organization. https://www.who.int/publications/i/item/9789240104495</w:t>
      </w:r>
    </w:p>
    <w:p w14:paraId="1FB0BFC1" w14:textId="77777777" w:rsidR="00975881" w:rsidRPr="00D014A5" w:rsidRDefault="00000000" w:rsidP="00D014A5">
      <w:pPr>
        <w:spacing w:after="120" w:line="300" w:lineRule="auto"/>
        <w:ind w:left="720" w:hanging="720"/>
        <w:jc w:val="both"/>
      </w:pPr>
      <w:r w:rsidRPr="00D014A5">
        <w:t xml:space="preserve">Yeo, J. X., Tokuda, Y., Sasaki, S., Pan, J., Kamaruzaman, H., Ranganathan, P., Lu, L., Mohamad Yusof, A., Izaham, A., Pramesh, C. S., &amp; Abdullah, H. R. (2026). Addressing low-value care (LVC) </w:t>
      </w:r>
      <w:r w:rsidRPr="00D014A5">
        <w:lastRenderedPageBreak/>
        <w:t xml:space="preserve">in Asia: A narrative review of Choosing Wisely and other initiatives across Asia. </w:t>
      </w:r>
      <w:r w:rsidRPr="00D014A5">
        <w:rPr>
          <w:i/>
          <w:iCs/>
        </w:rPr>
        <w:t>BMJ Open Quality, 15</w:t>
      </w:r>
      <w:r w:rsidRPr="00D014A5">
        <w:t>(2), e003806. https://doi.org/10.1136/bmjoq-2025-003806</w:t>
      </w:r>
    </w:p>
    <w:p w14:paraId="5AB90788" w14:textId="77777777" w:rsidR="00975881" w:rsidRPr="00D014A5" w:rsidRDefault="00000000" w:rsidP="00D014A5">
      <w:pPr>
        <w:spacing w:after="120" w:line="300" w:lineRule="auto"/>
        <w:ind w:left="720" w:hanging="720"/>
        <w:jc w:val="both"/>
      </w:pPr>
      <w:r w:rsidRPr="00D014A5">
        <w:t xml:space="preserve">Zanotto, B. S., Etges, A. P. B. da S., Marcolino, M. A. Z., &amp; Polanczyk, C. A. (2021). Value-based healthcare initiatives in practice: A systematic review. </w:t>
      </w:r>
      <w:r w:rsidRPr="00D014A5">
        <w:rPr>
          <w:i/>
          <w:iCs/>
        </w:rPr>
        <w:t>Journal of Healthcare Management, 66</w:t>
      </w:r>
      <w:r w:rsidRPr="00D014A5">
        <w:t>(5), 340–365. https://doi.org/10.1097/JHM-D-20-00283</w:t>
      </w:r>
    </w:p>
    <w:p w14:paraId="0762E3FF" w14:textId="77777777" w:rsidR="00975881" w:rsidRPr="00D014A5" w:rsidRDefault="00000000" w:rsidP="00D014A5">
      <w:pPr>
        <w:spacing w:after="120" w:line="300" w:lineRule="auto"/>
        <w:ind w:left="720" w:hanging="720"/>
        <w:jc w:val="both"/>
      </w:pPr>
      <w:r w:rsidRPr="00D014A5">
        <w:t xml:space="preserve">Zhou, W., Xu, C., Zhang, L., Fu, H., &amp; Jian, W. (2025). Behaviours and drivers of diagnosis-related group upcoding in China: A mixed-methods study. </w:t>
      </w:r>
      <w:r w:rsidRPr="00D014A5">
        <w:rPr>
          <w:i/>
          <w:iCs/>
        </w:rPr>
        <w:t>Social Science &amp; Medicine, 366</w:t>
      </w:r>
      <w:r w:rsidRPr="00D014A5">
        <w:t>, 117660. https://doi.org/10.1016/j.socscimed.2024.117660</w:t>
      </w:r>
    </w:p>
    <w:sectPr w:rsidR="00975881" w:rsidRPr="00D014A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CCDC0" w14:textId="77777777" w:rsidR="00EA6FF1" w:rsidRDefault="00EA6FF1" w:rsidP="00A75CA5">
      <w:r>
        <w:separator/>
      </w:r>
    </w:p>
  </w:endnote>
  <w:endnote w:type="continuationSeparator" w:id="0">
    <w:p w14:paraId="0725CF26" w14:textId="77777777" w:rsidR="00EA6FF1" w:rsidRDefault="00EA6FF1" w:rsidP="00A7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90A7" w14:textId="77777777" w:rsidR="00A75CA5" w:rsidRDefault="00A75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2CBF" w14:textId="77777777" w:rsidR="00A75CA5" w:rsidRDefault="00A75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EBBC" w14:textId="77777777" w:rsidR="00A75CA5" w:rsidRDefault="00A75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E16F4" w14:textId="77777777" w:rsidR="00EA6FF1" w:rsidRDefault="00EA6FF1" w:rsidP="00A75CA5">
      <w:r>
        <w:separator/>
      </w:r>
    </w:p>
  </w:footnote>
  <w:footnote w:type="continuationSeparator" w:id="0">
    <w:p w14:paraId="637FE722" w14:textId="77777777" w:rsidR="00EA6FF1" w:rsidRDefault="00EA6FF1" w:rsidP="00A75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20DE" w14:textId="77777777" w:rsidR="00A75CA5" w:rsidRDefault="00000000">
    <w:pPr>
      <w:pStyle w:val="Header"/>
    </w:pPr>
    <w:r>
      <w:rPr>
        <w:noProof/>
      </w:rPr>
      <w:pict w14:anchorId="1CDA8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95881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6EC2" w14:textId="77777777" w:rsidR="00A75CA5" w:rsidRDefault="00000000">
    <w:pPr>
      <w:pStyle w:val="Header"/>
    </w:pPr>
    <w:r>
      <w:rPr>
        <w:noProof/>
      </w:rPr>
      <w:pict w14:anchorId="631CB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95881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4D330" w14:textId="77777777" w:rsidR="00A75CA5" w:rsidRDefault="00000000">
    <w:pPr>
      <w:pStyle w:val="Header"/>
    </w:pPr>
    <w:r>
      <w:rPr>
        <w:noProof/>
      </w:rPr>
      <w:pict w14:anchorId="259F7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95881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11E29"/>
    <w:multiLevelType w:val="hybridMultilevel"/>
    <w:tmpl w:val="C0143E66"/>
    <w:lvl w:ilvl="0" w:tplc="43A44EF0">
      <w:start w:val="1"/>
      <w:numFmt w:val="bullet"/>
      <w:lvlText w:val="●"/>
      <w:lvlJc w:val="left"/>
      <w:pPr>
        <w:ind w:left="720" w:hanging="360"/>
      </w:pPr>
    </w:lvl>
    <w:lvl w:ilvl="1" w:tplc="B7F6061E">
      <w:start w:val="1"/>
      <w:numFmt w:val="bullet"/>
      <w:lvlText w:val="○"/>
      <w:lvlJc w:val="left"/>
      <w:pPr>
        <w:ind w:left="1440" w:hanging="360"/>
      </w:pPr>
    </w:lvl>
    <w:lvl w:ilvl="2" w:tplc="13C8343A">
      <w:start w:val="1"/>
      <w:numFmt w:val="bullet"/>
      <w:lvlText w:val="■"/>
      <w:lvlJc w:val="left"/>
      <w:pPr>
        <w:ind w:left="2160" w:hanging="360"/>
      </w:pPr>
    </w:lvl>
    <w:lvl w:ilvl="3" w:tplc="131A4BA4">
      <w:start w:val="1"/>
      <w:numFmt w:val="bullet"/>
      <w:lvlText w:val="●"/>
      <w:lvlJc w:val="left"/>
      <w:pPr>
        <w:ind w:left="2880" w:hanging="360"/>
      </w:pPr>
    </w:lvl>
    <w:lvl w:ilvl="4" w:tplc="4B72C4E8">
      <w:start w:val="1"/>
      <w:numFmt w:val="bullet"/>
      <w:lvlText w:val="○"/>
      <w:lvlJc w:val="left"/>
      <w:pPr>
        <w:ind w:left="3600" w:hanging="360"/>
      </w:pPr>
    </w:lvl>
    <w:lvl w:ilvl="5" w:tplc="984E8DF2">
      <w:start w:val="1"/>
      <w:numFmt w:val="bullet"/>
      <w:lvlText w:val="■"/>
      <w:lvlJc w:val="left"/>
      <w:pPr>
        <w:ind w:left="4320" w:hanging="360"/>
      </w:pPr>
    </w:lvl>
    <w:lvl w:ilvl="6" w:tplc="EC563A64">
      <w:start w:val="1"/>
      <w:numFmt w:val="bullet"/>
      <w:lvlText w:val="●"/>
      <w:lvlJc w:val="left"/>
      <w:pPr>
        <w:ind w:left="5040" w:hanging="360"/>
      </w:pPr>
    </w:lvl>
    <w:lvl w:ilvl="7" w:tplc="8E3C0796">
      <w:start w:val="1"/>
      <w:numFmt w:val="bullet"/>
      <w:lvlText w:val="●"/>
      <w:lvlJc w:val="left"/>
      <w:pPr>
        <w:ind w:left="5760" w:hanging="360"/>
      </w:pPr>
    </w:lvl>
    <w:lvl w:ilvl="8" w:tplc="74EE2A14">
      <w:start w:val="1"/>
      <w:numFmt w:val="bullet"/>
      <w:lvlText w:val="●"/>
      <w:lvlJc w:val="left"/>
      <w:pPr>
        <w:ind w:left="6480" w:hanging="360"/>
      </w:pPr>
    </w:lvl>
  </w:abstractNum>
  <w:num w:numId="1" w16cid:durableId="18209190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MgDSFsZmlsYm5ko6SsGpxcWZ+XkgBYa1ADOOVO4sAAAA"/>
  </w:docVars>
  <w:rsids>
    <w:rsidRoot w:val="00975881"/>
    <w:rsid w:val="000C08F1"/>
    <w:rsid w:val="00252AC2"/>
    <w:rsid w:val="004D74B3"/>
    <w:rsid w:val="00621FCD"/>
    <w:rsid w:val="00975881"/>
    <w:rsid w:val="00A75CA5"/>
    <w:rsid w:val="00AC27EF"/>
    <w:rsid w:val="00B63C1C"/>
    <w:rsid w:val="00D014A5"/>
    <w:rsid w:val="00DB4DD0"/>
    <w:rsid w:val="00EA4075"/>
    <w:rsid w:val="00EA6FF1"/>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A7B86"/>
  <w15:docId w15:val="{63038B85-81D2-47D1-867A-0B786E97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5CA5"/>
    <w:pPr>
      <w:tabs>
        <w:tab w:val="center" w:pos="4680"/>
        <w:tab w:val="right" w:pos="9360"/>
      </w:tabs>
    </w:pPr>
    <w:rPr>
      <w:szCs w:val="28"/>
    </w:rPr>
  </w:style>
  <w:style w:type="character" w:customStyle="1" w:styleId="HeaderChar">
    <w:name w:val="Header Char"/>
    <w:basedOn w:val="DefaultParagraphFont"/>
    <w:link w:val="Header"/>
    <w:uiPriority w:val="99"/>
    <w:rsid w:val="00A75CA5"/>
    <w:rPr>
      <w:szCs w:val="28"/>
    </w:rPr>
  </w:style>
  <w:style w:type="paragraph" w:styleId="Footer">
    <w:name w:val="footer"/>
    <w:basedOn w:val="Normal"/>
    <w:link w:val="FooterChar"/>
    <w:uiPriority w:val="99"/>
    <w:unhideWhenUsed/>
    <w:rsid w:val="00A75CA5"/>
    <w:pPr>
      <w:tabs>
        <w:tab w:val="center" w:pos="4680"/>
        <w:tab w:val="right" w:pos="9360"/>
      </w:tabs>
    </w:pPr>
    <w:rPr>
      <w:szCs w:val="28"/>
    </w:rPr>
  </w:style>
  <w:style w:type="character" w:customStyle="1" w:styleId="FooterChar">
    <w:name w:val="Footer Char"/>
    <w:basedOn w:val="DefaultParagraphFont"/>
    <w:link w:val="Footer"/>
    <w:uiPriority w:val="99"/>
    <w:rsid w:val="00A75CA5"/>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18199</Words>
  <Characters>103735</Characters>
  <Application>Microsoft Office Word</Application>
  <DocSecurity>0</DocSecurity>
  <Lines>864</Lines>
  <Paragraphs>243</Paragraphs>
  <ScaleCrop>false</ScaleCrop>
  <Company>HP</Company>
  <LinksUpToDate>false</LinksUpToDate>
  <CharactersWithSpaces>121691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PC New 16</cp:lastModifiedBy>
  <cp:revision>6</cp:revision>
  <dcterms:created xsi:type="dcterms:W3CDTF">2026-08-21T05:41:00Z</dcterms:created>
  <dcterms:modified xsi:type="dcterms:W3CDTF">2026-08-24T04:42:00Z</dcterms:modified>
</cp:coreProperties>
</file>