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45416" w14:textId="77777777" w:rsidR="00A258C3" w:rsidRPr="009465C6" w:rsidRDefault="00BC26A5" w:rsidP="00441B6F">
      <w:pPr>
        <w:pStyle w:val="Author"/>
        <w:spacing w:line="240" w:lineRule="auto"/>
        <w:jc w:val="both"/>
        <w:rPr>
          <w:rFonts w:ascii="Arial" w:hAnsi="Arial" w:cs="Arial"/>
          <w:sz w:val="36"/>
        </w:rPr>
      </w:pPr>
      <w:r w:rsidRPr="009465C6">
        <w:rPr>
          <w:rFonts w:ascii="Arial" w:hAnsi="Arial" w:cs="Arial"/>
          <w:bCs/>
          <w:iCs/>
          <w:kern w:val="28"/>
          <w:sz w:val="36"/>
        </w:rPr>
        <w:t>Pulmonary and Inflammatory Health Effects of Long-Term Gypsum Dust Exposure: A Comparative Study in Calabar Municipality, Nigeria</w:t>
      </w:r>
    </w:p>
    <w:p w14:paraId="3D9AA5DC" w14:textId="77777777" w:rsidR="004E3F74" w:rsidRPr="009465C6" w:rsidRDefault="004E3F74" w:rsidP="00441B6F">
      <w:pPr>
        <w:pStyle w:val="AbstHead"/>
        <w:spacing w:after="0"/>
        <w:jc w:val="both"/>
        <w:rPr>
          <w:rFonts w:ascii="Arial" w:hAnsi="Arial" w:cs="Arial"/>
        </w:rPr>
      </w:pPr>
    </w:p>
    <w:p w14:paraId="70D9C8E7" w14:textId="77777777" w:rsidR="004E3F74" w:rsidRPr="009465C6" w:rsidRDefault="004E3F74" w:rsidP="00441B6F">
      <w:pPr>
        <w:pStyle w:val="AbstHead"/>
        <w:spacing w:after="0"/>
        <w:jc w:val="both"/>
        <w:rPr>
          <w:rFonts w:ascii="Arial" w:hAnsi="Arial" w:cs="Arial"/>
        </w:rPr>
      </w:pPr>
    </w:p>
    <w:p w14:paraId="6DFD39E8" w14:textId="77777777" w:rsidR="00B01FCD" w:rsidRPr="009465C6" w:rsidRDefault="00B01FCD" w:rsidP="00441B6F">
      <w:pPr>
        <w:pStyle w:val="AbstHead"/>
        <w:spacing w:after="0"/>
        <w:jc w:val="both"/>
        <w:rPr>
          <w:rFonts w:ascii="Arial" w:hAnsi="Arial" w:cs="Arial"/>
        </w:rPr>
      </w:pPr>
      <w:r w:rsidRPr="009465C6">
        <w:rPr>
          <w:rFonts w:ascii="Arial" w:hAnsi="Arial" w:cs="Arial"/>
        </w:rPr>
        <w:t>ABSTRACT</w:t>
      </w:r>
      <w:r w:rsidR="0066510A" w:rsidRPr="009465C6">
        <w:rPr>
          <w:rFonts w:ascii="Arial" w:hAnsi="Arial" w:cs="Arial"/>
        </w:rPr>
        <w:t xml:space="preserve"> </w:t>
      </w:r>
    </w:p>
    <w:p w14:paraId="26A35A04" w14:textId="77777777" w:rsidR="00790ADA" w:rsidRPr="009465C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9465C6" w14:paraId="448E4FC0" w14:textId="77777777" w:rsidTr="001E44FE">
        <w:tc>
          <w:tcPr>
            <w:tcW w:w="9576" w:type="dxa"/>
            <w:shd w:val="clear" w:color="auto" w:fill="F2F2F2"/>
          </w:tcPr>
          <w:p w14:paraId="63C1121C" w14:textId="77777777" w:rsidR="0011286C" w:rsidRPr="009465C6" w:rsidRDefault="0011286C" w:rsidP="0011286C">
            <w:pPr>
              <w:pStyle w:val="isselectedend"/>
              <w:rPr>
                <w:rFonts w:ascii="Arial Rounded MT Bold" w:hAnsi="Arial Rounded MT Bold"/>
                <w:sz w:val="22"/>
                <w:szCs w:val="22"/>
              </w:rPr>
            </w:pPr>
            <w:r w:rsidRPr="009465C6">
              <w:rPr>
                <w:rFonts w:ascii="Arial Rounded MT Bold" w:hAnsi="Arial Rounded MT Bold"/>
                <w:sz w:val="22"/>
                <w:szCs w:val="22"/>
              </w:rPr>
              <w:t>Airborne particulate matter (PM) poses significant health risks to individuals exposed to occupational and environmental pollutants, such as calcium sulfate dihydrate (CaSO</w:t>
            </w:r>
            <w:r w:rsidRPr="009465C6">
              <w:rPr>
                <w:rFonts w:ascii="Cambria Math" w:hAnsi="Cambria Math" w:cs="Cambria Math"/>
                <w:sz w:val="22"/>
                <w:szCs w:val="22"/>
              </w:rPr>
              <w:t>₄</w:t>
            </w:r>
            <w:r w:rsidRPr="009465C6">
              <w:rPr>
                <w:rFonts w:ascii="Calibri" w:hAnsi="Calibri" w:cs="Calibri"/>
                <w:sz w:val="22"/>
                <w:szCs w:val="22"/>
              </w:rPr>
              <w:t>·</w:t>
            </w:r>
            <w:r w:rsidRPr="009465C6">
              <w:rPr>
                <w:rFonts w:ascii="Arial Rounded MT Bold" w:hAnsi="Arial Rounded MT Bold"/>
                <w:sz w:val="22"/>
                <w:szCs w:val="22"/>
              </w:rPr>
              <w:t>2H</w:t>
            </w:r>
            <w:r w:rsidRPr="009465C6">
              <w:rPr>
                <w:rFonts w:ascii="Cambria Math" w:hAnsi="Cambria Math" w:cs="Cambria Math"/>
                <w:sz w:val="22"/>
                <w:szCs w:val="22"/>
              </w:rPr>
              <w:t>₂</w:t>
            </w:r>
            <w:r w:rsidRPr="009465C6">
              <w:rPr>
                <w:rFonts w:ascii="Arial Rounded MT Bold" w:hAnsi="Arial Rounded MT Bold"/>
                <w:sz w:val="22"/>
                <w:szCs w:val="22"/>
              </w:rPr>
              <w:t>O), particularly affecting the respiratory system. This study assessed the effects of long-term inhalation of CaSO</w:t>
            </w:r>
            <w:r w:rsidRPr="009465C6">
              <w:rPr>
                <w:rFonts w:ascii="Cambria Math" w:hAnsi="Cambria Math" w:cs="Cambria Math"/>
                <w:sz w:val="22"/>
                <w:szCs w:val="22"/>
              </w:rPr>
              <w:t>₄</w:t>
            </w:r>
            <w:r w:rsidRPr="009465C6">
              <w:rPr>
                <w:rFonts w:ascii="Calibri" w:hAnsi="Calibri" w:cs="Calibri"/>
                <w:sz w:val="22"/>
                <w:szCs w:val="22"/>
              </w:rPr>
              <w:t>·</w:t>
            </w:r>
            <w:r w:rsidRPr="009465C6">
              <w:rPr>
                <w:rFonts w:ascii="Arial Rounded MT Bold" w:hAnsi="Arial Rounded MT Bold"/>
                <w:sz w:val="22"/>
                <w:szCs w:val="22"/>
              </w:rPr>
              <w:t>2H</w:t>
            </w:r>
            <w:r w:rsidRPr="009465C6">
              <w:rPr>
                <w:rFonts w:ascii="Cambria Math" w:hAnsi="Cambria Math" w:cs="Cambria Math"/>
                <w:sz w:val="22"/>
                <w:szCs w:val="22"/>
              </w:rPr>
              <w:t>₂</w:t>
            </w:r>
            <w:r w:rsidRPr="009465C6">
              <w:rPr>
                <w:rFonts w:ascii="Arial Rounded MT Bold" w:hAnsi="Arial Rounded MT Bold"/>
                <w:sz w:val="22"/>
                <w:szCs w:val="22"/>
              </w:rPr>
              <w:t>O dust on lung function and inflammatory biomarkers among exposed individuals in Calabar Municipality, Cross River State, Nigeria. A total of 80 adult participants were enrolled and assigned to two groups. Exposed individuals were assigned to Group I, whereas non-exposed individuals were assigned to Group II. Pulmonary function was assessed using a Vitalograph, while ELISA kits were used to assess inflammation. The exposed group showed decreases in key pulmonary parameters, such as FEV</w:t>
            </w:r>
            <w:r w:rsidRPr="009465C6">
              <w:rPr>
                <w:rFonts w:ascii="Cambria Math" w:hAnsi="Cambria Math" w:cs="Cambria Math"/>
                <w:sz w:val="22"/>
                <w:szCs w:val="22"/>
              </w:rPr>
              <w:t>₁</w:t>
            </w:r>
            <w:r w:rsidRPr="009465C6">
              <w:rPr>
                <w:rFonts w:ascii="Arial Rounded MT Bold" w:hAnsi="Arial Rounded MT Bold"/>
                <w:sz w:val="22"/>
                <w:szCs w:val="22"/>
              </w:rPr>
              <w:t>, FEV</w:t>
            </w:r>
            <w:r w:rsidRPr="009465C6">
              <w:rPr>
                <w:rFonts w:ascii="Cambria Math" w:hAnsi="Cambria Math" w:cs="Cambria Math"/>
                <w:sz w:val="22"/>
                <w:szCs w:val="22"/>
              </w:rPr>
              <w:t>₁</w:t>
            </w:r>
            <w:r w:rsidRPr="009465C6">
              <w:rPr>
                <w:rFonts w:ascii="Arial Rounded MT Bold" w:hAnsi="Arial Rounded MT Bold"/>
                <w:sz w:val="22"/>
                <w:szCs w:val="22"/>
              </w:rPr>
              <w:t>%, and PEFR, compared with the control group. Conversely, respiratory rate and minute volume were elevated in the exposed group relative to the controls. Inflammatory biomarker levels were significantly elevated (P &lt; 0.001) in the exposed group compared with the controls. Significant increases were observed in FVC, respiratory rate, and minute ventilation, suggesting compensatory respiratory mechanisms. Serum levels of CRP and IL-6 were significantly elevated in the exposed group, confirming the presence of systemic inflammation associated with dust inhalation. The exposed group showed decreases in key pulmonary parameters compared with the control group. These findings indicate that chronic exposure to calcium sulfate dihydrate dust is associated with reduced lung function and an obstructive respiratory pattern. This was reflected in reduced spirometric volumes. The findings of this study indicate that chronic exposure to calcium sulfate dihydrate dust is associated with reduced lung function and an obstructive respiratory pattern. These outcomes emphasise the need for effective dust-control measures, the use of personal protective equipment, and regular medical monitoring of workers in dust-prone environments to prevent long-term respiratory complications.</w:t>
            </w:r>
          </w:p>
          <w:p w14:paraId="00E0A108" w14:textId="77777777" w:rsidR="00505F06" w:rsidRPr="009465C6" w:rsidRDefault="00505F06" w:rsidP="00441B6F">
            <w:pPr>
              <w:pStyle w:val="Body"/>
              <w:spacing w:after="0"/>
              <w:rPr>
                <w:rFonts w:ascii="Arial" w:eastAsia="Calibri" w:hAnsi="Arial" w:cs="Arial"/>
                <w:szCs w:val="22"/>
              </w:rPr>
            </w:pPr>
          </w:p>
        </w:tc>
      </w:tr>
    </w:tbl>
    <w:p w14:paraId="22965A29" w14:textId="77777777" w:rsidR="00636EB2" w:rsidRPr="009465C6" w:rsidRDefault="00636EB2" w:rsidP="00441B6F">
      <w:pPr>
        <w:pStyle w:val="Body"/>
        <w:spacing w:after="0"/>
        <w:rPr>
          <w:rFonts w:ascii="Arial" w:hAnsi="Arial" w:cs="Arial"/>
          <w:i/>
        </w:rPr>
      </w:pPr>
    </w:p>
    <w:p w14:paraId="7D0D9AED" w14:textId="591D7AFB" w:rsidR="00505F06" w:rsidRDefault="00A24E7E" w:rsidP="00441B6F">
      <w:pPr>
        <w:pStyle w:val="Body"/>
        <w:spacing w:after="0"/>
        <w:rPr>
          <w:rFonts w:ascii="Arial" w:hAnsi="Arial" w:cs="Arial"/>
        </w:rPr>
      </w:pPr>
      <w:r w:rsidRPr="009465C6">
        <w:rPr>
          <w:rFonts w:ascii="Arial" w:hAnsi="Arial" w:cs="Arial"/>
          <w:i/>
        </w:rPr>
        <w:t xml:space="preserve">Keywords: </w:t>
      </w:r>
      <w:r w:rsidR="007C03F6" w:rsidRPr="009465C6">
        <w:rPr>
          <w:rFonts w:ascii="Arial" w:hAnsi="Arial" w:cs="Arial"/>
        </w:rPr>
        <w:t xml:space="preserve">Calcium sulfate dihydrate, inflammatory biomarkers, respiratory function, spirometry, </w:t>
      </w:r>
      <w:r w:rsidR="008C1C2D" w:rsidRPr="009465C6">
        <w:rPr>
          <w:rFonts w:ascii="Arial" w:hAnsi="Arial" w:cs="Arial"/>
        </w:rPr>
        <w:t>C-reactive protein</w:t>
      </w:r>
    </w:p>
    <w:p w14:paraId="2356FAF5" w14:textId="77777777" w:rsidR="00674A2A" w:rsidRPr="009465C6" w:rsidRDefault="00674A2A" w:rsidP="00441B6F">
      <w:pPr>
        <w:pStyle w:val="Body"/>
        <w:spacing w:after="0"/>
        <w:rPr>
          <w:rFonts w:ascii="Arial" w:hAnsi="Arial" w:cs="Arial"/>
        </w:rPr>
      </w:pPr>
    </w:p>
    <w:p w14:paraId="0DFD739B" w14:textId="77777777" w:rsidR="00790ADA" w:rsidRPr="009465C6" w:rsidRDefault="00B01FCD" w:rsidP="00441B6F">
      <w:pPr>
        <w:pStyle w:val="AbstHead"/>
        <w:spacing w:after="0"/>
        <w:jc w:val="both"/>
        <w:rPr>
          <w:rFonts w:ascii="Arial" w:hAnsi="Arial" w:cs="Arial"/>
        </w:rPr>
      </w:pPr>
      <w:r w:rsidRPr="009465C6">
        <w:rPr>
          <w:rFonts w:ascii="Arial" w:hAnsi="Arial" w:cs="Arial"/>
        </w:rPr>
        <w:t>INTRODUCTION</w:t>
      </w:r>
    </w:p>
    <w:p w14:paraId="4F48BE60" w14:textId="77777777" w:rsidR="007C03F6" w:rsidRPr="009465C6" w:rsidRDefault="007C03F6" w:rsidP="007C03F6">
      <w:pPr>
        <w:spacing w:before="100" w:beforeAutospacing="1" w:after="100" w:afterAutospacing="1" w:line="480" w:lineRule="auto"/>
        <w:jc w:val="both"/>
        <w:rPr>
          <w:rFonts w:ascii="Arial Rounded MT Bold" w:hAnsi="Arial Rounded MT Bold"/>
          <w:sz w:val="22"/>
          <w:szCs w:val="22"/>
        </w:rPr>
      </w:pPr>
      <w:r w:rsidRPr="009465C6">
        <w:rPr>
          <w:rFonts w:ascii="Arial Rounded MT Bold" w:hAnsi="Arial Rounded MT Bold"/>
          <w:sz w:val="22"/>
          <w:szCs w:val="22"/>
        </w:rPr>
        <w:t>Airborne particulate matter (PM) poses significant health risks, particularly to individuals exposed to occupational and environmental pollutants. Calcium sulfate dihydrate (CaSO</w:t>
      </w:r>
      <w:r w:rsidRPr="009465C6">
        <w:rPr>
          <w:rFonts w:ascii="Cambria Math" w:hAnsi="Cambria Math" w:cs="Cambria Math"/>
          <w:sz w:val="22"/>
          <w:szCs w:val="22"/>
        </w:rPr>
        <w:t>₄·</w:t>
      </w:r>
      <w:r w:rsidRPr="009465C6">
        <w:rPr>
          <w:rFonts w:ascii="Arial Rounded MT Bold" w:hAnsi="Arial Rounded MT Bold"/>
          <w:sz w:val="22"/>
          <w:szCs w:val="22"/>
        </w:rPr>
        <w:t>2H</w:t>
      </w:r>
      <w:r w:rsidRPr="009465C6">
        <w:rPr>
          <w:rFonts w:ascii="Cambria Math" w:hAnsi="Cambria Math" w:cs="Cambria Math"/>
          <w:sz w:val="22"/>
          <w:szCs w:val="22"/>
        </w:rPr>
        <w:t>₂</w:t>
      </w:r>
      <w:r w:rsidRPr="009465C6">
        <w:rPr>
          <w:rFonts w:ascii="Arial Rounded MT Bold" w:hAnsi="Arial Rounded MT Bold"/>
          <w:sz w:val="22"/>
          <w:szCs w:val="22"/>
        </w:rPr>
        <w:t xml:space="preserve">O), commonly known as gypsum, is widely used in construction, agriculture, and industrial applications. Prolonged exposure to its dust can lead to respiratory complications and systemic inflammation, potentially predisposing individuals to chronic respiratory diseases (Neghab </w:t>
      </w:r>
      <w:r w:rsidRPr="009465C6">
        <w:rPr>
          <w:rFonts w:ascii="Arial Rounded MT Bold" w:hAnsi="Arial Rounded MT Bold"/>
          <w:i/>
          <w:sz w:val="22"/>
          <w:szCs w:val="22"/>
        </w:rPr>
        <w:t>et al.,</w:t>
      </w:r>
      <w:r w:rsidRPr="009465C6">
        <w:rPr>
          <w:rFonts w:ascii="Arial Rounded MT Bold" w:hAnsi="Arial Rounded MT Bold"/>
          <w:sz w:val="22"/>
          <w:szCs w:val="22"/>
        </w:rPr>
        <w:t xml:space="preserve"> 2016). In Calabar Municipality, where gypsum-related activities such as cement production and construction are prevalent, workers and </w:t>
      </w:r>
      <w:r w:rsidRPr="009465C6">
        <w:rPr>
          <w:rFonts w:ascii="Arial Rounded MT Bold" w:hAnsi="Arial Rounded MT Bold"/>
          <w:sz w:val="22"/>
          <w:szCs w:val="22"/>
        </w:rPr>
        <w:lastRenderedPageBreak/>
        <w:t xml:space="preserve">residents may experience prolonged exposure to inhalable particles, raising concerns about potential health effects. </w:t>
      </w:r>
      <w:r w:rsidRPr="009465C6">
        <w:rPr>
          <w:rFonts w:ascii="Arial Rounded MT Bold" w:hAnsi="Arial Rounded MT Bold"/>
          <w:bCs/>
          <w:sz w:val="22"/>
          <w:szCs w:val="22"/>
        </w:rPr>
        <w:t xml:space="preserve">The exposure of industrial workers to airborne particulate matter remains a significant occupational health concern worldwide. Among these particles, calcium sulfate dihydrate (gypsum) has received comparatively little attention despite its extensive industrial use in construction, agriculture, and manufacturing. Although calcium sulfate dihydrate is considered less toxic than substances such as silica or asbestos, chronic exposure to its fine particles can cause adverse health effects. </w:t>
      </w:r>
      <w:r w:rsidRPr="009465C6">
        <w:rPr>
          <w:rFonts w:ascii="Arial Rounded MT Bold" w:hAnsi="Arial Rounded MT Bold"/>
          <w:sz w:val="22"/>
          <w:szCs w:val="22"/>
        </w:rPr>
        <w:t>When heated, calcium sulfate hemihydrate (CaSO</w:t>
      </w:r>
      <w:r w:rsidRPr="009465C6">
        <w:rPr>
          <w:rFonts w:ascii="Cambria Math" w:hAnsi="Cambria Math" w:cs="Cambria Math"/>
          <w:sz w:val="22"/>
          <w:szCs w:val="22"/>
        </w:rPr>
        <w:t>₄·</w:t>
      </w:r>
      <w:r w:rsidRPr="009465C6">
        <w:rPr>
          <w:rFonts w:ascii="Arial Rounded MT Bold" w:hAnsi="Arial Rounded MT Bold" w:cs="Arial Rounded MT Bold"/>
          <w:sz w:val="22"/>
          <w:szCs w:val="22"/>
        </w:rPr>
        <w:t>½</w:t>
      </w:r>
      <w:r w:rsidRPr="009465C6">
        <w:rPr>
          <w:rFonts w:ascii="Arial Rounded MT Bold" w:hAnsi="Arial Rounded MT Bold"/>
          <w:sz w:val="22"/>
          <w:szCs w:val="22"/>
        </w:rPr>
        <w:t>H</w:t>
      </w:r>
      <w:r w:rsidRPr="009465C6">
        <w:rPr>
          <w:rFonts w:ascii="Cambria Math" w:hAnsi="Cambria Math" w:cs="Cambria Math"/>
          <w:sz w:val="22"/>
          <w:szCs w:val="22"/>
        </w:rPr>
        <w:t>₂</w:t>
      </w:r>
      <w:r w:rsidRPr="009465C6">
        <w:rPr>
          <w:rFonts w:ascii="Arial Rounded MT Bold" w:hAnsi="Arial Rounded MT Bold"/>
          <w:sz w:val="22"/>
          <w:szCs w:val="22"/>
        </w:rPr>
        <w:t xml:space="preserve">O) is used to make plaster of Paris, which is widely used in moulds, sculptures, and building materials. It is a primary component of drywall, a key construction material for walls and ceilings (Bohner, 2000). It is also used as a </w:t>
      </w:r>
      <w:r w:rsidRPr="009465C6">
        <w:rPr>
          <w:rStyle w:val="Strong"/>
          <w:rFonts w:ascii="Arial Rounded MT Bold" w:hAnsi="Arial Rounded MT Bold"/>
          <w:b w:val="0"/>
          <w:sz w:val="22"/>
          <w:szCs w:val="22"/>
        </w:rPr>
        <w:t>soil conditioner</w:t>
      </w:r>
      <w:r w:rsidRPr="009465C6">
        <w:rPr>
          <w:rFonts w:ascii="Arial Rounded MT Bold" w:hAnsi="Arial Rounded MT Bold"/>
          <w:sz w:val="22"/>
          <w:szCs w:val="22"/>
        </w:rPr>
        <w:t xml:space="preserve"> to improve soil structure and reduce acidity, providing essential nutrients such as </w:t>
      </w:r>
      <w:r w:rsidRPr="009465C6">
        <w:rPr>
          <w:rStyle w:val="Strong"/>
          <w:rFonts w:ascii="Arial Rounded MT Bold" w:hAnsi="Arial Rounded MT Bold"/>
          <w:b w:val="0"/>
          <w:sz w:val="22"/>
          <w:szCs w:val="22"/>
        </w:rPr>
        <w:t>calcium</w:t>
      </w:r>
      <w:r w:rsidRPr="009465C6">
        <w:rPr>
          <w:rFonts w:ascii="Arial Rounded MT Bold" w:hAnsi="Arial Rounded MT Bold"/>
          <w:b/>
          <w:sz w:val="22"/>
          <w:szCs w:val="22"/>
        </w:rPr>
        <w:t xml:space="preserve"> </w:t>
      </w:r>
      <w:r w:rsidRPr="009465C6">
        <w:rPr>
          <w:rFonts w:ascii="Arial Rounded MT Bold" w:hAnsi="Arial Rounded MT Bold"/>
          <w:sz w:val="22"/>
          <w:szCs w:val="22"/>
        </w:rPr>
        <w:t xml:space="preserve">and </w:t>
      </w:r>
      <w:r w:rsidRPr="009465C6">
        <w:rPr>
          <w:rStyle w:val="Strong"/>
          <w:rFonts w:ascii="Arial Rounded MT Bold" w:hAnsi="Arial Rounded MT Bold"/>
          <w:b w:val="0"/>
          <w:sz w:val="22"/>
          <w:szCs w:val="22"/>
        </w:rPr>
        <w:t>sulphur</w:t>
      </w:r>
      <w:r w:rsidRPr="009465C6">
        <w:rPr>
          <w:rFonts w:ascii="Arial Rounded MT Bold" w:hAnsi="Arial Rounded MT Bold"/>
          <w:sz w:val="22"/>
          <w:szCs w:val="22"/>
        </w:rPr>
        <w:t xml:space="preserve"> for plant growth. In the food industry, it acts as a </w:t>
      </w:r>
      <w:r w:rsidRPr="009465C6">
        <w:rPr>
          <w:rStyle w:val="Strong"/>
          <w:rFonts w:ascii="Arial Rounded MT Bold" w:hAnsi="Arial Rounded MT Bold"/>
          <w:b w:val="0"/>
          <w:sz w:val="22"/>
          <w:szCs w:val="22"/>
        </w:rPr>
        <w:t>firming agent</w:t>
      </w:r>
      <w:r w:rsidRPr="009465C6">
        <w:rPr>
          <w:rFonts w:ascii="Arial Rounded MT Bold" w:hAnsi="Arial Rounded MT Bold"/>
          <w:sz w:val="22"/>
          <w:szCs w:val="22"/>
        </w:rPr>
        <w:t xml:space="preserve"> and </w:t>
      </w:r>
      <w:r w:rsidRPr="009465C6">
        <w:rPr>
          <w:rStyle w:val="Strong"/>
          <w:rFonts w:ascii="Arial Rounded MT Bold" w:hAnsi="Arial Rounded MT Bold"/>
          <w:b w:val="0"/>
          <w:sz w:val="22"/>
          <w:szCs w:val="22"/>
        </w:rPr>
        <w:t>coagulant</w:t>
      </w:r>
      <w:r w:rsidRPr="009465C6">
        <w:rPr>
          <w:rFonts w:ascii="Arial Rounded MT Bold" w:hAnsi="Arial Rounded MT Bold"/>
          <w:sz w:val="22"/>
          <w:szCs w:val="22"/>
        </w:rPr>
        <w:t xml:space="preserve">, particularly in products such as tofu. In the European Union, it is recognised as </w:t>
      </w:r>
      <w:r w:rsidRPr="009465C6">
        <w:rPr>
          <w:rStyle w:val="Strong"/>
          <w:rFonts w:ascii="Arial Rounded MT Bold" w:hAnsi="Arial Rounded MT Bold"/>
          <w:b w:val="0"/>
          <w:sz w:val="22"/>
          <w:szCs w:val="22"/>
        </w:rPr>
        <w:t>food</w:t>
      </w:r>
      <w:r w:rsidRPr="009465C6">
        <w:rPr>
          <w:rStyle w:val="Strong"/>
          <w:rFonts w:ascii="Arial Rounded MT Bold" w:hAnsi="Arial Rounded MT Bold"/>
          <w:sz w:val="22"/>
          <w:szCs w:val="22"/>
        </w:rPr>
        <w:t xml:space="preserve"> </w:t>
      </w:r>
      <w:r w:rsidRPr="009465C6">
        <w:rPr>
          <w:rStyle w:val="Strong"/>
          <w:rFonts w:ascii="Arial Rounded MT Bold" w:hAnsi="Arial Rounded MT Bold"/>
          <w:b w:val="0"/>
          <w:sz w:val="22"/>
          <w:szCs w:val="22"/>
        </w:rPr>
        <w:t>additive E516</w:t>
      </w:r>
      <w:r w:rsidRPr="009465C6">
        <w:rPr>
          <w:rFonts w:ascii="Arial Rounded MT Bold" w:hAnsi="Arial Rounded MT Bold"/>
          <w:sz w:val="22"/>
          <w:szCs w:val="22"/>
        </w:rPr>
        <w:t xml:space="preserve"> (European Commission, n.d.). It is also used in medicine for </w:t>
      </w:r>
      <w:r w:rsidRPr="009465C6">
        <w:rPr>
          <w:rStyle w:val="Strong"/>
          <w:rFonts w:ascii="Arial Rounded MT Bold" w:hAnsi="Arial Rounded MT Bold"/>
          <w:b w:val="0"/>
          <w:sz w:val="22"/>
          <w:szCs w:val="22"/>
        </w:rPr>
        <w:t>bone grafts</w:t>
      </w:r>
      <w:r w:rsidRPr="009465C6">
        <w:rPr>
          <w:rFonts w:ascii="Arial Rounded MT Bold" w:hAnsi="Arial Rounded MT Bold"/>
          <w:sz w:val="22"/>
          <w:szCs w:val="22"/>
        </w:rPr>
        <w:t xml:space="preserve"> and </w:t>
      </w:r>
      <w:r w:rsidRPr="009465C6">
        <w:rPr>
          <w:rStyle w:val="Strong"/>
          <w:rFonts w:ascii="Arial Rounded MT Bold" w:hAnsi="Arial Rounded MT Bold"/>
          <w:b w:val="0"/>
          <w:sz w:val="22"/>
          <w:szCs w:val="22"/>
        </w:rPr>
        <w:t>dental moulds</w:t>
      </w:r>
      <w:r w:rsidRPr="009465C6">
        <w:rPr>
          <w:rFonts w:ascii="Arial Rounded MT Bold" w:hAnsi="Arial Rounded MT Bold"/>
          <w:sz w:val="22"/>
          <w:szCs w:val="22"/>
        </w:rPr>
        <w:t xml:space="preserve"> because of its biocompatibility and ability to support bone growth (Bohner, 2000). In water treatment, it helps to remove fluoride and other impurities through precipitation reactions (MWH, 2005). Calcium sulfate dihydrate (CaSO</w:t>
      </w:r>
      <w:r w:rsidRPr="009465C6">
        <w:rPr>
          <w:rFonts w:ascii="Cambria Math" w:hAnsi="Cambria Math" w:cs="Cambria Math"/>
          <w:sz w:val="22"/>
          <w:szCs w:val="22"/>
        </w:rPr>
        <w:t>₄·</w:t>
      </w:r>
      <w:r w:rsidRPr="009465C6">
        <w:rPr>
          <w:rFonts w:ascii="Arial Rounded MT Bold" w:hAnsi="Arial Rounded MT Bold"/>
          <w:sz w:val="22"/>
          <w:szCs w:val="22"/>
        </w:rPr>
        <w:t>2H</w:t>
      </w:r>
      <w:r w:rsidRPr="009465C6">
        <w:rPr>
          <w:rFonts w:ascii="Cambria Math" w:hAnsi="Cambria Math" w:cs="Cambria Math"/>
          <w:sz w:val="22"/>
          <w:szCs w:val="22"/>
        </w:rPr>
        <w:t>₂</w:t>
      </w:r>
      <w:r w:rsidRPr="009465C6">
        <w:rPr>
          <w:rFonts w:ascii="Arial Rounded MT Bold" w:hAnsi="Arial Rounded MT Bold"/>
          <w:sz w:val="22"/>
          <w:szCs w:val="22"/>
        </w:rPr>
        <w:t xml:space="preserve">O) occurs naturally mainly as </w:t>
      </w:r>
      <w:r w:rsidRPr="009465C6">
        <w:rPr>
          <w:rStyle w:val="Strong"/>
          <w:rFonts w:ascii="Arial Rounded MT Bold" w:hAnsi="Arial Rounded MT Bold"/>
          <w:b w:val="0"/>
          <w:sz w:val="22"/>
          <w:szCs w:val="22"/>
        </w:rPr>
        <w:t>gypsum</w:t>
      </w:r>
      <w:r w:rsidRPr="009465C6">
        <w:rPr>
          <w:rFonts w:ascii="Arial Rounded MT Bold" w:hAnsi="Arial Rounded MT Bold"/>
          <w:sz w:val="22"/>
          <w:szCs w:val="22"/>
        </w:rPr>
        <w:t xml:space="preserve"> (CaSO</w:t>
      </w:r>
      <w:r w:rsidRPr="009465C6">
        <w:rPr>
          <w:rFonts w:ascii="Cambria Math" w:hAnsi="Cambria Math" w:cs="Cambria Math"/>
          <w:sz w:val="22"/>
          <w:szCs w:val="22"/>
        </w:rPr>
        <w:t>₄·</w:t>
      </w:r>
      <w:r w:rsidRPr="009465C6">
        <w:rPr>
          <w:rFonts w:ascii="Arial Rounded MT Bold" w:hAnsi="Arial Rounded MT Bold"/>
          <w:sz w:val="22"/>
          <w:szCs w:val="22"/>
        </w:rPr>
        <w:t>2H</w:t>
      </w:r>
      <w:r w:rsidRPr="009465C6">
        <w:rPr>
          <w:rFonts w:ascii="Cambria Math" w:hAnsi="Cambria Math" w:cs="Cambria Math"/>
          <w:sz w:val="22"/>
          <w:szCs w:val="22"/>
        </w:rPr>
        <w:t>₂</w:t>
      </w:r>
      <w:r w:rsidRPr="009465C6">
        <w:rPr>
          <w:rFonts w:ascii="Arial Rounded MT Bold" w:hAnsi="Arial Rounded MT Bold"/>
          <w:sz w:val="22"/>
          <w:szCs w:val="22"/>
        </w:rPr>
        <w:t xml:space="preserve">O), whereas </w:t>
      </w:r>
      <w:r w:rsidRPr="009465C6">
        <w:rPr>
          <w:rStyle w:val="Strong"/>
          <w:rFonts w:ascii="Arial Rounded MT Bold" w:hAnsi="Arial Rounded MT Bold"/>
          <w:b w:val="0"/>
          <w:sz w:val="22"/>
          <w:szCs w:val="22"/>
        </w:rPr>
        <w:t>anhydrite</w:t>
      </w:r>
      <w:r w:rsidRPr="009465C6">
        <w:rPr>
          <w:rFonts w:ascii="Arial Rounded MT Bold" w:hAnsi="Arial Rounded MT Bold"/>
          <w:sz w:val="22"/>
          <w:szCs w:val="22"/>
        </w:rPr>
        <w:t xml:space="preserve"> occurs as CaSO</w:t>
      </w:r>
      <w:r w:rsidRPr="009465C6">
        <w:rPr>
          <w:rFonts w:ascii="Cambria Math" w:hAnsi="Cambria Math" w:cs="Cambria Math"/>
          <w:sz w:val="22"/>
          <w:szCs w:val="22"/>
        </w:rPr>
        <w:t>₄</w:t>
      </w:r>
      <w:r w:rsidRPr="009465C6">
        <w:rPr>
          <w:rFonts w:ascii="Arial Rounded MT Bold" w:hAnsi="Arial Rounded MT Bold"/>
          <w:sz w:val="22"/>
          <w:szCs w:val="22"/>
        </w:rPr>
        <w:t xml:space="preserve">. Major deposits occur in countries such as </w:t>
      </w:r>
      <w:r w:rsidRPr="009465C6">
        <w:rPr>
          <w:rStyle w:val="Strong"/>
          <w:rFonts w:ascii="Arial Rounded MT Bold" w:hAnsi="Arial Rounded MT Bold"/>
          <w:b w:val="0"/>
          <w:sz w:val="22"/>
          <w:szCs w:val="22"/>
        </w:rPr>
        <w:t>China</w:t>
      </w:r>
      <w:r w:rsidRPr="009465C6">
        <w:rPr>
          <w:rFonts w:ascii="Arial Rounded MT Bold" w:hAnsi="Arial Rounded MT Bold"/>
          <w:b/>
          <w:sz w:val="22"/>
          <w:szCs w:val="22"/>
        </w:rPr>
        <w:t xml:space="preserve">, </w:t>
      </w:r>
      <w:r w:rsidRPr="009465C6">
        <w:rPr>
          <w:rStyle w:val="Strong"/>
          <w:rFonts w:ascii="Arial Rounded MT Bold" w:hAnsi="Arial Rounded MT Bold"/>
          <w:b w:val="0"/>
          <w:sz w:val="22"/>
          <w:szCs w:val="22"/>
        </w:rPr>
        <w:t>Iran</w:t>
      </w:r>
      <w:r w:rsidRPr="009465C6">
        <w:rPr>
          <w:rFonts w:ascii="Arial Rounded MT Bold" w:hAnsi="Arial Rounded MT Bold"/>
          <w:b/>
          <w:sz w:val="22"/>
          <w:szCs w:val="22"/>
        </w:rPr>
        <w:t xml:space="preserve">, </w:t>
      </w:r>
      <w:r w:rsidRPr="009465C6">
        <w:rPr>
          <w:rStyle w:val="Strong"/>
          <w:rFonts w:ascii="Arial Rounded MT Bold" w:hAnsi="Arial Rounded MT Bold"/>
          <w:b w:val="0"/>
          <w:sz w:val="22"/>
          <w:szCs w:val="22"/>
        </w:rPr>
        <w:t>Thailand</w:t>
      </w:r>
      <w:r w:rsidRPr="009465C6">
        <w:rPr>
          <w:rFonts w:ascii="Arial Rounded MT Bold" w:hAnsi="Arial Rounded MT Bold"/>
          <w:sz w:val="22"/>
          <w:szCs w:val="22"/>
        </w:rPr>
        <w:t xml:space="preserve">, and the </w:t>
      </w:r>
      <w:r w:rsidRPr="009465C6">
        <w:rPr>
          <w:rStyle w:val="Strong"/>
          <w:rFonts w:ascii="Arial Rounded MT Bold" w:hAnsi="Arial Rounded MT Bold"/>
          <w:b w:val="0"/>
          <w:sz w:val="22"/>
          <w:szCs w:val="22"/>
        </w:rPr>
        <w:t>United States</w:t>
      </w:r>
      <w:r w:rsidRPr="009465C6">
        <w:rPr>
          <w:rFonts w:ascii="Arial Rounded MT Bold" w:hAnsi="Arial Rounded MT Bold"/>
          <w:sz w:val="22"/>
          <w:szCs w:val="22"/>
        </w:rPr>
        <w:t xml:space="preserve">. These minerals often occur in </w:t>
      </w:r>
      <w:r w:rsidRPr="009465C6">
        <w:rPr>
          <w:rStyle w:val="Strong"/>
          <w:rFonts w:ascii="Arial Rounded MT Bold" w:hAnsi="Arial Rounded MT Bold"/>
          <w:b w:val="0"/>
          <w:sz w:val="22"/>
          <w:szCs w:val="22"/>
        </w:rPr>
        <w:t>sedimentary rock</w:t>
      </w:r>
      <w:r w:rsidRPr="009465C6">
        <w:rPr>
          <w:rStyle w:val="Strong"/>
          <w:rFonts w:ascii="Arial Rounded MT Bold" w:hAnsi="Arial Rounded MT Bold"/>
          <w:sz w:val="22"/>
          <w:szCs w:val="22"/>
        </w:rPr>
        <w:t xml:space="preserve"> </w:t>
      </w:r>
      <w:r w:rsidRPr="009465C6">
        <w:rPr>
          <w:rStyle w:val="Strong"/>
          <w:rFonts w:ascii="Arial Rounded MT Bold" w:hAnsi="Arial Rounded MT Bold"/>
          <w:b w:val="0"/>
          <w:sz w:val="22"/>
          <w:szCs w:val="22"/>
        </w:rPr>
        <w:t>formations</w:t>
      </w:r>
      <w:r w:rsidRPr="009465C6">
        <w:rPr>
          <w:rFonts w:ascii="Arial Rounded MT Bold" w:hAnsi="Arial Rounded MT Bold"/>
          <w:b/>
          <w:sz w:val="22"/>
          <w:szCs w:val="22"/>
        </w:rPr>
        <w:t>,</w:t>
      </w:r>
      <w:r w:rsidRPr="009465C6">
        <w:rPr>
          <w:rFonts w:ascii="Arial Rounded MT Bold" w:hAnsi="Arial Rounded MT Bold"/>
          <w:sz w:val="22"/>
          <w:szCs w:val="22"/>
        </w:rPr>
        <w:t xml:space="preserve"> particularly </w:t>
      </w:r>
      <w:r w:rsidRPr="009465C6">
        <w:rPr>
          <w:rStyle w:val="Strong"/>
          <w:rFonts w:ascii="Arial Rounded MT Bold" w:hAnsi="Arial Rounded MT Bold"/>
          <w:b w:val="0"/>
          <w:sz w:val="22"/>
          <w:szCs w:val="22"/>
        </w:rPr>
        <w:t>evaporite deposits</w:t>
      </w:r>
      <w:r w:rsidRPr="009465C6">
        <w:rPr>
          <w:rFonts w:ascii="Arial Rounded MT Bold" w:hAnsi="Arial Rounded MT Bold"/>
          <w:sz w:val="22"/>
          <w:szCs w:val="22"/>
        </w:rPr>
        <w:t xml:space="preserve"> formed through seawater evaporation (National Minerals Information Center, 2022).</w:t>
      </w:r>
    </w:p>
    <w:p w14:paraId="34BC4424" w14:textId="77777777" w:rsidR="002A233E" w:rsidRPr="009465C6" w:rsidRDefault="00000000">
      <w:pPr>
        <w:pStyle w:val="Body"/>
        <w:spacing w:after="0"/>
        <w:rPr>
          <w:rFonts w:ascii="Arial" w:hAnsi="Arial" w:cs="Arial"/>
          <w:bCs/>
        </w:rPr>
      </w:pPr>
      <w:r w:rsidRPr="009465C6">
        <w:rPr>
          <w:rFonts w:ascii="Arial Rounded MT Bold" w:hAnsi="Arial Rounded MT Bold"/>
          <w:bCs/>
          <w:sz w:val="22"/>
        </w:rPr>
        <w:t>A study of cement workers reported no significant differences in the measured inflammatory markers across groups defined by daily exposure duration, suggesting that exposure duration alone may not fully explain inflammatory variation (Nyebuchi et al., 2022). Environmental monitoring around a Nigerian cement facility also documented periods of poor air quality associated with particulate and gaseous pollutants, reinforcing the relevance of emission control in dust-generating industrial settings (Uzor et al., 2025). Among informal workers exposed to cement dust, lower spirometric indices and a greater burden of respiratory symptoms have been reported than among unexposed workers (Dushyant et al., 2023). In a large occupational study, inflammatory indices partly mediated the association between dust exposure and reductions in FEV₁ and FVC, supporting the concurrent assessment of pulmonary function and systemic inflammation (Zheng et al., 2024).</w:t>
      </w:r>
    </w:p>
    <w:p w14:paraId="358ED5B2" w14:textId="77777777" w:rsidR="00B01FCD" w:rsidRDefault="007C03F6" w:rsidP="007C03F6">
      <w:pPr>
        <w:pStyle w:val="Body"/>
        <w:spacing w:after="0"/>
        <w:rPr>
          <w:rFonts w:ascii="Arial Rounded MT Bold" w:hAnsi="Arial Rounded MT Bold"/>
          <w:sz w:val="22"/>
          <w:szCs w:val="22"/>
        </w:rPr>
      </w:pPr>
      <w:r w:rsidRPr="009465C6">
        <w:rPr>
          <w:rFonts w:ascii="Arial Rounded MT Bold" w:hAnsi="Arial Rounded MT Bold"/>
          <w:bCs/>
          <w:sz w:val="22"/>
          <w:szCs w:val="22"/>
        </w:rPr>
        <w:t>When inhaled, particulate matter, including gypsum, can be deposited along the respiratory tract and bypass natural defence mechanisms such as mucociliary clearance. Over time, this exposure can provoke localised inflammation and systemic immune responses. Inflammatory biomarkers, such as C-reactive protein (CRP), interleukin-6 (IL-6), and tumour necrosis factor-alpha (TNF-</w:t>
      </w:r>
      <w:r w:rsidRPr="009465C6">
        <w:rPr>
          <w:rFonts w:ascii="Calibri" w:hAnsi="Calibri" w:cs="Calibri"/>
          <w:bCs/>
          <w:sz w:val="22"/>
          <w:szCs w:val="22"/>
        </w:rPr>
        <w:t>α</w:t>
      </w:r>
      <w:r w:rsidRPr="009465C6">
        <w:rPr>
          <w:rFonts w:ascii="Arial Rounded MT Bold" w:hAnsi="Arial Rounded MT Bold"/>
          <w:bCs/>
          <w:sz w:val="22"/>
          <w:szCs w:val="22"/>
        </w:rPr>
        <w:t xml:space="preserve">), serve as key indicators of systemic inflammation. Concurrently, respiratory minute volume, which measures the </w:t>
      </w:r>
      <w:r w:rsidRPr="009465C6">
        <w:rPr>
          <w:rFonts w:ascii="Arial Rounded MT Bold" w:hAnsi="Arial Rounded MT Bold"/>
          <w:bCs/>
          <w:sz w:val="22"/>
          <w:szCs w:val="22"/>
        </w:rPr>
        <w:lastRenderedPageBreak/>
        <w:t xml:space="preserve">total volume of air inhaled and exhaled per minute, can indicate functional impairment of the respiratory system due to particulate matter exposure. </w:t>
      </w:r>
      <w:r w:rsidRPr="009465C6">
        <w:rPr>
          <w:rFonts w:ascii="Arial Rounded MT Bold" w:hAnsi="Arial Rounded MT Bold"/>
          <w:sz w:val="22"/>
          <w:szCs w:val="22"/>
        </w:rPr>
        <w:t>Inflammatory biomarkers play a crucial role in assessing physiological responses to airborne pollutants. Biomarkers such as CRP, IL-6, and TNF-</w:t>
      </w:r>
      <w:r w:rsidRPr="009465C6">
        <w:rPr>
          <w:rFonts w:ascii="Calibri" w:hAnsi="Calibri" w:cs="Calibri"/>
          <w:sz w:val="22"/>
          <w:szCs w:val="22"/>
        </w:rPr>
        <w:t>α</w:t>
      </w:r>
      <w:r w:rsidRPr="009465C6">
        <w:rPr>
          <w:rFonts w:ascii="Arial Rounded MT Bold" w:hAnsi="Arial Rounded MT Bold"/>
          <w:sz w:val="22"/>
          <w:szCs w:val="22"/>
        </w:rPr>
        <w:t xml:space="preserve"> have been identified as indicators of systemic inflammation linked to respiratory distress and cardiovascular risk (Hedbrant </w:t>
      </w:r>
      <w:r w:rsidRPr="009465C6">
        <w:rPr>
          <w:rFonts w:ascii="Arial Rounded MT Bold" w:hAnsi="Arial Rounded MT Bold"/>
          <w:i/>
          <w:sz w:val="22"/>
          <w:szCs w:val="22"/>
        </w:rPr>
        <w:t>et al.,</w:t>
      </w:r>
      <w:r w:rsidRPr="009465C6">
        <w:rPr>
          <w:rFonts w:ascii="Arial Rounded MT Bold" w:hAnsi="Arial Rounded MT Bold"/>
          <w:sz w:val="22"/>
          <w:szCs w:val="22"/>
        </w:rPr>
        <w:t xml:space="preserve"> 2023). These markers provide insight into the body's response to chronic exposure to particulate matter, including gypsum dust. Several studies have shown that individuals exposed to high levels of dust pollutants exhibit increased levels of these biomarkers, which are associated with conditions such as chronic obstructive pulmonary disease (COPD) and asthma (Marín-Palma </w:t>
      </w:r>
      <w:r w:rsidRPr="009465C6">
        <w:rPr>
          <w:rFonts w:ascii="Arial Rounded MT Bold" w:hAnsi="Arial Rounded MT Bold"/>
          <w:i/>
          <w:sz w:val="22"/>
          <w:szCs w:val="22"/>
        </w:rPr>
        <w:t>et al.,</w:t>
      </w:r>
      <w:r w:rsidRPr="009465C6">
        <w:rPr>
          <w:rFonts w:ascii="Arial Rounded MT Bold" w:hAnsi="Arial Rounded MT Bold"/>
          <w:sz w:val="22"/>
          <w:szCs w:val="22"/>
        </w:rPr>
        <w:t xml:space="preserve"> 2023). Respiratory minute volume (RMV) is an important physiological parameter that reflects pulmonary function by measuring the volume of air exchanged per minute. Studies have indicated that exposure to airborne pollutants can alter RMV, potentially indicating impaired lung function due to airway inflammation and obstruction (Adetona </w:t>
      </w:r>
      <w:r w:rsidRPr="009465C6">
        <w:rPr>
          <w:rFonts w:ascii="Arial Rounded MT Bold" w:hAnsi="Arial Rounded MT Bold"/>
          <w:i/>
          <w:sz w:val="22"/>
          <w:szCs w:val="22"/>
        </w:rPr>
        <w:t>et al.,</w:t>
      </w:r>
      <w:r w:rsidRPr="009465C6">
        <w:rPr>
          <w:rFonts w:ascii="Arial Rounded MT Bold" w:hAnsi="Arial Rounded MT Bold"/>
          <w:sz w:val="22"/>
          <w:szCs w:val="22"/>
        </w:rPr>
        <w:t xml:space="preserve"> 2011). Long-term exposure to gypsum dust could lead to increased respiratory workload, reduced lung compliance, and an increased risk of chronic respiratory disorders among exposed individuals. Despite existing research on occupational dust exposure, few studies have specifically examined the effects of calcium sulfate dihydrate inhalation on inflammatory biomarkers and respiratory parameters in local populations such as those in Calabar Municipality. This study aimed to compare inflammatory biomarker levels and RMV between individuals with long-term exposure to gypsum dust and non-exposed individuals, thereby providing data relevant to public health policies and occupational safety regulations.</w:t>
      </w:r>
    </w:p>
    <w:p w14:paraId="013CF038" w14:textId="77777777" w:rsidR="00F94D5C" w:rsidRPr="009465C6" w:rsidRDefault="00F94D5C" w:rsidP="007C03F6">
      <w:pPr>
        <w:pStyle w:val="Body"/>
        <w:spacing w:after="0"/>
        <w:rPr>
          <w:rFonts w:ascii="Arial" w:hAnsi="Arial" w:cs="Arial"/>
        </w:rPr>
      </w:pPr>
    </w:p>
    <w:p w14:paraId="43A8E57B" w14:textId="77777777" w:rsidR="007F7B32" w:rsidRPr="009465C6" w:rsidRDefault="00902823" w:rsidP="00441B6F">
      <w:pPr>
        <w:pStyle w:val="AbstHead"/>
        <w:spacing w:after="0"/>
        <w:jc w:val="both"/>
        <w:rPr>
          <w:rFonts w:ascii="Arial" w:hAnsi="Arial" w:cs="Arial"/>
        </w:rPr>
      </w:pPr>
      <w:r w:rsidRPr="009465C6">
        <w:rPr>
          <w:rFonts w:ascii="Arial" w:hAnsi="Arial" w:cs="Arial"/>
        </w:rPr>
        <w:t>MATERIALS AND METHODS</w:t>
      </w:r>
    </w:p>
    <w:p w14:paraId="41787507" w14:textId="77777777" w:rsidR="005F71F7" w:rsidRPr="009465C6" w:rsidRDefault="005F71F7" w:rsidP="005F71F7">
      <w:pPr>
        <w:jc w:val="both"/>
        <w:rPr>
          <w:rStyle w:val="Strong"/>
          <w:rFonts w:ascii="Arial" w:hAnsi="Arial" w:cs="Arial"/>
          <w:b w:val="0"/>
          <w:bCs w:val="0"/>
          <w:sz w:val="22"/>
          <w:szCs w:val="22"/>
        </w:rPr>
      </w:pPr>
      <w:r w:rsidRPr="009465C6">
        <w:rPr>
          <w:rStyle w:val="Strong"/>
          <w:rFonts w:ascii="Arial" w:hAnsi="Arial" w:cs="Arial"/>
          <w:b w:val="0"/>
          <w:sz w:val="22"/>
          <w:szCs w:val="22"/>
        </w:rPr>
        <w:t>Materials</w:t>
      </w:r>
    </w:p>
    <w:p w14:paraId="452E631C" w14:textId="77777777" w:rsidR="005F71F7" w:rsidRPr="009465C6" w:rsidRDefault="005F71F7" w:rsidP="005F71F7">
      <w:pPr>
        <w:jc w:val="both"/>
        <w:rPr>
          <w:rFonts w:ascii="Arial" w:hAnsi="Arial" w:cs="Arial"/>
          <w:bCs/>
          <w:sz w:val="22"/>
          <w:szCs w:val="22"/>
        </w:rPr>
      </w:pPr>
      <w:r w:rsidRPr="009465C6">
        <w:rPr>
          <w:rStyle w:val="Strong"/>
          <w:rFonts w:ascii="Arial" w:hAnsi="Arial" w:cs="Arial"/>
          <w:b w:val="0"/>
          <w:sz w:val="22"/>
          <w:szCs w:val="22"/>
        </w:rPr>
        <w:t>Chemicals and Reagents</w:t>
      </w:r>
    </w:p>
    <w:p w14:paraId="1F9D13A6" w14:textId="77777777" w:rsidR="005F71F7" w:rsidRPr="009465C6" w:rsidRDefault="005F71F7" w:rsidP="005F71F7">
      <w:pPr>
        <w:pStyle w:val="NormalWeb"/>
        <w:jc w:val="both"/>
        <w:rPr>
          <w:rFonts w:ascii="Arial" w:hAnsi="Arial" w:cs="Arial"/>
          <w:sz w:val="22"/>
          <w:szCs w:val="22"/>
        </w:rPr>
      </w:pPr>
      <w:r w:rsidRPr="009465C6">
        <w:rPr>
          <w:rFonts w:ascii="Arial" w:hAnsi="Arial" w:cs="Arial"/>
          <w:sz w:val="22"/>
          <w:szCs w:val="22"/>
        </w:rPr>
        <w:t>The following chemicals and reagents were used in this study:</w:t>
      </w:r>
    </w:p>
    <w:p w14:paraId="68077F0D"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C-reactive protein (CRP) ELISA kit</w:t>
      </w:r>
      <w:r w:rsidRPr="009465C6">
        <w:rPr>
          <w:rFonts w:ascii="Arial" w:hAnsi="Arial" w:cs="Arial"/>
          <w:b/>
          <w:sz w:val="22"/>
        </w:rPr>
        <w:t xml:space="preserve"> </w:t>
      </w:r>
      <w:r w:rsidRPr="009465C6">
        <w:rPr>
          <w:rFonts w:ascii="Arial" w:hAnsi="Arial" w:cs="Arial"/>
          <w:sz w:val="22"/>
        </w:rPr>
        <w:t>(for inflammatory biomarker analysis)</w:t>
      </w:r>
    </w:p>
    <w:p w14:paraId="02A1F4F6" w14:textId="77777777" w:rsidR="005F71F7" w:rsidRPr="009465C6" w:rsidRDefault="005F71F7" w:rsidP="005F71F7">
      <w:pPr>
        <w:pStyle w:val="ListParagraph"/>
        <w:numPr>
          <w:ilvl w:val="0"/>
          <w:numId w:val="32"/>
        </w:numPr>
        <w:spacing w:before="100" w:beforeAutospacing="1" w:after="100" w:afterAutospacing="1" w:line="480" w:lineRule="auto"/>
        <w:jc w:val="both"/>
        <w:rPr>
          <w:rStyle w:val="Strong"/>
          <w:rFonts w:ascii="Arial" w:hAnsi="Arial" w:cs="Arial"/>
          <w:b w:val="0"/>
          <w:bCs w:val="0"/>
          <w:sz w:val="22"/>
        </w:rPr>
      </w:pPr>
      <w:r w:rsidRPr="009465C6">
        <w:rPr>
          <w:rStyle w:val="Strong"/>
          <w:rFonts w:ascii="Arial" w:hAnsi="Arial" w:cs="Arial"/>
          <w:b w:val="0"/>
          <w:sz w:val="22"/>
        </w:rPr>
        <w:t>Interleukin-6 (IL-6) and tumour necrosis factor-alpha (TNF-α) ELISA kits</w:t>
      </w:r>
    </w:p>
    <w:p w14:paraId="1A3F2FAD"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9465C6">
        <w:rPr>
          <w:rStyle w:val="Strong"/>
          <w:rFonts w:ascii="Arial" w:hAnsi="Arial" w:cs="Arial"/>
          <w:b w:val="0"/>
          <w:sz w:val="22"/>
        </w:rPr>
        <w:t>Eosinophil staining reagents</w:t>
      </w:r>
      <w:r w:rsidRPr="009465C6">
        <w:rPr>
          <w:rFonts w:ascii="Arial" w:hAnsi="Arial" w:cs="Arial"/>
          <w:b/>
          <w:sz w:val="22"/>
        </w:rPr>
        <w:t xml:space="preserve"> </w:t>
      </w:r>
      <w:r w:rsidRPr="009465C6">
        <w:rPr>
          <w:rFonts w:ascii="Arial" w:hAnsi="Arial" w:cs="Arial"/>
          <w:sz w:val="22"/>
        </w:rPr>
        <w:t>(Wright's stain for eosinophil counting)</w:t>
      </w:r>
    </w:p>
    <w:p w14:paraId="0514BD12"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9465C6">
        <w:rPr>
          <w:rStyle w:val="Strong"/>
          <w:rFonts w:ascii="Arial" w:hAnsi="Arial" w:cs="Arial"/>
          <w:b w:val="0"/>
          <w:sz w:val="22"/>
        </w:rPr>
        <w:t>Phosphate-buffered saline (PBS)</w:t>
      </w:r>
      <w:r w:rsidRPr="009465C6">
        <w:rPr>
          <w:rFonts w:ascii="Arial" w:hAnsi="Arial" w:cs="Arial"/>
          <w:b/>
          <w:sz w:val="22"/>
        </w:rPr>
        <w:t xml:space="preserve"> </w:t>
      </w:r>
      <w:r w:rsidRPr="009465C6">
        <w:rPr>
          <w:rFonts w:ascii="Arial" w:hAnsi="Arial" w:cs="Arial"/>
          <w:sz w:val="22"/>
        </w:rPr>
        <w:t>(for sample dilution and washing steps)</w:t>
      </w:r>
    </w:p>
    <w:p w14:paraId="07A60F05"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b/>
          <w:sz w:val="22"/>
        </w:rPr>
      </w:pPr>
      <w:r w:rsidRPr="009465C6">
        <w:rPr>
          <w:rStyle w:val="Strong"/>
          <w:rFonts w:ascii="Arial" w:hAnsi="Arial" w:cs="Arial"/>
          <w:b w:val="0"/>
          <w:sz w:val="22"/>
        </w:rPr>
        <w:t>EDTA-treated vacutainer tubes</w:t>
      </w:r>
      <w:r w:rsidRPr="009465C6">
        <w:rPr>
          <w:rFonts w:ascii="Arial" w:hAnsi="Arial" w:cs="Arial"/>
          <w:b/>
          <w:sz w:val="22"/>
        </w:rPr>
        <w:t xml:space="preserve"> </w:t>
      </w:r>
      <w:r w:rsidRPr="009465C6">
        <w:rPr>
          <w:rFonts w:ascii="Arial" w:hAnsi="Arial" w:cs="Arial"/>
          <w:sz w:val="22"/>
        </w:rPr>
        <w:t>(for blood sample collection)</w:t>
      </w:r>
    </w:p>
    <w:p w14:paraId="089ADE21"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Calcium sulfate dihydrate (CaSO</w:t>
      </w:r>
      <w:r w:rsidRPr="009465C6">
        <w:rPr>
          <w:rStyle w:val="Strong"/>
          <w:rFonts w:ascii="Cambria Math" w:hAnsi="Cambria Math" w:cs="Cambria Math"/>
          <w:b w:val="0"/>
          <w:sz w:val="22"/>
        </w:rPr>
        <w:t>₄</w:t>
      </w:r>
      <w:r w:rsidRPr="009465C6">
        <w:rPr>
          <w:rStyle w:val="Strong"/>
          <w:rFonts w:ascii="Arial" w:hAnsi="Arial" w:cs="Arial"/>
          <w:b w:val="0"/>
          <w:sz w:val="22"/>
        </w:rPr>
        <w:t>·2H</w:t>
      </w:r>
      <w:r w:rsidRPr="009465C6">
        <w:rPr>
          <w:rStyle w:val="Strong"/>
          <w:rFonts w:ascii="Cambria Math" w:hAnsi="Cambria Math" w:cs="Cambria Math"/>
          <w:b w:val="0"/>
          <w:sz w:val="22"/>
        </w:rPr>
        <w:t>₂</w:t>
      </w:r>
      <w:r w:rsidRPr="009465C6">
        <w:rPr>
          <w:rStyle w:val="Strong"/>
          <w:rFonts w:ascii="Arial" w:hAnsi="Arial" w:cs="Arial"/>
          <w:b w:val="0"/>
          <w:sz w:val="22"/>
        </w:rPr>
        <w:t>O) dust samples</w:t>
      </w:r>
      <w:r w:rsidRPr="009465C6">
        <w:rPr>
          <w:rFonts w:ascii="Arial" w:hAnsi="Arial" w:cs="Arial"/>
          <w:b/>
          <w:sz w:val="22"/>
        </w:rPr>
        <w:t xml:space="preserve"> </w:t>
      </w:r>
      <w:r w:rsidRPr="009465C6">
        <w:rPr>
          <w:rFonts w:ascii="Arial" w:hAnsi="Arial" w:cs="Arial"/>
          <w:sz w:val="22"/>
        </w:rPr>
        <w:t>(collected from construction sites in Calabar Municipality)</w:t>
      </w:r>
    </w:p>
    <w:p w14:paraId="38484B04"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Sodium chloride (NaCl) solution</w:t>
      </w:r>
      <w:r w:rsidRPr="009465C6">
        <w:rPr>
          <w:rFonts w:ascii="Arial" w:hAnsi="Arial" w:cs="Arial"/>
          <w:b/>
          <w:sz w:val="22"/>
        </w:rPr>
        <w:t xml:space="preserve"> </w:t>
      </w:r>
      <w:r w:rsidRPr="009465C6">
        <w:rPr>
          <w:rFonts w:ascii="Arial" w:hAnsi="Arial" w:cs="Arial"/>
          <w:sz w:val="22"/>
        </w:rPr>
        <w:t>(for animal hydration and electrolyte balance)</w:t>
      </w:r>
    </w:p>
    <w:p w14:paraId="4872A6AE"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Ethanol and formalin</w:t>
      </w:r>
      <w:r w:rsidRPr="009465C6">
        <w:rPr>
          <w:rFonts w:ascii="Arial" w:hAnsi="Arial" w:cs="Arial"/>
          <w:b/>
          <w:sz w:val="22"/>
        </w:rPr>
        <w:t xml:space="preserve"> </w:t>
      </w:r>
      <w:r w:rsidRPr="009465C6">
        <w:rPr>
          <w:rFonts w:ascii="Arial" w:hAnsi="Arial" w:cs="Arial"/>
          <w:sz w:val="22"/>
        </w:rPr>
        <w:t>(for tissue fixation in histological analysis)</w:t>
      </w:r>
    </w:p>
    <w:p w14:paraId="71712CF6" w14:textId="77777777" w:rsidR="005F71F7" w:rsidRPr="009465C6" w:rsidRDefault="005F71F7" w:rsidP="005F71F7">
      <w:pPr>
        <w:pStyle w:val="ListParagraph"/>
        <w:numPr>
          <w:ilvl w:val="0"/>
          <w:numId w:val="32"/>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Spirometer or respirometer</w:t>
      </w:r>
      <w:r w:rsidRPr="009465C6">
        <w:rPr>
          <w:rFonts w:ascii="Arial" w:hAnsi="Arial" w:cs="Arial"/>
          <w:sz w:val="22"/>
        </w:rPr>
        <w:t xml:space="preserve"> (for respiratory minute volume measurements)</w:t>
      </w:r>
    </w:p>
    <w:p w14:paraId="1DD6CBB6" w14:textId="77777777" w:rsidR="005F71F7" w:rsidRPr="009465C6" w:rsidRDefault="005F71F7" w:rsidP="005F71F7">
      <w:pPr>
        <w:spacing w:before="100" w:beforeAutospacing="1" w:after="100" w:afterAutospacing="1"/>
        <w:jc w:val="both"/>
        <w:rPr>
          <w:rStyle w:val="Strong"/>
          <w:rFonts w:ascii="Arial" w:hAnsi="Arial" w:cs="Arial"/>
          <w:b w:val="0"/>
          <w:bCs w:val="0"/>
          <w:sz w:val="22"/>
          <w:szCs w:val="22"/>
        </w:rPr>
      </w:pPr>
      <w:r w:rsidRPr="009465C6">
        <w:rPr>
          <w:rStyle w:val="Strong"/>
          <w:rFonts w:ascii="Arial" w:hAnsi="Arial" w:cs="Arial"/>
          <w:b w:val="0"/>
          <w:sz w:val="22"/>
          <w:szCs w:val="22"/>
        </w:rPr>
        <w:t>Study Subjects</w:t>
      </w:r>
    </w:p>
    <w:p w14:paraId="5451BFC9" w14:textId="77777777" w:rsidR="005F71F7" w:rsidRPr="009465C6" w:rsidRDefault="005F71F7" w:rsidP="005F71F7">
      <w:pPr>
        <w:spacing w:before="100" w:beforeAutospacing="1" w:after="100" w:afterAutospacing="1" w:line="480" w:lineRule="auto"/>
        <w:jc w:val="both"/>
        <w:rPr>
          <w:rFonts w:ascii="Arial" w:hAnsi="Arial" w:cs="Arial"/>
          <w:sz w:val="22"/>
          <w:szCs w:val="22"/>
        </w:rPr>
      </w:pPr>
      <w:r w:rsidRPr="009465C6">
        <w:rPr>
          <w:rFonts w:ascii="Arial" w:hAnsi="Arial" w:cs="Arial"/>
          <w:sz w:val="22"/>
          <w:szCs w:val="22"/>
        </w:rPr>
        <w:t xml:space="preserve">The study focused on </w:t>
      </w:r>
      <w:r w:rsidRPr="009465C6">
        <w:rPr>
          <w:rStyle w:val="Strong"/>
          <w:rFonts w:ascii="Arial" w:hAnsi="Arial" w:cs="Arial"/>
          <w:b w:val="0"/>
          <w:sz w:val="22"/>
          <w:szCs w:val="22"/>
        </w:rPr>
        <w:t>adults</w:t>
      </w:r>
      <w:r w:rsidRPr="009465C6">
        <w:rPr>
          <w:rFonts w:ascii="Arial" w:hAnsi="Arial" w:cs="Arial"/>
          <w:sz w:val="22"/>
          <w:szCs w:val="22"/>
        </w:rPr>
        <w:t xml:space="preserve"> who had </w:t>
      </w:r>
      <w:r w:rsidRPr="009465C6">
        <w:rPr>
          <w:rStyle w:val="Strong"/>
          <w:rFonts w:ascii="Arial" w:hAnsi="Arial" w:cs="Arial"/>
          <w:b w:val="0"/>
          <w:sz w:val="22"/>
          <w:szCs w:val="22"/>
        </w:rPr>
        <w:t>experienced long-term inhalation exposure to calcium sulfate dihydrate dust</w:t>
      </w:r>
      <w:r w:rsidRPr="009465C6">
        <w:rPr>
          <w:rFonts w:ascii="Arial" w:hAnsi="Arial" w:cs="Arial"/>
          <w:sz w:val="22"/>
          <w:szCs w:val="22"/>
        </w:rPr>
        <w:t xml:space="preserve"> in </w:t>
      </w:r>
      <w:r w:rsidRPr="009465C6">
        <w:rPr>
          <w:rStyle w:val="Strong"/>
          <w:rFonts w:ascii="Arial" w:hAnsi="Arial" w:cs="Arial"/>
          <w:b w:val="0"/>
          <w:sz w:val="22"/>
          <w:szCs w:val="22"/>
        </w:rPr>
        <w:t>Calabar Municipality, Cross River State, Nigeria</w:t>
      </w:r>
      <w:r w:rsidRPr="009465C6">
        <w:rPr>
          <w:rFonts w:ascii="Arial" w:hAnsi="Arial" w:cs="Arial"/>
          <w:sz w:val="22"/>
          <w:szCs w:val="22"/>
        </w:rPr>
        <w:t xml:space="preserve">. A </w:t>
      </w:r>
      <w:r w:rsidRPr="009465C6">
        <w:rPr>
          <w:rStyle w:val="Strong"/>
          <w:rFonts w:ascii="Arial" w:hAnsi="Arial" w:cs="Arial"/>
          <w:b w:val="0"/>
          <w:sz w:val="22"/>
          <w:szCs w:val="22"/>
        </w:rPr>
        <w:t>control group</w:t>
      </w:r>
      <w:r w:rsidRPr="009465C6">
        <w:rPr>
          <w:rFonts w:ascii="Arial" w:hAnsi="Arial" w:cs="Arial"/>
          <w:b/>
          <w:sz w:val="22"/>
          <w:szCs w:val="22"/>
        </w:rPr>
        <w:t xml:space="preserve"> </w:t>
      </w:r>
      <w:r w:rsidRPr="009465C6">
        <w:rPr>
          <w:rFonts w:ascii="Arial" w:hAnsi="Arial" w:cs="Arial"/>
          <w:sz w:val="22"/>
          <w:szCs w:val="22"/>
        </w:rPr>
        <w:t>comprising individuals with</w:t>
      </w:r>
      <w:r w:rsidRPr="009465C6">
        <w:rPr>
          <w:rFonts w:ascii="Arial" w:hAnsi="Arial" w:cs="Arial"/>
          <w:b/>
          <w:sz w:val="22"/>
          <w:szCs w:val="22"/>
        </w:rPr>
        <w:t xml:space="preserve"> </w:t>
      </w:r>
      <w:r w:rsidRPr="009465C6">
        <w:rPr>
          <w:rStyle w:val="Strong"/>
          <w:rFonts w:ascii="Arial" w:hAnsi="Arial" w:cs="Arial"/>
          <w:b w:val="0"/>
          <w:sz w:val="22"/>
          <w:szCs w:val="22"/>
        </w:rPr>
        <w:t>minimal or no exposure</w:t>
      </w:r>
      <w:r w:rsidRPr="009465C6">
        <w:rPr>
          <w:rFonts w:ascii="Arial" w:hAnsi="Arial" w:cs="Arial"/>
          <w:sz w:val="22"/>
          <w:szCs w:val="22"/>
        </w:rPr>
        <w:t xml:space="preserve"> was included for comparison.</w:t>
      </w:r>
    </w:p>
    <w:p w14:paraId="5F376479" w14:textId="77777777" w:rsidR="005F71F7" w:rsidRPr="009465C6" w:rsidRDefault="005F71F7" w:rsidP="005F71F7">
      <w:pPr>
        <w:spacing w:before="100" w:beforeAutospacing="1" w:after="100" w:afterAutospacing="1"/>
        <w:jc w:val="both"/>
        <w:rPr>
          <w:rStyle w:val="Strong"/>
          <w:rFonts w:ascii="Arial" w:hAnsi="Arial" w:cs="Arial"/>
          <w:b w:val="0"/>
          <w:bCs w:val="0"/>
          <w:sz w:val="22"/>
          <w:szCs w:val="22"/>
        </w:rPr>
      </w:pPr>
      <w:r w:rsidRPr="009465C6">
        <w:rPr>
          <w:rStyle w:val="Strong"/>
          <w:rFonts w:ascii="Arial" w:hAnsi="Arial" w:cs="Arial"/>
          <w:b w:val="0"/>
          <w:sz w:val="22"/>
          <w:szCs w:val="22"/>
        </w:rPr>
        <w:lastRenderedPageBreak/>
        <w:t>Sample Size</w:t>
      </w:r>
    </w:p>
    <w:p w14:paraId="6B1669B8" w14:textId="77777777" w:rsidR="005F71F7" w:rsidRPr="009465C6" w:rsidRDefault="005F71F7" w:rsidP="005F71F7">
      <w:pPr>
        <w:spacing w:before="100" w:beforeAutospacing="1" w:after="100" w:afterAutospacing="1" w:line="480" w:lineRule="auto"/>
        <w:jc w:val="both"/>
        <w:rPr>
          <w:rStyle w:val="Strong"/>
          <w:rFonts w:ascii="Arial" w:hAnsi="Arial" w:cs="Arial"/>
          <w:b w:val="0"/>
          <w:bCs w:val="0"/>
          <w:sz w:val="22"/>
          <w:szCs w:val="22"/>
        </w:rPr>
      </w:pPr>
      <w:r w:rsidRPr="009465C6">
        <w:rPr>
          <w:rStyle w:val="Strong"/>
          <w:rFonts w:ascii="Arial" w:hAnsi="Arial" w:cs="Arial"/>
          <w:b w:val="0"/>
          <w:sz w:val="22"/>
          <w:szCs w:val="22"/>
        </w:rPr>
        <w:t>The sample size was determined using the sample-size formula described by Yamane (1967).</w:t>
      </w:r>
    </w:p>
    <w:p w14:paraId="263C90BE" w14:textId="77777777" w:rsidR="005F71F7" w:rsidRPr="009465C6" w:rsidRDefault="005F71F7" w:rsidP="005F71F7">
      <w:pPr>
        <w:spacing w:before="100" w:beforeAutospacing="1" w:after="100" w:afterAutospacing="1"/>
        <w:jc w:val="both"/>
        <w:rPr>
          <w:rFonts w:ascii="Arial" w:hAnsi="Arial" w:cs="Arial"/>
          <w:b/>
          <w:sz w:val="22"/>
          <w:szCs w:val="22"/>
        </w:rPr>
      </w:pPr>
      <w:r w:rsidRPr="009465C6">
        <w:rPr>
          <w:rStyle w:val="Strong"/>
          <w:rFonts w:ascii="Arial" w:hAnsi="Arial" w:cs="Arial"/>
          <w:b w:val="0"/>
          <w:sz w:val="22"/>
          <w:szCs w:val="22"/>
        </w:rPr>
        <w:t>Experimental Design</w:t>
      </w:r>
    </w:p>
    <w:p w14:paraId="7C899E10" w14:textId="77777777" w:rsidR="005F71F7" w:rsidRPr="009465C6" w:rsidRDefault="005F71F7" w:rsidP="005F71F7">
      <w:pPr>
        <w:spacing w:before="100" w:beforeAutospacing="1" w:after="100" w:afterAutospacing="1" w:line="480" w:lineRule="auto"/>
        <w:jc w:val="both"/>
        <w:rPr>
          <w:rFonts w:ascii="Arial" w:hAnsi="Arial" w:cs="Arial"/>
          <w:sz w:val="22"/>
          <w:szCs w:val="22"/>
        </w:rPr>
      </w:pPr>
      <w:r w:rsidRPr="009465C6">
        <w:rPr>
          <w:rFonts w:ascii="Arial" w:hAnsi="Arial" w:cs="Arial"/>
          <w:sz w:val="22"/>
          <w:szCs w:val="22"/>
        </w:rPr>
        <w:t>The participants were divided into two groups, A and B; Group A comprised exposed participants, whereas Group B comprised the controls.</w:t>
      </w:r>
    </w:p>
    <w:p w14:paraId="4681D23C" w14:textId="77777777" w:rsidR="005F71F7" w:rsidRPr="009465C6" w:rsidRDefault="005F71F7" w:rsidP="005F71F7">
      <w:pPr>
        <w:spacing w:before="100" w:beforeAutospacing="1" w:after="100" w:afterAutospacing="1"/>
        <w:jc w:val="both"/>
        <w:rPr>
          <w:rStyle w:val="Strong"/>
          <w:rFonts w:ascii="Arial" w:hAnsi="Arial" w:cs="Arial"/>
          <w:b w:val="0"/>
          <w:bCs w:val="0"/>
          <w:sz w:val="22"/>
          <w:szCs w:val="22"/>
        </w:rPr>
      </w:pPr>
      <w:r w:rsidRPr="009465C6">
        <w:rPr>
          <w:rStyle w:val="Strong"/>
          <w:rFonts w:ascii="Arial" w:hAnsi="Arial" w:cs="Arial"/>
          <w:b w:val="0"/>
          <w:sz w:val="22"/>
          <w:szCs w:val="22"/>
        </w:rPr>
        <w:t>Methods</w:t>
      </w:r>
    </w:p>
    <w:p w14:paraId="7D6B1C8A" w14:textId="77777777" w:rsidR="005F71F7" w:rsidRPr="009465C6" w:rsidRDefault="005F71F7" w:rsidP="005F71F7">
      <w:pPr>
        <w:spacing w:before="100" w:beforeAutospacing="1" w:after="100" w:afterAutospacing="1" w:line="480" w:lineRule="auto"/>
        <w:jc w:val="both"/>
        <w:rPr>
          <w:rFonts w:ascii="Arial" w:hAnsi="Arial" w:cs="Arial"/>
          <w:sz w:val="22"/>
          <w:szCs w:val="22"/>
        </w:rPr>
      </w:pPr>
      <w:r w:rsidRPr="009465C6">
        <w:rPr>
          <w:rFonts w:ascii="Arial" w:hAnsi="Arial" w:cs="Arial"/>
          <w:sz w:val="22"/>
          <w:szCs w:val="22"/>
        </w:rPr>
        <w:t xml:space="preserve">Respiratory minute volume and inflammatory biomarkers were evaluated using the method described by West and Luks (2020). </w:t>
      </w:r>
      <w:r w:rsidRPr="009465C6">
        <w:rPr>
          <w:rStyle w:val="Strong"/>
          <w:rFonts w:ascii="Arial" w:hAnsi="Arial" w:cs="Arial"/>
          <w:b w:val="0"/>
          <w:sz w:val="22"/>
          <w:szCs w:val="22"/>
        </w:rPr>
        <w:t>A Vitalograph spirometer (Alpha 6000, UK) was used to assess lung function and basic physiological indices, including respiratory minute volume. Each participant was seated comfortably and instructed to inhale deeply and then exhale into the Vitalograph as forcefully and rapidly as possible until no more air could be expelled. The test was repeated three to five times to ensure reproducibility. Venous blood was collected from each participant into an EDTA bottle using a 2 mL syringe. Inflammatory biomarkers were analysed using ELISA kits according to the manufacturers' protocols.</w:t>
      </w:r>
    </w:p>
    <w:p w14:paraId="1132C4AF" w14:textId="77777777" w:rsidR="005F71F7" w:rsidRPr="009465C6" w:rsidRDefault="005F71F7" w:rsidP="008F7628">
      <w:pPr>
        <w:spacing w:before="100" w:beforeAutospacing="1" w:after="100" w:afterAutospacing="1" w:line="480" w:lineRule="auto"/>
        <w:ind w:left="720"/>
        <w:jc w:val="both"/>
        <w:rPr>
          <w:rFonts w:ascii="Arial" w:hAnsi="Arial" w:cs="Arial"/>
          <w:sz w:val="22"/>
          <w:szCs w:val="22"/>
        </w:rPr>
      </w:pPr>
      <w:r w:rsidRPr="009465C6">
        <w:rPr>
          <w:rFonts w:ascii="Arial" w:hAnsi="Arial" w:cs="Arial"/>
          <w:sz w:val="22"/>
          <w:szCs w:val="22"/>
        </w:rPr>
        <w:t xml:space="preserve">A nebuliser was used to </w:t>
      </w:r>
      <w:r w:rsidRPr="009465C6">
        <w:rPr>
          <w:rStyle w:val="Strong"/>
          <w:rFonts w:ascii="Arial" w:hAnsi="Arial" w:cs="Arial"/>
          <w:b w:val="0"/>
          <w:sz w:val="22"/>
          <w:szCs w:val="22"/>
        </w:rPr>
        <w:t>aerosolise histamine</w:t>
      </w:r>
      <w:r w:rsidRPr="009465C6">
        <w:rPr>
          <w:rFonts w:ascii="Arial" w:hAnsi="Arial" w:cs="Arial"/>
          <w:sz w:val="22"/>
          <w:szCs w:val="22"/>
        </w:rPr>
        <w:t xml:space="preserve"> at increasing concentrations.</w:t>
      </w:r>
    </w:p>
    <w:p w14:paraId="63B02C70" w14:textId="77777777" w:rsidR="005F71F7" w:rsidRPr="009465C6" w:rsidRDefault="005F71F7" w:rsidP="008F7628">
      <w:pPr>
        <w:spacing w:before="100" w:beforeAutospacing="1" w:after="100" w:afterAutospacing="1" w:line="480" w:lineRule="auto"/>
        <w:ind w:left="720"/>
        <w:jc w:val="both"/>
        <w:rPr>
          <w:rFonts w:ascii="Arial" w:hAnsi="Arial" w:cs="Arial"/>
          <w:sz w:val="22"/>
          <w:szCs w:val="22"/>
        </w:rPr>
      </w:pPr>
      <w:r w:rsidRPr="009465C6">
        <w:rPr>
          <w:rStyle w:val="Strong"/>
          <w:rFonts w:ascii="Arial" w:hAnsi="Arial" w:cs="Arial"/>
          <w:b w:val="0"/>
          <w:sz w:val="22"/>
          <w:szCs w:val="22"/>
        </w:rPr>
        <w:t>Calcium sulfate dihydrate (CaSO</w:t>
      </w:r>
      <w:r w:rsidRPr="009465C6">
        <w:rPr>
          <w:rStyle w:val="Strong"/>
          <w:rFonts w:ascii="Cambria Math" w:hAnsi="Cambria Math" w:cs="Cambria Math"/>
          <w:b w:val="0"/>
          <w:sz w:val="22"/>
          <w:szCs w:val="22"/>
        </w:rPr>
        <w:t>₄</w:t>
      </w:r>
      <w:r w:rsidRPr="009465C6">
        <w:rPr>
          <w:rStyle w:val="Strong"/>
          <w:rFonts w:ascii="Arial" w:hAnsi="Arial" w:cs="Arial"/>
          <w:b w:val="0"/>
          <w:sz w:val="22"/>
          <w:szCs w:val="22"/>
        </w:rPr>
        <w:t>·2H</w:t>
      </w:r>
      <w:r w:rsidRPr="009465C6">
        <w:rPr>
          <w:rStyle w:val="Strong"/>
          <w:rFonts w:ascii="Cambria Math" w:hAnsi="Cambria Math" w:cs="Cambria Math"/>
          <w:b w:val="0"/>
          <w:sz w:val="22"/>
          <w:szCs w:val="22"/>
        </w:rPr>
        <w:t>₂</w:t>
      </w:r>
      <w:r w:rsidRPr="009465C6">
        <w:rPr>
          <w:rStyle w:val="Strong"/>
          <w:rFonts w:ascii="Arial" w:hAnsi="Arial" w:cs="Arial"/>
          <w:b w:val="0"/>
          <w:sz w:val="22"/>
          <w:szCs w:val="22"/>
        </w:rPr>
        <w:t>O)</w:t>
      </w:r>
      <w:r w:rsidRPr="009465C6">
        <w:rPr>
          <w:rFonts w:ascii="Arial" w:hAnsi="Arial" w:cs="Arial"/>
          <w:sz w:val="22"/>
          <w:szCs w:val="22"/>
        </w:rPr>
        <w:t xml:space="preserve"> was inhaled concurrently with histamine under controlled conditions.</w:t>
      </w:r>
    </w:p>
    <w:p w14:paraId="78A5ADBC" w14:textId="77777777" w:rsidR="005F71F7" w:rsidRPr="009465C6" w:rsidRDefault="005F71F7" w:rsidP="005F71F7">
      <w:pPr>
        <w:spacing w:before="100" w:beforeAutospacing="1" w:after="100" w:afterAutospacing="1"/>
        <w:jc w:val="both"/>
        <w:rPr>
          <w:rFonts w:ascii="Arial" w:hAnsi="Arial" w:cs="Arial"/>
          <w:sz w:val="22"/>
          <w:szCs w:val="22"/>
        </w:rPr>
      </w:pPr>
      <w:r w:rsidRPr="009465C6">
        <w:rPr>
          <w:rStyle w:val="Strong"/>
          <w:rFonts w:ascii="Arial" w:hAnsi="Arial" w:cs="Arial"/>
          <w:b w:val="0"/>
          <w:sz w:val="22"/>
          <w:szCs w:val="22"/>
        </w:rPr>
        <w:t>Sample Collection and Preparation</w:t>
      </w:r>
    </w:p>
    <w:p w14:paraId="0706F877" w14:textId="77777777" w:rsidR="005F71F7" w:rsidRPr="009465C6" w:rsidRDefault="005F71F7" w:rsidP="008F7628">
      <w:pPr>
        <w:spacing w:before="100" w:beforeAutospacing="1" w:after="100" w:afterAutospacing="1" w:line="480" w:lineRule="auto"/>
        <w:jc w:val="both"/>
        <w:rPr>
          <w:rFonts w:ascii="Arial" w:hAnsi="Arial" w:cs="Arial"/>
          <w:sz w:val="22"/>
          <w:szCs w:val="22"/>
        </w:rPr>
      </w:pPr>
      <w:r w:rsidRPr="009465C6">
        <w:rPr>
          <w:rFonts w:ascii="Arial" w:hAnsi="Arial" w:cs="Arial"/>
          <w:sz w:val="22"/>
          <w:szCs w:val="22"/>
        </w:rPr>
        <w:t>Blood samples were collected from two groups:</w:t>
      </w:r>
    </w:p>
    <w:p w14:paraId="3176A7C0" w14:textId="77777777" w:rsidR="005F71F7" w:rsidRPr="009465C6" w:rsidRDefault="005F71F7" w:rsidP="005F71F7">
      <w:pPr>
        <w:pStyle w:val="ListParagraph"/>
        <w:numPr>
          <w:ilvl w:val="0"/>
          <w:numId w:val="33"/>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Exposed group:</w:t>
      </w:r>
      <w:r w:rsidRPr="009465C6">
        <w:rPr>
          <w:rFonts w:ascii="Arial" w:hAnsi="Arial" w:cs="Arial"/>
          <w:sz w:val="22"/>
        </w:rPr>
        <w:t xml:space="preserve"> Workers aged 15-40 years with ≥5 years of occupational exposure to calcium sulfate dihydrate dust.</w:t>
      </w:r>
    </w:p>
    <w:p w14:paraId="300E4545" w14:textId="77777777" w:rsidR="005F71F7" w:rsidRPr="009465C6" w:rsidRDefault="005F71F7" w:rsidP="005F71F7">
      <w:pPr>
        <w:pStyle w:val="ListParagraph"/>
        <w:numPr>
          <w:ilvl w:val="0"/>
          <w:numId w:val="33"/>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Control group:</w:t>
      </w:r>
      <w:r w:rsidRPr="009465C6">
        <w:rPr>
          <w:rFonts w:ascii="Arial" w:hAnsi="Arial" w:cs="Arial"/>
          <w:sz w:val="22"/>
        </w:rPr>
        <w:t xml:space="preserve"> Individuals with minimal or no exposure.</w:t>
      </w:r>
    </w:p>
    <w:p w14:paraId="2E843DB6" w14:textId="77777777" w:rsidR="005F71F7" w:rsidRPr="009465C6" w:rsidRDefault="005F71F7" w:rsidP="008F7628">
      <w:pPr>
        <w:spacing w:before="100" w:beforeAutospacing="1" w:after="100" w:afterAutospacing="1"/>
        <w:ind w:left="720"/>
        <w:jc w:val="both"/>
        <w:rPr>
          <w:rFonts w:ascii="Arial" w:hAnsi="Arial" w:cs="Arial"/>
          <w:sz w:val="22"/>
          <w:szCs w:val="22"/>
        </w:rPr>
      </w:pPr>
      <w:r w:rsidRPr="009465C6">
        <w:rPr>
          <w:rStyle w:val="Strong"/>
          <w:rFonts w:ascii="Arial" w:hAnsi="Arial" w:cs="Arial"/>
          <w:b w:val="0"/>
          <w:sz w:val="22"/>
          <w:szCs w:val="22"/>
        </w:rPr>
        <w:t>Procedure:</w:t>
      </w:r>
    </w:p>
    <w:p w14:paraId="22403A33" w14:textId="77777777" w:rsidR="005F71F7" w:rsidRPr="009465C6"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9465C6">
        <w:rPr>
          <w:rStyle w:val="Strong"/>
          <w:rFonts w:ascii="Arial" w:hAnsi="Arial" w:cs="Arial"/>
          <w:b w:val="0"/>
          <w:sz w:val="22"/>
        </w:rPr>
        <w:t>A 5 mL venous blood</w:t>
      </w:r>
      <w:r w:rsidRPr="009465C6">
        <w:rPr>
          <w:rFonts w:ascii="Arial" w:hAnsi="Arial" w:cs="Arial"/>
          <w:sz w:val="22"/>
        </w:rPr>
        <w:t xml:space="preserve"> sample was drawn using a sterile syringe and collected in an </w:t>
      </w:r>
      <w:r w:rsidRPr="009465C6">
        <w:rPr>
          <w:rStyle w:val="Strong"/>
          <w:rFonts w:ascii="Arial" w:hAnsi="Arial" w:cs="Arial"/>
          <w:b w:val="0"/>
          <w:sz w:val="22"/>
        </w:rPr>
        <w:t>EDTA tube</w:t>
      </w:r>
      <w:r w:rsidRPr="009465C6">
        <w:rPr>
          <w:rFonts w:ascii="Arial" w:hAnsi="Arial" w:cs="Arial"/>
          <w:sz w:val="22"/>
        </w:rPr>
        <w:t>.</w:t>
      </w:r>
    </w:p>
    <w:p w14:paraId="15056A28" w14:textId="77777777" w:rsidR="005F71F7" w:rsidRPr="009465C6"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9465C6">
        <w:rPr>
          <w:rFonts w:ascii="Arial" w:hAnsi="Arial" w:cs="Arial"/>
          <w:sz w:val="22"/>
        </w:rPr>
        <w:lastRenderedPageBreak/>
        <w:t xml:space="preserve">Plasma was separated by </w:t>
      </w:r>
      <w:r w:rsidRPr="009465C6">
        <w:rPr>
          <w:rStyle w:val="Strong"/>
          <w:rFonts w:ascii="Arial" w:hAnsi="Arial" w:cs="Arial"/>
          <w:b w:val="0"/>
          <w:sz w:val="22"/>
        </w:rPr>
        <w:t>centrifugation at 3,000 rpm for 10 minutes</w:t>
      </w:r>
      <w:r w:rsidRPr="009465C6">
        <w:rPr>
          <w:rFonts w:ascii="Arial" w:hAnsi="Arial" w:cs="Arial"/>
          <w:sz w:val="22"/>
        </w:rPr>
        <w:t xml:space="preserve"> and stored at </w:t>
      </w:r>
      <w:r w:rsidRPr="009465C6">
        <w:rPr>
          <w:rStyle w:val="Strong"/>
          <w:rFonts w:ascii="Arial" w:hAnsi="Arial" w:cs="Arial"/>
          <w:b w:val="0"/>
          <w:sz w:val="22"/>
        </w:rPr>
        <w:t>−20°C</w:t>
      </w:r>
      <w:r w:rsidRPr="009465C6">
        <w:rPr>
          <w:rFonts w:ascii="Arial" w:hAnsi="Arial" w:cs="Arial"/>
          <w:sz w:val="22"/>
        </w:rPr>
        <w:t xml:space="preserve"> until analysis.</w:t>
      </w:r>
    </w:p>
    <w:p w14:paraId="0BC639C8" w14:textId="77777777" w:rsidR="005F71F7" w:rsidRPr="009465C6"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9465C6">
        <w:rPr>
          <w:rFonts w:ascii="Arial" w:hAnsi="Arial" w:cs="Arial"/>
          <w:sz w:val="22"/>
        </w:rPr>
        <w:t xml:space="preserve">Serum inflammatory markers (CRP, IL-6, and TNF-α) were quantified using </w:t>
      </w:r>
      <w:r w:rsidRPr="009465C6">
        <w:rPr>
          <w:rStyle w:val="Strong"/>
          <w:rFonts w:ascii="Arial" w:hAnsi="Arial" w:cs="Arial"/>
          <w:b w:val="0"/>
          <w:sz w:val="22"/>
        </w:rPr>
        <w:t>ELISA kits</w:t>
      </w:r>
      <w:r w:rsidRPr="009465C6">
        <w:rPr>
          <w:rFonts w:ascii="Arial" w:hAnsi="Arial" w:cs="Arial"/>
          <w:sz w:val="22"/>
        </w:rPr>
        <w:t>.</w:t>
      </w:r>
    </w:p>
    <w:p w14:paraId="4EA35871" w14:textId="77777777" w:rsidR="005F71F7" w:rsidRPr="009465C6" w:rsidRDefault="005F71F7" w:rsidP="005F71F7">
      <w:pPr>
        <w:pStyle w:val="ListParagraph"/>
        <w:numPr>
          <w:ilvl w:val="0"/>
          <w:numId w:val="34"/>
        </w:numPr>
        <w:spacing w:before="100" w:beforeAutospacing="1" w:after="100" w:afterAutospacing="1" w:line="480" w:lineRule="auto"/>
        <w:jc w:val="both"/>
        <w:rPr>
          <w:rFonts w:ascii="Arial" w:hAnsi="Arial" w:cs="Arial"/>
          <w:sz w:val="22"/>
        </w:rPr>
      </w:pPr>
      <w:r w:rsidRPr="009465C6">
        <w:rPr>
          <w:rFonts w:ascii="Arial" w:hAnsi="Arial" w:cs="Arial"/>
          <w:sz w:val="22"/>
        </w:rPr>
        <w:t xml:space="preserve">Eosinophil counts were determined using </w:t>
      </w:r>
      <w:r w:rsidRPr="009465C6">
        <w:rPr>
          <w:rStyle w:val="Strong"/>
          <w:rFonts w:ascii="Arial" w:hAnsi="Arial" w:cs="Arial"/>
          <w:b w:val="0"/>
          <w:sz w:val="22"/>
        </w:rPr>
        <w:t>haemocytometry and Wright's staining</w:t>
      </w:r>
      <w:r w:rsidRPr="009465C6">
        <w:rPr>
          <w:rFonts w:ascii="Arial" w:hAnsi="Arial" w:cs="Arial"/>
          <w:sz w:val="22"/>
        </w:rPr>
        <w:t>.</w:t>
      </w:r>
    </w:p>
    <w:p w14:paraId="6B84B606" w14:textId="77777777" w:rsidR="005F71F7" w:rsidRPr="009465C6" w:rsidRDefault="005F71F7" w:rsidP="005F71F7">
      <w:pPr>
        <w:spacing w:before="100" w:beforeAutospacing="1" w:after="100" w:afterAutospacing="1"/>
        <w:jc w:val="both"/>
        <w:rPr>
          <w:rStyle w:val="Strong"/>
          <w:rFonts w:ascii="Arial" w:hAnsi="Arial" w:cs="Arial"/>
          <w:b w:val="0"/>
          <w:bCs w:val="0"/>
          <w:sz w:val="22"/>
          <w:szCs w:val="22"/>
        </w:rPr>
      </w:pPr>
      <w:r w:rsidRPr="009465C6">
        <w:rPr>
          <w:rStyle w:val="Strong"/>
          <w:rFonts w:ascii="Arial" w:hAnsi="Arial" w:cs="Arial"/>
          <w:b w:val="0"/>
          <w:sz w:val="22"/>
          <w:szCs w:val="22"/>
        </w:rPr>
        <w:t>Statistical Analysis</w:t>
      </w:r>
    </w:p>
    <w:p w14:paraId="5D47EF40" w14:textId="77777777" w:rsidR="00712F22" w:rsidRPr="009465C6" w:rsidRDefault="005F71F7" w:rsidP="00712F22">
      <w:pPr>
        <w:spacing w:before="100" w:beforeAutospacing="1" w:after="100" w:afterAutospacing="1" w:line="480" w:lineRule="auto"/>
        <w:jc w:val="both"/>
        <w:rPr>
          <w:rFonts w:ascii="Arial" w:hAnsi="Arial" w:cs="Arial"/>
          <w:b/>
          <w:caps/>
          <w:sz w:val="22"/>
        </w:rPr>
      </w:pPr>
      <w:r w:rsidRPr="009465C6">
        <w:rPr>
          <w:rFonts w:ascii="Arial" w:hAnsi="Arial" w:cs="Arial"/>
          <w:sz w:val="22"/>
          <w:szCs w:val="22"/>
        </w:rPr>
        <w:t>All data are presented as the mean ± standard error of the mean. Paired t-tests were used to compare pre- and post-exposure results, and Pearson's correlation coefficient was used to assess the relationship between exposure duration and changes in lung function. A value of P ≤ 0.5 was considered statistically significant</w:t>
      </w:r>
      <w:r w:rsidRPr="009465C6">
        <w:rPr>
          <w:rFonts w:ascii="Times New Roman" w:hAnsi="Times New Roman"/>
          <w:sz w:val="24"/>
          <w:szCs w:val="24"/>
        </w:rPr>
        <w:t>.</w:t>
      </w:r>
    </w:p>
    <w:p w14:paraId="2BB259D2" w14:textId="77777777" w:rsidR="00712F22" w:rsidRPr="009465C6" w:rsidRDefault="00712F22" w:rsidP="00712F22">
      <w:pPr>
        <w:ind w:left="180" w:right="270"/>
        <w:rPr>
          <w:rFonts w:ascii="Times New Roman" w:hAnsi="Times New Roman"/>
          <w:sz w:val="24"/>
          <w:szCs w:val="24"/>
        </w:rPr>
      </w:pPr>
      <w:r w:rsidRPr="009465C6">
        <w:rPr>
          <w:rFonts w:ascii="Times New Roman" w:hAnsi="Times New Roman"/>
          <w:bCs/>
          <w:kern w:val="2"/>
          <w:sz w:val="24"/>
          <w:szCs w:val="24"/>
        </w:rPr>
        <w:t xml:space="preserve">RESULTS </w:t>
      </w:r>
    </w:p>
    <w:p w14:paraId="742C9285" w14:textId="77777777" w:rsidR="00712F22" w:rsidRPr="009465C6" w:rsidRDefault="00712F22" w:rsidP="00712F22">
      <w:pPr>
        <w:spacing w:before="240" w:line="480" w:lineRule="auto"/>
        <w:ind w:left="180" w:right="270"/>
        <w:jc w:val="both"/>
        <w:rPr>
          <w:rFonts w:ascii="Times New Roman" w:hAnsi="Times New Roman"/>
          <w:sz w:val="24"/>
          <w:szCs w:val="24"/>
        </w:rPr>
      </w:pPr>
      <w:r w:rsidRPr="009465C6">
        <w:rPr>
          <w:rFonts w:ascii="Times New Roman" w:hAnsi="Times New Roman"/>
          <w:sz w:val="24"/>
          <w:szCs w:val="24"/>
        </w:rPr>
        <w:t>This study assessed inflammatory biomarkers and selected demographic and lung-function parameters among individuals exposed to calcium sulfate dihydrate in Calabar Municipality, Cross River State. The results are presented as the mean ± standard error of the mean (SEM).</w:t>
      </w:r>
    </w:p>
    <w:p w14:paraId="6CFDF239"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t>Comparison of Demographic Parameters</w:t>
      </w:r>
    </w:p>
    <w:p w14:paraId="654262ED"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t>The mean values for age, weight, height, and body mass index are presented below. There were no significant differences (p &lt; 0.001).</w:t>
      </w:r>
    </w:p>
    <w:p w14:paraId="3ED9FF6E" w14:textId="77777777" w:rsidR="00712F22" w:rsidRPr="009465C6" w:rsidRDefault="00712F22" w:rsidP="009B4545">
      <w:pPr>
        <w:spacing w:line="480" w:lineRule="auto"/>
        <w:ind w:right="270"/>
        <w:jc w:val="both"/>
        <w:rPr>
          <w:rFonts w:ascii="Times New Roman" w:hAnsi="Times New Roman"/>
          <w:sz w:val="24"/>
          <w:szCs w:val="24"/>
        </w:rPr>
      </w:pPr>
      <w:r w:rsidRPr="009465C6">
        <w:rPr>
          <w:rFonts w:ascii="Times New Roman" w:hAnsi="Times New Roman"/>
          <w:sz w:val="24"/>
          <w:szCs w:val="24"/>
        </w:rPr>
        <w:t>AGE</w:t>
      </w:r>
      <w:r w:rsidRPr="009465C6">
        <w:rPr>
          <w:rFonts w:ascii="Times New Roman" w:hAnsi="Times New Roman"/>
          <w:b/>
          <w:sz w:val="24"/>
          <w:szCs w:val="24"/>
        </w:rPr>
        <w:t>:</w:t>
      </w:r>
      <w:r w:rsidRPr="009465C6">
        <w:rPr>
          <w:rFonts w:ascii="Times New Roman" w:hAnsi="Times New Roman"/>
          <w:sz w:val="24"/>
          <w:szCs w:val="24"/>
        </w:rPr>
        <w:t xml:space="preserve"> The mean ages of the control and test participants were 26.35 ± 0.23 and 27.00 ± 0.34 years, respectively. There was no significant difference between the test and control groups.</w:t>
      </w:r>
    </w:p>
    <w:p w14:paraId="4C28F6ED" w14:textId="77777777" w:rsidR="00712F22" w:rsidRPr="009465C6" w:rsidRDefault="00712F22" w:rsidP="00712F22">
      <w:pPr>
        <w:spacing w:line="480" w:lineRule="auto"/>
        <w:ind w:left="180" w:right="270"/>
        <w:jc w:val="both"/>
        <w:rPr>
          <w:rFonts w:ascii="Times New Roman" w:hAnsi="Times New Roman"/>
        </w:rPr>
      </w:pPr>
      <w:r w:rsidRPr="009465C6">
        <w:rPr>
          <w:rFonts w:ascii="Times New Roman" w:hAnsi="Times New Roman"/>
          <w:noProof/>
        </w:rPr>
        <w:lastRenderedPageBreak/>
        <w:drawing>
          <wp:inline distT="0" distB="0" distL="0" distR="0" wp14:anchorId="1E31A18F" wp14:editId="710FA1DE">
            <wp:extent cx="5734685" cy="8229600"/>
            <wp:effectExtent l="0" t="0" r="0" b="0"/>
            <wp:docPr id="102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 cstate="print"/>
                    <a:srcRect/>
                    <a:stretch/>
                  </pic:blipFill>
                  <pic:spPr>
                    <a:xfrm>
                      <a:off x="0" y="0"/>
                      <a:ext cx="5734685" cy="8229600"/>
                    </a:xfrm>
                    <a:prstGeom prst="rect">
                      <a:avLst/>
                    </a:prstGeom>
                    <a:ln>
                      <a:noFill/>
                    </a:ln>
                  </pic:spPr>
                </pic:pic>
              </a:graphicData>
            </a:graphic>
          </wp:inline>
        </w:drawing>
      </w:r>
    </w:p>
    <w:p w14:paraId="5A95C560" w14:textId="77777777" w:rsidR="00712F22" w:rsidRPr="009465C6" w:rsidRDefault="00712F22" w:rsidP="00712F22">
      <w:pPr>
        <w:spacing w:line="480" w:lineRule="auto"/>
        <w:ind w:left="180" w:right="270"/>
        <w:jc w:val="both"/>
        <w:rPr>
          <w:rFonts w:ascii="Times New Roman" w:hAnsi="Times New Roman"/>
          <w:sz w:val="24"/>
          <w:szCs w:val="24"/>
        </w:rPr>
      </w:pPr>
      <w:r w:rsidRPr="009465C6">
        <w:rPr>
          <w:rFonts w:ascii="Times New Roman" w:hAnsi="Times New Roman"/>
          <w:sz w:val="24"/>
          <w:szCs w:val="24"/>
        </w:rPr>
        <w:lastRenderedPageBreak/>
        <w:t>WEIGHT</w:t>
      </w:r>
      <w:r w:rsidRPr="009465C6">
        <w:rPr>
          <w:rFonts w:ascii="Times New Roman" w:hAnsi="Times New Roman"/>
          <w:b/>
          <w:sz w:val="24"/>
          <w:szCs w:val="24"/>
        </w:rPr>
        <w:t xml:space="preserve">: </w:t>
      </w:r>
      <w:r w:rsidRPr="009465C6">
        <w:rPr>
          <w:rFonts w:ascii="Times New Roman" w:hAnsi="Times New Roman"/>
          <w:sz w:val="24"/>
          <w:szCs w:val="24"/>
        </w:rPr>
        <w:t>The mean weights of the control and test participants were 66.20 ± 0.42 and 66.54 ± 0.25 kg, respectively. There was no significant difference between the test and control groups.</w:t>
      </w:r>
    </w:p>
    <w:p w14:paraId="3EC1E791"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7FC1C751" wp14:editId="4808706D">
            <wp:extent cx="5734685" cy="8229600"/>
            <wp:effectExtent l="0" t="0" r="0" b="0"/>
            <wp:docPr id="10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9" cstate="print"/>
                    <a:srcRect/>
                    <a:stretch/>
                  </pic:blipFill>
                  <pic:spPr>
                    <a:xfrm>
                      <a:off x="0" y="0"/>
                      <a:ext cx="5734685" cy="8229600"/>
                    </a:xfrm>
                    <a:prstGeom prst="rect">
                      <a:avLst/>
                    </a:prstGeom>
                    <a:ln>
                      <a:noFill/>
                    </a:ln>
                  </pic:spPr>
                </pic:pic>
              </a:graphicData>
            </a:graphic>
          </wp:inline>
        </w:drawing>
      </w:r>
    </w:p>
    <w:p w14:paraId="2FDD6A89" w14:textId="77777777" w:rsidR="00712F22" w:rsidRPr="009465C6" w:rsidRDefault="00712F22" w:rsidP="009B4545">
      <w:pPr>
        <w:spacing w:line="480" w:lineRule="auto"/>
        <w:jc w:val="both"/>
        <w:rPr>
          <w:rFonts w:ascii="Times New Roman" w:hAnsi="Times New Roman"/>
          <w:sz w:val="24"/>
          <w:szCs w:val="24"/>
        </w:rPr>
      </w:pPr>
      <w:r w:rsidRPr="009465C6">
        <w:rPr>
          <w:rFonts w:ascii="Times New Roman" w:hAnsi="Times New Roman"/>
          <w:sz w:val="24"/>
          <w:szCs w:val="24"/>
        </w:rPr>
        <w:t>HEIGHT</w:t>
      </w:r>
      <w:r w:rsidRPr="009465C6">
        <w:rPr>
          <w:rFonts w:ascii="Times New Roman" w:hAnsi="Times New Roman"/>
          <w:b/>
          <w:sz w:val="24"/>
          <w:szCs w:val="24"/>
        </w:rPr>
        <w:t>:</w:t>
      </w:r>
      <w:r w:rsidRPr="009465C6">
        <w:rPr>
          <w:rFonts w:ascii="Times New Roman" w:hAnsi="Times New Roman"/>
          <w:sz w:val="24"/>
          <w:szCs w:val="24"/>
        </w:rPr>
        <w:t xml:space="preserve"> The mean heights of the control and test participants were 1.67 ± 0.00 and 1.68 ± 0.00, respectively. There was no significant difference between the test and control groups.</w:t>
      </w:r>
    </w:p>
    <w:p w14:paraId="5C4CE0D6"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06CDE523" wp14:editId="23DC1388">
            <wp:extent cx="5734685" cy="8229600"/>
            <wp:effectExtent l="0" t="0" r="0" b="0"/>
            <wp:docPr id="102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r:embed="rId10" cstate="print"/>
                    <a:srcRect/>
                    <a:stretch/>
                  </pic:blipFill>
                  <pic:spPr>
                    <a:xfrm>
                      <a:off x="0" y="0"/>
                      <a:ext cx="5734685" cy="8229600"/>
                    </a:xfrm>
                    <a:prstGeom prst="rect">
                      <a:avLst/>
                    </a:prstGeom>
                    <a:ln>
                      <a:noFill/>
                    </a:ln>
                  </pic:spPr>
                </pic:pic>
              </a:graphicData>
            </a:graphic>
          </wp:inline>
        </w:drawing>
      </w:r>
    </w:p>
    <w:p w14:paraId="0C5A4E22" w14:textId="77777777" w:rsidR="00712F22" w:rsidRPr="009465C6" w:rsidRDefault="00712F22" w:rsidP="009B4545">
      <w:pPr>
        <w:spacing w:line="480" w:lineRule="auto"/>
        <w:jc w:val="both"/>
        <w:rPr>
          <w:rFonts w:ascii="Times New Roman" w:hAnsi="Times New Roman"/>
        </w:rPr>
      </w:pPr>
      <w:r w:rsidRPr="009465C6">
        <w:rPr>
          <w:rFonts w:ascii="Times New Roman" w:hAnsi="Times New Roman"/>
          <w:sz w:val="24"/>
          <w:szCs w:val="24"/>
        </w:rPr>
        <w:t>Body Mass Index: The mean body mass indices of the control and test participants were 23.86 ± 0.17 and 23.50 ± 0.18, respectively. There was no significant difference between the test and control groups.</w:t>
      </w:r>
    </w:p>
    <w:p w14:paraId="7F742066"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4CE61B80" wp14:editId="32B9E833">
            <wp:extent cx="5734685" cy="8229600"/>
            <wp:effectExtent l="0" t="0" r="0" b="0"/>
            <wp:docPr id="102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3"/>
                    <pic:cNvPicPr/>
                  </pic:nvPicPr>
                  <pic:blipFill>
                    <a:blip r:embed="rId11" cstate="print"/>
                    <a:srcRect/>
                    <a:stretch/>
                  </pic:blipFill>
                  <pic:spPr>
                    <a:xfrm>
                      <a:off x="0" y="0"/>
                      <a:ext cx="5734685" cy="8229600"/>
                    </a:xfrm>
                    <a:prstGeom prst="rect">
                      <a:avLst/>
                    </a:prstGeom>
                    <a:ln>
                      <a:noFill/>
                    </a:ln>
                  </pic:spPr>
                </pic:pic>
              </a:graphicData>
            </a:graphic>
          </wp:inline>
        </w:drawing>
      </w:r>
      <w:r w:rsidRPr="009465C6">
        <w:rPr>
          <w:rFonts w:ascii="Times New Roman" w:hAnsi="Times New Roman"/>
        </w:rPr>
        <w:br w:type="page"/>
      </w:r>
    </w:p>
    <w:p w14:paraId="250BF626"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Spirometric Parameters</w:t>
      </w:r>
    </w:p>
    <w:p w14:paraId="56EEC47A"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t>Comparison of forced vital capacity</w:t>
      </w:r>
      <w:r w:rsidRPr="009465C6">
        <w:rPr>
          <w:rFonts w:ascii="Times New Roman" w:hAnsi="Times New Roman"/>
          <w:b/>
          <w:sz w:val="24"/>
          <w:szCs w:val="24"/>
        </w:rPr>
        <w:t xml:space="preserve">: </w:t>
      </w:r>
      <w:r w:rsidRPr="009465C6">
        <w:rPr>
          <w:rFonts w:ascii="Times New Roman" w:hAnsi="Times New Roman"/>
          <w:sz w:val="24"/>
          <w:szCs w:val="24"/>
        </w:rPr>
        <w:t>The mean forced vital capacity (FVC) values in the control and test participants were 3.04 ± 0.05 and 3.26 ± 0.03,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20F470C3" w14:textId="77777777" w:rsidR="00712F22" w:rsidRPr="009465C6" w:rsidRDefault="00712F22" w:rsidP="00712F22">
      <w:pPr>
        <w:spacing w:line="480" w:lineRule="auto"/>
        <w:jc w:val="both"/>
        <w:rPr>
          <w:rFonts w:ascii="Times New Roman" w:hAnsi="Times New Roman"/>
        </w:rPr>
      </w:pPr>
      <w:r w:rsidRPr="009465C6">
        <w:rPr>
          <w:rFonts w:ascii="Times New Roman" w:hAnsi="Times New Roman"/>
          <w:noProof/>
        </w:rPr>
        <w:lastRenderedPageBreak/>
        <w:drawing>
          <wp:inline distT="0" distB="0" distL="0" distR="0" wp14:anchorId="210DB92E" wp14:editId="2685EC95">
            <wp:extent cx="5734685" cy="8229600"/>
            <wp:effectExtent l="0" t="0" r="0" b="0"/>
            <wp:docPr id="103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2"/>
                    <pic:cNvPicPr/>
                  </pic:nvPicPr>
                  <pic:blipFill>
                    <a:blip r:embed="rId12" cstate="print"/>
                    <a:srcRect/>
                    <a:stretch/>
                  </pic:blipFill>
                  <pic:spPr>
                    <a:xfrm>
                      <a:off x="0" y="0"/>
                      <a:ext cx="5734685" cy="8229600"/>
                    </a:xfrm>
                    <a:prstGeom prst="rect">
                      <a:avLst/>
                    </a:prstGeom>
                    <a:ln>
                      <a:noFill/>
                    </a:ln>
                  </pic:spPr>
                </pic:pic>
              </a:graphicData>
            </a:graphic>
          </wp:inline>
        </w:drawing>
      </w:r>
    </w:p>
    <w:p w14:paraId="5C96A6A7"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forced expiratory volume in one second</w:t>
      </w:r>
      <w:r w:rsidRPr="009465C6">
        <w:rPr>
          <w:rFonts w:ascii="Times New Roman" w:hAnsi="Times New Roman"/>
          <w:b/>
          <w:sz w:val="24"/>
          <w:szCs w:val="24"/>
        </w:rPr>
        <w:t xml:space="preserve">: </w:t>
      </w:r>
      <w:r w:rsidRPr="009465C6">
        <w:rPr>
          <w:rFonts w:ascii="Times New Roman" w:hAnsi="Times New Roman"/>
          <w:sz w:val="24"/>
          <w:szCs w:val="24"/>
        </w:rPr>
        <w:t>The mean forced expiratory volume in one second (FEV₁) values in the control and test participants were 2.49 ± 0.04 and 2.23 ± 0.02,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1A844F41"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noProof/>
        </w:rPr>
        <w:lastRenderedPageBreak/>
        <w:drawing>
          <wp:inline distT="0" distB="0" distL="0" distR="0" wp14:anchorId="7AD1E5EB" wp14:editId="616E67BF">
            <wp:extent cx="5734685" cy="8229600"/>
            <wp:effectExtent l="0" t="0" r="0" b="0"/>
            <wp:docPr id="103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
                    <pic:cNvPicPr/>
                  </pic:nvPicPr>
                  <pic:blipFill>
                    <a:blip r:embed="rId13" cstate="print"/>
                    <a:srcRect/>
                    <a:stretch/>
                  </pic:blipFill>
                  <pic:spPr>
                    <a:xfrm>
                      <a:off x="0" y="0"/>
                      <a:ext cx="5734685" cy="8229600"/>
                    </a:xfrm>
                    <a:prstGeom prst="rect">
                      <a:avLst/>
                    </a:prstGeom>
                    <a:ln>
                      <a:noFill/>
                    </a:ln>
                  </pic:spPr>
                </pic:pic>
              </a:graphicData>
            </a:graphic>
          </wp:inline>
        </w:drawing>
      </w:r>
    </w:p>
    <w:p w14:paraId="60E12A62"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forced expiratory volume in one second percent</w:t>
      </w:r>
      <w:r w:rsidRPr="009465C6">
        <w:rPr>
          <w:rFonts w:ascii="Times New Roman" w:hAnsi="Times New Roman"/>
          <w:b/>
          <w:sz w:val="24"/>
          <w:szCs w:val="24"/>
        </w:rPr>
        <w:t xml:space="preserve">age: </w:t>
      </w:r>
      <w:r w:rsidRPr="009465C6">
        <w:rPr>
          <w:rFonts w:ascii="Times New Roman" w:hAnsi="Times New Roman"/>
          <w:sz w:val="24"/>
          <w:szCs w:val="24"/>
        </w:rPr>
        <w:t>The mean forced expiratory volume in one second percentage (FEV₁%) values in the control and test participants were 72.01 ± 1.21 and 68.86 ± 0.87,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3923CD2A" w14:textId="77777777" w:rsidR="00712F22" w:rsidRPr="009465C6" w:rsidRDefault="00712F22" w:rsidP="00712F22">
      <w:pPr>
        <w:rPr>
          <w:rFonts w:ascii="Times New Roman" w:hAnsi="Times New Roman"/>
        </w:rPr>
      </w:pPr>
      <w:r w:rsidRPr="009465C6">
        <w:rPr>
          <w:rFonts w:ascii="Times New Roman" w:hAnsi="Times New Roman"/>
          <w:noProof/>
        </w:rPr>
        <w:drawing>
          <wp:inline distT="0" distB="0" distL="0" distR="0" wp14:anchorId="638F027F" wp14:editId="005FA280">
            <wp:extent cx="5949315" cy="7653655"/>
            <wp:effectExtent l="0" t="0" r="0" b="0"/>
            <wp:docPr id="103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0"/>
                    <pic:cNvPicPr/>
                  </pic:nvPicPr>
                  <pic:blipFill>
                    <a:blip r:embed="rId14" cstate="print"/>
                    <a:srcRect/>
                    <a:stretch/>
                  </pic:blipFill>
                  <pic:spPr>
                    <a:xfrm>
                      <a:off x="0" y="0"/>
                      <a:ext cx="5949315" cy="7653655"/>
                    </a:xfrm>
                    <a:prstGeom prst="rect">
                      <a:avLst/>
                    </a:prstGeom>
                    <a:ln>
                      <a:noFill/>
                    </a:ln>
                  </pic:spPr>
                </pic:pic>
              </a:graphicData>
            </a:graphic>
          </wp:inline>
        </w:drawing>
      </w:r>
    </w:p>
    <w:p w14:paraId="2D829CC0" w14:textId="77777777" w:rsidR="00712F22" w:rsidRPr="009465C6" w:rsidRDefault="00712F22" w:rsidP="009715E6">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peak expiratory flow rate</w:t>
      </w:r>
      <w:r w:rsidRPr="009465C6">
        <w:rPr>
          <w:rFonts w:ascii="Times New Roman" w:hAnsi="Times New Roman"/>
          <w:b/>
          <w:sz w:val="24"/>
          <w:szCs w:val="24"/>
        </w:rPr>
        <w:t xml:space="preserve">: </w:t>
      </w:r>
      <w:r w:rsidRPr="009465C6">
        <w:rPr>
          <w:rFonts w:ascii="Times New Roman" w:hAnsi="Times New Roman"/>
          <w:sz w:val="24"/>
          <w:szCs w:val="24"/>
        </w:rPr>
        <w:t>The mean peak expiratory flow rate values in the control and test participants were 239.46 ± 3.83 and 221.94 ± 2.37,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06C43916"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6FE9AC3D" wp14:editId="728192A6">
            <wp:extent cx="5734685" cy="8229600"/>
            <wp:effectExtent l="0" t="0" r="0" b="0"/>
            <wp:docPr id="103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9"/>
                    <pic:cNvPicPr/>
                  </pic:nvPicPr>
                  <pic:blipFill>
                    <a:blip r:embed="rId15" cstate="print"/>
                    <a:srcRect/>
                    <a:stretch/>
                  </pic:blipFill>
                  <pic:spPr>
                    <a:xfrm>
                      <a:off x="0" y="0"/>
                      <a:ext cx="5734685" cy="8229600"/>
                    </a:xfrm>
                    <a:prstGeom prst="rect">
                      <a:avLst/>
                    </a:prstGeom>
                    <a:ln>
                      <a:noFill/>
                    </a:ln>
                  </pic:spPr>
                </pic:pic>
              </a:graphicData>
            </a:graphic>
          </wp:inline>
        </w:drawing>
      </w:r>
    </w:p>
    <w:p w14:paraId="30CEB179"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t>Comparison of Lung-Function Parameters</w:t>
      </w:r>
    </w:p>
    <w:p w14:paraId="047B3671"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C-reactive protein concentration: The mean C-reactive protein concentrations in the control and test participants were 0.68 ± 0.03 and 1.35 ± 0.04,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05E44B78" w14:textId="77777777" w:rsidR="00712F22" w:rsidRPr="009465C6" w:rsidRDefault="00712F22" w:rsidP="00712F22">
      <w:pPr>
        <w:rPr>
          <w:rFonts w:ascii="Times New Roman" w:hAnsi="Times New Roman"/>
        </w:rPr>
      </w:pPr>
      <w:r w:rsidRPr="009465C6">
        <w:rPr>
          <w:rFonts w:ascii="Times New Roman" w:hAnsi="Times New Roman"/>
          <w:noProof/>
        </w:rPr>
        <w:drawing>
          <wp:inline distT="0" distB="0" distL="0" distR="0" wp14:anchorId="6FE3E782" wp14:editId="15355426">
            <wp:extent cx="5949315" cy="7653655"/>
            <wp:effectExtent l="0" t="0" r="0" b="0"/>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srcRect/>
                    <a:stretch/>
                  </pic:blipFill>
                  <pic:spPr>
                    <a:xfrm>
                      <a:off x="0" y="0"/>
                      <a:ext cx="5949315" cy="7653655"/>
                    </a:xfrm>
                    <a:prstGeom prst="rect">
                      <a:avLst/>
                    </a:prstGeom>
                    <a:ln>
                      <a:noFill/>
                    </a:ln>
                  </pic:spPr>
                </pic:pic>
              </a:graphicData>
            </a:graphic>
          </wp:inline>
        </w:drawing>
      </w:r>
    </w:p>
    <w:p w14:paraId="222FF9D6" w14:textId="77777777" w:rsidR="00712F22" w:rsidRPr="009465C6" w:rsidRDefault="00712F22" w:rsidP="00712F22">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interleukin-6 concentration: The mean interleukin-6 concentrations in the control and test participants were 0.50 ± 0.02 and 0.58 ± 0.01,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259045E9" w14:textId="77777777" w:rsidR="00712F22" w:rsidRPr="009465C6" w:rsidRDefault="00712F22" w:rsidP="00712F22">
      <w:pPr>
        <w:rPr>
          <w:rFonts w:ascii="Times New Roman" w:hAnsi="Times New Roman"/>
        </w:rPr>
      </w:pPr>
      <w:r w:rsidRPr="009465C6">
        <w:rPr>
          <w:rFonts w:ascii="Times New Roman" w:hAnsi="Times New Roman"/>
          <w:noProof/>
        </w:rPr>
        <w:drawing>
          <wp:inline distT="0" distB="0" distL="0" distR="0" wp14:anchorId="39E9FB44" wp14:editId="605921CA">
            <wp:extent cx="5949315" cy="7653655"/>
            <wp:effectExtent l="0" t="0" r="0" b="0"/>
            <wp:docPr id="103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7"/>
                    <pic:cNvPicPr/>
                  </pic:nvPicPr>
                  <pic:blipFill>
                    <a:blip r:embed="rId17" cstate="print"/>
                    <a:srcRect/>
                    <a:stretch/>
                  </pic:blipFill>
                  <pic:spPr>
                    <a:xfrm>
                      <a:off x="0" y="0"/>
                      <a:ext cx="5949315" cy="7653655"/>
                    </a:xfrm>
                    <a:prstGeom prst="rect">
                      <a:avLst/>
                    </a:prstGeom>
                    <a:ln>
                      <a:noFill/>
                    </a:ln>
                  </pic:spPr>
                </pic:pic>
              </a:graphicData>
            </a:graphic>
          </wp:inline>
        </w:drawing>
      </w:r>
    </w:p>
    <w:p w14:paraId="2AD6B3D8" w14:textId="77777777" w:rsidR="00712F22" w:rsidRPr="009465C6" w:rsidRDefault="00712F22" w:rsidP="00FA409E">
      <w:pPr>
        <w:spacing w:line="480" w:lineRule="auto"/>
        <w:jc w:val="both"/>
        <w:rPr>
          <w:rFonts w:ascii="Times New Roman" w:hAnsi="Times New Roman"/>
          <w:sz w:val="24"/>
          <w:szCs w:val="24"/>
        </w:rPr>
      </w:pPr>
      <w:r w:rsidRPr="009465C6">
        <w:rPr>
          <w:rFonts w:ascii="Times New Roman" w:hAnsi="Times New Roman"/>
          <w:sz w:val="24"/>
          <w:szCs w:val="24"/>
        </w:rPr>
        <w:lastRenderedPageBreak/>
        <w:t>Comparison of respiratory rate</w:t>
      </w:r>
      <w:r w:rsidRPr="009465C6">
        <w:rPr>
          <w:rFonts w:ascii="Times New Roman" w:hAnsi="Times New Roman"/>
          <w:b/>
          <w:sz w:val="24"/>
          <w:szCs w:val="24"/>
        </w:rPr>
        <w:t xml:space="preserve">: </w:t>
      </w:r>
      <w:r w:rsidRPr="009465C6">
        <w:rPr>
          <w:rFonts w:ascii="Times New Roman" w:hAnsi="Times New Roman"/>
          <w:sz w:val="24"/>
          <w:szCs w:val="24"/>
        </w:rPr>
        <w:t>The mean respiratory rates in the control and test participants were 12.44 ± 0.34 and 13.52 ± 0.21,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09BE21CA" w14:textId="77777777" w:rsidR="00712F22" w:rsidRPr="009465C6" w:rsidRDefault="00712F22" w:rsidP="00712F22">
      <w:pPr>
        <w:rPr>
          <w:rFonts w:ascii="Times New Roman" w:hAnsi="Times New Roman"/>
        </w:rPr>
      </w:pPr>
      <w:r w:rsidRPr="009465C6">
        <w:rPr>
          <w:rFonts w:ascii="Times New Roman" w:hAnsi="Times New Roman"/>
          <w:noProof/>
        </w:rPr>
        <w:drawing>
          <wp:inline distT="0" distB="0" distL="0" distR="0" wp14:anchorId="5672242A" wp14:editId="73E23AAB">
            <wp:extent cx="5949315" cy="7653655"/>
            <wp:effectExtent l="0" t="0" r="0" b="0"/>
            <wp:docPr id="103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6"/>
                    <pic:cNvPicPr/>
                  </pic:nvPicPr>
                  <pic:blipFill>
                    <a:blip r:embed="rId18" cstate="print"/>
                    <a:srcRect/>
                    <a:stretch/>
                  </pic:blipFill>
                  <pic:spPr>
                    <a:xfrm>
                      <a:off x="0" y="0"/>
                      <a:ext cx="5949315" cy="7653655"/>
                    </a:xfrm>
                    <a:prstGeom prst="rect">
                      <a:avLst/>
                    </a:prstGeom>
                    <a:ln>
                      <a:noFill/>
                    </a:ln>
                  </pic:spPr>
                </pic:pic>
              </a:graphicData>
            </a:graphic>
          </wp:inline>
        </w:drawing>
      </w:r>
      <w:r w:rsidRPr="009465C6">
        <w:rPr>
          <w:rFonts w:ascii="Times New Roman" w:hAnsi="Times New Roman"/>
        </w:rPr>
        <w:br w:type="page"/>
      </w:r>
    </w:p>
    <w:p w14:paraId="5E22FE53" w14:textId="77777777" w:rsidR="00712F22" w:rsidRPr="009465C6" w:rsidRDefault="00712F22" w:rsidP="00712F22">
      <w:pPr>
        <w:spacing w:line="480" w:lineRule="auto"/>
        <w:jc w:val="both"/>
        <w:rPr>
          <w:rFonts w:ascii="Times New Roman" w:hAnsi="Times New Roman"/>
          <w:b/>
          <w:sz w:val="24"/>
          <w:szCs w:val="24"/>
        </w:rPr>
      </w:pPr>
      <w:r w:rsidRPr="009465C6">
        <w:rPr>
          <w:rFonts w:ascii="Times New Roman" w:hAnsi="Times New Roman"/>
          <w:sz w:val="24"/>
          <w:szCs w:val="24"/>
        </w:rPr>
        <w:lastRenderedPageBreak/>
        <w:t>Comparison of respiratory minute volume</w:t>
      </w:r>
      <w:r w:rsidRPr="009465C6">
        <w:rPr>
          <w:rFonts w:ascii="Times New Roman" w:hAnsi="Times New Roman"/>
          <w:b/>
          <w:sz w:val="24"/>
          <w:szCs w:val="24"/>
        </w:rPr>
        <w:t xml:space="preserve">: </w:t>
      </w:r>
      <w:r w:rsidRPr="009465C6">
        <w:rPr>
          <w:rFonts w:ascii="Times New Roman" w:hAnsi="Times New Roman"/>
          <w:sz w:val="24"/>
          <w:szCs w:val="24"/>
        </w:rPr>
        <w:t>The mean respiratory minute volumes in the control and test participants were 6.22 ± 0.17 and 6.76 ± 0.11, respectively. There was a</w:t>
      </w:r>
      <w:r w:rsidRPr="009465C6">
        <w:rPr>
          <w:rFonts w:ascii="Times New Roman" w:hAnsi="Times New Roman"/>
        </w:rPr>
        <w:t xml:space="preserve"> </w:t>
      </w:r>
      <w:r w:rsidRPr="009465C6">
        <w:rPr>
          <w:rFonts w:ascii="Times New Roman" w:hAnsi="Times New Roman"/>
          <w:sz w:val="24"/>
          <w:szCs w:val="24"/>
        </w:rPr>
        <w:t>significant difference between the groups (p &lt; 0.001).</w:t>
      </w:r>
    </w:p>
    <w:p w14:paraId="1A108473" w14:textId="77777777" w:rsidR="00910B71" w:rsidRDefault="00712F22" w:rsidP="004E124F">
      <w:pPr>
        <w:rPr>
          <w:rFonts w:ascii="Times New Roman" w:hAnsi="Times New Roman"/>
          <w:sz w:val="24"/>
          <w:szCs w:val="24"/>
        </w:rPr>
      </w:pPr>
      <w:r w:rsidRPr="009465C6">
        <w:rPr>
          <w:rFonts w:ascii="Times New Roman" w:hAnsi="Times New Roman"/>
          <w:noProof/>
        </w:rPr>
        <w:drawing>
          <wp:inline distT="0" distB="0" distL="0" distR="0" wp14:anchorId="48F1A30A" wp14:editId="79088647">
            <wp:extent cx="5949315" cy="7653655"/>
            <wp:effectExtent l="0" t="0" r="0" b="0"/>
            <wp:docPr id="103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5"/>
                    <pic:cNvPicPr/>
                  </pic:nvPicPr>
                  <pic:blipFill>
                    <a:blip r:embed="rId19" cstate="print"/>
                    <a:srcRect/>
                    <a:stretch/>
                  </pic:blipFill>
                  <pic:spPr>
                    <a:xfrm>
                      <a:off x="0" y="0"/>
                      <a:ext cx="5949315" cy="7653655"/>
                    </a:xfrm>
                    <a:prstGeom prst="rect">
                      <a:avLst/>
                    </a:prstGeom>
                    <a:ln>
                      <a:noFill/>
                    </a:ln>
                  </pic:spPr>
                </pic:pic>
              </a:graphicData>
            </a:graphic>
          </wp:inline>
        </w:drawing>
      </w:r>
    </w:p>
    <w:p w14:paraId="7F839BFA" w14:textId="1624BA6C" w:rsidR="00712F22" w:rsidRPr="009465C6" w:rsidRDefault="00712F22" w:rsidP="004E124F">
      <w:pPr>
        <w:rPr>
          <w:rFonts w:ascii="Times New Roman" w:hAnsi="Times New Roman"/>
          <w:sz w:val="24"/>
          <w:szCs w:val="24"/>
        </w:rPr>
      </w:pPr>
      <w:r w:rsidRPr="009465C6">
        <w:rPr>
          <w:rFonts w:ascii="Times New Roman" w:hAnsi="Times New Roman"/>
          <w:sz w:val="24"/>
          <w:szCs w:val="24"/>
        </w:rPr>
        <w:lastRenderedPageBreak/>
        <w:t>Correlation of duration of lung parameters</w:t>
      </w:r>
    </w:p>
    <w:p w14:paraId="7703C040" w14:textId="77777777" w:rsidR="00712F22" w:rsidRPr="009465C6" w:rsidRDefault="00712F22" w:rsidP="00712F22">
      <w:pPr>
        <w:rPr>
          <w:rFonts w:ascii="Times New Roman" w:hAnsi="Times New Roman"/>
        </w:rPr>
      </w:pPr>
      <w:r w:rsidRPr="009465C6">
        <w:rPr>
          <w:rFonts w:ascii="Times New Roman" w:hAnsi="Times New Roman"/>
          <w:noProof/>
        </w:rPr>
        <w:drawing>
          <wp:inline distT="0" distB="0" distL="0" distR="0" wp14:anchorId="57145537" wp14:editId="42160FE6">
            <wp:extent cx="6189201" cy="7236177"/>
            <wp:effectExtent l="0" t="0" r="0" b="0"/>
            <wp:docPr id="103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4"/>
                    <pic:cNvPicPr/>
                  </pic:nvPicPr>
                  <pic:blipFill>
                    <a:blip r:embed="rId20" cstate="print"/>
                    <a:srcRect/>
                    <a:stretch/>
                  </pic:blipFill>
                  <pic:spPr>
                    <a:xfrm>
                      <a:off x="0" y="0"/>
                      <a:ext cx="6189201" cy="7236177"/>
                    </a:xfrm>
                    <a:prstGeom prst="rect">
                      <a:avLst/>
                    </a:prstGeom>
                    <a:ln>
                      <a:noFill/>
                    </a:ln>
                  </pic:spPr>
                </pic:pic>
              </a:graphicData>
            </a:graphic>
          </wp:inline>
        </w:drawing>
      </w:r>
    </w:p>
    <w:p w14:paraId="65F34FF5"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636CBA20" wp14:editId="5D2D5A14">
            <wp:extent cx="5734685" cy="8229600"/>
            <wp:effectExtent l="0" t="0" r="0" b="0"/>
            <wp:docPr id="10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3"/>
                    <pic:cNvPicPr/>
                  </pic:nvPicPr>
                  <pic:blipFill>
                    <a:blip r:embed="rId21" cstate="print"/>
                    <a:srcRect/>
                    <a:stretch/>
                  </pic:blipFill>
                  <pic:spPr>
                    <a:xfrm>
                      <a:off x="0" y="0"/>
                      <a:ext cx="5734685" cy="8229600"/>
                    </a:xfrm>
                    <a:prstGeom prst="rect">
                      <a:avLst/>
                    </a:prstGeom>
                    <a:ln>
                      <a:noFill/>
                    </a:ln>
                  </pic:spPr>
                </pic:pic>
              </a:graphicData>
            </a:graphic>
          </wp:inline>
        </w:drawing>
      </w:r>
      <w:r w:rsidRPr="009465C6">
        <w:rPr>
          <w:rFonts w:ascii="Times New Roman" w:hAnsi="Times New Roman"/>
        </w:rPr>
        <w:br w:type="page"/>
      </w:r>
    </w:p>
    <w:p w14:paraId="424F5BD2" w14:textId="77777777" w:rsidR="00712F22" w:rsidRPr="009465C6" w:rsidRDefault="00712F22" w:rsidP="00712F22">
      <w:pPr>
        <w:rPr>
          <w:rFonts w:ascii="Times New Roman" w:hAnsi="Times New Roman"/>
        </w:rPr>
      </w:pPr>
      <w:r w:rsidRPr="009465C6">
        <w:rPr>
          <w:rFonts w:ascii="Times New Roman" w:hAnsi="Times New Roman"/>
          <w:noProof/>
        </w:rPr>
        <w:lastRenderedPageBreak/>
        <w:drawing>
          <wp:inline distT="0" distB="0" distL="0" distR="0" wp14:anchorId="2FE5A628" wp14:editId="18240DCC">
            <wp:extent cx="5734685" cy="8229600"/>
            <wp:effectExtent l="0" t="0" r="0" b="0"/>
            <wp:docPr id="104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
                    <pic:cNvPicPr/>
                  </pic:nvPicPr>
                  <pic:blipFill>
                    <a:blip r:embed="rId22" cstate="print"/>
                    <a:srcRect/>
                    <a:stretch/>
                  </pic:blipFill>
                  <pic:spPr>
                    <a:xfrm>
                      <a:off x="0" y="0"/>
                      <a:ext cx="5734685" cy="8229600"/>
                    </a:xfrm>
                    <a:prstGeom prst="rect">
                      <a:avLst/>
                    </a:prstGeom>
                    <a:ln>
                      <a:noFill/>
                    </a:ln>
                  </pic:spPr>
                </pic:pic>
              </a:graphicData>
            </a:graphic>
          </wp:inline>
        </w:drawing>
      </w:r>
    </w:p>
    <w:p w14:paraId="79825DC1" w14:textId="77777777" w:rsidR="00712F22" w:rsidRPr="009465C6" w:rsidRDefault="00712F22" w:rsidP="003F2C1F">
      <w:pPr>
        <w:rPr>
          <w:rFonts w:ascii="Times New Roman" w:hAnsi="Times New Roman"/>
        </w:rPr>
      </w:pPr>
      <w:r w:rsidRPr="009465C6">
        <w:rPr>
          <w:rFonts w:ascii="Times New Roman" w:hAnsi="Times New Roman"/>
          <w:noProof/>
        </w:rPr>
        <w:lastRenderedPageBreak/>
        <w:drawing>
          <wp:inline distT="0" distB="0" distL="0" distR="0" wp14:anchorId="3A32069A" wp14:editId="2C342454">
            <wp:extent cx="5734685" cy="8229600"/>
            <wp:effectExtent l="0" t="0" r="0" b="0"/>
            <wp:docPr id="1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
                    <pic:cNvPicPr/>
                  </pic:nvPicPr>
                  <pic:blipFill>
                    <a:blip r:embed="rId23" cstate="print"/>
                    <a:srcRect/>
                    <a:stretch/>
                  </pic:blipFill>
                  <pic:spPr>
                    <a:xfrm>
                      <a:off x="0" y="0"/>
                      <a:ext cx="5734685" cy="8229600"/>
                    </a:xfrm>
                    <a:prstGeom prst="rect">
                      <a:avLst/>
                    </a:prstGeom>
                    <a:ln>
                      <a:noFill/>
                    </a:ln>
                  </pic:spPr>
                </pic:pic>
              </a:graphicData>
            </a:graphic>
          </wp:inline>
        </w:drawing>
      </w:r>
    </w:p>
    <w:p w14:paraId="1953A67C" w14:textId="77777777" w:rsidR="00712F22" w:rsidRPr="009465C6" w:rsidRDefault="00712F22" w:rsidP="00712F22">
      <w:pPr>
        <w:spacing w:before="100" w:beforeAutospacing="1" w:after="100" w:afterAutospacing="1" w:line="480" w:lineRule="auto"/>
        <w:jc w:val="both"/>
        <w:rPr>
          <w:rFonts w:ascii="Arial" w:hAnsi="Arial" w:cs="Arial"/>
          <w:b/>
          <w:caps/>
          <w:sz w:val="22"/>
        </w:rPr>
      </w:pPr>
      <w:r w:rsidRPr="009465C6">
        <w:rPr>
          <w:rFonts w:ascii="Arial" w:hAnsi="Arial" w:cs="Arial"/>
          <w:b/>
          <w:caps/>
          <w:sz w:val="22"/>
        </w:rPr>
        <w:t xml:space="preserve">DISCUSSION </w:t>
      </w:r>
    </w:p>
    <w:p w14:paraId="39268FC8" w14:textId="77777777" w:rsidR="005075F3" w:rsidRPr="009465C6" w:rsidRDefault="005075F3" w:rsidP="00712F22">
      <w:pPr>
        <w:spacing w:before="100" w:beforeAutospacing="1" w:after="100" w:afterAutospacing="1" w:line="480" w:lineRule="auto"/>
        <w:jc w:val="both"/>
      </w:pPr>
      <w:r w:rsidRPr="009465C6">
        <w:lastRenderedPageBreak/>
        <w:t>The results of this study indicate that long-term exposure to calcium sulfate dihydrate (CaSO</w:t>
      </w:r>
      <w:r w:rsidRPr="009465C6">
        <w:rPr>
          <w:rFonts w:ascii="Cambria Math" w:hAnsi="Cambria Math" w:cs="Cambria Math"/>
        </w:rPr>
        <w:t>₄</w:t>
      </w:r>
      <w:r w:rsidRPr="009465C6">
        <w:rPr>
          <w:rFonts w:cs="Helvetica"/>
        </w:rPr>
        <w:t>·</w:t>
      </w:r>
      <w:r w:rsidRPr="009465C6">
        <w:t>2H</w:t>
      </w:r>
      <w:r w:rsidRPr="009465C6">
        <w:rPr>
          <w:rFonts w:ascii="Cambria Math" w:hAnsi="Cambria Math" w:cs="Cambria Math"/>
        </w:rPr>
        <w:t>₂</w:t>
      </w:r>
      <w:r w:rsidRPr="009465C6">
        <w:t>O) dust is associated with altered respiratory function and systemic inflammation in exposed individuals. Despite the absence of significant differences in demographic variables such as age, weight, height, and body mass index, clear physiological differences were observed between the test and control groups. Lung-function indices showed significant reductions in forced expiratory volume in one second (FEV</w:t>
      </w:r>
      <w:r w:rsidRPr="009465C6">
        <w:rPr>
          <w:rFonts w:ascii="Cambria Math" w:hAnsi="Cambria Math" w:cs="Cambria Math"/>
        </w:rPr>
        <w:t>₁</w:t>
      </w:r>
      <w:r w:rsidRPr="009465C6">
        <w:t>), FEV</w:t>
      </w:r>
      <w:r w:rsidRPr="009465C6">
        <w:rPr>
          <w:rFonts w:ascii="Cambria Math" w:hAnsi="Cambria Math" w:cs="Cambria Math"/>
        </w:rPr>
        <w:t>₁</w:t>
      </w:r>
      <w:r w:rsidRPr="009465C6">
        <w:t>%, and peak expiratory flow rate (PEFR), together with increased forced vital capacity (FVC), in the exposed group. This pattern may suggest early obstructive and restrictive pulmonary changes, as reported in similar occupational settings involving the inhalation of mineral and dust particles (Ahmed &amp; Abdullah, 2012). Reduced FEV</w:t>
      </w:r>
      <w:r w:rsidRPr="009465C6">
        <w:rPr>
          <w:rFonts w:ascii="Cambria Math" w:hAnsi="Cambria Math" w:cs="Cambria Math"/>
        </w:rPr>
        <w:t>₁</w:t>
      </w:r>
      <w:r w:rsidRPr="009465C6">
        <w:t xml:space="preserve"> and FEV</w:t>
      </w:r>
      <w:r w:rsidRPr="009465C6">
        <w:rPr>
          <w:rFonts w:ascii="Cambria Math" w:hAnsi="Cambria Math" w:cs="Cambria Math"/>
        </w:rPr>
        <w:t>₁</w:t>
      </w:r>
      <w:r w:rsidRPr="009465C6">
        <w:t xml:space="preserve">% indicate airflow limitation, which could be attributable to chronic inflammation or airway remodelling caused by prolonged dust inhalation (Isara </w:t>
      </w:r>
      <w:r w:rsidRPr="009465C6">
        <w:rPr>
          <w:i/>
        </w:rPr>
        <w:t>et al.,</w:t>
      </w:r>
      <w:r w:rsidRPr="009465C6">
        <w:t xml:space="preserve"> 2016). Although the increase in FVC appears paradoxical, it may reflect a compensatory mechanism or may be influenced by hyperinflation, which often accompanies obstructive airway diseases (Mwaiselage </w:t>
      </w:r>
      <w:r w:rsidRPr="009465C6">
        <w:rPr>
          <w:i/>
        </w:rPr>
        <w:t>et al.,</w:t>
      </w:r>
      <w:r w:rsidRPr="009465C6">
        <w:t xml:space="preserve"> 2005).</w:t>
      </w:r>
    </w:p>
    <w:p w14:paraId="1766AFFE" w14:textId="77777777" w:rsidR="005075F3" w:rsidRPr="009465C6" w:rsidRDefault="005075F3" w:rsidP="005075F3">
      <w:pPr>
        <w:pStyle w:val="NormalWeb"/>
        <w:spacing w:line="480" w:lineRule="auto"/>
        <w:jc w:val="both"/>
      </w:pPr>
      <w:r w:rsidRPr="009465C6">
        <w:t xml:space="preserve">Furthermore, the study reported elevated levels of inflammatory biomarkers, specifically C-reactive protein (CRP), interleukin-6 (IL-6), and tumour necrosis factor-alpha (TNF-α), in the test group. These biomarkers are recognised indicators of systemic inflammation and are often elevated in individuals with chronic exposure to respiratory irritants (Ohlson </w:t>
      </w:r>
      <w:r w:rsidRPr="009465C6">
        <w:rPr>
          <w:i/>
        </w:rPr>
        <w:t>et al.,</w:t>
      </w:r>
      <w:r w:rsidRPr="009465C6">
        <w:t xml:space="preserve"> 2010). The significant increases in CRP and IL-6 support the hypothesis that inhalation of calcium sulfate dihydrate dust triggers systemic inflammatory responses, which may contribute to respiratory symptoms and long-term pulmonary complications. This finding is consistent with recent studies linking occupational particulate exposure to heightened inflammatory responses (Fell </w:t>
      </w:r>
      <w:r w:rsidRPr="009465C6">
        <w:rPr>
          <w:i/>
        </w:rPr>
        <w:t>et al.,</w:t>
      </w:r>
      <w:r w:rsidRPr="009465C6">
        <w:t xml:space="preserve"> 2010; Ahmad </w:t>
      </w:r>
      <w:r w:rsidRPr="009465C6">
        <w:rPr>
          <w:i/>
        </w:rPr>
        <w:t>et al.,</w:t>
      </w:r>
      <w:r w:rsidRPr="009465C6">
        <w:t xml:space="preserve"> 2021).</w:t>
      </w:r>
    </w:p>
    <w:p w14:paraId="597A6FED" w14:textId="77777777" w:rsidR="005075F3" w:rsidRPr="009465C6" w:rsidRDefault="005075F3" w:rsidP="001D02BC">
      <w:pPr>
        <w:pStyle w:val="NormalWeb"/>
        <w:spacing w:line="480" w:lineRule="auto"/>
        <w:jc w:val="both"/>
      </w:pPr>
      <w:r w:rsidRPr="009465C6">
        <w:t xml:space="preserve">Additionally, respiratory rate and minute ventilation were significantly increased in the exposed group. These increases could reflect compromised gas-exchange efficiency and an increased respiratory drive as a compensatory response to impaired lung function. Increased respiratory minute volume may also indicate a sustained physiological response to chronic exposure, as suggested by Zeleke et al. (2010), who reported similar trends among workers exposed to construction and industrial dust. These findings highlight the occupational health risks associated with prolonged exposure to construction-related dust, including calcium sulfate dihydrate. The observed physiological and biochemical alterations demonstrate the need for improved protective measures </w:t>
      </w:r>
      <w:r w:rsidRPr="009465C6">
        <w:lastRenderedPageBreak/>
        <w:t>and regular health surveillance among workers in dust-prone environments. The consistency of these results with other contemporary studies further supports an association between mineral-dust exposure, pulmonary dysfunction, and systemic inflammation (Alnawaiseh &amp; El-Gamal, 2022; Fell &amp; Nordby, 2017).</w:t>
      </w:r>
    </w:p>
    <w:p w14:paraId="4924A9F8" w14:textId="77777777" w:rsidR="00790ADA" w:rsidRPr="009465C6" w:rsidRDefault="00B01FCD" w:rsidP="00441B6F">
      <w:pPr>
        <w:pStyle w:val="ConcHead"/>
        <w:spacing w:after="0"/>
        <w:jc w:val="both"/>
        <w:rPr>
          <w:rFonts w:ascii="Arial" w:hAnsi="Arial" w:cs="Arial"/>
        </w:rPr>
      </w:pPr>
      <w:r w:rsidRPr="009465C6">
        <w:rPr>
          <w:rFonts w:ascii="Arial" w:hAnsi="Arial" w:cs="Arial"/>
        </w:rPr>
        <w:t>Conclusion</w:t>
      </w:r>
    </w:p>
    <w:p w14:paraId="1E9964E4" w14:textId="77777777" w:rsidR="00790ADA" w:rsidRDefault="00531719" w:rsidP="00441B6F">
      <w:pPr>
        <w:pStyle w:val="Body"/>
        <w:spacing w:after="0"/>
      </w:pPr>
      <w:r w:rsidRPr="009465C6">
        <w:t>This study found that long-term occupational exposure to calcium sulfate dihydrate (CaSO</w:t>
      </w:r>
      <w:r w:rsidRPr="009465C6">
        <w:rPr>
          <w:rFonts w:ascii="Times New Roman" w:hAnsi="Times New Roman"/>
        </w:rPr>
        <w:t>₄</w:t>
      </w:r>
      <w:r w:rsidRPr="009465C6">
        <w:rPr>
          <w:rFonts w:ascii="Sylfaen" w:hAnsi="Sylfaen" w:cs="Sylfaen"/>
        </w:rPr>
        <w:t>·</w:t>
      </w:r>
      <w:r w:rsidRPr="009465C6">
        <w:t>2H</w:t>
      </w:r>
      <w:r w:rsidRPr="009465C6">
        <w:rPr>
          <w:rFonts w:ascii="Times New Roman" w:hAnsi="Times New Roman"/>
        </w:rPr>
        <w:t>₂</w:t>
      </w:r>
      <w:r w:rsidRPr="009465C6">
        <w:t>O) dust was associated with impaired pulmonary function and elevated levels of systemic inflammatory biomarkers. Although demographic variables such as age, weight, height, and body mass index did not differ significantly between the exposed and control groups, key respiratory indices, including FEV</w:t>
      </w:r>
      <w:r w:rsidRPr="009465C6">
        <w:rPr>
          <w:rFonts w:ascii="Times New Roman" w:hAnsi="Times New Roman"/>
        </w:rPr>
        <w:t>₁</w:t>
      </w:r>
      <w:r w:rsidRPr="009465C6">
        <w:t>, FEV</w:t>
      </w:r>
      <w:r w:rsidRPr="009465C6">
        <w:rPr>
          <w:rFonts w:ascii="Times New Roman" w:hAnsi="Times New Roman"/>
        </w:rPr>
        <w:t>₁</w:t>
      </w:r>
      <w:r w:rsidRPr="009465C6">
        <w:t>%, and PEFR, were significantly lower in the exposed group. Furthermore, elevated levels of C-reactive protein (CRP) and interleukin-6 (IL-6) were associated with systemic inflammatory responses among exposed workers. These findings suggest that prolonged occupational exposure to calcium sulfate dihydrate dust may be associated with adverse respiratory and inflammatory effects and highlight the importance of appropriate protective measures and exposure control in occupational settings where dust exposure is prevalent.</w:t>
      </w:r>
    </w:p>
    <w:p w14:paraId="100AE6F8" w14:textId="77777777" w:rsidR="002D28D3" w:rsidRPr="009465C6" w:rsidRDefault="002D28D3" w:rsidP="00441B6F">
      <w:pPr>
        <w:pStyle w:val="Body"/>
        <w:spacing w:after="0"/>
      </w:pPr>
    </w:p>
    <w:p w14:paraId="45909A92" w14:textId="0D4B717E" w:rsidR="00B62D6B" w:rsidRPr="002D28D3" w:rsidRDefault="00B62D6B" w:rsidP="00B62D6B">
      <w:pPr>
        <w:pStyle w:val="Body"/>
        <w:rPr>
          <w:rFonts w:ascii="Arial" w:hAnsi="Arial" w:cs="Arial"/>
          <w:b/>
          <w:bCs/>
        </w:rPr>
      </w:pPr>
      <w:r w:rsidRPr="009465C6">
        <w:rPr>
          <w:rFonts w:ascii="Arial" w:hAnsi="Arial" w:cs="Arial"/>
          <w:b/>
          <w:bCs/>
        </w:rPr>
        <w:t xml:space="preserve">Limitation </w:t>
      </w:r>
    </w:p>
    <w:p w14:paraId="7458C498" w14:textId="01E952E1" w:rsidR="00B62D6B" w:rsidRDefault="00B62D6B" w:rsidP="00B62D6B">
      <w:pPr>
        <w:pStyle w:val="Body"/>
        <w:spacing w:after="0"/>
        <w:rPr>
          <w:rFonts w:ascii="Arial" w:hAnsi="Arial" w:cs="Arial"/>
        </w:rPr>
      </w:pPr>
      <w:r w:rsidRPr="009465C6">
        <w:rPr>
          <w:rFonts w:ascii="Arial" w:hAnsi="Arial" w:cs="Arial"/>
        </w:rPr>
        <w:t>This comparative study was limited by its cross-sectional design, which does not establish causality or temporal changes. Exposure was defined by occupational history rather than quantified personal dust measurements and future work should use consistent participant counts, direct exposure assessment, and longitudinal follow-up.</w:t>
      </w:r>
    </w:p>
    <w:p w14:paraId="73DFD584" w14:textId="77777777" w:rsidR="00F94D5C" w:rsidRDefault="00F94D5C" w:rsidP="00B62D6B">
      <w:pPr>
        <w:pStyle w:val="Body"/>
        <w:spacing w:after="0"/>
        <w:rPr>
          <w:rFonts w:ascii="Arial" w:hAnsi="Arial" w:cs="Arial"/>
        </w:rPr>
      </w:pPr>
    </w:p>
    <w:p w14:paraId="5DFBABE3" w14:textId="77777777" w:rsidR="00F94D5C" w:rsidRPr="00F94D5C" w:rsidRDefault="00F94D5C" w:rsidP="00F94D5C">
      <w:pPr>
        <w:pStyle w:val="Body"/>
        <w:rPr>
          <w:rFonts w:ascii="Arial" w:hAnsi="Arial" w:cs="Arial"/>
          <w:b/>
          <w:bCs/>
        </w:rPr>
      </w:pPr>
      <w:r w:rsidRPr="00F94D5C">
        <w:rPr>
          <w:rFonts w:ascii="Arial" w:hAnsi="Arial" w:cs="Arial"/>
          <w:b/>
          <w:bCs/>
        </w:rPr>
        <w:t>Ethical approval</w:t>
      </w:r>
    </w:p>
    <w:p w14:paraId="7826A6A9" w14:textId="77DF7B45" w:rsidR="00F94D5C" w:rsidRPr="009465C6" w:rsidRDefault="00F94D5C" w:rsidP="00F94D5C">
      <w:pPr>
        <w:pStyle w:val="Body"/>
        <w:spacing w:after="0"/>
        <w:rPr>
          <w:rFonts w:ascii="Arial" w:hAnsi="Arial" w:cs="Arial"/>
        </w:rPr>
      </w:pPr>
      <w:r w:rsidRPr="00F94D5C">
        <w:rPr>
          <w:rFonts w:ascii="Arial" w:hAnsi="Arial" w:cs="Arial"/>
        </w:rPr>
        <w:t>Ethical approval was obtained from the Ministry of Health, Health Research Ethics Committee (HAEC), Calabar, Cross River State</w:t>
      </w:r>
    </w:p>
    <w:p w14:paraId="7DC0317A" w14:textId="77777777" w:rsidR="004E3F74" w:rsidRDefault="004E3F74" w:rsidP="00441B6F">
      <w:pPr>
        <w:pStyle w:val="ReferHead"/>
        <w:spacing w:after="0"/>
        <w:jc w:val="both"/>
        <w:rPr>
          <w:rFonts w:ascii="Arial" w:hAnsi="Arial" w:cs="Arial"/>
          <w:bCs/>
        </w:rPr>
      </w:pPr>
    </w:p>
    <w:p w14:paraId="49D1E6B5" w14:textId="77777777" w:rsidR="00490340" w:rsidRDefault="00490340" w:rsidP="00441B6F">
      <w:pPr>
        <w:pStyle w:val="ReferHead"/>
        <w:spacing w:after="0"/>
        <w:jc w:val="both"/>
        <w:rPr>
          <w:rFonts w:ascii="Arial" w:hAnsi="Arial" w:cs="Arial"/>
          <w:bCs/>
        </w:rPr>
      </w:pPr>
    </w:p>
    <w:p w14:paraId="11F21590" w14:textId="77777777" w:rsidR="00490340" w:rsidRPr="00490340" w:rsidRDefault="00490340" w:rsidP="00490340">
      <w:pPr>
        <w:pStyle w:val="ReferHead"/>
        <w:jc w:val="both"/>
        <w:rPr>
          <w:rFonts w:ascii="Arial" w:hAnsi="Arial" w:cs="Arial"/>
          <w:bCs/>
        </w:rPr>
      </w:pPr>
      <w:r w:rsidRPr="00490340">
        <w:rPr>
          <w:rFonts w:ascii="Arial" w:hAnsi="Arial" w:cs="Arial"/>
          <w:bCs/>
        </w:rPr>
        <w:t xml:space="preserve">Consent </w:t>
      </w:r>
    </w:p>
    <w:p w14:paraId="6E1B0550" w14:textId="0F31E63E" w:rsidR="00490340" w:rsidRPr="00490340" w:rsidRDefault="00490340" w:rsidP="00490340">
      <w:pPr>
        <w:pStyle w:val="ReferHead"/>
        <w:spacing w:after="0"/>
        <w:jc w:val="both"/>
        <w:rPr>
          <w:rFonts w:ascii="Arial" w:hAnsi="Arial" w:cs="Arial"/>
          <w:b w:val="0"/>
          <w:caps w:val="0"/>
          <w:sz w:val="20"/>
        </w:rPr>
      </w:pPr>
      <w:r w:rsidRPr="00490340">
        <w:rPr>
          <w:rFonts w:ascii="Arial" w:hAnsi="Arial" w:cs="Arial"/>
          <w:b w:val="0"/>
          <w:caps w:val="0"/>
          <w:sz w:val="20"/>
        </w:rPr>
        <w:t>As per international standards or university standards, Participants’ written consent has been collected and preserved by the author(s).</w:t>
      </w:r>
    </w:p>
    <w:p w14:paraId="183D6532" w14:textId="77777777" w:rsidR="00490340" w:rsidRPr="00490340" w:rsidRDefault="00490340" w:rsidP="00490340">
      <w:pPr>
        <w:pStyle w:val="ReferHead"/>
        <w:spacing w:after="0"/>
        <w:jc w:val="both"/>
        <w:rPr>
          <w:rFonts w:ascii="Arial" w:hAnsi="Arial" w:cs="Arial"/>
          <w:b w:val="0"/>
          <w:caps w:val="0"/>
          <w:sz w:val="20"/>
        </w:rPr>
      </w:pPr>
    </w:p>
    <w:p w14:paraId="6C4094C3" w14:textId="77777777" w:rsidR="00F2646F" w:rsidRPr="009465C6" w:rsidRDefault="00F2646F" w:rsidP="00441B6F">
      <w:pPr>
        <w:pStyle w:val="ReferHead"/>
        <w:spacing w:after="0"/>
        <w:jc w:val="both"/>
        <w:rPr>
          <w:rFonts w:ascii="Arial" w:hAnsi="Arial" w:cs="Arial"/>
          <w:b w:val="0"/>
          <w:caps w:val="0"/>
          <w:sz w:val="20"/>
        </w:rPr>
      </w:pPr>
    </w:p>
    <w:p w14:paraId="0497EB37" w14:textId="77777777" w:rsidR="007C33DC" w:rsidRPr="009465C6" w:rsidRDefault="007C33DC" w:rsidP="007C33DC">
      <w:pPr>
        <w:rPr>
          <w:rFonts w:ascii="Times New Roman" w:hAnsi="Times New Roman"/>
          <w:b/>
        </w:rPr>
      </w:pPr>
      <w:r w:rsidRPr="009465C6">
        <w:rPr>
          <w:rFonts w:ascii="Times New Roman" w:hAnsi="Times New Roman"/>
          <w:b/>
        </w:rPr>
        <w:t>Declaration of AI Use</w:t>
      </w:r>
    </w:p>
    <w:p w14:paraId="53273F86" w14:textId="77777777" w:rsidR="007C33DC" w:rsidRPr="009465C6" w:rsidRDefault="007C33DC" w:rsidP="007C33DC">
      <w:pPr>
        <w:rPr>
          <w:rFonts w:ascii="Times New Roman" w:hAnsi="Times New Roman"/>
        </w:rPr>
      </w:pPr>
    </w:p>
    <w:p w14:paraId="23BCC768" w14:textId="77777777" w:rsidR="007C33DC" w:rsidRPr="009465C6" w:rsidRDefault="007C33DC" w:rsidP="007C33DC">
      <w:pPr>
        <w:jc w:val="both"/>
        <w:rPr>
          <w:rFonts w:ascii="Times New Roman" w:hAnsi="Times New Roman"/>
        </w:rPr>
      </w:pPr>
      <w:r w:rsidRPr="009465C6">
        <w:rPr>
          <w:rFonts w:ascii="Times New Roman" w:hAnsi="Times New Roman"/>
        </w:rPr>
        <w:t>This manuscript was prepared through the combined contributions of all author(s), including contributions to the study design, data collection,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C3A9E73" w14:textId="77777777" w:rsidR="005334DB" w:rsidRPr="009465C6" w:rsidRDefault="005334DB" w:rsidP="007C33DC">
      <w:pPr>
        <w:jc w:val="both"/>
        <w:rPr>
          <w:rFonts w:ascii="Times New Roman" w:hAnsi="Times New Roman"/>
        </w:rPr>
      </w:pPr>
    </w:p>
    <w:p w14:paraId="0FDD6810" w14:textId="77777777" w:rsidR="007C33DC" w:rsidRDefault="007C33DC" w:rsidP="007C33DC">
      <w:pPr>
        <w:pStyle w:val="DefAcrHead"/>
        <w:spacing w:after="0"/>
        <w:jc w:val="both"/>
        <w:rPr>
          <w:rFonts w:ascii="Arial" w:hAnsi="Arial" w:cs="Arial"/>
        </w:rPr>
      </w:pPr>
      <w:r w:rsidRPr="009465C6">
        <w:rPr>
          <w:rFonts w:ascii="Arial" w:hAnsi="Arial" w:cs="Arial"/>
        </w:rPr>
        <w:t>Definitions, Acronyms, Abbreviations</w:t>
      </w:r>
    </w:p>
    <w:p w14:paraId="23EABD8D" w14:textId="77777777" w:rsidR="00F94D5C" w:rsidRPr="009465C6" w:rsidRDefault="00F94D5C" w:rsidP="007C33DC">
      <w:pPr>
        <w:pStyle w:val="DefAcrHead"/>
        <w:spacing w:after="0"/>
        <w:jc w:val="both"/>
        <w:rPr>
          <w:rFonts w:ascii="Arial" w:hAnsi="Arial" w:cs="Arial"/>
        </w:rPr>
      </w:pPr>
    </w:p>
    <w:p w14:paraId="3BEDEFD3" w14:textId="77777777" w:rsidR="007C33DC" w:rsidRPr="009465C6" w:rsidRDefault="007C33DC" w:rsidP="007C33DC">
      <w:pPr>
        <w:pStyle w:val="Body"/>
        <w:rPr>
          <w:rFonts w:ascii="Arial" w:hAnsi="Arial" w:cs="Arial"/>
        </w:rPr>
      </w:pPr>
      <w:r w:rsidRPr="009465C6">
        <w:rPr>
          <w:rFonts w:ascii="Arial" w:hAnsi="Arial" w:cs="Arial"/>
        </w:rPr>
        <w:t>CaSO</w:t>
      </w:r>
      <w:r w:rsidRPr="009465C6">
        <w:rPr>
          <w:rFonts w:ascii="Cambria Math" w:hAnsi="Cambria Math" w:cs="Cambria Math"/>
        </w:rPr>
        <w:t>₄</w:t>
      </w:r>
      <w:r w:rsidRPr="009465C6">
        <w:rPr>
          <w:rFonts w:ascii="Arial" w:hAnsi="Arial" w:cs="Arial"/>
        </w:rPr>
        <w:t>·2H</w:t>
      </w:r>
      <w:r w:rsidRPr="009465C6">
        <w:rPr>
          <w:rFonts w:ascii="Cambria Math" w:hAnsi="Cambria Math" w:cs="Cambria Math"/>
        </w:rPr>
        <w:t>₂</w:t>
      </w:r>
      <w:r w:rsidRPr="009465C6">
        <w:rPr>
          <w:rFonts w:ascii="Arial" w:hAnsi="Arial" w:cs="Arial"/>
        </w:rPr>
        <w:t>O — Calcium sulfate dihydrate</w:t>
      </w:r>
    </w:p>
    <w:p w14:paraId="32164C77" w14:textId="77777777" w:rsidR="007C33DC" w:rsidRPr="009465C6" w:rsidRDefault="007C33DC" w:rsidP="007C33DC">
      <w:pPr>
        <w:pStyle w:val="Body"/>
        <w:rPr>
          <w:rFonts w:ascii="Arial" w:hAnsi="Arial" w:cs="Arial"/>
        </w:rPr>
      </w:pPr>
      <w:r w:rsidRPr="009465C6">
        <w:rPr>
          <w:rFonts w:ascii="Arial" w:hAnsi="Arial" w:cs="Arial"/>
        </w:rPr>
        <w:t>CaSO</w:t>
      </w:r>
      <w:r w:rsidRPr="009465C6">
        <w:rPr>
          <w:rFonts w:ascii="Cambria Math" w:hAnsi="Cambria Math" w:cs="Cambria Math"/>
        </w:rPr>
        <w:t>₄</w:t>
      </w:r>
      <w:r w:rsidRPr="009465C6">
        <w:rPr>
          <w:rFonts w:ascii="Arial" w:hAnsi="Arial" w:cs="Arial"/>
        </w:rPr>
        <w:t>·½H</w:t>
      </w:r>
      <w:r w:rsidRPr="009465C6">
        <w:rPr>
          <w:rFonts w:ascii="Cambria Math" w:hAnsi="Cambria Math" w:cs="Cambria Math"/>
        </w:rPr>
        <w:t>₂</w:t>
      </w:r>
      <w:r w:rsidRPr="009465C6">
        <w:rPr>
          <w:rFonts w:ascii="Arial" w:hAnsi="Arial" w:cs="Arial"/>
        </w:rPr>
        <w:t>O — Calcium sulfate hemihydrate</w:t>
      </w:r>
    </w:p>
    <w:p w14:paraId="1C8050C4" w14:textId="77777777" w:rsidR="007C33DC" w:rsidRPr="009465C6" w:rsidRDefault="007C33DC" w:rsidP="007C33DC">
      <w:pPr>
        <w:pStyle w:val="Body"/>
        <w:rPr>
          <w:rFonts w:ascii="Arial" w:hAnsi="Arial" w:cs="Arial"/>
        </w:rPr>
      </w:pPr>
      <w:r w:rsidRPr="009465C6">
        <w:rPr>
          <w:rFonts w:ascii="Arial" w:hAnsi="Arial" w:cs="Arial"/>
        </w:rPr>
        <w:t>CaSO</w:t>
      </w:r>
      <w:r w:rsidRPr="009465C6">
        <w:rPr>
          <w:rFonts w:ascii="Cambria Math" w:hAnsi="Cambria Math" w:cs="Cambria Math"/>
        </w:rPr>
        <w:t>₄</w:t>
      </w:r>
      <w:r w:rsidRPr="009465C6">
        <w:rPr>
          <w:rFonts w:ascii="Arial" w:hAnsi="Arial" w:cs="Arial"/>
        </w:rPr>
        <w:t xml:space="preserve"> — Calcium sulfate</w:t>
      </w:r>
    </w:p>
    <w:p w14:paraId="01A73963" w14:textId="77777777" w:rsidR="007C33DC" w:rsidRPr="009465C6" w:rsidRDefault="007C33DC" w:rsidP="007C33DC">
      <w:pPr>
        <w:pStyle w:val="Body"/>
        <w:rPr>
          <w:rFonts w:ascii="Arial" w:hAnsi="Arial" w:cs="Arial"/>
        </w:rPr>
      </w:pPr>
      <w:r w:rsidRPr="009465C6">
        <w:rPr>
          <w:rFonts w:ascii="Arial" w:hAnsi="Arial" w:cs="Arial"/>
        </w:rPr>
        <w:t>CRP — C-reactive protein</w:t>
      </w:r>
    </w:p>
    <w:p w14:paraId="075137B3" w14:textId="77777777" w:rsidR="007C33DC" w:rsidRPr="009465C6" w:rsidRDefault="007C33DC" w:rsidP="007C33DC">
      <w:pPr>
        <w:pStyle w:val="Body"/>
        <w:rPr>
          <w:rFonts w:ascii="Arial" w:hAnsi="Arial" w:cs="Arial"/>
        </w:rPr>
      </w:pPr>
      <w:r w:rsidRPr="009465C6">
        <w:rPr>
          <w:rFonts w:ascii="Arial" w:hAnsi="Arial" w:cs="Arial"/>
        </w:rPr>
        <w:t>COPD — Chronic obstructive pulmonary disease</w:t>
      </w:r>
    </w:p>
    <w:p w14:paraId="51D2925D" w14:textId="77777777" w:rsidR="007C33DC" w:rsidRPr="009465C6" w:rsidRDefault="007C33DC" w:rsidP="007C33DC">
      <w:pPr>
        <w:pStyle w:val="Body"/>
        <w:rPr>
          <w:rFonts w:ascii="Arial" w:hAnsi="Arial" w:cs="Arial"/>
        </w:rPr>
      </w:pPr>
      <w:r w:rsidRPr="009465C6">
        <w:rPr>
          <w:rFonts w:ascii="Arial" w:hAnsi="Arial" w:cs="Arial"/>
        </w:rPr>
        <w:t>ELISA — Enzyme-linked immunosorbent assay</w:t>
      </w:r>
    </w:p>
    <w:p w14:paraId="1645D1F1" w14:textId="77777777" w:rsidR="007C33DC" w:rsidRPr="009465C6" w:rsidRDefault="007C33DC" w:rsidP="007C33DC">
      <w:pPr>
        <w:pStyle w:val="Body"/>
        <w:rPr>
          <w:rFonts w:ascii="Arial" w:hAnsi="Arial" w:cs="Arial"/>
        </w:rPr>
      </w:pPr>
      <w:r w:rsidRPr="009465C6">
        <w:rPr>
          <w:rFonts w:ascii="Arial" w:hAnsi="Arial" w:cs="Arial"/>
        </w:rPr>
        <w:lastRenderedPageBreak/>
        <w:t>EDTA — Ethylenediaminetetraacetic acid</w:t>
      </w:r>
    </w:p>
    <w:p w14:paraId="0F93C5BF" w14:textId="77777777" w:rsidR="007C33DC" w:rsidRPr="009465C6" w:rsidRDefault="007C33DC" w:rsidP="007C33DC">
      <w:pPr>
        <w:pStyle w:val="Body"/>
        <w:rPr>
          <w:rFonts w:ascii="Arial" w:hAnsi="Arial" w:cs="Arial"/>
        </w:rPr>
      </w:pPr>
      <w:r w:rsidRPr="009465C6">
        <w:rPr>
          <w:rFonts w:ascii="Arial" w:hAnsi="Arial" w:cs="Arial"/>
        </w:rPr>
        <w:t>EU — European Union</w:t>
      </w:r>
    </w:p>
    <w:p w14:paraId="3315F6E5" w14:textId="77777777" w:rsidR="007C33DC" w:rsidRPr="009465C6" w:rsidRDefault="007C33DC" w:rsidP="007C33DC">
      <w:pPr>
        <w:pStyle w:val="Body"/>
        <w:rPr>
          <w:rFonts w:ascii="Arial" w:hAnsi="Arial" w:cs="Arial"/>
        </w:rPr>
      </w:pPr>
      <w:r w:rsidRPr="009465C6">
        <w:rPr>
          <w:rFonts w:ascii="Arial" w:hAnsi="Arial" w:cs="Arial"/>
        </w:rPr>
        <w:t>FDA — U.S. Food and Drug Administration</w:t>
      </w:r>
    </w:p>
    <w:p w14:paraId="6CAD861B" w14:textId="77777777" w:rsidR="007C33DC" w:rsidRPr="009465C6" w:rsidRDefault="007C33DC" w:rsidP="007C33DC">
      <w:pPr>
        <w:pStyle w:val="Body"/>
        <w:rPr>
          <w:rFonts w:ascii="Arial" w:hAnsi="Arial" w:cs="Arial"/>
        </w:rPr>
      </w:pPr>
      <w:r w:rsidRPr="009465C6">
        <w:rPr>
          <w:rFonts w:ascii="Arial" w:hAnsi="Arial" w:cs="Arial"/>
        </w:rPr>
        <w:t>FEV</w:t>
      </w:r>
      <w:r w:rsidRPr="009465C6">
        <w:rPr>
          <w:rFonts w:ascii="Cambria Math" w:hAnsi="Cambria Math" w:cs="Cambria Math"/>
        </w:rPr>
        <w:t>₁</w:t>
      </w:r>
      <w:r w:rsidRPr="009465C6">
        <w:rPr>
          <w:rFonts w:ascii="Arial" w:hAnsi="Arial" w:cs="Arial"/>
        </w:rPr>
        <w:t xml:space="preserve"> — Forced expiratory volume in one second</w:t>
      </w:r>
    </w:p>
    <w:p w14:paraId="57FEAE9F" w14:textId="77777777" w:rsidR="007C33DC" w:rsidRPr="009465C6" w:rsidRDefault="007C33DC" w:rsidP="007C33DC">
      <w:pPr>
        <w:pStyle w:val="Body"/>
        <w:rPr>
          <w:rFonts w:ascii="Arial" w:hAnsi="Arial" w:cs="Arial"/>
        </w:rPr>
      </w:pPr>
      <w:r w:rsidRPr="009465C6">
        <w:rPr>
          <w:rFonts w:ascii="Arial" w:hAnsi="Arial" w:cs="Arial"/>
        </w:rPr>
        <w:t>FEV</w:t>
      </w:r>
      <w:r w:rsidRPr="009465C6">
        <w:rPr>
          <w:rFonts w:ascii="Cambria Math" w:hAnsi="Cambria Math" w:cs="Cambria Math"/>
        </w:rPr>
        <w:t>₁</w:t>
      </w:r>
      <w:r w:rsidRPr="009465C6">
        <w:rPr>
          <w:rFonts w:ascii="Arial" w:hAnsi="Arial" w:cs="Arial"/>
        </w:rPr>
        <w:t>% — Forced expiratory volume in one second percentage</w:t>
      </w:r>
    </w:p>
    <w:p w14:paraId="607DEA7E" w14:textId="77777777" w:rsidR="007C33DC" w:rsidRPr="009465C6" w:rsidRDefault="007C33DC" w:rsidP="007C33DC">
      <w:pPr>
        <w:pStyle w:val="Body"/>
        <w:rPr>
          <w:rFonts w:ascii="Arial" w:hAnsi="Arial" w:cs="Arial"/>
        </w:rPr>
      </w:pPr>
      <w:r w:rsidRPr="009465C6">
        <w:rPr>
          <w:rFonts w:ascii="Arial" w:hAnsi="Arial" w:cs="Arial"/>
        </w:rPr>
        <w:t>FVC — Forced vital capacity</w:t>
      </w:r>
    </w:p>
    <w:p w14:paraId="5999D0B8" w14:textId="77777777" w:rsidR="007C33DC" w:rsidRPr="009465C6" w:rsidRDefault="007C33DC" w:rsidP="007C33DC">
      <w:pPr>
        <w:pStyle w:val="Body"/>
        <w:rPr>
          <w:rFonts w:ascii="Arial" w:hAnsi="Arial" w:cs="Arial"/>
        </w:rPr>
      </w:pPr>
      <w:r w:rsidRPr="009465C6">
        <w:rPr>
          <w:rFonts w:ascii="Arial" w:hAnsi="Arial" w:cs="Arial"/>
        </w:rPr>
        <w:t>HAEC — Health Research Ethics Committee</w:t>
      </w:r>
    </w:p>
    <w:p w14:paraId="7CE900BA" w14:textId="77777777" w:rsidR="007C33DC" w:rsidRPr="009465C6" w:rsidRDefault="007C33DC" w:rsidP="007C33DC">
      <w:pPr>
        <w:pStyle w:val="Body"/>
        <w:rPr>
          <w:rFonts w:ascii="Arial" w:hAnsi="Arial" w:cs="Arial"/>
        </w:rPr>
      </w:pPr>
      <w:r w:rsidRPr="009465C6">
        <w:rPr>
          <w:rFonts w:ascii="Arial" w:hAnsi="Arial" w:cs="Arial"/>
        </w:rPr>
        <w:t>IL-6 — Interleukin-6</w:t>
      </w:r>
    </w:p>
    <w:p w14:paraId="11CDD044" w14:textId="77777777" w:rsidR="007C33DC" w:rsidRPr="009465C6" w:rsidRDefault="007C33DC" w:rsidP="007C33DC">
      <w:pPr>
        <w:pStyle w:val="Body"/>
        <w:rPr>
          <w:rFonts w:ascii="Arial" w:hAnsi="Arial" w:cs="Arial"/>
        </w:rPr>
      </w:pPr>
      <w:r w:rsidRPr="009465C6">
        <w:rPr>
          <w:rFonts w:ascii="Arial" w:hAnsi="Arial" w:cs="Arial"/>
        </w:rPr>
        <w:t>MWH — Montgomery Watson Harza</w:t>
      </w:r>
    </w:p>
    <w:p w14:paraId="1FBB7B60" w14:textId="77777777" w:rsidR="007C33DC" w:rsidRPr="009465C6" w:rsidRDefault="007C33DC" w:rsidP="007C33DC">
      <w:pPr>
        <w:pStyle w:val="Body"/>
        <w:rPr>
          <w:rFonts w:ascii="Arial" w:hAnsi="Arial" w:cs="Arial"/>
        </w:rPr>
      </w:pPr>
      <w:r w:rsidRPr="009465C6">
        <w:rPr>
          <w:rFonts w:ascii="Arial" w:hAnsi="Arial" w:cs="Arial"/>
        </w:rPr>
        <w:t>NaCl — Sodium chloride</w:t>
      </w:r>
    </w:p>
    <w:p w14:paraId="7678CDF7" w14:textId="77777777" w:rsidR="007C33DC" w:rsidRPr="009465C6" w:rsidRDefault="007C33DC" w:rsidP="007C33DC">
      <w:pPr>
        <w:pStyle w:val="Body"/>
        <w:rPr>
          <w:rFonts w:ascii="Arial" w:hAnsi="Arial" w:cs="Arial"/>
        </w:rPr>
      </w:pPr>
      <w:r w:rsidRPr="009465C6">
        <w:rPr>
          <w:rFonts w:ascii="Arial" w:hAnsi="Arial" w:cs="Arial"/>
        </w:rPr>
        <w:t>NIH — National Institutes of Health</w:t>
      </w:r>
    </w:p>
    <w:p w14:paraId="1382707F" w14:textId="77777777" w:rsidR="007C33DC" w:rsidRPr="009465C6" w:rsidRDefault="007C33DC" w:rsidP="007C33DC">
      <w:pPr>
        <w:pStyle w:val="Body"/>
        <w:rPr>
          <w:rFonts w:ascii="Arial" w:hAnsi="Arial" w:cs="Arial"/>
        </w:rPr>
      </w:pPr>
      <w:r w:rsidRPr="009465C6">
        <w:rPr>
          <w:rFonts w:ascii="Arial" w:hAnsi="Arial" w:cs="Arial"/>
        </w:rPr>
        <w:t>PBS — Phosphate-buffered saline</w:t>
      </w:r>
    </w:p>
    <w:p w14:paraId="0E22840B" w14:textId="77777777" w:rsidR="007C33DC" w:rsidRPr="009465C6" w:rsidRDefault="007C33DC" w:rsidP="007C33DC">
      <w:pPr>
        <w:pStyle w:val="Body"/>
        <w:rPr>
          <w:rFonts w:ascii="Arial" w:hAnsi="Arial" w:cs="Arial"/>
        </w:rPr>
      </w:pPr>
      <w:r w:rsidRPr="009465C6">
        <w:rPr>
          <w:rFonts w:ascii="Arial" w:hAnsi="Arial" w:cs="Arial"/>
        </w:rPr>
        <w:t>PEFR — Peak expiratory flow rate</w:t>
      </w:r>
    </w:p>
    <w:p w14:paraId="5D304D8C" w14:textId="77777777" w:rsidR="007C33DC" w:rsidRPr="009465C6" w:rsidRDefault="007C33DC" w:rsidP="007C33DC">
      <w:pPr>
        <w:pStyle w:val="Body"/>
        <w:rPr>
          <w:rFonts w:ascii="Arial" w:hAnsi="Arial" w:cs="Arial"/>
        </w:rPr>
      </w:pPr>
      <w:r w:rsidRPr="009465C6">
        <w:rPr>
          <w:rFonts w:ascii="Arial" w:hAnsi="Arial" w:cs="Arial"/>
        </w:rPr>
        <w:t>PM — Particulate matter</w:t>
      </w:r>
    </w:p>
    <w:p w14:paraId="211BCC80" w14:textId="77777777" w:rsidR="007C33DC" w:rsidRPr="009465C6" w:rsidRDefault="007C33DC" w:rsidP="007C33DC">
      <w:pPr>
        <w:pStyle w:val="Body"/>
        <w:rPr>
          <w:rFonts w:ascii="Arial" w:hAnsi="Arial" w:cs="Arial"/>
        </w:rPr>
      </w:pPr>
      <w:r w:rsidRPr="009465C6">
        <w:rPr>
          <w:rFonts w:ascii="Arial" w:hAnsi="Arial" w:cs="Arial"/>
        </w:rPr>
        <w:t>RMV — Respiratory minute volume</w:t>
      </w:r>
    </w:p>
    <w:p w14:paraId="42811FC5" w14:textId="77777777" w:rsidR="007C33DC" w:rsidRPr="009465C6" w:rsidRDefault="007C33DC" w:rsidP="007C33DC">
      <w:pPr>
        <w:pStyle w:val="Body"/>
        <w:rPr>
          <w:rFonts w:ascii="Arial" w:hAnsi="Arial" w:cs="Arial"/>
        </w:rPr>
      </w:pPr>
      <w:r w:rsidRPr="009465C6">
        <w:rPr>
          <w:rFonts w:ascii="Arial" w:hAnsi="Arial" w:cs="Arial"/>
        </w:rPr>
        <w:t>SEM — Standard error of the mean</w:t>
      </w:r>
    </w:p>
    <w:p w14:paraId="6EAC972A" w14:textId="77777777" w:rsidR="007C33DC" w:rsidRPr="009465C6" w:rsidRDefault="007C33DC" w:rsidP="007C33DC">
      <w:pPr>
        <w:pStyle w:val="Body"/>
        <w:rPr>
          <w:rFonts w:ascii="Arial" w:hAnsi="Arial" w:cs="Arial"/>
        </w:rPr>
      </w:pPr>
      <w:r w:rsidRPr="009465C6">
        <w:rPr>
          <w:rFonts w:ascii="Arial" w:hAnsi="Arial" w:cs="Arial"/>
        </w:rPr>
        <w:t>TNF-α — Tumour necrosis factor-alpha</w:t>
      </w:r>
    </w:p>
    <w:p w14:paraId="6E3014D9" w14:textId="77777777" w:rsidR="007C33DC" w:rsidRPr="009465C6" w:rsidRDefault="007C33DC" w:rsidP="007C33DC">
      <w:pPr>
        <w:pStyle w:val="Body"/>
        <w:spacing w:after="0"/>
        <w:rPr>
          <w:rFonts w:ascii="Arial" w:hAnsi="Arial" w:cs="Arial"/>
        </w:rPr>
      </w:pPr>
      <w:r w:rsidRPr="009465C6">
        <w:rPr>
          <w:rFonts w:ascii="Arial" w:hAnsi="Arial" w:cs="Arial"/>
        </w:rPr>
        <w:t>USGS — United States Geological Survey</w:t>
      </w:r>
    </w:p>
    <w:p w14:paraId="459CCCEE" w14:textId="77777777" w:rsidR="007C33DC" w:rsidRPr="009465C6" w:rsidRDefault="007C33DC" w:rsidP="007C33DC">
      <w:pPr>
        <w:jc w:val="both"/>
        <w:rPr>
          <w:rFonts w:ascii="Times New Roman" w:hAnsi="Times New Roman"/>
        </w:rPr>
      </w:pPr>
    </w:p>
    <w:p w14:paraId="2B6EA94B" w14:textId="77777777" w:rsidR="007C33DC" w:rsidRPr="009465C6" w:rsidRDefault="007C33DC" w:rsidP="00441B6F">
      <w:pPr>
        <w:pStyle w:val="ReferHead"/>
        <w:spacing w:after="0"/>
        <w:jc w:val="both"/>
        <w:rPr>
          <w:rFonts w:ascii="Arial" w:hAnsi="Arial" w:cs="Arial"/>
          <w:b w:val="0"/>
          <w:caps w:val="0"/>
          <w:sz w:val="20"/>
        </w:rPr>
      </w:pPr>
    </w:p>
    <w:p w14:paraId="4F616C20" w14:textId="77777777" w:rsidR="00790ADA" w:rsidRPr="009465C6" w:rsidRDefault="00B01FCD" w:rsidP="00441B6F">
      <w:pPr>
        <w:pStyle w:val="ReferHead"/>
        <w:spacing w:after="0"/>
        <w:jc w:val="both"/>
        <w:rPr>
          <w:rFonts w:ascii="Arial" w:hAnsi="Arial" w:cs="Arial"/>
        </w:rPr>
      </w:pPr>
      <w:r w:rsidRPr="009465C6">
        <w:rPr>
          <w:rFonts w:ascii="Arial" w:hAnsi="Arial" w:cs="Arial"/>
        </w:rPr>
        <w:t>References</w:t>
      </w:r>
    </w:p>
    <w:p w14:paraId="677DE535" w14:textId="77777777" w:rsidR="002A233E" w:rsidRPr="009465C6" w:rsidRDefault="00000000">
      <w:pPr>
        <w:pStyle w:val="Body"/>
        <w:spacing w:after="0"/>
        <w:ind w:left="720" w:hanging="720"/>
      </w:pPr>
      <w:r>
        <w:t xml:space="preserve">Adetona, O., Hall, D. B., &amp; Naeher, L. P. (2011). Lung function changes in wildland firefighters working at prescribed burns. </w:t>
      </w:r>
      <w:r>
        <w:rPr>
          <w:i/>
        </w:rPr>
        <w:t>Inhalation Toxicology, 23</w:t>
      </w:r>
      <w:r>
        <w:t xml:space="preserve">(13), 835–841. </w:t>
      </w:r>
      <w:hyperlink r:id="rId24">
        <w:r w:rsidR="002A233E">
          <w:rPr>
            <w:color w:val="0563C1"/>
            <w:u w:val="single"/>
          </w:rPr>
          <w:t>https://doi.org/10.3109/08958378.2011.617790</w:t>
        </w:r>
      </w:hyperlink>
    </w:p>
    <w:p w14:paraId="63CF1D6F" w14:textId="77777777" w:rsidR="002A233E" w:rsidRPr="009465C6" w:rsidRDefault="00000000">
      <w:pPr>
        <w:pStyle w:val="Body"/>
        <w:spacing w:after="0"/>
        <w:ind w:left="720" w:hanging="720"/>
      </w:pPr>
      <w:r>
        <w:t xml:space="preserve">Ahmad, R., Akhter, Q. S., &amp; Haque, M. (2021). Occupational cement dust exposure and inflammatory nemesis: Bangladesh relevance. </w:t>
      </w:r>
      <w:r>
        <w:rPr>
          <w:i/>
        </w:rPr>
        <w:t>Journal of Inflammation Research, 14</w:t>
      </w:r>
      <w:r>
        <w:t xml:space="preserve">, 2425–2444. </w:t>
      </w:r>
      <w:hyperlink r:id="rId25">
        <w:r w:rsidR="002A233E">
          <w:rPr>
            <w:color w:val="0563C1"/>
            <w:u w:val="single"/>
          </w:rPr>
          <w:t>https://doi.org/10.2147/JIR.S312960</w:t>
        </w:r>
      </w:hyperlink>
    </w:p>
    <w:p w14:paraId="1BA91CD8" w14:textId="77777777" w:rsidR="002A233E" w:rsidRPr="009465C6" w:rsidRDefault="00000000">
      <w:pPr>
        <w:pStyle w:val="Body"/>
        <w:spacing w:after="0"/>
        <w:ind w:left="720" w:hanging="720"/>
      </w:pPr>
      <w:r>
        <w:t xml:space="preserve">Ahmed, H. O., &amp; Abdullah, A. A. (2012). Dust exposure and respiratory symptoms among cement factory workers in the United Arab Emirates. </w:t>
      </w:r>
      <w:r>
        <w:rPr>
          <w:i/>
        </w:rPr>
        <w:t>Industrial Health, 50</w:t>
      </w:r>
      <w:r>
        <w:t xml:space="preserve">(3), 214–222. </w:t>
      </w:r>
      <w:hyperlink r:id="rId26">
        <w:r w:rsidR="002A233E">
          <w:rPr>
            <w:color w:val="0563C1"/>
            <w:u w:val="single"/>
          </w:rPr>
          <w:t>https://doi.org/10.2486/indhealth.MS1320</w:t>
        </w:r>
      </w:hyperlink>
    </w:p>
    <w:p w14:paraId="41C44510" w14:textId="77777777" w:rsidR="002A233E" w:rsidRPr="009465C6" w:rsidRDefault="00000000">
      <w:pPr>
        <w:pStyle w:val="Body"/>
        <w:spacing w:after="0"/>
        <w:ind w:left="720" w:hanging="720"/>
      </w:pPr>
      <w:r>
        <w:t xml:space="preserve">Alnawaiseh, N., &amp; El-Gamal, F. M. (2022). The effect of cement dust exposure on lung function among cement factory workers. </w:t>
      </w:r>
      <w:r>
        <w:rPr>
          <w:i/>
        </w:rPr>
        <w:t>Biomedical and Pharmacology Journal, 15</w:t>
      </w:r>
      <w:r>
        <w:t xml:space="preserve">(4), 2061–2068. </w:t>
      </w:r>
      <w:hyperlink r:id="rId27">
        <w:r w:rsidR="002A233E">
          <w:rPr>
            <w:color w:val="0563C1"/>
            <w:u w:val="single"/>
          </w:rPr>
          <w:t>https://doi.org/10.13005/bpj/2543</w:t>
        </w:r>
      </w:hyperlink>
    </w:p>
    <w:p w14:paraId="219A524D" w14:textId="77777777" w:rsidR="002A233E" w:rsidRPr="009465C6" w:rsidRDefault="00000000">
      <w:pPr>
        <w:pStyle w:val="Body"/>
        <w:spacing w:after="0"/>
        <w:ind w:left="720" w:hanging="720"/>
      </w:pPr>
      <w:r>
        <w:t xml:space="preserve">Bohner, M. (2000). Calcium orthophosphates in medicine: From ceramics to calcium phosphate cements. </w:t>
      </w:r>
      <w:r>
        <w:rPr>
          <w:i/>
        </w:rPr>
        <w:t>Injury, 31</w:t>
      </w:r>
      <w:r>
        <w:t xml:space="preserve">(Suppl. 4), D37–D47. </w:t>
      </w:r>
      <w:hyperlink r:id="rId28">
        <w:r w:rsidR="002A233E">
          <w:rPr>
            <w:color w:val="0563C1"/>
            <w:u w:val="single"/>
          </w:rPr>
          <w:t>https://doi.org/10.1016/S0020-1383(00)80022-4</w:t>
        </w:r>
      </w:hyperlink>
    </w:p>
    <w:p w14:paraId="3854257F" w14:textId="77777777" w:rsidR="002A233E" w:rsidRPr="009465C6" w:rsidRDefault="00000000">
      <w:pPr>
        <w:pStyle w:val="Body"/>
        <w:spacing w:after="0"/>
        <w:ind w:left="720" w:hanging="720"/>
      </w:pPr>
      <w:r>
        <w:t xml:space="preserve">Dushyant, K., Walia, G. K., &amp; Devasenapathy, N. (2023). Lung function and respiratory morbidity among informal workers exposed to cement dust: A comparative cross-sectional study. </w:t>
      </w:r>
      <w:r>
        <w:rPr>
          <w:i/>
        </w:rPr>
        <w:t>Annals of Global Health, 89</w:t>
      </w:r>
      <w:r>
        <w:t xml:space="preserve">(1), Article 47. </w:t>
      </w:r>
      <w:hyperlink r:id="rId29">
        <w:r w:rsidR="002A233E">
          <w:rPr>
            <w:color w:val="0563C1"/>
            <w:u w:val="single"/>
          </w:rPr>
          <w:t>https://doi.org/10.5334/aogh.4089</w:t>
        </w:r>
      </w:hyperlink>
    </w:p>
    <w:p w14:paraId="0F2F4498" w14:textId="77777777" w:rsidR="002A233E" w:rsidRPr="009465C6" w:rsidRDefault="00000000">
      <w:pPr>
        <w:pStyle w:val="Body"/>
        <w:spacing w:after="0"/>
        <w:ind w:left="720" w:hanging="720"/>
      </w:pPr>
      <w:r>
        <w:t xml:space="preserve">European Commission. (n.d.). </w:t>
      </w:r>
      <w:r>
        <w:rPr>
          <w:i/>
        </w:rPr>
        <w:t>Calcium sulphate</w:t>
      </w:r>
      <w:r>
        <w:t xml:space="preserve">. Food and Feed Information Portal Database. Retrieved August 3, 2026, from </w:t>
      </w:r>
      <w:hyperlink r:id="rId30">
        <w:r w:rsidR="002A233E">
          <w:rPr>
            <w:color w:val="0563C1"/>
            <w:u w:val="single"/>
          </w:rPr>
          <w:t>https://ec.europa.eu/food/food-feed-portal/screen/food-additives/search/details/POL-FAD-IMPORT-3213</w:t>
        </w:r>
      </w:hyperlink>
    </w:p>
    <w:p w14:paraId="23672B53" w14:textId="77777777" w:rsidR="002A233E" w:rsidRPr="009465C6" w:rsidRDefault="00000000">
      <w:pPr>
        <w:pStyle w:val="Body"/>
        <w:spacing w:after="0"/>
        <w:ind w:left="720" w:hanging="720"/>
      </w:pPr>
      <w:r>
        <w:t xml:space="preserve">Fell, A. K. M., &amp; Nordby, K. C. (2017). Association between exposure in the cement production industry and non-malignant respiratory effects: A systematic review. </w:t>
      </w:r>
      <w:r>
        <w:rPr>
          <w:i/>
        </w:rPr>
        <w:t>BMJ Open, 7</w:t>
      </w:r>
      <w:r>
        <w:t xml:space="preserve">(4), e012381. </w:t>
      </w:r>
      <w:hyperlink r:id="rId31">
        <w:r w:rsidR="002A233E">
          <w:rPr>
            <w:color w:val="0563C1"/>
            <w:u w:val="single"/>
          </w:rPr>
          <w:t>https://doi.org/10.1136/bmjopen-2016-012381</w:t>
        </w:r>
      </w:hyperlink>
    </w:p>
    <w:p w14:paraId="47F5DA28" w14:textId="77777777" w:rsidR="002A233E" w:rsidRPr="009465C6" w:rsidRDefault="00000000">
      <w:pPr>
        <w:pStyle w:val="Body"/>
        <w:spacing w:after="0"/>
        <w:ind w:left="720" w:hanging="720"/>
      </w:pPr>
      <w:r>
        <w:t xml:space="preserve">Fell, A. K. M., Sikkeland, L. I. B., Svendsen, M. V., &amp; Kongerud, J. (2010). Airway inflammation in cement production workers. </w:t>
      </w:r>
      <w:r>
        <w:rPr>
          <w:i/>
        </w:rPr>
        <w:t>Occupational and Environmental Medicine, 67</w:t>
      </w:r>
      <w:r>
        <w:t xml:space="preserve">(6), 395–400. </w:t>
      </w:r>
      <w:hyperlink r:id="rId32">
        <w:r w:rsidR="002A233E">
          <w:rPr>
            <w:color w:val="0563C1"/>
            <w:u w:val="single"/>
          </w:rPr>
          <w:t>https://doi.org/10.1136/oem.2009.047852</w:t>
        </w:r>
      </w:hyperlink>
    </w:p>
    <w:p w14:paraId="3DBF038D" w14:textId="77777777" w:rsidR="002A233E" w:rsidRPr="009465C6" w:rsidRDefault="00000000">
      <w:pPr>
        <w:pStyle w:val="Body"/>
        <w:spacing w:after="0"/>
        <w:ind w:left="720" w:hanging="720"/>
      </w:pPr>
      <w:r>
        <w:t xml:space="preserve">Hedbrant, A., Engström, C., Andersson, L., Eklund, D., Westberg, H., Persson, A., &amp; Särndahl, E. (2023). Occupational quartz and particle exposure affect systemic levels of inflammatory markers related to inflammasome activation and cardiovascular disease. </w:t>
      </w:r>
      <w:r>
        <w:rPr>
          <w:i/>
        </w:rPr>
        <w:t>Environmental Health, 22</w:t>
      </w:r>
      <w:r>
        <w:t xml:space="preserve">, Article 25. </w:t>
      </w:r>
      <w:hyperlink r:id="rId33">
        <w:r w:rsidR="002A233E">
          <w:rPr>
            <w:color w:val="0563C1"/>
            <w:u w:val="single"/>
          </w:rPr>
          <w:t>https://doi.org/10.1186/s12940-023-00980-1</w:t>
        </w:r>
      </w:hyperlink>
    </w:p>
    <w:p w14:paraId="63F81BF3" w14:textId="77777777" w:rsidR="002A233E" w:rsidRPr="009465C6" w:rsidRDefault="00000000">
      <w:pPr>
        <w:pStyle w:val="Body"/>
        <w:spacing w:after="0"/>
        <w:ind w:left="720" w:hanging="720"/>
      </w:pPr>
      <w:r>
        <w:t xml:space="preserve">Isara, A. R., Adam, V. Y., Aigbokhaode, A. Q., &amp; Alenoghena, I. O. (2016). Respiratory symptoms and ventilatory functions among quarry workers in Edo State, Nigeria. </w:t>
      </w:r>
      <w:r>
        <w:rPr>
          <w:i/>
        </w:rPr>
        <w:t>Pan African Medical Journal, 23</w:t>
      </w:r>
      <w:r>
        <w:t xml:space="preserve">, Article 212. </w:t>
      </w:r>
      <w:hyperlink r:id="rId34">
        <w:r w:rsidR="002A233E">
          <w:rPr>
            <w:color w:val="0563C1"/>
            <w:u w:val="single"/>
          </w:rPr>
          <w:t>https://doi.org/10.11604/pamj.2016.23.212.7640</w:t>
        </w:r>
      </w:hyperlink>
    </w:p>
    <w:p w14:paraId="4055306A" w14:textId="77777777" w:rsidR="002A233E" w:rsidRPr="009465C6" w:rsidRDefault="00000000">
      <w:pPr>
        <w:pStyle w:val="Body"/>
        <w:spacing w:after="0"/>
        <w:ind w:left="720" w:hanging="720"/>
      </w:pPr>
      <w:r>
        <w:lastRenderedPageBreak/>
        <w:t xml:space="preserve">Marín-Palma, D., Fernandez, G. J., Ruiz-Saenz, J., Taborda, N. A., Rugeles, M. T., &amp; Hernandez, J. C. (2023). Particulate matter impairs immune system function by up-regulating inflammatory pathways and decreasing pathogen response gene expression. </w:t>
      </w:r>
      <w:r>
        <w:rPr>
          <w:i/>
        </w:rPr>
        <w:t>Scientific Reports, 13</w:t>
      </w:r>
      <w:r>
        <w:t xml:space="preserve">, Article 12773. </w:t>
      </w:r>
      <w:hyperlink r:id="rId35">
        <w:r w:rsidR="002A233E">
          <w:rPr>
            <w:color w:val="0563C1"/>
            <w:u w:val="single"/>
          </w:rPr>
          <w:t>https://doi.org/10.1038/s41598-023-39921-w</w:t>
        </w:r>
      </w:hyperlink>
    </w:p>
    <w:p w14:paraId="1F2F2502" w14:textId="77777777" w:rsidR="002A233E" w:rsidRPr="009465C6" w:rsidRDefault="00000000">
      <w:pPr>
        <w:pStyle w:val="Body"/>
        <w:spacing w:after="0"/>
        <w:ind w:left="720" w:hanging="720"/>
      </w:pPr>
      <w:r>
        <w:t xml:space="preserve">Mwaiselage, J., Bråtveit, M., Moen, B. E., &amp; Mashalla, Y. (2005). Respiratory symptoms and chronic obstructive pulmonary disease among cement factory workers. </w:t>
      </w:r>
      <w:r>
        <w:rPr>
          <w:i/>
        </w:rPr>
        <w:t>Scandinavian Journal of Work, Environment &amp; Health, 31</w:t>
      </w:r>
      <w:r>
        <w:t xml:space="preserve">(4), 316–323. </w:t>
      </w:r>
      <w:hyperlink r:id="rId36">
        <w:r w:rsidR="002A233E">
          <w:rPr>
            <w:color w:val="0563C1"/>
            <w:u w:val="single"/>
          </w:rPr>
          <w:t>https://doi.org/10.5271/sjweh.888</w:t>
        </w:r>
      </w:hyperlink>
    </w:p>
    <w:p w14:paraId="6EAB70AD" w14:textId="77777777" w:rsidR="002A233E" w:rsidRPr="009465C6" w:rsidRDefault="00000000">
      <w:pPr>
        <w:pStyle w:val="Body"/>
        <w:spacing w:after="0"/>
        <w:ind w:left="720" w:hanging="720"/>
      </w:pPr>
      <w:r>
        <w:t xml:space="preserve">MWH. (2005). </w:t>
      </w:r>
      <w:r>
        <w:rPr>
          <w:i/>
        </w:rPr>
        <w:t>Water treatment: Principles and design</w:t>
      </w:r>
      <w:r>
        <w:t xml:space="preserve"> (2nd ed.). John Wiley &amp; Sons. </w:t>
      </w:r>
      <w:hyperlink r:id="rId37">
        <w:r w:rsidR="002A233E">
          <w:rPr>
            <w:color w:val="0563C1"/>
            <w:u w:val="single"/>
          </w:rPr>
          <w:t>https://bcs.wiley.com/he-bcs/Books?action=index&amp;bcsId=2282&amp;itemId=0471110183</w:t>
        </w:r>
      </w:hyperlink>
    </w:p>
    <w:p w14:paraId="420E8A78" w14:textId="77777777" w:rsidR="002A233E" w:rsidRPr="009465C6" w:rsidRDefault="00000000">
      <w:pPr>
        <w:pStyle w:val="Body"/>
        <w:spacing w:after="0"/>
        <w:ind w:left="720" w:hanging="720"/>
      </w:pPr>
      <w:r>
        <w:t xml:space="preserve">National Minerals Information Center. (2022, July 26). </w:t>
      </w:r>
      <w:r>
        <w:rPr>
          <w:i/>
        </w:rPr>
        <w:t>Gypsum in 2020, tables-only release</w:t>
      </w:r>
      <w:r>
        <w:t xml:space="preserve">. U.S. Geological Survey. </w:t>
      </w:r>
      <w:hyperlink r:id="rId38">
        <w:r w:rsidR="002A233E">
          <w:rPr>
            <w:color w:val="0563C1"/>
            <w:u w:val="single"/>
          </w:rPr>
          <w:t>https://www.usgs.gov/media/files/gypsum-2020-tables-only-release</w:t>
        </w:r>
      </w:hyperlink>
    </w:p>
    <w:p w14:paraId="42E2ED8B" w14:textId="77777777" w:rsidR="002A233E" w:rsidRPr="009465C6" w:rsidRDefault="00000000">
      <w:pPr>
        <w:pStyle w:val="Body"/>
        <w:spacing w:after="0"/>
        <w:ind w:left="720" w:hanging="720"/>
      </w:pPr>
      <w:r>
        <w:t xml:space="preserve">Neghab, M., Mirzaei Toosi, S., &amp; Azad, P. (2016). Respiratory morbidity associated with long-term occupational inhalation exposure to high concentrations of hydrated calcium sulfate dust. </w:t>
      </w:r>
      <w:r>
        <w:rPr>
          <w:i/>
        </w:rPr>
        <w:t>Occupational Diseases and Environmental Medicine, 4</w:t>
      </w:r>
      <w:r>
        <w:t xml:space="preserve">(1), 1–7. </w:t>
      </w:r>
      <w:hyperlink r:id="rId39">
        <w:r w:rsidR="002A233E">
          <w:rPr>
            <w:color w:val="0563C1"/>
            <w:u w:val="single"/>
          </w:rPr>
          <w:t>https://doi.org/10.4236/odem.2016.41001</w:t>
        </w:r>
      </w:hyperlink>
    </w:p>
    <w:p w14:paraId="16BFC012" w14:textId="77777777" w:rsidR="002A233E" w:rsidRPr="009465C6" w:rsidRDefault="00000000">
      <w:pPr>
        <w:pStyle w:val="Body"/>
        <w:spacing w:after="0"/>
        <w:ind w:left="720" w:hanging="720"/>
      </w:pPr>
      <w:r>
        <w:t xml:space="preserve">Nyebuchi, J., Nwogu, A. O., Jumbo, M. I., Adjekuko, C. O., &amp; Bartimaeus, E.-A. S. (2022). Comparative study of changes in inflammatory markers on hours of exposure to cement dust. </w:t>
      </w:r>
      <w:r>
        <w:rPr>
          <w:i/>
        </w:rPr>
        <w:t>Asian Journal of Advanced Research and Reports, 16</w:t>
      </w:r>
      <w:r>
        <w:t xml:space="preserve">(10), 61–66. </w:t>
      </w:r>
      <w:hyperlink r:id="rId40">
        <w:r w:rsidR="002A233E">
          <w:rPr>
            <w:color w:val="0563C1"/>
            <w:u w:val="single"/>
          </w:rPr>
          <w:t>https://doi.org/10.9734/ajarr/2022/v16i1030510</w:t>
        </w:r>
      </w:hyperlink>
    </w:p>
    <w:p w14:paraId="55382C75" w14:textId="77777777" w:rsidR="002A233E" w:rsidRPr="009465C6" w:rsidRDefault="00000000">
      <w:pPr>
        <w:pStyle w:val="Body"/>
        <w:spacing w:after="0"/>
        <w:ind w:left="720" w:hanging="720"/>
      </w:pPr>
      <w:r>
        <w:t xml:space="preserve">Ohlson, C.-G., Berg, P., Bryngelsson, I.-L., Elihn, K., Ngo, Y., Westberg, H., &amp; Sjögren, B. (2010). Inflammatory markers and exposure to occupational air pollutants. </w:t>
      </w:r>
      <w:r>
        <w:rPr>
          <w:i/>
        </w:rPr>
        <w:t>Inhalation Toxicology, 22</w:t>
      </w:r>
      <w:r>
        <w:t xml:space="preserve">(13), 1083–1090. </w:t>
      </w:r>
      <w:hyperlink r:id="rId41">
        <w:r w:rsidR="002A233E">
          <w:rPr>
            <w:color w:val="0563C1"/>
            <w:u w:val="single"/>
          </w:rPr>
          <w:t>https://doi.org/10.3109/08958378.2010.520356</w:t>
        </w:r>
      </w:hyperlink>
    </w:p>
    <w:p w14:paraId="670E6E00" w14:textId="77777777" w:rsidR="002A233E" w:rsidRPr="009465C6" w:rsidRDefault="00000000">
      <w:pPr>
        <w:pStyle w:val="Body"/>
        <w:spacing w:after="0"/>
        <w:ind w:left="720" w:hanging="720"/>
      </w:pPr>
      <w:r>
        <w:t xml:space="preserve">Uzor, O. F., Ogbuagu, J. O., Arinze, R. U., &amp; Okeke, A. P. (2025). Air quality index analysis of Dangote Cement in Obajana, Kogi State, Nigeria. </w:t>
      </w:r>
      <w:r>
        <w:rPr>
          <w:i/>
        </w:rPr>
        <w:t>Journal of Global Ecology and Environment, 21</w:t>
      </w:r>
      <w:r>
        <w:t xml:space="preserve">(3), 242–252. </w:t>
      </w:r>
      <w:hyperlink r:id="rId42">
        <w:r w:rsidR="002A233E">
          <w:rPr>
            <w:color w:val="0563C1"/>
            <w:u w:val="single"/>
          </w:rPr>
          <w:t>https://doi.org/10.56557/jogee/2025/v21i39518</w:t>
        </w:r>
      </w:hyperlink>
    </w:p>
    <w:p w14:paraId="2F9EEC9D" w14:textId="77777777" w:rsidR="002A233E" w:rsidRPr="009465C6" w:rsidRDefault="00000000">
      <w:pPr>
        <w:pStyle w:val="Body"/>
        <w:spacing w:after="0"/>
        <w:ind w:left="720" w:hanging="720"/>
      </w:pPr>
      <w:r>
        <w:t xml:space="preserve">West, J. B., &amp; Luks, A. M. (2020). </w:t>
      </w:r>
      <w:r>
        <w:rPr>
          <w:i/>
        </w:rPr>
        <w:t>West’s respiratory physiology: The essentials</w:t>
      </w:r>
      <w:r>
        <w:t xml:space="preserve"> (11th ed.). Wolters Kluwer. </w:t>
      </w:r>
      <w:hyperlink r:id="rId43">
        <w:r w:rsidR="002A233E">
          <w:rPr>
            <w:color w:val="0563C1"/>
            <w:u w:val="single"/>
          </w:rPr>
          <w:t>https://shop.lww.com/West-s-Respiratory-Physiology/p/9781975139186</w:t>
        </w:r>
      </w:hyperlink>
    </w:p>
    <w:p w14:paraId="7EE80B1D" w14:textId="77777777" w:rsidR="002A233E" w:rsidRPr="009465C6" w:rsidRDefault="00000000">
      <w:pPr>
        <w:pStyle w:val="Body"/>
        <w:spacing w:after="0"/>
        <w:ind w:left="720" w:hanging="720"/>
      </w:pPr>
      <w:r>
        <w:t xml:space="preserve">Yamane, T. (1967). </w:t>
      </w:r>
      <w:r>
        <w:rPr>
          <w:i/>
        </w:rPr>
        <w:t>Statistics: An introductory analysis</w:t>
      </w:r>
      <w:r>
        <w:t xml:space="preserve"> (2nd ed.). Harper &amp; Row. </w:t>
      </w:r>
      <w:hyperlink r:id="rId44">
        <w:r w:rsidR="002A233E">
          <w:rPr>
            <w:color w:val="0563C1"/>
            <w:u w:val="single"/>
          </w:rPr>
          <w:t>https://catalog.hathitrust.org/Record/001306454</w:t>
        </w:r>
      </w:hyperlink>
    </w:p>
    <w:p w14:paraId="26FF4DB3" w14:textId="77777777" w:rsidR="002A233E" w:rsidRPr="009465C6" w:rsidRDefault="00000000">
      <w:pPr>
        <w:pStyle w:val="Body"/>
        <w:spacing w:after="0"/>
        <w:ind w:left="720" w:hanging="720"/>
      </w:pPr>
      <w:r>
        <w:t xml:space="preserve">Zeleke, Z. K., Moen, B. E., &amp; Bråtveit, M. (2010). Cement dust exposure and acute lung function: A cross-shift study. </w:t>
      </w:r>
      <w:r>
        <w:rPr>
          <w:i/>
        </w:rPr>
        <w:t>BMC Pulmonary Medicine, 10</w:t>
      </w:r>
      <w:r>
        <w:t xml:space="preserve">, Article 19. </w:t>
      </w:r>
      <w:hyperlink r:id="rId45">
        <w:r w:rsidR="002A233E">
          <w:rPr>
            <w:color w:val="0563C1"/>
            <w:u w:val="single"/>
          </w:rPr>
          <w:t>https://doi.org/10.1186/1471-2466-10-19</w:t>
        </w:r>
      </w:hyperlink>
    </w:p>
    <w:p w14:paraId="2B5490BD" w14:textId="77777777" w:rsidR="002A233E" w:rsidRDefault="00000000">
      <w:pPr>
        <w:pStyle w:val="Body"/>
        <w:spacing w:after="0"/>
        <w:ind w:left="720" w:hanging="720"/>
      </w:pPr>
      <w:r>
        <w:t xml:space="preserve">Zheng, Y., Hu, J., Chen, J., Wang, H., Zhao, Z., Zhu, H., Li, Z., Wang, N., Chen, X., Liu, M., Luo, Z., Zhang, S., Zhang, H., Xuan, X., Li, X., Xue, L., Wang, G., &amp; Wu, J. (2024). Association between dust exposure and lung function levels in steelworkers: Mediation analysis of inflammatory biomarkers. </w:t>
      </w:r>
      <w:r>
        <w:rPr>
          <w:i/>
        </w:rPr>
        <w:t>International Archives of Occupational and Environmental Health, 97</w:t>
      </w:r>
      <w:r>
        <w:t xml:space="preserve">(9), 971–980. </w:t>
      </w:r>
      <w:hyperlink r:id="rId46">
        <w:r w:rsidR="002A233E">
          <w:rPr>
            <w:color w:val="0563C1"/>
            <w:u w:val="single"/>
          </w:rPr>
          <w:t>https://doi.org/10.1007/s00420-024-02101-y</w:t>
        </w:r>
      </w:hyperlink>
    </w:p>
    <w:sectPr w:rsidR="002A233E" w:rsidSect="004E3F74">
      <w:headerReference w:type="even" r:id="rId47"/>
      <w:headerReference w:type="default" r:id="rId48"/>
      <w:footerReference w:type="even" r:id="rId49"/>
      <w:footerReference w:type="default" r:id="rId50"/>
      <w:headerReference w:type="first" r:id="rId51"/>
      <w:footerReference w:type="first" r:id="rId5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B183" w14:textId="77777777" w:rsidR="009A65F2" w:rsidRDefault="009A65F2" w:rsidP="00C37E61">
      <w:r>
        <w:separator/>
      </w:r>
    </w:p>
  </w:endnote>
  <w:endnote w:type="continuationSeparator" w:id="0">
    <w:p w14:paraId="4E7F6FF1" w14:textId="77777777" w:rsidR="009A65F2" w:rsidRDefault="009A65F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0760" w14:textId="77777777" w:rsidR="004E3F74" w:rsidRDefault="004E3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B3A1" w14:textId="77777777" w:rsidR="00C37E61" w:rsidRPr="00C37E61" w:rsidRDefault="00C37E61"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1227" w14:textId="77777777" w:rsidR="004E3F74" w:rsidRDefault="004E3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B5A0" w14:textId="77777777" w:rsidR="009A65F2" w:rsidRDefault="009A65F2" w:rsidP="00C37E61">
      <w:r>
        <w:separator/>
      </w:r>
    </w:p>
  </w:footnote>
  <w:footnote w:type="continuationSeparator" w:id="0">
    <w:p w14:paraId="51A18BF4" w14:textId="77777777" w:rsidR="009A65F2" w:rsidRDefault="009A65F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D1AB" w14:textId="77777777" w:rsidR="004E3F74" w:rsidRDefault="00000000">
    <w:pPr>
      <w:pStyle w:val="Header"/>
    </w:pPr>
    <w:r>
      <w:rPr>
        <w:noProof/>
      </w:rPr>
      <w:pict w14:anchorId="2486DE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8"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CAAE" w14:textId="77777777" w:rsidR="004E3F74" w:rsidRDefault="00000000">
    <w:pPr>
      <w:pStyle w:val="Header"/>
    </w:pPr>
    <w:r>
      <w:rPr>
        <w:noProof/>
      </w:rPr>
      <w:pict w14:anchorId="1E3ED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9"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B9BF" w14:textId="77777777" w:rsidR="004E3F74" w:rsidRDefault="00000000">
    <w:pPr>
      <w:pStyle w:val="Header"/>
    </w:pPr>
    <w:r>
      <w:rPr>
        <w:noProof/>
      </w:rPr>
      <w:pict w14:anchorId="36805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690187"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7026FF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F"/>
    <w:multiLevelType w:val="hybridMultilevel"/>
    <w:tmpl w:val="D9F4157A"/>
    <w:lvl w:ilvl="0" w:tplc="70D896D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4"/>
    <w:multiLevelType w:val="hybridMultilevel"/>
    <w:tmpl w:val="9B2213BC"/>
    <w:lvl w:ilvl="0" w:tplc="6C52093C">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7"/>
    <w:multiLevelType w:val="multilevel"/>
    <w:tmpl w:val="99E8CD2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1A"/>
    <w:multiLevelType w:val="multilevel"/>
    <w:tmpl w:val="E4169E70"/>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5"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7"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754477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04238186">
    <w:abstractNumId w:val="20"/>
  </w:num>
  <w:num w:numId="3" w16cid:durableId="885457463">
    <w:abstractNumId w:val="28"/>
  </w:num>
  <w:num w:numId="4" w16cid:durableId="58769155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24385935">
    <w:abstractNumId w:val="12"/>
  </w:num>
  <w:num w:numId="6" w16cid:durableId="1130592956">
    <w:abstractNumId w:val="11"/>
  </w:num>
  <w:num w:numId="7" w16cid:durableId="1401248396">
    <w:abstractNumId w:val="6"/>
  </w:num>
  <w:num w:numId="8" w16cid:durableId="1745293566">
    <w:abstractNumId w:val="17"/>
  </w:num>
  <w:num w:numId="9" w16cid:durableId="1606308047">
    <w:abstractNumId w:val="30"/>
  </w:num>
  <w:num w:numId="10" w16cid:durableId="1731033309">
    <w:abstractNumId w:val="7"/>
  </w:num>
  <w:num w:numId="11" w16cid:durableId="1835875524">
    <w:abstractNumId w:val="23"/>
  </w:num>
  <w:num w:numId="12" w16cid:durableId="40793753">
    <w:abstractNumId w:val="8"/>
  </w:num>
  <w:num w:numId="13" w16cid:durableId="781416010">
    <w:abstractNumId w:val="22"/>
  </w:num>
  <w:num w:numId="14" w16cid:durableId="962615061">
    <w:abstractNumId w:val="13"/>
  </w:num>
  <w:num w:numId="15" w16cid:durableId="1048410968">
    <w:abstractNumId w:val="26"/>
  </w:num>
  <w:num w:numId="16" w16cid:durableId="1295646878">
    <w:abstractNumId w:val="10"/>
  </w:num>
  <w:num w:numId="17" w16cid:durableId="838425382">
    <w:abstractNumId w:val="27"/>
  </w:num>
  <w:num w:numId="18" w16cid:durableId="1781292954">
    <w:abstractNumId w:val="19"/>
  </w:num>
  <w:num w:numId="19" w16cid:durableId="985012228">
    <w:abstractNumId w:val="33"/>
  </w:num>
  <w:num w:numId="20" w16cid:durableId="769424421">
    <w:abstractNumId w:val="16"/>
  </w:num>
  <w:num w:numId="21" w16cid:durableId="390270643">
    <w:abstractNumId w:val="14"/>
  </w:num>
  <w:num w:numId="22" w16cid:durableId="195435757">
    <w:abstractNumId w:val="18"/>
  </w:num>
  <w:num w:numId="23" w16cid:durableId="748884467">
    <w:abstractNumId w:val="24"/>
  </w:num>
  <w:num w:numId="24" w16cid:durableId="1747994301">
    <w:abstractNumId w:val="31"/>
  </w:num>
  <w:num w:numId="25" w16cid:durableId="1116563738">
    <w:abstractNumId w:val="9"/>
  </w:num>
  <w:num w:numId="26" w16cid:durableId="1558859397">
    <w:abstractNumId w:val="21"/>
  </w:num>
  <w:num w:numId="27" w16cid:durableId="1196577038">
    <w:abstractNumId w:val="25"/>
  </w:num>
  <w:num w:numId="28" w16cid:durableId="1734619274">
    <w:abstractNumId w:val="32"/>
  </w:num>
  <w:num w:numId="29" w16cid:durableId="1544292371">
    <w:abstractNumId w:val="29"/>
  </w:num>
  <w:num w:numId="30" w16cid:durableId="490602689">
    <w:abstractNumId w:val="15"/>
  </w:num>
  <w:num w:numId="31" w16cid:durableId="93140199">
    <w:abstractNumId w:val="5"/>
  </w:num>
  <w:num w:numId="32" w16cid:durableId="143281888">
    <w:abstractNumId w:val="3"/>
  </w:num>
  <w:num w:numId="33" w16cid:durableId="1351689251">
    <w:abstractNumId w:val="1"/>
  </w:num>
  <w:num w:numId="34" w16cid:durableId="1468354056">
    <w:abstractNumId w:val="2"/>
  </w:num>
  <w:num w:numId="35" w16cid:durableId="69741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103357"/>
    <w:rsid w:val="0011286C"/>
    <w:rsid w:val="00123C9F"/>
    <w:rsid w:val="00126190"/>
    <w:rsid w:val="00130F17"/>
    <w:rsid w:val="001320BF"/>
    <w:rsid w:val="00142D54"/>
    <w:rsid w:val="00163BC4"/>
    <w:rsid w:val="0018311B"/>
    <w:rsid w:val="00191062"/>
    <w:rsid w:val="00192B72"/>
    <w:rsid w:val="001A29D8"/>
    <w:rsid w:val="001A5CAA"/>
    <w:rsid w:val="001B0427"/>
    <w:rsid w:val="001D02BC"/>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A233E"/>
    <w:rsid w:val="002B0534"/>
    <w:rsid w:val="002B27FB"/>
    <w:rsid w:val="002B685A"/>
    <w:rsid w:val="002C57D2"/>
    <w:rsid w:val="002D28D3"/>
    <w:rsid w:val="002E0D56"/>
    <w:rsid w:val="00315186"/>
    <w:rsid w:val="0033343E"/>
    <w:rsid w:val="003512C2"/>
    <w:rsid w:val="00371FB6"/>
    <w:rsid w:val="003763C1"/>
    <w:rsid w:val="00376BBE"/>
    <w:rsid w:val="0039224F"/>
    <w:rsid w:val="003A43A4"/>
    <w:rsid w:val="003A7E18"/>
    <w:rsid w:val="003C4C86"/>
    <w:rsid w:val="003C6258"/>
    <w:rsid w:val="003E2904"/>
    <w:rsid w:val="003F2C1F"/>
    <w:rsid w:val="00401927"/>
    <w:rsid w:val="0041027F"/>
    <w:rsid w:val="00412475"/>
    <w:rsid w:val="00423789"/>
    <w:rsid w:val="00440F43"/>
    <w:rsid w:val="00441B6F"/>
    <w:rsid w:val="00446221"/>
    <w:rsid w:val="00450E62"/>
    <w:rsid w:val="004539DB"/>
    <w:rsid w:val="00471A80"/>
    <w:rsid w:val="00490340"/>
    <w:rsid w:val="004D305E"/>
    <w:rsid w:val="004D4277"/>
    <w:rsid w:val="004E124F"/>
    <w:rsid w:val="004E3F74"/>
    <w:rsid w:val="004E5B3B"/>
    <w:rsid w:val="00502516"/>
    <w:rsid w:val="00505F06"/>
    <w:rsid w:val="00506828"/>
    <w:rsid w:val="005075F3"/>
    <w:rsid w:val="0053056E"/>
    <w:rsid w:val="00531719"/>
    <w:rsid w:val="005334DB"/>
    <w:rsid w:val="00546EB7"/>
    <w:rsid w:val="00552A0F"/>
    <w:rsid w:val="00554FDA"/>
    <w:rsid w:val="005A2BA4"/>
    <w:rsid w:val="005C784C"/>
    <w:rsid w:val="005D17F6"/>
    <w:rsid w:val="005E5539"/>
    <w:rsid w:val="005F71F7"/>
    <w:rsid w:val="005F7EF7"/>
    <w:rsid w:val="00602BF5"/>
    <w:rsid w:val="00617FDD"/>
    <w:rsid w:val="00633614"/>
    <w:rsid w:val="00633F68"/>
    <w:rsid w:val="006365F7"/>
    <w:rsid w:val="00636EB2"/>
    <w:rsid w:val="006375B8"/>
    <w:rsid w:val="0066510A"/>
    <w:rsid w:val="00673F9F"/>
    <w:rsid w:val="00674A2A"/>
    <w:rsid w:val="00686953"/>
    <w:rsid w:val="00687DEA"/>
    <w:rsid w:val="00687E67"/>
    <w:rsid w:val="006967F7"/>
    <w:rsid w:val="006A1F70"/>
    <w:rsid w:val="006A250C"/>
    <w:rsid w:val="006B21D3"/>
    <w:rsid w:val="006B57D0"/>
    <w:rsid w:val="006D30FF"/>
    <w:rsid w:val="006D6940"/>
    <w:rsid w:val="006F11EC"/>
    <w:rsid w:val="0070082C"/>
    <w:rsid w:val="00712F22"/>
    <w:rsid w:val="007369E6"/>
    <w:rsid w:val="00746E59"/>
    <w:rsid w:val="00754C9A"/>
    <w:rsid w:val="0075599A"/>
    <w:rsid w:val="00761D52"/>
    <w:rsid w:val="0077749E"/>
    <w:rsid w:val="00790ADA"/>
    <w:rsid w:val="00795191"/>
    <w:rsid w:val="007C03F6"/>
    <w:rsid w:val="007C33DC"/>
    <w:rsid w:val="007C7431"/>
    <w:rsid w:val="007D2288"/>
    <w:rsid w:val="007E088F"/>
    <w:rsid w:val="007F7B32"/>
    <w:rsid w:val="00804BC2"/>
    <w:rsid w:val="0081431A"/>
    <w:rsid w:val="0083216F"/>
    <w:rsid w:val="00843B99"/>
    <w:rsid w:val="00860000"/>
    <w:rsid w:val="00863BD3"/>
    <w:rsid w:val="008641ED"/>
    <w:rsid w:val="00866D66"/>
    <w:rsid w:val="008671C6"/>
    <w:rsid w:val="00875803"/>
    <w:rsid w:val="008B459E"/>
    <w:rsid w:val="008C1C2D"/>
    <w:rsid w:val="008E13AE"/>
    <w:rsid w:val="008E1506"/>
    <w:rsid w:val="008E710C"/>
    <w:rsid w:val="008F4096"/>
    <w:rsid w:val="008F69D6"/>
    <w:rsid w:val="008F7628"/>
    <w:rsid w:val="00902823"/>
    <w:rsid w:val="00910B71"/>
    <w:rsid w:val="00915CA6"/>
    <w:rsid w:val="00927834"/>
    <w:rsid w:val="009465C6"/>
    <w:rsid w:val="009500A6"/>
    <w:rsid w:val="00957C18"/>
    <w:rsid w:val="009659BA"/>
    <w:rsid w:val="009715E6"/>
    <w:rsid w:val="00983040"/>
    <w:rsid w:val="009A65F2"/>
    <w:rsid w:val="009B3FB9"/>
    <w:rsid w:val="009B4545"/>
    <w:rsid w:val="009C2465"/>
    <w:rsid w:val="009C5522"/>
    <w:rsid w:val="009D35A0"/>
    <w:rsid w:val="009D3DB9"/>
    <w:rsid w:val="009D7EB7"/>
    <w:rsid w:val="009E048A"/>
    <w:rsid w:val="009E08E9"/>
    <w:rsid w:val="009E3DB9"/>
    <w:rsid w:val="009E5D42"/>
    <w:rsid w:val="009E6E35"/>
    <w:rsid w:val="009F0EDA"/>
    <w:rsid w:val="00A03B96"/>
    <w:rsid w:val="00A05B19"/>
    <w:rsid w:val="00A1134E"/>
    <w:rsid w:val="00A11406"/>
    <w:rsid w:val="00A24E7E"/>
    <w:rsid w:val="00A258C3"/>
    <w:rsid w:val="00A27CD8"/>
    <w:rsid w:val="00A347C0"/>
    <w:rsid w:val="00A51431"/>
    <w:rsid w:val="00A539AD"/>
    <w:rsid w:val="00A82D37"/>
    <w:rsid w:val="00A94063"/>
    <w:rsid w:val="00AA6219"/>
    <w:rsid w:val="00AA74E0"/>
    <w:rsid w:val="00AB703F"/>
    <w:rsid w:val="00AC6BB8"/>
    <w:rsid w:val="00AE008F"/>
    <w:rsid w:val="00B01FCD"/>
    <w:rsid w:val="00B1776C"/>
    <w:rsid w:val="00B52583"/>
    <w:rsid w:val="00B52896"/>
    <w:rsid w:val="00B62D6B"/>
    <w:rsid w:val="00B95236"/>
    <w:rsid w:val="00B96BD9"/>
    <w:rsid w:val="00BA1B01"/>
    <w:rsid w:val="00BA2641"/>
    <w:rsid w:val="00BA61AD"/>
    <w:rsid w:val="00BB37AA"/>
    <w:rsid w:val="00BB767D"/>
    <w:rsid w:val="00BC26A5"/>
    <w:rsid w:val="00BC53A0"/>
    <w:rsid w:val="00BE62AD"/>
    <w:rsid w:val="00BF121F"/>
    <w:rsid w:val="00BF1F80"/>
    <w:rsid w:val="00C166EF"/>
    <w:rsid w:val="00C17EB0"/>
    <w:rsid w:val="00C27F5F"/>
    <w:rsid w:val="00C30A0F"/>
    <w:rsid w:val="00C37E61"/>
    <w:rsid w:val="00C508A8"/>
    <w:rsid w:val="00C70B5B"/>
    <w:rsid w:val="00C70F1B"/>
    <w:rsid w:val="00C71A47"/>
    <w:rsid w:val="00C7464C"/>
    <w:rsid w:val="00C85588"/>
    <w:rsid w:val="00CD6755"/>
    <w:rsid w:val="00CD6856"/>
    <w:rsid w:val="00CE0089"/>
    <w:rsid w:val="00CE793C"/>
    <w:rsid w:val="00CF193C"/>
    <w:rsid w:val="00D173F1"/>
    <w:rsid w:val="00D3263E"/>
    <w:rsid w:val="00D62B82"/>
    <w:rsid w:val="00D74CB0"/>
    <w:rsid w:val="00D8295D"/>
    <w:rsid w:val="00DC2A65"/>
    <w:rsid w:val="00DE15F0"/>
    <w:rsid w:val="00DE464C"/>
    <w:rsid w:val="00DE5663"/>
    <w:rsid w:val="00DE78AA"/>
    <w:rsid w:val="00DF7DC6"/>
    <w:rsid w:val="00E053D0"/>
    <w:rsid w:val="00E15994"/>
    <w:rsid w:val="00E230A1"/>
    <w:rsid w:val="00E3114E"/>
    <w:rsid w:val="00E31A70"/>
    <w:rsid w:val="00E35B02"/>
    <w:rsid w:val="00E66496"/>
    <w:rsid w:val="00E66B35"/>
    <w:rsid w:val="00E66E10"/>
    <w:rsid w:val="00E769F6"/>
    <w:rsid w:val="00E8407C"/>
    <w:rsid w:val="00E84F3C"/>
    <w:rsid w:val="00E929CE"/>
    <w:rsid w:val="00EA012C"/>
    <w:rsid w:val="00EC6A55"/>
    <w:rsid w:val="00ED0288"/>
    <w:rsid w:val="00EE52CB"/>
    <w:rsid w:val="00EF581D"/>
    <w:rsid w:val="00EF7FD8"/>
    <w:rsid w:val="00F06F59"/>
    <w:rsid w:val="00F12AB2"/>
    <w:rsid w:val="00F1553C"/>
    <w:rsid w:val="00F17988"/>
    <w:rsid w:val="00F2646F"/>
    <w:rsid w:val="00F469F0"/>
    <w:rsid w:val="00F53273"/>
    <w:rsid w:val="00F5762C"/>
    <w:rsid w:val="00F755E4"/>
    <w:rsid w:val="00F764B9"/>
    <w:rsid w:val="00F77D02"/>
    <w:rsid w:val="00F94D5C"/>
    <w:rsid w:val="00FA409E"/>
    <w:rsid w:val="00FB3A86"/>
    <w:rsid w:val="00FB6770"/>
    <w:rsid w:val="00FD36C8"/>
    <w:rsid w:val="00FE3C0E"/>
    <w:rsid w:val="00FF0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67D4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B62D6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isselectedend">
    <w:name w:val="isselectedend"/>
    <w:basedOn w:val="Normal"/>
    <w:rsid w:val="0011286C"/>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1286C"/>
    <w:pPr>
      <w:spacing w:before="100" w:beforeAutospacing="1" w:after="100" w:afterAutospacing="1"/>
    </w:pPr>
    <w:rPr>
      <w:rFonts w:ascii="Times New Roman" w:hAnsi="Times New Roman"/>
      <w:sz w:val="24"/>
      <w:szCs w:val="24"/>
    </w:rPr>
  </w:style>
  <w:style w:type="character" w:styleId="Strong">
    <w:name w:val="Strong"/>
    <w:uiPriority w:val="22"/>
    <w:qFormat/>
    <w:rsid w:val="007C03F6"/>
    <w:rPr>
      <w:b/>
      <w:bCs/>
    </w:rPr>
  </w:style>
  <w:style w:type="paragraph" w:styleId="ListParagraph">
    <w:name w:val="List Paragraph"/>
    <w:basedOn w:val="Normal"/>
    <w:qFormat/>
    <w:rsid w:val="005F71F7"/>
    <w:pPr>
      <w:spacing w:line="276" w:lineRule="auto"/>
      <w:ind w:left="720"/>
    </w:pPr>
    <w:rPr>
      <w:rFonts w:ascii="Calibri" w:eastAsia="SimSun" w:hAnsi="Calibri"/>
      <w:sz w:val="21"/>
      <w:szCs w:val="22"/>
      <w:lang w:eastAsia="zh-CN"/>
    </w:rPr>
  </w:style>
  <w:style w:type="character" w:customStyle="1" w:styleId="Heading2Char">
    <w:name w:val="Heading 2 Char"/>
    <w:basedOn w:val="DefaultParagraphFont"/>
    <w:link w:val="Heading2"/>
    <w:semiHidden/>
    <w:rsid w:val="00B62D6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572357578">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38448726">
      <w:bodyDiv w:val="1"/>
      <w:marLeft w:val="0"/>
      <w:marRight w:val="0"/>
      <w:marTop w:val="0"/>
      <w:marBottom w:val="0"/>
      <w:divBdr>
        <w:top w:val="none" w:sz="0" w:space="0" w:color="auto"/>
        <w:left w:val="none" w:sz="0" w:space="0" w:color="auto"/>
        <w:bottom w:val="none" w:sz="0" w:space="0" w:color="auto"/>
        <w:right w:val="none" w:sz="0" w:space="0" w:color="auto"/>
      </w:divBdr>
    </w:div>
    <w:div w:id="127848957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s://doi.org/10.2486/indhealth.MS1320" TargetMode="External"/><Relationship Id="rId39" Type="http://schemas.openxmlformats.org/officeDocument/2006/relationships/hyperlink" Target="https://doi.org/10.4236/odem.2016.41001" TargetMode="External"/><Relationship Id="rId21" Type="http://schemas.openxmlformats.org/officeDocument/2006/relationships/image" Target="media/image14.emf"/><Relationship Id="rId34" Type="http://schemas.openxmlformats.org/officeDocument/2006/relationships/hyperlink" Target="https://doi.org/10.11604/pamj.2016.23.212.7640" TargetMode="External"/><Relationship Id="rId42" Type="http://schemas.openxmlformats.org/officeDocument/2006/relationships/hyperlink" Target="https://doi.org/10.56557/jogee/2025/v21i39518"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hyperlink" Target="https://doi.org/10.5334/aogh.4089" TargetMode="External"/><Relationship Id="rId11" Type="http://schemas.openxmlformats.org/officeDocument/2006/relationships/image" Target="media/image4.emf"/><Relationship Id="rId24" Type="http://schemas.openxmlformats.org/officeDocument/2006/relationships/hyperlink" Target="https://doi.org/10.3109/08958378.2011.617790" TargetMode="External"/><Relationship Id="rId32" Type="http://schemas.openxmlformats.org/officeDocument/2006/relationships/hyperlink" Target="https://doi.org/10.1136/oem.2009.047852" TargetMode="External"/><Relationship Id="rId37" Type="http://schemas.openxmlformats.org/officeDocument/2006/relationships/hyperlink" Target="https://bcs.wiley.com/he-bcs/Books?action=index&amp;bcsId=2282&amp;itemId=0471110183" TargetMode="External"/><Relationship Id="rId40" Type="http://schemas.openxmlformats.org/officeDocument/2006/relationships/hyperlink" Target="https://doi.org/10.9734/ajarr/2022/v16i1030510" TargetMode="External"/><Relationship Id="rId45" Type="http://schemas.openxmlformats.org/officeDocument/2006/relationships/hyperlink" Target="https://doi.org/10.1186/1471-2466-10-19"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s://doi.org/10.1136/bmjopen-2016-012381" TargetMode="External"/><Relationship Id="rId44" Type="http://schemas.openxmlformats.org/officeDocument/2006/relationships/hyperlink" Target="https://catalog.hathitrust.org/Record/001306454"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yperlink" Target="https://doi.org/10.13005/bpj/2543" TargetMode="External"/><Relationship Id="rId30" Type="http://schemas.openxmlformats.org/officeDocument/2006/relationships/hyperlink" Target="https://ec.europa.eu/food/food-feed-portal/screen/food-additives/search/details/POL-FAD-IMPORT-3213" TargetMode="External"/><Relationship Id="rId35" Type="http://schemas.openxmlformats.org/officeDocument/2006/relationships/hyperlink" Target="https://doi.org/10.1038/s41598-023-39921-w" TargetMode="External"/><Relationship Id="rId43" Type="http://schemas.openxmlformats.org/officeDocument/2006/relationships/hyperlink" Target="https://shop.lww.com/West-s-Respiratory-Physiology/p/9781975139186" TargetMode="External"/><Relationship Id="rId48"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doi.org/10.2147/JIR.S312960" TargetMode="External"/><Relationship Id="rId33" Type="http://schemas.openxmlformats.org/officeDocument/2006/relationships/hyperlink" Target="https://doi.org/10.1186/s12940-023-00980-1" TargetMode="External"/><Relationship Id="rId38" Type="http://schemas.openxmlformats.org/officeDocument/2006/relationships/hyperlink" Target="https://www.usgs.gov/media/files/gypsum-2020-tables-only-release" TargetMode="External"/><Relationship Id="rId46" Type="http://schemas.openxmlformats.org/officeDocument/2006/relationships/hyperlink" Target="https://doi.org/10.1007/s00420-024-02101-y" TargetMode="External"/><Relationship Id="rId20" Type="http://schemas.openxmlformats.org/officeDocument/2006/relationships/image" Target="media/image13.emf"/><Relationship Id="rId41" Type="http://schemas.openxmlformats.org/officeDocument/2006/relationships/hyperlink" Target="https://doi.org/10.3109/08958378.2010.52035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s://doi.org/10.1016/S0020-1383(00)80022-4" TargetMode="External"/><Relationship Id="rId36" Type="http://schemas.openxmlformats.org/officeDocument/2006/relationships/hyperlink" Target="https://doi.org/10.5271/sjweh.888" TargetMode="External"/><Relationship Id="rId4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EF38F-501F-497D-B303-E91DBCAB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193</TotalTime>
  <Pages>29</Pages>
  <Words>4174</Words>
  <Characters>23796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27915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JODAGH_15406 – Final Reference-Corrected Manuscript</dc:title>
  <dc:subject>APA reference correction and bidirectional citation matching</dc:subject>
  <dc:creator>SDI</dc:creator>
  <cp:lastModifiedBy>SDI CPU 1117</cp:lastModifiedBy>
  <cp:revision>27</cp:revision>
  <cp:lastPrinted>1999-07-06T11:00:00Z</cp:lastPrinted>
  <dcterms:created xsi:type="dcterms:W3CDTF">2026-07-21T23:11:00Z</dcterms:created>
  <dcterms:modified xsi:type="dcterms:W3CDTF">2026-08-04T04:24:00Z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0d680b89-ec48-4c24-8fe7-17c392c1ba46</vt:lpwstr>
  </property>
</Properties>
</file>