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C867D4" w14:textId="77777777" w:rsidR="00A258C3" w:rsidRPr="00725821" w:rsidRDefault="00A64825" w:rsidP="00A64825">
      <w:pPr>
        <w:spacing w:line="480" w:lineRule="auto"/>
        <w:rPr>
          <w:rFonts w:ascii="Times New Roman" w:hAnsi="Times New Roman"/>
          <w:b/>
          <w:sz w:val="24"/>
          <w:szCs w:val="24"/>
        </w:rPr>
      </w:pPr>
      <w:r w:rsidRPr="00725821">
        <w:rPr>
          <w:rFonts w:ascii="Times New Roman" w:hAnsi="Times New Roman"/>
          <w:b/>
          <w:sz w:val="24"/>
          <w:szCs w:val="24"/>
        </w:rPr>
        <w:t>SPIROMETRIC ANALYSIS OF BRONCHOPROV</w:t>
      </w:r>
      <w:r w:rsidR="00314337" w:rsidRPr="00725821">
        <w:rPr>
          <w:rFonts w:ascii="Times New Roman" w:hAnsi="Times New Roman"/>
          <w:b/>
          <w:sz w:val="24"/>
          <w:szCs w:val="24"/>
        </w:rPr>
        <w:t>OC</w:t>
      </w:r>
      <w:r w:rsidRPr="00725821">
        <w:rPr>
          <w:rFonts w:ascii="Times New Roman" w:hAnsi="Times New Roman"/>
          <w:b/>
          <w:sz w:val="24"/>
          <w:szCs w:val="24"/>
        </w:rPr>
        <w:t xml:space="preserve">ATION AMONG </w:t>
      </w:r>
      <w:r w:rsidRPr="00725821">
        <w:rPr>
          <w:rFonts w:ascii="Times New Roman" w:hAnsi="Times New Roman"/>
          <w:b/>
          <w:i/>
          <w:sz w:val="24"/>
          <w:szCs w:val="24"/>
        </w:rPr>
        <w:t xml:space="preserve">CAPSICUM ANNUUM </w:t>
      </w:r>
      <w:r w:rsidRPr="00725821">
        <w:rPr>
          <w:rFonts w:ascii="Times New Roman" w:hAnsi="Times New Roman"/>
          <w:b/>
          <w:sz w:val="24"/>
          <w:szCs w:val="24"/>
        </w:rPr>
        <w:t xml:space="preserve">VENDORS IN CALABAR </w:t>
      </w:r>
      <w:r w:rsidR="00E731C2" w:rsidRPr="00725821">
        <w:rPr>
          <w:rFonts w:ascii="Times New Roman" w:hAnsi="Times New Roman"/>
          <w:b/>
          <w:sz w:val="24"/>
          <w:szCs w:val="24"/>
        </w:rPr>
        <w:t>MUNICIPALITY</w:t>
      </w:r>
      <w:r w:rsidRPr="00725821">
        <w:rPr>
          <w:rFonts w:ascii="Times New Roman" w:hAnsi="Times New Roman"/>
          <w:b/>
          <w:sz w:val="24"/>
          <w:szCs w:val="24"/>
        </w:rPr>
        <w:t>, CROSS RIVER STATE</w:t>
      </w:r>
      <w:r w:rsidR="00E04500" w:rsidRPr="00725821">
        <w:rPr>
          <w:rFonts w:ascii="Times New Roman" w:hAnsi="Times New Roman"/>
          <w:b/>
          <w:sz w:val="24"/>
          <w:szCs w:val="24"/>
        </w:rPr>
        <w:t>, NIGERIA</w:t>
      </w:r>
    </w:p>
    <w:p w14:paraId="3B442AAD" w14:textId="77777777" w:rsidR="006E1B4C" w:rsidRPr="00725821" w:rsidRDefault="006E1B4C" w:rsidP="00391363">
      <w:pPr>
        <w:pStyle w:val="Affiliation"/>
        <w:spacing w:after="0" w:line="240" w:lineRule="auto"/>
        <w:rPr>
          <w:rFonts w:ascii="Arial" w:hAnsi="Arial" w:cs="Arial"/>
          <w:i/>
        </w:rPr>
        <w:sectPr w:rsidR="006E1B4C" w:rsidRPr="00725821" w:rsidSect="0081764D">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p>
    <w:p w14:paraId="4125EFA9" w14:textId="77777777" w:rsidR="00790ADA" w:rsidRPr="00725821" w:rsidRDefault="00B01FCD" w:rsidP="00441B6F">
      <w:pPr>
        <w:pStyle w:val="AbstHead"/>
        <w:spacing w:after="0"/>
        <w:jc w:val="both"/>
        <w:rPr>
          <w:rFonts w:ascii="Arial" w:hAnsi="Arial" w:cs="Arial"/>
        </w:rPr>
      </w:pPr>
      <w:r w:rsidRPr="00725821">
        <w:rPr>
          <w:rFonts w:ascii="Arial" w:hAnsi="Arial" w:cs="Arial"/>
        </w:rPr>
        <w:t>ABSTRACT</w:t>
      </w:r>
      <w:r w:rsidR="0066510A" w:rsidRPr="00725821">
        <w:rPr>
          <w:rFonts w:ascii="Arial" w:hAnsi="Arial" w:cs="Arial"/>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725821" w14:paraId="1C8D2795" w14:textId="77777777" w:rsidTr="001E44FE">
        <w:tc>
          <w:tcPr>
            <w:tcW w:w="9576" w:type="dxa"/>
            <w:shd w:val="clear" w:color="auto" w:fill="F2F2F2"/>
          </w:tcPr>
          <w:p w14:paraId="676804CD" w14:textId="77777777" w:rsidR="00505F06" w:rsidRPr="00725821" w:rsidRDefault="00A64825" w:rsidP="00441B6F">
            <w:pPr>
              <w:pStyle w:val="Body"/>
              <w:spacing w:after="0"/>
              <w:rPr>
                <w:rFonts w:ascii="Arial Black" w:eastAsia="Calibri" w:hAnsi="Arial Black" w:cs="Arial"/>
                <w:sz w:val="22"/>
                <w:szCs w:val="22"/>
              </w:rPr>
            </w:pPr>
            <w:r w:rsidRPr="00725821">
              <w:t xml:space="preserve">Occupational exposure to airborne irritants is a recognised risk factor for respiratory impairment. </w:t>
            </w:r>
            <w:r w:rsidRPr="00725821">
              <w:rPr>
                <w:i/>
              </w:rPr>
              <w:t>Capsicum annuum</w:t>
            </w:r>
            <w:r w:rsidRPr="00725821">
              <w:t xml:space="preserve"> (commonly known as chilli pepper) vendors are frequently exposed to pepper powder, which may cause airway irritation and subclinical respiratory abnormalities. This study assessed the effect of chronic occupational exposure to </w:t>
            </w:r>
            <w:r w:rsidRPr="00725821">
              <w:rPr>
                <w:i/>
              </w:rPr>
              <w:t>Capsicum annuum</w:t>
            </w:r>
            <w:r w:rsidRPr="00725821">
              <w:t xml:space="preserve"> powder on lung function and airway responsiveness among young adult vendors in Calabar Municipality, Cross River State, Nigeria. A total of 80 adults aged 18–35 years were enrolled in this cross-sectional study. Participants were divided into two groups: occupationally exposed </w:t>
            </w:r>
            <w:r w:rsidRPr="00725821">
              <w:rPr>
                <w:i/>
              </w:rPr>
              <w:t>Capsicum annuum</w:t>
            </w:r>
            <w:r w:rsidRPr="00725821">
              <w:t xml:space="preserve"> vendors (Group I) and non-exposed individuals (Group II). Pulmonary function was assessed using a Vitalograph spirometer to measure forced vital capacity (FVC), forced expiratory volume in one second (FEV₁), peak expiratory flow rate (PEFR), and FEV₁%. A histamine challenge test was administered using a nebuliser, and changes in FEV₁ were assessed after incremental histamine doses of 0.5 mg and 1.0 mg. Data were analysed using t-tests and presented as the mean ± standard error of the mean (SEM). Pulmonary function parameters decreased significantly (p &lt; 0.001) following histamine exposure in the test group. After administration of 1.0 mg histamine, FVC, FEV₁, PEFR, and FEV₁% decreased to 2.98 ± 0.03 L, 1.94 ± 0.05 L, 205.76 ± 2.26 L/min, and 65.09 ± 1.30%, respectively. These changes indicate increased airway sensitivity and bronchial responsiveness. However, the reported correlation analyses did not demonstrate a statistically significant relationship between exposure duration and the spirometric indices. Regular occupational exposure to </w:t>
            </w:r>
            <w:r w:rsidRPr="00725821">
              <w:rPr>
                <w:i/>
              </w:rPr>
              <w:t>Capsicum annuum</w:t>
            </w:r>
            <w:r w:rsidRPr="00725821">
              <w:t xml:space="preserve"> powder may therefore be associated with measurable changes in lung function and airway reactivity. These effects may occur without clinically apparent respiratory symptoms, highlighting the importance of appropriate protective measures, routine respiratory health screening, and occupational health awareness among pepper vendors.</w:t>
            </w:r>
          </w:p>
        </w:tc>
      </w:tr>
    </w:tbl>
    <w:p w14:paraId="6E344350" w14:textId="77777777" w:rsidR="00505F06" w:rsidRPr="00725821" w:rsidRDefault="00A24E7E" w:rsidP="00441B6F">
      <w:pPr>
        <w:pStyle w:val="Body"/>
        <w:spacing w:after="0"/>
      </w:pPr>
      <w:r w:rsidRPr="00725821">
        <w:rPr>
          <w:i/>
        </w:rPr>
        <w:t>Keywords:</w:t>
      </w:r>
      <w:r w:rsidRPr="00725821">
        <w:t xml:space="preserve"> </w:t>
      </w:r>
      <w:r w:rsidRPr="00725821">
        <w:rPr>
          <w:i/>
        </w:rPr>
        <w:t>Capsicum annuum</w:t>
      </w:r>
      <w:r w:rsidRPr="00725821">
        <w:t>, airway hyperresponsiveness, spirometry, histamine challenge, occupational exposure, lung function, respiratory health, pepper vendors.</w:t>
      </w:r>
    </w:p>
    <w:p w14:paraId="66073924" w14:textId="77777777" w:rsidR="007F7B32" w:rsidRPr="00725821" w:rsidRDefault="00B01FCD" w:rsidP="00441B6F">
      <w:pPr>
        <w:pStyle w:val="AbstHead"/>
        <w:spacing w:after="0"/>
        <w:jc w:val="both"/>
        <w:rPr>
          <w:rFonts w:ascii="Arial" w:hAnsi="Arial" w:cs="Arial"/>
        </w:rPr>
      </w:pPr>
      <w:r w:rsidRPr="00725821">
        <w:rPr>
          <w:rFonts w:ascii="Arial" w:hAnsi="Arial" w:cs="Arial"/>
        </w:rPr>
        <w:t>INTRODUCTION</w:t>
      </w:r>
    </w:p>
    <w:p w14:paraId="3E27F544" w14:textId="77777777" w:rsidR="003E2E91" w:rsidRPr="00725821" w:rsidRDefault="003E2E91" w:rsidP="003E2E91">
      <w:pPr>
        <w:spacing w:line="480" w:lineRule="auto"/>
        <w:jc w:val="both"/>
        <w:rPr>
          <w:rFonts w:ascii="Arial" w:hAnsi="Arial" w:cs="Arial"/>
        </w:rPr>
      </w:pPr>
      <w:r w:rsidRPr="00725821">
        <w:rPr>
          <w:i/>
        </w:rPr>
        <w:t>Capsicum annuum</w:t>
      </w:r>
      <w:r w:rsidRPr="00725821">
        <w:t xml:space="preserve">, commonly known as pepper, is a widely cultivated vegetable and an important crop in local and global markets. Its consumption is largely driven by its nutritional value, particularly its vitamin C and antioxidant content, and by its culinary use in adding flavour and colour to foods (Hernández-Pérez </w:t>
      </w:r>
      <w:r w:rsidRPr="00725821">
        <w:rPr>
          <w:i/>
        </w:rPr>
        <w:t>et al.</w:t>
      </w:r>
      <w:r w:rsidRPr="00725821">
        <w:t xml:space="preserve">, 2020). Vendors who handle pepper daily, particularly during preparation or grinding, may inhale fine dust particles and volatile compounds that irritate the respiratory tract. Capsaicin, the bioactive compound responsible for the pungency of peppers, may cause acute respiratory discomfort when inhaled, including coughing, sneezing, wheezing, and shortness of breath. Occupational exposure to hot-pepper dust has also been associated with a higher prevalence of cough among </w:t>
      </w:r>
      <w:r w:rsidRPr="00725821">
        <w:lastRenderedPageBreak/>
        <w:t xml:space="preserve">exposed workers (Blanc </w:t>
      </w:r>
      <w:r w:rsidRPr="00725821">
        <w:rPr>
          <w:i/>
        </w:rPr>
        <w:t>et al.</w:t>
      </w:r>
      <w:r w:rsidRPr="00725821">
        <w:t>, 1991). These effects may be exacerbated in individuals who handle pepper continuously.</w:t>
      </w:r>
    </w:p>
    <w:p w14:paraId="1DF90DB8" w14:textId="77777777" w:rsidR="00994CE5" w:rsidRPr="00725821" w:rsidRDefault="005F5448">
      <w:r w:rsidRPr="00725821">
        <w:t>From an occupational-health perspective, pepper handling should be considered exposure to a complex plant-derived aerosol rather than to capsaicin alone. Organic dust, fragmented plant material, and pungent compounds may act as irritants or sensitisers, and repeated workplace exposure is a recognised pathway to work-related respiratory symptoms and occupational asthma (Baur &amp; Bakehe, 2014; Nicholson et al., 2005; Tarlo &amp; Lemiere, 2014).</w:t>
      </w:r>
    </w:p>
    <w:p w14:paraId="7690016A" w14:textId="77777777" w:rsidR="0082582B" w:rsidRPr="00725821" w:rsidRDefault="00000000">
      <w:pPr>
        <w:rPr>
          <w:bCs/>
        </w:rPr>
      </w:pPr>
      <w:r w:rsidRPr="00725821">
        <w:rPr>
          <w:bCs/>
        </w:rPr>
        <w:t>Recent evidence from occupationally exposed populations indicates that workplace dusts and fumes may be associated with respiratory symptoms and altered spirometric indices, reinforcing the value of objective lung-function assessment in exposure-related studies (Ashuro et al., 2023; Orji et al., 2023).</w:t>
      </w:r>
    </w:p>
    <w:p w14:paraId="0D933AD8" w14:textId="77777777" w:rsidR="00790ADA" w:rsidRPr="00725821" w:rsidRDefault="003E2E91" w:rsidP="003E2E91">
      <w:pPr>
        <w:rPr>
          <w:rFonts w:ascii="Arial" w:hAnsi="Arial" w:cs="Arial"/>
        </w:rPr>
      </w:pPr>
      <w:r w:rsidRPr="00725821">
        <w:t xml:space="preserve">Prolonged exposure to pepper dust may contribute to chronic respiratory conditions, including occupational asthma and bronchitis. Dust particles may irritate the respiratory mucosa, leading to inflammation, airway narrowing, and breathing difficulty. Work-related allergy and asthma have been reported among spice-mill workers exposed to processed spice dust (van der Walt </w:t>
      </w:r>
      <w:r w:rsidRPr="00725821">
        <w:rPr>
          <w:i/>
        </w:rPr>
        <w:t>et al.</w:t>
      </w:r>
      <w:r w:rsidRPr="00725821">
        <w:t>, 2010). Pepper may also cause skin irritation in vendors who handle it frequently. Capsaicin can produce a burning sensation and erythema after skin contact, while spices may cause allergic contact reactions in susceptible individuals (Chen &amp; Bahna, 2011). Repeated exposure to pepper dust and capsaicin may therefore contribute to persistent airway irritation and impaired respiratory health, particularly among workers with pre-existing respiratory conditions (Baur &amp; Bakehe, 2014; Tarlo &amp; Lemiere, 2014).</w:t>
      </w:r>
    </w:p>
    <w:p w14:paraId="64452358" w14:textId="77777777" w:rsidR="00994CE5" w:rsidRPr="00725821" w:rsidRDefault="005F5448">
      <w:r w:rsidRPr="00725821">
        <w:t>Capsaicin activates transient receptor potential vanilloid 1 (TRPV1)-expressing vagal afferent fibres, producing cough and neurogenic airway responses; however, evidence of cough or transient bronchoconstriction should not, by itself, be interpreted as proof of permanent lung injury. The biologically plausible outcome is heightened airway sensory responsiveness, which should be evaluated using standardised spirometry and bronchial-challenge methods (Belvisi &amp; Birrell, 2017; Coates et al., 2017; Mazzone &amp; Undem, 2016).</w:t>
      </w:r>
    </w:p>
    <w:p w14:paraId="4B69CD9F" w14:textId="77777777" w:rsidR="0082582B" w:rsidRPr="00725821" w:rsidRDefault="00000000">
      <w:pPr>
        <w:rPr>
          <w:bCs/>
        </w:rPr>
      </w:pPr>
      <w:r w:rsidRPr="00725821">
        <w:rPr>
          <w:bCs/>
        </w:rPr>
        <w:t>Comparative studies of dust-exposed informal workers and recent spirometry-based investigations further support the recording of relevant demographic characteristics, smoking status, and exposure duration when interpreting pulmonary-function findings (Dushyant et al., 2023; Zinzala et al., 2026).</w:t>
      </w:r>
    </w:p>
    <w:p w14:paraId="350220C2" w14:textId="77777777" w:rsidR="0082582B" w:rsidRPr="00725821" w:rsidRDefault="00000000">
      <w:pPr>
        <w:rPr>
          <w:bCs/>
        </w:rPr>
      </w:pPr>
      <w:r w:rsidRPr="00725821">
        <w:rPr>
          <w:bCs/>
        </w:rPr>
        <w:t xml:space="preserve">Nevertheless, the spirometric response to histamine bronchoprovocation among occupationally exposed </w:t>
      </w:r>
      <w:r w:rsidRPr="00725821">
        <w:rPr>
          <w:bCs/>
          <w:i/>
        </w:rPr>
        <w:t>Capsicum annuum</w:t>
      </w:r>
      <w:r w:rsidRPr="00725821">
        <w:rPr>
          <w:bCs/>
        </w:rPr>
        <w:t xml:space="preserve"> vendors in Calabar Municipality has not been adequately characterised, leaving a context-specific evidence gap regarding airway responsiveness in this group.</w:t>
      </w:r>
    </w:p>
    <w:p w14:paraId="2DAF7DB5" w14:textId="77777777" w:rsidR="0082582B" w:rsidRPr="00725821" w:rsidRDefault="00000000">
      <w:pPr>
        <w:rPr>
          <w:bCs/>
        </w:rPr>
      </w:pPr>
      <w:r w:rsidRPr="00725821">
        <w:rPr>
          <w:bCs/>
        </w:rPr>
        <w:t xml:space="preserve">Therefore, this study aimed to assess lung-function parameters and airway responsiveness among </w:t>
      </w:r>
      <w:r w:rsidRPr="00725821">
        <w:rPr>
          <w:bCs/>
          <w:i/>
        </w:rPr>
        <w:t>Capsicum annuum</w:t>
      </w:r>
      <w:r w:rsidRPr="00725821">
        <w:rPr>
          <w:bCs/>
        </w:rPr>
        <w:t xml:space="preserve"> vendors in Calabar Municipality, Cross River State, Nigeria, compared with non-exposed individuals.</w:t>
      </w:r>
    </w:p>
    <w:p w14:paraId="40764A51" w14:textId="77777777" w:rsidR="007F7B32" w:rsidRPr="00725821" w:rsidRDefault="00902823" w:rsidP="00441B6F">
      <w:pPr>
        <w:pStyle w:val="AbstHead"/>
        <w:spacing w:after="0"/>
        <w:jc w:val="both"/>
        <w:rPr>
          <w:rFonts w:ascii="Arial" w:hAnsi="Arial" w:cs="Arial"/>
        </w:rPr>
      </w:pPr>
      <w:r w:rsidRPr="00725821">
        <w:t>MATERIALS AND METHODS</w:t>
      </w:r>
    </w:p>
    <w:p w14:paraId="150DDCCC" w14:textId="77777777" w:rsidR="00AF4820" w:rsidRPr="00725821" w:rsidRDefault="00AF4820" w:rsidP="00AF4820">
      <w:pPr>
        <w:spacing w:before="100" w:beforeAutospacing="1" w:after="100" w:afterAutospacing="1"/>
        <w:rPr>
          <w:rFonts w:ascii="Arial" w:hAnsi="Arial" w:cs="Arial"/>
          <w:sz w:val="22"/>
          <w:szCs w:val="22"/>
        </w:rPr>
      </w:pPr>
      <w:r w:rsidRPr="00725821">
        <w:t>Materials:</w:t>
      </w:r>
      <w:r w:rsidRPr="00725821">
        <w:br/>
        <w:t>Vitalograph spirometer, nebuliser, histamine, pulse oximeter, weighing balance, questionnaire, and young adults aged 18–35 years.</w:t>
      </w:r>
    </w:p>
    <w:p w14:paraId="4FDC29A4" w14:textId="77777777" w:rsidR="00AF4820" w:rsidRPr="00725821" w:rsidRDefault="00AF4820" w:rsidP="00AF4820">
      <w:pPr>
        <w:spacing w:before="100" w:beforeAutospacing="1" w:after="100" w:afterAutospacing="1"/>
        <w:rPr>
          <w:rFonts w:ascii="Arial" w:hAnsi="Arial" w:cs="Arial"/>
          <w:sz w:val="22"/>
          <w:szCs w:val="22"/>
        </w:rPr>
      </w:pPr>
      <w:r w:rsidRPr="00725821">
        <w:t>Study subjects:</w:t>
      </w:r>
      <w:r w:rsidRPr="00725821">
        <w:br/>
        <w:t xml:space="preserve">The study participants were </w:t>
      </w:r>
      <w:r w:rsidRPr="00725821">
        <w:rPr>
          <w:i/>
        </w:rPr>
        <w:t>Capsicum annuum</w:t>
      </w:r>
      <w:r w:rsidRPr="00725821">
        <w:t xml:space="preserve"> vendors aged 18–35 years in Calabar Municipality, Cross River State, who were exposed to </w:t>
      </w:r>
      <w:r w:rsidRPr="00725821">
        <w:rPr>
          <w:i/>
        </w:rPr>
        <w:t>Capsicum annuum</w:t>
      </w:r>
      <w:r w:rsidRPr="00725821">
        <w:t xml:space="preserve"> powder and were free from any health condition or medication use before the investigation. Students of comparable age who were not exposed to </w:t>
      </w:r>
      <w:r w:rsidRPr="00725821">
        <w:rPr>
          <w:i/>
        </w:rPr>
        <w:t>Capsicum annuum</w:t>
      </w:r>
      <w:r w:rsidRPr="00725821">
        <w:t xml:space="preserve"> powder were recruited from the University of Calabar as controls.</w:t>
      </w:r>
    </w:p>
    <w:p w14:paraId="4C3666DF" w14:textId="77777777" w:rsidR="00AF4820" w:rsidRPr="00725821" w:rsidRDefault="00AF4820" w:rsidP="00AF4820">
      <w:pPr>
        <w:spacing w:before="100" w:beforeAutospacing="1" w:after="100" w:afterAutospacing="1"/>
        <w:rPr>
          <w:rFonts w:ascii="Arial" w:hAnsi="Arial" w:cs="Arial"/>
          <w:sz w:val="22"/>
          <w:szCs w:val="22"/>
        </w:rPr>
      </w:pPr>
      <w:r w:rsidRPr="00725821">
        <w:lastRenderedPageBreak/>
        <w:t>Sample size:</w:t>
      </w:r>
      <w:r w:rsidRPr="00725821">
        <w:br/>
        <w:t>The sample size was determined using the formula n = N</w:t>
      </w:r>
      <w:proofErr w:type="gramStart"/>
      <w:r w:rsidRPr="00725821">
        <w:t>/(</w:t>
      </w:r>
      <w:proofErr w:type="gramEnd"/>
      <w:r w:rsidRPr="00725821">
        <w:t>1 + Ne²), where n is the sample size, N is the population size, and e is the margin of error, as described by Ryan (2013).</w:t>
      </w:r>
    </w:p>
    <w:p w14:paraId="75402E09" w14:textId="77777777" w:rsidR="00AF4820" w:rsidRPr="00725821" w:rsidRDefault="00AF4820" w:rsidP="00AF4820">
      <w:pPr>
        <w:spacing w:before="100" w:beforeAutospacing="1" w:after="100" w:afterAutospacing="1"/>
        <w:rPr>
          <w:rFonts w:ascii="Arial" w:hAnsi="Arial" w:cs="Arial"/>
          <w:sz w:val="22"/>
          <w:szCs w:val="22"/>
        </w:rPr>
      </w:pPr>
      <w:r w:rsidRPr="00725821">
        <w:t>Experimental design:</w:t>
      </w:r>
      <w:r w:rsidRPr="00725821">
        <w:br/>
        <w:t xml:space="preserve">The study participants were divided into two groups, A and B. Group A comprised </w:t>
      </w:r>
      <w:r w:rsidRPr="00725821">
        <w:rPr>
          <w:i/>
        </w:rPr>
        <w:t>Capsicum annuum</w:t>
      </w:r>
      <w:r w:rsidRPr="00725821">
        <w:t xml:space="preserve"> vendors, whereas Group B comprised control participants.</w:t>
      </w:r>
    </w:p>
    <w:p w14:paraId="3A32F70C" w14:textId="77777777" w:rsidR="00AF4820" w:rsidRPr="00725821" w:rsidRDefault="00AF4820" w:rsidP="00AF4820">
      <w:pPr>
        <w:spacing w:before="100" w:beforeAutospacing="1" w:after="100" w:afterAutospacing="1"/>
        <w:rPr>
          <w:rFonts w:ascii="Arial" w:hAnsi="Arial" w:cs="Arial"/>
          <w:sz w:val="22"/>
          <w:szCs w:val="22"/>
        </w:rPr>
      </w:pPr>
      <w:r w:rsidRPr="00725821">
        <w:t>Methods:</w:t>
      </w:r>
      <w:r w:rsidRPr="00725821">
        <w:br/>
        <w:t>A Vitalograph spirometer (Alpha 6000, UK) was used to assess lung function. Basic physiological indices, including oxygen saturation, heart rate, temperature, and blood pressure, were also assessed. Each participant was seated comfortably and instructed to inhale deeply and then exhale into the Vitalograph as forcefully and rapidly as possible until no more air could be expelled. The test was repeated three to five times to ensure reproducibility. Venous blood was obtained from each participant using a 2 mL syringe and transferred into an EDTA bottle. ELISA kits were used to analyse inflammatory biomarkers according to the manufacturer’s protocol.</w:t>
      </w:r>
      <w:r w:rsidRPr="00725821">
        <w:br/>
        <w:t>A nebuliser was used to aerosolise histamine at increasing concentrations.</w:t>
      </w:r>
      <w:r w:rsidRPr="00725821">
        <w:br/>
        <w:t xml:space="preserve">The </w:t>
      </w:r>
      <w:r w:rsidRPr="00725821">
        <w:rPr>
          <w:i/>
        </w:rPr>
        <w:t>Capsicum annuum</w:t>
      </w:r>
      <w:r w:rsidRPr="00725821">
        <w:t xml:space="preserve"> vendors inhaled the histamine aerosol under controlled conditions.</w:t>
      </w:r>
    </w:p>
    <w:p w14:paraId="503C50DD" w14:textId="77777777" w:rsidR="00AF4820" w:rsidRPr="00725821" w:rsidRDefault="00AF4820" w:rsidP="00AF4820">
      <w:pPr>
        <w:spacing w:before="100" w:beforeAutospacing="1" w:after="100" w:afterAutospacing="1"/>
        <w:rPr>
          <w:rFonts w:ascii="Arial" w:hAnsi="Arial" w:cs="Arial"/>
          <w:sz w:val="22"/>
          <w:szCs w:val="22"/>
        </w:rPr>
      </w:pPr>
      <w:r w:rsidRPr="00725821">
        <w:t>Measurement of lung function:</w:t>
      </w:r>
      <w:r w:rsidRPr="00725821">
        <w:br/>
        <w:t>After each dose, FEV₁ was measured using spirometry.</w:t>
      </w:r>
      <w:r w:rsidRPr="00725821">
        <w:br/>
        <w:t>The test continued until FEV₁ decreased by 20% or more from baseline or until the maximum dose was reached.</w:t>
      </w:r>
    </w:p>
    <w:p w14:paraId="34F70F65" w14:textId="77777777" w:rsidR="00AF4820" w:rsidRPr="00725821" w:rsidRDefault="00AF4820" w:rsidP="00AF4820">
      <w:pPr>
        <w:spacing w:before="100" w:beforeAutospacing="1" w:after="100" w:afterAutospacing="1"/>
        <w:rPr>
          <w:rFonts w:ascii="Arial" w:hAnsi="Arial" w:cs="Arial"/>
          <w:sz w:val="22"/>
          <w:szCs w:val="22"/>
        </w:rPr>
      </w:pPr>
      <w:r w:rsidRPr="00725821">
        <w:t>Determination of airway sensitivity:</w:t>
      </w:r>
      <w:r w:rsidRPr="00725821">
        <w:br/>
        <w:t>The concentration of histamine that caused a 20% decrease in FEV₁ (PC₂₀) was recorded.</w:t>
      </w:r>
      <w:r w:rsidRPr="00725821">
        <w:br/>
        <w:t>A lower PC₂₀ indicated greater airway hyperresponsiveness, which is characteristic of asthma and other respiratory conditions.</w:t>
      </w:r>
    </w:p>
    <w:p w14:paraId="051658C2" w14:textId="77777777" w:rsidR="00AF4820" w:rsidRPr="00725821" w:rsidRDefault="00AF4820" w:rsidP="00AF4820">
      <w:pPr>
        <w:spacing w:before="100" w:beforeAutospacing="1" w:after="100" w:afterAutospacing="1"/>
        <w:rPr>
          <w:rFonts w:ascii="Arial" w:hAnsi="Arial" w:cs="Arial"/>
          <w:sz w:val="22"/>
          <w:szCs w:val="22"/>
        </w:rPr>
      </w:pPr>
      <w:r w:rsidRPr="00725821">
        <w:t>Recovery:</w:t>
      </w:r>
      <w:r w:rsidRPr="00725821">
        <w:br/>
        <w:t>A bronchodilator (salbutamol) was administered to reverse bronchoconstriction.</w:t>
      </w:r>
      <w:r w:rsidRPr="00725821">
        <w:br/>
        <w:t xml:space="preserve">The </w:t>
      </w:r>
      <w:r w:rsidRPr="00725821">
        <w:rPr>
          <w:i/>
        </w:rPr>
        <w:t>Capsicum annuum</w:t>
      </w:r>
      <w:r w:rsidRPr="00725821">
        <w:t xml:space="preserve"> vendors were monitored until lung function returned to baseline.</w:t>
      </w:r>
    </w:p>
    <w:p w14:paraId="4557AD65" w14:textId="77777777" w:rsidR="00AF4820" w:rsidRPr="00725821" w:rsidRDefault="00AF4820" w:rsidP="00AF4820">
      <w:pPr>
        <w:spacing w:before="100" w:beforeAutospacing="1" w:after="100" w:afterAutospacing="1"/>
        <w:rPr>
          <w:rFonts w:ascii="Arial" w:hAnsi="Arial" w:cs="Arial"/>
          <w:sz w:val="22"/>
          <w:szCs w:val="22"/>
        </w:rPr>
      </w:pPr>
      <w:r w:rsidRPr="00725821">
        <w:t>Safety considerations:</w:t>
      </w:r>
      <w:r w:rsidRPr="00725821">
        <w:br/>
        <w:t>The test was conducted in a controlled medical environment with emergency equipment available.</w:t>
      </w:r>
      <w:r w:rsidRPr="00725821">
        <w:br/>
        <w:t>It was performed by trained professionals who could manage severe bronchoconstriction if necessary.</w:t>
      </w:r>
    </w:p>
    <w:p w14:paraId="4FA3C7E5" w14:textId="77777777" w:rsidR="00AA74E0" w:rsidRPr="00725821" w:rsidRDefault="00AF4820" w:rsidP="00391363">
      <w:pPr>
        <w:spacing w:before="100" w:beforeAutospacing="1" w:after="100" w:afterAutospacing="1"/>
        <w:rPr>
          <w:rFonts w:ascii="Times New Roman" w:hAnsi="Times New Roman"/>
          <w:sz w:val="24"/>
          <w:szCs w:val="24"/>
        </w:rPr>
      </w:pPr>
      <w:r w:rsidRPr="00725821">
        <w:t>Statistical analysis</w:t>
      </w:r>
      <w:r w:rsidRPr="00725821">
        <w:br/>
        <w:t>All data were presented as the mean ± standard error of the mean. Student’s t-tests were used for comparisons, and correlation analysis was used to assess the relationship between exposure duration and changes in lung function. A value of p ≤ 0.05 was considered statistically significant.</w:t>
      </w:r>
    </w:p>
    <w:p w14:paraId="59386B9D" w14:textId="77777777" w:rsidR="00902823" w:rsidRPr="00725821" w:rsidRDefault="00902823" w:rsidP="00441B6F">
      <w:pPr>
        <w:pStyle w:val="Head1"/>
        <w:spacing w:after="0"/>
        <w:jc w:val="both"/>
        <w:rPr>
          <w:rFonts w:ascii="Arial" w:hAnsi="Arial" w:cs="Arial"/>
        </w:rPr>
      </w:pPr>
      <w:r w:rsidRPr="00725821">
        <w:t>RESULTS AND DISCUSSION</w:t>
      </w:r>
    </w:p>
    <w:p w14:paraId="6485548D" w14:textId="77777777" w:rsidR="003E1F28" w:rsidRPr="00725821" w:rsidRDefault="003E1F28" w:rsidP="003E1F28">
      <w:pPr>
        <w:spacing w:before="240" w:line="480" w:lineRule="auto"/>
        <w:ind w:right="270"/>
        <w:jc w:val="both"/>
        <w:rPr>
          <w:rFonts w:ascii="Times New Roman" w:hAnsi="Times New Roman"/>
          <w:sz w:val="24"/>
          <w:szCs w:val="24"/>
        </w:rPr>
      </w:pPr>
      <w:r w:rsidRPr="00725821">
        <w:t xml:space="preserve">This study assessed inflammatory biomarkers and selected demographic and lung-function parameters among </w:t>
      </w:r>
      <w:r w:rsidRPr="00725821">
        <w:rPr>
          <w:i/>
        </w:rPr>
        <w:t>Capsicum annuum</w:t>
      </w:r>
      <w:r w:rsidRPr="00725821">
        <w:t xml:space="preserve"> vendors who underwent histamine </w:t>
      </w:r>
      <w:r w:rsidRPr="00725821">
        <w:lastRenderedPageBreak/>
        <w:t>challenge in Calabar Municipality. The results were compared with those of the control group and are presented as the mean ± standard error of the mean (SEM).</w:t>
      </w:r>
    </w:p>
    <w:p w14:paraId="6A09A25A" w14:textId="77777777" w:rsidR="00994CE5" w:rsidRPr="00725821" w:rsidRDefault="005F5448">
      <w:r w:rsidRPr="00725821">
        <w:t>The findings should be interpreted as within-participant responses to histamine and not as direct evidence that pepper exposure caused the observed changes, because a cross-sectional design cannot establish temporality and the reported comparisons require consideration of relevant covariates. Spirometric quality control, suitable reference equations, and standardised challenge procedures are essential when comparing occupational groups (Coates et al., 2017; Graham et al., 2019; Quanjer et al., 2012).</w:t>
      </w:r>
    </w:p>
    <w:p w14:paraId="0EA63D93" w14:textId="77777777" w:rsidR="00561792" w:rsidRPr="00725821" w:rsidRDefault="00561792" w:rsidP="003E1F28">
      <w:pPr>
        <w:spacing w:line="480" w:lineRule="auto"/>
        <w:jc w:val="both"/>
        <w:rPr>
          <w:rFonts w:ascii="Times New Roman" w:hAnsi="Times New Roman"/>
          <w:b/>
          <w:sz w:val="24"/>
          <w:szCs w:val="24"/>
        </w:rPr>
      </w:pPr>
    </w:p>
    <w:p w14:paraId="1A94F2F1" w14:textId="77777777" w:rsidR="00561792" w:rsidRPr="00725821" w:rsidRDefault="00561792" w:rsidP="003E1F28">
      <w:pPr>
        <w:spacing w:line="480" w:lineRule="auto"/>
        <w:jc w:val="both"/>
        <w:rPr>
          <w:rFonts w:ascii="Times New Roman" w:hAnsi="Times New Roman"/>
          <w:b/>
          <w:sz w:val="24"/>
          <w:szCs w:val="24"/>
        </w:rPr>
      </w:pPr>
    </w:p>
    <w:p w14:paraId="5F38C66A" w14:textId="77777777" w:rsidR="00561792" w:rsidRPr="00725821" w:rsidRDefault="00561792" w:rsidP="003E1F28">
      <w:pPr>
        <w:spacing w:line="480" w:lineRule="auto"/>
        <w:jc w:val="both"/>
        <w:rPr>
          <w:rFonts w:ascii="Times New Roman" w:hAnsi="Times New Roman"/>
          <w:b/>
          <w:sz w:val="24"/>
          <w:szCs w:val="24"/>
        </w:rPr>
      </w:pPr>
    </w:p>
    <w:p w14:paraId="2020B98F" w14:textId="77777777" w:rsidR="003E1F28" w:rsidRPr="00725821" w:rsidRDefault="003E1F28" w:rsidP="003E1F28">
      <w:pPr>
        <w:spacing w:line="480" w:lineRule="auto"/>
        <w:jc w:val="both"/>
        <w:rPr>
          <w:rFonts w:ascii="Times New Roman" w:hAnsi="Times New Roman"/>
          <w:b/>
          <w:sz w:val="24"/>
          <w:szCs w:val="24"/>
        </w:rPr>
      </w:pPr>
      <w:r w:rsidRPr="00725821">
        <w:t>Comparison of demographic parameters in the test participants</w:t>
      </w:r>
    </w:p>
    <w:p w14:paraId="227B6FC1" w14:textId="77777777" w:rsidR="003E1F28" w:rsidRPr="00725821" w:rsidRDefault="003E1F28" w:rsidP="003E1F28">
      <w:pPr>
        <w:spacing w:line="480" w:lineRule="auto"/>
        <w:jc w:val="both"/>
        <w:rPr>
          <w:rFonts w:ascii="Times New Roman" w:hAnsi="Times New Roman"/>
          <w:sz w:val="24"/>
          <w:szCs w:val="24"/>
        </w:rPr>
      </w:pPr>
      <w:r w:rsidRPr="00725821">
        <w:t>The mean age, weight, and height were 31.21 ± 0.67 years, 66.69 ± 0.38 kg, and 1.67 ± 0.00 m, respectively. No significant difference was reported (p &lt; 0.001).</w:t>
      </w:r>
    </w:p>
    <w:p w14:paraId="747AF98E" w14:textId="77777777" w:rsidR="00994CE5" w:rsidRPr="00725821" w:rsidRDefault="005F5448">
      <w:r w:rsidRPr="00725821">
        <w:t>Age, sex, height, and population-appropriate reference equations influence expected FEV₁ and FVC; therefore, similarity in participant characteristics supports group comparability but does not replace multivariable adjustment. Interpretation should be based on the lower limits of normal or z-scores rather than on raw values alone (Graham et al., 2019; Quanjer et al., 2012).</w:t>
      </w:r>
    </w:p>
    <w:p w14:paraId="2CC4B080" w14:textId="77777777" w:rsidR="003E1F28" w:rsidRPr="00725821" w:rsidRDefault="003E1F28" w:rsidP="003E1F28">
      <w:pPr>
        <w:spacing w:line="480" w:lineRule="auto"/>
        <w:jc w:val="both"/>
        <w:rPr>
          <w:rFonts w:ascii="Times New Roman" w:hAnsi="Times New Roman"/>
          <w:b/>
          <w:sz w:val="24"/>
          <w:szCs w:val="24"/>
        </w:rPr>
      </w:pPr>
      <w:r w:rsidRPr="00725821">
        <w:t>Baseline measurement of lung-function parameters in the test participants</w:t>
      </w:r>
    </w:p>
    <w:p w14:paraId="10B3F858" w14:textId="77777777" w:rsidR="003E1F28" w:rsidRPr="00725821" w:rsidRDefault="003E1F28" w:rsidP="003E1F28">
      <w:pPr>
        <w:spacing w:line="480" w:lineRule="auto"/>
        <w:jc w:val="both"/>
        <w:rPr>
          <w:rFonts w:ascii="Times New Roman" w:hAnsi="Times New Roman"/>
          <w:sz w:val="24"/>
          <w:szCs w:val="24"/>
        </w:rPr>
      </w:pPr>
      <w:r w:rsidRPr="00725821">
        <w:t>The mean baseline values for FVC, FEV₁, PEFR, and FEV₁% were 3.44 ± 0.08 L, 2.43 ± 0.07 L, 239.41 ± 4.99 L/min, and 70.92 ± 1.73%, respectively.</w:t>
      </w:r>
    </w:p>
    <w:p w14:paraId="634AF347" w14:textId="77777777" w:rsidR="00994CE5" w:rsidRPr="00725821" w:rsidRDefault="005F5448">
      <w:r w:rsidRPr="00725821">
        <w:t>At baseline, the absolute values cannot be classified as normal or abnormal without sex- and height-specific reference predictions and test-quality grades. Repeatability, acceptability, calibration, and reporting of FEV₁/FVC relative to the lower limit of normal are required before an obstructive pattern can be inferred (Graham et al., 2019; Quanjer et al., 2012).</w:t>
      </w:r>
    </w:p>
    <w:p w14:paraId="4D63C42F" w14:textId="77777777" w:rsidR="003E1F28" w:rsidRPr="00725821" w:rsidRDefault="003E1F28" w:rsidP="003E1F28">
      <w:pPr>
        <w:spacing w:before="240"/>
        <w:ind w:right="270"/>
        <w:jc w:val="both"/>
        <w:rPr>
          <w:rFonts w:ascii="Times New Roman" w:hAnsi="Times New Roman"/>
          <w:b/>
          <w:sz w:val="24"/>
          <w:szCs w:val="24"/>
        </w:rPr>
      </w:pPr>
      <w:r w:rsidRPr="00725821">
        <w:t>Administration of a 0.5 mg dose of histamine to the test participants</w:t>
      </w:r>
    </w:p>
    <w:p w14:paraId="076A0D4E" w14:textId="77777777" w:rsidR="003E1F28" w:rsidRPr="00725821" w:rsidRDefault="003E1F28" w:rsidP="003E1F28">
      <w:pPr>
        <w:spacing w:before="240" w:line="480" w:lineRule="auto"/>
        <w:ind w:right="270"/>
        <w:jc w:val="both"/>
        <w:rPr>
          <w:rFonts w:ascii="Times New Roman" w:hAnsi="Times New Roman"/>
          <w:sz w:val="24"/>
          <w:szCs w:val="24"/>
        </w:rPr>
      </w:pPr>
      <w:r w:rsidRPr="00725821">
        <w:t>The mean FVC, FEV₁, PEFR, and FEV₁% values after administration of 0.5 mg histamine were 3.18 ± 0.04 L, 2.18 ± 0.05 L, 220.17 ± 2.40 L/min, and 68.65 ± 1.25%, respectively. A significant difference was observed after administration of 0.5 mg histamine (p &lt; 0.001).</w:t>
      </w:r>
    </w:p>
    <w:p w14:paraId="0A8D0EBB" w14:textId="77777777" w:rsidR="00994CE5" w:rsidRPr="00725821" w:rsidRDefault="005F5448">
      <w:r w:rsidRPr="00725821">
        <w:t xml:space="preserve">The decline after 0.5 mg was consistent with a measurable response to a direct bronchoconstrictor, but interpretation should be based on the percentage decrease in FEV₁ from a reproducible baseline and on a complete dose–response curve. Direct challenge results are influenced by the delivery method, nebuliser output, inhalation protocol, and </w:t>
      </w:r>
      <w:r w:rsidRPr="00725821">
        <w:lastRenderedPageBreak/>
        <w:t>medication withholding (American Thoracic Society, 2000; Coates et al., 2017; Cockcroft &amp; Davis, 2006).</w:t>
      </w:r>
    </w:p>
    <w:p w14:paraId="607AC18C" w14:textId="77777777" w:rsidR="003E1F28" w:rsidRPr="00725821" w:rsidRDefault="003E1F28" w:rsidP="003E1F28">
      <w:pPr>
        <w:spacing w:before="240"/>
        <w:ind w:right="270"/>
        <w:jc w:val="both"/>
        <w:rPr>
          <w:rFonts w:ascii="Times New Roman" w:hAnsi="Times New Roman"/>
          <w:b/>
          <w:sz w:val="24"/>
          <w:szCs w:val="24"/>
        </w:rPr>
      </w:pPr>
      <w:r w:rsidRPr="00725821">
        <w:t>Administration of a 1.0 mg dose of histamine to the test participants</w:t>
      </w:r>
    </w:p>
    <w:p w14:paraId="605FF8BD" w14:textId="77777777" w:rsidR="003E1F28" w:rsidRPr="00725821" w:rsidRDefault="003E1F28" w:rsidP="003E1F28">
      <w:pPr>
        <w:spacing w:before="240" w:line="480" w:lineRule="auto"/>
        <w:ind w:right="270"/>
        <w:jc w:val="both"/>
        <w:rPr>
          <w:rFonts w:ascii="Times New Roman" w:hAnsi="Times New Roman"/>
          <w:b/>
          <w:sz w:val="24"/>
          <w:szCs w:val="24"/>
        </w:rPr>
      </w:pPr>
      <w:r w:rsidRPr="00725821">
        <w:t>The mean FVC, FEV₁, PEFR, and FEV₁% values after administration of 1.0 mg histamine were 2.98 ± 0.03 L, 1.94 ± 0.05 L, 205.76 ± 2.26 L/min, and 65.09 ± 1.30%, respectively. Reductions were observed in the lung-function parameters.</w:t>
      </w:r>
    </w:p>
    <w:p w14:paraId="5CD6658B" w14:textId="77777777" w:rsidR="00994CE5" w:rsidRPr="00725821" w:rsidRDefault="005F5448">
      <w:r w:rsidRPr="00725821">
        <w:t>The further reduction at 1.0 mg suggests a dose-related bronchoconstrictor response within the tested range. Nevertheless, airway hyperresponsiveness should be defined using a validated endpoint, such as PC₂₀ or a provocation dose, with explicit stopping criteria and post-bronchodilator recovery, rather than by dose-wise significance testing alone (American Thoracic Society, 2000; Coates et al., 2017; Cockcroft &amp; Davis, 2006).</w:t>
      </w:r>
    </w:p>
    <w:p w14:paraId="28025B24" w14:textId="77777777" w:rsidR="003E1F28" w:rsidRPr="00725821" w:rsidRDefault="003E1F28" w:rsidP="003E1F28">
      <w:pPr>
        <w:spacing w:before="240" w:after="240"/>
        <w:ind w:left="720" w:right="270" w:hanging="720"/>
        <w:jc w:val="both"/>
        <w:rPr>
          <w:rFonts w:ascii="Times New Roman" w:hAnsi="Times New Roman"/>
          <w:b/>
          <w:sz w:val="24"/>
          <w:szCs w:val="24"/>
        </w:rPr>
      </w:pPr>
      <w:r w:rsidRPr="00725821">
        <w:t>Comparison of lung-function parameters at baseline and after 0.5 mg and 1.0 mg histamine administration in the test participants</w:t>
      </w:r>
    </w:p>
    <w:p w14:paraId="7D6F3F27" w14:textId="77777777" w:rsidR="003E1F28" w:rsidRPr="00725821" w:rsidRDefault="003E1F28" w:rsidP="003E1F28">
      <w:pPr>
        <w:spacing w:line="480" w:lineRule="auto"/>
        <w:jc w:val="both"/>
        <w:rPr>
          <w:rFonts w:ascii="Times New Roman" w:hAnsi="Times New Roman"/>
          <w:sz w:val="24"/>
          <w:szCs w:val="24"/>
        </w:rPr>
      </w:pPr>
      <w:r w:rsidRPr="00725821">
        <w:t>Forced vital capacity (FVC): The mean FVC values at baseline and after administration of 0.5 mg and 1.0 mg histamine were 3.44 ± 0.08 L, 3.18 ± 0.04 L, and 2.98 ± 0.03 L, respectively. Significant differences were observed after administration of 0.5 mg and 1.0 mg histamine compared with the baseline measurement (p &lt; 0.001).</w:t>
      </w:r>
    </w:p>
    <w:p w14:paraId="2FD6BB85" w14:textId="77777777" w:rsidR="00994CE5" w:rsidRPr="00725821" w:rsidRDefault="005F5448">
      <w:r w:rsidRPr="00725821">
        <w:t>FVC may decrease during bronchial challenge because of airflow limitation, premature termination of forced expiration, or air trapping; therefore, a lower FVC is not independently diagnostic of restriction. Its interpretation should be integrated with manoeuvre quality, FEV₁, and the FEV₁/FVC ratio (Graham et al., 2019; Quanjer et al., 2012).</w:t>
      </w:r>
    </w:p>
    <w:p w14:paraId="5BE4BD00" w14:textId="77777777" w:rsidR="003E1F28" w:rsidRPr="00725821" w:rsidRDefault="003E1F28" w:rsidP="003E1F28">
      <w:pPr>
        <w:spacing w:line="480" w:lineRule="auto"/>
        <w:jc w:val="both"/>
        <w:rPr>
          <w:rFonts w:ascii="Times New Roman" w:hAnsi="Times New Roman"/>
          <w:sz w:val="24"/>
          <w:szCs w:val="24"/>
        </w:rPr>
      </w:pPr>
      <w:r w:rsidRPr="00725821">
        <w:t xml:space="preserve">Forced expiratory volume in one second (FEV₁): The mean FEV₁ values at baseline and after administration of 0.5 mg and 1.0 mg histamine were 2.43 ± 0.07 L, 2.18 ± 0.05 L, and 1.94 ± 0.05 L, respectively. A significant difference was reported in the test group compared </w:t>
      </w:r>
      <w:r w:rsidRPr="00725821">
        <w:lastRenderedPageBreak/>
        <w:t>with the control group (p &lt; 0.001).</w:t>
      </w:r>
      <w:r w:rsidRPr="00725821">
        <w:rPr>
          <w:noProof/>
        </w:rPr>
        <w:lastRenderedPageBreak/>
        <w:drawing>
          <wp:inline distT="0" distB="0" distL="0" distR="0" wp14:anchorId="0F2F9A70" wp14:editId="30447548">
            <wp:extent cx="5734050" cy="8229600"/>
            <wp:effectExtent l="0" t="0" r="0" b="0"/>
            <wp:docPr id="1027"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srcRect/>
                    <a:stretch/>
                  </pic:blipFill>
                  <pic:spPr>
                    <a:xfrm>
                      <a:off x="0" y="0"/>
                      <a:ext cx="5734050" cy="8229600"/>
                    </a:xfrm>
                    <a:prstGeom prst="rect">
                      <a:avLst/>
                    </a:prstGeom>
                    <a:ln>
                      <a:noFill/>
                    </a:ln>
                  </pic:spPr>
                </pic:pic>
              </a:graphicData>
            </a:graphic>
          </wp:inline>
        </w:drawing>
      </w:r>
    </w:p>
    <w:p w14:paraId="7133811D" w14:textId="77777777" w:rsidR="00994CE5" w:rsidRPr="00725821" w:rsidRDefault="005F5448">
      <w:r w:rsidRPr="00725821">
        <w:lastRenderedPageBreak/>
        <w:t>FEV₁ is the principal spirometric endpoint for direct bronchial-challenge testing because it is more reproducible than peak flow and permits calculation of the percentage decrease from baseline. A progressive reduction in FEV₁ across doses supports a dose–response pattern, but causal attribution to occupational pepper exposure requires a valid exposed-versus-control analysis and exposure characterisation (American Thoracic Society, 2000; Coates et al., 2017; Tarlo &amp; Lemiere, 2014).</w:t>
      </w:r>
    </w:p>
    <w:p w14:paraId="5FED26C0" w14:textId="77777777" w:rsidR="003E1F28" w:rsidRPr="00725821" w:rsidRDefault="003E1F28" w:rsidP="003E1F28">
      <w:pPr>
        <w:rPr>
          <w:rFonts w:ascii="Times New Roman" w:hAnsi="Times New Roman"/>
          <w:sz w:val="24"/>
          <w:szCs w:val="24"/>
        </w:rPr>
      </w:pPr>
      <w:r w:rsidRPr="00725821">
        <w:rPr>
          <w:noProof/>
        </w:rPr>
        <w:lastRenderedPageBreak/>
        <w:drawing>
          <wp:inline distT="0" distB="0" distL="0" distR="0" wp14:anchorId="4D5426A5" wp14:editId="305B5977">
            <wp:extent cx="5734050" cy="8229600"/>
            <wp:effectExtent l="0" t="0" r="0" b="0"/>
            <wp:docPr id="1028"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cstate="print"/>
                    <a:srcRect/>
                    <a:stretch/>
                  </pic:blipFill>
                  <pic:spPr>
                    <a:xfrm>
                      <a:off x="0" y="0"/>
                      <a:ext cx="5734050" cy="8229600"/>
                    </a:xfrm>
                    <a:prstGeom prst="rect">
                      <a:avLst/>
                    </a:prstGeom>
                    <a:ln>
                      <a:noFill/>
                    </a:ln>
                  </pic:spPr>
                </pic:pic>
              </a:graphicData>
            </a:graphic>
          </wp:inline>
        </w:drawing>
      </w:r>
    </w:p>
    <w:p w14:paraId="27F47F46" w14:textId="77777777" w:rsidR="003E1F28" w:rsidRPr="00725821" w:rsidRDefault="003E1F28" w:rsidP="003E1F28">
      <w:pPr>
        <w:spacing w:line="480" w:lineRule="auto"/>
        <w:jc w:val="both"/>
        <w:rPr>
          <w:rFonts w:ascii="Times New Roman" w:hAnsi="Times New Roman"/>
          <w:sz w:val="24"/>
          <w:szCs w:val="24"/>
        </w:rPr>
      </w:pPr>
      <w:r w:rsidRPr="00725821">
        <w:lastRenderedPageBreak/>
        <w:t>Forced expiratory volume in one second percentage (FEV₁%): The mean FEV₁% values at baseline and after administration of 0.5 mg and 1.0 mg histamine were 70.92 ± 1.73%, 68.65 ± 1.25%, and 65.09 ± 1.30%, respectively. A significant difference was reported in the test group compared with the control group (p &lt; 0.05).</w:t>
      </w:r>
    </w:p>
    <w:p w14:paraId="69C36D01" w14:textId="77777777" w:rsidR="00994CE5" w:rsidRPr="00725821" w:rsidRDefault="005F5448">
      <w:r w:rsidRPr="00725821">
        <w:t>The observed reduction in FEV₁% is compatible with increasing expiratory airflow limitation during the challenge; however, the manuscript should clearly define whether FEV₁% denotes FEV₁/FVC × 100 or percentage-predicted FEV₁. These measures are not interchangeable and should be interpreted against appropriate reference limits (Graham et al., 2019; Quanjer et al., 2012).</w:t>
      </w:r>
    </w:p>
    <w:p w14:paraId="0939B1A2" w14:textId="77777777" w:rsidR="003E1F28" w:rsidRPr="00725821" w:rsidRDefault="003E1F28" w:rsidP="003E1F28">
      <w:pPr>
        <w:rPr>
          <w:rFonts w:ascii="Times New Roman" w:hAnsi="Times New Roman"/>
          <w:sz w:val="24"/>
          <w:szCs w:val="24"/>
        </w:rPr>
      </w:pPr>
      <w:r w:rsidRPr="00725821">
        <w:rPr>
          <w:noProof/>
        </w:rPr>
        <w:lastRenderedPageBreak/>
        <w:drawing>
          <wp:inline distT="0" distB="0" distL="0" distR="0" wp14:anchorId="3B83F5AF" wp14:editId="5075110A">
            <wp:extent cx="5734050" cy="8229600"/>
            <wp:effectExtent l="0" t="0" r="0" b="0"/>
            <wp:docPr id="1029"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6" cstate="print"/>
                    <a:srcRect/>
                    <a:stretch/>
                  </pic:blipFill>
                  <pic:spPr>
                    <a:xfrm>
                      <a:off x="0" y="0"/>
                      <a:ext cx="5734050" cy="8229600"/>
                    </a:xfrm>
                    <a:prstGeom prst="rect">
                      <a:avLst/>
                    </a:prstGeom>
                    <a:ln>
                      <a:noFill/>
                    </a:ln>
                  </pic:spPr>
                </pic:pic>
              </a:graphicData>
            </a:graphic>
          </wp:inline>
        </w:drawing>
      </w:r>
    </w:p>
    <w:p w14:paraId="05604768" w14:textId="77777777" w:rsidR="003E1F28" w:rsidRPr="00725821" w:rsidRDefault="003E1F28" w:rsidP="00E36F13">
      <w:pPr>
        <w:spacing w:line="480" w:lineRule="auto"/>
        <w:jc w:val="both"/>
        <w:rPr>
          <w:rFonts w:ascii="Times New Roman" w:hAnsi="Times New Roman"/>
          <w:sz w:val="24"/>
          <w:szCs w:val="24"/>
        </w:rPr>
      </w:pPr>
      <w:r w:rsidRPr="00725821">
        <w:lastRenderedPageBreak/>
        <w:t>Peak expiratory flow rate (PEFR): The mean PEFR values at baseline and after administration of 0.5 mg and 1.0 mg histamine were 239.41 ± 4.99 L/min, 220.17 ± 2.40 L/min, and 205.76 ± 2.26 L/min, respectively. A significant difference was reported in the test group compared with the control group (p &lt; 0.001).</w:t>
      </w:r>
    </w:p>
    <w:p w14:paraId="59A0130F" w14:textId="77777777" w:rsidR="00994CE5" w:rsidRPr="00725821" w:rsidRDefault="005F5448">
      <w:r w:rsidRPr="00725821">
        <w:t>PEFR is effort-dependent and more variable than FEV₁; therefore, it is best treated as a supportive rather than a definitive challenge endpoint. In occupational asthma assessment, serial peak-flow monitoring can demonstrate work-related variability, whereas controlled bronchial challenge generally relies on standardised FEV₁ responses (Coates et al., 2017; Nicholson et al., 2005; Tarlo &amp; Lemiere, 2014).</w:t>
      </w:r>
    </w:p>
    <w:p w14:paraId="6D07FBB7" w14:textId="77777777" w:rsidR="003E1F28" w:rsidRPr="00725821" w:rsidRDefault="003E1F28" w:rsidP="003E1F28">
      <w:pPr>
        <w:rPr>
          <w:rFonts w:ascii="Times New Roman" w:hAnsi="Times New Roman"/>
          <w:sz w:val="24"/>
          <w:szCs w:val="24"/>
        </w:rPr>
      </w:pPr>
      <w:r w:rsidRPr="00725821">
        <w:rPr>
          <w:noProof/>
        </w:rPr>
        <w:lastRenderedPageBreak/>
        <w:drawing>
          <wp:inline distT="0" distB="0" distL="0" distR="0" wp14:anchorId="361B9E00" wp14:editId="5C893905">
            <wp:extent cx="5943600" cy="7486650"/>
            <wp:effectExtent l="0" t="0" r="0" b="0"/>
            <wp:docPr id="1030"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7" cstate="print"/>
                    <a:srcRect/>
                    <a:stretch/>
                  </pic:blipFill>
                  <pic:spPr>
                    <a:xfrm>
                      <a:off x="0" y="0"/>
                      <a:ext cx="5943600" cy="7486650"/>
                    </a:xfrm>
                    <a:prstGeom prst="rect">
                      <a:avLst/>
                    </a:prstGeom>
                    <a:ln>
                      <a:noFill/>
                    </a:ln>
                  </pic:spPr>
                </pic:pic>
              </a:graphicData>
            </a:graphic>
          </wp:inline>
        </w:drawing>
      </w:r>
    </w:p>
    <w:p w14:paraId="66509071" w14:textId="77777777" w:rsidR="003E1F28" w:rsidRPr="00725821" w:rsidRDefault="003E1F28" w:rsidP="003E1F28">
      <w:pPr>
        <w:rPr>
          <w:rFonts w:ascii="Times New Roman" w:hAnsi="Times New Roman"/>
          <w:b/>
          <w:sz w:val="24"/>
          <w:szCs w:val="24"/>
        </w:rPr>
      </w:pPr>
      <w:r w:rsidRPr="00725821">
        <w:lastRenderedPageBreak/>
        <w:t>4.2</w:t>
      </w:r>
      <w:r w:rsidRPr="00725821">
        <w:tab/>
        <w:t>Correlation between lung-function parameters and duration of exposure</w:t>
      </w:r>
      <w:r w:rsidRPr="00725821">
        <w:rPr>
          <w:rFonts w:ascii="Times New Roman" w:hAnsi="Times New Roman"/>
          <w:noProof/>
          <w:sz w:val="24"/>
          <w:szCs w:val="24"/>
        </w:rPr>
        <w:drawing>
          <wp:inline distT="0" distB="0" distL="0" distR="0" wp14:anchorId="175D588C" wp14:editId="731AC3A1">
            <wp:extent cx="5593557" cy="7458075"/>
            <wp:effectExtent l="0" t="0" r="0" b="0"/>
            <wp:docPr id="1031"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8" cstate="print"/>
                    <a:srcRect/>
                    <a:stretch/>
                  </pic:blipFill>
                  <pic:spPr>
                    <a:xfrm>
                      <a:off x="0" y="0"/>
                      <a:ext cx="5593557" cy="7458075"/>
                    </a:xfrm>
                    <a:prstGeom prst="rect">
                      <a:avLst/>
                    </a:prstGeom>
                    <a:ln>
                      <a:noFill/>
                    </a:ln>
                  </pic:spPr>
                </pic:pic>
              </a:graphicData>
            </a:graphic>
          </wp:inline>
        </w:drawing>
      </w:r>
    </w:p>
    <w:p w14:paraId="3BC22DB8" w14:textId="77777777" w:rsidR="00994CE5" w:rsidRPr="00725821" w:rsidRDefault="005F5448">
      <w:r w:rsidRPr="00725821">
        <w:lastRenderedPageBreak/>
        <w:t>The reported correlations between exposure duration and the spirometric indices were not statistically significant. Although an association between exposure duration and lung-function decline would be biologically compatible with cumulative workplace exposure, correlation alone would not establish causation and could be confounded by age, smoking, baseline lung function, exposure intensity, or use of protective equipment. Occupational-asthma guidance recommends detailed exposure histories and objective work-related testing before impairment is attributed to a specific agent (Nicholson et al., 2005; Tarlo &amp; Lemiere, 2014; Vandenplas et al., 2011).</w:t>
      </w:r>
    </w:p>
    <w:p w14:paraId="2360D08D" w14:textId="77777777" w:rsidR="003E1F28" w:rsidRPr="00725821" w:rsidRDefault="003E1F28" w:rsidP="003E1F28">
      <w:pPr>
        <w:rPr>
          <w:rFonts w:ascii="Times New Roman" w:hAnsi="Times New Roman"/>
          <w:sz w:val="24"/>
          <w:szCs w:val="24"/>
        </w:rPr>
      </w:pPr>
      <w:r w:rsidRPr="00725821">
        <w:rPr>
          <w:rFonts w:ascii="Times New Roman" w:hAnsi="Times New Roman"/>
          <w:noProof/>
          <w:sz w:val="24"/>
          <w:szCs w:val="24"/>
        </w:rPr>
        <w:lastRenderedPageBreak/>
        <w:drawing>
          <wp:inline distT="0" distB="0" distL="0" distR="0" wp14:anchorId="64CFF058" wp14:editId="18445FB9">
            <wp:extent cx="5943600" cy="7653020"/>
            <wp:effectExtent l="0" t="0" r="0" b="0"/>
            <wp:docPr id="1032"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9" cstate="print"/>
                    <a:srcRect/>
                    <a:stretch/>
                  </pic:blipFill>
                  <pic:spPr>
                    <a:xfrm>
                      <a:off x="0" y="0"/>
                      <a:ext cx="5943600" cy="7653020"/>
                    </a:xfrm>
                    <a:prstGeom prst="rect">
                      <a:avLst/>
                    </a:prstGeom>
                    <a:ln>
                      <a:noFill/>
                    </a:ln>
                  </pic:spPr>
                </pic:pic>
              </a:graphicData>
            </a:graphic>
          </wp:inline>
        </w:drawing>
      </w:r>
      <w:r w:rsidRPr="00725821">
        <w:rPr>
          <w:rFonts w:ascii="Times New Roman" w:hAnsi="Times New Roman"/>
          <w:sz w:val="24"/>
          <w:szCs w:val="24"/>
        </w:rPr>
        <w:br w:type="page"/>
      </w:r>
    </w:p>
    <w:p w14:paraId="542D697E" w14:textId="77777777" w:rsidR="003E1F28" w:rsidRPr="00725821" w:rsidRDefault="003E1F28" w:rsidP="003E1F28">
      <w:pPr>
        <w:rPr>
          <w:rFonts w:ascii="Times New Roman" w:hAnsi="Times New Roman"/>
          <w:sz w:val="24"/>
          <w:szCs w:val="24"/>
        </w:rPr>
      </w:pPr>
      <w:r w:rsidRPr="00725821">
        <w:rPr>
          <w:rFonts w:ascii="Times New Roman" w:hAnsi="Times New Roman"/>
          <w:noProof/>
          <w:sz w:val="24"/>
          <w:szCs w:val="24"/>
        </w:rPr>
        <w:lastRenderedPageBreak/>
        <w:drawing>
          <wp:inline distT="0" distB="0" distL="0" distR="0" wp14:anchorId="12190A6F" wp14:editId="65B21013">
            <wp:extent cx="5943600" cy="7653020"/>
            <wp:effectExtent l="0" t="0" r="0" b="0"/>
            <wp:docPr id="1033"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0" cstate="print"/>
                    <a:srcRect/>
                    <a:stretch/>
                  </pic:blipFill>
                  <pic:spPr>
                    <a:xfrm>
                      <a:off x="0" y="0"/>
                      <a:ext cx="5943600" cy="7653020"/>
                    </a:xfrm>
                    <a:prstGeom prst="rect">
                      <a:avLst/>
                    </a:prstGeom>
                    <a:ln>
                      <a:noFill/>
                    </a:ln>
                  </pic:spPr>
                </pic:pic>
              </a:graphicData>
            </a:graphic>
          </wp:inline>
        </w:drawing>
      </w:r>
      <w:r w:rsidRPr="00725821">
        <w:rPr>
          <w:rFonts w:ascii="Times New Roman" w:hAnsi="Times New Roman"/>
          <w:sz w:val="24"/>
          <w:szCs w:val="24"/>
        </w:rPr>
        <w:br w:type="page"/>
      </w:r>
    </w:p>
    <w:p w14:paraId="6D34F06B" w14:textId="77777777" w:rsidR="003E1F28" w:rsidRPr="00725821" w:rsidRDefault="003E1F28" w:rsidP="00E36F13">
      <w:pPr>
        <w:rPr>
          <w:rFonts w:ascii="Times New Roman" w:hAnsi="Times New Roman"/>
          <w:sz w:val="24"/>
          <w:szCs w:val="24"/>
        </w:rPr>
      </w:pPr>
      <w:r w:rsidRPr="00725821">
        <w:rPr>
          <w:noProof/>
        </w:rPr>
        <w:lastRenderedPageBreak/>
        <w:drawing>
          <wp:inline distT="0" distB="0" distL="0" distR="0" wp14:anchorId="7B1F9B3D" wp14:editId="06937A69">
            <wp:extent cx="5943600" cy="7653020"/>
            <wp:effectExtent l="0" t="0" r="0" b="0"/>
            <wp:docPr id="1034"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1" cstate="print"/>
                    <a:srcRect/>
                    <a:stretch/>
                  </pic:blipFill>
                  <pic:spPr>
                    <a:xfrm>
                      <a:off x="0" y="0"/>
                      <a:ext cx="5943600" cy="7653020"/>
                    </a:xfrm>
                    <a:prstGeom prst="rect">
                      <a:avLst/>
                    </a:prstGeom>
                    <a:ln>
                      <a:noFill/>
                    </a:ln>
                  </pic:spPr>
                </pic:pic>
              </a:graphicData>
            </a:graphic>
          </wp:inline>
        </w:drawing>
      </w:r>
    </w:p>
    <w:p w14:paraId="22F83D6C" w14:textId="77777777" w:rsidR="003E1F28" w:rsidRPr="00725821" w:rsidRDefault="00E36F13" w:rsidP="003E1F28">
      <w:pPr>
        <w:spacing w:before="240" w:line="480" w:lineRule="auto"/>
        <w:ind w:right="270"/>
        <w:jc w:val="both"/>
        <w:rPr>
          <w:rFonts w:ascii="Times New Roman" w:hAnsi="Times New Roman"/>
          <w:b/>
          <w:sz w:val="24"/>
          <w:szCs w:val="24"/>
        </w:rPr>
      </w:pPr>
      <w:r w:rsidRPr="00725821">
        <w:lastRenderedPageBreak/>
        <w:t>DISCUSSION</w:t>
      </w:r>
    </w:p>
    <w:p w14:paraId="28591826" w14:textId="77777777" w:rsidR="003E1F28" w:rsidRPr="00725821" w:rsidRDefault="003E1F28" w:rsidP="003E1F28">
      <w:pPr>
        <w:pStyle w:val="NormalWeb"/>
        <w:spacing w:before="0" w:beforeAutospacing="0" w:line="480" w:lineRule="auto"/>
        <w:jc w:val="both"/>
      </w:pPr>
      <w:r w:rsidRPr="00725821">
        <w:t xml:space="preserve">The results of this study indicate that </w:t>
      </w:r>
      <w:r w:rsidRPr="00725821">
        <w:rPr>
          <w:i/>
        </w:rPr>
        <w:t>Capsicum annuum</w:t>
      </w:r>
      <w:r w:rsidRPr="00725821">
        <w:t xml:space="preserve"> vendors in Calabar Municipality experienced reductions in FVC, FEV₁, PEFR, and FEV₁% following histamine bronchoprovocation. The observed changes suggest increased airway responsiveness among the exposed participants; however, the available results do not establish that occupational pepper exposure caused the response. Capsaicin can stimulate sensory nerve endings through transient receptor potential vanilloid 1 (TRPV1) channels and may thereby provoke cough and airway irritation (Belvisi &amp; Birrell, 2017; Mazzone &amp; Undem, 2016). Respiratory effects have also been reported among workers exposed to spice dust. Van der Walt et al. (2010) described work-related allergy and asthma among spice-mill workers, while Blanc et al. (1991) found a higher prevalence of cough among hot-pepper workers, although baseline FEV₁ and FVC did not differ between exposed and non-exposed groups.</w:t>
      </w:r>
    </w:p>
    <w:p w14:paraId="7D004151" w14:textId="77777777" w:rsidR="00994CE5" w:rsidRPr="00725821" w:rsidRDefault="005F5448">
      <w:pPr>
        <w:pStyle w:val="Body"/>
      </w:pPr>
      <w:r w:rsidRPr="00725821">
        <w:t>The dose-related spirometric response is consistent with non-specific airway hyperresponsiveness, a physiological trait that may occur in asthma and other airway conditions. Capsaicin-related sensory activation provides a plausible mechanism for cough and airway irritation through TRPV1-positive vagal afferents, but the study design does not distinguish sensory irritation, pre-existing asthma, and occupational sensitisation (Belvisi &amp; Birrell, 2017; Cockcroft &amp; Davis, 2006; Mazzone &amp; Undem, 2016).</w:t>
      </w:r>
    </w:p>
    <w:p w14:paraId="0DD6C6A0" w14:textId="77777777" w:rsidR="00790ADA" w:rsidRPr="00725821" w:rsidRDefault="003E1F28" w:rsidP="00441B6F">
      <w:pPr>
        <w:pStyle w:val="Body"/>
        <w:spacing w:after="0"/>
        <w:rPr>
          <w:rFonts w:ascii="Arial" w:hAnsi="Arial" w:cs="Arial"/>
          <w:sz w:val="24"/>
          <w:szCs w:val="24"/>
        </w:rPr>
      </w:pPr>
      <w:r w:rsidRPr="00725821">
        <w:t xml:space="preserve">The progressive reductions in spirometric indices with increasing histamine dose support a dose-related airway response in the study participants. Histamine challenge testing is used to evaluate airway responsiveness, and a 20% decrease in FEV₁ is a recognised endpoint in bronchial-challenge assessment (Joos et al., 2003). Moreover, the reduction in PEFR after histamine administration reflects compromised expiratory flow, which may be related to airway smooth-muscle constriction, airway-wall oedema, or mucus hypersecretion. Work-related respiratory effects have been reported among workers exposed to spice-processing aerosols (van der Walt et al., 2010). Although some spirometric values may have remained within expected ranges, the relative reductions from baseline warrant cautious interpretation and support the importance of early respiratory assessment among workers exposed to inhalable irritants. Improved workplace ventilation, use of personal protective equipment (PPE), and regular medical screening may help to reduce occupational respiratory risk (Tarlo &amp; Lemiere, 2014). The present findings therefore indicate an association between </w:t>
      </w:r>
      <w:r w:rsidRPr="00725821">
        <w:lastRenderedPageBreak/>
        <w:t xml:space="preserve">occupational exposure to </w:t>
      </w:r>
      <w:r w:rsidRPr="00725821">
        <w:rPr>
          <w:i/>
        </w:rPr>
        <w:t>Capsicum annuum</w:t>
      </w:r>
      <w:r w:rsidRPr="00725821">
        <w:t xml:space="preserve"> powder and increased airway responsiveness, but they do not establish causation.</w:t>
      </w:r>
    </w:p>
    <w:p w14:paraId="038EA7E5" w14:textId="77777777" w:rsidR="00994CE5" w:rsidRPr="00725821" w:rsidRDefault="005F5448">
      <w:pPr>
        <w:pStyle w:val="Body"/>
      </w:pPr>
      <w:r w:rsidRPr="00725821">
        <w:t>Accordingly, the findings should be presented as an association between occupational pepper exposure and an enhanced response to histamine rather than as proof of irreversible lung damage. Confirmation would require standardised PC₂₀ calculations, quality-graded spirometry, exposure quantification, control of major confounders, and preferably serial or longitudinal measurements across working and non-working periods (Coates et al., 2017; Graham et al., 2019; Nicholson et al., 2005). Exposure reduction, ventilation, respiratory protection, and early clinical evaluation are consistent with established occupational-asthma management principles (Tarlo &amp; Lemiere, 2014; Vandenplas et al., 2011).</w:t>
      </w:r>
    </w:p>
    <w:p w14:paraId="12CB9F69" w14:textId="77777777" w:rsidR="00790ADA" w:rsidRPr="00725821" w:rsidRDefault="00000F8F" w:rsidP="00441B6F">
      <w:pPr>
        <w:pStyle w:val="ConcHead"/>
        <w:spacing w:after="0"/>
        <w:jc w:val="both"/>
        <w:rPr>
          <w:rFonts w:ascii="Arial" w:hAnsi="Arial" w:cs="Arial"/>
        </w:rPr>
      </w:pPr>
      <w:r w:rsidRPr="00725821">
        <w:t>4. Conclusion</w:t>
      </w:r>
    </w:p>
    <w:p w14:paraId="6657F6DC" w14:textId="07EFA9C6" w:rsidR="00561792" w:rsidRPr="00725821" w:rsidRDefault="00725821" w:rsidP="0081764D">
      <w:pPr>
        <w:spacing w:before="100" w:beforeAutospacing="1" w:after="100" w:afterAutospacing="1"/>
        <w:outlineLvl w:val="1"/>
        <w:rPr>
          <w:rFonts w:ascii="Times New Roman" w:hAnsi="Times New Roman"/>
          <w:b/>
          <w:bCs/>
          <w:sz w:val="36"/>
          <w:szCs w:val="36"/>
          <w:lang w:eastAsia="en-GB"/>
        </w:rPr>
      </w:pPr>
      <w:r w:rsidRPr="00725821">
        <w:t>The study demonstrated progressive reductions in FVC, FEV</w:t>
      </w:r>
      <w:r w:rsidRPr="00725821">
        <w:rPr>
          <w:rFonts w:ascii="Cambria Math" w:hAnsi="Cambria Math" w:cs="Cambria Math"/>
        </w:rPr>
        <w:t>₁</w:t>
      </w:r>
      <w:r w:rsidRPr="00725821">
        <w:t>, PEFR, and FEV</w:t>
      </w:r>
      <w:r w:rsidRPr="00725821">
        <w:rPr>
          <w:rFonts w:ascii="Cambria Math" w:hAnsi="Cambria Math" w:cs="Cambria Math"/>
        </w:rPr>
        <w:t>₁</w:t>
      </w:r>
      <w:r w:rsidRPr="00725821">
        <w:t xml:space="preserve">% among </w:t>
      </w:r>
      <w:r w:rsidRPr="00725821">
        <w:rPr>
          <w:i/>
          <w:iCs/>
        </w:rPr>
        <w:t>Capsicum annuum</w:t>
      </w:r>
      <w:r w:rsidRPr="00725821">
        <w:t xml:space="preserve"> vendors after incremental histamine administration. The mean FEV</w:t>
      </w:r>
      <w:r w:rsidRPr="00725821">
        <w:rPr>
          <w:rFonts w:ascii="Cambria Math" w:hAnsi="Cambria Math" w:cs="Cambria Math"/>
        </w:rPr>
        <w:t>₁</w:t>
      </w:r>
      <w:r w:rsidRPr="00725821">
        <w:t xml:space="preserve"> decreased from 2.43 </w:t>
      </w:r>
      <w:r w:rsidRPr="00725821">
        <w:rPr>
          <w:rFonts w:cs="Helvetica"/>
        </w:rPr>
        <w:t>±</w:t>
      </w:r>
      <w:r w:rsidRPr="00725821">
        <w:t xml:space="preserve"> 0.07 L at baseline to 1.94 </w:t>
      </w:r>
      <w:r w:rsidRPr="00725821">
        <w:rPr>
          <w:rFonts w:cs="Helvetica"/>
        </w:rPr>
        <w:t>±</w:t>
      </w:r>
      <w:r w:rsidRPr="00725821">
        <w:t xml:space="preserve"> 0.05 L after 1.0 mg histamine, while FVC and PEFR also declined across the tested doses. This pattern is consistent with increased airway responsiveness within the exposed group. Practical measures, including improved workplace ventilation, reduced generation and inhalation of pepper dust, appropriate respiratory protective equipment, occupational-health education, and periodic </w:t>
      </w:r>
      <w:proofErr w:type="spellStart"/>
      <w:r w:rsidRPr="00725821">
        <w:t>spirometric</w:t>
      </w:r>
      <w:proofErr w:type="spellEnd"/>
      <w:r w:rsidRPr="00725821">
        <w:t xml:space="preserve"> screening, may help protect vendors. Further studies using clearly defined group sizes, </w:t>
      </w:r>
      <w:proofErr w:type="spellStart"/>
      <w:r w:rsidRPr="00725821">
        <w:t>standardised</w:t>
      </w:r>
      <w:proofErr w:type="spellEnd"/>
      <w:r w:rsidRPr="00725821">
        <w:t xml:space="preserve"> PC</w:t>
      </w:r>
      <w:r w:rsidRPr="00725821">
        <w:rPr>
          <w:rFonts w:ascii="Cambria Math" w:hAnsi="Cambria Math" w:cs="Cambria Math"/>
        </w:rPr>
        <w:t>₂₀</w:t>
      </w:r>
      <w:r w:rsidRPr="00725821">
        <w:t xml:space="preserve"> reporting, exposure quantification, control of major confounders, and longitudinal follow-up are required to clarify the clinical and occupational significance of these findings.</w:t>
      </w:r>
    </w:p>
    <w:p w14:paraId="57A645F0" w14:textId="77777777" w:rsidR="0081764D" w:rsidRPr="00725821" w:rsidRDefault="0081764D" w:rsidP="0081764D">
      <w:pPr>
        <w:spacing w:before="100" w:beforeAutospacing="1" w:after="100" w:afterAutospacing="1"/>
        <w:outlineLvl w:val="1"/>
        <w:rPr>
          <w:rFonts w:ascii="Times New Roman" w:hAnsi="Times New Roman"/>
          <w:b/>
          <w:bCs/>
          <w:sz w:val="36"/>
          <w:szCs w:val="36"/>
          <w:lang w:eastAsia="en-GB"/>
        </w:rPr>
      </w:pPr>
      <w:r w:rsidRPr="00725821">
        <w:t>Limitations</w:t>
      </w:r>
    </w:p>
    <w:p w14:paraId="20D5F73C" w14:textId="104A0484" w:rsidR="0081764D" w:rsidRPr="00725821" w:rsidRDefault="0081764D" w:rsidP="0081764D">
      <w:pPr>
        <w:spacing w:before="100" w:beforeAutospacing="1" w:after="100" w:afterAutospacing="1"/>
        <w:rPr>
          <w:rFonts w:ascii="Times New Roman" w:hAnsi="Times New Roman"/>
          <w:sz w:val="24"/>
          <w:szCs w:val="24"/>
          <w:lang w:eastAsia="en-GB"/>
        </w:rPr>
      </w:pPr>
      <w:r w:rsidRPr="00725821">
        <w:t xml:space="preserve">This study was limited by its cross-sectional design, incomplete presentation of group sizes, unclear control-group results, and absence of reported PC₂₀ values. Exposure intensity, smoking status, PPE use, and other potential confounders were not adequately described. </w:t>
      </w:r>
      <w:r w:rsidR="001A6FE2" w:rsidRPr="00725821">
        <w:t xml:space="preserve">Future studies should adopt longitudinal or prospective cohort designs to better establish the temporal relationship between occupational exposure to </w:t>
      </w:r>
      <w:r w:rsidR="001A6FE2" w:rsidRPr="00725821">
        <w:rPr>
          <w:i/>
          <w:iCs/>
        </w:rPr>
        <w:t>Capsicum annuum</w:t>
      </w:r>
      <w:r w:rsidR="001A6FE2" w:rsidRPr="00725821">
        <w:t xml:space="preserve"> powder and changes in pulmonary function. Larger, well-</w:t>
      </w:r>
      <w:proofErr w:type="spellStart"/>
      <w:r w:rsidR="001A6FE2" w:rsidRPr="00725821">
        <w:t>characterised</w:t>
      </w:r>
      <w:proofErr w:type="spellEnd"/>
      <w:r w:rsidR="001A6FE2" w:rsidRPr="00725821">
        <w:t xml:space="preserve"> study populations with clearly defined exposed and control groups are recommended to improve the </w:t>
      </w:r>
      <w:proofErr w:type="spellStart"/>
      <w:r w:rsidR="001A6FE2" w:rsidRPr="00725821">
        <w:t>generalisability</w:t>
      </w:r>
      <w:proofErr w:type="spellEnd"/>
      <w:r w:rsidR="001A6FE2" w:rsidRPr="00725821">
        <w:t xml:space="preserve"> of the findings.</w:t>
      </w:r>
    </w:p>
    <w:p w14:paraId="4B7A739D" w14:textId="77777777" w:rsidR="0081764D" w:rsidRPr="00725821" w:rsidRDefault="0081764D" w:rsidP="0081764D">
      <w:pPr>
        <w:spacing w:before="100" w:beforeAutospacing="1" w:after="100" w:afterAutospacing="1"/>
        <w:rPr>
          <w:rFonts w:ascii="Times New Roman" w:hAnsi="Times New Roman"/>
          <w:sz w:val="24"/>
          <w:szCs w:val="24"/>
          <w:lang w:eastAsia="en-GB"/>
        </w:rPr>
      </w:pPr>
    </w:p>
    <w:p w14:paraId="33B23E6E" w14:textId="77777777" w:rsidR="00860000" w:rsidRPr="00725821" w:rsidRDefault="00860000" w:rsidP="00441B6F">
      <w:pPr>
        <w:pStyle w:val="ReferHead"/>
        <w:spacing w:after="0"/>
        <w:jc w:val="both"/>
        <w:rPr>
          <w:rFonts w:ascii="Arial" w:hAnsi="Arial" w:cs="Arial"/>
          <w:bCs/>
        </w:rPr>
      </w:pPr>
      <w:r w:rsidRPr="00725821">
        <w:rPr>
          <w:rFonts w:ascii="Arial" w:hAnsi="Arial" w:cs="Arial"/>
          <w:bCs/>
        </w:rPr>
        <w:t>Competing interests</w:t>
      </w:r>
    </w:p>
    <w:p w14:paraId="5811C71E" w14:textId="77777777" w:rsidR="00371FB6" w:rsidRPr="00725821" w:rsidRDefault="00E66E10" w:rsidP="00441B6F">
      <w:pPr>
        <w:pStyle w:val="ReferHead"/>
        <w:spacing w:after="0"/>
        <w:jc w:val="both"/>
        <w:rPr>
          <w:rFonts w:ascii="Arial" w:hAnsi="Arial" w:cs="Arial"/>
          <w:b w:val="0"/>
          <w:caps w:val="0"/>
          <w:sz w:val="20"/>
        </w:rPr>
      </w:pPr>
      <w:r w:rsidRPr="00725821">
        <w:rPr>
          <w:rFonts w:ascii="Arial" w:hAnsi="Arial" w:cs="Arial"/>
          <w:b w:val="0"/>
          <w:caps w:val="0"/>
          <w:sz w:val="20"/>
        </w:rPr>
        <w:t>“Authors have declared that no competing interests exist.”</w:t>
      </w:r>
    </w:p>
    <w:p w14:paraId="3D10BCD7" w14:textId="77777777" w:rsidR="00561792" w:rsidRPr="00725821" w:rsidRDefault="00561792" w:rsidP="00441B6F">
      <w:pPr>
        <w:pStyle w:val="ReferHead"/>
        <w:spacing w:after="0"/>
        <w:jc w:val="both"/>
        <w:rPr>
          <w:rFonts w:ascii="Arial" w:hAnsi="Arial" w:cs="Arial"/>
          <w:bCs/>
        </w:rPr>
      </w:pPr>
    </w:p>
    <w:p w14:paraId="39EF36A4" w14:textId="77777777" w:rsidR="00561792" w:rsidRPr="00725821" w:rsidRDefault="00561792" w:rsidP="00441B6F">
      <w:pPr>
        <w:pStyle w:val="ReferHead"/>
        <w:spacing w:after="0"/>
        <w:jc w:val="both"/>
        <w:rPr>
          <w:rFonts w:ascii="Arial" w:hAnsi="Arial" w:cs="Arial"/>
          <w:bCs/>
        </w:rPr>
      </w:pPr>
    </w:p>
    <w:p w14:paraId="2349E4A3" w14:textId="77777777" w:rsidR="0081764D" w:rsidRPr="00725821" w:rsidRDefault="0081764D" w:rsidP="0081764D">
      <w:pPr>
        <w:pStyle w:val="DefAcrHead"/>
        <w:spacing w:after="0"/>
        <w:jc w:val="both"/>
        <w:rPr>
          <w:rFonts w:ascii="Arial" w:hAnsi="Arial" w:cs="Arial"/>
        </w:rPr>
      </w:pPr>
      <w:r w:rsidRPr="00725821">
        <w:rPr>
          <w:b w:val="0"/>
        </w:rPr>
        <w:t>Definitions, Acronyms, and Abbreviations</w:t>
      </w:r>
    </w:p>
    <w:p w14:paraId="64D50972" w14:textId="77777777" w:rsidR="0081764D" w:rsidRPr="00725821" w:rsidRDefault="0081764D" w:rsidP="0081764D">
      <w:pPr>
        <w:rPr>
          <w:rFonts w:ascii="Times New Roman" w:hAnsi="Times New Roman"/>
          <w:sz w:val="24"/>
          <w:szCs w:val="24"/>
        </w:rPr>
      </w:pPr>
      <w:r w:rsidRPr="00725821">
        <w:rPr>
          <w:i/>
        </w:rPr>
        <w:t>Capsicum annuum</w:t>
      </w:r>
      <w:r w:rsidRPr="00725821">
        <w:t xml:space="preserve"> – Chilli pepper</w:t>
      </w:r>
    </w:p>
    <w:p w14:paraId="5BD83826" w14:textId="77777777" w:rsidR="0081764D" w:rsidRPr="00725821" w:rsidRDefault="0081764D" w:rsidP="0081764D">
      <w:pPr>
        <w:rPr>
          <w:rFonts w:ascii="Times New Roman" w:hAnsi="Times New Roman"/>
          <w:sz w:val="24"/>
          <w:szCs w:val="24"/>
        </w:rPr>
      </w:pPr>
      <w:r w:rsidRPr="00725821">
        <w:rPr>
          <w:rFonts w:ascii="Times New Roman" w:hAnsi="Times New Roman"/>
          <w:bCs/>
          <w:sz w:val="24"/>
          <w:szCs w:val="24"/>
        </w:rPr>
        <w:t>COPD</w:t>
      </w:r>
      <w:r w:rsidRPr="00725821">
        <w:rPr>
          <w:rFonts w:ascii="Times New Roman" w:hAnsi="Times New Roman"/>
          <w:sz w:val="24"/>
          <w:szCs w:val="24"/>
        </w:rPr>
        <w:t xml:space="preserve"> – Chronic Obstructive Pulmonary Disease </w:t>
      </w:r>
    </w:p>
    <w:p w14:paraId="10EEEC90" w14:textId="77777777" w:rsidR="0081764D" w:rsidRPr="00725821" w:rsidRDefault="0081764D" w:rsidP="0081764D">
      <w:pPr>
        <w:rPr>
          <w:rFonts w:ascii="Times New Roman" w:hAnsi="Times New Roman"/>
          <w:sz w:val="24"/>
          <w:szCs w:val="24"/>
        </w:rPr>
      </w:pPr>
      <w:r w:rsidRPr="00725821">
        <w:rPr>
          <w:rFonts w:ascii="Times New Roman" w:hAnsi="Times New Roman"/>
          <w:bCs/>
          <w:sz w:val="24"/>
          <w:szCs w:val="24"/>
        </w:rPr>
        <w:t>EDTA</w:t>
      </w:r>
      <w:r w:rsidRPr="00725821">
        <w:rPr>
          <w:rFonts w:ascii="Times New Roman" w:hAnsi="Times New Roman"/>
          <w:sz w:val="24"/>
          <w:szCs w:val="24"/>
        </w:rPr>
        <w:t xml:space="preserve"> – Ethylenediaminetetraacetic Acid </w:t>
      </w:r>
    </w:p>
    <w:p w14:paraId="38F61339" w14:textId="77777777" w:rsidR="0081764D" w:rsidRPr="00725821" w:rsidRDefault="0081764D" w:rsidP="0081764D">
      <w:pPr>
        <w:rPr>
          <w:rFonts w:ascii="Times New Roman" w:hAnsi="Times New Roman"/>
          <w:sz w:val="24"/>
          <w:szCs w:val="24"/>
        </w:rPr>
      </w:pPr>
      <w:r w:rsidRPr="00725821">
        <w:t>FEV₁ – Forced Expiratory Volume in one second</w:t>
      </w:r>
    </w:p>
    <w:p w14:paraId="534C536A" w14:textId="77777777" w:rsidR="0081764D" w:rsidRPr="00725821" w:rsidRDefault="0081764D" w:rsidP="0081764D">
      <w:pPr>
        <w:rPr>
          <w:rFonts w:ascii="Times New Roman" w:hAnsi="Times New Roman"/>
          <w:sz w:val="24"/>
          <w:szCs w:val="24"/>
        </w:rPr>
      </w:pPr>
      <w:r w:rsidRPr="00725821">
        <w:t>FEV₁% – Forced Expiratory Volume in one second percentage</w:t>
      </w:r>
    </w:p>
    <w:p w14:paraId="3228DDF4" w14:textId="77777777" w:rsidR="0081764D" w:rsidRPr="00725821" w:rsidRDefault="0081764D" w:rsidP="0081764D">
      <w:pPr>
        <w:rPr>
          <w:rFonts w:ascii="Times New Roman" w:hAnsi="Times New Roman"/>
          <w:sz w:val="24"/>
          <w:szCs w:val="24"/>
        </w:rPr>
      </w:pPr>
      <w:r w:rsidRPr="00725821">
        <w:rPr>
          <w:rFonts w:ascii="Times New Roman" w:hAnsi="Times New Roman"/>
          <w:bCs/>
          <w:sz w:val="24"/>
          <w:szCs w:val="24"/>
        </w:rPr>
        <w:t>FVC</w:t>
      </w:r>
      <w:r w:rsidRPr="00725821">
        <w:rPr>
          <w:rFonts w:ascii="Times New Roman" w:hAnsi="Times New Roman"/>
          <w:sz w:val="24"/>
          <w:szCs w:val="24"/>
        </w:rPr>
        <w:t xml:space="preserve"> – Forced Vital Capacity </w:t>
      </w:r>
    </w:p>
    <w:p w14:paraId="64D7A850" w14:textId="77777777" w:rsidR="0081764D" w:rsidRPr="00725821" w:rsidRDefault="0081764D" w:rsidP="0081764D">
      <w:pPr>
        <w:rPr>
          <w:rFonts w:ascii="Times New Roman" w:hAnsi="Times New Roman"/>
          <w:sz w:val="24"/>
          <w:szCs w:val="24"/>
        </w:rPr>
      </w:pPr>
      <w:r w:rsidRPr="00725821">
        <w:rPr>
          <w:rFonts w:ascii="Times New Roman" w:hAnsi="Times New Roman"/>
          <w:bCs/>
          <w:sz w:val="24"/>
          <w:szCs w:val="24"/>
        </w:rPr>
        <w:t>HREC</w:t>
      </w:r>
      <w:r w:rsidRPr="00725821">
        <w:rPr>
          <w:rFonts w:ascii="Times New Roman" w:hAnsi="Times New Roman"/>
          <w:sz w:val="24"/>
          <w:szCs w:val="24"/>
        </w:rPr>
        <w:t xml:space="preserve"> – Health Research Ethics Committee </w:t>
      </w:r>
    </w:p>
    <w:p w14:paraId="4060FAA0" w14:textId="77777777" w:rsidR="0081764D" w:rsidRPr="00725821" w:rsidRDefault="0081764D" w:rsidP="0081764D">
      <w:pPr>
        <w:rPr>
          <w:rFonts w:ascii="Times New Roman" w:hAnsi="Times New Roman"/>
          <w:sz w:val="24"/>
          <w:szCs w:val="24"/>
        </w:rPr>
      </w:pPr>
      <w:r w:rsidRPr="00725821">
        <w:t>PC₂₀ – Provocative Concentration causing a 20% fall in FEV₁</w:t>
      </w:r>
    </w:p>
    <w:p w14:paraId="637BA5BD" w14:textId="77777777" w:rsidR="0081764D" w:rsidRPr="00725821" w:rsidRDefault="0081764D" w:rsidP="0081764D">
      <w:pPr>
        <w:rPr>
          <w:rFonts w:ascii="Times New Roman" w:hAnsi="Times New Roman"/>
          <w:sz w:val="24"/>
          <w:szCs w:val="24"/>
        </w:rPr>
      </w:pPr>
      <w:r w:rsidRPr="00725821">
        <w:rPr>
          <w:rFonts w:ascii="Times New Roman" w:hAnsi="Times New Roman"/>
          <w:bCs/>
          <w:sz w:val="24"/>
          <w:szCs w:val="24"/>
        </w:rPr>
        <w:lastRenderedPageBreak/>
        <w:t>PEFR</w:t>
      </w:r>
      <w:r w:rsidRPr="00725821">
        <w:rPr>
          <w:rFonts w:ascii="Times New Roman" w:hAnsi="Times New Roman"/>
          <w:sz w:val="24"/>
          <w:szCs w:val="24"/>
        </w:rPr>
        <w:t xml:space="preserve"> – Peak Expiratory Flow Rate </w:t>
      </w:r>
    </w:p>
    <w:p w14:paraId="199226CB" w14:textId="77777777" w:rsidR="0081764D" w:rsidRPr="00725821" w:rsidRDefault="0081764D" w:rsidP="0081764D">
      <w:pPr>
        <w:rPr>
          <w:rFonts w:ascii="Times New Roman" w:hAnsi="Times New Roman"/>
          <w:sz w:val="24"/>
          <w:szCs w:val="24"/>
        </w:rPr>
      </w:pPr>
      <w:r w:rsidRPr="00725821">
        <w:rPr>
          <w:rFonts w:ascii="Times New Roman" w:hAnsi="Times New Roman"/>
          <w:bCs/>
          <w:sz w:val="24"/>
          <w:szCs w:val="24"/>
        </w:rPr>
        <w:t>PPE</w:t>
      </w:r>
      <w:r w:rsidRPr="00725821">
        <w:rPr>
          <w:rFonts w:ascii="Times New Roman" w:hAnsi="Times New Roman"/>
          <w:sz w:val="24"/>
          <w:szCs w:val="24"/>
        </w:rPr>
        <w:t xml:space="preserve"> – Personal Protective Equipment </w:t>
      </w:r>
    </w:p>
    <w:p w14:paraId="16E6F923" w14:textId="77777777" w:rsidR="0081764D" w:rsidRPr="00725821" w:rsidRDefault="0081764D" w:rsidP="0081764D">
      <w:pPr>
        <w:rPr>
          <w:rFonts w:ascii="Times New Roman" w:hAnsi="Times New Roman"/>
          <w:sz w:val="24"/>
          <w:szCs w:val="24"/>
        </w:rPr>
      </w:pPr>
      <w:r w:rsidRPr="00725821">
        <w:rPr>
          <w:rFonts w:ascii="Times New Roman" w:hAnsi="Times New Roman"/>
          <w:bCs/>
          <w:sz w:val="24"/>
          <w:szCs w:val="24"/>
        </w:rPr>
        <w:t>SEM</w:t>
      </w:r>
      <w:r w:rsidRPr="00725821">
        <w:rPr>
          <w:rFonts w:ascii="Times New Roman" w:hAnsi="Times New Roman"/>
          <w:sz w:val="24"/>
          <w:szCs w:val="24"/>
        </w:rPr>
        <w:t xml:space="preserve"> – Standard Error of the Mean </w:t>
      </w:r>
    </w:p>
    <w:p w14:paraId="35F080D1" w14:textId="77777777" w:rsidR="0081764D" w:rsidRPr="00725821" w:rsidRDefault="0081764D" w:rsidP="0081764D">
      <w:pPr>
        <w:rPr>
          <w:rFonts w:ascii="Times New Roman" w:hAnsi="Times New Roman"/>
          <w:sz w:val="24"/>
          <w:szCs w:val="24"/>
        </w:rPr>
      </w:pPr>
      <w:r w:rsidRPr="00725821">
        <w:rPr>
          <w:rFonts w:ascii="Times New Roman" w:hAnsi="Times New Roman"/>
          <w:bCs/>
          <w:sz w:val="24"/>
          <w:szCs w:val="24"/>
        </w:rPr>
        <w:t>TRPV1</w:t>
      </w:r>
      <w:r w:rsidRPr="00725821">
        <w:rPr>
          <w:rFonts w:ascii="Times New Roman" w:hAnsi="Times New Roman"/>
          <w:sz w:val="24"/>
          <w:szCs w:val="24"/>
        </w:rPr>
        <w:t xml:space="preserve"> – Transient Receptor Potential Vanilloid 1 </w:t>
      </w:r>
    </w:p>
    <w:p w14:paraId="668AA83E" w14:textId="77777777" w:rsidR="0081764D" w:rsidRPr="00725821" w:rsidRDefault="0081764D" w:rsidP="0081764D">
      <w:pPr>
        <w:pStyle w:val="Body"/>
        <w:spacing w:after="0"/>
        <w:rPr>
          <w:rFonts w:ascii="Times New Roman" w:hAnsi="Times New Roman"/>
          <w:sz w:val="24"/>
          <w:szCs w:val="24"/>
        </w:rPr>
      </w:pPr>
      <w:r w:rsidRPr="00725821">
        <w:rPr>
          <w:rFonts w:ascii="Times New Roman" w:hAnsi="Times New Roman"/>
          <w:bCs/>
          <w:sz w:val="24"/>
          <w:szCs w:val="24"/>
        </w:rPr>
        <w:t>WHO</w:t>
      </w:r>
      <w:r w:rsidRPr="00725821">
        <w:rPr>
          <w:rFonts w:ascii="Times New Roman" w:hAnsi="Times New Roman"/>
          <w:sz w:val="24"/>
          <w:szCs w:val="24"/>
        </w:rPr>
        <w:t xml:space="preserve"> – World Health Organization</w:t>
      </w:r>
    </w:p>
    <w:p w14:paraId="706535F3" w14:textId="77777777" w:rsidR="0081764D" w:rsidRPr="00725821" w:rsidRDefault="0081764D" w:rsidP="0081764D">
      <w:pPr>
        <w:pStyle w:val="Body"/>
        <w:spacing w:after="0"/>
        <w:rPr>
          <w:rFonts w:ascii="Times New Roman" w:hAnsi="Times New Roman"/>
          <w:sz w:val="24"/>
          <w:szCs w:val="24"/>
        </w:rPr>
      </w:pPr>
    </w:p>
    <w:p w14:paraId="75D3ACE6" w14:textId="77777777" w:rsidR="0081764D" w:rsidRPr="00725821" w:rsidRDefault="0081764D" w:rsidP="0081764D">
      <w:pPr>
        <w:pStyle w:val="Body"/>
        <w:spacing w:after="0"/>
        <w:rPr>
          <w:rFonts w:ascii="Arial" w:hAnsi="Arial" w:cs="Arial"/>
        </w:rPr>
        <w:sectPr w:rsidR="0081764D" w:rsidRPr="00725821" w:rsidSect="0081764D">
          <w:headerReference w:type="even" r:id="rId22"/>
          <w:headerReference w:type="default" r:id="rId23"/>
          <w:footerReference w:type="default" r:id="rId24"/>
          <w:headerReference w:type="first" r:id="rId25"/>
          <w:type w:val="continuous"/>
          <w:pgSz w:w="12240" w:h="15840"/>
          <w:pgMar w:top="1440" w:right="2016" w:bottom="2016" w:left="2016" w:header="720" w:footer="1123" w:gutter="0"/>
          <w:cols w:space="720"/>
          <w:docGrid w:linePitch="272"/>
        </w:sectPr>
      </w:pPr>
    </w:p>
    <w:p w14:paraId="549CFD0C" w14:textId="77777777" w:rsidR="0081764D" w:rsidRPr="00725821" w:rsidRDefault="0081764D" w:rsidP="00441B6F">
      <w:pPr>
        <w:pStyle w:val="ReferHead"/>
        <w:spacing w:after="0"/>
        <w:jc w:val="both"/>
        <w:rPr>
          <w:rFonts w:ascii="Arial" w:hAnsi="Arial" w:cs="Arial"/>
          <w:b w:val="0"/>
          <w:caps w:val="0"/>
          <w:sz w:val="20"/>
        </w:rPr>
      </w:pPr>
    </w:p>
    <w:p w14:paraId="4B81D97F" w14:textId="77777777" w:rsidR="008D4742" w:rsidRPr="008D4742" w:rsidRDefault="008D4742" w:rsidP="008D4742">
      <w:pPr>
        <w:spacing w:after="160" w:line="259" w:lineRule="auto"/>
        <w:rPr>
          <w:rFonts w:ascii="Arial" w:eastAsia="Calibri" w:hAnsi="Arial" w:cs="Arial"/>
          <w:b/>
          <w:bCs/>
          <w:kern w:val="2"/>
          <w:sz w:val="22"/>
          <w:szCs w:val="22"/>
          <w:lang w:val="en-IN"/>
        </w:rPr>
      </w:pPr>
      <w:bookmarkStart w:id="0" w:name="_Hlk220510767"/>
      <w:r w:rsidRPr="008D4742">
        <w:rPr>
          <w:rFonts w:ascii="Arial" w:eastAsia="Calibri" w:hAnsi="Arial" w:cs="Arial"/>
          <w:b/>
          <w:bCs/>
          <w:kern w:val="2"/>
          <w:sz w:val="22"/>
          <w:szCs w:val="22"/>
          <w:lang w:val="en-IN"/>
        </w:rPr>
        <w:t>Ethical approval:</w:t>
      </w:r>
    </w:p>
    <w:p w14:paraId="1C886040" w14:textId="4F81ADD5" w:rsidR="008D4742" w:rsidRDefault="008D4742" w:rsidP="008D4742">
      <w:pPr>
        <w:spacing w:after="160" w:line="259" w:lineRule="auto"/>
        <w:rPr>
          <w:rFonts w:ascii="Arial" w:eastAsia="Calibri" w:hAnsi="Arial" w:cs="Arial"/>
          <w:b/>
          <w:bCs/>
          <w:kern w:val="2"/>
          <w:sz w:val="22"/>
          <w:szCs w:val="22"/>
          <w:lang w:val="en-IN"/>
        </w:rPr>
      </w:pPr>
      <w:r w:rsidRPr="008D4742">
        <w:rPr>
          <w:rFonts w:ascii="Arial" w:eastAsia="Calibri" w:hAnsi="Arial" w:cs="Arial"/>
          <w:b/>
          <w:bCs/>
          <w:kern w:val="2"/>
          <w:sz w:val="22"/>
          <w:szCs w:val="22"/>
          <w:lang w:val="en-IN"/>
        </w:rPr>
        <w:t>The ethical consent was obtained from the Ministry of Health, Calabar. Health Research Ethics Committee (HREC) Calabar, Cross River State with the registration number: CRS/MH/HREC/24/Vol.V1/93</w:t>
      </w:r>
    </w:p>
    <w:p w14:paraId="0F77C635" w14:textId="77777777" w:rsidR="008D4742" w:rsidRDefault="008D4742" w:rsidP="008D4742">
      <w:pPr>
        <w:spacing w:after="160" w:line="259" w:lineRule="auto"/>
        <w:rPr>
          <w:rFonts w:ascii="Arial" w:eastAsia="Calibri" w:hAnsi="Arial" w:cs="Arial"/>
          <w:b/>
          <w:bCs/>
          <w:kern w:val="2"/>
          <w:sz w:val="22"/>
          <w:szCs w:val="22"/>
          <w:lang w:val="en-IN"/>
        </w:rPr>
      </w:pPr>
    </w:p>
    <w:p w14:paraId="15FF817D" w14:textId="77777777" w:rsidR="008D4742" w:rsidRPr="008D4742" w:rsidRDefault="008D4742" w:rsidP="008D4742">
      <w:pPr>
        <w:spacing w:after="160" w:line="259" w:lineRule="auto"/>
        <w:rPr>
          <w:rFonts w:ascii="Arial" w:eastAsia="Calibri" w:hAnsi="Arial" w:cs="Arial"/>
          <w:b/>
          <w:bCs/>
          <w:kern w:val="2"/>
          <w:sz w:val="22"/>
          <w:szCs w:val="22"/>
          <w:lang w:val="en-IN"/>
        </w:rPr>
      </w:pPr>
      <w:r w:rsidRPr="008D4742">
        <w:rPr>
          <w:rFonts w:ascii="Arial" w:eastAsia="Calibri" w:hAnsi="Arial" w:cs="Arial"/>
          <w:b/>
          <w:bCs/>
          <w:kern w:val="2"/>
          <w:sz w:val="22"/>
          <w:szCs w:val="22"/>
          <w:lang w:val="en-IN"/>
        </w:rPr>
        <w:t xml:space="preserve">Consent </w:t>
      </w:r>
    </w:p>
    <w:p w14:paraId="509D260F" w14:textId="061748F8" w:rsidR="008D4742" w:rsidRDefault="008D4742" w:rsidP="008D4742">
      <w:pPr>
        <w:spacing w:after="160" w:line="259" w:lineRule="auto"/>
        <w:rPr>
          <w:rFonts w:ascii="Arial" w:eastAsia="Calibri" w:hAnsi="Arial" w:cs="Arial"/>
          <w:b/>
          <w:bCs/>
          <w:kern w:val="2"/>
          <w:sz w:val="22"/>
          <w:szCs w:val="22"/>
          <w:lang w:val="en-IN"/>
        </w:rPr>
      </w:pPr>
      <w:r w:rsidRPr="008D4742">
        <w:rPr>
          <w:rFonts w:ascii="Arial" w:eastAsia="Calibri" w:hAnsi="Arial" w:cs="Arial"/>
          <w:b/>
          <w:bCs/>
          <w:kern w:val="2"/>
          <w:sz w:val="22"/>
          <w:szCs w:val="22"/>
          <w:lang w:val="en-IN"/>
        </w:rPr>
        <w:t>As per international standards or university standards, Participants’ written consent has been collected and preserved by the author(s).</w:t>
      </w:r>
    </w:p>
    <w:p w14:paraId="788FA376" w14:textId="77777777" w:rsidR="008D4742" w:rsidRDefault="008D4742" w:rsidP="002134B8">
      <w:pPr>
        <w:spacing w:after="160" w:line="259" w:lineRule="auto"/>
        <w:rPr>
          <w:rFonts w:ascii="Arial" w:eastAsia="Calibri" w:hAnsi="Arial" w:cs="Arial"/>
          <w:b/>
          <w:bCs/>
          <w:kern w:val="2"/>
          <w:sz w:val="22"/>
          <w:szCs w:val="22"/>
          <w:lang w:val="en-IN"/>
        </w:rPr>
      </w:pPr>
    </w:p>
    <w:p w14:paraId="25A49B30" w14:textId="36E133DE" w:rsidR="002134B8" w:rsidRPr="00725821" w:rsidRDefault="002134B8" w:rsidP="002134B8">
      <w:pPr>
        <w:spacing w:after="160" w:line="259" w:lineRule="auto"/>
        <w:rPr>
          <w:rFonts w:ascii="Arial" w:eastAsia="Calibri" w:hAnsi="Arial" w:cs="Arial"/>
          <w:b/>
          <w:bCs/>
          <w:kern w:val="2"/>
          <w:sz w:val="22"/>
          <w:szCs w:val="22"/>
          <w:lang w:val="en-IN"/>
        </w:rPr>
      </w:pPr>
      <w:r w:rsidRPr="00725821">
        <w:rPr>
          <w:rFonts w:ascii="Arial" w:eastAsia="Calibri" w:hAnsi="Arial" w:cs="Arial"/>
          <w:b/>
          <w:bCs/>
          <w:kern w:val="2"/>
          <w:sz w:val="22"/>
          <w:szCs w:val="22"/>
          <w:lang w:val="en-IN"/>
        </w:rPr>
        <w:t>Declaration of AI Use</w:t>
      </w:r>
    </w:p>
    <w:p w14:paraId="36E25482" w14:textId="77777777" w:rsidR="002134B8" w:rsidRPr="00725821" w:rsidRDefault="002134B8" w:rsidP="002134B8">
      <w:pPr>
        <w:spacing w:after="160" w:line="259" w:lineRule="auto"/>
        <w:rPr>
          <w:rFonts w:ascii="Arial" w:eastAsia="Calibri" w:hAnsi="Arial" w:cs="Arial"/>
          <w:kern w:val="2"/>
          <w:sz w:val="22"/>
          <w:szCs w:val="22"/>
          <w:lang w:val="en-IN"/>
        </w:rPr>
      </w:pPr>
      <w:r w:rsidRPr="00725821">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authors’ intellectual contributions or scholarly judgement. All AI-assisted outputs, including content, references, and interpretations, were carefully reviewed, revised, verified, and approved by the authors. The authors accept full responsibility for the accuracy, integrity, and final content of the manuscript.</w:t>
      </w:r>
    </w:p>
    <w:bookmarkEnd w:id="0"/>
    <w:p w14:paraId="23D0D16D" w14:textId="77777777" w:rsidR="002134B8" w:rsidRPr="00725821" w:rsidRDefault="002134B8" w:rsidP="00441B6F">
      <w:pPr>
        <w:pStyle w:val="ReferHead"/>
        <w:spacing w:after="0"/>
        <w:jc w:val="both"/>
        <w:rPr>
          <w:rFonts w:ascii="Arial" w:hAnsi="Arial" w:cs="Arial"/>
        </w:rPr>
      </w:pPr>
    </w:p>
    <w:p w14:paraId="1CFF000B" w14:textId="77777777" w:rsidR="00790ADA" w:rsidRPr="00725821" w:rsidRDefault="00B01FCD" w:rsidP="00441B6F">
      <w:pPr>
        <w:pStyle w:val="ReferHead"/>
        <w:spacing w:after="0"/>
        <w:jc w:val="both"/>
        <w:rPr>
          <w:rFonts w:ascii="Arial" w:hAnsi="Arial" w:cs="Arial"/>
        </w:rPr>
      </w:pPr>
      <w:r w:rsidRPr="00725821">
        <w:rPr>
          <w:rFonts w:ascii="Arial" w:hAnsi="Arial" w:cs="Arial"/>
        </w:rPr>
        <w:t>References</w:t>
      </w:r>
    </w:p>
    <w:p w14:paraId="5346A34A" w14:textId="77777777" w:rsidR="00B01FCD" w:rsidRDefault="00B01FCD" w:rsidP="00441B6F">
      <w:pPr>
        <w:pStyle w:val="Appendix"/>
        <w:spacing w:after="0"/>
        <w:jc w:val="both"/>
        <w:rPr>
          <w:rFonts w:ascii="Arial" w:hAnsi="Arial" w:cs="Arial"/>
          <w:b w:val="0"/>
        </w:rPr>
      </w:pPr>
    </w:p>
    <w:p w14:paraId="763826FA" w14:textId="77777777" w:rsidR="00983DF7" w:rsidRPr="00983DF7" w:rsidRDefault="00983DF7" w:rsidP="00983DF7">
      <w:pPr>
        <w:spacing w:before="100" w:beforeAutospacing="1" w:after="100" w:afterAutospacing="1"/>
        <w:rPr>
          <w:rFonts w:ascii="Times New Roman" w:hAnsi="Times New Roman"/>
          <w:sz w:val="24"/>
          <w:szCs w:val="24"/>
        </w:rPr>
      </w:pPr>
      <w:r w:rsidRPr="00983DF7">
        <w:rPr>
          <w:rFonts w:ascii="Times New Roman" w:hAnsi="Times New Roman"/>
          <w:sz w:val="24"/>
          <w:szCs w:val="24"/>
        </w:rPr>
        <w:t xml:space="preserve">American Thoracic Society. (2000). Guidelines for methacholine and exercise challenge testing—1999: This official statement of the American Thoracic Society was adopted by the ATS Board of Directors, July 1999. </w:t>
      </w:r>
      <w:r w:rsidRPr="00983DF7">
        <w:rPr>
          <w:rFonts w:ascii="Times New Roman" w:hAnsi="Times New Roman"/>
          <w:i/>
          <w:iCs/>
          <w:sz w:val="24"/>
          <w:szCs w:val="24"/>
        </w:rPr>
        <w:t>American Journal of Respiratory and Critical Care Medicine, 161</w:t>
      </w:r>
      <w:r w:rsidRPr="00983DF7">
        <w:rPr>
          <w:rFonts w:ascii="Times New Roman" w:hAnsi="Times New Roman"/>
          <w:sz w:val="24"/>
          <w:szCs w:val="24"/>
        </w:rPr>
        <w:t xml:space="preserve">(1), 309–329. </w:t>
      </w:r>
      <w:hyperlink r:id="rId26" w:history="1">
        <w:r w:rsidRPr="00983DF7">
          <w:rPr>
            <w:rFonts w:ascii="Times New Roman" w:hAnsi="Times New Roman"/>
            <w:color w:val="0000FF"/>
            <w:sz w:val="24"/>
            <w:szCs w:val="24"/>
            <w:u w:val="single"/>
          </w:rPr>
          <w:t>https://doi.org/10.1164/ajrccm.161.1.ats11-99</w:t>
        </w:r>
      </w:hyperlink>
    </w:p>
    <w:p w14:paraId="633C4E50" w14:textId="77777777" w:rsidR="00983DF7" w:rsidRPr="00983DF7" w:rsidRDefault="00983DF7" w:rsidP="00983DF7">
      <w:pPr>
        <w:spacing w:before="100" w:beforeAutospacing="1" w:after="100" w:afterAutospacing="1"/>
        <w:rPr>
          <w:rFonts w:ascii="Times New Roman" w:hAnsi="Times New Roman"/>
          <w:sz w:val="24"/>
          <w:szCs w:val="24"/>
        </w:rPr>
      </w:pPr>
      <w:proofErr w:type="spellStart"/>
      <w:r w:rsidRPr="00983DF7">
        <w:rPr>
          <w:rFonts w:ascii="Times New Roman" w:hAnsi="Times New Roman"/>
          <w:sz w:val="24"/>
          <w:szCs w:val="24"/>
        </w:rPr>
        <w:t>Ashuro</w:t>
      </w:r>
      <w:proofErr w:type="spellEnd"/>
      <w:r w:rsidRPr="00983DF7">
        <w:rPr>
          <w:rFonts w:ascii="Times New Roman" w:hAnsi="Times New Roman"/>
          <w:sz w:val="24"/>
          <w:szCs w:val="24"/>
        </w:rPr>
        <w:t xml:space="preserve">, Z., </w:t>
      </w:r>
      <w:proofErr w:type="spellStart"/>
      <w:r w:rsidRPr="00983DF7">
        <w:rPr>
          <w:rFonts w:ascii="Times New Roman" w:hAnsi="Times New Roman"/>
          <w:sz w:val="24"/>
          <w:szCs w:val="24"/>
        </w:rPr>
        <w:t>Hareru</w:t>
      </w:r>
      <w:proofErr w:type="spellEnd"/>
      <w:r w:rsidRPr="00983DF7">
        <w:rPr>
          <w:rFonts w:ascii="Times New Roman" w:hAnsi="Times New Roman"/>
          <w:sz w:val="24"/>
          <w:szCs w:val="24"/>
        </w:rPr>
        <w:t xml:space="preserve">, H. E., </w:t>
      </w:r>
      <w:proofErr w:type="spellStart"/>
      <w:r w:rsidRPr="00983DF7">
        <w:rPr>
          <w:rFonts w:ascii="Times New Roman" w:hAnsi="Times New Roman"/>
          <w:sz w:val="24"/>
          <w:szCs w:val="24"/>
        </w:rPr>
        <w:t>Soboksa</w:t>
      </w:r>
      <w:proofErr w:type="spellEnd"/>
      <w:r w:rsidRPr="00983DF7">
        <w:rPr>
          <w:rFonts w:ascii="Times New Roman" w:hAnsi="Times New Roman"/>
          <w:sz w:val="24"/>
          <w:szCs w:val="24"/>
        </w:rPr>
        <w:t xml:space="preserve">, N. E., Abaya, S. W., &amp; Zele, Y. T. (2023). Occupational exposure to dust and respiratory symptoms among Ethiopian factory workers: A systematic review and meta-analysis. </w:t>
      </w:r>
      <w:r w:rsidRPr="00983DF7">
        <w:rPr>
          <w:rFonts w:ascii="Times New Roman" w:hAnsi="Times New Roman"/>
          <w:i/>
          <w:iCs/>
          <w:sz w:val="24"/>
          <w:szCs w:val="24"/>
        </w:rPr>
        <w:t>PLOS ONE, 18</w:t>
      </w:r>
      <w:r w:rsidRPr="00983DF7">
        <w:rPr>
          <w:rFonts w:ascii="Times New Roman" w:hAnsi="Times New Roman"/>
          <w:sz w:val="24"/>
          <w:szCs w:val="24"/>
        </w:rPr>
        <w:t xml:space="preserve">(7), Article e0284551. </w:t>
      </w:r>
      <w:hyperlink r:id="rId27" w:history="1">
        <w:r w:rsidRPr="00983DF7">
          <w:rPr>
            <w:rFonts w:ascii="Times New Roman" w:hAnsi="Times New Roman"/>
            <w:color w:val="0000FF"/>
            <w:sz w:val="24"/>
            <w:szCs w:val="24"/>
            <w:u w:val="single"/>
          </w:rPr>
          <w:t>https://doi.org/10.1371/journal.pone.0284551</w:t>
        </w:r>
      </w:hyperlink>
    </w:p>
    <w:p w14:paraId="1B9538E5" w14:textId="77777777" w:rsidR="00983DF7" w:rsidRPr="00983DF7" w:rsidRDefault="00983DF7" w:rsidP="00983DF7">
      <w:pPr>
        <w:spacing w:before="100" w:beforeAutospacing="1" w:after="100" w:afterAutospacing="1"/>
        <w:rPr>
          <w:rFonts w:ascii="Times New Roman" w:hAnsi="Times New Roman"/>
          <w:sz w:val="24"/>
          <w:szCs w:val="24"/>
        </w:rPr>
      </w:pPr>
      <w:r w:rsidRPr="00983DF7">
        <w:rPr>
          <w:rFonts w:ascii="Times New Roman" w:hAnsi="Times New Roman"/>
          <w:sz w:val="24"/>
          <w:szCs w:val="24"/>
        </w:rPr>
        <w:t xml:space="preserve">Baur, X., &amp; </w:t>
      </w:r>
      <w:proofErr w:type="spellStart"/>
      <w:r w:rsidRPr="00983DF7">
        <w:rPr>
          <w:rFonts w:ascii="Times New Roman" w:hAnsi="Times New Roman"/>
          <w:sz w:val="24"/>
          <w:szCs w:val="24"/>
        </w:rPr>
        <w:t>Bakehe</w:t>
      </w:r>
      <w:proofErr w:type="spellEnd"/>
      <w:r w:rsidRPr="00983DF7">
        <w:rPr>
          <w:rFonts w:ascii="Times New Roman" w:hAnsi="Times New Roman"/>
          <w:sz w:val="24"/>
          <w:szCs w:val="24"/>
        </w:rPr>
        <w:t xml:space="preserve">, P. (2014). Allergens causing occupational asthma: An evidence-based evaluation of the literature. </w:t>
      </w:r>
      <w:r w:rsidRPr="00983DF7">
        <w:rPr>
          <w:rFonts w:ascii="Times New Roman" w:hAnsi="Times New Roman"/>
          <w:i/>
          <w:iCs/>
          <w:sz w:val="24"/>
          <w:szCs w:val="24"/>
        </w:rPr>
        <w:t>International Archives of Occupational and Environmental Health, 87</w:t>
      </w:r>
      <w:r w:rsidRPr="00983DF7">
        <w:rPr>
          <w:rFonts w:ascii="Times New Roman" w:hAnsi="Times New Roman"/>
          <w:sz w:val="24"/>
          <w:szCs w:val="24"/>
        </w:rPr>
        <w:t xml:space="preserve">(4), 339–363. </w:t>
      </w:r>
      <w:hyperlink r:id="rId28" w:history="1">
        <w:r w:rsidRPr="00983DF7">
          <w:rPr>
            <w:rFonts w:ascii="Times New Roman" w:hAnsi="Times New Roman"/>
            <w:color w:val="0000FF"/>
            <w:sz w:val="24"/>
            <w:szCs w:val="24"/>
            <w:u w:val="single"/>
          </w:rPr>
          <w:t>https://doi.org/10.1007/s00420-013-0866-9</w:t>
        </w:r>
      </w:hyperlink>
    </w:p>
    <w:p w14:paraId="46B456E6" w14:textId="77777777" w:rsidR="00983DF7" w:rsidRPr="00983DF7" w:rsidRDefault="00983DF7" w:rsidP="00983DF7">
      <w:pPr>
        <w:spacing w:before="100" w:beforeAutospacing="1" w:after="100" w:afterAutospacing="1"/>
        <w:rPr>
          <w:rFonts w:ascii="Times New Roman" w:hAnsi="Times New Roman"/>
          <w:sz w:val="24"/>
          <w:szCs w:val="24"/>
        </w:rPr>
      </w:pPr>
      <w:proofErr w:type="spellStart"/>
      <w:r w:rsidRPr="00983DF7">
        <w:rPr>
          <w:rFonts w:ascii="Times New Roman" w:hAnsi="Times New Roman"/>
          <w:sz w:val="24"/>
          <w:szCs w:val="24"/>
        </w:rPr>
        <w:lastRenderedPageBreak/>
        <w:t>Belvisi</w:t>
      </w:r>
      <w:proofErr w:type="spellEnd"/>
      <w:r w:rsidRPr="00983DF7">
        <w:rPr>
          <w:rFonts w:ascii="Times New Roman" w:hAnsi="Times New Roman"/>
          <w:sz w:val="24"/>
          <w:szCs w:val="24"/>
        </w:rPr>
        <w:t xml:space="preserve">, M. G., &amp; Birrell, M. A. (2017). The emerging role of transient receptor potential channels in chronic lung disease. </w:t>
      </w:r>
      <w:r w:rsidRPr="00983DF7">
        <w:rPr>
          <w:rFonts w:ascii="Times New Roman" w:hAnsi="Times New Roman"/>
          <w:i/>
          <w:iCs/>
          <w:sz w:val="24"/>
          <w:szCs w:val="24"/>
        </w:rPr>
        <w:t>European Respiratory Journal, 50</w:t>
      </w:r>
      <w:r w:rsidRPr="00983DF7">
        <w:rPr>
          <w:rFonts w:ascii="Times New Roman" w:hAnsi="Times New Roman"/>
          <w:sz w:val="24"/>
          <w:szCs w:val="24"/>
        </w:rPr>
        <w:t xml:space="preserve">(2), Article 1601357. </w:t>
      </w:r>
      <w:hyperlink r:id="rId29" w:history="1">
        <w:r w:rsidRPr="00983DF7">
          <w:rPr>
            <w:rFonts w:ascii="Times New Roman" w:hAnsi="Times New Roman"/>
            <w:color w:val="0000FF"/>
            <w:sz w:val="24"/>
            <w:szCs w:val="24"/>
            <w:u w:val="single"/>
          </w:rPr>
          <w:t>https://doi.org/10.1183/13993003.01357-2016</w:t>
        </w:r>
      </w:hyperlink>
    </w:p>
    <w:p w14:paraId="0F7687C1" w14:textId="77777777" w:rsidR="00983DF7" w:rsidRPr="00983DF7" w:rsidRDefault="00983DF7" w:rsidP="00983DF7">
      <w:pPr>
        <w:spacing w:before="100" w:beforeAutospacing="1" w:after="100" w:afterAutospacing="1"/>
        <w:rPr>
          <w:rFonts w:ascii="Times New Roman" w:hAnsi="Times New Roman"/>
          <w:sz w:val="24"/>
          <w:szCs w:val="24"/>
        </w:rPr>
      </w:pPr>
      <w:r w:rsidRPr="00983DF7">
        <w:rPr>
          <w:rFonts w:ascii="Times New Roman" w:hAnsi="Times New Roman"/>
          <w:sz w:val="24"/>
          <w:szCs w:val="24"/>
        </w:rPr>
        <w:t xml:space="preserve">Blanc, P., Liu, D., Juarez, C., &amp; Boushey, H. A. (1991). Cough in hot pepper workers. </w:t>
      </w:r>
      <w:r w:rsidRPr="00983DF7">
        <w:rPr>
          <w:rFonts w:ascii="Times New Roman" w:hAnsi="Times New Roman"/>
          <w:i/>
          <w:iCs/>
          <w:sz w:val="24"/>
          <w:szCs w:val="24"/>
        </w:rPr>
        <w:t>Chest, 99</w:t>
      </w:r>
      <w:r w:rsidRPr="00983DF7">
        <w:rPr>
          <w:rFonts w:ascii="Times New Roman" w:hAnsi="Times New Roman"/>
          <w:sz w:val="24"/>
          <w:szCs w:val="24"/>
        </w:rPr>
        <w:t xml:space="preserve">(1), 27–32. </w:t>
      </w:r>
      <w:hyperlink r:id="rId30" w:history="1">
        <w:r w:rsidRPr="00983DF7">
          <w:rPr>
            <w:rFonts w:ascii="Times New Roman" w:hAnsi="Times New Roman"/>
            <w:color w:val="0000FF"/>
            <w:sz w:val="24"/>
            <w:szCs w:val="24"/>
            <w:u w:val="single"/>
          </w:rPr>
          <w:t>https://doi.org/10.1378/chest.99.1.27</w:t>
        </w:r>
      </w:hyperlink>
    </w:p>
    <w:p w14:paraId="5142B48E" w14:textId="77777777" w:rsidR="00983DF7" w:rsidRPr="00983DF7" w:rsidRDefault="00983DF7" w:rsidP="00983DF7">
      <w:pPr>
        <w:spacing w:before="100" w:beforeAutospacing="1" w:after="100" w:afterAutospacing="1"/>
        <w:rPr>
          <w:rFonts w:ascii="Times New Roman" w:hAnsi="Times New Roman"/>
          <w:sz w:val="24"/>
          <w:szCs w:val="24"/>
        </w:rPr>
      </w:pPr>
      <w:r w:rsidRPr="00983DF7">
        <w:rPr>
          <w:rFonts w:ascii="Times New Roman" w:hAnsi="Times New Roman"/>
          <w:sz w:val="24"/>
          <w:szCs w:val="24"/>
        </w:rPr>
        <w:t xml:space="preserve">Chen, J. L., &amp; Bahna, S. L. (2011). Spice allergy. </w:t>
      </w:r>
      <w:r w:rsidRPr="00983DF7">
        <w:rPr>
          <w:rFonts w:ascii="Times New Roman" w:hAnsi="Times New Roman"/>
          <w:i/>
          <w:iCs/>
          <w:sz w:val="24"/>
          <w:szCs w:val="24"/>
        </w:rPr>
        <w:t>Annals of Allergy, Asthma &amp; Immunology, 107</w:t>
      </w:r>
      <w:r w:rsidRPr="00983DF7">
        <w:rPr>
          <w:rFonts w:ascii="Times New Roman" w:hAnsi="Times New Roman"/>
          <w:sz w:val="24"/>
          <w:szCs w:val="24"/>
        </w:rPr>
        <w:t xml:space="preserve">(3), 191–199. </w:t>
      </w:r>
      <w:hyperlink r:id="rId31" w:history="1">
        <w:r w:rsidRPr="00983DF7">
          <w:rPr>
            <w:rFonts w:ascii="Times New Roman" w:hAnsi="Times New Roman"/>
            <w:color w:val="0000FF"/>
            <w:sz w:val="24"/>
            <w:szCs w:val="24"/>
            <w:u w:val="single"/>
          </w:rPr>
          <w:t>https://doi.org/10.1016/j.anai.2011.06.020</w:t>
        </w:r>
      </w:hyperlink>
    </w:p>
    <w:p w14:paraId="07158355" w14:textId="77777777" w:rsidR="00983DF7" w:rsidRPr="00983DF7" w:rsidRDefault="00983DF7" w:rsidP="00983DF7">
      <w:pPr>
        <w:spacing w:before="100" w:beforeAutospacing="1" w:after="100" w:afterAutospacing="1"/>
        <w:rPr>
          <w:rFonts w:ascii="Times New Roman" w:hAnsi="Times New Roman"/>
          <w:sz w:val="24"/>
          <w:szCs w:val="24"/>
        </w:rPr>
      </w:pPr>
      <w:r w:rsidRPr="00983DF7">
        <w:rPr>
          <w:rFonts w:ascii="Times New Roman" w:hAnsi="Times New Roman"/>
          <w:sz w:val="24"/>
          <w:szCs w:val="24"/>
        </w:rPr>
        <w:t xml:space="preserve">Coates, A. L., Wanger, J., Cockcroft, D. W., Culver, B. H., Carlsen, K. H., Diamant, Z., Gauvreau, G., Hall, G. L., </w:t>
      </w:r>
      <w:proofErr w:type="spellStart"/>
      <w:r w:rsidRPr="00983DF7">
        <w:rPr>
          <w:rFonts w:ascii="Times New Roman" w:hAnsi="Times New Roman"/>
          <w:sz w:val="24"/>
          <w:szCs w:val="24"/>
        </w:rPr>
        <w:t>Hallstrand</w:t>
      </w:r>
      <w:proofErr w:type="spellEnd"/>
      <w:r w:rsidRPr="00983DF7">
        <w:rPr>
          <w:rFonts w:ascii="Times New Roman" w:hAnsi="Times New Roman"/>
          <w:sz w:val="24"/>
          <w:szCs w:val="24"/>
        </w:rPr>
        <w:t xml:space="preserve">, T. S., Horvath, I., de Jongh, F. H. C., Joos, G., Kaminsky, D. A., Laube, B. L., </w:t>
      </w:r>
      <w:proofErr w:type="spellStart"/>
      <w:r w:rsidRPr="00983DF7">
        <w:rPr>
          <w:rFonts w:ascii="Times New Roman" w:hAnsi="Times New Roman"/>
          <w:sz w:val="24"/>
          <w:szCs w:val="24"/>
        </w:rPr>
        <w:t>Leuppi</w:t>
      </w:r>
      <w:proofErr w:type="spellEnd"/>
      <w:r w:rsidRPr="00983DF7">
        <w:rPr>
          <w:rFonts w:ascii="Times New Roman" w:hAnsi="Times New Roman"/>
          <w:sz w:val="24"/>
          <w:szCs w:val="24"/>
        </w:rPr>
        <w:t xml:space="preserve">, J. D., &amp; Sterk, P. J. (2017). ERS technical standard on bronchial challenge testing: General considerations and performance of methacholine challenge tests. </w:t>
      </w:r>
      <w:r w:rsidRPr="00983DF7">
        <w:rPr>
          <w:rFonts w:ascii="Times New Roman" w:hAnsi="Times New Roman"/>
          <w:i/>
          <w:iCs/>
          <w:sz w:val="24"/>
          <w:szCs w:val="24"/>
        </w:rPr>
        <w:t>European Respiratory Journal, 49</w:t>
      </w:r>
      <w:r w:rsidRPr="00983DF7">
        <w:rPr>
          <w:rFonts w:ascii="Times New Roman" w:hAnsi="Times New Roman"/>
          <w:sz w:val="24"/>
          <w:szCs w:val="24"/>
        </w:rPr>
        <w:t xml:space="preserve">(5), Article 1601526. </w:t>
      </w:r>
      <w:hyperlink r:id="rId32" w:history="1">
        <w:r w:rsidRPr="00983DF7">
          <w:rPr>
            <w:rFonts w:ascii="Times New Roman" w:hAnsi="Times New Roman"/>
            <w:color w:val="0000FF"/>
            <w:sz w:val="24"/>
            <w:szCs w:val="24"/>
            <w:u w:val="single"/>
          </w:rPr>
          <w:t>https://doi.org/10.1183/13993003.01526-2016</w:t>
        </w:r>
      </w:hyperlink>
    </w:p>
    <w:p w14:paraId="5F5BFBE4" w14:textId="77777777" w:rsidR="00983DF7" w:rsidRPr="00983DF7" w:rsidRDefault="00983DF7" w:rsidP="00983DF7">
      <w:pPr>
        <w:spacing w:before="100" w:beforeAutospacing="1" w:after="100" w:afterAutospacing="1"/>
        <w:rPr>
          <w:rFonts w:ascii="Times New Roman" w:hAnsi="Times New Roman"/>
          <w:sz w:val="24"/>
          <w:szCs w:val="24"/>
        </w:rPr>
      </w:pPr>
      <w:r w:rsidRPr="00983DF7">
        <w:rPr>
          <w:rFonts w:ascii="Times New Roman" w:hAnsi="Times New Roman"/>
          <w:sz w:val="24"/>
          <w:szCs w:val="24"/>
        </w:rPr>
        <w:t xml:space="preserve">Cockcroft, D. W., &amp; Davis, B. E. (2006). Mechanisms of airway hyperresponsiveness. </w:t>
      </w:r>
      <w:r w:rsidRPr="00983DF7">
        <w:rPr>
          <w:rFonts w:ascii="Times New Roman" w:hAnsi="Times New Roman"/>
          <w:i/>
          <w:iCs/>
          <w:sz w:val="24"/>
          <w:szCs w:val="24"/>
        </w:rPr>
        <w:t>Journal of Allergy and Clinical Immunology, 118</w:t>
      </w:r>
      <w:r w:rsidRPr="00983DF7">
        <w:rPr>
          <w:rFonts w:ascii="Times New Roman" w:hAnsi="Times New Roman"/>
          <w:sz w:val="24"/>
          <w:szCs w:val="24"/>
        </w:rPr>
        <w:t xml:space="preserve">(3), 551–559. </w:t>
      </w:r>
      <w:hyperlink r:id="rId33" w:history="1">
        <w:r w:rsidRPr="00983DF7">
          <w:rPr>
            <w:rFonts w:ascii="Times New Roman" w:hAnsi="Times New Roman"/>
            <w:color w:val="0000FF"/>
            <w:sz w:val="24"/>
            <w:szCs w:val="24"/>
            <w:u w:val="single"/>
          </w:rPr>
          <w:t>https://doi.org/10.1016/j.jaci.2006.07.012</w:t>
        </w:r>
      </w:hyperlink>
    </w:p>
    <w:p w14:paraId="66DB3384" w14:textId="77777777" w:rsidR="00983DF7" w:rsidRPr="00983DF7" w:rsidRDefault="00983DF7" w:rsidP="00983DF7">
      <w:pPr>
        <w:spacing w:before="100" w:beforeAutospacing="1" w:after="100" w:afterAutospacing="1"/>
        <w:rPr>
          <w:rFonts w:ascii="Times New Roman" w:hAnsi="Times New Roman"/>
          <w:sz w:val="24"/>
          <w:szCs w:val="24"/>
        </w:rPr>
      </w:pPr>
      <w:r w:rsidRPr="00983DF7">
        <w:rPr>
          <w:rFonts w:ascii="Times New Roman" w:hAnsi="Times New Roman"/>
          <w:sz w:val="24"/>
          <w:szCs w:val="24"/>
        </w:rPr>
        <w:t xml:space="preserve">Dushyant, K., Walia, G. K., &amp; </w:t>
      </w:r>
      <w:proofErr w:type="spellStart"/>
      <w:r w:rsidRPr="00983DF7">
        <w:rPr>
          <w:rFonts w:ascii="Times New Roman" w:hAnsi="Times New Roman"/>
          <w:sz w:val="24"/>
          <w:szCs w:val="24"/>
        </w:rPr>
        <w:t>Devasenapathy</w:t>
      </w:r>
      <w:proofErr w:type="spellEnd"/>
      <w:r w:rsidRPr="00983DF7">
        <w:rPr>
          <w:rFonts w:ascii="Times New Roman" w:hAnsi="Times New Roman"/>
          <w:sz w:val="24"/>
          <w:szCs w:val="24"/>
        </w:rPr>
        <w:t xml:space="preserve">, N. (2023). Lung function and respiratory morbidity among informal workers exposed to cement dust: A comparative cross-sectional study. </w:t>
      </w:r>
      <w:r w:rsidRPr="00983DF7">
        <w:rPr>
          <w:rFonts w:ascii="Times New Roman" w:hAnsi="Times New Roman"/>
          <w:i/>
          <w:iCs/>
          <w:sz w:val="24"/>
          <w:szCs w:val="24"/>
        </w:rPr>
        <w:t>Annals of Global Health, 89</w:t>
      </w:r>
      <w:r w:rsidRPr="00983DF7">
        <w:rPr>
          <w:rFonts w:ascii="Times New Roman" w:hAnsi="Times New Roman"/>
          <w:sz w:val="24"/>
          <w:szCs w:val="24"/>
        </w:rPr>
        <w:t xml:space="preserve">(1), Article 47. </w:t>
      </w:r>
      <w:hyperlink r:id="rId34" w:history="1">
        <w:r w:rsidRPr="00983DF7">
          <w:rPr>
            <w:rFonts w:ascii="Times New Roman" w:hAnsi="Times New Roman"/>
            <w:color w:val="0000FF"/>
            <w:sz w:val="24"/>
            <w:szCs w:val="24"/>
            <w:u w:val="single"/>
          </w:rPr>
          <w:t>https://doi.org/10.5334/aogh.4089</w:t>
        </w:r>
      </w:hyperlink>
    </w:p>
    <w:p w14:paraId="0254390E" w14:textId="77777777" w:rsidR="00983DF7" w:rsidRPr="00983DF7" w:rsidRDefault="00983DF7" w:rsidP="00983DF7">
      <w:pPr>
        <w:spacing w:before="100" w:beforeAutospacing="1" w:after="100" w:afterAutospacing="1"/>
        <w:rPr>
          <w:rFonts w:ascii="Times New Roman" w:hAnsi="Times New Roman"/>
          <w:sz w:val="24"/>
          <w:szCs w:val="24"/>
        </w:rPr>
      </w:pPr>
      <w:r w:rsidRPr="00983DF7">
        <w:rPr>
          <w:rFonts w:ascii="Times New Roman" w:hAnsi="Times New Roman"/>
          <w:sz w:val="24"/>
          <w:szCs w:val="24"/>
        </w:rPr>
        <w:t xml:space="preserve">Graham, B. L., </w:t>
      </w:r>
      <w:proofErr w:type="spellStart"/>
      <w:r w:rsidRPr="00983DF7">
        <w:rPr>
          <w:rFonts w:ascii="Times New Roman" w:hAnsi="Times New Roman"/>
          <w:sz w:val="24"/>
          <w:szCs w:val="24"/>
        </w:rPr>
        <w:t>Steenbruggen</w:t>
      </w:r>
      <w:proofErr w:type="spellEnd"/>
      <w:r w:rsidRPr="00983DF7">
        <w:rPr>
          <w:rFonts w:ascii="Times New Roman" w:hAnsi="Times New Roman"/>
          <w:sz w:val="24"/>
          <w:szCs w:val="24"/>
        </w:rPr>
        <w:t xml:space="preserve">, I., Miller, M. R., </w:t>
      </w:r>
      <w:proofErr w:type="spellStart"/>
      <w:r w:rsidRPr="00983DF7">
        <w:rPr>
          <w:rFonts w:ascii="Times New Roman" w:hAnsi="Times New Roman"/>
          <w:sz w:val="24"/>
          <w:szCs w:val="24"/>
        </w:rPr>
        <w:t>Barjaktarevic</w:t>
      </w:r>
      <w:proofErr w:type="spellEnd"/>
      <w:r w:rsidRPr="00983DF7">
        <w:rPr>
          <w:rFonts w:ascii="Times New Roman" w:hAnsi="Times New Roman"/>
          <w:sz w:val="24"/>
          <w:szCs w:val="24"/>
        </w:rPr>
        <w:t xml:space="preserve">, I. Z., Cooper, B. G., Hall, G. L., </w:t>
      </w:r>
      <w:proofErr w:type="spellStart"/>
      <w:r w:rsidRPr="00983DF7">
        <w:rPr>
          <w:rFonts w:ascii="Times New Roman" w:hAnsi="Times New Roman"/>
          <w:sz w:val="24"/>
          <w:szCs w:val="24"/>
        </w:rPr>
        <w:t>Hallstrand</w:t>
      </w:r>
      <w:proofErr w:type="spellEnd"/>
      <w:r w:rsidRPr="00983DF7">
        <w:rPr>
          <w:rFonts w:ascii="Times New Roman" w:hAnsi="Times New Roman"/>
          <w:sz w:val="24"/>
          <w:szCs w:val="24"/>
        </w:rPr>
        <w:t xml:space="preserve">, T. S., Kaminsky, D. A., McCarthy, K., McCormack, M. C., </w:t>
      </w:r>
      <w:proofErr w:type="spellStart"/>
      <w:r w:rsidRPr="00983DF7">
        <w:rPr>
          <w:rFonts w:ascii="Times New Roman" w:hAnsi="Times New Roman"/>
          <w:sz w:val="24"/>
          <w:szCs w:val="24"/>
        </w:rPr>
        <w:t>Oropez</w:t>
      </w:r>
      <w:proofErr w:type="spellEnd"/>
      <w:r w:rsidRPr="00983DF7">
        <w:rPr>
          <w:rFonts w:ascii="Times New Roman" w:hAnsi="Times New Roman"/>
          <w:sz w:val="24"/>
          <w:szCs w:val="24"/>
        </w:rPr>
        <w:t xml:space="preserve">, C. E., Rosenfeld, M., Stanojevic, S., </w:t>
      </w:r>
      <w:proofErr w:type="spellStart"/>
      <w:r w:rsidRPr="00983DF7">
        <w:rPr>
          <w:rFonts w:ascii="Times New Roman" w:hAnsi="Times New Roman"/>
          <w:sz w:val="24"/>
          <w:szCs w:val="24"/>
        </w:rPr>
        <w:t>Swanney</w:t>
      </w:r>
      <w:proofErr w:type="spellEnd"/>
      <w:r w:rsidRPr="00983DF7">
        <w:rPr>
          <w:rFonts w:ascii="Times New Roman" w:hAnsi="Times New Roman"/>
          <w:sz w:val="24"/>
          <w:szCs w:val="24"/>
        </w:rPr>
        <w:t xml:space="preserve">, M. P., &amp; Thompson, B. R. (2019). Standardization of spirometry 2019 update: An official American Thoracic Society and European Respiratory Society technical statement. </w:t>
      </w:r>
      <w:r w:rsidRPr="00983DF7">
        <w:rPr>
          <w:rFonts w:ascii="Times New Roman" w:hAnsi="Times New Roman"/>
          <w:i/>
          <w:iCs/>
          <w:sz w:val="24"/>
          <w:szCs w:val="24"/>
        </w:rPr>
        <w:t>American Journal of Respiratory and Critical Care Medicine, 200</w:t>
      </w:r>
      <w:r w:rsidRPr="00983DF7">
        <w:rPr>
          <w:rFonts w:ascii="Times New Roman" w:hAnsi="Times New Roman"/>
          <w:sz w:val="24"/>
          <w:szCs w:val="24"/>
        </w:rPr>
        <w:t xml:space="preserve">(8), e70–e88. </w:t>
      </w:r>
      <w:hyperlink r:id="rId35" w:history="1">
        <w:r w:rsidRPr="00983DF7">
          <w:rPr>
            <w:rFonts w:ascii="Times New Roman" w:hAnsi="Times New Roman"/>
            <w:color w:val="0000FF"/>
            <w:sz w:val="24"/>
            <w:szCs w:val="24"/>
            <w:u w:val="single"/>
          </w:rPr>
          <w:t>https://doi.org/10.1164/rccm.201908-1590ST</w:t>
        </w:r>
      </w:hyperlink>
    </w:p>
    <w:p w14:paraId="741D895A" w14:textId="77777777" w:rsidR="00983DF7" w:rsidRPr="00983DF7" w:rsidRDefault="00983DF7" w:rsidP="00983DF7">
      <w:pPr>
        <w:spacing w:before="100" w:beforeAutospacing="1" w:after="100" w:afterAutospacing="1"/>
        <w:rPr>
          <w:rFonts w:ascii="Times New Roman" w:hAnsi="Times New Roman"/>
          <w:sz w:val="24"/>
          <w:szCs w:val="24"/>
        </w:rPr>
      </w:pPr>
      <w:r w:rsidRPr="00983DF7">
        <w:rPr>
          <w:rFonts w:ascii="Times New Roman" w:hAnsi="Times New Roman"/>
          <w:sz w:val="24"/>
          <w:szCs w:val="24"/>
        </w:rPr>
        <w:t xml:space="preserve">Hernández-Pérez, T., Gómez-García, M. del R., Valverde, M. E., &amp; Paredes-López, O. (2020). </w:t>
      </w:r>
      <w:r w:rsidRPr="00983DF7">
        <w:rPr>
          <w:rFonts w:ascii="Times New Roman" w:hAnsi="Times New Roman"/>
          <w:i/>
          <w:iCs/>
          <w:sz w:val="24"/>
          <w:szCs w:val="24"/>
        </w:rPr>
        <w:t>Capsicum annuum</w:t>
      </w:r>
      <w:r w:rsidRPr="00983DF7">
        <w:rPr>
          <w:rFonts w:ascii="Times New Roman" w:hAnsi="Times New Roman"/>
          <w:sz w:val="24"/>
          <w:szCs w:val="24"/>
        </w:rPr>
        <w:t xml:space="preserve"> (hot pepper): An ancient Latin-American crop with outstanding bioactive compounds and nutraceutical potential. A review. </w:t>
      </w:r>
      <w:r w:rsidRPr="00983DF7">
        <w:rPr>
          <w:rFonts w:ascii="Times New Roman" w:hAnsi="Times New Roman"/>
          <w:i/>
          <w:iCs/>
          <w:sz w:val="24"/>
          <w:szCs w:val="24"/>
        </w:rPr>
        <w:t>Comprehensive Reviews in Food Science and Food Safety, 19</w:t>
      </w:r>
      <w:r w:rsidRPr="00983DF7">
        <w:rPr>
          <w:rFonts w:ascii="Times New Roman" w:hAnsi="Times New Roman"/>
          <w:sz w:val="24"/>
          <w:szCs w:val="24"/>
        </w:rPr>
        <w:t xml:space="preserve">(6), 2972–2993. </w:t>
      </w:r>
      <w:hyperlink r:id="rId36" w:history="1">
        <w:r w:rsidRPr="00983DF7">
          <w:rPr>
            <w:rFonts w:ascii="Times New Roman" w:hAnsi="Times New Roman"/>
            <w:color w:val="0000FF"/>
            <w:sz w:val="24"/>
            <w:szCs w:val="24"/>
            <w:u w:val="single"/>
          </w:rPr>
          <w:t>https://doi.org/10.1111/1541-4337.12634</w:t>
        </w:r>
      </w:hyperlink>
    </w:p>
    <w:p w14:paraId="2C2B358A" w14:textId="77777777" w:rsidR="00983DF7" w:rsidRPr="00983DF7" w:rsidRDefault="00983DF7" w:rsidP="00983DF7">
      <w:pPr>
        <w:spacing w:before="100" w:beforeAutospacing="1" w:after="100" w:afterAutospacing="1"/>
        <w:rPr>
          <w:rFonts w:ascii="Times New Roman" w:hAnsi="Times New Roman"/>
          <w:sz w:val="24"/>
          <w:szCs w:val="24"/>
        </w:rPr>
      </w:pPr>
      <w:r w:rsidRPr="00983DF7">
        <w:rPr>
          <w:rFonts w:ascii="Times New Roman" w:hAnsi="Times New Roman"/>
          <w:sz w:val="24"/>
          <w:szCs w:val="24"/>
        </w:rPr>
        <w:t xml:space="preserve">Joos, G. F., O’Connor, B., Anderson, S. D., Chung, F., Cockcroft, D. W., Dahlén, B., DiMaria, G., Foresi, A., Hargreave, F. E., Holgate, S. T., Inman, M., </w:t>
      </w:r>
      <w:proofErr w:type="spellStart"/>
      <w:r w:rsidRPr="00983DF7">
        <w:rPr>
          <w:rFonts w:ascii="Times New Roman" w:hAnsi="Times New Roman"/>
          <w:sz w:val="24"/>
          <w:szCs w:val="24"/>
        </w:rPr>
        <w:t>Lötvall</w:t>
      </w:r>
      <w:proofErr w:type="spellEnd"/>
      <w:r w:rsidRPr="00983DF7">
        <w:rPr>
          <w:rFonts w:ascii="Times New Roman" w:hAnsi="Times New Roman"/>
          <w:sz w:val="24"/>
          <w:szCs w:val="24"/>
        </w:rPr>
        <w:t xml:space="preserve">, J., Magnussen, H., </w:t>
      </w:r>
      <w:proofErr w:type="spellStart"/>
      <w:r w:rsidRPr="00983DF7">
        <w:rPr>
          <w:rFonts w:ascii="Times New Roman" w:hAnsi="Times New Roman"/>
          <w:sz w:val="24"/>
          <w:szCs w:val="24"/>
        </w:rPr>
        <w:t>Polosa</w:t>
      </w:r>
      <w:proofErr w:type="spellEnd"/>
      <w:r w:rsidRPr="00983DF7">
        <w:rPr>
          <w:rFonts w:ascii="Times New Roman" w:hAnsi="Times New Roman"/>
          <w:sz w:val="24"/>
          <w:szCs w:val="24"/>
        </w:rPr>
        <w:t xml:space="preserve">, R., Postma, D. S., Riedler, J., &amp; ERS Task Force. (2003). Indirect airway challenges. </w:t>
      </w:r>
      <w:r w:rsidRPr="00983DF7">
        <w:rPr>
          <w:rFonts w:ascii="Times New Roman" w:hAnsi="Times New Roman"/>
          <w:i/>
          <w:iCs/>
          <w:sz w:val="24"/>
          <w:szCs w:val="24"/>
        </w:rPr>
        <w:t>European Respiratory Journal, 21</w:t>
      </w:r>
      <w:r w:rsidRPr="00983DF7">
        <w:rPr>
          <w:rFonts w:ascii="Times New Roman" w:hAnsi="Times New Roman"/>
          <w:sz w:val="24"/>
          <w:szCs w:val="24"/>
        </w:rPr>
        <w:t xml:space="preserve">(6), 1050–1068. </w:t>
      </w:r>
      <w:hyperlink r:id="rId37" w:history="1">
        <w:r w:rsidRPr="00983DF7">
          <w:rPr>
            <w:rFonts w:ascii="Times New Roman" w:hAnsi="Times New Roman"/>
            <w:color w:val="0000FF"/>
            <w:sz w:val="24"/>
            <w:szCs w:val="24"/>
            <w:u w:val="single"/>
          </w:rPr>
          <w:t>https://doi.org/10.1183/09031936.03.00008403</w:t>
        </w:r>
      </w:hyperlink>
    </w:p>
    <w:p w14:paraId="10B1B2A5" w14:textId="77777777" w:rsidR="00983DF7" w:rsidRPr="00983DF7" w:rsidRDefault="00983DF7" w:rsidP="00983DF7">
      <w:pPr>
        <w:spacing w:before="100" w:beforeAutospacing="1" w:after="100" w:afterAutospacing="1"/>
        <w:rPr>
          <w:rFonts w:ascii="Times New Roman" w:hAnsi="Times New Roman"/>
          <w:sz w:val="24"/>
          <w:szCs w:val="24"/>
        </w:rPr>
      </w:pPr>
      <w:r w:rsidRPr="00983DF7">
        <w:rPr>
          <w:rFonts w:ascii="Times New Roman" w:hAnsi="Times New Roman"/>
          <w:sz w:val="24"/>
          <w:szCs w:val="24"/>
        </w:rPr>
        <w:t xml:space="preserve">Mazzone, S. B., &amp; Undem, B. J. (2016). Vagal afferent innervation of the airways in health and disease. </w:t>
      </w:r>
      <w:r w:rsidRPr="00983DF7">
        <w:rPr>
          <w:rFonts w:ascii="Times New Roman" w:hAnsi="Times New Roman"/>
          <w:i/>
          <w:iCs/>
          <w:sz w:val="24"/>
          <w:szCs w:val="24"/>
        </w:rPr>
        <w:t>Physiological Reviews, 96</w:t>
      </w:r>
      <w:r w:rsidRPr="00983DF7">
        <w:rPr>
          <w:rFonts w:ascii="Times New Roman" w:hAnsi="Times New Roman"/>
          <w:sz w:val="24"/>
          <w:szCs w:val="24"/>
        </w:rPr>
        <w:t xml:space="preserve">(3), 975–1024. </w:t>
      </w:r>
      <w:hyperlink r:id="rId38" w:history="1">
        <w:r w:rsidRPr="00983DF7">
          <w:rPr>
            <w:rFonts w:ascii="Times New Roman" w:hAnsi="Times New Roman"/>
            <w:color w:val="0000FF"/>
            <w:sz w:val="24"/>
            <w:szCs w:val="24"/>
            <w:u w:val="single"/>
          </w:rPr>
          <w:t>https://doi.org/10.1152/physrev.00039.2015</w:t>
        </w:r>
      </w:hyperlink>
    </w:p>
    <w:p w14:paraId="0C1F30AC" w14:textId="77777777" w:rsidR="00983DF7" w:rsidRPr="00983DF7" w:rsidRDefault="00983DF7" w:rsidP="00983DF7">
      <w:pPr>
        <w:spacing w:before="100" w:beforeAutospacing="1" w:after="100" w:afterAutospacing="1"/>
        <w:rPr>
          <w:rFonts w:ascii="Times New Roman" w:hAnsi="Times New Roman"/>
          <w:sz w:val="24"/>
          <w:szCs w:val="24"/>
        </w:rPr>
      </w:pPr>
      <w:r w:rsidRPr="00983DF7">
        <w:rPr>
          <w:rFonts w:ascii="Times New Roman" w:hAnsi="Times New Roman"/>
          <w:sz w:val="24"/>
          <w:szCs w:val="24"/>
        </w:rPr>
        <w:t xml:space="preserve">Nicholson, P. J., Cullinan, P., Taylor, A. J. N., Burge, P. S., &amp; Boyle, C. (2005). Evidence-based guidelines for the prevention, identification, and management of occupational asthma. </w:t>
      </w:r>
      <w:r w:rsidRPr="00983DF7">
        <w:rPr>
          <w:rFonts w:ascii="Times New Roman" w:hAnsi="Times New Roman"/>
          <w:i/>
          <w:iCs/>
          <w:sz w:val="24"/>
          <w:szCs w:val="24"/>
        </w:rPr>
        <w:t>Occupational and Environmental Medicine, 62</w:t>
      </w:r>
      <w:r w:rsidRPr="00983DF7">
        <w:rPr>
          <w:rFonts w:ascii="Times New Roman" w:hAnsi="Times New Roman"/>
          <w:sz w:val="24"/>
          <w:szCs w:val="24"/>
        </w:rPr>
        <w:t xml:space="preserve">(5), 290–299. </w:t>
      </w:r>
      <w:hyperlink r:id="rId39" w:history="1">
        <w:r w:rsidRPr="00983DF7">
          <w:rPr>
            <w:rFonts w:ascii="Times New Roman" w:hAnsi="Times New Roman"/>
            <w:color w:val="0000FF"/>
            <w:sz w:val="24"/>
            <w:szCs w:val="24"/>
            <w:u w:val="single"/>
          </w:rPr>
          <w:t>https://doi.org/10.1136/oem.2004.016287</w:t>
        </w:r>
      </w:hyperlink>
    </w:p>
    <w:p w14:paraId="239AE9F6" w14:textId="77777777" w:rsidR="00983DF7" w:rsidRPr="00983DF7" w:rsidRDefault="00983DF7" w:rsidP="00983DF7">
      <w:pPr>
        <w:spacing w:before="100" w:beforeAutospacing="1" w:after="100" w:afterAutospacing="1"/>
        <w:rPr>
          <w:rFonts w:ascii="Times New Roman" w:hAnsi="Times New Roman"/>
          <w:sz w:val="24"/>
          <w:szCs w:val="24"/>
        </w:rPr>
      </w:pPr>
      <w:r w:rsidRPr="00983DF7">
        <w:rPr>
          <w:rFonts w:ascii="Times New Roman" w:hAnsi="Times New Roman"/>
          <w:sz w:val="24"/>
          <w:szCs w:val="24"/>
        </w:rPr>
        <w:t xml:space="preserve">Orji, O. J., </w:t>
      </w:r>
      <w:proofErr w:type="spellStart"/>
      <w:r w:rsidRPr="00983DF7">
        <w:rPr>
          <w:rFonts w:ascii="Times New Roman" w:hAnsi="Times New Roman"/>
          <w:sz w:val="24"/>
          <w:szCs w:val="24"/>
        </w:rPr>
        <w:t>Ijioma</w:t>
      </w:r>
      <w:proofErr w:type="spellEnd"/>
      <w:r w:rsidRPr="00983DF7">
        <w:rPr>
          <w:rFonts w:ascii="Times New Roman" w:hAnsi="Times New Roman"/>
          <w:sz w:val="24"/>
          <w:szCs w:val="24"/>
        </w:rPr>
        <w:t xml:space="preserve">, C. E., </w:t>
      </w:r>
      <w:proofErr w:type="spellStart"/>
      <w:r w:rsidRPr="00983DF7">
        <w:rPr>
          <w:rFonts w:ascii="Times New Roman" w:hAnsi="Times New Roman"/>
          <w:sz w:val="24"/>
          <w:szCs w:val="24"/>
        </w:rPr>
        <w:t>Ekeleme</w:t>
      </w:r>
      <w:proofErr w:type="spellEnd"/>
      <w:r w:rsidRPr="00983DF7">
        <w:rPr>
          <w:rFonts w:ascii="Times New Roman" w:hAnsi="Times New Roman"/>
          <w:sz w:val="24"/>
          <w:szCs w:val="24"/>
        </w:rPr>
        <w:t xml:space="preserve">, N. C., Uduma, V. U., Abali, I. O., </w:t>
      </w:r>
      <w:proofErr w:type="spellStart"/>
      <w:r w:rsidRPr="00983DF7">
        <w:rPr>
          <w:rFonts w:ascii="Times New Roman" w:hAnsi="Times New Roman"/>
          <w:sz w:val="24"/>
          <w:szCs w:val="24"/>
        </w:rPr>
        <w:t>Okeji</w:t>
      </w:r>
      <w:proofErr w:type="spellEnd"/>
      <w:r w:rsidRPr="00983DF7">
        <w:rPr>
          <w:rFonts w:ascii="Times New Roman" w:hAnsi="Times New Roman"/>
          <w:sz w:val="24"/>
          <w:szCs w:val="24"/>
        </w:rPr>
        <w:t xml:space="preserve">, I. E., Olusakin, T. C., </w:t>
      </w:r>
      <w:proofErr w:type="spellStart"/>
      <w:r w:rsidRPr="00983DF7">
        <w:rPr>
          <w:rFonts w:ascii="Times New Roman" w:hAnsi="Times New Roman"/>
          <w:sz w:val="24"/>
          <w:szCs w:val="24"/>
        </w:rPr>
        <w:t>Odufuwa</w:t>
      </w:r>
      <w:proofErr w:type="spellEnd"/>
      <w:r w:rsidRPr="00983DF7">
        <w:rPr>
          <w:rFonts w:ascii="Times New Roman" w:hAnsi="Times New Roman"/>
          <w:sz w:val="24"/>
          <w:szCs w:val="24"/>
        </w:rPr>
        <w:t xml:space="preserve">, O. O., </w:t>
      </w:r>
      <w:proofErr w:type="spellStart"/>
      <w:r w:rsidRPr="00983DF7">
        <w:rPr>
          <w:rFonts w:ascii="Times New Roman" w:hAnsi="Times New Roman"/>
          <w:sz w:val="24"/>
          <w:szCs w:val="24"/>
        </w:rPr>
        <w:t>Onyeoguzoro</w:t>
      </w:r>
      <w:proofErr w:type="spellEnd"/>
      <w:r w:rsidRPr="00983DF7">
        <w:rPr>
          <w:rFonts w:ascii="Times New Roman" w:hAnsi="Times New Roman"/>
          <w:sz w:val="24"/>
          <w:szCs w:val="24"/>
        </w:rPr>
        <w:t xml:space="preserve">, A. C., Aminu Ayinde, O. E., </w:t>
      </w:r>
      <w:proofErr w:type="spellStart"/>
      <w:r w:rsidRPr="00983DF7">
        <w:rPr>
          <w:rFonts w:ascii="Times New Roman" w:hAnsi="Times New Roman"/>
          <w:sz w:val="24"/>
          <w:szCs w:val="24"/>
        </w:rPr>
        <w:t>Maduku</w:t>
      </w:r>
      <w:proofErr w:type="spellEnd"/>
      <w:r w:rsidRPr="00983DF7">
        <w:rPr>
          <w:rFonts w:ascii="Times New Roman" w:hAnsi="Times New Roman"/>
          <w:sz w:val="24"/>
          <w:szCs w:val="24"/>
        </w:rPr>
        <w:t xml:space="preserve">, E. J., &amp; </w:t>
      </w:r>
      <w:proofErr w:type="spellStart"/>
      <w:r w:rsidRPr="00983DF7">
        <w:rPr>
          <w:rFonts w:ascii="Times New Roman" w:hAnsi="Times New Roman"/>
          <w:sz w:val="24"/>
          <w:szCs w:val="24"/>
        </w:rPr>
        <w:t>Airaodion</w:t>
      </w:r>
      <w:proofErr w:type="spellEnd"/>
      <w:r w:rsidRPr="00983DF7">
        <w:rPr>
          <w:rFonts w:ascii="Times New Roman" w:hAnsi="Times New Roman"/>
          <w:sz w:val="24"/>
          <w:szCs w:val="24"/>
        </w:rPr>
        <w:t xml:space="preserve">, A. I. (2023). Evaluation of respiratory symptoms and lung function in car spray painters in Ibadan, Nigeria. </w:t>
      </w:r>
      <w:r w:rsidRPr="00983DF7">
        <w:rPr>
          <w:rFonts w:ascii="Times New Roman" w:hAnsi="Times New Roman"/>
          <w:i/>
          <w:iCs/>
          <w:sz w:val="24"/>
          <w:szCs w:val="24"/>
        </w:rPr>
        <w:t>Journal of Advances in Medicine and Medical Research, 35</w:t>
      </w:r>
      <w:r w:rsidRPr="00983DF7">
        <w:rPr>
          <w:rFonts w:ascii="Times New Roman" w:hAnsi="Times New Roman"/>
          <w:sz w:val="24"/>
          <w:szCs w:val="24"/>
        </w:rPr>
        <w:t xml:space="preserve">(19), 237–250. </w:t>
      </w:r>
      <w:hyperlink r:id="rId40" w:history="1">
        <w:r w:rsidRPr="00983DF7">
          <w:rPr>
            <w:rFonts w:ascii="Times New Roman" w:hAnsi="Times New Roman"/>
            <w:color w:val="0000FF"/>
            <w:sz w:val="24"/>
            <w:szCs w:val="24"/>
            <w:u w:val="single"/>
          </w:rPr>
          <w:t>https://doi.org/10.9734/jammr/2023/v35i195156</w:t>
        </w:r>
      </w:hyperlink>
    </w:p>
    <w:p w14:paraId="090E540B" w14:textId="77777777" w:rsidR="00983DF7" w:rsidRPr="00983DF7" w:rsidRDefault="00983DF7" w:rsidP="00983DF7">
      <w:pPr>
        <w:spacing w:before="100" w:beforeAutospacing="1" w:after="100" w:afterAutospacing="1"/>
        <w:rPr>
          <w:rFonts w:ascii="Times New Roman" w:hAnsi="Times New Roman"/>
          <w:sz w:val="24"/>
          <w:szCs w:val="24"/>
        </w:rPr>
      </w:pPr>
      <w:proofErr w:type="spellStart"/>
      <w:r w:rsidRPr="00983DF7">
        <w:rPr>
          <w:rFonts w:ascii="Times New Roman" w:hAnsi="Times New Roman"/>
          <w:sz w:val="24"/>
          <w:szCs w:val="24"/>
        </w:rPr>
        <w:lastRenderedPageBreak/>
        <w:t>Quanjer</w:t>
      </w:r>
      <w:proofErr w:type="spellEnd"/>
      <w:r w:rsidRPr="00983DF7">
        <w:rPr>
          <w:rFonts w:ascii="Times New Roman" w:hAnsi="Times New Roman"/>
          <w:sz w:val="24"/>
          <w:szCs w:val="24"/>
        </w:rPr>
        <w:t xml:space="preserve">, P. H., Stanojevic, S., Cole, T. J., Baur, X., Hall, G. L., Culver, B. H., Enright, P. L., Hankinson, J. L., Ip, M. S. M., Zheng, J., Stocks, J., &amp; ERS Global Lung Function Initiative. (2012). Multi-ethnic reference values for spirometry for the 3–95-year age range: The Global Lung Function 2012 equations. </w:t>
      </w:r>
      <w:r w:rsidRPr="00983DF7">
        <w:rPr>
          <w:rFonts w:ascii="Times New Roman" w:hAnsi="Times New Roman"/>
          <w:i/>
          <w:iCs/>
          <w:sz w:val="24"/>
          <w:szCs w:val="24"/>
        </w:rPr>
        <w:t>European Respiratory Journal, 40</w:t>
      </w:r>
      <w:r w:rsidRPr="00983DF7">
        <w:rPr>
          <w:rFonts w:ascii="Times New Roman" w:hAnsi="Times New Roman"/>
          <w:sz w:val="24"/>
          <w:szCs w:val="24"/>
        </w:rPr>
        <w:t xml:space="preserve">(6), 1324–1343. </w:t>
      </w:r>
      <w:hyperlink r:id="rId41" w:history="1">
        <w:r w:rsidRPr="00983DF7">
          <w:rPr>
            <w:rFonts w:ascii="Times New Roman" w:hAnsi="Times New Roman"/>
            <w:color w:val="0000FF"/>
            <w:sz w:val="24"/>
            <w:szCs w:val="24"/>
            <w:u w:val="single"/>
          </w:rPr>
          <w:t>https://doi.org/10.1183/09031936.00080312</w:t>
        </w:r>
      </w:hyperlink>
    </w:p>
    <w:p w14:paraId="05BADD07" w14:textId="77777777" w:rsidR="00983DF7" w:rsidRPr="00983DF7" w:rsidRDefault="00983DF7" w:rsidP="00983DF7">
      <w:pPr>
        <w:spacing w:before="100" w:beforeAutospacing="1" w:after="100" w:afterAutospacing="1"/>
        <w:rPr>
          <w:rFonts w:ascii="Times New Roman" w:hAnsi="Times New Roman"/>
          <w:sz w:val="24"/>
          <w:szCs w:val="24"/>
        </w:rPr>
      </w:pPr>
      <w:r w:rsidRPr="00983DF7">
        <w:rPr>
          <w:rFonts w:ascii="Times New Roman" w:hAnsi="Times New Roman"/>
          <w:sz w:val="24"/>
          <w:szCs w:val="24"/>
        </w:rPr>
        <w:t xml:space="preserve">Ryan, T. P. (2013). </w:t>
      </w:r>
      <w:r w:rsidRPr="00983DF7">
        <w:rPr>
          <w:rFonts w:ascii="Times New Roman" w:hAnsi="Times New Roman"/>
          <w:i/>
          <w:iCs/>
          <w:sz w:val="24"/>
          <w:szCs w:val="24"/>
        </w:rPr>
        <w:t>Sample size determination and power</w:t>
      </w:r>
      <w:r w:rsidRPr="00983DF7">
        <w:rPr>
          <w:rFonts w:ascii="Times New Roman" w:hAnsi="Times New Roman"/>
          <w:sz w:val="24"/>
          <w:szCs w:val="24"/>
        </w:rPr>
        <w:t xml:space="preserve">. John Wiley &amp; Sons. </w:t>
      </w:r>
      <w:hyperlink r:id="rId42" w:history="1">
        <w:r w:rsidRPr="00983DF7">
          <w:rPr>
            <w:rFonts w:ascii="Times New Roman" w:hAnsi="Times New Roman"/>
            <w:color w:val="0000FF"/>
            <w:sz w:val="24"/>
            <w:szCs w:val="24"/>
            <w:u w:val="single"/>
          </w:rPr>
          <w:t>https://doi.org/10.1002/9781118439241</w:t>
        </w:r>
      </w:hyperlink>
    </w:p>
    <w:p w14:paraId="6CBDFD67" w14:textId="77777777" w:rsidR="00983DF7" w:rsidRPr="00983DF7" w:rsidRDefault="00983DF7" w:rsidP="00983DF7">
      <w:pPr>
        <w:spacing w:before="100" w:beforeAutospacing="1" w:after="100" w:afterAutospacing="1"/>
        <w:rPr>
          <w:rFonts w:ascii="Times New Roman" w:hAnsi="Times New Roman"/>
          <w:sz w:val="24"/>
          <w:szCs w:val="24"/>
        </w:rPr>
      </w:pPr>
      <w:r w:rsidRPr="00983DF7">
        <w:rPr>
          <w:rFonts w:ascii="Times New Roman" w:hAnsi="Times New Roman"/>
          <w:sz w:val="24"/>
          <w:szCs w:val="24"/>
        </w:rPr>
        <w:t xml:space="preserve">Tarlo, S. M., &amp; </w:t>
      </w:r>
      <w:proofErr w:type="spellStart"/>
      <w:r w:rsidRPr="00983DF7">
        <w:rPr>
          <w:rFonts w:ascii="Times New Roman" w:hAnsi="Times New Roman"/>
          <w:sz w:val="24"/>
          <w:szCs w:val="24"/>
        </w:rPr>
        <w:t>Lemiere</w:t>
      </w:r>
      <w:proofErr w:type="spellEnd"/>
      <w:r w:rsidRPr="00983DF7">
        <w:rPr>
          <w:rFonts w:ascii="Times New Roman" w:hAnsi="Times New Roman"/>
          <w:sz w:val="24"/>
          <w:szCs w:val="24"/>
        </w:rPr>
        <w:t xml:space="preserve">, C. (2014). Occupational asthma. </w:t>
      </w:r>
      <w:r w:rsidRPr="00983DF7">
        <w:rPr>
          <w:rFonts w:ascii="Times New Roman" w:hAnsi="Times New Roman"/>
          <w:i/>
          <w:iCs/>
          <w:sz w:val="24"/>
          <w:szCs w:val="24"/>
        </w:rPr>
        <w:t>New England Journal of Medicine, 370</w:t>
      </w:r>
      <w:r w:rsidRPr="00983DF7">
        <w:rPr>
          <w:rFonts w:ascii="Times New Roman" w:hAnsi="Times New Roman"/>
          <w:sz w:val="24"/>
          <w:szCs w:val="24"/>
        </w:rPr>
        <w:t xml:space="preserve">(7), 640–649. </w:t>
      </w:r>
      <w:hyperlink r:id="rId43" w:history="1">
        <w:r w:rsidRPr="00983DF7">
          <w:rPr>
            <w:rFonts w:ascii="Times New Roman" w:hAnsi="Times New Roman"/>
            <w:color w:val="0000FF"/>
            <w:sz w:val="24"/>
            <w:szCs w:val="24"/>
            <w:u w:val="single"/>
          </w:rPr>
          <w:t>https://doi.org/10.1056/NEJMra1301758</w:t>
        </w:r>
      </w:hyperlink>
    </w:p>
    <w:p w14:paraId="4FAF4A88" w14:textId="77777777" w:rsidR="00983DF7" w:rsidRPr="00983DF7" w:rsidRDefault="00983DF7" w:rsidP="00983DF7">
      <w:pPr>
        <w:spacing w:before="100" w:beforeAutospacing="1" w:after="100" w:afterAutospacing="1"/>
        <w:rPr>
          <w:rFonts w:ascii="Times New Roman" w:hAnsi="Times New Roman"/>
          <w:sz w:val="24"/>
          <w:szCs w:val="24"/>
        </w:rPr>
      </w:pPr>
      <w:r w:rsidRPr="00983DF7">
        <w:rPr>
          <w:rFonts w:ascii="Times New Roman" w:hAnsi="Times New Roman"/>
          <w:sz w:val="24"/>
          <w:szCs w:val="24"/>
        </w:rPr>
        <w:t xml:space="preserve">van der Walt, A., Lopata, A. L., Nieuwenhuizen, N. E., &amp; </w:t>
      </w:r>
      <w:proofErr w:type="spellStart"/>
      <w:r w:rsidRPr="00983DF7">
        <w:rPr>
          <w:rFonts w:ascii="Times New Roman" w:hAnsi="Times New Roman"/>
          <w:sz w:val="24"/>
          <w:szCs w:val="24"/>
        </w:rPr>
        <w:t>Jeebhay</w:t>
      </w:r>
      <w:proofErr w:type="spellEnd"/>
      <w:r w:rsidRPr="00983DF7">
        <w:rPr>
          <w:rFonts w:ascii="Times New Roman" w:hAnsi="Times New Roman"/>
          <w:sz w:val="24"/>
          <w:szCs w:val="24"/>
        </w:rPr>
        <w:t xml:space="preserve">, M. F. (2010). Work-related allergy and asthma in spice mill workers: The impact of processing dried spices on IgE reactivity patterns. </w:t>
      </w:r>
      <w:r w:rsidRPr="00983DF7">
        <w:rPr>
          <w:rFonts w:ascii="Times New Roman" w:hAnsi="Times New Roman"/>
          <w:i/>
          <w:iCs/>
          <w:sz w:val="24"/>
          <w:szCs w:val="24"/>
        </w:rPr>
        <w:t>International Archives of Allergy and Immunology, 152</w:t>
      </w:r>
      <w:r w:rsidRPr="00983DF7">
        <w:rPr>
          <w:rFonts w:ascii="Times New Roman" w:hAnsi="Times New Roman"/>
          <w:sz w:val="24"/>
          <w:szCs w:val="24"/>
        </w:rPr>
        <w:t xml:space="preserve">(3), 271–278. </w:t>
      </w:r>
      <w:hyperlink r:id="rId44" w:history="1">
        <w:r w:rsidRPr="00983DF7">
          <w:rPr>
            <w:rFonts w:ascii="Times New Roman" w:hAnsi="Times New Roman"/>
            <w:color w:val="0000FF"/>
            <w:sz w:val="24"/>
            <w:szCs w:val="24"/>
            <w:u w:val="single"/>
          </w:rPr>
          <w:t>https://doi.org/10.1159/000283038</w:t>
        </w:r>
      </w:hyperlink>
    </w:p>
    <w:p w14:paraId="12CB35D3" w14:textId="77777777" w:rsidR="00983DF7" w:rsidRPr="00983DF7" w:rsidRDefault="00983DF7" w:rsidP="00983DF7">
      <w:pPr>
        <w:spacing w:before="100" w:beforeAutospacing="1" w:after="100" w:afterAutospacing="1"/>
        <w:rPr>
          <w:rFonts w:ascii="Times New Roman" w:hAnsi="Times New Roman"/>
          <w:sz w:val="24"/>
          <w:szCs w:val="24"/>
        </w:rPr>
      </w:pPr>
      <w:r w:rsidRPr="00983DF7">
        <w:rPr>
          <w:rFonts w:ascii="Times New Roman" w:hAnsi="Times New Roman"/>
          <w:sz w:val="24"/>
          <w:szCs w:val="24"/>
        </w:rPr>
        <w:t xml:space="preserve">Vandenplas, O., Dressel, H., Wilken, D., </w:t>
      </w:r>
      <w:proofErr w:type="spellStart"/>
      <w:r w:rsidRPr="00983DF7">
        <w:rPr>
          <w:rFonts w:ascii="Times New Roman" w:hAnsi="Times New Roman"/>
          <w:sz w:val="24"/>
          <w:szCs w:val="24"/>
        </w:rPr>
        <w:t>Jamart</w:t>
      </w:r>
      <w:proofErr w:type="spellEnd"/>
      <w:r w:rsidRPr="00983DF7">
        <w:rPr>
          <w:rFonts w:ascii="Times New Roman" w:hAnsi="Times New Roman"/>
          <w:sz w:val="24"/>
          <w:szCs w:val="24"/>
        </w:rPr>
        <w:t xml:space="preserve">, J., </w:t>
      </w:r>
      <w:proofErr w:type="spellStart"/>
      <w:r w:rsidRPr="00983DF7">
        <w:rPr>
          <w:rFonts w:ascii="Times New Roman" w:hAnsi="Times New Roman"/>
          <w:sz w:val="24"/>
          <w:szCs w:val="24"/>
        </w:rPr>
        <w:t>Heederik</w:t>
      </w:r>
      <w:proofErr w:type="spellEnd"/>
      <w:r w:rsidRPr="00983DF7">
        <w:rPr>
          <w:rFonts w:ascii="Times New Roman" w:hAnsi="Times New Roman"/>
          <w:sz w:val="24"/>
          <w:szCs w:val="24"/>
        </w:rPr>
        <w:t xml:space="preserve">, D., </w:t>
      </w:r>
      <w:proofErr w:type="spellStart"/>
      <w:r w:rsidRPr="00983DF7">
        <w:rPr>
          <w:rFonts w:ascii="Times New Roman" w:hAnsi="Times New Roman"/>
          <w:sz w:val="24"/>
          <w:szCs w:val="24"/>
        </w:rPr>
        <w:t>Maestrelli</w:t>
      </w:r>
      <w:proofErr w:type="spellEnd"/>
      <w:r w:rsidRPr="00983DF7">
        <w:rPr>
          <w:rFonts w:ascii="Times New Roman" w:hAnsi="Times New Roman"/>
          <w:sz w:val="24"/>
          <w:szCs w:val="24"/>
        </w:rPr>
        <w:t xml:space="preserve">, P., Sigsgaard, T., Henneberger, P. K., &amp; Baur, X. (2011). Management of occupational asthma: Cessation or reduction of exposure? A systematic review of available evidence. </w:t>
      </w:r>
      <w:r w:rsidRPr="00983DF7">
        <w:rPr>
          <w:rFonts w:ascii="Times New Roman" w:hAnsi="Times New Roman"/>
          <w:i/>
          <w:iCs/>
          <w:sz w:val="24"/>
          <w:szCs w:val="24"/>
        </w:rPr>
        <w:t>European Respiratory Journal, 38</w:t>
      </w:r>
      <w:r w:rsidRPr="00983DF7">
        <w:rPr>
          <w:rFonts w:ascii="Times New Roman" w:hAnsi="Times New Roman"/>
          <w:sz w:val="24"/>
          <w:szCs w:val="24"/>
        </w:rPr>
        <w:t xml:space="preserve">(4), 804–811. </w:t>
      </w:r>
      <w:hyperlink r:id="rId45" w:history="1">
        <w:r w:rsidRPr="00983DF7">
          <w:rPr>
            <w:rFonts w:ascii="Times New Roman" w:hAnsi="Times New Roman"/>
            <w:color w:val="0000FF"/>
            <w:sz w:val="24"/>
            <w:szCs w:val="24"/>
            <w:u w:val="single"/>
          </w:rPr>
          <w:t>https://doi.org/10.1183/09031936.00177510</w:t>
        </w:r>
      </w:hyperlink>
    </w:p>
    <w:p w14:paraId="631EB279" w14:textId="77777777" w:rsidR="00983DF7" w:rsidRPr="00983DF7" w:rsidRDefault="00983DF7" w:rsidP="00983DF7">
      <w:pPr>
        <w:spacing w:before="100" w:beforeAutospacing="1" w:after="100" w:afterAutospacing="1"/>
        <w:rPr>
          <w:rFonts w:ascii="Times New Roman" w:hAnsi="Times New Roman"/>
          <w:sz w:val="24"/>
          <w:szCs w:val="24"/>
        </w:rPr>
      </w:pPr>
      <w:proofErr w:type="spellStart"/>
      <w:r w:rsidRPr="00983DF7">
        <w:rPr>
          <w:rFonts w:ascii="Times New Roman" w:hAnsi="Times New Roman"/>
          <w:sz w:val="24"/>
          <w:szCs w:val="24"/>
        </w:rPr>
        <w:t>Zinzala</w:t>
      </w:r>
      <w:proofErr w:type="spellEnd"/>
      <w:r w:rsidRPr="00983DF7">
        <w:rPr>
          <w:rFonts w:ascii="Times New Roman" w:hAnsi="Times New Roman"/>
          <w:sz w:val="24"/>
          <w:szCs w:val="24"/>
        </w:rPr>
        <w:t xml:space="preserve">, K. B., Shah, M. N., &amp; Gami, S. P. (2026). Prevalence and determinants of </w:t>
      </w:r>
      <w:proofErr w:type="spellStart"/>
      <w:r w:rsidRPr="00983DF7">
        <w:rPr>
          <w:rFonts w:ascii="Times New Roman" w:hAnsi="Times New Roman"/>
          <w:sz w:val="24"/>
          <w:szCs w:val="24"/>
        </w:rPr>
        <w:t>spirometric</w:t>
      </w:r>
      <w:proofErr w:type="spellEnd"/>
      <w:r w:rsidRPr="00983DF7">
        <w:rPr>
          <w:rFonts w:ascii="Times New Roman" w:hAnsi="Times New Roman"/>
          <w:sz w:val="24"/>
          <w:szCs w:val="24"/>
        </w:rPr>
        <w:t xml:space="preserve"> abnormalities among individuals undergoing pulmonary function testing in South Gujarat, India. </w:t>
      </w:r>
      <w:r w:rsidRPr="00983DF7">
        <w:rPr>
          <w:rFonts w:ascii="Times New Roman" w:hAnsi="Times New Roman"/>
          <w:i/>
          <w:iCs/>
          <w:sz w:val="24"/>
          <w:szCs w:val="24"/>
        </w:rPr>
        <w:t>Journal of Medicine and Health Research, 11</w:t>
      </w:r>
      <w:r w:rsidRPr="00983DF7">
        <w:rPr>
          <w:rFonts w:ascii="Times New Roman" w:hAnsi="Times New Roman"/>
          <w:sz w:val="24"/>
          <w:szCs w:val="24"/>
        </w:rPr>
        <w:t xml:space="preserve">(2), 111–120. </w:t>
      </w:r>
      <w:hyperlink r:id="rId46" w:history="1">
        <w:r w:rsidRPr="00983DF7">
          <w:rPr>
            <w:rFonts w:ascii="Times New Roman" w:hAnsi="Times New Roman"/>
            <w:color w:val="0000FF"/>
            <w:sz w:val="24"/>
            <w:szCs w:val="24"/>
            <w:u w:val="single"/>
          </w:rPr>
          <w:t>https://doi.org/10.56557/jomahr/2026/v11i210754</w:t>
        </w:r>
      </w:hyperlink>
    </w:p>
    <w:p w14:paraId="4D6D2091" w14:textId="77777777" w:rsidR="00983DF7" w:rsidRPr="00FB3A86" w:rsidRDefault="00983DF7" w:rsidP="00441B6F">
      <w:pPr>
        <w:pStyle w:val="Appendix"/>
        <w:spacing w:after="0"/>
        <w:jc w:val="both"/>
        <w:rPr>
          <w:rFonts w:ascii="Arial" w:hAnsi="Arial" w:cs="Arial"/>
          <w:b w:val="0"/>
        </w:rPr>
      </w:pPr>
    </w:p>
    <w:sectPr w:rsidR="00983DF7" w:rsidRPr="00FB3A86" w:rsidSect="0081764D">
      <w:headerReference w:type="even" r:id="rId47"/>
      <w:headerReference w:type="default" r:id="rId48"/>
      <w:footerReference w:type="default" r:id="rId49"/>
      <w:headerReference w:type="first" r:id="rId5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76C180" w14:textId="77777777" w:rsidR="0013122A" w:rsidRDefault="0013122A" w:rsidP="00C37E61">
      <w:r>
        <w:separator/>
      </w:r>
    </w:p>
  </w:endnote>
  <w:endnote w:type="continuationSeparator" w:id="0">
    <w:p w14:paraId="5CA87CD9" w14:textId="77777777" w:rsidR="0013122A" w:rsidRDefault="0013122A"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1DC66" w14:textId="77777777" w:rsidR="00561792" w:rsidRDefault="005617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631A0" w14:textId="77777777" w:rsidR="00561792" w:rsidRDefault="005617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C2A02" w14:textId="77777777" w:rsidR="00754C9A" w:rsidRPr="00561792" w:rsidRDefault="00754C9A" w:rsidP="005617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B1E67" w14:textId="77777777" w:rsidR="0081764D" w:rsidRPr="00C37E61" w:rsidRDefault="0081764D" w:rsidP="00C37E6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1B18F"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73FFC9" w14:textId="77777777" w:rsidR="0013122A" w:rsidRDefault="0013122A" w:rsidP="00C37E61">
      <w:r>
        <w:separator/>
      </w:r>
    </w:p>
  </w:footnote>
  <w:footnote w:type="continuationSeparator" w:id="0">
    <w:p w14:paraId="356FC379" w14:textId="77777777" w:rsidR="0013122A" w:rsidRDefault="0013122A"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D4485" w14:textId="77777777" w:rsidR="00561792" w:rsidRDefault="00000000">
    <w:pPr>
      <w:pStyle w:val="Header"/>
    </w:pPr>
    <w:r>
      <w:rPr>
        <w:noProof/>
      </w:rPr>
      <w:pict w14:anchorId="6E0B9E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63"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3B6CA" w14:textId="77777777" w:rsidR="00561792" w:rsidRDefault="00000000">
    <w:pPr>
      <w:pStyle w:val="Header"/>
    </w:pPr>
    <w:r>
      <w:rPr>
        <w:noProof/>
      </w:rPr>
      <w:pict w14:anchorId="4ECB7C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64"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604ED" w14:textId="77777777" w:rsidR="00296529" w:rsidRPr="00296529" w:rsidRDefault="00000000" w:rsidP="00296529">
    <w:pPr>
      <w:ind w:left="2160"/>
      <w:jc w:val="center"/>
      <w:rPr>
        <w:rFonts w:ascii="Times New Roman" w:eastAsia="Calibri" w:hAnsi="Times New Roman"/>
        <w:i/>
        <w:sz w:val="18"/>
        <w:szCs w:val="22"/>
      </w:rPr>
    </w:pPr>
    <w:r>
      <w:rPr>
        <w:noProof/>
      </w:rPr>
      <w:pict w14:anchorId="6F61B3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62"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7DD7F36D"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60A29C33"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94F3741"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F079393"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70B55BDF"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892624F"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041EF" w14:textId="77777777" w:rsidR="00561792" w:rsidRDefault="00000000">
    <w:pPr>
      <w:pStyle w:val="Header"/>
    </w:pPr>
    <w:r>
      <w:rPr>
        <w:noProof/>
      </w:rPr>
      <w:pict w14:anchorId="123397A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66" o:spid="_x0000_s1031" type="#_x0000_t136" style="position:absolute;margin-left:0;margin-top:0;width:520.6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604D9571">
        <v:shape id="_x0000_s1030" type="#_x0000_t136" style="position:absolute;margin-left:0;margin-top:0;width:520.6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2E17F" w14:textId="77777777" w:rsidR="00561792" w:rsidRDefault="00000000">
    <w:pPr>
      <w:pStyle w:val="Header"/>
    </w:pPr>
    <w:r>
      <w:rPr>
        <w:noProof/>
      </w:rPr>
      <w:pict w14:anchorId="1B6AFD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67" o:spid="_x0000_s1033" type="#_x0000_t136" style="position:absolute;margin-left:0;margin-top:0;width:520.6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728F9F7C">
        <v:shape id="_x0000_s1032" type="#_x0000_t136" style="position:absolute;margin-left:0;margin-top:0;width:520.6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C1D8A" w14:textId="77777777" w:rsidR="00561792" w:rsidRPr="00296529" w:rsidRDefault="00000000" w:rsidP="00296529">
    <w:pPr>
      <w:ind w:left="2160"/>
      <w:jc w:val="center"/>
      <w:rPr>
        <w:rFonts w:ascii="Times New Roman" w:eastAsia="Calibri" w:hAnsi="Times New Roman"/>
        <w:i/>
        <w:sz w:val="18"/>
        <w:szCs w:val="22"/>
      </w:rPr>
    </w:pPr>
    <w:r>
      <w:rPr>
        <w:noProof/>
      </w:rPr>
      <w:pict w14:anchorId="0AE64E2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65" o:spid="_x0000_s1029" type="#_x0000_t136" style="position:absolute;left:0;text-align:left;margin-left:0;margin-top:0;width:520.6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40505262">
        <v:shape id="_x0000_s1028" type="#_x0000_t136" style="position:absolute;left:0;text-align:left;margin-left:0;margin-top:0;width:520.6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0A36346B" w14:textId="77777777" w:rsidR="00561792" w:rsidRPr="00296529" w:rsidRDefault="00561792"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5C8594F5" w14:textId="77777777" w:rsidR="00561792" w:rsidRPr="00296529" w:rsidRDefault="00561792" w:rsidP="00296529">
    <w:pPr>
      <w:jc w:val="center"/>
      <w:rPr>
        <w:rFonts w:ascii="Times New Roman" w:eastAsia="Calibri" w:hAnsi="Times New Roman"/>
        <w:i/>
        <w:sz w:val="18"/>
        <w:szCs w:val="22"/>
      </w:rPr>
    </w:pPr>
    <w:r>
      <w:rPr>
        <w:rFonts w:ascii="Times New Roman" w:eastAsia="Calibri" w:hAnsi="Times New Roman"/>
        <w:i/>
        <w:sz w:val="18"/>
        <w:szCs w:val="22"/>
      </w:rPr>
      <w:t>.</w:t>
    </w:r>
  </w:p>
  <w:p w14:paraId="0BB05BAA" w14:textId="77777777" w:rsidR="00561792" w:rsidRPr="00296529" w:rsidRDefault="00561792"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07B94860" w14:textId="77777777" w:rsidR="00561792" w:rsidRDefault="00561792"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A1A4684" w14:textId="77777777" w:rsidR="00561792" w:rsidRDefault="00561792"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0D102646" w14:textId="77777777" w:rsidR="00561792" w:rsidRDefault="00561792">
    <w:pPr>
      <w:pStyle w:val="Header"/>
    </w:pPr>
    <w: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E975" w14:textId="77777777" w:rsidR="00561792" w:rsidRDefault="00000000">
    <w:pPr>
      <w:pStyle w:val="Header"/>
    </w:pPr>
    <w:r>
      <w:rPr>
        <w:noProof/>
      </w:rPr>
      <w:pict w14:anchorId="64753F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69" o:spid="_x0000_s1039" type="#_x0000_t136" style="position:absolute;margin-left:0;margin-top:0;width:520.65pt;height:57.85pt;rotation:315;z-index:-25163059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0120A97B">
        <v:shape id="_x0000_s1038" type="#_x0000_t136" style="position:absolute;margin-left:0;margin-top:0;width:520.65pt;height:57.85pt;rotation:315;z-index:-25163264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5D128822">
        <v:shape id="_x0000_s1037" type="#_x0000_t136" style="position:absolute;margin-left:0;margin-top:0;width:520.65pt;height:57.85pt;rotation:315;z-index:-25163366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84320" w14:textId="77777777" w:rsidR="00561792" w:rsidRDefault="00000000">
    <w:pPr>
      <w:pStyle w:val="Header"/>
    </w:pPr>
    <w:r>
      <w:rPr>
        <w:noProof/>
      </w:rPr>
      <w:pict w14:anchorId="2AFD5FE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70" o:spid="_x0000_s1042" type="#_x0000_t136" style="position:absolute;margin-left:0;margin-top:0;width:520.65pt;height:57.85pt;rotation:315;z-index:-2516254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55545D1B">
        <v:shape id="_x0000_s1041" type="#_x0000_t136" style="position:absolute;margin-left:0;margin-top:0;width:520.65pt;height:57.85pt;rotation:315;z-index:-2516275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2084C641">
        <v:shape id="_x0000_s1040" type="#_x0000_t136" style="position:absolute;margin-left:0;margin-top:0;width:520.65pt;height:57.85pt;rotation:315;z-index:-25162854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1A39" w14:textId="77777777" w:rsidR="00561792" w:rsidRPr="00296529" w:rsidRDefault="00000000" w:rsidP="00296529">
    <w:pPr>
      <w:ind w:left="2160"/>
      <w:jc w:val="center"/>
      <w:rPr>
        <w:rFonts w:ascii="Times New Roman" w:eastAsia="Calibri" w:hAnsi="Times New Roman"/>
        <w:i/>
        <w:sz w:val="18"/>
        <w:szCs w:val="22"/>
      </w:rPr>
    </w:pPr>
    <w:r>
      <w:rPr>
        <w:noProof/>
      </w:rPr>
      <w:pict w14:anchorId="20B65F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287568" o:spid="_x0000_s1036" type="#_x0000_t136" style="position:absolute;left:0;text-align:left;margin-left:0;margin-top:0;width:520.65pt;height:57.85pt;rotation:315;z-index:-25163571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0F7086C6">
        <v:shape id="_x0000_s1035" type="#_x0000_t136" style="position:absolute;left:0;text-align:left;margin-left:0;margin-top:0;width:520.65pt;height:57.85pt;rotation:315;z-index:-25163776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6AEF04B6">
        <v:shape id="_x0000_s1034" type="#_x0000_t136" style="position:absolute;left:0;text-align:left;margin-left:0;margin-top:0;width:520.65pt;height:57.85pt;rotation:315;z-index:-25163878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5D7BD1D3" w14:textId="77777777" w:rsidR="00561792" w:rsidRPr="00296529" w:rsidRDefault="00561792"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722D72AD" w14:textId="77777777" w:rsidR="00561792" w:rsidRPr="00296529" w:rsidRDefault="00561792"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4954DAF" w14:textId="77777777" w:rsidR="00561792" w:rsidRPr="00296529" w:rsidRDefault="00561792"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7ED20FB5" w14:textId="77777777" w:rsidR="00561792" w:rsidRDefault="00561792"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BB18A7D" w14:textId="77777777" w:rsidR="00561792" w:rsidRDefault="00561792"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451AC170" w14:textId="77777777" w:rsidR="00561792" w:rsidRDefault="00561792">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94319655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553812880">
    <w:abstractNumId w:val="15"/>
  </w:num>
  <w:num w:numId="3" w16cid:durableId="372929031">
    <w:abstractNumId w:val="23"/>
  </w:num>
  <w:num w:numId="4" w16cid:durableId="1952079868">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963775546">
    <w:abstractNumId w:val="7"/>
  </w:num>
  <w:num w:numId="6" w16cid:durableId="1046025700">
    <w:abstractNumId w:val="6"/>
  </w:num>
  <w:num w:numId="7" w16cid:durableId="1991516261">
    <w:abstractNumId w:val="1"/>
  </w:num>
  <w:num w:numId="8" w16cid:durableId="321785091">
    <w:abstractNumId w:val="12"/>
  </w:num>
  <w:num w:numId="9" w16cid:durableId="194857417">
    <w:abstractNumId w:val="25"/>
  </w:num>
  <w:num w:numId="10" w16cid:durableId="466438401">
    <w:abstractNumId w:val="2"/>
  </w:num>
  <w:num w:numId="11" w16cid:durableId="1701708104">
    <w:abstractNumId w:val="18"/>
  </w:num>
  <w:num w:numId="12" w16cid:durableId="1747458053">
    <w:abstractNumId w:val="3"/>
  </w:num>
  <w:num w:numId="13" w16cid:durableId="322438759">
    <w:abstractNumId w:val="17"/>
  </w:num>
  <w:num w:numId="14" w16cid:durableId="447822444">
    <w:abstractNumId w:val="8"/>
  </w:num>
  <w:num w:numId="15" w16cid:durableId="1060786109">
    <w:abstractNumId w:val="21"/>
  </w:num>
  <w:num w:numId="16" w16cid:durableId="1291863959">
    <w:abstractNumId w:val="5"/>
  </w:num>
  <w:num w:numId="17" w16cid:durableId="1682272879">
    <w:abstractNumId w:val="22"/>
  </w:num>
  <w:num w:numId="18" w16cid:durableId="751044659">
    <w:abstractNumId w:val="14"/>
  </w:num>
  <w:num w:numId="19" w16cid:durableId="466507479">
    <w:abstractNumId w:val="28"/>
  </w:num>
  <w:num w:numId="20" w16cid:durableId="1323199112">
    <w:abstractNumId w:val="11"/>
  </w:num>
  <w:num w:numId="21" w16cid:durableId="73017605">
    <w:abstractNumId w:val="9"/>
  </w:num>
  <w:num w:numId="22" w16cid:durableId="207618771">
    <w:abstractNumId w:val="13"/>
  </w:num>
  <w:num w:numId="23" w16cid:durableId="1942764672">
    <w:abstractNumId w:val="19"/>
  </w:num>
  <w:num w:numId="24" w16cid:durableId="655063913">
    <w:abstractNumId w:val="26"/>
  </w:num>
  <w:num w:numId="25" w16cid:durableId="338892382">
    <w:abstractNumId w:val="4"/>
  </w:num>
  <w:num w:numId="26" w16cid:durableId="2057272005">
    <w:abstractNumId w:val="16"/>
  </w:num>
  <w:num w:numId="27" w16cid:durableId="1605528366">
    <w:abstractNumId w:val="20"/>
  </w:num>
  <w:num w:numId="28" w16cid:durableId="1554972994">
    <w:abstractNumId w:val="27"/>
  </w:num>
  <w:num w:numId="29" w16cid:durableId="1046293077">
    <w:abstractNumId w:val="24"/>
  </w:num>
  <w:num w:numId="30" w16cid:durableId="16431498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84343"/>
    <w:rsid w:val="000A47FA"/>
    <w:rsid w:val="000A65D3"/>
    <w:rsid w:val="000B1E33"/>
    <w:rsid w:val="000D689F"/>
    <w:rsid w:val="000E7B7B"/>
    <w:rsid w:val="000E7D62"/>
    <w:rsid w:val="00103357"/>
    <w:rsid w:val="00123C9F"/>
    <w:rsid w:val="00126190"/>
    <w:rsid w:val="00130F17"/>
    <w:rsid w:val="0013122A"/>
    <w:rsid w:val="001320BF"/>
    <w:rsid w:val="00163BC4"/>
    <w:rsid w:val="001741A1"/>
    <w:rsid w:val="00191062"/>
    <w:rsid w:val="00192B72"/>
    <w:rsid w:val="0019636B"/>
    <w:rsid w:val="001A29D8"/>
    <w:rsid w:val="001A5CAA"/>
    <w:rsid w:val="001A6FE2"/>
    <w:rsid w:val="001B0427"/>
    <w:rsid w:val="001D3A51"/>
    <w:rsid w:val="001D5212"/>
    <w:rsid w:val="001E10D2"/>
    <w:rsid w:val="001E25B4"/>
    <w:rsid w:val="001E44FE"/>
    <w:rsid w:val="00200595"/>
    <w:rsid w:val="00204835"/>
    <w:rsid w:val="002134B8"/>
    <w:rsid w:val="00231920"/>
    <w:rsid w:val="0023195C"/>
    <w:rsid w:val="0024282C"/>
    <w:rsid w:val="00244717"/>
    <w:rsid w:val="002460DC"/>
    <w:rsid w:val="00250985"/>
    <w:rsid w:val="002556F6"/>
    <w:rsid w:val="00283105"/>
    <w:rsid w:val="00284C4C"/>
    <w:rsid w:val="00287E68"/>
    <w:rsid w:val="00296529"/>
    <w:rsid w:val="002A7F91"/>
    <w:rsid w:val="002B27FB"/>
    <w:rsid w:val="002B685A"/>
    <w:rsid w:val="002C57D2"/>
    <w:rsid w:val="002E0D56"/>
    <w:rsid w:val="00314337"/>
    <w:rsid w:val="00315186"/>
    <w:rsid w:val="00330F46"/>
    <w:rsid w:val="0033343E"/>
    <w:rsid w:val="003512C2"/>
    <w:rsid w:val="00366EAB"/>
    <w:rsid w:val="00371FB6"/>
    <w:rsid w:val="003763C1"/>
    <w:rsid w:val="00376BBE"/>
    <w:rsid w:val="00391363"/>
    <w:rsid w:val="0039224F"/>
    <w:rsid w:val="003A43A4"/>
    <w:rsid w:val="003A7E18"/>
    <w:rsid w:val="003C4991"/>
    <w:rsid w:val="003C4C86"/>
    <w:rsid w:val="003C6258"/>
    <w:rsid w:val="003E1F28"/>
    <w:rsid w:val="003E2904"/>
    <w:rsid w:val="003E2E91"/>
    <w:rsid w:val="00401927"/>
    <w:rsid w:val="0041027F"/>
    <w:rsid w:val="00412475"/>
    <w:rsid w:val="00423789"/>
    <w:rsid w:val="0043098F"/>
    <w:rsid w:val="004338C3"/>
    <w:rsid w:val="00440F43"/>
    <w:rsid w:val="00441B6F"/>
    <w:rsid w:val="00446221"/>
    <w:rsid w:val="00450E62"/>
    <w:rsid w:val="004539DB"/>
    <w:rsid w:val="00471A80"/>
    <w:rsid w:val="00487374"/>
    <w:rsid w:val="004D305E"/>
    <w:rsid w:val="004D4277"/>
    <w:rsid w:val="00502516"/>
    <w:rsid w:val="00505F06"/>
    <w:rsid w:val="00506828"/>
    <w:rsid w:val="0053056E"/>
    <w:rsid w:val="00554FDA"/>
    <w:rsid w:val="00561792"/>
    <w:rsid w:val="005C784C"/>
    <w:rsid w:val="005D17F6"/>
    <w:rsid w:val="005D3C17"/>
    <w:rsid w:val="005E5539"/>
    <w:rsid w:val="005F5448"/>
    <w:rsid w:val="00602BF5"/>
    <w:rsid w:val="00607564"/>
    <w:rsid w:val="00617FDD"/>
    <w:rsid w:val="00633614"/>
    <w:rsid w:val="00633F68"/>
    <w:rsid w:val="00636EB2"/>
    <w:rsid w:val="006375B8"/>
    <w:rsid w:val="0066510A"/>
    <w:rsid w:val="00673F9F"/>
    <w:rsid w:val="00686953"/>
    <w:rsid w:val="00687DEA"/>
    <w:rsid w:val="00687E67"/>
    <w:rsid w:val="006967F7"/>
    <w:rsid w:val="006A250C"/>
    <w:rsid w:val="006A37C9"/>
    <w:rsid w:val="006B21D3"/>
    <w:rsid w:val="006B57D0"/>
    <w:rsid w:val="006D30FF"/>
    <w:rsid w:val="006D6940"/>
    <w:rsid w:val="006E1B4C"/>
    <w:rsid w:val="006E4308"/>
    <w:rsid w:val="006F11EC"/>
    <w:rsid w:val="0070082C"/>
    <w:rsid w:val="00712E5E"/>
    <w:rsid w:val="00725821"/>
    <w:rsid w:val="007369E6"/>
    <w:rsid w:val="00746E59"/>
    <w:rsid w:val="00754C9A"/>
    <w:rsid w:val="0075599A"/>
    <w:rsid w:val="00761D52"/>
    <w:rsid w:val="0077749E"/>
    <w:rsid w:val="00790ADA"/>
    <w:rsid w:val="007D2288"/>
    <w:rsid w:val="007D2CAF"/>
    <w:rsid w:val="007E088F"/>
    <w:rsid w:val="007F7B32"/>
    <w:rsid w:val="00804BC2"/>
    <w:rsid w:val="0081431A"/>
    <w:rsid w:val="0081764D"/>
    <w:rsid w:val="0082216A"/>
    <w:rsid w:val="0082582B"/>
    <w:rsid w:val="0083216F"/>
    <w:rsid w:val="00860000"/>
    <w:rsid w:val="00863BD3"/>
    <w:rsid w:val="008641ED"/>
    <w:rsid w:val="00866D66"/>
    <w:rsid w:val="008671C6"/>
    <w:rsid w:val="00871074"/>
    <w:rsid w:val="00875803"/>
    <w:rsid w:val="008760B1"/>
    <w:rsid w:val="008B459E"/>
    <w:rsid w:val="008B4635"/>
    <w:rsid w:val="008C0EAE"/>
    <w:rsid w:val="008C5DE0"/>
    <w:rsid w:val="008D4742"/>
    <w:rsid w:val="008E13AE"/>
    <w:rsid w:val="008E1506"/>
    <w:rsid w:val="008E710C"/>
    <w:rsid w:val="008E7B9C"/>
    <w:rsid w:val="008F69D6"/>
    <w:rsid w:val="00902823"/>
    <w:rsid w:val="00915CA6"/>
    <w:rsid w:val="00927834"/>
    <w:rsid w:val="009500A6"/>
    <w:rsid w:val="0095619F"/>
    <w:rsid w:val="00957C18"/>
    <w:rsid w:val="009659BA"/>
    <w:rsid w:val="00983040"/>
    <w:rsid w:val="00983DF7"/>
    <w:rsid w:val="00994CE5"/>
    <w:rsid w:val="009B3FB9"/>
    <w:rsid w:val="009C2465"/>
    <w:rsid w:val="009D35A0"/>
    <w:rsid w:val="009D7EB7"/>
    <w:rsid w:val="009E048A"/>
    <w:rsid w:val="009E08E9"/>
    <w:rsid w:val="009E3DB9"/>
    <w:rsid w:val="009E6E35"/>
    <w:rsid w:val="009F0EDA"/>
    <w:rsid w:val="00A03B96"/>
    <w:rsid w:val="00A05B19"/>
    <w:rsid w:val="00A1134E"/>
    <w:rsid w:val="00A24E7E"/>
    <w:rsid w:val="00A258C3"/>
    <w:rsid w:val="00A347C0"/>
    <w:rsid w:val="00A51431"/>
    <w:rsid w:val="00A539AD"/>
    <w:rsid w:val="00A64825"/>
    <w:rsid w:val="00A94063"/>
    <w:rsid w:val="00AA6219"/>
    <w:rsid w:val="00AA74E0"/>
    <w:rsid w:val="00AB703F"/>
    <w:rsid w:val="00AC6BB8"/>
    <w:rsid w:val="00AE008F"/>
    <w:rsid w:val="00AF4820"/>
    <w:rsid w:val="00B01FCD"/>
    <w:rsid w:val="00B1776C"/>
    <w:rsid w:val="00B47A2B"/>
    <w:rsid w:val="00B52583"/>
    <w:rsid w:val="00B52896"/>
    <w:rsid w:val="00B74FF1"/>
    <w:rsid w:val="00B95236"/>
    <w:rsid w:val="00B96BD9"/>
    <w:rsid w:val="00BA1B01"/>
    <w:rsid w:val="00BA2641"/>
    <w:rsid w:val="00BB37AA"/>
    <w:rsid w:val="00BC53A0"/>
    <w:rsid w:val="00BE62AD"/>
    <w:rsid w:val="00BF121F"/>
    <w:rsid w:val="00BF1F80"/>
    <w:rsid w:val="00C166EF"/>
    <w:rsid w:val="00C17EB0"/>
    <w:rsid w:val="00C27F5F"/>
    <w:rsid w:val="00C30A0F"/>
    <w:rsid w:val="00C37E61"/>
    <w:rsid w:val="00C70F1B"/>
    <w:rsid w:val="00C71A47"/>
    <w:rsid w:val="00C7464C"/>
    <w:rsid w:val="00C85588"/>
    <w:rsid w:val="00C94EC4"/>
    <w:rsid w:val="00CD6755"/>
    <w:rsid w:val="00CD6856"/>
    <w:rsid w:val="00CE0089"/>
    <w:rsid w:val="00CE1DD6"/>
    <w:rsid w:val="00CE793C"/>
    <w:rsid w:val="00CF193C"/>
    <w:rsid w:val="00D173F1"/>
    <w:rsid w:val="00D3263E"/>
    <w:rsid w:val="00D74CB0"/>
    <w:rsid w:val="00D8295D"/>
    <w:rsid w:val="00DC2A65"/>
    <w:rsid w:val="00DE15F0"/>
    <w:rsid w:val="00DE5663"/>
    <w:rsid w:val="00DE78AA"/>
    <w:rsid w:val="00DF2A6B"/>
    <w:rsid w:val="00E04500"/>
    <w:rsid w:val="00E053D0"/>
    <w:rsid w:val="00E15994"/>
    <w:rsid w:val="00E3114E"/>
    <w:rsid w:val="00E31A70"/>
    <w:rsid w:val="00E35B02"/>
    <w:rsid w:val="00E36F13"/>
    <w:rsid w:val="00E66496"/>
    <w:rsid w:val="00E66B35"/>
    <w:rsid w:val="00E66E10"/>
    <w:rsid w:val="00E731C2"/>
    <w:rsid w:val="00E769F6"/>
    <w:rsid w:val="00E8407C"/>
    <w:rsid w:val="00E84F3C"/>
    <w:rsid w:val="00EA012C"/>
    <w:rsid w:val="00EB2C45"/>
    <w:rsid w:val="00EC6A55"/>
    <w:rsid w:val="00ED0288"/>
    <w:rsid w:val="00EE52CB"/>
    <w:rsid w:val="00EF581D"/>
    <w:rsid w:val="00EF7FD8"/>
    <w:rsid w:val="00F05DC7"/>
    <w:rsid w:val="00F06F59"/>
    <w:rsid w:val="00F17988"/>
    <w:rsid w:val="00F469F0"/>
    <w:rsid w:val="00F53273"/>
    <w:rsid w:val="00F755E4"/>
    <w:rsid w:val="00F77D02"/>
    <w:rsid w:val="00FB3A86"/>
    <w:rsid w:val="00FC5E1C"/>
    <w:rsid w:val="00FD36C8"/>
    <w:rsid w:val="00FD3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511421"/>
  <w15:docId w15:val="{76D3B819-7AE2-47E7-B842-F90464CA5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paragraph" w:styleId="Heading3">
    <w:name w:val="heading 3"/>
    <w:basedOn w:val="Normal"/>
    <w:next w:val="Normal"/>
    <w:link w:val="Heading3Char"/>
    <w:semiHidden/>
    <w:unhideWhenUsed/>
    <w:qFormat/>
    <w:rsid w:val="003E1F2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styleId="Strong">
    <w:name w:val="Strong"/>
    <w:basedOn w:val="DefaultParagraphFont"/>
    <w:uiPriority w:val="22"/>
    <w:qFormat/>
    <w:rsid w:val="003E2E91"/>
    <w:rPr>
      <w:b/>
      <w:bCs/>
    </w:rPr>
  </w:style>
  <w:style w:type="paragraph" w:customStyle="1" w:styleId="ds-markdown-paragraph">
    <w:name w:val="ds-markdown-paragraph"/>
    <w:basedOn w:val="Normal"/>
    <w:rsid w:val="00AF4820"/>
    <w:pPr>
      <w:spacing w:before="100" w:beforeAutospacing="1" w:after="100" w:afterAutospacing="1"/>
    </w:pPr>
    <w:rPr>
      <w:rFonts w:ascii="Times New Roman" w:hAnsi="Times New Roman"/>
      <w:sz w:val="24"/>
      <w:szCs w:val="24"/>
    </w:rPr>
  </w:style>
  <w:style w:type="character" w:customStyle="1" w:styleId="Heading3Char">
    <w:name w:val="Heading 3 Char"/>
    <w:basedOn w:val="DefaultParagraphFont"/>
    <w:link w:val="Heading3"/>
    <w:uiPriority w:val="9"/>
    <w:rsid w:val="003E1F28"/>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rsid w:val="003E1F28"/>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8143333">
      <w:bodyDiv w:val="1"/>
      <w:marLeft w:val="0"/>
      <w:marRight w:val="0"/>
      <w:marTop w:val="0"/>
      <w:marBottom w:val="0"/>
      <w:divBdr>
        <w:top w:val="none" w:sz="0" w:space="0" w:color="auto"/>
        <w:left w:val="none" w:sz="0" w:space="0" w:color="auto"/>
        <w:bottom w:val="none" w:sz="0" w:space="0" w:color="auto"/>
        <w:right w:val="none" w:sz="0" w:space="0" w:color="auto"/>
      </w:divBdr>
    </w:div>
    <w:div w:id="11229102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33382791">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703096073">
      <w:bodyDiv w:val="1"/>
      <w:marLeft w:val="0"/>
      <w:marRight w:val="0"/>
      <w:marTop w:val="0"/>
      <w:marBottom w:val="0"/>
      <w:divBdr>
        <w:top w:val="none" w:sz="0" w:space="0" w:color="auto"/>
        <w:left w:val="none" w:sz="0" w:space="0" w:color="auto"/>
        <w:bottom w:val="none" w:sz="0" w:space="0" w:color="auto"/>
        <w:right w:val="none" w:sz="0" w:space="0" w:color="auto"/>
      </w:divBdr>
    </w:div>
    <w:div w:id="813910408">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69777561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46175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5.emf"/><Relationship Id="rId26" Type="http://schemas.openxmlformats.org/officeDocument/2006/relationships/hyperlink" Target="https://doi.org/10.1164/ajrccm.161.1.ats11-99" TargetMode="External"/><Relationship Id="rId39" Type="http://schemas.openxmlformats.org/officeDocument/2006/relationships/hyperlink" Target="https://doi.org/10.1136/oem.2004.016287" TargetMode="External"/><Relationship Id="rId21" Type="http://schemas.openxmlformats.org/officeDocument/2006/relationships/image" Target="media/image8.emf"/><Relationship Id="rId34" Type="http://schemas.openxmlformats.org/officeDocument/2006/relationships/hyperlink" Target="https://doi.org/10.5334/aogh.4089" TargetMode="External"/><Relationship Id="rId42" Type="http://schemas.openxmlformats.org/officeDocument/2006/relationships/hyperlink" Target="https://doi.org/10.1002/9781118439241" TargetMode="External"/><Relationship Id="rId47" Type="http://schemas.openxmlformats.org/officeDocument/2006/relationships/header" Target="header7.xml"/><Relationship Id="rId50" Type="http://schemas.openxmlformats.org/officeDocument/2006/relationships/header" Target="head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emf"/><Relationship Id="rId29" Type="http://schemas.openxmlformats.org/officeDocument/2006/relationships/hyperlink" Target="https://doi.org/10.1183/13993003.01357-2016" TargetMode="Externa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hyperlink" Target="https://doi.org/10.1183/13993003.01526-2016" TargetMode="External"/><Relationship Id="rId37" Type="http://schemas.openxmlformats.org/officeDocument/2006/relationships/hyperlink" Target="https://doi.org/10.1183/09031936.03.00008403" TargetMode="External"/><Relationship Id="rId40" Type="http://schemas.openxmlformats.org/officeDocument/2006/relationships/hyperlink" Target="https://doi.org/10.9734/jammr/2023/v35i195156" TargetMode="External"/><Relationship Id="rId45" Type="http://schemas.openxmlformats.org/officeDocument/2006/relationships/hyperlink" Target="https://doi.org/10.1183/09031936.00177510" TargetMode="Externa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header" Target="header5.xml"/><Relationship Id="rId28" Type="http://schemas.openxmlformats.org/officeDocument/2006/relationships/hyperlink" Target="https://doi.org/10.1007/s00420-013-0866-9" TargetMode="External"/><Relationship Id="rId36" Type="http://schemas.openxmlformats.org/officeDocument/2006/relationships/hyperlink" Target="https://doi.org/10.1111/1541-4337.12634" TargetMode="External"/><Relationship Id="rId49"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6.emf"/><Relationship Id="rId31" Type="http://schemas.openxmlformats.org/officeDocument/2006/relationships/hyperlink" Target="https://doi.org/10.1016/j.anai.2011.06.020" TargetMode="External"/><Relationship Id="rId44" Type="http://schemas.openxmlformats.org/officeDocument/2006/relationships/hyperlink" Target="https://doi.org/10.1159/000283038"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header" Target="header4.xml"/><Relationship Id="rId27" Type="http://schemas.openxmlformats.org/officeDocument/2006/relationships/hyperlink" Target="https://doi.org/10.1371/journal.pone.0284551" TargetMode="External"/><Relationship Id="rId30" Type="http://schemas.openxmlformats.org/officeDocument/2006/relationships/hyperlink" Target="https://doi.org/10.1378/chest.99.1.27" TargetMode="External"/><Relationship Id="rId35" Type="http://schemas.openxmlformats.org/officeDocument/2006/relationships/hyperlink" Target="https://doi.org/10.1164/rccm.201908-1590ST" TargetMode="External"/><Relationship Id="rId43" Type="http://schemas.openxmlformats.org/officeDocument/2006/relationships/hyperlink" Target="https://doi.org/10.1056/NEJMra1301758" TargetMode="External"/><Relationship Id="rId48" Type="http://schemas.openxmlformats.org/officeDocument/2006/relationships/header" Target="header8.xml"/><Relationship Id="rId8" Type="http://schemas.openxmlformats.org/officeDocument/2006/relationships/header" Target="head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image" Target="media/image4.emf"/><Relationship Id="rId25" Type="http://schemas.openxmlformats.org/officeDocument/2006/relationships/header" Target="header6.xml"/><Relationship Id="rId33" Type="http://schemas.openxmlformats.org/officeDocument/2006/relationships/hyperlink" Target="https://doi.org/10.1016/j.jaci.2006.07.012" TargetMode="External"/><Relationship Id="rId38" Type="http://schemas.openxmlformats.org/officeDocument/2006/relationships/hyperlink" Target="https://doi.org/10.1152/physrev.00039.2015" TargetMode="External"/><Relationship Id="rId46" Type="http://schemas.openxmlformats.org/officeDocument/2006/relationships/hyperlink" Target="https://doi.org/10.56557/jomahr/2026/v11i210754" TargetMode="External"/><Relationship Id="rId20" Type="http://schemas.openxmlformats.org/officeDocument/2006/relationships/image" Target="media/image7.emf"/><Relationship Id="rId41" Type="http://schemas.openxmlformats.org/officeDocument/2006/relationships/hyperlink" Target="https://doi.org/10.1183/09031936.00080312"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E0EFF-B81E-4E90-987E-B4922C5411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181</TotalTime>
  <Pages>23</Pages>
  <Words>4533</Words>
  <Characters>25840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30313</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1087</cp:lastModifiedBy>
  <cp:revision>21</cp:revision>
  <cp:lastPrinted>1999-07-06T11:00:00Z</cp:lastPrinted>
  <dcterms:created xsi:type="dcterms:W3CDTF">2026-07-20T17:58:00Z</dcterms:created>
  <dcterms:modified xsi:type="dcterms:W3CDTF">2026-07-29T12:51:00Z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614114e0-3498-4101-b930-ec8163b4eb10</vt:lpwstr>
  </property>
</Properties>
</file>