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80F95" w14:textId="77777777" w:rsidR="004F0BC1" w:rsidRPr="002D6D0C" w:rsidRDefault="004F0BC1" w:rsidP="00DF01B6">
      <w:pPr>
        <w:jc w:val="right"/>
        <w:rPr>
          <w:rFonts w:ascii="Arial" w:hAnsi="Arial" w:cs="Arial"/>
          <w:b/>
          <w:bCs/>
          <w:sz w:val="36"/>
          <w:szCs w:val="36"/>
        </w:rPr>
      </w:pPr>
      <w:r w:rsidRPr="002D6D0C">
        <w:rPr>
          <w:rFonts w:ascii="Arial" w:hAnsi="Arial" w:cs="Arial"/>
          <w:b/>
          <w:bCs/>
          <w:sz w:val="36"/>
          <w:szCs w:val="36"/>
        </w:rPr>
        <w:t xml:space="preserve">Case report </w:t>
      </w:r>
    </w:p>
    <w:p w14:paraId="1E3A9881" w14:textId="77777777" w:rsidR="004F0BC1" w:rsidRPr="002D6D0C" w:rsidRDefault="004F0BC1" w:rsidP="00DF01B6">
      <w:pPr>
        <w:jc w:val="right"/>
        <w:rPr>
          <w:rFonts w:ascii="Arial" w:hAnsi="Arial" w:cs="Arial"/>
          <w:b/>
          <w:bCs/>
          <w:sz w:val="36"/>
          <w:szCs w:val="36"/>
        </w:rPr>
      </w:pPr>
    </w:p>
    <w:p w14:paraId="48F94A61" w14:textId="77777777" w:rsidR="000C5E44" w:rsidRPr="002D6D0C" w:rsidRDefault="00DF01B6" w:rsidP="000C5E44">
      <w:pPr>
        <w:jc w:val="right"/>
        <w:rPr>
          <w:rFonts w:ascii="Arial" w:hAnsi="Arial" w:cs="Arial"/>
          <w:b/>
          <w:bCs/>
          <w:sz w:val="36"/>
          <w:szCs w:val="36"/>
        </w:rPr>
      </w:pPr>
      <w:r w:rsidRPr="002D6D0C">
        <w:rPr>
          <w:rFonts w:ascii="Arial" w:hAnsi="Arial" w:cs="Arial"/>
          <w:b/>
          <w:bCs/>
          <w:sz w:val="36"/>
          <w:szCs w:val="36"/>
        </w:rPr>
        <w:t xml:space="preserve">Ciprofloxacin-Associated Pruritic Erythematous Cutaneous Eruption in a Young Adult with Bilateral </w:t>
      </w:r>
      <w:proofErr w:type="spellStart"/>
      <w:r w:rsidRPr="002D6D0C">
        <w:rPr>
          <w:rFonts w:ascii="Arial" w:hAnsi="Arial" w:cs="Arial"/>
          <w:b/>
          <w:bCs/>
          <w:sz w:val="36"/>
          <w:szCs w:val="36"/>
        </w:rPr>
        <w:t>Epididymo</w:t>
      </w:r>
      <w:proofErr w:type="spellEnd"/>
      <w:r w:rsidRPr="002D6D0C">
        <w:rPr>
          <w:rFonts w:ascii="Arial" w:hAnsi="Arial" w:cs="Arial"/>
          <w:b/>
          <w:bCs/>
          <w:sz w:val="36"/>
          <w:szCs w:val="36"/>
        </w:rPr>
        <w:t>-Orchitis: A Case Report</w:t>
      </w:r>
    </w:p>
    <w:p w14:paraId="1EA749F3" w14:textId="77777777" w:rsidR="00A258C3" w:rsidRPr="002D6D0C" w:rsidRDefault="00A258C3" w:rsidP="00441B6F">
      <w:pPr>
        <w:pStyle w:val="Author"/>
        <w:spacing w:line="240" w:lineRule="auto"/>
        <w:jc w:val="both"/>
        <w:rPr>
          <w:rFonts w:ascii="Arial" w:hAnsi="Arial" w:cs="Arial"/>
          <w:sz w:val="36"/>
        </w:rPr>
      </w:pPr>
    </w:p>
    <w:p w14:paraId="12CCB989" w14:textId="77777777" w:rsidR="002C57D2" w:rsidRPr="002D6D0C" w:rsidRDefault="002C57D2" w:rsidP="00441B6F">
      <w:pPr>
        <w:pStyle w:val="Affiliation"/>
        <w:spacing w:after="0" w:line="240" w:lineRule="auto"/>
        <w:jc w:val="both"/>
        <w:rPr>
          <w:rFonts w:ascii="Arial" w:hAnsi="Arial" w:cs="Arial"/>
        </w:rPr>
      </w:pPr>
    </w:p>
    <w:p w14:paraId="52F67078" w14:textId="77777777" w:rsidR="00B01FCD" w:rsidRPr="002D6D0C" w:rsidRDefault="007E4975" w:rsidP="00441B6F">
      <w:pPr>
        <w:pStyle w:val="Copyright"/>
        <w:spacing w:after="0" w:line="240" w:lineRule="auto"/>
        <w:jc w:val="both"/>
        <w:rPr>
          <w:rFonts w:ascii="Arial" w:hAnsi="Arial" w:cs="Arial"/>
        </w:rPr>
        <w:sectPr w:rsidR="00B01FCD" w:rsidRPr="002D6D0C" w:rsidSect="001B56A6">
          <w:headerReference w:type="even" r:id="rId8"/>
          <w:headerReference w:type="default" r:id="rId9"/>
          <w:footerReference w:type="even" r:id="rId10"/>
          <w:footerReference w:type="default" r:id="rId11"/>
          <w:headerReference w:type="first" r:id="rId12"/>
          <w:footerReference w:type="first" r:id="rId13"/>
          <w:pgSz w:w="12240" w:h="15840" w:code="1"/>
          <w:pgMar w:top="1440" w:right="2019" w:bottom="2019" w:left="2019" w:header="720" w:footer="1298" w:gutter="0"/>
          <w:cols w:space="720"/>
          <w:docGrid w:linePitch="272"/>
        </w:sectPr>
      </w:pPr>
      <w:r w:rsidRPr="002D6D0C">
        <w:rPr>
          <w:rFonts w:ascii="Arial" w:hAnsi="Arial" w:cs="Arial"/>
          <w:noProof/>
        </w:rPr>
        <mc:AlternateContent>
          <mc:Choice Requires="wps">
            <w:drawing>
              <wp:inline distT="0" distB="0" distL="0" distR="0" wp14:anchorId="1AD3FC7D" wp14:editId="439E83C5">
                <wp:extent cx="5303520" cy="635"/>
                <wp:effectExtent l="13335" t="17780" r="17145" b="10795"/>
                <wp:docPr id="84016858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43FFEED3"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sidRPr="002D6D0C">
        <w:rPr>
          <w:rFonts w:ascii="Arial" w:hAnsi="Arial" w:cs="Arial"/>
        </w:rPr>
        <w:t>.</w:t>
      </w:r>
    </w:p>
    <w:p w14:paraId="5345922B" w14:textId="77777777" w:rsidR="00B01FCD" w:rsidRPr="002D6D0C" w:rsidRDefault="00B01FCD" w:rsidP="00441B6F">
      <w:pPr>
        <w:pStyle w:val="AbstHead"/>
        <w:spacing w:after="0"/>
        <w:jc w:val="both"/>
        <w:rPr>
          <w:rFonts w:ascii="Arial" w:hAnsi="Arial" w:cs="Arial"/>
        </w:rPr>
      </w:pPr>
      <w:r w:rsidRPr="002D6D0C">
        <w:rPr>
          <w:rFonts w:ascii="Arial" w:hAnsi="Arial" w:cs="Arial"/>
        </w:rPr>
        <w:t>ABSTRACT</w:t>
      </w:r>
    </w:p>
    <w:p w14:paraId="2F056F03" w14:textId="77777777" w:rsidR="00790ADA" w:rsidRPr="002D6D0C"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2D6D0C" w14:paraId="48F4EC33" w14:textId="77777777" w:rsidTr="001E44FE">
        <w:tc>
          <w:tcPr>
            <w:tcW w:w="9576" w:type="dxa"/>
            <w:shd w:val="clear" w:color="auto" w:fill="F2F2F2"/>
          </w:tcPr>
          <w:p w14:paraId="7E80956F" w14:textId="77777777" w:rsidR="00DF01B6" w:rsidRPr="002D6D0C" w:rsidRDefault="00BA1B01" w:rsidP="00DF01B6">
            <w:pPr>
              <w:spacing w:after="160" w:line="278" w:lineRule="auto"/>
              <w:jc w:val="both"/>
              <w:rPr>
                <w:rFonts w:ascii="Arial" w:hAnsi="Arial" w:cs="Arial"/>
                <w:lang w:bidi="th-TH"/>
              </w:rPr>
            </w:pPr>
            <w:r w:rsidRPr="002D6D0C">
              <w:rPr>
                <w:rFonts w:ascii="Arial" w:eastAsia="Calibri" w:hAnsi="Arial" w:cs="Arial"/>
                <w:b/>
                <w:szCs w:val="22"/>
              </w:rPr>
              <w:t xml:space="preserve">Aims: </w:t>
            </w:r>
            <w:r w:rsidR="00FA1168" w:rsidRPr="002D6D0C">
              <w:rPr>
                <w:rFonts w:ascii="Arial" w:hAnsi="Arial" w:cs="Arial"/>
                <w:lang w:bidi="th-TH"/>
              </w:rPr>
              <w:t xml:space="preserve">To describe a suspected ciprofloxacin-associated pruritic erythematous cutaneous adverse drug reaction in a young adult with bilateral </w:t>
            </w:r>
            <w:proofErr w:type="spellStart"/>
            <w:r w:rsidR="00FA1168" w:rsidRPr="002D6D0C">
              <w:rPr>
                <w:rFonts w:ascii="Arial" w:hAnsi="Arial" w:cs="Arial"/>
                <w:lang w:bidi="th-TH"/>
              </w:rPr>
              <w:t>epididymo</w:t>
            </w:r>
            <w:proofErr w:type="spellEnd"/>
            <w:r w:rsidR="00FA1168" w:rsidRPr="002D6D0C">
              <w:rPr>
                <w:rFonts w:ascii="Arial" w:hAnsi="Arial" w:cs="Arial"/>
                <w:lang w:bidi="th-TH"/>
              </w:rPr>
              <w:t xml:space="preserve">-orchitis and to assess the probability of a causal relationship using the Naranjo Adverse Drug Reaction Probability Scale, while highlighting the importance of pharmacovigilance and antimicrobial susceptibility-guided therapy. </w:t>
            </w:r>
            <w:r w:rsidR="00DF01B6" w:rsidRPr="002D6D0C">
              <w:rPr>
                <w:rFonts w:ascii="Arial" w:hAnsi="Arial" w:cs="Arial"/>
                <w:b/>
                <w:bCs/>
                <w:lang w:bidi="th-TH"/>
              </w:rPr>
              <w:t>Presentation of Case:</w:t>
            </w:r>
            <w:r w:rsidR="00DF01B6" w:rsidRPr="002D6D0C">
              <w:rPr>
                <w:rFonts w:ascii="Arial" w:hAnsi="Arial" w:cs="Arial"/>
                <w:lang w:bidi="th-TH"/>
              </w:rPr>
              <w:t xml:space="preserve"> A 22-year-old male presented with fever, bilateral testicular swelling and scrotal pain, and was diagnosed with bilateral </w:t>
            </w:r>
            <w:proofErr w:type="spellStart"/>
            <w:r w:rsidR="00DF01B6" w:rsidRPr="002D6D0C">
              <w:rPr>
                <w:rFonts w:ascii="Arial" w:hAnsi="Arial" w:cs="Arial"/>
                <w:lang w:bidi="th-TH"/>
              </w:rPr>
              <w:t>epididymo</w:t>
            </w:r>
            <w:proofErr w:type="spellEnd"/>
            <w:r w:rsidR="00DF01B6" w:rsidRPr="002D6D0C">
              <w:rPr>
                <w:rFonts w:ascii="Arial" w:hAnsi="Arial" w:cs="Arial"/>
                <w:lang w:bidi="th-TH"/>
              </w:rPr>
              <w:t xml:space="preserve">-orchitis. Laboratory evaluation showed leukocytosis (15.6 × 10³/µL; neutrophils 81%), and urine culture isolated </w:t>
            </w:r>
            <w:r w:rsidR="00DF01B6" w:rsidRPr="002D6D0C">
              <w:rPr>
                <w:rFonts w:ascii="Arial" w:hAnsi="Arial" w:cs="Arial"/>
                <w:i/>
                <w:iCs/>
                <w:lang w:bidi="th-TH"/>
              </w:rPr>
              <w:t>Escherichia coli</w:t>
            </w:r>
            <w:r w:rsidR="00DF01B6" w:rsidRPr="002D6D0C">
              <w:rPr>
                <w:rFonts w:ascii="Arial" w:hAnsi="Arial" w:cs="Arial"/>
                <w:lang w:bidi="th-TH"/>
              </w:rPr>
              <w:t xml:space="preserve"> resistant to ciprofloxacin/ofloxacin. During </w:t>
            </w:r>
            <w:proofErr w:type="spellStart"/>
            <w:r w:rsidR="00DF01B6" w:rsidRPr="002D6D0C">
              <w:rPr>
                <w:rFonts w:ascii="Arial" w:hAnsi="Arial" w:cs="Arial"/>
                <w:lang w:bidi="th-TH"/>
              </w:rPr>
              <w:t>hospitalisation</w:t>
            </w:r>
            <w:proofErr w:type="spellEnd"/>
            <w:r w:rsidR="00DF01B6" w:rsidRPr="002D6D0C">
              <w:rPr>
                <w:rFonts w:ascii="Arial" w:hAnsi="Arial" w:cs="Arial"/>
                <w:lang w:bidi="th-TH"/>
              </w:rPr>
              <w:t xml:space="preserve">, intravenous ciprofloxacin 200 mg twice daily was administered with other antimicrobial and supportive therapy. </w:t>
            </w:r>
            <w:r w:rsidR="00FA1168" w:rsidRPr="002D6D0C">
              <w:rPr>
                <w:rFonts w:ascii="Arial" w:hAnsi="Arial" w:cs="Arial"/>
                <w:lang w:bidi="th-TH"/>
              </w:rPr>
              <w:t xml:space="preserve">On day 6 of ciprofloxacin exposure, the patient developed pruritus with an erythematous skin eruption. The clinical photograph demonstrated erythematous changes without clearly identifiable wheals; hence, the reaction was </w:t>
            </w:r>
            <w:proofErr w:type="spellStart"/>
            <w:r w:rsidR="00FA1168" w:rsidRPr="002D6D0C">
              <w:rPr>
                <w:rFonts w:ascii="Arial" w:hAnsi="Arial" w:cs="Arial"/>
                <w:lang w:bidi="th-TH"/>
              </w:rPr>
              <w:t>characterised</w:t>
            </w:r>
            <w:proofErr w:type="spellEnd"/>
            <w:r w:rsidR="00FA1168" w:rsidRPr="002D6D0C">
              <w:rPr>
                <w:rFonts w:ascii="Arial" w:hAnsi="Arial" w:cs="Arial"/>
                <w:lang w:bidi="th-TH"/>
              </w:rPr>
              <w:t xml:space="preserve"> as a pruritic erythematous cutaneous eruption rather than definitive urticaria or fixed drug eruption. The Naranjo Adverse Drug Reaction Probability Scale yielded a score of 7, indicating a probable adverse drug reaction. </w:t>
            </w:r>
            <w:r w:rsidR="00DF01B6" w:rsidRPr="002D6D0C">
              <w:rPr>
                <w:rFonts w:ascii="Arial" w:hAnsi="Arial" w:cs="Arial"/>
                <w:b/>
                <w:bCs/>
                <w:lang w:bidi="th-TH"/>
              </w:rPr>
              <w:t>Discussion</w:t>
            </w:r>
            <w:r w:rsidR="00DF01B6" w:rsidRPr="002D6D0C">
              <w:rPr>
                <w:rFonts w:ascii="Arial" w:hAnsi="Arial" w:cs="Arial"/>
                <w:lang w:bidi="th-TH"/>
              </w:rPr>
              <w:t xml:space="preserve">: </w:t>
            </w:r>
            <w:r w:rsidR="00FA1168" w:rsidRPr="002D6D0C">
              <w:rPr>
                <w:rFonts w:ascii="Arial" w:hAnsi="Arial" w:cs="Arial"/>
                <w:lang w:bidi="th-TH"/>
              </w:rPr>
              <w:t xml:space="preserve">The case illustrates the diagnostic challenge of accurately classifying drug-related skin reactions based on clinical morphology and incomplete documentation of latency and isolated </w:t>
            </w:r>
            <w:proofErr w:type="spellStart"/>
            <w:r w:rsidR="00FA1168" w:rsidRPr="002D6D0C">
              <w:rPr>
                <w:rFonts w:ascii="Arial" w:hAnsi="Arial" w:cs="Arial"/>
                <w:lang w:bidi="th-TH"/>
              </w:rPr>
              <w:t>dechallenge</w:t>
            </w:r>
            <w:proofErr w:type="spellEnd"/>
            <w:r w:rsidR="00FA1168" w:rsidRPr="002D6D0C">
              <w:rPr>
                <w:rFonts w:ascii="Arial" w:hAnsi="Arial" w:cs="Arial"/>
                <w:lang w:bidi="th-TH"/>
              </w:rPr>
              <w:t xml:space="preserve">. The concurrent isolation of ciprofloxacin-resistant </w:t>
            </w:r>
            <w:r w:rsidR="00FA1168" w:rsidRPr="002D6D0C">
              <w:rPr>
                <w:rFonts w:ascii="Arial" w:hAnsi="Arial" w:cs="Arial"/>
                <w:i/>
                <w:iCs/>
                <w:lang w:bidi="th-TH"/>
              </w:rPr>
              <w:t>E. coli</w:t>
            </w:r>
            <w:r w:rsidR="00FA1168" w:rsidRPr="002D6D0C">
              <w:rPr>
                <w:rFonts w:ascii="Arial" w:hAnsi="Arial" w:cs="Arial"/>
                <w:lang w:bidi="th-TH"/>
              </w:rPr>
              <w:t xml:space="preserve"> adds an important antimicrobial-stewardship dimension, highlighting the need for culture-guided reassessment of antimicrobial therapy alongside suspected adverse reactions. </w:t>
            </w:r>
            <w:r w:rsidR="00DF01B6" w:rsidRPr="002D6D0C">
              <w:rPr>
                <w:rFonts w:ascii="Arial" w:hAnsi="Arial" w:cs="Arial"/>
                <w:b/>
                <w:bCs/>
                <w:lang w:bidi="th-TH"/>
              </w:rPr>
              <w:t>Conclusion:</w:t>
            </w:r>
            <w:r w:rsidR="00DF01B6" w:rsidRPr="002D6D0C">
              <w:rPr>
                <w:rFonts w:ascii="Arial" w:hAnsi="Arial" w:cs="Arial"/>
                <w:lang w:bidi="th-TH"/>
              </w:rPr>
              <w:t xml:space="preserve"> </w:t>
            </w:r>
            <w:r w:rsidR="00FA1168" w:rsidRPr="002D6D0C">
              <w:rPr>
                <w:rFonts w:ascii="Arial" w:hAnsi="Arial" w:cs="Arial"/>
                <w:lang w:bidi="th-TH"/>
              </w:rPr>
              <w:t xml:space="preserve">This case highlights the value of precise cutaneous reaction </w:t>
            </w:r>
            <w:proofErr w:type="spellStart"/>
            <w:r w:rsidR="00FA1168" w:rsidRPr="002D6D0C">
              <w:rPr>
                <w:rFonts w:ascii="Arial" w:hAnsi="Arial" w:cs="Arial"/>
                <w:lang w:bidi="th-TH"/>
              </w:rPr>
              <w:t>characterisation</w:t>
            </w:r>
            <w:proofErr w:type="spellEnd"/>
            <w:r w:rsidR="00FA1168" w:rsidRPr="002D6D0C">
              <w:rPr>
                <w:rFonts w:ascii="Arial" w:hAnsi="Arial" w:cs="Arial"/>
                <w:lang w:bidi="th-TH"/>
              </w:rPr>
              <w:t>, structured causality assessment, pharmacovigilance and culture-guided antimicrobial review. Comprehensive ADR documentation may help prevent inappropriate re-exposure, support safer antimicrobial prescribing, and improve medication safety.</w:t>
            </w:r>
          </w:p>
          <w:p w14:paraId="25F1D13E" w14:textId="77777777" w:rsidR="00DF01B6" w:rsidRPr="002D6D0C" w:rsidRDefault="00DF01B6" w:rsidP="00DF01B6">
            <w:pPr>
              <w:spacing w:after="160" w:line="278" w:lineRule="auto"/>
              <w:jc w:val="both"/>
              <w:rPr>
                <w:rFonts w:ascii="Arial" w:hAnsi="Arial" w:cs="Arial"/>
                <w:lang w:bidi="th-TH"/>
              </w:rPr>
            </w:pPr>
          </w:p>
        </w:tc>
      </w:tr>
    </w:tbl>
    <w:p w14:paraId="77162E99" w14:textId="77777777" w:rsidR="00636EB2" w:rsidRPr="002D6D0C" w:rsidRDefault="00636EB2" w:rsidP="00441B6F">
      <w:pPr>
        <w:pStyle w:val="Body"/>
        <w:spacing w:after="0"/>
        <w:rPr>
          <w:rFonts w:ascii="Arial" w:hAnsi="Arial" w:cs="Arial"/>
          <w:i/>
        </w:rPr>
      </w:pPr>
    </w:p>
    <w:p w14:paraId="2906AE20" w14:textId="77777777" w:rsidR="00F61777" w:rsidRPr="002D6D0C" w:rsidRDefault="00A24E7E" w:rsidP="00F61777">
      <w:pPr>
        <w:rPr>
          <w:rFonts w:ascii="Arial" w:hAnsi="Arial" w:cs="Arial"/>
        </w:rPr>
      </w:pPr>
      <w:r w:rsidRPr="002D6D0C">
        <w:rPr>
          <w:rFonts w:ascii="Arial" w:hAnsi="Arial" w:cs="Arial"/>
          <w:i/>
        </w:rPr>
        <w:t xml:space="preserve">Keywords: </w:t>
      </w:r>
      <w:r w:rsidR="00F61777" w:rsidRPr="002D6D0C">
        <w:rPr>
          <w:rFonts w:ascii="Arial" w:hAnsi="Arial" w:cs="Arial"/>
          <w:i/>
        </w:rPr>
        <w:t>Ciprofloxacin; cutaneous adverse drug reaction; pruritus; antimicrobial resistance; pharmacovigilance</w:t>
      </w:r>
      <w:r w:rsidR="00F61777" w:rsidRPr="002D6D0C">
        <w:rPr>
          <w:rFonts w:ascii="Arial" w:hAnsi="Arial" w:cs="Arial"/>
        </w:rPr>
        <w:t>.</w:t>
      </w:r>
    </w:p>
    <w:p w14:paraId="0052D5EC" w14:textId="77777777" w:rsidR="00A24E7E" w:rsidRPr="002D6D0C" w:rsidRDefault="00A24E7E" w:rsidP="00441B6F">
      <w:pPr>
        <w:pStyle w:val="Body"/>
        <w:spacing w:after="0"/>
        <w:rPr>
          <w:rFonts w:ascii="Arial" w:hAnsi="Arial" w:cs="Arial"/>
          <w:i/>
        </w:rPr>
      </w:pPr>
    </w:p>
    <w:p w14:paraId="04E57F7A" w14:textId="77777777" w:rsidR="00DC1408" w:rsidRPr="002D6D0C" w:rsidRDefault="00DC1408" w:rsidP="00441B6F">
      <w:pPr>
        <w:pStyle w:val="AbstHead"/>
        <w:spacing w:after="0"/>
        <w:jc w:val="both"/>
        <w:rPr>
          <w:rFonts w:ascii="Arial" w:hAnsi="Arial" w:cs="Arial"/>
        </w:rPr>
      </w:pPr>
    </w:p>
    <w:p w14:paraId="73581C66" w14:textId="77777777" w:rsidR="007A3B6B" w:rsidRPr="002D6D0C" w:rsidRDefault="007A3B6B" w:rsidP="00441B6F">
      <w:pPr>
        <w:pStyle w:val="AbstHead"/>
        <w:spacing w:after="0"/>
        <w:jc w:val="both"/>
        <w:rPr>
          <w:rFonts w:ascii="Arial" w:hAnsi="Arial" w:cs="Arial"/>
        </w:rPr>
      </w:pPr>
    </w:p>
    <w:p w14:paraId="16465C4B" w14:textId="77777777" w:rsidR="007F7B32" w:rsidRPr="002D6D0C" w:rsidRDefault="00902823" w:rsidP="00441B6F">
      <w:pPr>
        <w:pStyle w:val="AbstHead"/>
        <w:spacing w:after="0"/>
        <w:jc w:val="both"/>
        <w:rPr>
          <w:rFonts w:ascii="Arial" w:hAnsi="Arial" w:cs="Arial"/>
        </w:rPr>
      </w:pPr>
      <w:r w:rsidRPr="002D6D0C">
        <w:rPr>
          <w:rFonts w:ascii="Arial" w:hAnsi="Arial" w:cs="Arial"/>
        </w:rPr>
        <w:t xml:space="preserve">1. </w:t>
      </w:r>
      <w:r w:rsidR="00B01FCD" w:rsidRPr="002D6D0C">
        <w:rPr>
          <w:rFonts w:ascii="Arial" w:hAnsi="Arial" w:cs="Arial"/>
        </w:rPr>
        <w:t>INTRODUCTION</w:t>
      </w:r>
    </w:p>
    <w:p w14:paraId="244F77D9" w14:textId="77777777" w:rsidR="007A3B6B" w:rsidRPr="002D6D0C" w:rsidRDefault="007A3B6B" w:rsidP="00515A8B">
      <w:pPr>
        <w:jc w:val="both"/>
        <w:rPr>
          <w:rFonts w:ascii="Arial" w:hAnsi="Arial" w:cs="Arial"/>
        </w:rPr>
      </w:pPr>
    </w:p>
    <w:p w14:paraId="17B58811" w14:textId="77777777" w:rsidR="00FC197A" w:rsidRPr="002D6D0C" w:rsidRDefault="006B4D92" w:rsidP="00FC197A">
      <w:pPr>
        <w:jc w:val="both"/>
        <w:rPr>
          <w:rFonts w:ascii="Arial" w:hAnsi="Arial" w:cs="Arial"/>
          <w:color w:val="000000"/>
        </w:rPr>
      </w:pPr>
      <w:r w:rsidRPr="002D6D0C">
        <w:rPr>
          <w:rFonts w:ascii="Arial" w:hAnsi="Arial" w:cs="Arial"/>
        </w:rPr>
        <w:t>Ciprofloxacin is a potent broad-spectrum fluoroquinolone antibacterial agent active against a wide range of Gram-positive and Gram-negative pathogens, exerting its bactericidal activity primarily by inhibiting bacterial DNA gyrase and topoisomerase IV, thereby disrupting essential processes of DNA replication, recombination and repair</w:t>
      </w:r>
      <w:sdt>
        <w:sdtPr>
          <w:rPr>
            <w:rFonts w:ascii="Arial" w:hAnsi="Arial" w:cs="Arial"/>
            <w:color w:val="000000"/>
          </w:rPr>
          <w:tag w:val="MENDELEY_CITATION_v3_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"/>
          <w:id w:val="139847470"/>
          <w:placeholder>
            <w:docPart w:val="DefaultPlaceholder_-1854013440"/>
          </w:placeholder>
        </w:sdtPr>
        <w:sdtContent>
          <w:r w:rsidR="00C4003A" w:rsidRPr="002D6D0C">
            <w:rPr>
              <w:rFonts w:ascii="Arial" w:hAnsi="Arial" w:cs="Arial"/>
              <w:color w:val="000000"/>
            </w:rPr>
            <w:t xml:space="preserve"> (Fukuda et al., 2026; </w:t>
          </w:r>
          <w:r w:rsidR="008B649C" w:rsidRPr="002D6D0C">
            <w:rPr>
              <w:rFonts w:ascii="Arial" w:hAnsi="Arial" w:cs="Arial"/>
              <w:color w:val="000000"/>
            </w:rPr>
            <w:t>Shariati</w:t>
          </w:r>
          <w:r w:rsidR="00C4003A" w:rsidRPr="002D6D0C">
            <w:rPr>
              <w:rFonts w:ascii="Arial" w:hAnsi="Arial" w:cs="Arial"/>
              <w:color w:val="000000"/>
            </w:rPr>
            <w:t xml:space="preserve"> et al., </w:t>
          </w:r>
          <w:r w:rsidR="008B649C" w:rsidRPr="002D6D0C">
            <w:rPr>
              <w:rFonts w:ascii="Arial" w:hAnsi="Arial" w:cs="Arial"/>
              <w:color w:val="000000"/>
            </w:rPr>
            <w:t>2022</w:t>
          </w:r>
          <w:r w:rsidR="00C4003A" w:rsidRPr="002D6D0C">
            <w:rPr>
              <w:rFonts w:ascii="Arial" w:hAnsi="Arial" w:cs="Arial"/>
              <w:color w:val="000000"/>
            </w:rPr>
            <w:t>).</w:t>
          </w:r>
        </w:sdtContent>
      </w:sdt>
      <w:r w:rsidR="002A0FCB" w:rsidRPr="002D6D0C">
        <w:rPr>
          <w:rFonts w:ascii="Arial" w:hAnsi="Arial" w:cs="Arial"/>
        </w:rPr>
        <w:t xml:space="preserve"> </w:t>
      </w:r>
      <w:r w:rsidRPr="002D6D0C">
        <w:rPr>
          <w:rFonts w:ascii="Arial" w:hAnsi="Arial" w:cs="Arial"/>
        </w:rPr>
        <w:t>Despite its broad clinical utility,</w:t>
      </w:r>
      <w:r w:rsidR="00C40D3D" w:rsidRPr="002D6D0C">
        <w:t xml:space="preserve"> </w:t>
      </w:r>
      <w:r w:rsidR="00C40D3D" w:rsidRPr="002D6D0C">
        <w:rPr>
          <w:rFonts w:ascii="Arial" w:hAnsi="Arial" w:cs="Arial"/>
        </w:rPr>
        <w:t xml:space="preserve">ciprofloxacin has been associated with a wide spectrum of adverse drug reactions involving multiple organ systems. Although ciprofloxacin is generally well tolerated, rare cardiotoxic and </w:t>
      </w:r>
      <w:r w:rsidR="00C40D3D" w:rsidRPr="002D6D0C">
        <w:rPr>
          <w:rFonts w:ascii="Arial" w:hAnsi="Arial" w:cs="Arial"/>
        </w:rPr>
        <w:lastRenderedPageBreak/>
        <w:t xml:space="preserve">hepatotoxic effects have been reported, including QT/QTc prolongation with potential arrhythmogenic risk and clinically significant hepatic injury. These uncommon systemic toxicities further </w:t>
      </w:r>
      <w:proofErr w:type="spellStart"/>
      <w:r w:rsidR="00C40D3D" w:rsidRPr="002D6D0C">
        <w:rPr>
          <w:rFonts w:ascii="Arial" w:hAnsi="Arial" w:cs="Arial"/>
        </w:rPr>
        <w:t>emphasise</w:t>
      </w:r>
      <w:proofErr w:type="spellEnd"/>
      <w:r w:rsidR="00C40D3D" w:rsidRPr="002D6D0C">
        <w:rPr>
          <w:rFonts w:ascii="Arial" w:hAnsi="Arial" w:cs="Arial"/>
        </w:rPr>
        <w:t xml:space="preserve"> the importance of </w:t>
      </w:r>
      <w:proofErr w:type="spellStart"/>
      <w:r w:rsidR="00C40D3D" w:rsidRPr="002D6D0C">
        <w:rPr>
          <w:rFonts w:ascii="Arial" w:hAnsi="Arial" w:cs="Arial"/>
        </w:rPr>
        <w:t>individualised</w:t>
      </w:r>
      <w:proofErr w:type="spellEnd"/>
      <w:r w:rsidR="00C40D3D" w:rsidRPr="002D6D0C">
        <w:rPr>
          <w:rFonts w:ascii="Arial" w:hAnsi="Arial" w:cs="Arial"/>
        </w:rPr>
        <w:t xml:space="preserve"> risk assessment and vigilant monitoring during ciprofloxacin therapy</w:t>
      </w:r>
      <w:sdt>
        <w:sdtPr>
          <w:rPr>
            <w:rFonts w:ascii="Arial" w:hAnsi="Arial" w:cs="Arial"/>
            <w:color w:val="000000"/>
          </w:rPr>
          <w:tag w:val="MENDELEY_CITATION_v3_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"/>
          <w:id w:val="-1826197808"/>
          <w:placeholder>
            <w:docPart w:val="DefaultPlaceholder_-1854013440"/>
          </w:placeholder>
        </w:sdtPr>
        <w:sdtContent>
          <w:r w:rsidR="00C4003A" w:rsidRPr="002D6D0C">
            <w:rPr>
              <w:rFonts w:ascii="Arial" w:hAnsi="Arial" w:cs="Arial"/>
              <w:color w:val="000000"/>
            </w:rPr>
            <w:t xml:space="preserve"> (</w:t>
          </w:r>
          <w:proofErr w:type="spellStart"/>
          <w:r w:rsidR="00C4003A" w:rsidRPr="002D6D0C">
            <w:rPr>
              <w:rFonts w:ascii="Arial" w:hAnsi="Arial" w:cs="Arial"/>
              <w:color w:val="000000"/>
            </w:rPr>
            <w:t>Adikwu</w:t>
          </w:r>
          <w:proofErr w:type="spellEnd"/>
          <w:r w:rsidR="00C4003A" w:rsidRPr="002D6D0C">
            <w:rPr>
              <w:rFonts w:ascii="Arial" w:hAnsi="Arial" w:cs="Arial"/>
              <w:color w:val="000000"/>
            </w:rPr>
            <w:t xml:space="preserve"> &amp; </w:t>
          </w:r>
          <w:proofErr w:type="spellStart"/>
          <w:r w:rsidR="00C4003A" w:rsidRPr="002D6D0C">
            <w:rPr>
              <w:rFonts w:ascii="Arial" w:hAnsi="Arial" w:cs="Arial"/>
              <w:color w:val="000000"/>
            </w:rPr>
            <w:t>Brambaifa</w:t>
          </w:r>
          <w:proofErr w:type="spellEnd"/>
          <w:r w:rsidR="00C4003A" w:rsidRPr="002D6D0C">
            <w:rPr>
              <w:rFonts w:ascii="Arial" w:hAnsi="Arial" w:cs="Arial"/>
              <w:color w:val="000000"/>
            </w:rPr>
            <w:t>, 2012; Blondeau, 1999).</w:t>
          </w:r>
        </w:sdtContent>
      </w:sdt>
      <w:r w:rsidR="00C40D3D" w:rsidRPr="002D6D0C">
        <w:rPr>
          <w:rFonts w:ascii="Arial" w:hAnsi="Arial" w:cs="Arial"/>
        </w:rPr>
        <w:t xml:space="preserve"> </w:t>
      </w:r>
      <w:r w:rsidRPr="002D6D0C">
        <w:rPr>
          <w:rFonts w:ascii="Arial" w:hAnsi="Arial" w:cs="Arial"/>
        </w:rPr>
        <w:t>Ciprofloxacin has been associated with a spectrum of cutaneous adverse drug reactions, ranging from mild erythematous and maculopapular eruptions to potentially life-threatening reactions such as Stevens–Johnson syndrome and toxic epidermal necrolysis</w:t>
      </w:r>
      <w:sdt>
        <w:sdtPr>
          <w:rPr>
            <w:rFonts w:ascii="Arial" w:hAnsi="Arial" w:cs="Arial"/>
            <w:color w:val="000000"/>
          </w:rPr>
          <w:tag w:val="MENDELEY_CITATION_v3_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"/>
          <w:id w:val="2055725448"/>
          <w:placeholder>
            <w:docPart w:val="DefaultPlaceholder_-1854013440"/>
          </w:placeholder>
        </w:sdtPr>
        <w:sdtContent>
          <w:r w:rsidR="00C4003A" w:rsidRPr="002D6D0C">
            <w:rPr>
              <w:rFonts w:ascii="Arial" w:hAnsi="Arial" w:cs="Arial"/>
              <w:color w:val="000000"/>
            </w:rPr>
            <w:t xml:space="preserve"> (Kashyap et al., 2022).</w:t>
          </w:r>
        </w:sdtContent>
      </w:sdt>
      <w:r w:rsidRPr="002D6D0C">
        <w:rPr>
          <w:rFonts w:ascii="Arial" w:hAnsi="Arial" w:cs="Arial"/>
          <w:b/>
          <w:bCs/>
        </w:rPr>
        <w:t xml:space="preserve"> Recent evidence indicates that quinolone hypersensitivity encompasses both immediate and non-immediate clinical phenotypes, making careful </w:t>
      </w:r>
      <w:proofErr w:type="spellStart"/>
      <w:r w:rsidRPr="002D6D0C">
        <w:rPr>
          <w:rFonts w:ascii="Arial" w:hAnsi="Arial" w:cs="Arial"/>
          <w:b/>
          <w:bCs/>
        </w:rPr>
        <w:t>characterisation</w:t>
      </w:r>
      <w:proofErr w:type="spellEnd"/>
      <w:r w:rsidRPr="002D6D0C">
        <w:rPr>
          <w:rFonts w:ascii="Arial" w:hAnsi="Arial" w:cs="Arial"/>
          <w:b/>
          <w:bCs/>
        </w:rPr>
        <w:t xml:space="preserve"> of the reaction pattern important for diagnostic assessment and future prescribing decisions (</w:t>
      </w:r>
      <w:proofErr w:type="spellStart"/>
      <w:r w:rsidRPr="002D6D0C">
        <w:rPr>
          <w:rFonts w:ascii="Arial" w:hAnsi="Arial" w:cs="Arial"/>
          <w:b/>
          <w:bCs/>
        </w:rPr>
        <w:t>Gelincik</w:t>
      </w:r>
      <w:proofErr w:type="spellEnd"/>
      <w:r w:rsidRPr="002D6D0C">
        <w:rPr>
          <w:rFonts w:ascii="Arial" w:hAnsi="Arial" w:cs="Arial"/>
          <w:b/>
          <w:bCs/>
        </w:rPr>
        <w:t xml:space="preserve"> et al., 2025).</w:t>
      </w:r>
      <w:r w:rsidR="002A0FCB" w:rsidRPr="002D6D0C">
        <w:rPr>
          <w:rFonts w:ascii="Arial" w:hAnsi="Arial" w:cs="Arial"/>
          <w:color w:val="000000"/>
        </w:rPr>
        <w:t xml:space="preserve"> Beyond their established antibacterial role, fluoroquinolones have raised substantial safety concerns because of their association with serious adverse effects, prompting regulatory warnings and restrictions on their use; consequently, careful patient selection, rational prescribing, early recognition of adverse reactions and continued post-marketing pharmacovigilance remain essential to balance their therapeutic benefits against potential risks</w:t>
      </w:r>
      <w:sdt>
        <w:sdtPr>
          <w:rPr>
            <w:rFonts w:ascii="Arial" w:hAnsi="Arial" w:cs="Arial"/>
            <w:color w:val="000000"/>
          </w:rPr>
          <w:tag w:val="MENDELEY_CITATION_v3_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"/>
          <w:id w:val="1389233873"/>
          <w:placeholder>
            <w:docPart w:val="DefaultPlaceholder_-1854013440"/>
          </w:placeholder>
        </w:sdtPr>
        <w:sdtContent>
          <w:r w:rsidR="00C4003A" w:rsidRPr="002D6D0C">
            <w:rPr>
              <w:rFonts w:ascii="Arial" w:hAnsi="Arial" w:cs="Arial"/>
              <w:color w:val="000000"/>
            </w:rPr>
            <w:t xml:space="preserve"> (Rusu et al., 2023).</w:t>
          </w:r>
        </w:sdtContent>
      </w:sdt>
      <w:r w:rsidRPr="002D6D0C">
        <w:rPr>
          <w:rFonts w:ascii="Arial" w:hAnsi="Arial" w:cs="Arial"/>
          <w:b/>
          <w:bCs/>
        </w:rPr>
        <w:t xml:space="preserve"> Population-based evidence also shows that fluoroquinolones are among oral antibiotic classes associated with serious cutaneous adverse drug reactions, supporting continued vigilance during antibiotic therapy (Lee et al., 2024).</w:t>
      </w:r>
      <w:r w:rsidR="002A0FCB" w:rsidRPr="002D6D0C">
        <w:rPr>
          <w:rFonts w:ascii="Arial" w:hAnsi="Arial" w:cs="Arial"/>
          <w:color w:val="000000"/>
        </w:rPr>
        <w:t xml:space="preserve"> </w:t>
      </w:r>
      <w:r w:rsidR="006A00BD" w:rsidRPr="002D6D0C">
        <w:rPr>
          <w:rFonts w:ascii="Arial" w:hAnsi="Arial" w:cs="Arial"/>
          <w:color w:val="000000"/>
        </w:rPr>
        <w:t xml:space="preserve">Pharmacovigilance reports indicate that cutaneous and appendage-related reactions represent a notable component of fluoroquinolone-associated safety events, with pruritus and skin eruptions frequently reported. These findings </w:t>
      </w:r>
      <w:proofErr w:type="spellStart"/>
      <w:r w:rsidR="006A00BD" w:rsidRPr="002D6D0C">
        <w:rPr>
          <w:rFonts w:ascii="Arial" w:hAnsi="Arial" w:cs="Arial"/>
          <w:color w:val="000000"/>
        </w:rPr>
        <w:t>emphasise</w:t>
      </w:r>
      <w:proofErr w:type="spellEnd"/>
      <w:r w:rsidR="006A00BD" w:rsidRPr="002D6D0C">
        <w:rPr>
          <w:rFonts w:ascii="Arial" w:hAnsi="Arial" w:cs="Arial"/>
          <w:color w:val="000000"/>
        </w:rPr>
        <w:t xml:space="preserve"> the importance of systematic recognition and reporting of dermatological adverse reactions during fluoroquinolone therapy</w:t>
      </w:r>
      <w:sdt>
        <w:sdtPr>
          <w:rPr>
            <w:rFonts w:ascii="Arial" w:hAnsi="Arial" w:cs="Arial"/>
            <w:color w:val="000000"/>
          </w:rPr>
          <w:tag w:val="MENDELEY_CITATION_v3_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"/>
          <w:id w:val="-793438884"/>
          <w:placeholder>
            <w:docPart w:val="DefaultPlaceholder_-1854013440"/>
          </w:placeholder>
        </w:sdtPr>
        <w:sdtContent>
          <w:r w:rsidR="00C4003A" w:rsidRPr="002D6D0C">
            <w:rPr>
              <w:rFonts w:ascii="Arial" w:hAnsi="Arial" w:cs="Arial"/>
              <w:color w:val="000000"/>
            </w:rPr>
            <w:t xml:space="preserve"> (</w:t>
          </w:r>
          <w:proofErr w:type="spellStart"/>
          <w:r w:rsidR="00C4003A" w:rsidRPr="002D6D0C">
            <w:rPr>
              <w:rFonts w:ascii="Arial" w:hAnsi="Arial" w:cs="Arial"/>
              <w:color w:val="000000"/>
            </w:rPr>
            <w:t>Oreagba</w:t>
          </w:r>
          <w:proofErr w:type="spellEnd"/>
          <w:r w:rsidR="00C4003A" w:rsidRPr="002D6D0C">
            <w:rPr>
              <w:rFonts w:ascii="Arial" w:hAnsi="Arial" w:cs="Arial"/>
              <w:color w:val="000000"/>
            </w:rPr>
            <w:t xml:space="preserve"> et al., 2017).</w:t>
          </w:r>
        </w:sdtContent>
      </w:sdt>
      <w:r w:rsidR="006A00BD" w:rsidRPr="002D6D0C">
        <w:rPr>
          <w:rFonts w:ascii="Arial" w:hAnsi="Arial" w:cs="Arial"/>
          <w:color w:val="000000"/>
        </w:rPr>
        <w:t xml:space="preserve"> </w:t>
      </w:r>
      <w:r w:rsidR="00FC197A" w:rsidRPr="002D6D0C">
        <w:rPr>
          <w:rFonts w:ascii="Arial" w:hAnsi="Arial" w:cs="Arial"/>
          <w:color w:val="000000"/>
        </w:rPr>
        <w:t xml:space="preserve">These findings </w:t>
      </w:r>
      <w:proofErr w:type="spellStart"/>
      <w:r w:rsidR="00FC197A" w:rsidRPr="002D6D0C">
        <w:rPr>
          <w:rFonts w:ascii="Arial" w:hAnsi="Arial" w:cs="Arial"/>
          <w:color w:val="000000"/>
        </w:rPr>
        <w:t>emphasise</w:t>
      </w:r>
      <w:proofErr w:type="spellEnd"/>
      <w:r w:rsidR="00FC197A" w:rsidRPr="002D6D0C">
        <w:rPr>
          <w:rFonts w:ascii="Arial" w:hAnsi="Arial" w:cs="Arial"/>
          <w:color w:val="000000"/>
        </w:rPr>
        <w:t xml:space="preserve"> the importance of systematic recognition, documentation and reporting of suspected dermatological adverse drug reactions. </w:t>
      </w:r>
      <w:r w:rsidR="006A00BD" w:rsidRPr="002D6D0C">
        <w:rPr>
          <w:rFonts w:ascii="Arial" w:hAnsi="Arial" w:cs="Arial"/>
          <w:color w:val="000000"/>
        </w:rPr>
        <w:t xml:space="preserve">Pharmacovigilance systems such as India’s </w:t>
      </w:r>
      <w:proofErr w:type="spellStart"/>
      <w:r w:rsidR="006A00BD" w:rsidRPr="002D6D0C">
        <w:rPr>
          <w:rFonts w:ascii="Arial" w:hAnsi="Arial" w:cs="Arial"/>
          <w:color w:val="000000"/>
        </w:rPr>
        <w:t>PvPI</w:t>
      </w:r>
      <w:proofErr w:type="spellEnd"/>
      <w:r w:rsidR="006A00BD" w:rsidRPr="002D6D0C">
        <w:rPr>
          <w:rFonts w:ascii="Arial" w:hAnsi="Arial" w:cs="Arial"/>
          <w:color w:val="000000"/>
        </w:rPr>
        <w:t xml:space="preserve"> play a valuable role in strengthening medication safety by facilitating the early detection, assessment, and prevention of adverse drug reactions. Causality assessment tools, particularly the Naranjo algorithm and WHO-UMC scale, provide structured approaches for evaluating suspected drug-related events and supporting informed clinical decision-making. Together with thorough clinical documentation and professional judgment, these approaches contribute to safer medicine use, prevention of recurrent ADRs, and improved patient care</w:t>
      </w:r>
      <w:sdt>
        <w:sdtPr>
          <w:rPr>
            <w:rFonts w:ascii="Arial" w:hAnsi="Arial" w:cs="Arial"/>
            <w:color w:val="000000"/>
          </w:rPr>
          <w:tag w:val="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"/>
          <w:id w:val="1785913069"/>
          <w:placeholder>
            <w:docPart w:val="DefaultPlaceholder_-1854013440"/>
          </w:placeholder>
        </w:sdtPr>
        <w:sdtContent>
          <w:r w:rsidR="00C4003A" w:rsidRPr="002D6D0C">
            <w:rPr>
              <w:rFonts w:ascii="Arial" w:hAnsi="Arial" w:cs="Arial"/>
              <w:color w:val="000000"/>
            </w:rPr>
            <w:t xml:space="preserve"> (Manjhi et al., 2024; </w:t>
          </w:r>
          <w:proofErr w:type="spellStart"/>
          <w:r w:rsidR="00C4003A" w:rsidRPr="002D6D0C">
            <w:rPr>
              <w:rFonts w:ascii="Arial" w:hAnsi="Arial" w:cs="Arial"/>
              <w:color w:val="000000"/>
            </w:rPr>
            <w:t>Meyboom</w:t>
          </w:r>
          <w:proofErr w:type="spellEnd"/>
          <w:r w:rsidR="00C4003A" w:rsidRPr="002D6D0C">
            <w:rPr>
              <w:rFonts w:ascii="Arial" w:hAnsi="Arial" w:cs="Arial"/>
              <w:color w:val="000000"/>
            </w:rPr>
            <w:t xml:space="preserve"> et al., 1997; Suke et al., 2015).</w:t>
          </w:r>
        </w:sdtContent>
      </w:sdt>
      <w:r w:rsidR="00FC197A" w:rsidRPr="002D6D0C">
        <w:rPr>
          <w:rFonts w:ascii="Arial" w:hAnsi="Arial" w:cs="Arial"/>
          <w:color w:val="000000"/>
        </w:rPr>
        <w:t xml:space="preserve"> </w:t>
      </w:r>
      <w:r w:rsidR="002A0FCB" w:rsidRPr="002D6D0C">
        <w:rPr>
          <w:rFonts w:ascii="Arial" w:hAnsi="Arial" w:cs="Arial"/>
          <w:lang w:val="en-IN"/>
        </w:rPr>
        <w:t>The clinical spectrum of ciprofloxacin-associated cutaneous reactions is broad, with fixed drug eruption representing an uncommon but distinctive manifestation that may present atypically and closely mimic other dermatological conditions, emphasising the need for careful clinical recognition and accurate diagnosis</w:t>
      </w:r>
      <w:sdt>
        <w:sdtPr>
          <w:rPr>
            <w:rFonts w:ascii="Arial" w:hAnsi="Arial" w:cs="Arial"/>
            <w:color w:val="000000"/>
            <w:lang w:val="en-IN"/>
          </w:rPr>
          <w:tag w:val="MENDELEY_CITATION_v3_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"/>
          <w:id w:val="1955509045"/>
          <w:placeholder>
            <w:docPart w:val="DefaultPlaceholder_-1854013440"/>
          </w:placeholder>
        </w:sdtPr>
        <w:sdtContent>
          <w:r w:rsidR="00C4003A" w:rsidRPr="002D6D0C">
            <w:rPr>
              <w:rFonts w:ascii="Arial" w:hAnsi="Arial" w:cs="Arial"/>
              <w:color w:val="000000"/>
              <w:lang w:val="en-IN"/>
            </w:rPr>
            <w:t xml:space="preserve"> (Iliyas et al., 2018).</w:t>
          </w:r>
        </w:sdtContent>
      </w:sdt>
      <w:r w:rsidRPr="002D6D0C">
        <w:rPr>
          <w:rFonts w:ascii="Arial" w:hAnsi="Arial" w:cs="Arial"/>
          <w:b/>
          <w:bCs/>
        </w:rPr>
        <w:t xml:space="preserve"> A recent case report describing a fixed drug eruption during combined ciprofloxacin and metronidazole treatment further underscores the value of documenting lesion morphology, exposure timing and concomitant medications when assigning a specific cutaneous drug-reaction phenotype (Narayan &amp; Eranna, 2026).</w:t>
      </w:r>
      <w:r w:rsidR="002A0FCB" w:rsidRPr="002D6D0C">
        <w:rPr>
          <w:rFonts w:ascii="Arial" w:hAnsi="Arial" w:cs="Arial"/>
        </w:rPr>
        <w:t xml:space="preserve"> </w:t>
      </w:r>
      <w:r w:rsidRPr="002D6D0C">
        <w:rPr>
          <w:rFonts w:ascii="Arial" w:hAnsi="Arial" w:cs="Arial"/>
          <w:b/>
          <w:bCs/>
        </w:rPr>
        <w:t xml:space="preserve">Recent in vitro evidence also demonstrates that ciprofloxacin susceptibility can diminish during repeated sub-inhibitory exposure, reinforcing the antimicrobial-stewardship rationale for susceptibility-guided fluoroquinolone use (Hasan et al., 2025). </w:t>
      </w:r>
      <w:r w:rsidR="00FC197A" w:rsidRPr="002D6D0C">
        <w:rPr>
          <w:rFonts w:ascii="Arial" w:hAnsi="Arial" w:cs="Arial"/>
          <w:color w:val="000000"/>
          <w:lang w:val="en-IN"/>
        </w:rPr>
        <w:t xml:space="preserve">The present case is clinically relevant because it involves a young adult with bilateral </w:t>
      </w:r>
      <w:proofErr w:type="spellStart"/>
      <w:r w:rsidR="00FC197A" w:rsidRPr="002D6D0C">
        <w:rPr>
          <w:rFonts w:ascii="Arial" w:hAnsi="Arial" w:cs="Arial"/>
          <w:color w:val="000000"/>
          <w:lang w:val="en-IN"/>
        </w:rPr>
        <w:t>epididymo</w:t>
      </w:r>
      <w:proofErr w:type="spellEnd"/>
      <w:r w:rsidR="00FC197A" w:rsidRPr="002D6D0C">
        <w:rPr>
          <w:rFonts w:ascii="Arial" w:hAnsi="Arial" w:cs="Arial"/>
          <w:color w:val="000000"/>
          <w:lang w:val="en-IN"/>
        </w:rPr>
        <w:t xml:space="preserve">-orchitis, a pruritic erythematous eruption without documented classical fixed lesions or mucosal involvement, and a urine culture demonstrating ciprofloxacin-resistant </w:t>
      </w:r>
      <w:r w:rsidR="00FC197A" w:rsidRPr="002D6D0C">
        <w:rPr>
          <w:rFonts w:ascii="Arial" w:hAnsi="Arial" w:cs="Arial"/>
          <w:i/>
          <w:iCs/>
          <w:color w:val="000000"/>
          <w:lang w:val="en-IN"/>
        </w:rPr>
        <w:t>E. coli</w:t>
      </w:r>
      <w:r w:rsidR="00FC197A" w:rsidRPr="002D6D0C">
        <w:rPr>
          <w:rFonts w:ascii="Arial" w:hAnsi="Arial" w:cs="Arial"/>
          <w:color w:val="000000"/>
          <w:lang w:val="en-IN"/>
        </w:rPr>
        <w:t>. The combination of a suspected cutaneous adverse drug reaction with antimicrobial susceptibility discordance provides a clinically relevant medication-safety and antimicrobial-stewardship perspective. Accordingly, this case highlights the importance of recognising suspected cutaneous adverse drug reactions, applying structured causality assessment and reassessing antimicrobial therapy according to microbiological susceptibility results.</w:t>
      </w:r>
      <w:r w:rsidR="00FC197A" w:rsidRPr="002D6D0C">
        <w:rPr>
          <w:rFonts w:ascii="Arial" w:hAnsi="Arial" w:cs="Arial"/>
          <w:color w:val="000000"/>
        </w:rPr>
        <w:t xml:space="preserve"> </w:t>
      </w:r>
      <w:r w:rsidRPr="002D6D0C">
        <w:rPr>
          <w:rFonts w:ascii="Arial" w:hAnsi="Arial" w:cs="Arial"/>
          <w:b/>
          <w:bCs/>
        </w:rPr>
        <w:t xml:space="preserve">The clinical gap addressed by this case is the need to interpret suspected ciprofloxacin-related skin findings alongside structured causality assessment and culture-based susceptibility results, rather than considering these medication-safety and antimicrobial-stewardship issues separately. </w:t>
      </w:r>
      <w:r w:rsidR="00FC197A" w:rsidRPr="002D6D0C">
        <w:rPr>
          <w:rFonts w:ascii="Arial" w:hAnsi="Arial" w:cs="Arial"/>
          <w:color w:val="000000"/>
          <w:lang w:val="en-IN"/>
        </w:rPr>
        <w:t xml:space="preserve">Therefore, the objective of this case report was to describe a suspected ciprofloxacin-associated pruritic erythematous cutaneous adverse drug reaction in a young adult with bilateral </w:t>
      </w:r>
      <w:proofErr w:type="spellStart"/>
      <w:r w:rsidR="00FC197A" w:rsidRPr="002D6D0C">
        <w:rPr>
          <w:rFonts w:ascii="Arial" w:hAnsi="Arial" w:cs="Arial"/>
          <w:color w:val="000000"/>
          <w:lang w:val="en-IN"/>
        </w:rPr>
        <w:t>epididymo</w:t>
      </w:r>
      <w:proofErr w:type="spellEnd"/>
      <w:r w:rsidR="00FC197A" w:rsidRPr="002D6D0C">
        <w:rPr>
          <w:rFonts w:ascii="Arial" w:hAnsi="Arial" w:cs="Arial"/>
          <w:color w:val="000000"/>
          <w:lang w:val="en-IN"/>
        </w:rPr>
        <w:t>-orchitis and to assess the probability of a causal relationship using the Naranjo Adverse Drug Reaction Probability Scale, while emphasising the role of pharmacovigilance and culture-guided antimicrobial therapy.</w:t>
      </w:r>
    </w:p>
    <w:p w14:paraId="2A31AB8D" w14:textId="77777777" w:rsidR="00790ADA" w:rsidRPr="002D6D0C" w:rsidRDefault="00790ADA" w:rsidP="00441B6F">
      <w:pPr>
        <w:pStyle w:val="AbstHead"/>
        <w:spacing w:after="0"/>
        <w:jc w:val="both"/>
        <w:rPr>
          <w:rFonts w:ascii="Arial" w:hAnsi="Arial" w:cs="Arial"/>
        </w:rPr>
      </w:pPr>
    </w:p>
    <w:p w14:paraId="4E8EFC9D" w14:textId="77777777" w:rsidR="00B01FCD" w:rsidRPr="002D6D0C" w:rsidRDefault="00515A8B" w:rsidP="00515A8B">
      <w:pPr>
        <w:pStyle w:val="Body"/>
        <w:spacing w:after="0"/>
        <w:rPr>
          <w:rFonts w:ascii="Arial" w:hAnsi="Arial" w:cs="Arial"/>
          <w:b/>
          <w:bCs/>
        </w:rPr>
      </w:pPr>
      <w:r w:rsidRPr="002D6D0C">
        <w:rPr>
          <w:rFonts w:ascii="Arial" w:hAnsi="Arial" w:cs="Arial"/>
          <w:b/>
          <w:bCs/>
          <w:sz w:val="22"/>
          <w:szCs w:val="22"/>
        </w:rPr>
        <w:t>2. CASE PRESENTATION</w:t>
      </w:r>
    </w:p>
    <w:p w14:paraId="5E7DFC4F" w14:textId="77777777" w:rsidR="00515A8B" w:rsidRPr="002D6D0C" w:rsidRDefault="00515A8B" w:rsidP="00515A8B">
      <w:pPr>
        <w:pStyle w:val="Body"/>
        <w:spacing w:after="0"/>
        <w:rPr>
          <w:rFonts w:ascii="Arial" w:hAnsi="Arial" w:cs="Arial"/>
          <w:lang w:val="en-IN"/>
        </w:rPr>
      </w:pPr>
      <w:r w:rsidRPr="002D6D0C">
        <w:rPr>
          <w:rFonts w:ascii="Arial" w:hAnsi="Arial" w:cs="Arial"/>
          <w:lang w:val="en-IN"/>
        </w:rPr>
        <w:t xml:space="preserve">A 22-year-old male was admitted to a tertiary care government medical college hospital with a one-day history of fever, bilateral testicular swelling and scrotal pain. His medical history was significant for post-traumatic seizure disorder, for which he was receiving chronic antiepileptic therapy. On assessment, he was conscious and oriented, with a blood pressure of approximately 100/60 mmHg, pulse rate of 96 beats/minute and oxygen saturation of 99%. Local examination revealed bilateral testicular swelling and tenderness with warmth and erythematous changes, and bilateral </w:t>
      </w:r>
      <w:proofErr w:type="spellStart"/>
      <w:r w:rsidRPr="002D6D0C">
        <w:rPr>
          <w:rFonts w:ascii="Arial" w:hAnsi="Arial" w:cs="Arial"/>
          <w:lang w:val="en-IN"/>
        </w:rPr>
        <w:t>epididymo</w:t>
      </w:r>
      <w:proofErr w:type="spellEnd"/>
      <w:r w:rsidRPr="002D6D0C">
        <w:rPr>
          <w:rFonts w:ascii="Arial" w:hAnsi="Arial" w:cs="Arial"/>
          <w:lang w:val="en-IN"/>
        </w:rPr>
        <w:t xml:space="preserve">-orchitis was clinically suspected. Laboratory investigations showed </w:t>
      </w:r>
      <w:proofErr w:type="spellStart"/>
      <w:r w:rsidRPr="002D6D0C">
        <w:rPr>
          <w:rFonts w:ascii="Arial" w:hAnsi="Arial" w:cs="Arial"/>
          <w:lang w:val="en-IN"/>
        </w:rPr>
        <w:t>leukocytosis</w:t>
      </w:r>
      <w:proofErr w:type="spellEnd"/>
      <w:r w:rsidRPr="002D6D0C">
        <w:rPr>
          <w:rFonts w:ascii="Arial" w:hAnsi="Arial" w:cs="Arial"/>
          <w:lang w:val="en-IN"/>
        </w:rPr>
        <w:t xml:space="preserve"> with a total leukocyte count of 15.6 × 10³/µL, neutrophils 81.0%, absolute neutrophil count 12.7 × 10³/µL and platelet count 239 × 10³/µL; serum sodium and potassium were 136 mmol/L and 4.4 mmol/L, respectively. Ultrasonography demonstrated bilateral epididymal thickening and oedema with inflammatory changes and no significant </w:t>
      </w:r>
      <w:proofErr w:type="spellStart"/>
      <w:r w:rsidRPr="002D6D0C">
        <w:rPr>
          <w:rFonts w:ascii="Arial" w:hAnsi="Arial" w:cs="Arial"/>
          <w:lang w:val="en-IN"/>
        </w:rPr>
        <w:t>peritesticular</w:t>
      </w:r>
      <w:proofErr w:type="spellEnd"/>
      <w:r w:rsidRPr="002D6D0C">
        <w:rPr>
          <w:rFonts w:ascii="Arial" w:hAnsi="Arial" w:cs="Arial"/>
          <w:lang w:val="en-IN"/>
        </w:rPr>
        <w:t xml:space="preserve"> fluid collection. </w:t>
      </w:r>
    </w:p>
    <w:p w14:paraId="22454468" w14:textId="77777777" w:rsidR="00515A8B" w:rsidRPr="002D6D0C" w:rsidRDefault="00515A8B" w:rsidP="00515A8B">
      <w:pPr>
        <w:pStyle w:val="Body"/>
        <w:spacing w:after="0"/>
        <w:rPr>
          <w:rFonts w:ascii="Arial" w:hAnsi="Arial" w:cs="Arial"/>
          <w:lang w:val="en-IN"/>
        </w:rPr>
      </w:pPr>
      <w:r w:rsidRPr="002D6D0C">
        <w:rPr>
          <w:rFonts w:ascii="Arial" w:hAnsi="Arial" w:cs="Arial"/>
          <w:lang w:val="en-IN"/>
        </w:rPr>
        <w:t xml:space="preserve">Urine culture subsequently yielded </w:t>
      </w:r>
      <w:r w:rsidRPr="002D6D0C">
        <w:rPr>
          <w:rFonts w:ascii="Arial" w:hAnsi="Arial" w:cs="Arial"/>
          <w:i/>
          <w:iCs/>
          <w:lang w:val="en-IN"/>
        </w:rPr>
        <w:t>Escherichia coli</w:t>
      </w:r>
      <w:r w:rsidRPr="002D6D0C">
        <w:rPr>
          <w:rFonts w:ascii="Arial" w:hAnsi="Arial" w:cs="Arial"/>
          <w:lang w:val="en-IN"/>
        </w:rPr>
        <w:t xml:space="preserve">, with antimicrobial susceptibility testing demonstrating resistance to ciprofloxacin/ofloxacin, gentamicin, nitrofurantoin and ceftriaxone/cefotaxime, while piperacillin-tazobactam and </w:t>
      </w:r>
      <w:proofErr w:type="spellStart"/>
      <w:r w:rsidRPr="002D6D0C">
        <w:rPr>
          <w:rFonts w:ascii="Arial" w:hAnsi="Arial" w:cs="Arial"/>
          <w:lang w:val="en-IN"/>
        </w:rPr>
        <w:t>cefoperazone</w:t>
      </w:r>
      <w:proofErr w:type="spellEnd"/>
      <w:r w:rsidRPr="002D6D0C">
        <w:rPr>
          <w:rFonts w:ascii="Arial" w:hAnsi="Arial" w:cs="Arial"/>
          <w:lang w:val="en-IN"/>
        </w:rPr>
        <w:t xml:space="preserve">-sulbactam were reported susceptible. Despite this susceptibility pattern, the treatment record documented intravenous ciprofloxacin 200 mg twice daily along with metronidazole, paracetamol, ranitidine and supportive intravenous </w:t>
      </w:r>
      <w:r w:rsidRPr="002D6D0C">
        <w:rPr>
          <w:rFonts w:ascii="Arial" w:hAnsi="Arial" w:cs="Arial"/>
          <w:lang w:val="en-IN"/>
        </w:rPr>
        <w:lastRenderedPageBreak/>
        <w:t xml:space="preserve">therapy. </w:t>
      </w:r>
      <w:r w:rsidR="005034F5" w:rsidRPr="002D6D0C">
        <w:rPr>
          <w:rFonts w:ascii="Arial" w:hAnsi="Arial" w:cs="Arial"/>
        </w:rPr>
        <w:t>On day 6 of ciprofloxacin exposure, the patient developed pruritus associated with an erythematous skin eruption approximately 5 minutes after ciprofloxacin administration.</w:t>
      </w:r>
    </w:p>
    <w:p w14:paraId="565E1E39" w14:textId="77777777" w:rsidR="005034F5" w:rsidRPr="002D6D0C" w:rsidRDefault="00515A8B" w:rsidP="00515A8B">
      <w:pPr>
        <w:pStyle w:val="Body"/>
        <w:spacing w:after="0"/>
        <w:rPr>
          <w:rFonts w:ascii="Arial" w:hAnsi="Arial" w:cs="Arial"/>
          <w:b/>
          <w:bCs/>
        </w:rPr>
      </w:pPr>
      <w:r w:rsidRPr="002D6D0C">
        <w:rPr>
          <w:rFonts w:ascii="Arial" w:hAnsi="Arial" w:cs="Arial"/>
        </w:rPr>
        <w:t xml:space="preserve">Clinical examination and photographic documentation demonstrated predominantly flat, irregular erythematous lesions without clearly identifiable raised wheals or vesiculobullous changes (Figure 1). </w:t>
      </w:r>
      <w:r w:rsidR="005034F5" w:rsidRPr="002D6D0C">
        <w:rPr>
          <w:rFonts w:ascii="Arial" w:hAnsi="Arial" w:cs="Arial"/>
        </w:rPr>
        <w:t xml:space="preserve">Based on the available clinical morphology, the reaction was conservatively documented as a pruritic erythematous cutaneous eruption rather than definitive acute urticaria or fixed drug eruption. No facial or mucosal oedema, respiratory symptoms, hypotension, or other features suggestive of anaphylaxis were documented. The reaction was managed with a 2 mL injection of pheniramine maleate, following which the patient's pruritus and erythematous eruption resolved within approximately 4 hours. Although the reaction improved following administration of pheniramine maleate, a clearly documented isolated </w:t>
      </w:r>
      <w:proofErr w:type="spellStart"/>
      <w:r w:rsidR="005034F5" w:rsidRPr="002D6D0C">
        <w:rPr>
          <w:rFonts w:ascii="Arial" w:hAnsi="Arial" w:cs="Arial"/>
        </w:rPr>
        <w:t>dechallenge</w:t>
      </w:r>
      <w:proofErr w:type="spellEnd"/>
      <w:r w:rsidR="005034F5" w:rsidRPr="002D6D0C">
        <w:rPr>
          <w:rFonts w:ascii="Arial" w:hAnsi="Arial" w:cs="Arial"/>
        </w:rPr>
        <w:t xml:space="preserve"> following discontinuation of ciprofloxacin was not available. Therefore, the clinical improvement was not interpreted as definitive evidence of ciprofloxacin withdrawal-related resolution. Rechallenge was not performed because intentional re-exposure to a suspected offending drug was not clinically or ethically justified.</w:t>
      </w:r>
    </w:p>
    <w:p w14:paraId="73BA65BE" w14:textId="77777777" w:rsidR="005034F5" w:rsidRPr="002D6D0C" w:rsidRDefault="005034F5" w:rsidP="00515A8B">
      <w:pPr>
        <w:pStyle w:val="Body"/>
        <w:spacing w:after="0"/>
        <w:rPr>
          <w:rFonts w:ascii="Arial" w:hAnsi="Arial" w:cs="Arial"/>
          <w:b/>
          <w:bCs/>
        </w:rPr>
      </w:pPr>
    </w:p>
    <w:p w14:paraId="50DE1F96" w14:textId="77777777" w:rsidR="00515A8B" w:rsidRPr="002D6D0C" w:rsidRDefault="00163001" w:rsidP="00163001">
      <w:pPr>
        <w:pStyle w:val="Body"/>
        <w:spacing w:after="0"/>
        <w:jc w:val="center"/>
        <w:rPr>
          <w:rFonts w:ascii="Arial" w:hAnsi="Arial" w:cs="Arial"/>
          <w:lang w:val="en-IN"/>
        </w:rPr>
      </w:pPr>
      <w:r w:rsidRPr="002D6D0C">
        <w:rPr>
          <w:rFonts w:ascii="Arial" w:hAnsi="Arial" w:cs="Arial"/>
          <w:noProof/>
          <w:lang w:val="en-IN"/>
        </w:rPr>
        <w:drawing>
          <wp:inline distT="0" distB="0" distL="0" distR="0" wp14:anchorId="34B683C2" wp14:editId="2E627401">
            <wp:extent cx="2070117" cy="2339163"/>
            <wp:effectExtent l="0" t="0" r="0" b="0"/>
            <wp:docPr id="1693664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664809" name="Picture 169366480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96394" cy="2368855"/>
                    </a:xfrm>
                    <a:prstGeom prst="rect">
                      <a:avLst/>
                    </a:prstGeom>
                  </pic:spPr>
                </pic:pic>
              </a:graphicData>
            </a:graphic>
          </wp:inline>
        </w:drawing>
      </w:r>
    </w:p>
    <w:p w14:paraId="746E972E" w14:textId="77777777" w:rsidR="00163001" w:rsidRPr="002D6D0C" w:rsidRDefault="00163001" w:rsidP="00515A8B">
      <w:pPr>
        <w:pStyle w:val="Body"/>
        <w:spacing w:after="0"/>
        <w:rPr>
          <w:rFonts w:ascii="Arial" w:hAnsi="Arial" w:cs="Arial"/>
          <w:lang w:val="en-IN"/>
        </w:rPr>
      </w:pPr>
    </w:p>
    <w:p w14:paraId="51AAA9CF" w14:textId="77777777" w:rsidR="00163001" w:rsidRPr="002D6D0C" w:rsidRDefault="00163001" w:rsidP="00163001">
      <w:pPr>
        <w:pStyle w:val="Body"/>
        <w:spacing w:after="0"/>
        <w:jc w:val="center"/>
        <w:rPr>
          <w:rFonts w:ascii="Arial" w:hAnsi="Arial" w:cs="Arial"/>
          <w:b/>
          <w:bCs/>
          <w:lang w:val="en-IN"/>
        </w:rPr>
      </w:pPr>
      <w:r w:rsidRPr="002D6D0C">
        <w:rPr>
          <w:rFonts w:ascii="Arial" w:hAnsi="Arial" w:cs="Arial"/>
          <w:b/>
          <w:bCs/>
        </w:rPr>
        <w:t>Fig. 1. Clinical photograph demonstrating the pruritic erythematous cutaneous eruption observed during ciprofloxacin exposure.</w:t>
      </w:r>
    </w:p>
    <w:p w14:paraId="1B414BD5" w14:textId="77777777" w:rsidR="00163001" w:rsidRPr="002D6D0C" w:rsidRDefault="00163001" w:rsidP="00515A8B">
      <w:pPr>
        <w:pStyle w:val="Body"/>
        <w:spacing w:after="0"/>
        <w:rPr>
          <w:rFonts w:ascii="Arial" w:hAnsi="Arial" w:cs="Arial"/>
          <w:lang w:val="en-IN"/>
        </w:rPr>
      </w:pPr>
    </w:p>
    <w:p w14:paraId="3306F7DB" w14:textId="77777777" w:rsidR="00F73B78" w:rsidRPr="002D6D0C" w:rsidRDefault="00F73B78" w:rsidP="00515A8B">
      <w:pPr>
        <w:pStyle w:val="Body"/>
        <w:spacing w:after="0"/>
        <w:rPr>
          <w:rFonts w:ascii="Arial" w:hAnsi="Arial" w:cs="Arial"/>
          <w:lang w:val="en-IN"/>
        </w:rPr>
      </w:pPr>
      <w:r w:rsidRPr="002D6D0C">
        <w:rPr>
          <w:rFonts w:ascii="Arial" w:hAnsi="Arial" w:cs="Arial"/>
        </w:rPr>
        <w:t xml:space="preserve">The Naranjo Adverse Drug Reaction Probability Scale yielded a score of 7, indicating a probable adverse drug reaction. WHO-UMC assessment remained limited by incomplete documentation of the exact latency and </w:t>
      </w:r>
      <w:proofErr w:type="spellStart"/>
      <w:r w:rsidRPr="002D6D0C">
        <w:rPr>
          <w:rFonts w:ascii="Arial" w:hAnsi="Arial" w:cs="Arial"/>
        </w:rPr>
        <w:t>dechallenge</w:t>
      </w:r>
      <w:proofErr w:type="spellEnd"/>
      <w:r w:rsidRPr="002D6D0C">
        <w:rPr>
          <w:rFonts w:ascii="Arial" w:hAnsi="Arial" w:cs="Arial"/>
        </w:rPr>
        <w:t xml:space="preserve">. The clinical morphology was considered more consistent with a pruritic erythematous drug eruption than classical urticaria. The patient showed no documented recurrence during the available follow-up. Overall, the rapid response to antihistamine therapy and temporal association with ciprofloxacin support a suspected ciprofloxacin-associated cutaneous ADR. </w:t>
      </w:r>
      <w:r w:rsidR="00515A8B" w:rsidRPr="002D6D0C">
        <w:rPr>
          <w:rFonts w:ascii="Arial" w:hAnsi="Arial" w:cs="Arial"/>
          <w:lang w:val="en-IN"/>
        </w:rPr>
        <w:t xml:space="preserve">During subsequent clinical management, amikacin 500 mg intravenously once daily was documented. Repeat ultrasonography on </w:t>
      </w:r>
      <w:r w:rsidR="00163001" w:rsidRPr="002D6D0C">
        <w:rPr>
          <w:rFonts w:ascii="Arial" w:hAnsi="Arial" w:cs="Arial"/>
          <w:lang w:val="en-IN"/>
        </w:rPr>
        <w:t>day 10</w:t>
      </w:r>
      <w:r w:rsidR="00515A8B" w:rsidRPr="002D6D0C">
        <w:rPr>
          <w:rFonts w:ascii="Arial" w:hAnsi="Arial" w:cs="Arial"/>
          <w:lang w:val="en-IN"/>
        </w:rPr>
        <w:t xml:space="preserve"> showed both testes to be normal in size, shape and vascularity, with persistent bilateral epididymal abnormalities, no free fluid and mild scrotal-wall oedema, consistent with improving </w:t>
      </w:r>
      <w:proofErr w:type="spellStart"/>
      <w:r w:rsidR="00515A8B" w:rsidRPr="002D6D0C">
        <w:rPr>
          <w:rFonts w:ascii="Arial" w:hAnsi="Arial" w:cs="Arial"/>
          <w:lang w:val="en-IN"/>
        </w:rPr>
        <w:t>epididymo</w:t>
      </w:r>
      <w:proofErr w:type="spellEnd"/>
      <w:r w:rsidR="00515A8B" w:rsidRPr="002D6D0C">
        <w:rPr>
          <w:rFonts w:ascii="Arial" w:hAnsi="Arial" w:cs="Arial"/>
          <w:lang w:val="en-IN"/>
        </w:rPr>
        <w:t xml:space="preserve">-orchitis. </w:t>
      </w:r>
    </w:p>
    <w:p w14:paraId="2D5F5F5B" w14:textId="77777777" w:rsidR="00F73B78" w:rsidRPr="002D6D0C" w:rsidRDefault="00F73B78" w:rsidP="00515A8B">
      <w:pPr>
        <w:pStyle w:val="Body"/>
        <w:spacing w:after="0"/>
        <w:rPr>
          <w:rFonts w:ascii="Arial" w:hAnsi="Arial" w:cs="Arial"/>
          <w:lang w:val="en-IN"/>
        </w:rPr>
      </w:pPr>
    </w:p>
    <w:tbl>
      <w:tblPr>
        <w:tblStyle w:val="TableGridLight"/>
        <w:tblW w:w="9133" w:type="dxa"/>
        <w:jc w:val="center"/>
        <w:tblLook w:val="04A0" w:firstRow="1" w:lastRow="0" w:firstColumn="1" w:lastColumn="0" w:noHBand="0" w:noVBand="1"/>
      </w:tblPr>
      <w:tblGrid>
        <w:gridCol w:w="6068"/>
        <w:gridCol w:w="2262"/>
        <w:gridCol w:w="803"/>
      </w:tblGrid>
      <w:tr w:rsidR="00F73B78" w:rsidRPr="002D6D0C" w14:paraId="2E1ADD49" w14:textId="77777777" w:rsidTr="008E36CF">
        <w:trPr>
          <w:trHeight w:val="240"/>
          <w:jc w:val="center"/>
        </w:trPr>
        <w:tc>
          <w:tcPr>
            <w:tcW w:w="0" w:type="auto"/>
            <w:hideMark/>
          </w:tcPr>
          <w:p w14:paraId="3ED9F4E2" w14:textId="77777777" w:rsidR="00F73B78" w:rsidRPr="002D6D0C" w:rsidRDefault="00F73B78" w:rsidP="00F73B78">
            <w:pPr>
              <w:pStyle w:val="Body"/>
              <w:rPr>
                <w:rFonts w:ascii="Arial" w:hAnsi="Arial" w:cs="Arial"/>
                <w:b/>
                <w:bCs/>
                <w:lang w:val="en-IN"/>
              </w:rPr>
            </w:pPr>
            <w:r w:rsidRPr="002D6D0C">
              <w:rPr>
                <w:rFonts w:ascii="Arial" w:hAnsi="Arial" w:cs="Arial"/>
                <w:b/>
                <w:bCs/>
                <w:lang w:val="en-IN"/>
              </w:rPr>
              <w:t>Naranjo item</w:t>
            </w:r>
          </w:p>
        </w:tc>
        <w:tc>
          <w:tcPr>
            <w:tcW w:w="2033" w:type="dxa"/>
            <w:hideMark/>
          </w:tcPr>
          <w:p w14:paraId="4A945F3D" w14:textId="77777777" w:rsidR="00F73B78" w:rsidRPr="002D6D0C" w:rsidRDefault="00F73B78" w:rsidP="008E36CF">
            <w:pPr>
              <w:pStyle w:val="Body"/>
              <w:rPr>
                <w:rFonts w:ascii="Arial" w:hAnsi="Arial" w:cs="Arial"/>
                <w:b/>
                <w:bCs/>
                <w:lang w:val="en-IN"/>
              </w:rPr>
            </w:pPr>
            <w:r w:rsidRPr="002D6D0C">
              <w:rPr>
                <w:rFonts w:ascii="Arial" w:hAnsi="Arial" w:cs="Arial"/>
                <w:b/>
                <w:bCs/>
                <w:lang w:val="en-IN"/>
              </w:rPr>
              <w:t>Response</w:t>
            </w:r>
          </w:p>
        </w:tc>
        <w:tc>
          <w:tcPr>
            <w:tcW w:w="803" w:type="dxa"/>
            <w:hideMark/>
          </w:tcPr>
          <w:p w14:paraId="39167888" w14:textId="77777777" w:rsidR="00F73B78" w:rsidRPr="002D6D0C" w:rsidRDefault="00F73B78" w:rsidP="00F73B78">
            <w:pPr>
              <w:pStyle w:val="Body"/>
              <w:rPr>
                <w:rFonts w:ascii="Arial" w:hAnsi="Arial" w:cs="Arial"/>
                <w:b/>
                <w:bCs/>
                <w:lang w:val="en-IN"/>
              </w:rPr>
            </w:pPr>
            <w:r w:rsidRPr="002D6D0C">
              <w:rPr>
                <w:rFonts w:ascii="Arial" w:hAnsi="Arial" w:cs="Arial"/>
                <w:b/>
                <w:bCs/>
                <w:lang w:val="en-IN"/>
              </w:rPr>
              <w:t>Score</w:t>
            </w:r>
          </w:p>
        </w:tc>
      </w:tr>
      <w:tr w:rsidR="00F73B78" w:rsidRPr="002D6D0C" w14:paraId="76C9D993" w14:textId="77777777" w:rsidTr="008E36CF">
        <w:trPr>
          <w:trHeight w:val="240"/>
          <w:jc w:val="center"/>
        </w:trPr>
        <w:tc>
          <w:tcPr>
            <w:tcW w:w="0" w:type="auto"/>
            <w:hideMark/>
          </w:tcPr>
          <w:p w14:paraId="57A8183A" w14:textId="77777777" w:rsidR="00F73B78" w:rsidRPr="002D6D0C" w:rsidRDefault="00F73B78" w:rsidP="00F73B78">
            <w:pPr>
              <w:pStyle w:val="Body"/>
              <w:rPr>
                <w:rFonts w:ascii="Arial" w:hAnsi="Arial" w:cs="Arial"/>
                <w:lang w:val="en-IN"/>
              </w:rPr>
            </w:pPr>
            <w:r w:rsidRPr="002D6D0C">
              <w:rPr>
                <w:rFonts w:ascii="Arial" w:hAnsi="Arial" w:cs="Arial"/>
                <w:lang w:val="en-IN"/>
              </w:rPr>
              <w:t>Previous conclusive reports of this reaction</w:t>
            </w:r>
          </w:p>
        </w:tc>
        <w:tc>
          <w:tcPr>
            <w:tcW w:w="2033" w:type="dxa"/>
            <w:hideMark/>
          </w:tcPr>
          <w:p w14:paraId="66B659AF" w14:textId="77777777" w:rsidR="00F73B78" w:rsidRPr="002D6D0C" w:rsidRDefault="00F73B78" w:rsidP="00F73B78">
            <w:pPr>
              <w:pStyle w:val="Body"/>
              <w:rPr>
                <w:rFonts w:ascii="Arial" w:hAnsi="Arial" w:cs="Arial"/>
                <w:lang w:val="en-IN"/>
              </w:rPr>
            </w:pPr>
            <w:r w:rsidRPr="002D6D0C">
              <w:rPr>
                <w:rFonts w:ascii="Arial" w:hAnsi="Arial" w:cs="Arial"/>
                <w:lang w:val="en-IN"/>
              </w:rPr>
              <w:t>Yes</w:t>
            </w:r>
          </w:p>
        </w:tc>
        <w:tc>
          <w:tcPr>
            <w:tcW w:w="803" w:type="dxa"/>
            <w:hideMark/>
          </w:tcPr>
          <w:p w14:paraId="7C9B8EFF" w14:textId="77777777" w:rsidR="00F73B78" w:rsidRPr="002D6D0C" w:rsidRDefault="00F73B78" w:rsidP="00F73B78">
            <w:pPr>
              <w:pStyle w:val="Body"/>
              <w:rPr>
                <w:rFonts w:ascii="Arial" w:hAnsi="Arial" w:cs="Arial"/>
                <w:lang w:val="en-IN"/>
              </w:rPr>
            </w:pPr>
            <w:r w:rsidRPr="002D6D0C">
              <w:rPr>
                <w:rFonts w:ascii="Arial" w:hAnsi="Arial" w:cs="Arial"/>
                <w:b/>
                <w:bCs/>
                <w:lang w:val="en-IN"/>
              </w:rPr>
              <w:t>+1</w:t>
            </w:r>
          </w:p>
        </w:tc>
      </w:tr>
      <w:tr w:rsidR="00F73B78" w:rsidRPr="002D6D0C" w14:paraId="5340CA0C" w14:textId="77777777" w:rsidTr="008E36CF">
        <w:trPr>
          <w:trHeight w:val="253"/>
          <w:jc w:val="center"/>
        </w:trPr>
        <w:tc>
          <w:tcPr>
            <w:tcW w:w="0" w:type="auto"/>
            <w:hideMark/>
          </w:tcPr>
          <w:p w14:paraId="38ACCFDE" w14:textId="77777777" w:rsidR="00F73B78" w:rsidRPr="002D6D0C" w:rsidRDefault="00F73B78" w:rsidP="00F73B78">
            <w:pPr>
              <w:pStyle w:val="Body"/>
              <w:rPr>
                <w:rFonts w:ascii="Arial" w:hAnsi="Arial" w:cs="Arial"/>
                <w:lang w:val="en-IN"/>
              </w:rPr>
            </w:pPr>
            <w:r w:rsidRPr="002D6D0C">
              <w:rPr>
                <w:rFonts w:ascii="Arial" w:hAnsi="Arial" w:cs="Arial"/>
                <w:lang w:val="en-IN"/>
              </w:rPr>
              <w:t>Event appeared after the suspected drug was administered</w:t>
            </w:r>
          </w:p>
        </w:tc>
        <w:tc>
          <w:tcPr>
            <w:tcW w:w="2033" w:type="dxa"/>
            <w:hideMark/>
          </w:tcPr>
          <w:p w14:paraId="58AF4E0A" w14:textId="77777777" w:rsidR="00F73B78" w:rsidRPr="002D6D0C" w:rsidRDefault="00F73B78" w:rsidP="00F73B78">
            <w:pPr>
              <w:pStyle w:val="Body"/>
              <w:rPr>
                <w:rFonts w:ascii="Arial" w:hAnsi="Arial" w:cs="Arial"/>
                <w:lang w:val="en-IN"/>
              </w:rPr>
            </w:pPr>
            <w:r w:rsidRPr="002D6D0C">
              <w:rPr>
                <w:rFonts w:ascii="Arial" w:hAnsi="Arial" w:cs="Arial"/>
                <w:lang w:val="en-IN"/>
              </w:rPr>
              <w:t>Yes</w:t>
            </w:r>
          </w:p>
        </w:tc>
        <w:tc>
          <w:tcPr>
            <w:tcW w:w="803" w:type="dxa"/>
            <w:hideMark/>
          </w:tcPr>
          <w:p w14:paraId="5851C008" w14:textId="77777777" w:rsidR="00F73B78" w:rsidRPr="002D6D0C" w:rsidRDefault="00F73B78" w:rsidP="00F73B78">
            <w:pPr>
              <w:pStyle w:val="Body"/>
              <w:rPr>
                <w:rFonts w:ascii="Arial" w:hAnsi="Arial" w:cs="Arial"/>
                <w:lang w:val="en-IN"/>
              </w:rPr>
            </w:pPr>
            <w:r w:rsidRPr="002D6D0C">
              <w:rPr>
                <w:rFonts w:ascii="Arial" w:hAnsi="Arial" w:cs="Arial"/>
                <w:b/>
                <w:bCs/>
                <w:lang w:val="en-IN"/>
              </w:rPr>
              <w:t>+2</w:t>
            </w:r>
          </w:p>
        </w:tc>
      </w:tr>
      <w:tr w:rsidR="00F73B78" w:rsidRPr="002D6D0C" w14:paraId="1B60E639" w14:textId="77777777" w:rsidTr="008E36CF">
        <w:trPr>
          <w:trHeight w:val="240"/>
          <w:jc w:val="center"/>
        </w:trPr>
        <w:tc>
          <w:tcPr>
            <w:tcW w:w="0" w:type="auto"/>
            <w:hideMark/>
          </w:tcPr>
          <w:p w14:paraId="779411B6" w14:textId="77777777" w:rsidR="00F73B78" w:rsidRPr="002D6D0C" w:rsidRDefault="00F73B78" w:rsidP="00F73B78">
            <w:pPr>
              <w:pStyle w:val="Body"/>
              <w:rPr>
                <w:rFonts w:ascii="Arial" w:hAnsi="Arial" w:cs="Arial"/>
                <w:lang w:val="en-IN"/>
              </w:rPr>
            </w:pPr>
            <w:r w:rsidRPr="002D6D0C">
              <w:rPr>
                <w:rFonts w:ascii="Arial" w:hAnsi="Arial" w:cs="Arial"/>
                <w:lang w:val="en-IN"/>
              </w:rPr>
              <w:t>Event improved after drug withdrawal/specific treatment</w:t>
            </w:r>
          </w:p>
        </w:tc>
        <w:tc>
          <w:tcPr>
            <w:tcW w:w="2033" w:type="dxa"/>
            <w:hideMark/>
          </w:tcPr>
          <w:p w14:paraId="06786DC7" w14:textId="77777777" w:rsidR="00F73B78" w:rsidRPr="002D6D0C" w:rsidRDefault="00F73B78" w:rsidP="00F73B78">
            <w:pPr>
              <w:pStyle w:val="Body"/>
              <w:rPr>
                <w:rFonts w:ascii="Arial" w:hAnsi="Arial" w:cs="Arial"/>
                <w:lang w:val="en-IN"/>
              </w:rPr>
            </w:pPr>
            <w:r w:rsidRPr="002D6D0C">
              <w:rPr>
                <w:rFonts w:ascii="Arial" w:hAnsi="Arial" w:cs="Arial"/>
                <w:lang w:val="en-IN"/>
              </w:rPr>
              <w:t>Yes</w:t>
            </w:r>
          </w:p>
        </w:tc>
        <w:tc>
          <w:tcPr>
            <w:tcW w:w="803" w:type="dxa"/>
            <w:hideMark/>
          </w:tcPr>
          <w:p w14:paraId="55182C1B" w14:textId="77777777" w:rsidR="00F73B78" w:rsidRPr="002D6D0C" w:rsidRDefault="00F73B78" w:rsidP="00F73B78">
            <w:pPr>
              <w:pStyle w:val="Body"/>
              <w:rPr>
                <w:rFonts w:ascii="Arial" w:hAnsi="Arial" w:cs="Arial"/>
                <w:lang w:val="en-IN"/>
              </w:rPr>
            </w:pPr>
            <w:r w:rsidRPr="002D6D0C">
              <w:rPr>
                <w:rFonts w:ascii="Arial" w:hAnsi="Arial" w:cs="Arial"/>
                <w:b/>
                <w:bCs/>
                <w:lang w:val="en-IN"/>
              </w:rPr>
              <w:t>+1</w:t>
            </w:r>
          </w:p>
        </w:tc>
      </w:tr>
      <w:tr w:rsidR="00F73B78" w:rsidRPr="002D6D0C" w14:paraId="214F6279" w14:textId="77777777" w:rsidTr="008E36CF">
        <w:trPr>
          <w:trHeight w:val="240"/>
          <w:jc w:val="center"/>
        </w:trPr>
        <w:tc>
          <w:tcPr>
            <w:tcW w:w="0" w:type="auto"/>
            <w:hideMark/>
          </w:tcPr>
          <w:p w14:paraId="6F6CC716" w14:textId="77777777" w:rsidR="00F73B78" w:rsidRPr="002D6D0C" w:rsidRDefault="00F73B78" w:rsidP="00F73B78">
            <w:pPr>
              <w:pStyle w:val="Body"/>
              <w:rPr>
                <w:rFonts w:ascii="Arial" w:hAnsi="Arial" w:cs="Arial"/>
                <w:lang w:val="en-IN"/>
              </w:rPr>
            </w:pPr>
            <w:r w:rsidRPr="002D6D0C">
              <w:rPr>
                <w:rFonts w:ascii="Arial" w:hAnsi="Arial" w:cs="Arial"/>
                <w:lang w:val="en-IN"/>
              </w:rPr>
              <w:t>Event reappeared after re-administration</w:t>
            </w:r>
          </w:p>
        </w:tc>
        <w:tc>
          <w:tcPr>
            <w:tcW w:w="2033" w:type="dxa"/>
            <w:hideMark/>
          </w:tcPr>
          <w:p w14:paraId="3B1E818A" w14:textId="77777777" w:rsidR="00F73B78" w:rsidRPr="002D6D0C" w:rsidRDefault="00F73B78" w:rsidP="00F73B78">
            <w:pPr>
              <w:pStyle w:val="Body"/>
              <w:rPr>
                <w:rFonts w:ascii="Arial" w:hAnsi="Arial" w:cs="Arial"/>
                <w:lang w:val="en-IN"/>
              </w:rPr>
            </w:pPr>
            <w:r w:rsidRPr="002D6D0C">
              <w:rPr>
                <w:rFonts w:ascii="Arial" w:hAnsi="Arial" w:cs="Arial"/>
                <w:lang w:val="en-IN"/>
              </w:rPr>
              <w:t>Not performed</w:t>
            </w:r>
          </w:p>
        </w:tc>
        <w:tc>
          <w:tcPr>
            <w:tcW w:w="803" w:type="dxa"/>
            <w:hideMark/>
          </w:tcPr>
          <w:p w14:paraId="1C5C705D" w14:textId="77777777" w:rsidR="00F73B78" w:rsidRPr="002D6D0C" w:rsidRDefault="00F73B78" w:rsidP="00F73B78">
            <w:pPr>
              <w:pStyle w:val="Body"/>
              <w:rPr>
                <w:rFonts w:ascii="Arial" w:hAnsi="Arial" w:cs="Arial"/>
                <w:lang w:val="en-IN"/>
              </w:rPr>
            </w:pPr>
            <w:r w:rsidRPr="002D6D0C">
              <w:rPr>
                <w:rFonts w:ascii="Arial" w:hAnsi="Arial" w:cs="Arial"/>
                <w:b/>
                <w:bCs/>
                <w:lang w:val="en-IN"/>
              </w:rPr>
              <w:t>0</w:t>
            </w:r>
          </w:p>
        </w:tc>
      </w:tr>
      <w:tr w:rsidR="00F73B78" w:rsidRPr="002D6D0C" w14:paraId="50020561" w14:textId="77777777" w:rsidTr="008E36CF">
        <w:trPr>
          <w:trHeight w:val="253"/>
          <w:jc w:val="center"/>
        </w:trPr>
        <w:tc>
          <w:tcPr>
            <w:tcW w:w="0" w:type="auto"/>
            <w:hideMark/>
          </w:tcPr>
          <w:p w14:paraId="7D8188C1" w14:textId="77777777" w:rsidR="00F73B78" w:rsidRPr="002D6D0C" w:rsidRDefault="00F73B78" w:rsidP="00F73B78">
            <w:pPr>
              <w:pStyle w:val="Body"/>
              <w:rPr>
                <w:rFonts w:ascii="Arial" w:hAnsi="Arial" w:cs="Arial"/>
                <w:lang w:val="en-IN"/>
              </w:rPr>
            </w:pPr>
            <w:r w:rsidRPr="002D6D0C">
              <w:rPr>
                <w:rFonts w:ascii="Arial" w:hAnsi="Arial" w:cs="Arial"/>
                <w:lang w:val="en-IN"/>
              </w:rPr>
              <w:t>Alternative causes</w:t>
            </w:r>
          </w:p>
        </w:tc>
        <w:tc>
          <w:tcPr>
            <w:tcW w:w="2033" w:type="dxa"/>
            <w:hideMark/>
          </w:tcPr>
          <w:p w14:paraId="6D685B48" w14:textId="77777777" w:rsidR="00F73B78" w:rsidRPr="002D6D0C" w:rsidRDefault="008B4E17" w:rsidP="00F73B78">
            <w:pPr>
              <w:pStyle w:val="Body"/>
              <w:rPr>
                <w:rFonts w:ascii="Arial" w:hAnsi="Arial" w:cs="Arial"/>
                <w:lang w:val="en-IN"/>
              </w:rPr>
            </w:pPr>
            <w:r w:rsidRPr="002D6D0C">
              <w:rPr>
                <w:rFonts w:ascii="Arial" w:hAnsi="Arial" w:cs="Arial"/>
                <w:lang w:val="en-IN"/>
              </w:rPr>
              <w:t xml:space="preserve">Yes </w:t>
            </w:r>
          </w:p>
        </w:tc>
        <w:tc>
          <w:tcPr>
            <w:tcW w:w="803" w:type="dxa"/>
            <w:hideMark/>
          </w:tcPr>
          <w:p w14:paraId="5782CD12" w14:textId="77777777" w:rsidR="00F73B78" w:rsidRPr="002D6D0C" w:rsidRDefault="00F73B78" w:rsidP="00F73B78">
            <w:pPr>
              <w:pStyle w:val="Body"/>
              <w:rPr>
                <w:rFonts w:ascii="Arial" w:hAnsi="Arial" w:cs="Arial"/>
                <w:lang w:val="en-IN"/>
              </w:rPr>
            </w:pPr>
            <w:r w:rsidRPr="002D6D0C">
              <w:rPr>
                <w:rFonts w:ascii="Arial" w:hAnsi="Arial" w:cs="Arial"/>
                <w:b/>
                <w:bCs/>
                <w:lang w:val="en-IN"/>
              </w:rPr>
              <w:t>+2</w:t>
            </w:r>
          </w:p>
        </w:tc>
      </w:tr>
      <w:tr w:rsidR="00F73B78" w:rsidRPr="002D6D0C" w14:paraId="36C799C3" w14:textId="77777777" w:rsidTr="008E36CF">
        <w:trPr>
          <w:trHeight w:val="240"/>
          <w:jc w:val="center"/>
        </w:trPr>
        <w:tc>
          <w:tcPr>
            <w:tcW w:w="0" w:type="auto"/>
            <w:hideMark/>
          </w:tcPr>
          <w:p w14:paraId="78952BE8" w14:textId="77777777" w:rsidR="00F73B78" w:rsidRPr="002D6D0C" w:rsidRDefault="00F73B78" w:rsidP="00F73B78">
            <w:pPr>
              <w:pStyle w:val="Body"/>
              <w:rPr>
                <w:rFonts w:ascii="Arial" w:hAnsi="Arial" w:cs="Arial"/>
                <w:lang w:val="en-IN"/>
              </w:rPr>
            </w:pPr>
            <w:r w:rsidRPr="002D6D0C">
              <w:rPr>
                <w:rFonts w:ascii="Arial" w:hAnsi="Arial" w:cs="Arial"/>
                <w:lang w:val="en-IN"/>
              </w:rPr>
              <w:t>Reaction with placebo</w:t>
            </w:r>
          </w:p>
        </w:tc>
        <w:tc>
          <w:tcPr>
            <w:tcW w:w="2033" w:type="dxa"/>
            <w:hideMark/>
          </w:tcPr>
          <w:p w14:paraId="0DC2630A" w14:textId="77777777" w:rsidR="00F73B78" w:rsidRPr="002D6D0C" w:rsidRDefault="00F73B78" w:rsidP="00F73B78">
            <w:pPr>
              <w:pStyle w:val="Body"/>
              <w:rPr>
                <w:rFonts w:ascii="Arial" w:hAnsi="Arial" w:cs="Arial"/>
                <w:lang w:val="en-IN"/>
              </w:rPr>
            </w:pPr>
            <w:r w:rsidRPr="002D6D0C">
              <w:rPr>
                <w:rFonts w:ascii="Arial" w:hAnsi="Arial" w:cs="Arial"/>
                <w:lang w:val="en-IN"/>
              </w:rPr>
              <w:t>Not performed</w:t>
            </w:r>
          </w:p>
        </w:tc>
        <w:tc>
          <w:tcPr>
            <w:tcW w:w="803" w:type="dxa"/>
            <w:hideMark/>
          </w:tcPr>
          <w:p w14:paraId="755E1E91" w14:textId="77777777" w:rsidR="00F73B78" w:rsidRPr="002D6D0C" w:rsidRDefault="00F73B78" w:rsidP="00F73B78">
            <w:pPr>
              <w:pStyle w:val="Body"/>
              <w:rPr>
                <w:rFonts w:ascii="Arial" w:hAnsi="Arial" w:cs="Arial"/>
                <w:lang w:val="en-IN"/>
              </w:rPr>
            </w:pPr>
            <w:r w:rsidRPr="002D6D0C">
              <w:rPr>
                <w:rFonts w:ascii="Arial" w:hAnsi="Arial" w:cs="Arial"/>
                <w:b/>
                <w:bCs/>
                <w:lang w:val="en-IN"/>
              </w:rPr>
              <w:t>0</w:t>
            </w:r>
          </w:p>
        </w:tc>
      </w:tr>
      <w:tr w:rsidR="00F73B78" w:rsidRPr="002D6D0C" w14:paraId="59F94155" w14:textId="77777777" w:rsidTr="008E36CF">
        <w:trPr>
          <w:trHeight w:val="240"/>
          <w:jc w:val="center"/>
        </w:trPr>
        <w:tc>
          <w:tcPr>
            <w:tcW w:w="0" w:type="auto"/>
            <w:hideMark/>
          </w:tcPr>
          <w:p w14:paraId="226295B3" w14:textId="77777777" w:rsidR="00F73B78" w:rsidRPr="002D6D0C" w:rsidRDefault="00F73B78" w:rsidP="00F73B78">
            <w:pPr>
              <w:pStyle w:val="Body"/>
              <w:rPr>
                <w:rFonts w:ascii="Arial" w:hAnsi="Arial" w:cs="Arial"/>
                <w:lang w:val="en-IN"/>
              </w:rPr>
            </w:pPr>
            <w:r w:rsidRPr="002D6D0C">
              <w:rPr>
                <w:rFonts w:ascii="Arial" w:hAnsi="Arial" w:cs="Arial"/>
                <w:lang w:val="en-IN"/>
              </w:rPr>
              <w:t>Toxic drug concentration documented</w:t>
            </w:r>
          </w:p>
        </w:tc>
        <w:tc>
          <w:tcPr>
            <w:tcW w:w="2033" w:type="dxa"/>
            <w:hideMark/>
          </w:tcPr>
          <w:p w14:paraId="3B15AEEC" w14:textId="77777777" w:rsidR="00F73B78" w:rsidRPr="002D6D0C" w:rsidRDefault="00F73B78" w:rsidP="00F73B78">
            <w:pPr>
              <w:pStyle w:val="Body"/>
              <w:rPr>
                <w:rFonts w:ascii="Arial" w:hAnsi="Arial" w:cs="Arial"/>
                <w:lang w:val="en-IN"/>
              </w:rPr>
            </w:pPr>
            <w:r w:rsidRPr="002D6D0C">
              <w:rPr>
                <w:rFonts w:ascii="Arial" w:hAnsi="Arial" w:cs="Arial"/>
                <w:lang w:val="en-IN"/>
              </w:rPr>
              <w:t>No</w:t>
            </w:r>
          </w:p>
        </w:tc>
        <w:tc>
          <w:tcPr>
            <w:tcW w:w="803" w:type="dxa"/>
            <w:hideMark/>
          </w:tcPr>
          <w:p w14:paraId="49E464BB" w14:textId="77777777" w:rsidR="00F73B78" w:rsidRPr="002D6D0C" w:rsidRDefault="00F73B78" w:rsidP="00F73B78">
            <w:pPr>
              <w:pStyle w:val="Body"/>
              <w:rPr>
                <w:rFonts w:ascii="Arial" w:hAnsi="Arial" w:cs="Arial"/>
                <w:lang w:val="en-IN"/>
              </w:rPr>
            </w:pPr>
            <w:r w:rsidRPr="002D6D0C">
              <w:rPr>
                <w:rFonts w:ascii="Arial" w:hAnsi="Arial" w:cs="Arial"/>
                <w:b/>
                <w:bCs/>
                <w:lang w:val="en-IN"/>
              </w:rPr>
              <w:t>0</w:t>
            </w:r>
          </w:p>
        </w:tc>
      </w:tr>
      <w:tr w:rsidR="00F73B78" w:rsidRPr="002D6D0C" w14:paraId="74148335" w14:textId="77777777" w:rsidTr="008E36CF">
        <w:trPr>
          <w:trHeight w:val="253"/>
          <w:jc w:val="center"/>
        </w:trPr>
        <w:tc>
          <w:tcPr>
            <w:tcW w:w="0" w:type="auto"/>
            <w:hideMark/>
          </w:tcPr>
          <w:p w14:paraId="4A4C4D31" w14:textId="77777777" w:rsidR="00F73B78" w:rsidRPr="002D6D0C" w:rsidRDefault="00F73B78" w:rsidP="00F73B78">
            <w:pPr>
              <w:pStyle w:val="Body"/>
              <w:rPr>
                <w:rFonts w:ascii="Arial" w:hAnsi="Arial" w:cs="Arial"/>
                <w:lang w:val="en-IN"/>
              </w:rPr>
            </w:pPr>
            <w:r w:rsidRPr="002D6D0C">
              <w:rPr>
                <w:rFonts w:ascii="Arial" w:hAnsi="Arial" w:cs="Arial"/>
                <w:lang w:val="en-IN"/>
              </w:rPr>
              <w:lastRenderedPageBreak/>
              <w:t>Dose-response relationship</w:t>
            </w:r>
          </w:p>
        </w:tc>
        <w:tc>
          <w:tcPr>
            <w:tcW w:w="2033" w:type="dxa"/>
            <w:hideMark/>
          </w:tcPr>
          <w:p w14:paraId="6C3A3F8B" w14:textId="77777777" w:rsidR="00F73B78" w:rsidRPr="002D6D0C" w:rsidRDefault="00F73B78" w:rsidP="00F73B78">
            <w:pPr>
              <w:pStyle w:val="Body"/>
              <w:rPr>
                <w:rFonts w:ascii="Arial" w:hAnsi="Arial" w:cs="Arial"/>
                <w:lang w:val="en-IN"/>
              </w:rPr>
            </w:pPr>
            <w:r w:rsidRPr="002D6D0C">
              <w:rPr>
                <w:rFonts w:ascii="Arial" w:hAnsi="Arial" w:cs="Arial"/>
                <w:lang w:val="en-IN"/>
              </w:rPr>
              <w:t>Not documented</w:t>
            </w:r>
          </w:p>
        </w:tc>
        <w:tc>
          <w:tcPr>
            <w:tcW w:w="803" w:type="dxa"/>
            <w:hideMark/>
          </w:tcPr>
          <w:p w14:paraId="11A4A32C" w14:textId="77777777" w:rsidR="00F73B78" w:rsidRPr="002D6D0C" w:rsidRDefault="00F73B78" w:rsidP="00F73B78">
            <w:pPr>
              <w:pStyle w:val="Body"/>
              <w:rPr>
                <w:rFonts w:ascii="Arial" w:hAnsi="Arial" w:cs="Arial"/>
                <w:lang w:val="en-IN"/>
              </w:rPr>
            </w:pPr>
            <w:r w:rsidRPr="002D6D0C">
              <w:rPr>
                <w:rFonts w:ascii="Arial" w:hAnsi="Arial" w:cs="Arial"/>
                <w:b/>
                <w:bCs/>
                <w:lang w:val="en-IN"/>
              </w:rPr>
              <w:t>0</w:t>
            </w:r>
          </w:p>
        </w:tc>
      </w:tr>
      <w:tr w:rsidR="00F73B78" w:rsidRPr="002D6D0C" w14:paraId="0198B4BA" w14:textId="77777777" w:rsidTr="008E36CF">
        <w:trPr>
          <w:trHeight w:val="240"/>
          <w:jc w:val="center"/>
        </w:trPr>
        <w:tc>
          <w:tcPr>
            <w:tcW w:w="0" w:type="auto"/>
            <w:hideMark/>
          </w:tcPr>
          <w:p w14:paraId="51FA793F" w14:textId="77777777" w:rsidR="00F73B78" w:rsidRPr="002D6D0C" w:rsidRDefault="00F73B78" w:rsidP="00F73B78">
            <w:pPr>
              <w:pStyle w:val="Body"/>
              <w:rPr>
                <w:rFonts w:ascii="Arial" w:hAnsi="Arial" w:cs="Arial"/>
                <w:lang w:val="en-IN"/>
              </w:rPr>
            </w:pPr>
            <w:r w:rsidRPr="002D6D0C">
              <w:rPr>
                <w:rFonts w:ascii="Arial" w:hAnsi="Arial" w:cs="Arial"/>
                <w:lang w:val="en-IN"/>
              </w:rPr>
              <w:t>Previous similar reaction</w:t>
            </w:r>
          </w:p>
        </w:tc>
        <w:tc>
          <w:tcPr>
            <w:tcW w:w="2033" w:type="dxa"/>
            <w:hideMark/>
          </w:tcPr>
          <w:p w14:paraId="110A3C6F" w14:textId="77777777" w:rsidR="00F73B78" w:rsidRPr="002D6D0C" w:rsidRDefault="00F73B78" w:rsidP="00F73B78">
            <w:pPr>
              <w:pStyle w:val="Body"/>
              <w:rPr>
                <w:rFonts w:ascii="Arial" w:hAnsi="Arial" w:cs="Arial"/>
                <w:lang w:val="en-IN"/>
              </w:rPr>
            </w:pPr>
            <w:r w:rsidRPr="002D6D0C">
              <w:rPr>
                <w:rFonts w:ascii="Arial" w:hAnsi="Arial" w:cs="Arial"/>
                <w:lang w:val="en-IN"/>
              </w:rPr>
              <w:t>Not documented</w:t>
            </w:r>
          </w:p>
        </w:tc>
        <w:tc>
          <w:tcPr>
            <w:tcW w:w="803" w:type="dxa"/>
            <w:hideMark/>
          </w:tcPr>
          <w:p w14:paraId="50BD19EF" w14:textId="77777777" w:rsidR="00F73B78" w:rsidRPr="002D6D0C" w:rsidRDefault="00F73B78" w:rsidP="00F73B78">
            <w:pPr>
              <w:pStyle w:val="Body"/>
              <w:rPr>
                <w:rFonts w:ascii="Arial" w:hAnsi="Arial" w:cs="Arial"/>
                <w:lang w:val="en-IN"/>
              </w:rPr>
            </w:pPr>
            <w:r w:rsidRPr="002D6D0C">
              <w:rPr>
                <w:rFonts w:ascii="Arial" w:hAnsi="Arial" w:cs="Arial"/>
                <w:b/>
                <w:bCs/>
                <w:lang w:val="en-IN"/>
              </w:rPr>
              <w:t>0</w:t>
            </w:r>
          </w:p>
        </w:tc>
      </w:tr>
      <w:tr w:rsidR="00F73B78" w:rsidRPr="002D6D0C" w14:paraId="576326D3" w14:textId="77777777" w:rsidTr="008E36CF">
        <w:trPr>
          <w:trHeight w:val="240"/>
          <w:jc w:val="center"/>
        </w:trPr>
        <w:tc>
          <w:tcPr>
            <w:tcW w:w="0" w:type="auto"/>
            <w:hideMark/>
          </w:tcPr>
          <w:p w14:paraId="5A5A014F" w14:textId="77777777" w:rsidR="00F73B78" w:rsidRPr="002D6D0C" w:rsidRDefault="00F73B78" w:rsidP="00F73B78">
            <w:pPr>
              <w:pStyle w:val="Body"/>
              <w:rPr>
                <w:rFonts w:ascii="Arial" w:hAnsi="Arial" w:cs="Arial"/>
                <w:lang w:val="en-IN"/>
              </w:rPr>
            </w:pPr>
            <w:r w:rsidRPr="002D6D0C">
              <w:rPr>
                <w:rFonts w:ascii="Arial" w:hAnsi="Arial" w:cs="Arial"/>
                <w:lang w:val="en-IN"/>
              </w:rPr>
              <w:t>Objective evidence</w:t>
            </w:r>
          </w:p>
        </w:tc>
        <w:tc>
          <w:tcPr>
            <w:tcW w:w="2033" w:type="dxa"/>
            <w:hideMark/>
          </w:tcPr>
          <w:p w14:paraId="49F12751" w14:textId="77777777" w:rsidR="00F73B78" w:rsidRPr="002D6D0C" w:rsidRDefault="00F73B78" w:rsidP="00F73B78">
            <w:pPr>
              <w:pStyle w:val="Body"/>
              <w:rPr>
                <w:rFonts w:ascii="Arial" w:hAnsi="Arial" w:cs="Arial"/>
                <w:lang w:val="en-IN"/>
              </w:rPr>
            </w:pPr>
            <w:r w:rsidRPr="002D6D0C">
              <w:rPr>
                <w:rFonts w:ascii="Arial" w:hAnsi="Arial" w:cs="Arial"/>
                <w:lang w:val="en-IN"/>
              </w:rPr>
              <w:t>Yes</w:t>
            </w:r>
          </w:p>
        </w:tc>
        <w:tc>
          <w:tcPr>
            <w:tcW w:w="803" w:type="dxa"/>
            <w:hideMark/>
          </w:tcPr>
          <w:p w14:paraId="437E17C8" w14:textId="77777777" w:rsidR="00F73B78" w:rsidRPr="002D6D0C" w:rsidRDefault="00F73B78" w:rsidP="00F73B78">
            <w:pPr>
              <w:pStyle w:val="Body"/>
              <w:rPr>
                <w:rFonts w:ascii="Arial" w:hAnsi="Arial" w:cs="Arial"/>
                <w:lang w:val="en-IN"/>
              </w:rPr>
            </w:pPr>
            <w:r w:rsidRPr="002D6D0C">
              <w:rPr>
                <w:rFonts w:ascii="Arial" w:hAnsi="Arial" w:cs="Arial"/>
                <w:b/>
                <w:bCs/>
                <w:lang w:val="en-IN"/>
              </w:rPr>
              <w:t>+1</w:t>
            </w:r>
          </w:p>
        </w:tc>
      </w:tr>
      <w:tr w:rsidR="00F73B78" w:rsidRPr="002D6D0C" w14:paraId="54CD7509" w14:textId="77777777" w:rsidTr="008E36CF">
        <w:trPr>
          <w:trHeight w:val="240"/>
          <w:jc w:val="center"/>
        </w:trPr>
        <w:tc>
          <w:tcPr>
            <w:tcW w:w="8330" w:type="dxa"/>
            <w:gridSpan w:val="2"/>
            <w:hideMark/>
          </w:tcPr>
          <w:p w14:paraId="11D55E52" w14:textId="77777777" w:rsidR="00F73B78" w:rsidRPr="002D6D0C" w:rsidRDefault="00F73B78" w:rsidP="00F73B78">
            <w:pPr>
              <w:pStyle w:val="Body"/>
              <w:rPr>
                <w:rFonts w:ascii="Arial" w:hAnsi="Arial" w:cs="Arial"/>
                <w:lang w:val="en-IN"/>
              </w:rPr>
            </w:pPr>
            <w:r w:rsidRPr="002D6D0C">
              <w:rPr>
                <w:rFonts w:ascii="Arial" w:hAnsi="Arial" w:cs="Arial"/>
                <w:b/>
                <w:bCs/>
                <w:lang w:val="en-IN"/>
              </w:rPr>
              <w:t>Total score</w:t>
            </w:r>
          </w:p>
        </w:tc>
        <w:tc>
          <w:tcPr>
            <w:tcW w:w="803" w:type="dxa"/>
            <w:hideMark/>
          </w:tcPr>
          <w:p w14:paraId="41903852" w14:textId="77777777" w:rsidR="00F73B78" w:rsidRPr="002D6D0C" w:rsidRDefault="00F73B78" w:rsidP="00F73B78">
            <w:pPr>
              <w:pStyle w:val="Body"/>
              <w:rPr>
                <w:rFonts w:ascii="Arial" w:hAnsi="Arial" w:cs="Arial"/>
                <w:lang w:val="en-IN"/>
              </w:rPr>
            </w:pPr>
            <w:r w:rsidRPr="002D6D0C">
              <w:rPr>
                <w:rFonts w:ascii="Arial" w:hAnsi="Arial" w:cs="Arial"/>
                <w:b/>
                <w:bCs/>
                <w:lang w:val="en-IN"/>
              </w:rPr>
              <w:t>7</w:t>
            </w:r>
          </w:p>
        </w:tc>
      </w:tr>
    </w:tbl>
    <w:p w14:paraId="690FAC8A" w14:textId="77777777" w:rsidR="00F73B78" w:rsidRPr="002D6D0C" w:rsidRDefault="00F73B78" w:rsidP="00515A8B">
      <w:pPr>
        <w:pStyle w:val="Body"/>
        <w:spacing w:after="0"/>
        <w:rPr>
          <w:rFonts w:ascii="Arial" w:hAnsi="Arial" w:cs="Arial"/>
          <w:lang w:val="en-IN"/>
        </w:rPr>
      </w:pPr>
    </w:p>
    <w:p w14:paraId="195B14E9" w14:textId="77777777" w:rsidR="00790ADA" w:rsidRPr="002D6D0C" w:rsidRDefault="00F73B78" w:rsidP="00F73B78">
      <w:pPr>
        <w:pStyle w:val="Body"/>
        <w:spacing w:after="0"/>
        <w:jc w:val="center"/>
        <w:rPr>
          <w:rFonts w:ascii="Arial" w:hAnsi="Arial" w:cs="Arial"/>
          <w:b/>
          <w:bCs/>
        </w:rPr>
      </w:pPr>
      <w:r w:rsidRPr="002D6D0C">
        <w:rPr>
          <w:rFonts w:ascii="Arial" w:hAnsi="Arial" w:cs="Arial"/>
          <w:b/>
          <w:bCs/>
        </w:rPr>
        <w:t>Tab. 1. Naranjo Adverse Drug Reaction Probability Scale assessment.</w:t>
      </w:r>
    </w:p>
    <w:p w14:paraId="563DDBE6" w14:textId="77777777" w:rsidR="00902823" w:rsidRPr="002D6D0C" w:rsidRDefault="00000F8F" w:rsidP="00441B6F">
      <w:pPr>
        <w:pStyle w:val="Head1"/>
        <w:spacing w:after="0"/>
        <w:jc w:val="both"/>
        <w:rPr>
          <w:rFonts w:ascii="Arial" w:hAnsi="Arial" w:cs="Arial"/>
        </w:rPr>
      </w:pPr>
      <w:r w:rsidRPr="002D6D0C">
        <w:rPr>
          <w:rFonts w:ascii="Arial" w:hAnsi="Arial" w:cs="Arial"/>
        </w:rPr>
        <w:t>3</w:t>
      </w:r>
      <w:r w:rsidR="00902823" w:rsidRPr="002D6D0C">
        <w:rPr>
          <w:rFonts w:ascii="Arial" w:hAnsi="Arial" w:cs="Arial"/>
        </w:rPr>
        <w:t xml:space="preserve">. </w:t>
      </w:r>
      <w:r w:rsidRPr="002D6D0C">
        <w:rPr>
          <w:rFonts w:ascii="Arial" w:hAnsi="Arial" w:cs="Arial"/>
        </w:rPr>
        <w:t>discussion</w:t>
      </w:r>
    </w:p>
    <w:p w14:paraId="1E29FBAC" w14:textId="77777777" w:rsidR="006B4714" w:rsidRPr="002D6D0C" w:rsidRDefault="002F29A3" w:rsidP="001A58BB">
      <w:pPr>
        <w:pStyle w:val="Body"/>
        <w:spacing w:after="0"/>
        <w:rPr>
          <w:rFonts w:ascii="Arial" w:hAnsi="Arial" w:cs="Arial"/>
          <w:color w:val="000000"/>
        </w:rPr>
      </w:pPr>
      <w:proofErr w:type="spellStart"/>
      <w:r w:rsidRPr="002D6D0C">
        <w:rPr>
          <w:rFonts w:ascii="Arial" w:hAnsi="Arial" w:cs="Arial"/>
        </w:rPr>
        <w:t>Epididymo</w:t>
      </w:r>
      <w:proofErr w:type="spellEnd"/>
      <w:r w:rsidRPr="002D6D0C">
        <w:rPr>
          <w:rFonts w:ascii="Arial" w:hAnsi="Arial" w:cs="Arial"/>
        </w:rPr>
        <w:t xml:space="preserve">-orchitis is a significant cause of acute scrotal symptoms in males and may have either sexually acquired or urinary/enteric infectious causes.  The underlying </w:t>
      </w:r>
      <w:proofErr w:type="spellStart"/>
      <w:r w:rsidRPr="002D6D0C">
        <w:rPr>
          <w:rFonts w:ascii="Arial" w:hAnsi="Arial" w:cs="Arial"/>
        </w:rPr>
        <w:t>aetiology</w:t>
      </w:r>
      <w:proofErr w:type="spellEnd"/>
      <w:r w:rsidRPr="002D6D0C">
        <w:rPr>
          <w:rFonts w:ascii="Arial" w:hAnsi="Arial" w:cs="Arial"/>
        </w:rPr>
        <w:t xml:space="preserve"> varies with age, sexual risk factors, and related urological diseases; thus, proper clinical and microbiological examination is critical for selecting successful antimicrobial therapy</w:t>
      </w:r>
      <w:sdt>
        <w:sdtPr>
          <w:rPr>
            <w:rFonts w:ascii="Arial" w:hAnsi="Arial" w:cs="Arial"/>
            <w:color w:val="000000"/>
          </w:rPr>
          <w:tag w:val="MENDELEY_CITATION_v3_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"/>
          <w:id w:val="2024899819"/>
          <w:placeholder>
            <w:docPart w:val="DefaultPlaceholder_-1854013440"/>
          </w:placeholder>
        </w:sdtPr>
        <w:sdtContent>
          <w:r w:rsidR="00C4003A" w:rsidRPr="002D6D0C">
            <w:rPr>
              <w:rFonts w:ascii="Arial" w:hAnsi="Arial" w:cs="Arial"/>
              <w:color w:val="000000"/>
            </w:rPr>
            <w:t xml:space="preserve"> (Ryan et al., 2018).</w:t>
          </w:r>
        </w:sdtContent>
      </w:sdt>
      <w:r w:rsidRPr="002D6D0C">
        <w:rPr>
          <w:rFonts w:ascii="Arial" w:hAnsi="Arial" w:cs="Arial"/>
        </w:rPr>
        <w:t xml:space="preserve"> In a large UK primary-care study, ciprofloxacin was the most frequently prescribed antibiotic for men with </w:t>
      </w:r>
      <w:proofErr w:type="spellStart"/>
      <w:r w:rsidRPr="002D6D0C">
        <w:rPr>
          <w:rFonts w:ascii="Arial" w:hAnsi="Arial" w:cs="Arial"/>
        </w:rPr>
        <w:t>epididymo</w:t>
      </w:r>
      <w:proofErr w:type="spellEnd"/>
      <w:r w:rsidRPr="002D6D0C">
        <w:rPr>
          <w:rFonts w:ascii="Arial" w:hAnsi="Arial" w:cs="Arial"/>
        </w:rPr>
        <w:t>-orchitis, while investigations for sexually transmitted infections were infrequently documented, highlighting the reliance on empirical treatment during the study period</w:t>
      </w:r>
      <w:sdt>
        <w:sdtPr>
          <w:rPr>
            <w:rFonts w:ascii="Arial" w:hAnsi="Arial" w:cs="Arial"/>
            <w:color w:val="000000"/>
          </w:rPr>
          <w:tag w:val="MENDELEY_CITATION_v3_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"/>
          <w:id w:val="1721710140"/>
          <w:placeholder>
            <w:docPart w:val="DefaultPlaceholder_-1854013440"/>
          </w:placeholder>
        </w:sdtPr>
        <w:sdtContent>
          <w:r w:rsidR="00C4003A" w:rsidRPr="002D6D0C">
            <w:rPr>
              <w:rFonts w:ascii="Arial" w:hAnsi="Arial" w:cs="Arial"/>
              <w:color w:val="000000"/>
            </w:rPr>
            <w:t xml:space="preserve"> (Nicholson et al., 2010). More recent European guidance </w:t>
          </w:r>
          <w:proofErr w:type="spellStart"/>
          <w:r w:rsidR="00C4003A" w:rsidRPr="002D6D0C">
            <w:rPr>
              <w:rFonts w:ascii="Arial" w:hAnsi="Arial" w:cs="Arial"/>
              <w:color w:val="000000"/>
            </w:rPr>
            <w:t>emphasises</w:t>
          </w:r>
          <w:proofErr w:type="spellEnd"/>
          <w:r w:rsidR="00C4003A" w:rsidRPr="002D6D0C">
            <w:rPr>
              <w:rFonts w:ascii="Arial" w:hAnsi="Arial" w:cs="Arial"/>
              <w:color w:val="000000"/>
            </w:rPr>
            <w:t xml:space="preserve"> pathogen-directed assessment and differentiates treatment according to suspected sexually transmitted or enteric </w:t>
          </w:r>
          <w:proofErr w:type="spellStart"/>
          <w:r w:rsidR="00C4003A" w:rsidRPr="002D6D0C">
            <w:rPr>
              <w:rFonts w:ascii="Arial" w:hAnsi="Arial" w:cs="Arial"/>
              <w:color w:val="000000"/>
            </w:rPr>
            <w:t>aetiology</w:t>
          </w:r>
          <w:proofErr w:type="spellEnd"/>
          <w:r w:rsidR="00C4003A" w:rsidRPr="002D6D0C">
            <w:rPr>
              <w:rFonts w:ascii="Arial" w:hAnsi="Arial" w:cs="Arial"/>
              <w:color w:val="000000"/>
            </w:rPr>
            <w:t>.</w:t>
          </w:r>
        </w:sdtContent>
      </w:sdt>
      <w:r w:rsidRPr="002D6D0C">
        <w:rPr>
          <w:rFonts w:ascii="Arial" w:hAnsi="Arial" w:cs="Arial"/>
          <w:color w:val="000000"/>
        </w:rPr>
        <w:t xml:space="preserve"> More recent European guidance </w:t>
      </w:r>
      <w:proofErr w:type="spellStart"/>
      <w:r w:rsidRPr="002D6D0C">
        <w:rPr>
          <w:rFonts w:ascii="Arial" w:hAnsi="Arial" w:cs="Arial"/>
          <w:color w:val="000000"/>
        </w:rPr>
        <w:t>emphasises</w:t>
      </w:r>
      <w:proofErr w:type="spellEnd"/>
      <w:r w:rsidRPr="002D6D0C">
        <w:rPr>
          <w:rFonts w:ascii="Arial" w:hAnsi="Arial" w:cs="Arial"/>
          <w:color w:val="000000"/>
        </w:rPr>
        <w:t xml:space="preserve"> pathogen-directed assessment and differentiates treatment according to suspected sexually transmitted or enteric </w:t>
      </w:r>
      <w:proofErr w:type="spellStart"/>
      <w:r w:rsidRPr="002D6D0C">
        <w:rPr>
          <w:rFonts w:ascii="Arial" w:hAnsi="Arial" w:cs="Arial"/>
          <w:color w:val="000000"/>
        </w:rPr>
        <w:t>aetiology</w:t>
      </w:r>
      <w:proofErr w:type="spellEnd"/>
      <w:sdt>
        <w:sdtPr>
          <w:rPr>
            <w:rFonts w:ascii="Arial" w:hAnsi="Arial" w:cs="Arial"/>
            <w:color w:val="000000"/>
          </w:rPr>
          <w:tag w:val="MENDELEY_CITATION_v3_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"/>
          <w:id w:val="1002864253"/>
          <w:placeholder>
            <w:docPart w:val="DefaultPlaceholder_-1854013440"/>
          </w:placeholder>
        </w:sdtPr>
        <w:sdtContent>
          <w:r w:rsidR="00C4003A" w:rsidRPr="002D6D0C">
            <w:rPr>
              <w:rFonts w:ascii="Arial" w:hAnsi="Arial" w:cs="Arial"/>
              <w:color w:val="000000"/>
            </w:rPr>
            <w:t xml:space="preserve"> (Justice et al., 2026).</w:t>
          </w:r>
        </w:sdtContent>
      </w:sdt>
      <w:r w:rsidRPr="002D6D0C">
        <w:rPr>
          <w:rFonts w:ascii="Arial" w:hAnsi="Arial" w:cs="Arial"/>
        </w:rPr>
        <w:t xml:space="preserve"> </w:t>
      </w:r>
      <w:r w:rsidR="00C460A9" w:rsidRPr="002D6D0C">
        <w:rPr>
          <w:rFonts w:ascii="Arial" w:hAnsi="Arial" w:cs="Arial"/>
        </w:rPr>
        <w:t>Fluoroquinolones are broad-spectrum antibacterial medicines that have gained popularity due to their excellent pharmacokinetic properties and efficacy against a variety of Gram-negative and selected Gram-positive species. However, their safety profile includes adverse effects affecting numerous organ systems, with gastrointestinal, central nervous system, and cutaneous reactions being the most commonly reported symptoms. The majority of reactions are moderate and transient, while rare significant incidents have been detected during post-marketing surveillance</w:t>
      </w:r>
      <w:sdt>
        <w:sdtPr>
          <w:rPr>
            <w:rFonts w:ascii="Arial" w:hAnsi="Arial" w:cs="Arial"/>
            <w:color w:val="000000"/>
          </w:rPr>
          <w:tag w:val="MENDELEY_CITATION_v3_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"/>
          <w:id w:val="-948547230"/>
          <w:placeholder>
            <w:docPart w:val="DefaultPlaceholder_-1854013440"/>
          </w:placeholder>
        </w:sdtPr>
        <w:sdtContent>
          <w:r w:rsidR="00C4003A" w:rsidRPr="002D6D0C">
            <w:rPr>
              <w:rFonts w:ascii="Arial" w:hAnsi="Arial" w:cs="Arial"/>
              <w:color w:val="000000"/>
            </w:rPr>
            <w:t xml:space="preserve"> (Baggio &amp; Ananda-Rajah, 2021; Bertino &amp; Fish, 2000).</w:t>
          </w:r>
        </w:sdtContent>
      </w:sdt>
      <w:r w:rsidR="00C460A9" w:rsidRPr="002D6D0C">
        <w:rPr>
          <w:rFonts w:ascii="Arial" w:hAnsi="Arial" w:cs="Arial"/>
          <w:color w:val="000000"/>
        </w:rPr>
        <w:t xml:space="preserve"> Cutaneous reactions are especially relevant in this scenario and may include pruritus, erythematous or maculopapular eruptions, photosensitivity, and hypersensitivity reactions. Although these occurrences are uncommon, severe hypersensitivity symptoms, such as anaphylactoid responses, have been recorded after ciprofloxacin exposure</w:t>
      </w:r>
      <w:sdt>
        <w:sdtPr>
          <w:rPr>
            <w:rFonts w:ascii="Arial" w:hAnsi="Arial" w:cs="Arial"/>
            <w:color w:val="000000"/>
          </w:rPr>
          <w:tag w:val="MENDELEY_CITATION_v3_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"/>
          <w:id w:val="685409492"/>
          <w:placeholder>
            <w:docPart w:val="DefaultPlaceholder_-1854013440"/>
          </w:placeholder>
        </w:sdtPr>
        <w:sdtContent>
          <w:r w:rsidR="00C4003A" w:rsidRPr="002D6D0C">
            <w:rPr>
              <w:rFonts w:ascii="Arial" w:hAnsi="Arial" w:cs="Arial"/>
              <w:color w:val="000000"/>
            </w:rPr>
            <w:t xml:space="preserve"> (Ball, 1986; Deamer et al., 1992).</w:t>
          </w:r>
        </w:sdtContent>
      </w:sdt>
      <w:r w:rsidR="006B4714" w:rsidRPr="002D6D0C">
        <w:t xml:space="preserve"> </w:t>
      </w:r>
      <w:r w:rsidR="006B4714" w:rsidRPr="002D6D0C">
        <w:rPr>
          <w:rFonts w:ascii="Arial" w:hAnsi="Arial" w:cs="Arial"/>
          <w:color w:val="000000"/>
        </w:rPr>
        <w:t xml:space="preserve">Despite their established therapeutic effectiveness, these potential adverse effects </w:t>
      </w:r>
      <w:proofErr w:type="spellStart"/>
      <w:r w:rsidR="006B4714" w:rsidRPr="002D6D0C">
        <w:rPr>
          <w:rFonts w:ascii="Arial" w:hAnsi="Arial" w:cs="Arial"/>
          <w:color w:val="000000"/>
        </w:rPr>
        <w:t>emphasise</w:t>
      </w:r>
      <w:proofErr w:type="spellEnd"/>
      <w:r w:rsidR="006B4714" w:rsidRPr="002D6D0C">
        <w:rPr>
          <w:rFonts w:ascii="Arial" w:hAnsi="Arial" w:cs="Arial"/>
          <w:color w:val="000000"/>
        </w:rPr>
        <w:t xml:space="preserve"> the importance of rational prescribing, appropriate patient selection, and early recognition of suspected drug-related toxicity. </w:t>
      </w:r>
    </w:p>
    <w:p w14:paraId="4BA8A54A" w14:textId="77777777" w:rsidR="00E9787D" w:rsidRPr="002D6D0C" w:rsidRDefault="002F29A3" w:rsidP="001A58BB">
      <w:pPr>
        <w:pStyle w:val="Body"/>
        <w:spacing w:after="0"/>
        <w:rPr>
          <w:rFonts w:ascii="Arial" w:hAnsi="Arial" w:cs="Arial"/>
        </w:rPr>
      </w:pPr>
      <w:r w:rsidRPr="002D6D0C">
        <w:rPr>
          <w:rFonts w:ascii="Arial" w:hAnsi="Arial" w:cs="Arial"/>
          <w:lang w:val="en-IN"/>
        </w:rPr>
        <w:t>Ciprofloxacin is a potent fluoroquinolone antibiotic that exerts its bactericidal effect by targeting bacterial DNA gyrase and topoisomerase IV. Despite its broad therapeutic utility, it may produce diverse adverse reactions, with cutaneous manifestations ranging from mild eruptions to severe hypersensitivity syndromes</w:t>
      </w:r>
      <w:sdt>
        <w:sdtPr>
          <w:rPr>
            <w:rFonts w:ascii="Arial" w:hAnsi="Arial" w:cs="Arial"/>
            <w:color w:val="000000"/>
            <w:lang w:val="en-IN"/>
          </w:rPr>
          <w:tag w:val="MENDELEY_CITATION_v3_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"/>
          <w:id w:val="-1753894124"/>
          <w:placeholder>
            <w:docPart w:val="322A2EAF38E04A7D8C7DF7A02535017D"/>
          </w:placeholder>
        </w:sdtPr>
        <w:sdtContent>
          <w:r w:rsidR="00C4003A" w:rsidRPr="002D6D0C">
            <w:rPr>
              <w:rFonts w:ascii="Arial" w:hAnsi="Arial" w:cs="Arial"/>
              <w:color w:val="000000"/>
            </w:rPr>
            <w:t xml:space="preserve"> (Collins et al., 2024; Hooper &amp; Jacoby, 2016).</w:t>
          </w:r>
        </w:sdtContent>
      </w:sdt>
      <w:r w:rsidRPr="002D6D0C">
        <w:rPr>
          <w:rFonts w:ascii="Arial" w:hAnsi="Arial" w:cs="Arial"/>
          <w:color w:val="000000"/>
          <w:lang w:val="en-IN"/>
        </w:rPr>
        <w:t xml:space="preserve"> </w:t>
      </w:r>
      <w:r w:rsidR="001A58BB" w:rsidRPr="002D6D0C">
        <w:rPr>
          <w:rFonts w:ascii="Arial" w:hAnsi="Arial" w:cs="Arial"/>
          <w:lang w:val="en-IN"/>
        </w:rPr>
        <w:t>Despite its broad therapeutic utility, it may produce diverse adverse reactions, with cutaneous manifestations ranging from mild eruptions to severe hypersensitivity syndromes</w:t>
      </w:r>
      <w:sdt>
        <w:sdtPr>
          <w:rPr>
            <w:rFonts w:ascii="Arial" w:hAnsi="Arial" w:cs="Arial"/>
            <w:color w:val="000000"/>
            <w:lang w:val="en-IN"/>
          </w:rPr>
          <w:tag w:val="MENDELEY_CITATION_v3_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"/>
          <w:id w:val="2002692356"/>
          <w:placeholder>
            <w:docPart w:val="DefaultPlaceholder_-1854013440"/>
          </w:placeholder>
        </w:sdtPr>
        <w:sdtContent>
          <w:r w:rsidR="00C4003A" w:rsidRPr="002D6D0C">
            <w:rPr>
              <w:rFonts w:ascii="Arial" w:hAnsi="Arial" w:cs="Arial"/>
              <w:color w:val="000000"/>
            </w:rPr>
            <w:t xml:space="preserve"> (Collins et al., 2024; Hooper &amp; Jacoby, 2016).</w:t>
          </w:r>
        </w:sdtContent>
      </w:sdt>
      <w:r w:rsidR="00E9787D" w:rsidRPr="002D6D0C">
        <w:rPr>
          <w:rFonts w:ascii="Arial" w:hAnsi="Arial" w:cs="Arial"/>
          <w:color w:val="000000"/>
          <w:lang w:val="en-IN"/>
        </w:rPr>
        <w:t xml:space="preserve"> </w:t>
      </w:r>
      <w:r w:rsidR="00E9787D" w:rsidRPr="002D6D0C">
        <w:rPr>
          <w:rFonts w:ascii="Arial" w:hAnsi="Arial" w:cs="Arial"/>
          <w:color w:val="000000"/>
        </w:rPr>
        <w:t>Fluoroquinolone-associated adverse effects are influenced by patient-specific risk factors and treatment characteristics, with older age, prolonged exposure, corticosteroid use, renal impairment, and comorbid conditions increasing susceptibility to clinically significant toxicity</w:t>
      </w:r>
      <w:sdt>
        <w:sdtPr>
          <w:rPr>
            <w:rFonts w:ascii="Arial" w:hAnsi="Arial" w:cs="Arial"/>
            <w:color w:val="000000"/>
            <w:lang w:val="en-IN"/>
          </w:rPr>
          <w:tag w:val="MENDELEY_CITATION_v3_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"/>
          <w:id w:val="1720716619"/>
          <w:placeholder>
            <w:docPart w:val="DefaultPlaceholder_-1854013440"/>
          </w:placeholder>
        </w:sdtPr>
        <w:sdtContent>
          <w:r w:rsidR="00C4003A" w:rsidRPr="002D6D0C">
            <w:rPr>
              <w:rFonts w:ascii="Arial" w:hAnsi="Arial" w:cs="Arial"/>
              <w:color w:val="000000"/>
            </w:rPr>
            <w:t xml:space="preserve"> (Baggio &amp; Ananda-Rajah, 2021).</w:t>
          </w:r>
        </w:sdtContent>
      </w:sdt>
      <w:r w:rsidR="00E9787D" w:rsidRPr="002D6D0C">
        <w:rPr>
          <w:rFonts w:ascii="Arial" w:hAnsi="Arial" w:cs="Arial"/>
          <w:lang w:val="en-IN"/>
        </w:rPr>
        <w:t xml:space="preserve"> </w:t>
      </w:r>
      <w:r w:rsidR="00E9787D" w:rsidRPr="002D6D0C">
        <w:rPr>
          <w:rFonts w:ascii="Arial" w:hAnsi="Arial" w:cs="Arial"/>
        </w:rPr>
        <w:t>In a study involving 166,736 patients treated with fluoroquinolones, cutaneous reactions occurred in 0.09% of patients, with ciprofloxacin accounting for the highest number of cases (n = 93); maculopapular rash (39.7%) was the most common skin reaction</w:t>
      </w:r>
      <w:sdt>
        <w:sdtPr>
          <w:rPr>
            <w:rFonts w:ascii="Arial" w:hAnsi="Arial" w:cs="Arial"/>
            <w:color w:val="000000"/>
          </w:rPr>
          <w:tag w:val="MENDELEY_CITATION_v3_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"/>
          <w:id w:val="1324090593"/>
          <w:placeholder>
            <w:docPart w:val="DefaultPlaceholder_-1854013440"/>
          </w:placeholder>
        </w:sdtPr>
        <w:sdtContent>
          <w:r w:rsidR="00C4003A" w:rsidRPr="002D6D0C">
            <w:rPr>
              <w:rFonts w:ascii="Arial" w:hAnsi="Arial" w:cs="Arial"/>
              <w:color w:val="000000"/>
            </w:rPr>
            <w:t xml:space="preserve"> (</w:t>
          </w:r>
          <w:proofErr w:type="spellStart"/>
          <w:r w:rsidR="00C4003A" w:rsidRPr="002D6D0C">
            <w:rPr>
              <w:rFonts w:ascii="Arial" w:hAnsi="Arial" w:cs="Arial"/>
              <w:color w:val="000000"/>
            </w:rPr>
            <w:t>Kulthanan</w:t>
          </w:r>
          <w:proofErr w:type="spellEnd"/>
          <w:r w:rsidR="00C4003A" w:rsidRPr="002D6D0C">
            <w:rPr>
              <w:rFonts w:ascii="Arial" w:hAnsi="Arial" w:cs="Arial"/>
              <w:color w:val="000000"/>
            </w:rPr>
            <w:t xml:space="preserve"> et al., 2011).</w:t>
          </w:r>
        </w:sdtContent>
      </w:sdt>
    </w:p>
    <w:p w14:paraId="1FD9DD61" w14:textId="77777777" w:rsidR="001A58BB" w:rsidRPr="002D6D0C" w:rsidRDefault="001A58BB" w:rsidP="001A58BB">
      <w:pPr>
        <w:pStyle w:val="Body"/>
        <w:spacing w:after="0"/>
        <w:rPr>
          <w:rFonts w:ascii="Arial" w:hAnsi="Arial" w:cs="Arial"/>
          <w:lang w:val="en-IN"/>
        </w:rPr>
      </w:pPr>
      <w:r w:rsidRPr="002D6D0C">
        <w:rPr>
          <w:rFonts w:ascii="Arial" w:hAnsi="Arial" w:cs="Arial"/>
          <w:lang w:val="en-IN"/>
        </w:rPr>
        <w:t>These observations demonstrate that the dermatological toxicity of ciprofloxacin is uncommon but clinically heterogeneous.</w:t>
      </w:r>
      <w:r w:rsidR="00E9787D" w:rsidRPr="002D6D0C">
        <w:rPr>
          <w:rFonts w:ascii="Arial" w:hAnsi="Arial" w:cs="Arial"/>
          <w:lang w:val="en-IN"/>
        </w:rPr>
        <w:t xml:space="preserve"> </w:t>
      </w:r>
      <w:r w:rsidR="00926CC4" w:rsidRPr="002D6D0C">
        <w:rPr>
          <w:rFonts w:ascii="Arial" w:hAnsi="Arial" w:cs="Arial"/>
        </w:rPr>
        <w:t xml:space="preserve">The present case involved a 22-year-old male who developed pruritus with an erythematous cutaneous eruption approximately 5 minutes after ciprofloxacin administration during treatment for bilateral </w:t>
      </w:r>
      <w:proofErr w:type="spellStart"/>
      <w:r w:rsidR="00926CC4" w:rsidRPr="002D6D0C">
        <w:rPr>
          <w:rFonts w:ascii="Arial" w:hAnsi="Arial" w:cs="Arial"/>
        </w:rPr>
        <w:t>epididymo</w:t>
      </w:r>
      <w:proofErr w:type="spellEnd"/>
      <w:r w:rsidR="00926CC4" w:rsidRPr="002D6D0C">
        <w:rPr>
          <w:rFonts w:ascii="Arial" w:hAnsi="Arial" w:cs="Arial"/>
        </w:rPr>
        <w:t>-orchitis.</w:t>
      </w:r>
      <w:r w:rsidRPr="002D6D0C">
        <w:rPr>
          <w:rFonts w:ascii="Arial" w:hAnsi="Arial" w:cs="Arial"/>
          <w:lang w:val="en-IN"/>
        </w:rPr>
        <w:t xml:space="preserve"> The morphology documented in the accompanying photograph did not demonstrate clearly defined transient raised wheals. </w:t>
      </w:r>
      <w:r w:rsidR="006B4714" w:rsidRPr="002D6D0C">
        <w:rPr>
          <w:rFonts w:ascii="Arial" w:hAnsi="Arial" w:cs="Arial"/>
        </w:rPr>
        <w:t xml:space="preserve">Therefore, the reaction was conservatively </w:t>
      </w:r>
      <w:proofErr w:type="spellStart"/>
      <w:r w:rsidR="006B4714" w:rsidRPr="002D6D0C">
        <w:rPr>
          <w:rFonts w:ascii="Arial" w:hAnsi="Arial" w:cs="Arial"/>
        </w:rPr>
        <w:t>characterised</w:t>
      </w:r>
      <w:proofErr w:type="spellEnd"/>
      <w:r w:rsidR="006B4714" w:rsidRPr="002D6D0C">
        <w:rPr>
          <w:rFonts w:ascii="Arial" w:hAnsi="Arial" w:cs="Arial"/>
        </w:rPr>
        <w:t xml:space="preserve"> as a pruritic erythematous cutaneous eruption rather than definitive acute urticaria or fixed drug eruption. </w:t>
      </w:r>
      <w:r w:rsidRPr="002D6D0C">
        <w:rPr>
          <w:rFonts w:ascii="Arial" w:hAnsi="Arial" w:cs="Arial"/>
          <w:lang w:val="en-IN"/>
        </w:rPr>
        <w:t>This distinction is important because the clinical diagnosis of urticaria requires characteristic evanescent wheals, whereas erythematous drug eruptions encompass a broader range of cutaneous phenotypes.</w:t>
      </w:r>
      <w:r w:rsidR="00E9787D" w:rsidRPr="002D6D0C">
        <w:rPr>
          <w:rFonts w:ascii="Arial" w:hAnsi="Arial" w:cs="Arial"/>
          <w:lang w:val="en-IN"/>
        </w:rPr>
        <w:t xml:space="preserve"> </w:t>
      </w:r>
      <w:r w:rsidRPr="002D6D0C">
        <w:rPr>
          <w:rFonts w:ascii="Arial" w:hAnsi="Arial" w:cs="Arial"/>
          <w:lang w:val="en-IN"/>
        </w:rPr>
        <w:t>Clinical guidelines emphasise that quinolone hypersensitivity may occur through both immediate and delayed mechanisms and that accurate clinical characterisation is essential because diagnostic testing remains imperfect</w:t>
      </w:r>
      <w:sdt>
        <w:sdtPr>
          <w:rPr>
            <w:rFonts w:ascii="Arial" w:hAnsi="Arial" w:cs="Arial"/>
            <w:color w:val="000000"/>
            <w:lang w:val="en-IN"/>
          </w:rPr>
          <w:tag w:val="MENDELEY_CITATION_v3_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"/>
          <w:id w:val="1814598058"/>
          <w:placeholder>
            <w:docPart w:val="DefaultPlaceholder_-1854013440"/>
          </w:placeholder>
        </w:sdtPr>
        <w:sdtContent>
          <w:r w:rsidR="00C4003A" w:rsidRPr="002D6D0C">
            <w:rPr>
              <w:rFonts w:ascii="Arial" w:hAnsi="Arial" w:cs="Arial"/>
              <w:color w:val="000000"/>
              <w:lang w:val="en-IN"/>
            </w:rPr>
            <w:t xml:space="preserve"> (Blanca-López et al., 2011; Neuman et al., 2015).</w:t>
          </w:r>
        </w:sdtContent>
      </w:sdt>
    </w:p>
    <w:p w14:paraId="040E8F62" w14:textId="77777777" w:rsidR="001A58BB" w:rsidRPr="002D6D0C" w:rsidRDefault="00926CC4" w:rsidP="001A58BB">
      <w:pPr>
        <w:pStyle w:val="Body"/>
        <w:spacing w:after="0"/>
        <w:rPr>
          <w:rFonts w:ascii="Arial" w:hAnsi="Arial" w:cs="Arial"/>
        </w:rPr>
      </w:pPr>
      <w:r w:rsidRPr="002D6D0C">
        <w:rPr>
          <w:rFonts w:ascii="Arial" w:hAnsi="Arial" w:cs="Arial"/>
        </w:rPr>
        <w:t xml:space="preserve">The clinical spectrum of ciprofloxacin-associated cutaneous reactions reported in the literature further </w:t>
      </w:r>
      <w:proofErr w:type="spellStart"/>
      <w:r w:rsidRPr="002D6D0C">
        <w:rPr>
          <w:rFonts w:ascii="Arial" w:hAnsi="Arial" w:cs="Arial"/>
        </w:rPr>
        <w:t>emphasises</w:t>
      </w:r>
      <w:proofErr w:type="spellEnd"/>
      <w:r w:rsidRPr="002D6D0C">
        <w:rPr>
          <w:rFonts w:ascii="Arial" w:hAnsi="Arial" w:cs="Arial"/>
        </w:rPr>
        <w:t xml:space="preserve"> the importance of morphological assessment. Previous case reports have described fixed drug eruption associated with ciprofloxacin exposure</w:t>
      </w:r>
      <w:sdt>
        <w:sdtPr>
          <w:rPr>
            <w:rFonts w:ascii="Arial" w:hAnsi="Arial" w:cs="Arial"/>
            <w:color w:val="000000"/>
          </w:rPr>
          <w:tag w:val="MENDELEY_CITATION_v3_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"/>
          <w:id w:val="-1314633264"/>
          <w:placeholder>
            <w:docPart w:val="DefaultPlaceholder_-1854013440"/>
          </w:placeholder>
        </w:sdtPr>
        <w:sdtContent>
          <w:r w:rsidR="00C4003A" w:rsidRPr="002D6D0C">
            <w:rPr>
              <w:rFonts w:ascii="Arial" w:hAnsi="Arial" w:cs="Arial"/>
              <w:color w:val="000000"/>
            </w:rPr>
            <w:t xml:space="preserve"> (Dhar &amp; Sharma, 1996; Jain &amp; Jain, 2013).</w:t>
          </w:r>
        </w:sdtContent>
      </w:sdt>
      <w:r w:rsidR="00CF07C5" w:rsidRPr="002D6D0C">
        <w:rPr>
          <w:rFonts w:ascii="Arial" w:hAnsi="Arial" w:cs="Arial"/>
          <w:lang w:val="en-IN"/>
        </w:rPr>
        <w:t xml:space="preserve"> </w:t>
      </w:r>
      <w:r w:rsidR="001A58BB" w:rsidRPr="002D6D0C">
        <w:rPr>
          <w:rFonts w:ascii="Arial" w:hAnsi="Arial" w:cs="Arial"/>
          <w:lang w:val="en-IN"/>
        </w:rPr>
        <w:t>In contrast, our patient had no documented fixed-site recurrence, bullae, characteristic target lesions, mucosal erosion, or residual hyperpigmentation, making these phenotypes less appropriate for classification of the present reaction.</w:t>
      </w:r>
      <w:r w:rsidRPr="002D6D0C">
        <w:rPr>
          <w:rFonts w:ascii="Arial" w:hAnsi="Arial" w:cs="Arial"/>
          <w:lang w:val="en-IN"/>
        </w:rPr>
        <w:t xml:space="preserve"> </w:t>
      </w:r>
      <w:r w:rsidR="001A58BB" w:rsidRPr="002D6D0C">
        <w:rPr>
          <w:rFonts w:ascii="Arial" w:hAnsi="Arial" w:cs="Arial"/>
          <w:lang w:val="en-IN"/>
        </w:rPr>
        <w:t xml:space="preserve">Other severe phenotypes have also been reported following ciprofloxacin exposure. Other unusual presentations include ciprofloxacin-induced acute generalized </w:t>
      </w:r>
      <w:proofErr w:type="spellStart"/>
      <w:r w:rsidR="001A58BB" w:rsidRPr="002D6D0C">
        <w:rPr>
          <w:rFonts w:ascii="Arial" w:hAnsi="Arial" w:cs="Arial"/>
          <w:lang w:val="en-IN"/>
        </w:rPr>
        <w:t>exanthematous</w:t>
      </w:r>
      <w:proofErr w:type="spellEnd"/>
      <w:r w:rsidR="001A58BB" w:rsidRPr="002D6D0C">
        <w:rPr>
          <w:rFonts w:ascii="Arial" w:hAnsi="Arial" w:cs="Arial"/>
          <w:lang w:val="en-IN"/>
        </w:rPr>
        <w:t xml:space="preserve"> pustulosis confirmed by patch testing and </w:t>
      </w:r>
      <w:proofErr w:type="spellStart"/>
      <w:r w:rsidR="001A58BB" w:rsidRPr="002D6D0C">
        <w:rPr>
          <w:rFonts w:ascii="Arial" w:hAnsi="Arial" w:cs="Arial"/>
          <w:lang w:val="en-IN"/>
        </w:rPr>
        <w:t>photolocalised</w:t>
      </w:r>
      <w:proofErr w:type="spellEnd"/>
      <w:r w:rsidR="001A58BB" w:rsidRPr="002D6D0C">
        <w:rPr>
          <w:rFonts w:ascii="Arial" w:hAnsi="Arial" w:cs="Arial"/>
          <w:lang w:val="en-IN"/>
        </w:rPr>
        <w:t xml:space="preserve"> purpura occurring during ciprofloxacin treatment and sun exposure</w:t>
      </w:r>
      <w:sdt>
        <w:sdtPr>
          <w:rPr>
            <w:rFonts w:ascii="Arial" w:hAnsi="Arial" w:cs="Arial"/>
            <w:color w:val="000000"/>
            <w:lang w:val="en-IN"/>
          </w:rPr>
          <w:tag w:val="MENDELEY_CITATION_v3_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"/>
          <w:id w:val="2135296690"/>
          <w:placeholder>
            <w:docPart w:val="DefaultPlaceholder_-1854013440"/>
          </w:placeholder>
        </w:sdtPr>
        <w:sdtContent>
          <w:r w:rsidR="00C4003A" w:rsidRPr="002D6D0C">
            <w:rPr>
              <w:rFonts w:ascii="Arial" w:hAnsi="Arial" w:cs="Arial"/>
              <w:color w:val="000000"/>
              <w:lang w:val="en-IN"/>
            </w:rPr>
            <w:t xml:space="preserve"> (Häusermann et al., 2005).</w:t>
          </w:r>
        </w:sdtContent>
      </w:sdt>
      <w:r w:rsidR="001A58BB" w:rsidRPr="002D6D0C">
        <w:rPr>
          <w:rFonts w:ascii="Arial" w:hAnsi="Arial" w:cs="Arial"/>
          <w:lang w:val="en-IN"/>
        </w:rPr>
        <w:t xml:space="preserve"> </w:t>
      </w:r>
      <w:r w:rsidRPr="002D6D0C">
        <w:rPr>
          <w:rFonts w:ascii="Arial" w:hAnsi="Arial" w:cs="Arial"/>
        </w:rPr>
        <w:t>Compared with these previously described phenotypes, the present eruption was clinically less severe and lacked the characteristic features of severe cutaneous adverse reactions.</w:t>
      </w:r>
    </w:p>
    <w:p w14:paraId="3D9F5E78" w14:textId="77777777" w:rsidR="00926CC4" w:rsidRPr="002D6D0C" w:rsidRDefault="00926CC4" w:rsidP="001A58BB">
      <w:pPr>
        <w:pStyle w:val="Body"/>
        <w:spacing w:after="0"/>
        <w:rPr>
          <w:rFonts w:ascii="Arial" w:hAnsi="Arial" w:cs="Arial"/>
          <w:lang w:val="en-IN"/>
        </w:rPr>
      </w:pPr>
      <w:r w:rsidRPr="002D6D0C">
        <w:rPr>
          <w:rFonts w:ascii="Arial" w:hAnsi="Arial" w:cs="Arial"/>
        </w:rPr>
        <w:lastRenderedPageBreak/>
        <w:t xml:space="preserve">The temporal relationship in the present case provides an important component of the causality assessment. The eruption developed approximately 5 minutes following ciprofloxacin administration, representing a close temporal association between exposure and onset of symptoms. Following development of the eruption, pheniramine maleate 2 mL was administered, after which the itching and visible skin changes resolved within approximately 4 hours. No anaphylaxis, respiratory compromise, </w:t>
      </w:r>
      <w:proofErr w:type="spellStart"/>
      <w:r w:rsidRPr="002D6D0C">
        <w:rPr>
          <w:rFonts w:ascii="Arial" w:hAnsi="Arial" w:cs="Arial"/>
        </w:rPr>
        <w:t>haemodynamic</w:t>
      </w:r>
      <w:proofErr w:type="spellEnd"/>
      <w:r w:rsidRPr="002D6D0C">
        <w:rPr>
          <w:rFonts w:ascii="Arial" w:hAnsi="Arial" w:cs="Arial"/>
        </w:rPr>
        <w:t xml:space="preserve"> instability, or other severe systemic manifestations were documented. Although the clinical improvement following pheniramine administration contributed to the Naranjo assessment, an isolated </w:t>
      </w:r>
      <w:proofErr w:type="spellStart"/>
      <w:r w:rsidRPr="002D6D0C">
        <w:rPr>
          <w:rFonts w:ascii="Arial" w:hAnsi="Arial" w:cs="Arial"/>
        </w:rPr>
        <w:t>dechallenge</w:t>
      </w:r>
      <w:proofErr w:type="spellEnd"/>
      <w:r w:rsidRPr="002D6D0C">
        <w:rPr>
          <w:rFonts w:ascii="Arial" w:hAnsi="Arial" w:cs="Arial"/>
        </w:rPr>
        <w:t xml:space="preserve"> following ciprofloxacin withdrawal was not clearly documented; therefore, the response to treatment should not be interpreted as definitive evidence that discontinuation of ciprofloxacin caused resolution of the reaction.</w:t>
      </w:r>
    </w:p>
    <w:p w14:paraId="25F80074" w14:textId="77777777" w:rsidR="007B5EEE" w:rsidRPr="002D6D0C" w:rsidRDefault="00CF07C5" w:rsidP="001A58BB">
      <w:pPr>
        <w:pStyle w:val="Body"/>
        <w:spacing w:after="0"/>
        <w:rPr>
          <w:rFonts w:ascii="Arial" w:hAnsi="Arial" w:cs="Arial"/>
          <w:lang w:val="en-IN"/>
        </w:rPr>
      </w:pPr>
      <w:r w:rsidRPr="002D6D0C">
        <w:rPr>
          <w:rFonts w:ascii="Arial" w:hAnsi="Arial" w:cs="Arial"/>
          <w:lang w:val="en-IN"/>
        </w:rPr>
        <w:t xml:space="preserve">The Naranjo score of 7 indicated a probable ciprofloxacin-associated ADR, supported by the temporal relationship, objective skin findings, and clinical improvement after treatment. However, incomplete latency data, concomitant medications, and absence of documented isolated </w:t>
      </w:r>
      <w:proofErr w:type="spellStart"/>
      <w:r w:rsidRPr="002D6D0C">
        <w:rPr>
          <w:rFonts w:ascii="Arial" w:hAnsi="Arial" w:cs="Arial"/>
          <w:lang w:val="en-IN"/>
        </w:rPr>
        <w:t>dechallenge</w:t>
      </w:r>
      <w:proofErr w:type="spellEnd"/>
      <w:r w:rsidRPr="002D6D0C">
        <w:rPr>
          <w:rFonts w:ascii="Arial" w:hAnsi="Arial" w:cs="Arial"/>
          <w:lang w:val="en-IN"/>
        </w:rPr>
        <w:t xml:space="preserve"> limit definitive causality, consistent with the cautious interpretation of the WHO-UMC framework</w:t>
      </w:r>
      <w:sdt>
        <w:sdtPr>
          <w:rPr>
            <w:rFonts w:ascii="Arial" w:hAnsi="Arial" w:cs="Arial"/>
            <w:color w:val="000000"/>
            <w:lang w:val="en-IN"/>
          </w:rPr>
          <w:tag w:val="MENDELEY_CITATION_v3_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"/>
          <w:id w:val="-1069957859"/>
          <w:placeholder>
            <w:docPart w:val="DefaultPlaceholder_-1854013440"/>
          </w:placeholder>
        </w:sdtPr>
        <w:sdtContent>
          <w:r w:rsidR="00C4003A" w:rsidRPr="002D6D0C">
            <w:rPr>
              <w:rFonts w:ascii="Arial" w:hAnsi="Arial" w:cs="Arial"/>
              <w:color w:val="000000"/>
              <w:lang w:val="en-IN"/>
            </w:rPr>
            <w:t xml:space="preserve"> (Naranjo et al., 1981).</w:t>
          </w:r>
        </w:sdtContent>
      </w:sdt>
      <w:r w:rsidR="007B5EEE" w:rsidRPr="002D6D0C">
        <w:rPr>
          <w:rFonts w:ascii="Arial" w:hAnsi="Arial" w:cs="Arial"/>
          <w:lang w:val="en-IN"/>
        </w:rPr>
        <w:t xml:space="preserve"> </w:t>
      </w:r>
      <w:r w:rsidR="001A58BB" w:rsidRPr="002D6D0C">
        <w:rPr>
          <w:rFonts w:ascii="Arial" w:hAnsi="Arial" w:cs="Arial"/>
          <w:lang w:val="en-IN"/>
        </w:rPr>
        <w:t>The relationship between ciprofloxacin and other fluoroquinolone hypersensitivity reactions is also clinically relevant for future prescribing. Earlier work suggested variable cross-reactivity among quinolones, particularly in patients with hypersensitivity reactions</w:t>
      </w:r>
      <w:sdt>
        <w:sdtPr>
          <w:rPr>
            <w:rFonts w:ascii="Arial" w:hAnsi="Arial" w:cs="Arial"/>
            <w:color w:val="000000"/>
            <w:lang w:val="en-IN"/>
          </w:rPr>
          <w:tag w:val="MENDELEY_CITATION_v3_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"/>
          <w:id w:val="-929032759"/>
          <w:placeholder>
            <w:docPart w:val="DefaultPlaceholder_-1854013440"/>
          </w:placeholder>
        </w:sdtPr>
        <w:sdtContent>
          <w:r w:rsidR="00C4003A" w:rsidRPr="002D6D0C">
            <w:rPr>
              <w:rFonts w:ascii="Arial" w:hAnsi="Arial" w:cs="Arial"/>
              <w:color w:val="000000"/>
            </w:rPr>
            <w:t xml:space="preserve"> (Baggio &amp; Ananda-Rajah, 2021; Rusu et al., 2023).</w:t>
          </w:r>
        </w:sdtContent>
      </w:sdt>
    </w:p>
    <w:p w14:paraId="36363A55" w14:textId="77777777" w:rsidR="00C345B8" w:rsidRPr="002D6D0C" w:rsidRDefault="006B4714" w:rsidP="00C345B8">
      <w:pPr>
        <w:pStyle w:val="Body"/>
        <w:rPr>
          <w:rFonts w:ascii="Arial" w:hAnsi="Arial" w:cs="Arial"/>
        </w:rPr>
      </w:pPr>
      <w:r w:rsidRPr="002D6D0C">
        <w:rPr>
          <w:rFonts w:ascii="Arial" w:hAnsi="Arial" w:cs="Arial"/>
        </w:rPr>
        <w:t xml:space="preserve">An additional clinically important feature of this case was the antimicrobial susceptibility profile. Urine culture yielded </w:t>
      </w:r>
      <w:r w:rsidRPr="002D6D0C">
        <w:rPr>
          <w:rFonts w:ascii="Arial" w:hAnsi="Arial" w:cs="Arial"/>
          <w:i/>
          <w:iCs/>
        </w:rPr>
        <w:t>Escherichia coli</w:t>
      </w:r>
      <w:r w:rsidRPr="002D6D0C">
        <w:rPr>
          <w:rFonts w:ascii="Arial" w:hAnsi="Arial" w:cs="Arial"/>
        </w:rPr>
        <w:t xml:space="preserve"> resistant to ciprofloxacin/ofloxacin, while piperacillin-tazobactam and </w:t>
      </w:r>
      <w:proofErr w:type="spellStart"/>
      <w:r w:rsidRPr="002D6D0C">
        <w:rPr>
          <w:rFonts w:ascii="Arial" w:hAnsi="Arial" w:cs="Arial"/>
        </w:rPr>
        <w:t>cefoperazone</w:t>
      </w:r>
      <w:proofErr w:type="spellEnd"/>
      <w:r w:rsidRPr="002D6D0C">
        <w:rPr>
          <w:rFonts w:ascii="Arial" w:hAnsi="Arial" w:cs="Arial"/>
        </w:rPr>
        <w:t>-sulbactam were reported as susceptible.</w:t>
      </w:r>
      <w:r w:rsidR="006F4C3E" w:rsidRPr="002D6D0C">
        <w:rPr>
          <w:rFonts w:ascii="Arial" w:hAnsi="Arial" w:cs="Arial"/>
        </w:rPr>
        <w:t xml:space="preserve"> The coexistence of a suspected ciprofloxacin-associated cutaneous adverse drug reaction and ciprofloxacin-resistant </w:t>
      </w:r>
      <w:r w:rsidR="006F4C3E" w:rsidRPr="002D6D0C">
        <w:rPr>
          <w:rFonts w:ascii="Arial" w:hAnsi="Arial" w:cs="Arial"/>
          <w:i/>
          <w:iCs/>
        </w:rPr>
        <w:t>E. coli</w:t>
      </w:r>
      <w:r w:rsidR="006F4C3E" w:rsidRPr="002D6D0C">
        <w:rPr>
          <w:rFonts w:ascii="Arial" w:hAnsi="Arial" w:cs="Arial"/>
        </w:rPr>
        <w:t xml:space="preserve"> underscores the importance of integrating pharmacovigilance with antimicrobial stewardship, particularly given the reported association of ciprofloxacin resistance with prior fluoroquinolone exposure and recurrent urinary tract infection. These findings reinforce the value of culture and susceptibility testing before continuing or selecting ciprofloxacin therapy, thereby supporting both antimicrobial effectiveness and medication safety</w:t>
      </w:r>
      <w:sdt>
        <w:sdtPr>
          <w:rPr>
            <w:rFonts w:ascii="Arial" w:hAnsi="Arial" w:cs="Arial"/>
            <w:color w:val="000000"/>
          </w:rPr>
          <w:tag w:val="MENDELEY_CITATION_v3_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"/>
          <w:id w:val="1125966176"/>
          <w:placeholder>
            <w:docPart w:val="DefaultPlaceholder_-1854013440"/>
          </w:placeholder>
        </w:sdtPr>
        <w:sdtContent>
          <w:r w:rsidR="00C4003A" w:rsidRPr="002D6D0C">
            <w:rPr>
              <w:rFonts w:ascii="Arial" w:hAnsi="Arial" w:cs="Arial"/>
              <w:color w:val="000000"/>
            </w:rPr>
            <w:t xml:space="preserve"> (Jadoon et al., 2015).</w:t>
          </w:r>
        </w:sdtContent>
      </w:sdt>
      <w:r w:rsidR="006F4C3E" w:rsidRPr="002D6D0C">
        <w:rPr>
          <w:rFonts w:ascii="Arial" w:hAnsi="Arial" w:cs="Arial"/>
        </w:rPr>
        <w:t xml:space="preserve"> </w:t>
      </w:r>
      <w:r w:rsidRPr="002D6D0C">
        <w:rPr>
          <w:rFonts w:ascii="Arial" w:hAnsi="Arial" w:cs="Arial"/>
        </w:rPr>
        <w:t xml:space="preserve">Although the available clinical records do not establish whether the susceptibility findings influenced the continuation of ciprofloxacin, the sequence </w:t>
      </w:r>
      <w:proofErr w:type="spellStart"/>
      <w:r w:rsidRPr="002D6D0C">
        <w:rPr>
          <w:rFonts w:ascii="Arial" w:hAnsi="Arial" w:cs="Arial"/>
        </w:rPr>
        <w:t>emphasises</w:t>
      </w:r>
      <w:proofErr w:type="spellEnd"/>
      <w:r w:rsidRPr="002D6D0C">
        <w:rPr>
          <w:rFonts w:ascii="Arial" w:hAnsi="Arial" w:cs="Arial"/>
        </w:rPr>
        <w:t xml:space="preserve"> the need for timely review of microbiological results and reassessment of antimicrobial therapy when resistance to the prescribed agent is identified.</w:t>
      </w:r>
      <w:r w:rsidR="006F4C3E" w:rsidRPr="002D6D0C">
        <w:rPr>
          <w:rFonts w:ascii="Arial" w:hAnsi="Arial" w:cs="Arial"/>
        </w:rPr>
        <w:t xml:space="preserve"> From a medication-safety perspective, antimicrobial selection should consider both microbiological effectiveness and the potential for adverse effects. Appropriate review of culture and susceptibility reports, coupled with systematic recognition and documentation of suspected ADRs, can support safer prescribing and reduce avoidable exposure to ineffective or potentially harmful therapy. Recent evidence from India suggests that </w:t>
      </w:r>
      <w:proofErr w:type="spellStart"/>
      <w:r w:rsidR="006F4C3E" w:rsidRPr="002D6D0C">
        <w:rPr>
          <w:rFonts w:ascii="Arial" w:hAnsi="Arial" w:cs="Arial"/>
        </w:rPr>
        <w:t>AWaRe</w:t>
      </w:r>
      <w:proofErr w:type="spellEnd"/>
      <w:r w:rsidR="006F4C3E" w:rsidRPr="002D6D0C">
        <w:rPr>
          <w:rFonts w:ascii="Arial" w:hAnsi="Arial" w:cs="Arial"/>
        </w:rPr>
        <w:t xml:space="preserve">-based microbiology reporting can further support antimicrobial stewardship by guiding clinicians toward more appropriate antibiotic selection, with physicians showing a preference for this reporting format and improved selection of Access-group antibiotics when appropriate. Such susceptibility-guided and </w:t>
      </w:r>
      <w:proofErr w:type="spellStart"/>
      <w:r w:rsidR="006F4C3E" w:rsidRPr="002D6D0C">
        <w:rPr>
          <w:rFonts w:ascii="Arial" w:hAnsi="Arial" w:cs="Arial"/>
        </w:rPr>
        <w:t>AWaRe</w:t>
      </w:r>
      <w:proofErr w:type="spellEnd"/>
      <w:r w:rsidR="006F4C3E" w:rsidRPr="002D6D0C">
        <w:rPr>
          <w:rFonts w:ascii="Arial" w:hAnsi="Arial" w:cs="Arial"/>
        </w:rPr>
        <w:t xml:space="preserve">-informed prescribing approaches may complement pharmacovigilance practices by promoting rational antibiotic use while </w:t>
      </w:r>
      <w:proofErr w:type="spellStart"/>
      <w:r w:rsidR="006F4C3E" w:rsidRPr="002D6D0C">
        <w:rPr>
          <w:rFonts w:ascii="Arial" w:hAnsi="Arial" w:cs="Arial"/>
        </w:rPr>
        <w:t>minimising</w:t>
      </w:r>
      <w:proofErr w:type="spellEnd"/>
      <w:r w:rsidR="006F4C3E" w:rsidRPr="002D6D0C">
        <w:rPr>
          <w:rFonts w:ascii="Arial" w:hAnsi="Arial" w:cs="Arial"/>
        </w:rPr>
        <w:t xml:space="preserve"> unnecessary exposure to broader-spectrum agents.</w:t>
      </w:r>
      <w:r w:rsidR="00F21CC5" w:rsidRPr="002D6D0C">
        <w:t xml:space="preserve"> </w:t>
      </w:r>
      <w:r w:rsidR="00F21CC5" w:rsidRPr="002D6D0C">
        <w:rPr>
          <w:rFonts w:ascii="Arial" w:hAnsi="Arial" w:cs="Arial"/>
        </w:rPr>
        <w:t xml:space="preserve">Culture-sensitivity-guided antimicrobial </w:t>
      </w:r>
      <w:proofErr w:type="spellStart"/>
      <w:r w:rsidR="00F21CC5" w:rsidRPr="002D6D0C">
        <w:rPr>
          <w:rFonts w:ascii="Arial" w:hAnsi="Arial" w:cs="Arial"/>
        </w:rPr>
        <w:t>optimisation</w:t>
      </w:r>
      <w:proofErr w:type="spellEnd"/>
      <w:r w:rsidR="00F21CC5" w:rsidRPr="002D6D0C">
        <w:rPr>
          <w:rFonts w:ascii="Arial" w:hAnsi="Arial" w:cs="Arial"/>
        </w:rPr>
        <w:t xml:space="preserve"> has been shown to reduce unnecessary antibiotic use and costs while improving selection of definitive therapy</w:t>
      </w:r>
      <w:sdt>
        <w:sdtPr>
          <w:rPr>
            <w:rFonts w:ascii="Arial" w:hAnsi="Arial" w:cs="Arial"/>
            <w:color w:val="000000"/>
          </w:rPr>
          <w:tag w:val="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"/>
          <w:id w:val="-1992173591"/>
          <w:placeholder>
            <w:docPart w:val="DefaultPlaceholder_-1854013440"/>
          </w:placeholder>
        </w:sdtPr>
        <w:sdtContent>
          <w:r w:rsidR="00C4003A" w:rsidRPr="002D6D0C">
            <w:rPr>
              <w:rFonts w:ascii="Arial" w:hAnsi="Arial" w:cs="Arial"/>
              <w:color w:val="000000"/>
            </w:rPr>
            <w:t xml:space="preserve"> (Altaf et al., 2023; Hassan et al., 2025).</w:t>
          </w:r>
        </w:sdtContent>
      </w:sdt>
    </w:p>
    <w:p w14:paraId="5968A0B3" w14:textId="77777777" w:rsidR="00B01FCD" w:rsidRPr="002D6D0C" w:rsidRDefault="00000F8F" w:rsidP="00441B6F">
      <w:pPr>
        <w:pStyle w:val="ConcHead"/>
        <w:spacing w:after="0"/>
        <w:jc w:val="both"/>
        <w:rPr>
          <w:rFonts w:ascii="Arial" w:hAnsi="Arial" w:cs="Arial"/>
        </w:rPr>
      </w:pPr>
      <w:r w:rsidRPr="002D6D0C">
        <w:rPr>
          <w:rFonts w:ascii="Arial" w:hAnsi="Arial" w:cs="Arial"/>
        </w:rPr>
        <w:t xml:space="preserve">4. </w:t>
      </w:r>
      <w:r w:rsidR="00B01FCD" w:rsidRPr="002D6D0C">
        <w:rPr>
          <w:rFonts w:ascii="Arial" w:hAnsi="Arial" w:cs="Arial"/>
        </w:rPr>
        <w:t>Conclusion</w:t>
      </w:r>
    </w:p>
    <w:p w14:paraId="26C4EA85" w14:textId="771E5AD3" w:rsidR="00C634E1" w:rsidRDefault="00566D3D" w:rsidP="002B53E5">
      <w:pPr>
        <w:jc w:val="both"/>
      </w:pPr>
      <w:r>
        <w:t xml:space="preserve">This case highlights the clinical importance of accurately </w:t>
      </w:r>
      <w:proofErr w:type="spellStart"/>
      <w:r>
        <w:t>recognising</w:t>
      </w:r>
      <w:proofErr w:type="spellEnd"/>
      <w:r>
        <w:t xml:space="preserve"> and documenting suspected ciprofloxacin-associated cutaneous adverse drug reactions. The patient developed pruritus with an erythematous cutaneous eruption approximately 5 minutes after ciprofloxacin administration during treatment for bilateral </w:t>
      </w:r>
      <w:proofErr w:type="spellStart"/>
      <w:r>
        <w:t>epididymo</w:t>
      </w:r>
      <w:proofErr w:type="spellEnd"/>
      <w:r>
        <w:t xml:space="preserve">-orchitis. The absence of clearly defined wheals, fixed-site recurrence, mucosal involvement or other severe cutaneous features supported the conservative description of a pruritic erythematous eruption rather than definitive urticaria or fixed drug eruption. Structured causality assessment supported a close temporal drug-event relationship; however, the absence of a clearly documented isolated </w:t>
      </w:r>
      <w:proofErr w:type="spellStart"/>
      <w:r>
        <w:t>dechallenge</w:t>
      </w:r>
      <w:proofErr w:type="spellEnd"/>
      <w:r>
        <w:t xml:space="preserve"> requires cautious interpretation. The concurrent urine culture finding of ciprofloxacin-resistant </w:t>
      </w:r>
      <w:r>
        <w:rPr>
          <w:rStyle w:val="Emphasis"/>
        </w:rPr>
        <w:t>Escherichia coli</w:t>
      </w:r>
      <w:r>
        <w:t xml:space="preserve"> further demonstrates the need to integrate medication-safety assessment with antimicrobial stewardship. Timely recognition of cutaneous reactions, careful documentation and prompt review of culture and susceptibility results can support rational antimicrobial selection, reduce unnecessary exposure to ineffective therapy and help prevent inappropriate re-exposure to a suspected offending drug. These measures may also strengthen pharmacovigilance and support safer future antimicrobial prescribing.</w:t>
      </w:r>
    </w:p>
    <w:p w14:paraId="3E6D87B4" w14:textId="77777777" w:rsidR="008E193C" w:rsidRPr="002D6D0C" w:rsidRDefault="008E193C" w:rsidP="002B53E5">
      <w:pPr>
        <w:jc w:val="both"/>
        <w:rPr>
          <w:rFonts w:ascii="Arial" w:hAnsi="Arial" w:cs="Arial"/>
          <w:bCs/>
        </w:rPr>
      </w:pPr>
    </w:p>
    <w:p w14:paraId="2F6A9B0B" w14:textId="77777777" w:rsidR="00095244" w:rsidRPr="002D6D0C" w:rsidRDefault="00095244" w:rsidP="00095244">
      <w:pPr>
        <w:rPr>
          <w:rFonts w:ascii="Arial" w:hAnsi="Arial" w:cs="Arial"/>
          <w:b/>
          <w:bCs/>
          <w:lang w:val="en-IN"/>
        </w:rPr>
      </w:pPr>
      <w:r w:rsidRPr="002D6D0C">
        <w:rPr>
          <w:rFonts w:ascii="Arial" w:hAnsi="Arial" w:cs="Arial"/>
          <w:b/>
        </w:rPr>
        <w:t>5.</w:t>
      </w:r>
      <w:r w:rsidRPr="002D6D0C">
        <w:rPr>
          <w:rFonts w:ascii="Times New Roman" w:hAnsi="Times New Roman"/>
          <w:b/>
          <w:sz w:val="27"/>
          <w:szCs w:val="27"/>
          <w:lang w:val="en-IN" w:eastAsia="en-IN"/>
        </w:rPr>
        <w:t xml:space="preserve"> </w:t>
      </w:r>
      <w:r w:rsidRPr="002D6D0C">
        <w:rPr>
          <w:rFonts w:ascii="Arial" w:hAnsi="Arial" w:cs="Arial"/>
          <w:b/>
          <w:lang w:val="en-IN"/>
        </w:rPr>
        <w:t>LIMITATIONS</w:t>
      </w:r>
    </w:p>
    <w:p w14:paraId="27CAC180" w14:textId="77777777" w:rsidR="00095244" w:rsidRPr="002D6D0C" w:rsidRDefault="00095244" w:rsidP="00095244">
      <w:pPr>
        <w:jc w:val="both"/>
        <w:rPr>
          <w:rFonts w:ascii="Arial" w:hAnsi="Arial" w:cs="Arial"/>
          <w:bCs/>
          <w:lang w:val="en-IN"/>
        </w:rPr>
      </w:pPr>
    </w:p>
    <w:p w14:paraId="5294E505" w14:textId="790B1CD6" w:rsidR="009F1AE7" w:rsidRDefault="009F1AE7" w:rsidP="00095244">
      <w:pPr>
        <w:jc w:val="both"/>
        <w:rPr>
          <w:rFonts w:ascii="Arial" w:hAnsi="Arial" w:cs="Arial"/>
          <w:bCs/>
          <w:lang w:val="en-IN"/>
        </w:rPr>
      </w:pPr>
      <w:r w:rsidRPr="009F1AE7">
        <w:rPr>
          <w:rFonts w:ascii="Arial" w:hAnsi="Arial" w:cs="Arial"/>
          <w:bCs/>
          <w:lang w:val="en-IN"/>
        </w:rPr>
        <w:t xml:space="preserve">This case report is limited by its single-patient design, which restricts the generalisability of the findings. A clearly documented isolated </w:t>
      </w:r>
      <w:proofErr w:type="spellStart"/>
      <w:r w:rsidRPr="009F1AE7">
        <w:rPr>
          <w:rFonts w:ascii="Arial" w:hAnsi="Arial" w:cs="Arial"/>
          <w:bCs/>
          <w:lang w:val="en-IN"/>
        </w:rPr>
        <w:t>dechallenge</w:t>
      </w:r>
      <w:proofErr w:type="spellEnd"/>
      <w:r w:rsidRPr="009F1AE7">
        <w:rPr>
          <w:rFonts w:ascii="Arial" w:hAnsi="Arial" w:cs="Arial"/>
          <w:bCs/>
          <w:lang w:val="en-IN"/>
        </w:rPr>
        <w:t xml:space="preserve"> after ciprofloxacin discontinuation was unavailable, making it difficult to attribute symptom resolution exclusively to drug withdrawal. Improvement occurred following pheniramine maleate administration, and concomitant medications may have confounded assessment of the suspected reaction. Rechallenge was not performed because intentional re-exposure was not clinically or ethically appropriate. Future reports with more complete exposure timelines, </w:t>
      </w:r>
      <w:proofErr w:type="spellStart"/>
      <w:r w:rsidRPr="009F1AE7">
        <w:rPr>
          <w:rFonts w:ascii="Arial" w:hAnsi="Arial" w:cs="Arial"/>
          <w:bCs/>
          <w:lang w:val="en-IN"/>
        </w:rPr>
        <w:t>dechallenge</w:t>
      </w:r>
      <w:proofErr w:type="spellEnd"/>
      <w:r w:rsidRPr="009F1AE7">
        <w:rPr>
          <w:rFonts w:ascii="Arial" w:hAnsi="Arial" w:cs="Arial"/>
          <w:bCs/>
          <w:lang w:val="en-IN"/>
        </w:rPr>
        <w:t xml:space="preserve"> documentation, and systematic follow-up may allow more robust assessment of causality and clinical outcomes.</w:t>
      </w:r>
    </w:p>
    <w:p w14:paraId="2179505D" w14:textId="77777777" w:rsidR="00095244" w:rsidRPr="002D6D0C" w:rsidRDefault="00095244" w:rsidP="004F0BC1">
      <w:pPr>
        <w:rPr>
          <w:rFonts w:ascii="Arial" w:hAnsi="Arial" w:cs="Arial"/>
          <w:b/>
        </w:rPr>
      </w:pPr>
    </w:p>
    <w:p w14:paraId="460CB1B0" w14:textId="77777777" w:rsidR="00F55E31" w:rsidRPr="002D6D0C" w:rsidRDefault="00F55E31" w:rsidP="00F55E31">
      <w:pPr>
        <w:rPr>
          <w:rFonts w:ascii="Arial" w:hAnsi="Arial" w:cs="Arial"/>
          <w:b/>
        </w:rPr>
      </w:pPr>
    </w:p>
    <w:p w14:paraId="700985BA" w14:textId="77777777" w:rsidR="00F55E31" w:rsidRPr="002D6D0C" w:rsidRDefault="00F55E31" w:rsidP="00F55E31">
      <w:pPr>
        <w:rPr>
          <w:rFonts w:ascii="Arial" w:hAnsi="Arial" w:cs="Arial"/>
          <w:b/>
        </w:rPr>
      </w:pPr>
      <w:r w:rsidRPr="002D6D0C">
        <w:rPr>
          <w:rFonts w:ascii="Arial" w:hAnsi="Arial" w:cs="Arial"/>
          <w:b/>
        </w:rPr>
        <w:lastRenderedPageBreak/>
        <w:t>7. COMPETING INTERESTS</w:t>
      </w:r>
    </w:p>
    <w:p w14:paraId="385C13C7" w14:textId="77777777" w:rsidR="00F55E31" w:rsidRPr="002D6D0C" w:rsidRDefault="00F55E31" w:rsidP="00F55E31">
      <w:pPr>
        <w:rPr>
          <w:rFonts w:ascii="Arial" w:hAnsi="Arial" w:cs="Arial"/>
          <w:b/>
        </w:rPr>
      </w:pPr>
    </w:p>
    <w:p w14:paraId="3F6F7FA7" w14:textId="77777777" w:rsidR="00F55E31" w:rsidRPr="002D6D0C" w:rsidRDefault="00F55E31" w:rsidP="00F55E31">
      <w:pPr>
        <w:rPr>
          <w:rFonts w:ascii="Arial" w:hAnsi="Arial" w:cs="Arial"/>
          <w:b/>
        </w:rPr>
      </w:pPr>
      <w:r w:rsidRPr="002D6D0C">
        <w:rPr>
          <w:rFonts w:ascii="Arial" w:hAnsi="Arial" w:cs="Arial"/>
          <w:b/>
        </w:rPr>
        <w:t>Authors have declared that no competing interests exist.</w:t>
      </w:r>
    </w:p>
    <w:p w14:paraId="3380F2A6" w14:textId="77777777" w:rsidR="001B129A" w:rsidRPr="002D6D0C" w:rsidRDefault="001B129A" w:rsidP="008B4E17">
      <w:pPr>
        <w:jc w:val="both"/>
        <w:rPr>
          <w:rFonts w:ascii="Arial" w:hAnsi="Arial" w:cs="Arial"/>
        </w:rPr>
      </w:pPr>
    </w:p>
    <w:p w14:paraId="74E9A0FE" w14:textId="77777777" w:rsidR="001B129A" w:rsidRPr="002D6D0C" w:rsidRDefault="001B129A" w:rsidP="001B129A">
      <w:pPr>
        <w:pStyle w:val="ReferHead"/>
        <w:spacing w:after="0"/>
        <w:jc w:val="both"/>
        <w:rPr>
          <w:rFonts w:ascii="Arial" w:hAnsi="Arial" w:cs="Arial"/>
          <w:bCs/>
        </w:rPr>
      </w:pPr>
      <w:r w:rsidRPr="002D6D0C">
        <w:rPr>
          <w:rFonts w:ascii="Arial" w:hAnsi="Arial" w:cs="Arial"/>
          <w:bCs/>
        </w:rPr>
        <w:t>8. consent</w:t>
      </w:r>
    </w:p>
    <w:p w14:paraId="41D2368C" w14:textId="77777777" w:rsidR="001B129A" w:rsidRPr="002D6D0C" w:rsidRDefault="001B129A" w:rsidP="001B129A">
      <w:pPr>
        <w:pStyle w:val="ReferHead"/>
        <w:spacing w:after="0"/>
        <w:jc w:val="both"/>
        <w:rPr>
          <w:rFonts w:ascii="Arial" w:hAnsi="Arial" w:cs="Arial"/>
          <w:bCs/>
        </w:rPr>
      </w:pPr>
    </w:p>
    <w:p w14:paraId="38835F84" w14:textId="528FF640" w:rsidR="001B129A" w:rsidRPr="002D6D0C" w:rsidRDefault="001B129A" w:rsidP="001B129A">
      <w:pPr>
        <w:pStyle w:val="ReferHead"/>
        <w:spacing w:after="0"/>
        <w:jc w:val="both"/>
        <w:rPr>
          <w:rFonts w:ascii="Arial" w:hAnsi="Arial" w:cs="Arial"/>
          <w:b w:val="0"/>
          <w:caps w:val="0"/>
          <w:sz w:val="20"/>
        </w:rPr>
      </w:pPr>
      <w:r w:rsidRPr="002D6D0C">
        <w:rPr>
          <w:rFonts w:ascii="Arial" w:hAnsi="Arial" w:cs="Arial"/>
          <w:b w:val="0"/>
          <w:caps w:val="0"/>
          <w:sz w:val="20"/>
        </w:rPr>
        <w:t xml:space="preserve">The authors certify that they have obtained written informed consent from the patient for publication of the patient’s clinical information and accompanying clinical image in the journal. </w:t>
      </w:r>
    </w:p>
    <w:p w14:paraId="22F42FCF" w14:textId="77777777" w:rsidR="001B129A" w:rsidRPr="002D6D0C" w:rsidRDefault="001B129A" w:rsidP="001B129A">
      <w:pPr>
        <w:pStyle w:val="ReferHead"/>
        <w:spacing w:after="0"/>
        <w:jc w:val="both"/>
        <w:rPr>
          <w:rFonts w:ascii="Arial" w:hAnsi="Arial" w:cs="Arial"/>
          <w:b w:val="0"/>
          <w:caps w:val="0"/>
          <w:sz w:val="20"/>
        </w:rPr>
      </w:pPr>
    </w:p>
    <w:p w14:paraId="0CDADE69" w14:textId="77777777" w:rsidR="001B129A" w:rsidRPr="002D6D0C" w:rsidRDefault="001B129A" w:rsidP="001B129A">
      <w:pPr>
        <w:pStyle w:val="ReferHead"/>
        <w:spacing w:after="0"/>
        <w:jc w:val="both"/>
        <w:rPr>
          <w:rFonts w:ascii="Arial" w:hAnsi="Arial" w:cs="Arial"/>
          <w:bCs/>
        </w:rPr>
      </w:pPr>
      <w:r w:rsidRPr="002D6D0C">
        <w:rPr>
          <w:rFonts w:ascii="Arial" w:hAnsi="Arial" w:cs="Arial"/>
          <w:bCs/>
        </w:rPr>
        <w:t>9. Ethical approval</w:t>
      </w:r>
    </w:p>
    <w:p w14:paraId="43931D30" w14:textId="77777777" w:rsidR="001B129A" w:rsidRPr="002D6D0C" w:rsidRDefault="001B129A" w:rsidP="001B129A">
      <w:pPr>
        <w:pStyle w:val="ReferHead"/>
        <w:spacing w:after="0"/>
        <w:jc w:val="both"/>
        <w:rPr>
          <w:rFonts w:ascii="Arial" w:hAnsi="Arial" w:cs="Arial"/>
          <w:b w:val="0"/>
          <w:caps w:val="0"/>
          <w:sz w:val="20"/>
        </w:rPr>
      </w:pPr>
    </w:p>
    <w:p w14:paraId="7DD3995E" w14:textId="77777777" w:rsidR="001B129A" w:rsidRPr="002D6D0C" w:rsidRDefault="001B129A" w:rsidP="001B129A">
      <w:pPr>
        <w:pStyle w:val="ReferHead"/>
        <w:spacing w:after="0"/>
        <w:jc w:val="both"/>
        <w:rPr>
          <w:rFonts w:ascii="Arial" w:hAnsi="Arial" w:cs="Arial"/>
          <w:b w:val="0"/>
          <w:caps w:val="0"/>
          <w:sz w:val="20"/>
        </w:rPr>
      </w:pPr>
      <w:r w:rsidRPr="002D6D0C">
        <w:rPr>
          <w:rFonts w:ascii="Arial" w:hAnsi="Arial" w:cs="Arial"/>
          <w:b w:val="0"/>
          <w:caps w:val="0"/>
          <w:sz w:val="20"/>
        </w:rPr>
        <w:t xml:space="preserve">Institutional Review Board/Ethics Committee approval was not required for this single-patient case report in accordance with the applicable institutional policy. </w:t>
      </w:r>
    </w:p>
    <w:p w14:paraId="39AFB0AC" w14:textId="77777777" w:rsidR="001B129A" w:rsidRPr="002D6D0C" w:rsidRDefault="001B129A" w:rsidP="008B4E17">
      <w:pPr>
        <w:jc w:val="both"/>
        <w:rPr>
          <w:rFonts w:ascii="Arial" w:hAnsi="Arial" w:cs="Arial"/>
        </w:rPr>
      </w:pPr>
    </w:p>
    <w:p w14:paraId="24198456" w14:textId="77777777" w:rsidR="00F55E31" w:rsidRPr="002D6D0C" w:rsidRDefault="00F55E31" w:rsidP="008B4E17">
      <w:pPr>
        <w:jc w:val="both"/>
        <w:rPr>
          <w:rFonts w:ascii="Arial" w:hAnsi="Arial" w:cs="Arial"/>
        </w:rPr>
      </w:pPr>
    </w:p>
    <w:p w14:paraId="01F6A685" w14:textId="77777777" w:rsidR="00F55E31" w:rsidRPr="002D6D0C" w:rsidRDefault="00F55E31" w:rsidP="00F55E31">
      <w:pPr>
        <w:rPr>
          <w:rFonts w:ascii="Arial" w:hAnsi="Arial" w:cs="Arial"/>
          <w:b/>
          <w:sz w:val="22"/>
          <w:szCs w:val="22"/>
        </w:rPr>
      </w:pPr>
      <w:r w:rsidRPr="002D6D0C">
        <w:rPr>
          <w:rFonts w:ascii="Arial" w:hAnsi="Arial" w:cs="Arial"/>
          <w:b/>
          <w:sz w:val="22"/>
          <w:szCs w:val="22"/>
        </w:rPr>
        <w:t>6. DECLARATION OF AI USE</w:t>
      </w:r>
    </w:p>
    <w:p w14:paraId="6E5EF688" w14:textId="77777777" w:rsidR="00F55E31" w:rsidRPr="002D6D0C" w:rsidRDefault="00F55E31" w:rsidP="00F55E31">
      <w:pPr>
        <w:rPr>
          <w:rFonts w:ascii="Arial" w:hAnsi="Arial" w:cs="Arial"/>
          <w:b/>
        </w:rPr>
      </w:pPr>
    </w:p>
    <w:p w14:paraId="4C24C4C8" w14:textId="77777777" w:rsidR="00F55E31" w:rsidRPr="002D6D0C" w:rsidRDefault="00F55E31" w:rsidP="00F55E31">
      <w:pPr>
        <w:jc w:val="both"/>
        <w:rPr>
          <w:rFonts w:ascii="Arial" w:hAnsi="Arial" w:cs="Arial"/>
        </w:rPr>
      </w:pPr>
      <w:r w:rsidRPr="002D6D0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99E0380" w14:textId="77777777" w:rsidR="00F55E31" w:rsidRPr="002D6D0C" w:rsidRDefault="00F55E31" w:rsidP="008B4E17">
      <w:pPr>
        <w:jc w:val="both"/>
        <w:rPr>
          <w:rFonts w:ascii="Arial" w:hAnsi="Arial" w:cs="Arial"/>
          <w:b/>
          <w:bCs/>
        </w:rPr>
      </w:pPr>
    </w:p>
    <w:p w14:paraId="7DF90CFA" w14:textId="77777777" w:rsidR="008E36CF" w:rsidRPr="002D6D0C" w:rsidRDefault="008E36CF" w:rsidP="00441B6F">
      <w:pPr>
        <w:pStyle w:val="ReferHead"/>
        <w:spacing w:after="0"/>
        <w:jc w:val="both"/>
        <w:rPr>
          <w:rFonts w:ascii="Arial" w:hAnsi="Arial" w:cs="Arial"/>
          <w:bCs/>
        </w:rPr>
      </w:pPr>
    </w:p>
    <w:p w14:paraId="5673DDF6" w14:textId="77777777" w:rsidR="00727F5C" w:rsidRPr="002D6D0C" w:rsidRDefault="00727F5C" w:rsidP="00441B6F">
      <w:pPr>
        <w:pStyle w:val="ReferHead"/>
        <w:spacing w:after="0"/>
        <w:jc w:val="both"/>
        <w:rPr>
          <w:rFonts w:ascii="Arial" w:hAnsi="Arial" w:cs="Arial"/>
          <w:b w:val="0"/>
          <w:caps w:val="0"/>
          <w:sz w:val="20"/>
        </w:rPr>
      </w:pPr>
    </w:p>
    <w:p w14:paraId="36170C0C" w14:textId="77777777" w:rsidR="00B01FCD" w:rsidRPr="002D6D0C" w:rsidRDefault="00470177" w:rsidP="00441B6F">
      <w:pPr>
        <w:pStyle w:val="ReferHead"/>
        <w:spacing w:after="0"/>
        <w:jc w:val="both"/>
        <w:rPr>
          <w:rFonts w:ascii="Arial" w:hAnsi="Arial" w:cs="Arial"/>
        </w:rPr>
      </w:pPr>
      <w:r w:rsidRPr="002D6D0C">
        <w:rPr>
          <w:rFonts w:ascii="Arial" w:hAnsi="Arial" w:cs="Arial"/>
        </w:rPr>
        <w:t xml:space="preserve">10. </w:t>
      </w:r>
      <w:r w:rsidR="00B01FCD" w:rsidRPr="002D6D0C">
        <w:rPr>
          <w:rFonts w:ascii="Arial" w:hAnsi="Arial" w:cs="Arial"/>
        </w:rPr>
        <w:t>References</w:t>
      </w:r>
    </w:p>
    <w:p w14:paraId="2D35EE7E" w14:textId="77777777" w:rsidR="00520628" w:rsidRPr="002D6D0C" w:rsidRDefault="00520628" w:rsidP="00C4003A">
      <w:pPr>
        <w:pStyle w:val="ReferHead"/>
        <w:spacing w:after="0"/>
        <w:jc w:val="both"/>
        <w:rPr>
          <w:rFonts w:ascii="Arial" w:hAnsi="Arial" w:cs="Arial"/>
        </w:rPr>
      </w:pPr>
    </w:p>
    <w:p w14:paraId="090B3237"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proofErr w:type="spellStart"/>
      <w:r w:rsidRPr="002D6D0C">
        <w:rPr>
          <w:rFonts w:ascii="Times New Roman" w:hAnsi="Times New Roman"/>
          <w:sz w:val="24"/>
          <w:szCs w:val="24"/>
        </w:rPr>
        <w:t>Adikwu</w:t>
      </w:r>
      <w:proofErr w:type="spellEnd"/>
      <w:r w:rsidRPr="002D6D0C">
        <w:rPr>
          <w:rFonts w:ascii="Times New Roman" w:hAnsi="Times New Roman"/>
          <w:sz w:val="24"/>
          <w:szCs w:val="24"/>
        </w:rPr>
        <w:t xml:space="preserve">, E., &amp; </w:t>
      </w:r>
      <w:proofErr w:type="spellStart"/>
      <w:r w:rsidRPr="002D6D0C">
        <w:rPr>
          <w:rFonts w:ascii="Times New Roman" w:hAnsi="Times New Roman"/>
          <w:sz w:val="24"/>
          <w:szCs w:val="24"/>
        </w:rPr>
        <w:t>Brambaifa</w:t>
      </w:r>
      <w:proofErr w:type="spellEnd"/>
      <w:r w:rsidRPr="002D6D0C">
        <w:rPr>
          <w:rFonts w:ascii="Times New Roman" w:hAnsi="Times New Roman"/>
          <w:sz w:val="24"/>
          <w:szCs w:val="24"/>
        </w:rPr>
        <w:t xml:space="preserve">, N. (2012). Ciprofloxacin cardiotoxicity and hepatotoxicity in humans and animals. </w:t>
      </w:r>
      <w:r w:rsidRPr="002D6D0C">
        <w:rPr>
          <w:rFonts w:ascii="Times New Roman" w:hAnsi="Times New Roman"/>
          <w:i/>
          <w:iCs/>
          <w:sz w:val="24"/>
          <w:szCs w:val="24"/>
        </w:rPr>
        <w:t>Pharmacology &amp; Pharmacy, 3</w:t>
      </w:r>
      <w:r w:rsidRPr="002D6D0C">
        <w:rPr>
          <w:rFonts w:ascii="Times New Roman" w:hAnsi="Times New Roman"/>
          <w:sz w:val="24"/>
          <w:szCs w:val="24"/>
        </w:rPr>
        <w:t xml:space="preserve">(2), 207–213. </w:t>
      </w:r>
      <w:hyperlink r:id="rId15" w:tgtFrame="_new" w:history="1">
        <w:r w:rsidRPr="002D6D0C">
          <w:rPr>
            <w:rFonts w:ascii="Times New Roman" w:hAnsi="Times New Roman"/>
            <w:color w:val="0000FF"/>
            <w:sz w:val="24"/>
            <w:szCs w:val="24"/>
            <w:u w:val="single"/>
          </w:rPr>
          <w:t>https://doi.org/10.4236/pp.2012.32028</w:t>
        </w:r>
      </w:hyperlink>
    </w:p>
    <w:p w14:paraId="0D9224AD"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Altaf, U., Saleem, Z., Akhtar, M. F., </w:t>
      </w:r>
      <w:proofErr w:type="spellStart"/>
      <w:r w:rsidRPr="002D6D0C">
        <w:rPr>
          <w:rFonts w:ascii="Times New Roman" w:hAnsi="Times New Roman"/>
          <w:sz w:val="24"/>
          <w:szCs w:val="24"/>
        </w:rPr>
        <w:t>Altowayan</w:t>
      </w:r>
      <w:proofErr w:type="spellEnd"/>
      <w:r w:rsidRPr="002D6D0C">
        <w:rPr>
          <w:rFonts w:ascii="Times New Roman" w:hAnsi="Times New Roman"/>
          <w:sz w:val="24"/>
          <w:szCs w:val="24"/>
        </w:rPr>
        <w:t xml:space="preserve">, W. M., Alqasoumi, A. A., Alshammari, M. S., Haseeb, A., Raees, F., Imam, M. T., Batool, N., Akhtar, M. M., &amp; Godman, B. (2023). Using culture sensitivity reports to optimize antimicrobial therapy: Findings and implications of antimicrobial stewardship activity in a hospital in Pakistan. </w:t>
      </w:r>
      <w:r w:rsidRPr="002D6D0C">
        <w:rPr>
          <w:rFonts w:ascii="Times New Roman" w:hAnsi="Times New Roman"/>
          <w:i/>
          <w:iCs/>
          <w:sz w:val="24"/>
          <w:szCs w:val="24"/>
        </w:rPr>
        <w:t>Medicina, 59</w:t>
      </w:r>
      <w:r w:rsidRPr="002D6D0C">
        <w:rPr>
          <w:rFonts w:ascii="Times New Roman" w:hAnsi="Times New Roman"/>
          <w:sz w:val="24"/>
          <w:szCs w:val="24"/>
        </w:rPr>
        <w:t xml:space="preserve">(7), 1237. </w:t>
      </w:r>
      <w:hyperlink r:id="rId16" w:tgtFrame="_new" w:history="1">
        <w:r w:rsidRPr="002D6D0C">
          <w:rPr>
            <w:rFonts w:ascii="Times New Roman" w:hAnsi="Times New Roman"/>
            <w:color w:val="0000FF"/>
            <w:sz w:val="24"/>
            <w:szCs w:val="24"/>
            <w:u w:val="single"/>
          </w:rPr>
          <w:t>https://doi.org/10.3390/medicina59071237</w:t>
        </w:r>
      </w:hyperlink>
    </w:p>
    <w:p w14:paraId="3A95B945"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Baggio, D., &amp; Ananda-Rajah, M. R. (2021). Fluoroquinolone antibiotics and adverse events. </w:t>
      </w:r>
      <w:r w:rsidRPr="002D6D0C">
        <w:rPr>
          <w:rFonts w:ascii="Times New Roman" w:hAnsi="Times New Roman"/>
          <w:i/>
          <w:iCs/>
          <w:sz w:val="24"/>
          <w:szCs w:val="24"/>
        </w:rPr>
        <w:t>Australian Prescriber, 44</w:t>
      </w:r>
      <w:r w:rsidRPr="002D6D0C">
        <w:rPr>
          <w:rFonts w:ascii="Times New Roman" w:hAnsi="Times New Roman"/>
          <w:sz w:val="24"/>
          <w:szCs w:val="24"/>
        </w:rPr>
        <w:t xml:space="preserve">(5), 161–164. </w:t>
      </w:r>
      <w:hyperlink r:id="rId17" w:tgtFrame="_new" w:history="1">
        <w:r w:rsidRPr="002D6D0C">
          <w:rPr>
            <w:rFonts w:ascii="Times New Roman" w:hAnsi="Times New Roman"/>
            <w:color w:val="0000FF"/>
            <w:sz w:val="24"/>
            <w:szCs w:val="24"/>
            <w:u w:val="single"/>
          </w:rPr>
          <w:t>https://doi.org/10.18773/austprescr.2021.035</w:t>
        </w:r>
      </w:hyperlink>
    </w:p>
    <w:p w14:paraId="1CF15D4B"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Ball, P. (1986). Ciprofloxacin: An overview of adverse experiences. </w:t>
      </w:r>
      <w:r w:rsidRPr="002D6D0C">
        <w:rPr>
          <w:rFonts w:ascii="Times New Roman" w:hAnsi="Times New Roman"/>
          <w:i/>
          <w:iCs/>
          <w:sz w:val="24"/>
          <w:szCs w:val="24"/>
        </w:rPr>
        <w:t>Journal of Antimicrobial Chemotherapy, 18</w:t>
      </w:r>
      <w:r w:rsidRPr="002D6D0C">
        <w:rPr>
          <w:rFonts w:ascii="Times New Roman" w:hAnsi="Times New Roman"/>
          <w:sz w:val="24"/>
          <w:szCs w:val="24"/>
        </w:rPr>
        <w:t xml:space="preserve">(Suppl. D), 187–193. </w:t>
      </w:r>
      <w:hyperlink r:id="rId18" w:tgtFrame="_new" w:history="1">
        <w:r w:rsidRPr="002D6D0C">
          <w:rPr>
            <w:rFonts w:ascii="Times New Roman" w:hAnsi="Times New Roman"/>
            <w:color w:val="0000FF"/>
            <w:sz w:val="24"/>
            <w:szCs w:val="24"/>
            <w:u w:val="single"/>
          </w:rPr>
          <w:t>https://doi.org/10.1093/jac/18.sd.187</w:t>
        </w:r>
      </w:hyperlink>
    </w:p>
    <w:p w14:paraId="7294B5D3"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Bertino, J. S., Jr., &amp; Fish, D. N. (2000). The safety profile of the fluoroquinolones. </w:t>
      </w:r>
      <w:r w:rsidRPr="002D6D0C">
        <w:rPr>
          <w:rFonts w:ascii="Times New Roman" w:hAnsi="Times New Roman"/>
          <w:i/>
          <w:iCs/>
          <w:sz w:val="24"/>
          <w:szCs w:val="24"/>
        </w:rPr>
        <w:t>Clinical Therapeutics, 22</w:t>
      </w:r>
      <w:r w:rsidRPr="002D6D0C">
        <w:rPr>
          <w:rFonts w:ascii="Times New Roman" w:hAnsi="Times New Roman"/>
          <w:sz w:val="24"/>
          <w:szCs w:val="24"/>
        </w:rPr>
        <w:t xml:space="preserve">(7), 798–817. </w:t>
      </w:r>
      <w:hyperlink r:id="rId19" w:tgtFrame="_new" w:history="1">
        <w:r w:rsidRPr="002D6D0C">
          <w:rPr>
            <w:rFonts w:ascii="Times New Roman" w:hAnsi="Times New Roman"/>
            <w:color w:val="0000FF"/>
            <w:sz w:val="24"/>
            <w:szCs w:val="24"/>
            <w:u w:val="single"/>
          </w:rPr>
          <w:t>https://doi.org/10.1016/S0149-2918(00)80053-3</w:t>
        </w:r>
      </w:hyperlink>
    </w:p>
    <w:p w14:paraId="4E10469A"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Blanca-López, N., Andreu, I., &amp; Torres Jaén, M. J. (2011). Hypersensitivity reactions to quinolones. </w:t>
      </w:r>
      <w:r w:rsidRPr="002D6D0C">
        <w:rPr>
          <w:rFonts w:ascii="Times New Roman" w:hAnsi="Times New Roman"/>
          <w:i/>
          <w:iCs/>
          <w:sz w:val="24"/>
          <w:szCs w:val="24"/>
        </w:rPr>
        <w:t>Current Opinion in Allergy and Clinical Immunology, 11</w:t>
      </w:r>
      <w:r w:rsidRPr="002D6D0C">
        <w:rPr>
          <w:rFonts w:ascii="Times New Roman" w:hAnsi="Times New Roman"/>
          <w:sz w:val="24"/>
          <w:szCs w:val="24"/>
        </w:rPr>
        <w:t xml:space="preserve">(4), 285–291. </w:t>
      </w:r>
      <w:hyperlink r:id="rId20" w:tgtFrame="_new" w:history="1">
        <w:r w:rsidRPr="002D6D0C">
          <w:rPr>
            <w:rFonts w:ascii="Times New Roman" w:hAnsi="Times New Roman"/>
            <w:color w:val="0000FF"/>
            <w:sz w:val="24"/>
            <w:szCs w:val="24"/>
            <w:u w:val="single"/>
          </w:rPr>
          <w:t>https://doi.org/10.1097/ACI.0b013e3283489bc3</w:t>
        </w:r>
      </w:hyperlink>
    </w:p>
    <w:p w14:paraId="617171F6"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Blondeau, J. M. (1999). Expanded activity and utility of the new fluoroquinolones: A review. </w:t>
      </w:r>
      <w:r w:rsidRPr="002D6D0C">
        <w:rPr>
          <w:rFonts w:ascii="Times New Roman" w:hAnsi="Times New Roman"/>
          <w:i/>
          <w:iCs/>
          <w:sz w:val="24"/>
          <w:szCs w:val="24"/>
        </w:rPr>
        <w:t>Clinical Therapeutics, 21</w:t>
      </w:r>
      <w:r w:rsidRPr="002D6D0C">
        <w:rPr>
          <w:rFonts w:ascii="Times New Roman" w:hAnsi="Times New Roman"/>
          <w:sz w:val="24"/>
          <w:szCs w:val="24"/>
        </w:rPr>
        <w:t xml:space="preserve">(1), 3–40. </w:t>
      </w:r>
      <w:hyperlink r:id="rId21" w:tgtFrame="_new" w:history="1">
        <w:r w:rsidRPr="002D6D0C">
          <w:rPr>
            <w:rFonts w:ascii="Times New Roman" w:hAnsi="Times New Roman"/>
            <w:color w:val="0000FF"/>
            <w:sz w:val="24"/>
            <w:szCs w:val="24"/>
            <w:u w:val="single"/>
          </w:rPr>
          <w:t>https://doi.org/10.1016/S0149-2918(00)88266-1</w:t>
        </w:r>
      </w:hyperlink>
    </w:p>
    <w:p w14:paraId="582DD969"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Collins, J. A., Oviatt, A. A., Chan, P. F., &amp; Osheroff, N. (2024). Target-mediated fluoroquinolone resistance in </w:t>
      </w:r>
      <w:r w:rsidRPr="002D6D0C">
        <w:rPr>
          <w:rFonts w:ascii="Times New Roman" w:hAnsi="Times New Roman"/>
          <w:i/>
          <w:iCs/>
          <w:sz w:val="24"/>
          <w:szCs w:val="24"/>
        </w:rPr>
        <w:t>Neisseria gonorrhoeae</w:t>
      </w:r>
      <w:r w:rsidRPr="002D6D0C">
        <w:rPr>
          <w:rFonts w:ascii="Times New Roman" w:hAnsi="Times New Roman"/>
          <w:sz w:val="24"/>
          <w:szCs w:val="24"/>
        </w:rPr>
        <w:t xml:space="preserve">: Actions of ciprofloxacin against gyrase and topoisomerase IV. </w:t>
      </w:r>
      <w:r w:rsidRPr="002D6D0C">
        <w:rPr>
          <w:rFonts w:ascii="Times New Roman" w:hAnsi="Times New Roman"/>
          <w:i/>
          <w:iCs/>
          <w:sz w:val="24"/>
          <w:szCs w:val="24"/>
        </w:rPr>
        <w:t>ACS Infectious Diseases, 10</w:t>
      </w:r>
      <w:r w:rsidRPr="002D6D0C">
        <w:rPr>
          <w:rFonts w:ascii="Times New Roman" w:hAnsi="Times New Roman"/>
          <w:sz w:val="24"/>
          <w:szCs w:val="24"/>
        </w:rPr>
        <w:t xml:space="preserve">(4), 1351–1360. </w:t>
      </w:r>
      <w:hyperlink r:id="rId22" w:tgtFrame="_new" w:history="1">
        <w:r w:rsidRPr="002D6D0C">
          <w:rPr>
            <w:rFonts w:ascii="Times New Roman" w:hAnsi="Times New Roman"/>
            <w:color w:val="0000FF"/>
            <w:sz w:val="24"/>
            <w:szCs w:val="24"/>
            <w:u w:val="single"/>
          </w:rPr>
          <w:t>https://doi.org/10.1021/acsinfecdis.4c00041</w:t>
        </w:r>
      </w:hyperlink>
    </w:p>
    <w:p w14:paraId="71FA7253"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lastRenderedPageBreak/>
        <w:t xml:space="preserve">Deamer, R. L., Prichard, J. G., &amp; Loman, G. J. (1992). Hypersensitivity and anaphylactoid reactions to ciprofloxacin. </w:t>
      </w:r>
      <w:r w:rsidRPr="002D6D0C">
        <w:rPr>
          <w:rFonts w:ascii="Times New Roman" w:hAnsi="Times New Roman"/>
          <w:i/>
          <w:iCs/>
          <w:sz w:val="24"/>
          <w:szCs w:val="24"/>
        </w:rPr>
        <w:t>The Annals of Pharmacotherapy, 26</w:t>
      </w:r>
      <w:r w:rsidRPr="002D6D0C">
        <w:rPr>
          <w:rFonts w:ascii="Times New Roman" w:hAnsi="Times New Roman"/>
          <w:sz w:val="24"/>
          <w:szCs w:val="24"/>
        </w:rPr>
        <w:t xml:space="preserve">(9), 1081–1084. </w:t>
      </w:r>
      <w:hyperlink r:id="rId23" w:tgtFrame="_new" w:history="1">
        <w:r w:rsidRPr="002D6D0C">
          <w:rPr>
            <w:rFonts w:ascii="Times New Roman" w:hAnsi="Times New Roman"/>
            <w:color w:val="0000FF"/>
            <w:sz w:val="24"/>
            <w:szCs w:val="24"/>
            <w:u w:val="single"/>
          </w:rPr>
          <w:t>https://doi.org/10.1177/106002809202600905</w:t>
        </w:r>
      </w:hyperlink>
    </w:p>
    <w:p w14:paraId="3000CA8C"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Dhar, S., &amp; Sharma, V. K. (1996). Fixed drug eruption due to ciprofloxacin. </w:t>
      </w:r>
      <w:r w:rsidRPr="002D6D0C">
        <w:rPr>
          <w:rFonts w:ascii="Times New Roman" w:hAnsi="Times New Roman"/>
          <w:i/>
          <w:iCs/>
          <w:sz w:val="24"/>
          <w:szCs w:val="24"/>
        </w:rPr>
        <w:t>British Journal of Dermatology, 134</w:t>
      </w:r>
      <w:r w:rsidRPr="002D6D0C">
        <w:rPr>
          <w:rFonts w:ascii="Times New Roman" w:hAnsi="Times New Roman"/>
          <w:sz w:val="24"/>
          <w:szCs w:val="24"/>
        </w:rPr>
        <w:t>(1), 156–158. https://doi.org/10.1046/j.1365-2133.1996.d01-755.x</w:t>
      </w:r>
    </w:p>
    <w:p w14:paraId="29672205"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Fukuda, D., Powell, D., </w:t>
      </w:r>
      <w:proofErr w:type="spellStart"/>
      <w:r w:rsidRPr="002D6D0C">
        <w:rPr>
          <w:rFonts w:ascii="Times New Roman" w:hAnsi="Times New Roman"/>
          <w:sz w:val="24"/>
          <w:szCs w:val="24"/>
        </w:rPr>
        <w:t>Mulgirigama</w:t>
      </w:r>
      <w:proofErr w:type="spellEnd"/>
      <w:r w:rsidRPr="002D6D0C">
        <w:rPr>
          <w:rFonts w:ascii="Times New Roman" w:hAnsi="Times New Roman"/>
          <w:sz w:val="24"/>
          <w:szCs w:val="24"/>
        </w:rPr>
        <w:t xml:space="preserve">, A., Vojtek, I., Ozeki, H., Yoshimoto, D., Iida, H., </w:t>
      </w:r>
      <w:proofErr w:type="spellStart"/>
      <w:r w:rsidRPr="002D6D0C">
        <w:rPr>
          <w:rFonts w:ascii="Times New Roman" w:hAnsi="Times New Roman"/>
          <w:sz w:val="24"/>
          <w:szCs w:val="24"/>
        </w:rPr>
        <w:t>Johira</w:t>
      </w:r>
      <w:proofErr w:type="spellEnd"/>
      <w:r w:rsidRPr="002D6D0C">
        <w:rPr>
          <w:rFonts w:ascii="Times New Roman" w:hAnsi="Times New Roman"/>
          <w:sz w:val="24"/>
          <w:szCs w:val="24"/>
        </w:rPr>
        <w:t xml:space="preserve">, N., Kayama, Y., </w:t>
      </w:r>
      <w:proofErr w:type="spellStart"/>
      <w:r w:rsidRPr="002D6D0C">
        <w:rPr>
          <w:rFonts w:ascii="Times New Roman" w:hAnsi="Times New Roman"/>
          <w:sz w:val="24"/>
          <w:szCs w:val="24"/>
        </w:rPr>
        <w:t>Kawamatsu</w:t>
      </w:r>
      <w:proofErr w:type="spellEnd"/>
      <w:r w:rsidRPr="002D6D0C">
        <w:rPr>
          <w:rFonts w:ascii="Times New Roman" w:hAnsi="Times New Roman"/>
          <w:sz w:val="24"/>
          <w:szCs w:val="24"/>
        </w:rPr>
        <w:t xml:space="preserve">, S., &amp; Suzuki, S. (2026). Bacterial DNA topoisomerase IV and DNA gyrase inhibitors: History of the quinolones, their clinical usage and potential alternatives for the future. </w:t>
      </w:r>
      <w:r w:rsidRPr="002D6D0C">
        <w:rPr>
          <w:rFonts w:ascii="Times New Roman" w:hAnsi="Times New Roman"/>
          <w:i/>
          <w:iCs/>
          <w:sz w:val="24"/>
          <w:szCs w:val="24"/>
        </w:rPr>
        <w:t>Journal of Antimicrobial Chemotherapy, 81</w:t>
      </w:r>
      <w:r w:rsidRPr="002D6D0C">
        <w:rPr>
          <w:rFonts w:ascii="Times New Roman" w:hAnsi="Times New Roman"/>
          <w:sz w:val="24"/>
          <w:szCs w:val="24"/>
        </w:rPr>
        <w:t xml:space="preserve">(3), dkag054. </w:t>
      </w:r>
      <w:hyperlink r:id="rId24" w:tgtFrame="_new" w:history="1">
        <w:r w:rsidRPr="002D6D0C">
          <w:rPr>
            <w:rFonts w:ascii="Times New Roman" w:hAnsi="Times New Roman"/>
            <w:color w:val="0000FF"/>
            <w:sz w:val="24"/>
            <w:szCs w:val="24"/>
            <w:u w:val="single"/>
          </w:rPr>
          <w:t>https://doi.org/10.1093/jac/dkag054</w:t>
        </w:r>
      </w:hyperlink>
    </w:p>
    <w:p w14:paraId="7490E664" w14:textId="77777777" w:rsidR="00BC0933" w:rsidRPr="002D6D0C" w:rsidRDefault="00000000">
      <w:pPr>
        <w:spacing w:before="100" w:beforeAutospacing="1" w:after="100" w:afterAutospacing="1"/>
        <w:ind w:left="540" w:hanging="540"/>
        <w:jc w:val="both"/>
        <w:rPr>
          <w:rFonts w:ascii="Times New Roman" w:hAnsi="Times New Roman"/>
          <w:sz w:val="24"/>
          <w:szCs w:val="24"/>
        </w:rPr>
      </w:pPr>
      <w:proofErr w:type="spellStart"/>
      <w:r w:rsidRPr="002D6D0C">
        <w:rPr>
          <w:rFonts w:ascii="Times New Roman" w:hAnsi="Times New Roman"/>
          <w:b/>
          <w:bCs/>
          <w:sz w:val="24"/>
          <w:szCs w:val="24"/>
        </w:rPr>
        <w:t>Gelincik</w:t>
      </w:r>
      <w:proofErr w:type="spellEnd"/>
      <w:r w:rsidRPr="002D6D0C">
        <w:rPr>
          <w:rFonts w:ascii="Times New Roman" w:hAnsi="Times New Roman"/>
          <w:b/>
          <w:bCs/>
          <w:sz w:val="24"/>
          <w:szCs w:val="24"/>
        </w:rPr>
        <w:t xml:space="preserve">, A., Brockow, K., Çelik, G. E., Demir, S., Doña Diaz, I., Ebo, D. G., Mayorga, C., Labella, M., Sabato, V., &amp; Torres Jaén, M. J. (2025). Diagnosis of quinolone hypersensitivity: An EAACI position paper. </w:t>
      </w:r>
      <w:r w:rsidRPr="002D6D0C">
        <w:rPr>
          <w:rFonts w:ascii="Times New Roman" w:hAnsi="Times New Roman"/>
          <w:b/>
          <w:bCs/>
          <w:i/>
          <w:iCs/>
          <w:sz w:val="24"/>
          <w:szCs w:val="24"/>
        </w:rPr>
        <w:t>Allergy, 80</w:t>
      </w:r>
      <w:r w:rsidRPr="002D6D0C">
        <w:rPr>
          <w:rFonts w:ascii="Times New Roman" w:hAnsi="Times New Roman"/>
          <w:b/>
          <w:bCs/>
          <w:sz w:val="24"/>
          <w:szCs w:val="24"/>
        </w:rPr>
        <w:t xml:space="preserve">(11), 2988–3011. </w:t>
      </w:r>
      <w:hyperlink r:id="rId25" w:tgtFrame="_new" w:history="1">
        <w:r w:rsidRPr="002D6D0C">
          <w:rPr>
            <w:rFonts w:ascii="Times New Roman" w:hAnsi="Times New Roman"/>
            <w:b/>
            <w:bCs/>
            <w:color w:val="0000FF"/>
            <w:sz w:val="24"/>
            <w:szCs w:val="24"/>
            <w:u w:val="single"/>
          </w:rPr>
          <w:t>https://doi.org/10.1111/all.70037</w:t>
        </w:r>
      </w:hyperlink>
    </w:p>
    <w:p w14:paraId="75E37C97" w14:textId="77777777" w:rsidR="00BC0933" w:rsidRPr="002D6D0C" w:rsidRDefault="00000000">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b/>
          <w:bCs/>
          <w:sz w:val="24"/>
          <w:szCs w:val="24"/>
        </w:rPr>
        <w:t xml:space="preserve">Hasan, N. F., Najy, H. A., &amp; Ali, F. A. (2025). Ciprofloxacin's antibacterial effect on sensitive and resistant isolates of </w:t>
      </w:r>
      <w:r w:rsidRPr="002D6D0C">
        <w:rPr>
          <w:rFonts w:ascii="Times New Roman" w:hAnsi="Times New Roman"/>
          <w:b/>
          <w:bCs/>
          <w:i/>
          <w:iCs/>
          <w:sz w:val="24"/>
          <w:szCs w:val="24"/>
        </w:rPr>
        <w:t>Enterococcus faecalis</w:t>
      </w:r>
      <w:r w:rsidRPr="002D6D0C">
        <w:rPr>
          <w:rFonts w:ascii="Times New Roman" w:hAnsi="Times New Roman"/>
          <w:b/>
          <w:bCs/>
          <w:sz w:val="24"/>
          <w:szCs w:val="24"/>
        </w:rPr>
        <w:t xml:space="preserve">. </w:t>
      </w:r>
      <w:r w:rsidRPr="002D6D0C">
        <w:rPr>
          <w:rFonts w:ascii="Times New Roman" w:hAnsi="Times New Roman"/>
          <w:b/>
          <w:bCs/>
          <w:i/>
          <w:iCs/>
          <w:sz w:val="24"/>
          <w:szCs w:val="24"/>
        </w:rPr>
        <w:t>Asian Journal of Advances in Medical Science, 7</w:t>
      </w:r>
      <w:r w:rsidRPr="002D6D0C">
        <w:rPr>
          <w:rFonts w:ascii="Times New Roman" w:hAnsi="Times New Roman"/>
          <w:b/>
          <w:bCs/>
          <w:sz w:val="24"/>
          <w:szCs w:val="24"/>
        </w:rPr>
        <w:t xml:space="preserve">(1), 43–50. </w:t>
      </w:r>
      <w:hyperlink r:id="rId26" w:tgtFrame="_new" w:history="1">
        <w:r w:rsidRPr="002D6D0C">
          <w:rPr>
            <w:rFonts w:ascii="Times New Roman" w:hAnsi="Times New Roman"/>
            <w:b/>
            <w:bCs/>
            <w:color w:val="0000FF"/>
            <w:sz w:val="24"/>
            <w:szCs w:val="24"/>
            <w:u w:val="single"/>
          </w:rPr>
          <w:t>https://doi.org/10.56557/ajoaims/2025/v7i1151</w:t>
        </w:r>
      </w:hyperlink>
    </w:p>
    <w:p w14:paraId="332FAD35"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Hassan, H., </w:t>
      </w:r>
      <w:proofErr w:type="spellStart"/>
      <w:r w:rsidRPr="002D6D0C">
        <w:rPr>
          <w:rFonts w:ascii="Times New Roman" w:hAnsi="Times New Roman"/>
          <w:sz w:val="24"/>
          <w:szCs w:val="24"/>
        </w:rPr>
        <w:t>Reghukumar</w:t>
      </w:r>
      <w:proofErr w:type="spellEnd"/>
      <w:r w:rsidRPr="002D6D0C">
        <w:rPr>
          <w:rFonts w:ascii="Times New Roman" w:hAnsi="Times New Roman"/>
          <w:sz w:val="24"/>
          <w:szCs w:val="24"/>
        </w:rPr>
        <w:t xml:space="preserve">, A., Rajahamsan, J., Harikumar, S., &amp; </w:t>
      </w:r>
      <w:proofErr w:type="spellStart"/>
      <w:r w:rsidRPr="002D6D0C">
        <w:rPr>
          <w:rFonts w:ascii="Times New Roman" w:hAnsi="Times New Roman"/>
          <w:sz w:val="24"/>
          <w:szCs w:val="24"/>
        </w:rPr>
        <w:t>Shanmugham</w:t>
      </w:r>
      <w:proofErr w:type="spellEnd"/>
      <w:r w:rsidRPr="002D6D0C">
        <w:rPr>
          <w:rFonts w:ascii="Times New Roman" w:hAnsi="Times New Roman"/>
          <w:sz w:val="24"/>
          <w:szCs w:val="24"/>
        </w:rPr>
        <w:t xml:space="preserve">, M. (2025). Enhancing antibiotic stewardship: Physicians’ acceptance of </w:t>
      </w:r>
      <w:proofErr w:type="spellStart"/>
      <w:r w:rsidRPr="002D6D0C">
        <w:rPr>
          <w:rFonts w:ascii="Times New Roman" w:hAnsi="Times New Roman"/>
          <w:sz w:val="24"/>
          <w:szCs w:val="24"/>
        </w:rPr>
        <w:t>AWaRe</w:t>
      </w:r>
      <w:proofErr w:type="spellEnd"/>
      <w:r w:rsidRPr="002D6D0C">
        <w:rPr>
          <w:rFonts w:ascii="Times New Roman" w:hAnsi="Times New Roman"/>
          <w:sz w:val="24"/>
          <w:szCs w:val="24"/>
        </w:rPr>
        <w:t xml:space="preserve"> (Access, Watch, Reserve)-based microbiology reporting and its impact on judicious antibiotic selection—A cross-sectional study. </w:t>
      </w:r>
      <w:r w:rsidRPr="002D6D0C">
        <w:rPr>
          <w:rFonts w:ascii="Times New Roman" w:hAnsi="Times New Roman"/>
          <w:i/>
          <w:iCs/>
          <w:sz w:val="24"/>
          <w:szCs w:val="24"/>
        </w:rPr>
        <w:t>GMS Hygiene and Infection Control, 20</w:t>
      </w:r>
      <w:r w:rsidRPr="002D6D0C">
        <w:rPr>
          <w:rFonts w:ascii="Times New Roman" w:hAnsi="Times New Roman"/>
          <w:sz w:val="24"/>
          <w:szCs w:val="24"/>
        </w:rPr>
        <w:t xml:space="preserve">, Doc03. </w:t>
      </w:r>
      <w:hyperlink r:id="rId27" w:tgtFrame="_new" w:history="1">
        <w:r w:rsidRPr="002D6D0C">
          <w:rPr>
            <w:rFonts w:ascii="Times New Roman" w:hAnsi="Times New Roman"/>
            <w:color w:val="0000FF"/>
            <w:sz w:val="24"/>
            <w:szCs w:val="24"/>
            <w:u w:val="single"/>
          </w:rPr>
          <w:t>https://doi.org/10.3205/dgkh000532</w:t>
        </w:r>
      </w:hyperlink>
    </w:p>
    <w:p w14:paraId="4714A9F0"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Häusermann, P., Scherer, K., Weber, M., &amp; Bircher, A. J. (2005). Ciprofloxacin-induced acute generalized </w:t>
      </w:r>
      <w:proofErr w:type="spellStart"/>
      <w:r w:rsidRPr="002D6D0C">
        <w:rPr>
          <w:rFonts w:ascii="Times New Roman" w:hAnsi="Times New Roman"/>
          <w:sz w:val="24"/>
          <w:szCs w:val="24"/>
        </w:rPr>
        <w:t>exanthematous</w:t>
      </w:r>
      <w:proofErr w:type="spellEnd"/>
      <w:r w:rsidRPr="002D6D0C">
        <w:rPr>
          <w:rFonts w:ascii="Times New Roman" w:hAnsi="Times New Roman"/>
          <w:sz w:val="24"/>
          <w:szCs w:val="24"/>
        </w:rPr>
        <w:t xml:space="preserve"> pustulosis mimicking bullous drug eruption confirmed by a positive patch test. </w:t>
      </w:r>
      <w:r w:rsidRPr="002D6D0C">
        <w:rPr>
          <w:rFonts w:ascii="Times New Roman" w:hAnsi="Times New Roman"/>
          <w:i/>
          <w:iCs/>
          <w:sz w:val="24"/>
          <w:szCs w:val="24"/>
        </w:rPr>
        <w:t>Dermatology, 211</w:t>
      </w:r>
      <w:r w:rsidRPr="002D6D0C">
        <w:rPr>
          <w:rFonts w:ascii="Times New Roman" w:hAnsi="Times New Roman"/>
          <w:sz w:val="24"/>
          <w:szCs w:val="24"/>
        </w:rPr>
        <w:t xml:space="preserve">(3), 277–280. </w:t>
      </w:r>
      <w:hyperlink r:id="rId28" w:tgtFrame="_new" w:history="1">
        <w:r w:rsidRPr="002D6D0C">
          <w:rPr>
            <w:rFonts w:ascii="Times New Roman" w:hAnsi="Times New Roman"/>
            <w:color w:val="0000FF"/>
            <w:sz w:val="24"/>
            <w:szCs w:val="24"/>
            <w:u w:val="single"/>
          </w:rPr>
          <w:t>https://doi.org/10.1159/000087024</w:t>
        </w:r>
      </w:hyperlink>
    </w:p>
    <w:p w14:paraId="7EC8344D"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Hooper, D. C., &amp; Jacoby, G. A. (2016). Topoisomerase inhibitors: Fluoroquinolone mechanisms of action and resistance. </w:t>
      </w:r>
      <w:r w:rsidRPr="002D6D0C">
        <w:rPr>
          <w:rFonts w:ascii="Times New Roman" w:hAnsi="Times New Roman"/>
          <w:i/>
          <w:iCs/>
          <w:sz w:val="24"/>
          <w:szCs w:val="24"/>
        </w:rPr>
        <w:t>Cold Spring Harbor Perspectives in Medicine, 6</w:t>
      </w:r>
      <w:r w:rsidRPr="002D6D0C">
        <w:rPr>
          <w:rFonts w:ascii="Times New Roman" w:hAnsi="Times New Roman"/>
          <w:sz w:val="24"/>
          <w:szCs w:val="24"/>
        </w:rPr>
        <w:t xml:space="preserve">(9), a025320. </w:t>
      </w:r>
      <w:hyperlink r:id="rId29" w:tgtFrame="_new" w:history="1">
        <w:r w:rsidRPr="002D6D0C">
          <w:rPr>
            <w:rFonts w:ascii="Times New Roman" w:hAnsi="Times New Roman"/>
            <w:color w:val="0000FF"/>
            <w:sz w:val="24"/>
            <w:szCs w:val="24"/>
            <w:u w:val="single"/>
          </w:rPr>
          <w:t>https://doi.org/10.1101/cshperspect.a025320</w:t>
        </w:r>
      </w:hyperlink>
    </w:p>
    <w:p w14:paraId="618B5F30"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Iliyas, M., Ram Subba Reddy, M., &amp; Devi, U. (2018). Ciprofloxacin-induced </w:t>
      </w:r>
      <w:proofErr w:type="spellStart"/>
      <w:r w:rsidRPr="002D6D0C">
        <w:rPr>
          <w:rFonts w:ascii="Times New Roman" w:hAnsi="Times New Roman"/>
          <w:sz w:val="24"/>
          <w:szCs w:val="24"/>
        </w:rPr>
        <w:t>generalised</w:t>
      </w:r>
      <w:proofErr w:type="spellEnd"/>
      <w:r w:rsidRPr="002D6D0C">
        <w:rPr>
          <w:rFonts w:ascii="Times New Roman" w:hAnsi="Times New Roman"/>
          <w:sz w:val="24"/>
          <w:szCs w:val="24"/>
        </w:rPr>
        <w:t xml:space="preserve"> non-bullous fixed drug eruption. </w:t>
      </w:r>
      <w:r w:rsidRPr="002D6D0C">
        <w:rPr>
          <w:rFonts w:ascii="Times New Roman" w:hAnsi="Times New Roman"/>
          <w:i/>
          <w:iCs/>
          <w:sz w:val="24"/>
          <w:szCs w:val="24"/>
        </w:rPr>
        <w:t>BMJ Case Reports, 2018</w:t>
      </w:r>
      <w:r w:rsidRPr="002D6D0C">
        <w:rPr>
          <w:rFonts w:ascii="Times New Roman" w:hAnsi="Times New Roman"/>
          <w:sz w:val="24"/>
          <w:szCs w:val="24"/>
        </w:rPr>
        <w:t xml:space="preserve">, bcr-2018-224858. </w:t>
      </w:r>
      <w:hyperlink r:id="rId30" w:tgtFrame="_new" w:history="1">
        <w:r w:rsidRPr="002D6D0C">
          <w:rPr>
            <w:rFonts w:ascii="Times New Roman" w:hAnsi="Times New Roman"/>
            <w:color w:val="0000FF"/>
            <w:sz w:val="24"/>
            <w:szCs w:val="24"/>
            <w:u w:val="single"/>
          </w:rPr>
          <w:t>https://doi.org/10.1136/bcr-2018-224858</w:t>
        </w:r>
      </w:hyperlink>
    </w:p>
    <w:p w14:paraId="3ACF9FF6"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Jadoon, R. J., Jalal-</w:t>
      </w:r>
      <w:proofErr w:type="spellStart"/>
      <w:r w:rsidRPr="002D6D0C">
        <w:rPr>
          <w:rFonts w:ascii="Times New Roman" w:hAnsi="Times New Roman"/>
          <w:sz w:val="24"/>
          <w:szCs w:val="24"/>
        </w:rPr>
        <w:t>ud</w:t>
      </w:r>
      <w:proofErr w:type="spellEnd"/>
      <w:r w:rsidRPr="002D6D0C">
        <w:rPr>
          <w:rFonts w:ascii="Times New Roman" w:hAnsi="Times New Roman"/>
          <w:sz w:val="24"/>
          <w:szCs w:val="24"/>
        </w:rPr>
        <w:t xml:space="preserve">-Din, M., &amp; Khan, S. A. (2015). </w:t>
      </w:r>
      <w:r w:rsidRPr="002D6D0C">
        <w:rPr>
          <w:rFonts w:ascii="Times New Roman" w:hAnsi="Times New Roman"/>
          <w:i/>
          <w:iCs/>
          <w:sz w:val="24"/>
          <w:szCs w:val="24"/>
        </w:rPr>
        <w:t>E. coli</w:t>
      </w:r>
      <w:r w:rsidRPr="002D6D0C">
        <w:rPr>
          <w:rFonts w:ascii="Times New Roman" w:hAnsi="Times New Roman"/>
          <w:sz w:val="24"/>
          <w:szCs w:val="24"/>
        </w:rPr>
        <w:t xml:space="preserve"> resistance to ciprofloxacin and common associated factors. </w:t>
      </w:r>
      <w:r w:rsidRPr="002D6D0C">
        <w:rPr>
          <w:rFonts w:ascii="Times New Roman" w:hAnsi="Times New Roman"/>
          <w:i/>
          <w:iCs/>
          <w:sz w:val="24"/>
          <w:szCs w:val="24"/>
        </w:rPr>
        <w:t>Journal of the College of Physicians and Surgeons Pakistan, 25</w:t>
      </w:r>
      <w:r w:rsidRPr="002D6D0C">
        <w:rPr>
          <w:rFonts w:ascii="Times New Roman" w:hAnsi="Times New Roman"/>
          <w:sz w:val="24"/>
          <w:szCs w:val="24"/>
        </w:rPr>
        <w:t xml:space="preserve">(11), 824–827. </w:t>
      </w:r>
      <w:hyperlink r:id="rId31" w:tgtFrame="_new" w:history="1">
        <w:r w:rsidRPr="002D6D0C">
          <w:rPr>
            <w:rFonts w:ascii="Times New Roman" w:hAnsi="Times New Roman"/>
            <w:color w:val="0000FF"/>
            <w:sz w:val="24"/>
            <w:szCs w:val="24"/>
            <w:u w:val="single"/>
          </w:rPr>
          <w:t>https://www.jcpsp.pk/archive/2015/Nov2015/12.pdf</w:t>
        </w:r>
      </w:hyperlink>
    </w:p>
    <w:p w14:paraId="4A386CF2"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Jain, S. P., &amp; Jain, P. A. (2013). Bullous fixed drug eruption to ciprofloxacin: A case report. </w:t>
      </w:r>
      <w:r w:rsidRPr="002D6D0C">
        <w:rPr>
          <w:rFonts w:ascii="Times New Roman" w:hAnsi="Times New Roman"/>
          <w:i/>
          <w:iCs/>
          <w:sz w:val="24"/>
          <w:szCs w:val="24"/>
        </w:rPr>
        <w:t>Journal of Clinical and Diagnostic Research, 7</w:t>
      </w:r>
      <w:r w:rsidRPr="002D6D0C">
        <w:rPr>
          <w:rFonts w:ascii="Times New Roman" w:hAnsi="Times New Roman"/>
          <w:sz w:val="24"/>
          <w:szCs w:val="24"/>
        </w:rPr>
        <w:t xml:space="preserve">(4), 744–745. </w:t>
      </w:r>
      <w:hyperlink r:id="rId32" w:tgtFrame="_new" w:history="1">
        <w:r w:rsidRPr="002D6D0C">
          <w:rPr>
            <w:rFonts w:ascii="Times New Roman" w:hAnsi="Times New Roman"/>
            <w:color w:val="0000FF"/>
            <w:sz w:val="24"/>
            <w:szCs w:val="24"/>
            <w:u w:val="single"/>
          </w:rPr>
          <w:t>https://doi.org/10.7860/JCDR/2013/4757.2901</w:t>
        </w:r>
      </w:hyperlink>
    </w:p>
    <w:p w14:paraId="71B84BD0"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Justice, E. D., Fricker, J., Ross, J. D. C., Kopa, Z., </w:t>
      </w:r>
      <w:proofErr w:type="spellStart"/>
      <w:r w:rsidRPr="002D6D0C">
        <w:rPr>
          <w:rFonts w:ascii="Times New Roman" w:hAnsi="Times New Roman"/>
          <w:sz w:val="24"/>
          <w:szCs w:val="24"/>
        </w:rPr>
        <w:t>Skerlev</w:t>
      </w:r>
      <w:proofErr w:type="spellEnd"/>
      <w:r w:rsidRPr="002D6D0C">
        <w:rPr>
          <w:rFonts w:ascii="Times New Roman" w:hAnsi="Times New Roman"/>
          <w:sz w:val="24"/>
          <w:szCs w:val="24"/>
        </w:rPr>
        <w:t xml:space="preserve">, M., &amp; Patel, R. (2026). The 2024 European guideline on the management of </w:t>
      </w:r>
      <w:proofErr w:type="spellStart"/>
      <w:r w:rsidRPr="002D6D0C">
        <w:rPr>
          <w:rFonts w:ascii="Times New Roman" w:hAnsi="Times New Roman"/>
          <w:sz w:val="24"/>
          <w:szCs w:val="24"/>
        </w:rPr>
        <w:t>epididymo</w:t>
      </w:r>
      <w:proofErr w:type="spellEnd"/>
      <w:r w:rsidRPr="002D6D0C">
        <w:rPr>
          <w:rFonts w:ascii="Times New Roman" w:hAnsi="Times New Roman"/>
          <w:sz w:val="24"/>
          <w:szCs w:val="24"/>
        </w:rPr>
        <w:t xml:space="preserve">-orchitis. </w:t>
      </w:r>
      <w:r w:rsidRPr="002D6D0C">
        <w:rPr>
          <w:rFonts w:ascii="Times New Roman" w:hAnsi="Times New Roman"/>
          <w:i/>
          <w:iCs/>
          <w:sz w:val="24"/>
          <w:szCs w:val="24"/>
        </w:rPr>
        <w:t>Journal of the European Academy of Dermatology and Venereology, 40</w:t>
      </w:r>
      <w:r w:rsidRPr="002D6D0C">
        <w:rPr>
          <w:rFonts w:ascii="Times New Roman" w:hAnsi="Times New Roman"/>
          <w:sz w:val="24"/>
          <w:szCs w:val="24"/>
        </w:rPr>
        <w:t xml:space="preserve">(2), 166–173. </w:t>
      </w:r>
      <w:hyperlink r:id="rId33" w:tgtFrame="_new" w:history="1">
        <w:r w:rsidRPr="002D6D0C">
          <w:rPr>
            <w:rFonts w:ascii="Times New Roman" w:hAnsi="Times New Roman"/>
            <w:color w:val="0000FF"/>
            <w:sz w:val="24"/>
            <w:szCs w:val="24"/>
            <w:u w:val="single"/>
          </w:rPr>
          <w:t>https://doi.org/10.1111/jdv.20865</w:t>
        </w:r>
      </w:hyperlink>
    </w:p>
    <w:p w14:paraId="46416AD7"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Kashyap, A., Sreenivasan, S., Rajan, A. K., Rashid, M., &amp; Chhabra, M. (2022). Ciprofloxacin-induced cutaneous adverse drug events: A systematic review of descriptive studies. </w:t>
      </w:r>
      <w:r w:rsidRPr="002D6D0C">
        <w:rPr>
          <w:rFonts w:ascii="Times New Roman" w:hAnsi="Times New Roman"/>
          <w:i/>
          <w:iCs/>
          <w:sz w:val="24"/>
          <w:szCs w:val="24"/>
        </w:rPr>
        <w:t>Journal of Basic and Clinical Physiology and Pharmacology, 33</w:t>
      </w:r>
      <w:r w:rsidRPr="002D6D0C">
        <w:rPr>
          <w:rFonts w:ascii="Times New Roman" w:hAnsi="Times New Roman"/>
          <w:sz w:val="24"/>
          <w:szCs w:val="24"/>
        </w:rPr>
        <w:t xml:space="preserve">(3), 327–346. </w:t>
      </w:r>
      <w:hyperlink r:id="rId34" w:tgtFrame="_new" w:history="1">
        <w:r w:rsidRPr="002D6D0C">
          <w:rPr>
            <w:rFonts w:ascii="Times New Roman" w:hAnsi="Times New Roman"/>
            <w:color w:val="0000FF"/>
            <w:sz w:val="24"/>
            <w:szCs w:val="24"/>
            <w:u w:val="single"/>
          </w:rPr>
          <w:t>https://doi.org/10.1515/jbcpp-2020-0115</w:t>
        </w:r>
      </w:hyperlink>
    </w:p>
    <w:p w14:paraId="56AC92BF"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proofErr w:type="spellStart"/>
      <w:r w:rsidRPr="002D6D0C">
        <w:rPr>
          <w:rFonts w:ascii="Times New Roman" w:hAnsi="Times New Roman"/>
          <w:sz w:val="24"/>
          <w:szCs w:val="24"/>
        </w:rPr>
        <w:lastRenderedPageBreak/>
        <w:t>Kulthanan</w:t>
      </w:r>
      <w:proofErr w:type="spellEnd"/>
      <w:r w:rsidRPr="002D6D0C">
        <w:rPr>
          <w:rFonts w:ascii="Times New Roman" w:hAnsi="Times New Roman"/>
          <w:sz w:val="24"/>
          <w:szCs w:val="24"/>
        </w:rPr>
        <w:t xml:space="preserve">, K., </w:t>
      </w:r>
      <w:proofErr w:type="spellStart"/>
      <w:r w:rsidRPr="002D6D0C">
        <w:rPr>
          <w:rFonts w:ascii="Times New Roman" w:hAnsi="Times New Roman"/>
          <w:sz w:val="24"/>
          <w:szCs w:val="24"/>
        </w:rPr>
        <w:t>Chularojanamontri</w:t>
      </w:r>
      <w:proofErr w:type="spellEnd"/>
      <w:r w:rsidRPr="002D6D0C">
        <w:rPr>
          <w:rFonts w:ascii="Times New Roman" w:hAnsi="Times New Roman"/>
          <w:sz w:val="24"/>
          <w:szCs w:val="24"/>
        </w:rPr>
        <w:t xml:space="preserve">, L., </w:t>
      </w:r>
      <w:proofErr w:type="spellStart"/>
      <w:r w:rsidRPr="002D6D0C">
        <w:rPr>
          <w:rFonts w:ascii="Times New Roman" w:hAnsi="Times New Roman"/>
          <w:sz w:val="24"/>
          <w:szCs w:val="24"/>
        </w:rPr>
        <w:t>Manapajon</w:t>
      </w:r>
      <w:proofErr w:type="spellEnd"/>
      <w:r w:rsidRPr="002D6D0C">
        <w:rPr>
          <w:rFonts w:ascii="Times New Roman" w:hAnsi="Times New Roman"/>
          <w:sz w:val="24"/>
          <w:szCs w:val="24"/>
        </w:rPr>
        <w:t xml:space="preserve">, A., Dhana, N., &amp; </w:t>
      </w:r>
      <w:proofErr w:type="spellStart"/>
      <w:r w:rsidRPr="002D6D0C">
        <w:rPr>
          <w:rFonts w:ascii="Times New Roman" w:hAnsi="Times New Roman"/>
          <w:sz w:val="24"/>
          <w:szCs w:val="24"/>
        </w:rPr>
        <w:t>Jongjarearnprasert</w:t>
      </w:r>
      <w:proofErr w:type="spellEnd"/>
      <w:r w:rsidRPr="002D6D0C">
        <w:rPr>
          <w:rFonts w:ascii="Times New Roman" w:hAnsi="Times New Roman"/>
          <w:sz w:val="24"/>
          <w:szCs w:val="24"/>
        </w:rPr>
        <w:t xml:space="preserve">, K. (2011). Cutaneous adverse reactions to fluoroquinolones. </w:t>
      </w:r>
      <w:r w:rsidRPr="002D6D0C">
        <w:rPr>
          <w:rFonts w:ascii="Times New Roman" w:hAnsi="Times New Roman"/>
          <w:i/>
          <w:iCs/>
          <w:sz w:val="24"/>
          <w:szCs w:val="24"/>
        </w:rPr>
        <w:t>Dermatitis, 22</w:t>
      </w:r>
      <w:r w:rsidRPr="002D6D0C">
        <w:rPr>
          <w:rFonts w:ascii="Times New Roman" w:hAnsi="Times New Roman"/>
          <w:sz w:val="24"/>
          <w:szCs w:val="24"/>
        </w:rPr>
        <w:t>(3), 155–160. https://doi.org/10.2310/6620.2011.10115</w:t>
      </w:r>
    </w:p>
    <w:p w14:paraId="35867EA8" w14:textId="77777777" w:rsidR="00BC0933" w:rsidRPr="002D6D0C" w:rsidRDefault="00000000">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b/>
          <w:bCs/>
          <w:sz w:val="24"/>
          <w:szCs w:val="24"/>
        </w:rPr>
        <w:t xml:space="preserve">Lee, E. Y., Gomes, T., Drucker, A. M., Daneman, N., Asaf, A., Wu, F., Piguet, V., &amp; Juurlink, D. N. (2024). Oral antibiotics and risk of serious cutaneous adverse drug reactions. </w:t>
      </w:r>
      <w:r w:rsidRPr="002D6D0C">
        <w:rPr>
          <w:rFonts w:ascii="Times New Roman" w:hAnsi="Times New Roman"/>
          <w:b/>
          <w:bCs/>
          <w:i/>
          <w:iCs/>
          <w:sz w:val="24"/>
          <w:szCs w:val="24"/>
        </w:rPr>
        <w:t>JAMA, 332</w:t>
      </w:r>
      <w:r w:rsidRPr="002D6D0C">
        <w:rPr>
          <w:rFonts w:ascii="Times New Roman" w:hAnsi="Times New Roman"/>
          <w:b/>
          <w:bCs/>
          <w:sz w:val="24"/>
          <w:szCs w:val="24"/>
        </w:rPr>
        <w:t xml:space="preserve">(9), 730–737. </w:t>
      </w:r>
      <w:hyperlink r:id="rId35" w:tgtFrame="_new" w:history="1">
        <w:r w:rsidRPr="002D6D0C">
          <w:rPr>
            <w:rFonts w:ascii="Times New Roman" w:hAnsi="Times New Roman"/>
            <w:b/>
            <w:bCs/>
            <w:color w:val="0000FF"/>
            <w:sz w:val="24"/>
            <w:szCs w:val="24"/>
            <w:u w:val="single"/>
          </w:rPr>
          <w:t>https://doi.org/10.1001/jama.2024.11437</w:t>
        </w:r>
      </w:hyperlink>
    </w:p>
    <w:p w14:paraId="03B5C1A3"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Manjhi, P. K., Singh, M. P., &amp; Kumar, M. (2024). Causality, severity, preventability and predictability assessments scales for adverse drug reactions: A review. </w:t>
      </w:r>
      <w:r w:rsidRPr="002D6D0C">
        <w:rPr>
          <w:rFonts w:ascii="Times New Roman" w:hAnsi="Times New Roman"/>
          <w:i/>
          <w:iCs/>
          <w:sz w:val="24"/>
          <w:szCs w:val="24"/>
        </w:rPr>
        <w:t>Cureus, 16</w:t>
      </w:r>
      <w:r w:rsidRPr="002D6D0C">
        <w:rPr>
          <w:rFonts w:ascii="Times New Roman" w:hAnsi="Times New Roman"/>
          <w:sz w:val="24"/>
          <w:szCs w:val="24"/>
        </w:rPr>
        <w:t xml:space="preserve">(5), e59975. </w:t>
      </w:r>
      <w:hyperlink r:id="rId36" w:tgtFrame="_new" w:history="1">
        <w:r w:rsidRPr="002D6D0C">
          <w:rPr>
            <w:rFonts w:ascii="Times New Roman" w:hAnsi="Times New Roman"/>
            <w:color w:val="0000FF"/>
            <w:sz w:val="24"/>
            <w:szCs w:val="24"/>
            <w:u w:val="single"/>
          </w:rPr>
          <w:t>https://doi.org/10.7759/cureus.59975</w:t>
        </w:r>
      </w:hyperlink>
    </w:p>
    <w:p w14:paraId="6ED22C14"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proofErr w:type="spellStart"/>
      <w:r w:rsidRPr="002D6D0C">
        <w:rPr>
          <w:rFonts w:ascii="Times New Roman" w:hAnsi="Times New Roman"/>
          <w:sz w:val="24"/>
          <w:szCs w:val="24"/>
        </w:rPr>
        <w:t>Meyboom</w:t>
      </w:r>
      <w:proofErr w:type="spellEnd"/>
      <w:r w:rsidRPr="002D6D0C">
        <w:rPr>
          <w:rFonts w:ascii="Times New Roman" w:hAnsi="Times New Roman"/>
          <w:sz w:val="24"/>
          <w:szCs w:val="24"/>
        </w:rPr>
        <w:t xml:space="preserve">, R. H. B., </w:t>
      </w:r>
      <w:proofErr w:type="spellStart"/>
      <w:r w:rsidRPr="002D6D0C">
        <w:rPr>
          <w:rFonts w:ascii="Times New Roman" w:hAnsi="Times New Roman"/>
          <w:sz w:val="24"/>
          <w:szCs w:val="24"/>
        </w:rPr>
        <w:t>Hekster</w:t>
      </w:r>
      <w:proofErr w:type="spellEnd"/>
      <w:r w:rsidRPr="002D6D0C">
        <w:rPr>
          <w:rFonts w:ascii="Times New Roman" w:hAnsi="Times New Roman"/>
          <w:sz w:val="24"/>
          <w:szCs w:val="24"/>
        </w:rPr>
        <w:t xml:space="preserve">, Y. A., Egberts, A. C. G., </w:t>
      </w:r>
      <w:proofErr w:type="spellStart"/>
      <w:r w:rsidRPr="002D6D0C">
        <w:rPr>
          <w:rFonts w:ascii="Times New Roman" w:hAnsi="Times New Roman"/>
          <w:sz w:val="24"/>
          <w:szCs w:val="24"/>
        </w:rPr>
        <w:t>Gribnau</w:t>
      </w:r>
      <w:proofErr w:type="spellEnd"/>
      <w:r w:rsidRPr="002D6D0C">
        <w:rPr>
          <w:rFonts w:ascii="Times New Roman" w:hAnsi="Times New Roman"/>
          <w:sz w:val="24"/>
          <w:szCs w:val="24"/>
        </w:rPr>
        <w:t xml:space="preserve">, F. W. J., &amp; Edwards, I. R. (1997). Causal or casual? The role of causality assessment in pharmacovigilance. </w:t>
      </w:r>
      <w:r w:rsidRPr="002D6D0C">
        <w:rPr>
          <w:rFonts w:ascii="Times New Roman" w:hAnsi="Times New Roman"/>
          <w:i/>
          <w:iCs/>
          <w:sz w:val="24"/>
          <w:szCs w:val="24"/>
        </w:rPr>
        <w:t>Drug Safety, 17</w:t>
      </w:r>
      <w:r w:rsidRPr="002D6D0C">
        <w:rPr>
          <w:rFonts w:ascii="Times New Roman" w:hAnsi="Times New Roman"/>
          <w:sz w:val="24"/>
          <w:szCs w:val="24"/>
        </w:rPr>
        <w:t xml:space="preserve">(6), 374–389. </w:t>
      </w:r>
      <w:hyperlink r:id="rId37" w:tgtFrame="_new" w:history="1">
        <w:r w:rsidRPr="002D6D0C">
          <w:rPr>
            <w:rFonts w:ascii="Times New Roman" w:hAnsi="Times New Roman"/>
            <w:color w:val="0000FF"/>
            <w:sz w:val="24"/>
            <w:szCs w:val="24"/>
            <w:u w:val="single"/>
          </w:rPr>
          <w:t>https://doi.org/10.2165/00002018-199717060-00004</w:t>
        </w:r>
      </w:hyperlink>
    </w:p>
    <w:p w14:paraId="0FF1FF5E"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Naranjo, C. A., Busto, U., Sellers, E. M., Sandor, P., Ruiz, I., Roberts, E. A., Janecek, E., Domecq, C., &amp; Greenblatt, D. J. (1981). A method for estimating the probability of adverse drug reactions. </w:t>
      </w:r>
      <w:r w:rsidRPr="002D6D0C">
        <w:rPr>
          <w:rFonts w:ascii="Times New Roman" w:hAnsi="Times New Roman"/>
          <w:i/>
          <w:iCs/>
          <w:sz w:val="24"/>
          <w:szCs w:val="24"/>
        </w:rPr>
        <w:t>Clinical Pharmacology and Therapeutics, 30</w:t>
      </w:r>
      <w:r w:rsidRPr="002D6D0C">
        <w:rPr>
          <w:rFonts w:ascii="Times New Roman" w:hAnsi="Times New Roman"/>
          <w:sz w:val="24"/>
          <w:szCs w:val="24"/>
        </w:rPr>
        <w:t xml:space="preserve">(2), 239–245. </w:t>
      </w:r>
      <w:hyperlink r:id="rId38" w:tgtFrame="_new" w:history="1">
        <w:r w:rsidRPr="002D6D0C">
          <w:rPr>
            <w:rFonts w:ascii="Times New Roman" w:hAnsi="Times New Roman"/>
            <w:color w:val="0000FF"/>
            <w:sz w:val="24"/>
            <w:szCs w:val="24"/>
            <w:u w:val="single"/>
          </w:rPr>
          <w:t>https://doi.org/10.1038/clpt.1981.154</w:t>
        </w:r>
      </w:hyperlink>
    </w:p>
    <w:p w14:paraId="51DE759D" w14:textId="77777777" w:rsidR="00BC0933" w:rsidRPr="002D6D0C" w:rsidRDefault="00000000">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b/>
          <w:bCs/>
          <w:sz w:val="24"/>
          <w:szCs w:val="24"/>
        </w:rPr>
        <w:t xml:space="preserve">Narayan, K., &amp; Eranna, N. (2026). Fixed drug eruption induced by combined administration of metronidazole and ciprofloxacin. </w:t>
      </w:r>
      <w:r w:rsidRPr="002D6D0C">
        <w:rPr>
          <w:rFonts w:ascii="Times New Roman" w:hAnsi="Times New Roman"/>
          <w:b/>
          <w:bCs/>
          <w:i/>
          <w:iCs/>
          <w:sz w:val="24"/>
          <w:szCs w:val="24"/>
        </w:rPr>
        <w:t>Asian Journal of Research in Dermatological Science, 9</w:t>
      </w:r>
      <w:r w:rsidRPr="002D6D0C">
        <w:rPr>
          <w:rFonts w:ascii="Times New Roman" w:hAnsi="Times New Roman"/>
          <w:b/>
          <w:bCs/>
          <w:sz w:val="24"/>
          <w:szCs w:val="24"/>
        </w:rPr>
        <w:t xml:space="preserve">(1), 77–83. </w:t>
      </w:r>
      <w:hyperlink r:id="rId39" w:tgtFrame="_new" w:history="1">
        <w:r w:rsidRPr="002D6D0C">
          <w:rPr>
            <w:rFonts w:ascii="Times New Roman" w:hAnsi="Times New Roman"/>
            <w:b/>
            <w:bCs/>
            <w:color w:val="0000FF"/>
            <w:sz w:val="24"/>
            <w:szCs w:val="24"/>
            <w:u w:val="single"/>
          </w:rPr>
          <w:t>https://doi.org/10.9734/ajrdes/2026/v9i1158</w:t>
        </w:r>
      </w:hyperlink>
    </w:p>
    <w:p w14:paraId="5E52F847"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Neuman, M. G., Cohen, L. B., &amp; </w:t>
      </w:r>
      <w:proofErr w:type="spellStart"/>
      <w:r w:rsidRPr="002D6D0C">
        <w:rPr>
          <w:rFonts w:ascii="Times New Roman" w:hAnsi="Times New Roman"/>
          <w:sz w:val="24"/>
          <w:szCs w:val="24"/>
        </w:rPr>
        <w:t>Nanau</w:t>
      </w:r>
      <w:proofErr w:type="spellEnd"/>
      <w:r w:rsidRPr="002D6D0C">
        <w:rPr>
          <w:rFonts w:ascii="Times New Roman" w:hAnsi="Times New Roman"/>
          <w:sz w:val="24"/>
          <w:szCs w:val="24"/>
        </w:rPr>
        <w:t xml:space="preserve">, R. M. (2015). Quinolones-induced hypersensitivity reactions. </w:t>
      </w:r>
      <w:r w:rsidRPr="002D6D0C">
        <w:rPr>
          <w:rFonts w:ascii="Times New Roman" w:hAnsi="Times New Roman"/>
          <w:i/>
          <w:iCs/>
          <w:sz w:val="24"/>
          <w:szCs w:val="24"/>
        </w:rPr>
        <w:t>Clinical Biochemistry, 48</w:t>
      </w:r>
      <w:r w:rsidRPr="002D6D0C">
        <w:rPr>
          <w:rFonts w:ascii="Times New Roman" w:hAnsi="Times New Roman"/>
          <w:sz w:val="24"/>
          <w:szCs w:val="24"/>
        </w:rPr>
        <w:t xml:space="preserve">(10–11), 716–739. </w:t>
      </w:r>
      <w:hyperlink r:id="rId40" w:tgtFrame="_new" w:history="1">
        <w:r w:rsidRPr="002D6D0C">
          <w:rPr>
            <w:rFonts w:ascii="Times New Roman" w:hAnsi="Times New Roman"/>
            <w:color w:val="0000FF"/>
            <w:sz w:val="24"/>
            <w:szCs w:val="24"/>
            <w:u w:val="single"/>
          </w:rPr>
          <w:t>https://doi.org/10.1016/j.clinbiochem.2015.04.006</w:t>
        </w:r>
      </w:hyperlink>
    </w:p>
    <w:p w14:paraId="300B9961"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Nicholson, A., Rait, G., Murray-Thomas, T., Hughes, G., Mercer, C. H., &amp; Cassell, J. (2010). Management of </w:t>
      </w:r>
      <w:proofErr w:type="spellStart"/>
      <w:r w:rsidRPr="002D6D0C">
        <w:rPr>
          <w:rFonts w:ascii="Times New Roman" w:hAnsi="Times New Roman"/>
          <w:sz w:val="24"/>
          <w:szCs w:val="24"/>
        </w:rPr>
        <w:t>epididymo</w:t>
      </w:r>
      <w:proofErr w:type="spellEnd"/>
      <w:r w:rsidRPr="002D6D0C">
        <w:rPr>
          <w:rFonts w:ascii="Times New Roman" w:hAnsi="Times New Roman"/>
          <w:sz w:val="24"/>
          <w:szCs w:val="24"/>
        </w:rPr>
        <w:t xml:space="preserve">-orchitis in primary care: Results from a large UK primary care database. </w:t>
      </w:r>
      <w:r w:rsidRPr="002D6D0C">
        <w:rPr>
          <w:rFonts w:ascii="Times New Roman" w:hAnsi="Times New Roman"/>
          <w:i/>
          <w:iCs/>
          <w:sz w:val="24"/>
          <w:szCs w:val="24"/>
        </w:rPr>
        <w:t>British Journal of General Practice, 60</w:t>
      </w:r>
      <w:r w:rsidRPr="002D6D0C">
        <w:rPr>
          <w:rFonts w:ascii="Times New Roman" w:hAnsi="Times New Roman"/>
          <w:sz w:val="24"/>
          <w:szCs w:val="24"/>
        </w:rPr>
        <w:t xml:space="preserve">(579), e407–e422. </w:t>
      </w:r>
      <w:hyperlink r:id="rId41" w:tgtFrame="_new" w:history="1">
        <w:r w:rsidRPr="002D6D0C">
          <w:rPr>
            <w:rFonts w:ascii="Times New Roman" w:hAnsi="Times New Roman"/>
            <w:color w:val="0000FF"/>
            <w:sz w:val="24"/>
            <w:szCs w:val="24"/>
            <w:u w:val="single"/>
          </w:rPr>
          <w:t>https://doi.org/10.3399/bjgp10X532413</w:t>
        </w:r>
      </w:hyperlink>
    </w:p>
    <w:p w14:paraId="4807F30F"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proofErr w:type="spellStart"/>
      <w:r w:rsidRPr="002D6D0C">
        <w:rPr>
          <w:rFonts w:ascii="Times New Roman" w:hAnsi="Times New Roman"/>
          <w:sz w:val="24"/>
          <w:szCs w:val="24"/>
        </w:rPr>
        <w:t>Oreagba</w:t>
      </w:r>
      <w:proofErr w:type="spellEnd"/>
      <w:r w:rsidRPr="002D6D0C">
        <w:rPr>
          <w:rFonts w:ascii="Times New Roman" w:hAnsi="Times New Roman"/>
          <w:sz w:val="24"/>
          <w:szCs w:val="24"/>
        </w:rPr>
        <w:t xml:space="preserve">, I. A., </w:t>
      </w:r>
      <w:proofErr w:type="spellStart"/>
      <w:r w:rsidRPr="002D6D0C">
        <w:rPr>
          <w:rFonts w:ascii="Times New Roman" w:hAnsi="Times New Roman"/>
          <w:sz w:val="24"/>
          <w:szCs w:val="24"/>
        </w:rPr>
        <w:t>Oshikoya</w:t>
      </w:r>
      <w:proofErr w:type="spellEnd"/>
      <w:r w:rsidRPr="002D6D0C">
        <w:rPr>
          <w:rFonts w:ascii="Times New Roman" w:hAnsi="Times New Roman"/>
          <w:sz w:val="24"/>
          <w:szCs w:val="24"/>
        </w:rPr>
        <w:t xml:space="preserve">, K. A., Ogar, C., Adefurin, A. O., Ibrahim, A., </w:t>
      </w:r>
      <w:proofErr w:type="spellStart"/>
      <w:r w:rsidRPr="002D6D0C">
        <w:rPr>
          <w:rFonts w:ascii="Times New Roman" w:hAnsi="Times New Roman"/>
          <w:sz w:val="24"/>
          <w:szCs w:val="24"/>
        </w:rPr>
        <w:t>Awodele</w:t>
      </w:r>
      <w:proofErr w:type="spellEnd"/>
      <w:r w:rsidRPr="002D6D0C">
        <w:rPr>
          <w:rFonts w:ascii="Times New Roman" w:hAnsi="Times New Roman"/>
          <w:sz w:val="24"/>
          <w:szCs w:val="24"/>
        </w:rPr>
        <w:t xml:space="preserve">, O., &amp; Oni, Y. (2017). Adverse reactions to fluoroquinolones in the Nigerian population: An audit of reports submitted to the National Pharmacovigilance Centre from 2004 to 2016. </w:t>
      </w:r>
      <w:r w:rsidRPr="002D6D0C">
        <w:rPr>
          <w:rFonts w:ascii="Times New Roman" w:hAnsi="Times New Roman"/>
          <w:i/>
          <w:iCs/>
          <w:sz w:val="24"/>
          <w:szCs w:val="24"/>
        </w:rPr>
        <w:t>Pharmacology Research &amp; Perspectives, 5</w:t>
      </w:r>
      <w:r w:rsidRPr="002D6D0C">
        <w:rPr>
          <w:rFonts w:ascii="Times New Roman" w:hAnsi="Times New Roman"/>
          <w:sz w:val="24"/>
          <w:szCs w:val="24"/>
        </w:rPr>
        <w:t xml:space="preserve">(2), e00297. </w:t>
      </w:r>
      <w:hyperlink r:id="rId42" w:tgtFrame="_new" w:history="1">
        <w:r w:rsidRPr="002D6D0C">
          <w:rPr>
            <w:rFonts w:ascii="Times New Roman" w:hAnsi="Times New Roman"/>
            <w:color w:val="0000FF"/>
            <w:sz w:val="24"/>
            <w:szCs w:val="24"/>
            <w:u w:val="single"/>
          </w:rPr>
          <w:t>https://doi.org/10.1002/prp2.297</w:t>
        </w:r>
      </w:hyperlink>
    </w:p>
    <w:p w14:paraId="74045199"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Shariati, A., Arshadi, M., </w:t>
      </w:r>
      <w:proofErr w:type="spellStart"/>
      <w:r w:rsidRPr="002D6D0C">
        <w:rPr>
          <w:rFonts w:ascii="Times New Roman" w:hAnsi="Times New Roman"/>
          <w:sz w:val="24"/>
          <w:szCs w:val="24"/>
        </w:rPr>
        <w:t>Khosrojerdi</w:t>
      </w:r>
      <w:proofErr w:type="spellEnd"/>
      <w:r w:rsidRPr="002D6D0C">
        <w:rPr>
          <w:rFonts w:ascii="Times New Roman" w:hAnsi="Times New Roman"/>
          <w:sz w:val="24"/>
          <w:szCs w:val="24"/>
        </w:rPr>
        <w:t xml:space="preserve">, M. A., </w:t>
      </w:r>
      <w:proofErr w:type="spellStart"/>
      <w:r w:rsidRPr="002D6D0C">
        <w:rPr>
          <w:rFonts w:ascii="Times New Roman" w:hAnsi="Times New Roman"/>
          <w:sz w:val="24"/>
          <w:szCs w:val="24"/>
        </w:rPr>
        <w:t>Abedinzadeh</w:t>
      </w:r>
      <w:proofErr w:type="spellEnd"/>
      <w:r w:rsidRPr="002D6D0C">
        <w:rPr>
          <w:rFonts w:ascii="Times New Roman" w:hAnsi="Times New Roman"/>
          <w:sz w:val="24"/>
          <w:szCs w:val="24"/>
        </w:rPr>
        <w:t xml:space="preserve">, M., </w:t>
      </w:r>
      <w:proofErr w:type="spellStart"/>
      <w:r w:rsidRPr="002D6D0C">
        <w:rPr>
          <w:rFonts w:ascii="Times New Roman" w:hAnsi="Times New Roman"/>
          <w:sz w:val="24"/>
          <w:szCs w:val="24"/>
        </w:rPr>
        <w:t>Ganjalishahi</w:t>
      </w:r>
      <w:proofErr w:type="spellEnd"/>
      <w:r w:rsidRPr="002D6D0C">
        <w:rPr>
          <w:rFonts w:ascii="Times New Roman" w:hAnsi="Times New Roman"/>
          <w:sz w:val="24"/>
          <w:szCs w:val="24"/>
        </w:rPr>
        <w:t xml:space="preserve">, M., Maleki, A., Heidary, M., &amp; </w:t>
      </w:r>
      <w:proofErr w:type="spellStart"/>
      <w:r w:rsidRPr="002D6D0C">
        <w:rPr>
          <w:rFonts w:ascii="Times New Roman" w:hAnsi="Times New Roman"/>
          <w:sz w:val="24"/>
          <w:szCs w:val="24"/>
        </w:rPr>
        <w:t>Khoshnood</w:t>
      </w:r>
      <w:proofErr w:type="spellEnd"/>
      <w:r w:rsidRPr="002D6D0C">
        <w:rPr>
          <w:rFonts w:ascii="Times New Roman" w:hAnsi="Times New Roman"/>
          <w:sz w:val="24"/>
          <w:szCs w:val="24"/>
        </w:rPr>
        <w:t xml:space="preserve">, S. (2022). The resistance mechanisms of bacteria against ciprofloxacin and new approaches for enhancing the efficacy of this antibiotic. </w:t>
      </w:r>
      <w:r w:rsidRPr="002D6D0C">
        <w:rPr>
          <w:rFonts w:ascii="Times New Roman" w:hAnsi="Times New Roman"/>
          <w:i/>
          <w:iCs/>
          <w:sz w:val="24"/>
          <w:szCs w:val="24"/>
        </w:rPr>
        <w:t>Frontiers in Public Health, 10</w:t>
      </w:r>
      <w:r w:rsidRPr="002D6D0C">
        <w:rPr>
          <w:rFonts w:ascii="Times New Roman" w:hAnsi="Times New Roman"/>
          <w:sz w:val="24"/>
          <w:szCs w:val="24"/>
        </w:rPr>
        <w:t xml:space="preserve">, 1025633. </w:t>
      </w:r>
      <w:hyperlink r:id="rId43" w:tgtFrame="_new" w:history="1">
        <w:r w:rsidRPr="002D6D0C">
          <w:rPr>
            <w:rFonts w:ascii="Times New Roman" w:hAnsi="Times New Roman"/>
            <w:color w:val="0000FF"/>
            <w:sz w:val="24"/>
            <w:szCs w:val="24"/>
            <w:u w:val="single"/>
          </w:rPr>
          <w:t>https://doi.org/10.3389/fpubh.2022.1025633</w:t>
        </w:r>
      </w:hyperlink>
    </w:p>
    <w:p w14:paraId="64BB61E7"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Rusu, A., Munteanu, A.-C., </w:t>
      </w:r>
      <w:proofErr w:type="spellStart"/>
      <w:r w:rsidRPr="002D6D0C">
        <w:rPr>
          <w:rFonts w:ascii="Times New Roman" w:hAnsi="Times New Roman"/>
          <w:sz w:val="24"/>
          <w:szCs w:val="24"/>
        </w:rPr>
        <w:t>Arbănași</w:t>
      </w:r>
      <w:proofErr w:type="spellEnd"/>
      <w:r w:rsidRPr="002D6D0C">
        <w:rPr>
          <w:rFonts w:ascii="Times New Roman" w:hAnsi="Times New Roman"/>
          <w:sz w:val="24"/>
          <w:szCs w:val="24"/>
        </w:rPr>
        <w:t xml:space="preserve">, E.-M., &amp; </w:t>
      </w:r>
      <w:proofErr w:type="spellStart"/>
      <w:r w:rsidRPr="002D6D0C">
        <w:rPr>
          <w:rFonts w:ascii="Times New Roman" w:hAnsi="Times New Roman"/>
          <w:sz w:val="24"/>
          <w:szCs w:val="24"/>
        </w:rPr>
        <w:t>Uivarosi</w:t>
      </w:r>
      <w:proofErr w:type="spellEnd"/>
      <w:r w:rsidRPr="002D6D0C">
        <w:rPr>
          <w:rFonts w:ascii="Times New Roman" w:hAnsi="Times New Roman"/>
          <w:sz w:val="24"/>
          <w:szCs w:val="24"/>
        </w:rPr>
        <w:t xml:space="preserve">, V. (2023). Overview of side-effects of antibacterial fluoroquinolones: New drugs versus old drugs, a step forward in the safety profile? </w:t>
      </w:r>
      <w:r w:rsidRPr="002D6D0C">
        <w:rPr>
          <w:rFonts w:ascii="Times New Roman" w:hAnsi="Times New Roman"/>
          <w:i/>
          <w:iCs/>
          <w:sz w:val="24"/>
          <w:szCs w:val="24"/>
        </w:rPr>
        <w:t>Pharmaceutics, 15</w:t>
      </w:r>
      <w:r w:rsidRPr="002D6D0C">
        <w:rPr>
          <w:rFonts w:ascii="Times New Roman" w:hAnsi="Times New Roman"/>
          <w:sz w:val="24"/>
          <w:szCs w:val="24"/>
        </w:rPr>
        <w:t xml:space="preserve">(3), 804. </w:t>
      </w:r>
      <w:hyperlink r:id="rId44" w:tgtFrame="_new" w:history="1">
        <w:r w:rsidRPr="002D6D0C">
          <w:rPr>
            <w:rFonts w:ascii="Times New Roman" w:hAnsi="Times New Roman"/>
            <w:color w:val="0000FF"/>
            <w:sz w:val="24"/>
            <w:szCs w:val="24"/>
            <w:u w:val="single"/>
          </w:rPr>
          <w:t>https://doi.org/10.3390/pharmaceutics15030804</w:t>
        </w:r>
      </w:hyperlink>
    </w:p>
    <w:p w14:paraId="03A7B68F" w14:textId="77777777" w:rsidR="008B649C" w:rsidRPr="002D6D0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rPr>
        <w:t xml:space="preserve">Ryan, L., Daly, P., Cullen, I., &amp; Doyle, M. (2018). </w:t>
      </w:r>
      <w:proofErr w:type="spellStart"/>
      <w:r w:rsidRPr="002D6D0C">
        <w:rPr>
          <w:rFonts w:ascii="Times New Roman" w:hAnsi="Times New Roman"/>
          <w:sz w:val="24"/>
          <w:szCs w:val="24"/>
        </w:rPr>
        <w:t>Epididymo</w:t>
      </w:r>
      <w:proofErr w:type="spellEnd"/>
      <w:r w:rsidRPr="002D6D0C">
        <w:rPr>
          <w:rFonts w:ascii="Times New Roman" w:hAnsi="Times New Roman"/>
          <w:sz w:val="24"/>
          <w:szCs w:val="24"/>
        </w:rPr>
        <w:t xml:space="preserve">-orchitis caused by enteric organisms in men &gt; 35 years old: Beyond fluoroquinolones. </w:t>
      </w:r>
      <w:r w:rsidRPr="002D6D0C">
        <w:rPr>
          <w:rFonts w:ascii="Times New Roman" w:hAnsi="Times New Roman"/>
          <w:i/>
          <w:iCs/>
          <w:sz w:val="24"/>
          <w:szCs w:val="24"/>
        </w:rPr>
        <w:t>European Journal of Clinical Microbiology &amp; Infectious Diseases, 37</w:t>
      </w:r>
      <w:r w:rsidRPr="002D6D0C">
        <w:rPr>
          <w:rFonts w:ascii="Times New Roman" w:hAnsi="Times New Roman"/>
          <w:sz w:val="24"/>
          <w:szCs w:val="24"/>
        </w:rPr>
        <w:t xml:space="preserve">(6), 1001–1008. </w:t>
      </w:r>
      <w:hyperlink r:id="rId45" w:tgtFrame="_new" w:history="1">
        <w:r w:rsidRPr="002D6D0C">
          <w:rPr>
            <w:rFonts w:ascii="Times New Roman" w:hAnsi="Times New Roman"/>
            <w:color w:val="0000FF"/>
            <w:sz w:val="24"/>
            <w:szCs w:val="24"/>
            <w:u w:val="single"/>
          </w:rPr>
          <w:t>https://doi.org/10.1007/s10096-018-3212-z</w:t>
        </w:r>
      </w:hyperlink>
    </w:p>
    <w:p w14:paraId="5413450B" w14:textId="77777777" w:rsidR="008B649C" w:rsidRPr="008B649C" w:rsidRDefault="008B649C" w:rsidP="008B649C">
      <w:pPr>
        <w:spacing w:before="100" w:beforeAutospacing="1" w:after="100" w:afterAutospacing="1"/>
        <w:ind w:left="540" w:hanging="540"/>
        <w:jc w:val="both"/>
        <w:rPr>
          <w:rFonts w:ascii="Times New Roman" w:hAnsi="Times New Roman"/>
          <w:sz w:val="24"/>
          <w:szCs w:val="24"/>
        </w:rPr>
      </w:pPr>
      <w:r w:rsidRPr="002D6D0C">
        <w:rPr>
          <w:rFonts w:ascii="Times New Roman" w:hAnsi="Times New Roman"/>
          <w:sz w:val="24"/>
          <w:szCs w:val="24"/>
          <w:lang w:val="nl-BE"/>
        </w:rPr>
        <w:lastRenderedPageBreak/>
        <w:t xml:space="preserve">Suke, S. G., Kosta, P., &amp; Negi, H. (2015). </w:t>
      </w:r>
      <w:r w:rsidRPr="002D6D0C">
        <w:rPr>
          <w:rFonts w:ascii="Times New Roman" w:hAnsi="Times New Roman"/>
          <w:sz w:val="24"/>
          <w:szCs w:val="24"/>
        </w:rPr>
        <w:t xml:space="preserve">Role of pharmacovigilance in India: An overview. </w:t>
      </w:r>
      <w:r w:rsidRPr="002D6D0C">
        <w:rPr>
          <w:rFonts w:ascii="Times New Roman" w:hAnsi="Times New Roman"/>
          <w:i/>
          <w:iCs/>
          <w:sz w:val="24"/>
          <w:szCs w:val="24"/>
        </w:rPr>
        <w:t>Online Journal of Public Health Informatics, 7</w:t>
      </w:r>
      <w:r w:rsidRPr="002D6D0C">
        <w:rPr>
          <w:rFonts w:ascii="Times New Roman" w:hAnsi="Times New Roman"/>
          <w:sz w:val="24"/>
          <w:szCs w:val="24"/>
        </w:rPr>
        <w:t xml:space="preserve">(2), e223. </w:t>
      </w:r>
      <w:hyperlink r:id="rId46" w:tgtFrame="_new" w:history="1">
        <w:r w:rsidRPr="002D6D0C">
          <w:rPr>
            <w:rFonts w:ascii="Times New Roman" w:hAnsi="Times New Roman"/>
            <w:color w:val="0000FF"/>
            <w:sz w:val="24"/>
            <w:szCs w:val="24"/>
            <w:u w:val="single"/>
          </w:rPr>
          <w:t>https://doi.org/10.5210/ojphi.v7i2.5595</w:t>
        </w:r>
      </w:hyperlink>
    </w:p>
    <w:p w14:paraId="024CA093" w14:textId="77777777" w:rsidR="00B01FCD" w:rsidRPr="008B4E17" w:rsidRDefault="00B01FCD" w:rsidP="000629C4">
      <w:pPr>
        <w:pStyle w:val="DefAcrHead"/>
        <w:spacing w:after="0"/>
        <w:jc w:val="both"/>
        <w:rPr>
          <w:rFonts w:ascii="Arial" w:hAnsi="Arial" w:cs="Arial"/>
          <w:b w:val="0"/>
          <w:bCs/>
          <w:sz w:val="20"/>
          <w:szCs w:val="18"/>
        </w:rPr>
      </w:pPr>
    </w:p>
    <w:sectPr w:rsidR="00B01FCD" w:rsidRPr="008B4E17" w:rsidSect="001B56A6">
      <w:headerReference w:type="even" r:id="rId47"/>
      <w:headerReference w:type="default" r:id="rId48"/>
      <w:footerReference w:type="default" r:id="rId49"/>
      <w:headerReference w:type="first" r:id="rId5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A6F84" w14:textId="77777777" w:rsidR="00FA567D" w:rsidRDefault="00FA567D" w:rsidP="00C37E61">
      <w:r>
        <w:separator/>
      </w:r>
    </w:p>
  </w:endnote>
  <w:endnote w:type="continuationSeparator" w:id="0">
    <w:p w14:paraId="6E00A002" w14:textId="77777777" w:rsidR="00FA567D" w:rsidRDefault="00FA567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1D7E9" w14:textId="77777777" w:rsidR="006C326C" w:rsidRDefault="006C32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FF9D0" w14:textId="77777777" w:rsidR="006C326C" w:rsidRDefault="006C32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7C8A" w14:textId="77777777" w:rsidR="00754C9A" w:rsidRPr="006C326C" w:rsidRDefault="00754C9A" w:rsidP="006C32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3FB58"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9F916" w14:textId="77777777" w:rsidR="00FA567D" w:rsidRDefault="00FA567D" w:rsidP="00C37E61">
      <w:r>
        <w:separator/>
      </w:r>
    </w:p>
  </w:footnote>
  <w:footnote w:type="continuationSeparator" w:id="0">
    <w:p w14:paraId="537E8290" w14:textId="77777777" w:rsidR="00FA567D" w:rsidRDefault="00FA567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1374B" w14:textId="77777777" w:rsidR="006C326C" w:rsidRDefault="00000000">
    <w:pPr>
      <w:pStyle w:val="Header"/>
    </w:pPr>
    <w:r>
      <w:rPr>
        <w:noProof/>
      </w:rPr>
      <w:pict w14:anchorId="3F37EE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02610"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70B7" w14:textId="77777777" w:rsidR="006C326C" w:rsidRDefault="00000000">
    <w:pPr>
      <w:pStyle w:val="Header"/>
    </w:pPr>
    <w:r>
      <w:rPr>
        <w:noProof/>
      </w:rPr>
      <w:pict w14:anchorId="5F3B48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02611"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E1D6" w14:textId="77777777" w:rsidR="00296529" w:rsidRPr="00296529" w:rsidRDefault="00000000" w:rsidP="00296529">
    <w:pPr>
      <w:ind w:left="2160"/>
      <w:jc w:val="center"/>
      <w:rPr>
        <w:rFonts w:ascii="Times New Roman" w:eastAsia="Calibri" w:hAnsi="Times New Roman"/>
        <w:i/>
        <w:sz w:val="18"/>
        <w:szCs w:val="22"/>
      </w:rPr>
    </w:pPr>
    <w:r>
      <w:rPr>
        <w:noProof/>
      </w:rPr>
      <w:pict w14:anchorId="23F0A1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02609"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3E578B36"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F84607F"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476C5B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B8C1F0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98F1AB1"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1FFFFB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9A2F0" w14:textId="77777777" w:rsidR="006C326C" w:rsidRDefault="00000000">
    <w:pPr>
      <w:pStyle w:val="Header"/>
    </w:pPr>
    <w:r>
      <w:rPr>
        <w:noProof/>
      </w:rPr>
      <w:pict w14:anchorId="54612D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02613"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03FAD72">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29CD4" w14:textId="77777777" w:rsidR="006C326C" w:rsidRDefault="00000000">
    <w:pPr>
      <w:pStyle w:val="Header"/>
    </w:pPr>
    <w:r>
      <w:rPr>
        <w:noProof/>
      </w:rPr>
      <w:pict w14:anchorId="51C9F8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02614"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C92C3D4">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1726" w14:textId="77777777" w:rsidR="006C326C" w:rsidRPr="00296529" w:rsidRDefault="00000000" w:rsidP="00296529">
    <w:pPr>
      <w:ind w:left="2160"/>
      <w:jc w:val="center"/>
      <w:rPr>
        <w:rFonts w:ascii="Times New Roman" w:eastAsia="Calibri" w:hAnsi="Times New Roman"/>
        <w:i/>
        <w:sz w:val="18"/>
        <w:szCs w:val="22"/>
      </w:rPr>
    </w:pPr>
    <w:r>
      <w:rPr>
        <w:noProof/>
      </w:rPr>
      <w:pict w14:anchorId="40D77C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02612"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6F00D99">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90FF628" w14:textId="77777777" w:rsidR="006C326C" w:rsidRPr="00296529" w:rsidRDefault="006C326C"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4631ED9" w14:textId="77777777" w:rsidR="006C326C" w:rsidRPr="00296529" w:rsidRDefault="006C326C"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9A314CB" w14:textId="77777777" w:rsidR="006C326C" w:rsidRPr="00296529" w:rsidRDefault="006C326C"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0617ECC" w14:textId="77777777" w:rsidR="006C326C" w:rsidRDefault="006C326C"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74A23C9" w14:textId="77777777" w:rsidR="006C326C" w:rsidRDefault="006C326C"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24BC164" w14:textId="77777777" w:rsidR="006C326C" w:rsidRDefault="006C326C">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8301D4"/>
    <w:multiLevelType w:val="multilevel"/>
    <w:tmpl w:val="90E64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4FA22D0A"/>
    <w:multiLevelType w:val="multilevel"/>
    <w:tmpl w:val="028AC0D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68358149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05115853">
    <w:abstractNumId w:val="16"/>
  </w:num>
  <w:num w:numId="3" w16cid:durableId="1245450843">
    <w:abstractNumId w:val="25"/>
  </w:num>
  <w:num w:numId="4" w16cid:durableId="203149455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656885613">
    <w:abstractNumId w:val="7"/>
  </w:num>
  <w:num w:numId="6" w16cid:durableId="1321889628">
    <w:abstractNumId w:val="6"/>
  </w:num>
  <w:num w:numId="7" w16cid:durableId="1236429840">
    <w:abstractNumId w:val="1"/>
  </w:num>
  <w:num w:numId="8" w16cid:durableId="1687170239">
    <w:abstractNumId w:val="13"/>
  </w:num>
  <w:num w:numId="9" w16cid:durableId="289870415">
    <w:abstractNumId w:val="27"/>
  </w:num>
  <w:num w:numId="10" w16cid:durableId="300237825">
    <w:abstractNumId w:val="2"/>
  </w:num>
  <w:num w:numId="11" w16cid:durableId="390927184">
    <w:abstractNumId w:val="20"/>
  </w:num>
  <w:num w:numId="12" w16cid:durableId="840587097">
    <w:abstractNumId w:val="3"/>
  </w:num>
  <w:num w:numId="13" w16cid:durableId="35934118">
    <w:abstractNumId w:val="19"/>
  </w:num>
  <w:num w:numId="14" w16cid:durableId="1701592127">
    <w:abstractNumId w:val="8"/>
  </w:num>
  <w:num w:numId="15" w16cid:durableId="1417556902">
    <w:abstractNumId w:val="23"/>
  </w:num>
  <w:num w:numId="16" w16cid:durableId="1524436875">
    <w:abstractNumId w:val="5"/>
  </w:num>
  <w:num w:numId="17" w16cid:durableId="2114157585">
    <w:abstractNumId w:val="24"/>
  </w:num>
  <w:num w:numId="18" w16cid:durableId="1159346427">
    <w:abstractNumId w:val="15"/>
  </w:num>
  <w:num w:numId="19" w16cid:durableId="1867331324">
    <w:abstractNumId w:val="30"/>
  </w:num>
  <w:num w:numId="20" w16cid:durableId="330564869">
    <w:abstractNumId w:val="12"/>
  </w:num>
  <w:num w:numId="21" w16cid:durableId="341205316">
    <w:abstractNumId w:val="9"/>
  </w:num>
  <w:num w:numId="22" w16cid:durableId="1850169520">
    <w:abstractNumId w:val="14"/>
  </w:num>
  <w:num w:numId="23" w16cid:durableId="1120999621">
    <w:abstractNumId w:val="21"/>
  </w:num>
  <w:num w:numId="24" w16cid:durableId="48841542">
    <w:abstractNumId w:val="28"/>
  </w:num>
  <w:num w:numId="25" w16cid:durableId="2050180260">
    <w:abstractNumId w:val="4"/>
  </w:num>
  <w:num w:numId="26" w16cid:durableId="315649982">
    <w:abstractNumId w:val="18"/>
  </w:num>
  <w:num w:numId="27" w16cid:durableId="207307276">
    <w:abstractNumId w:val="22"/>
  </w:num>
  <w:num w:numId="28" w16cid:durableId="553740477">
    <w:abstractNumId w:val="29"/>
  </w:num>
  <w:num w:numId="29" w16cid:durableId="178471004">
    <w:abstractNumId w:val="26"/>
  </w:num>
  <w:num w:numId="30" w16cid:durableId="431165470">
    <w:abstractNumId w:val="10"/>
  </w:num>
  <w:num w:numId="31" w16cid:durableId="1998806477">
    <w:abstractNumId w:val="11"/>
  </w:num>
  <w:num w:numId="32" w16cid:durableId="13435851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K0NDczNzAzMDK2MDBU0lEKTi0uzszPAykwrAUAZ5IDjSwAAAA="/>
  </w:docVars>
  <w:rsids>
    <w:rsidRoot w:val="00AA6219"/>
    <w:rsid w:val="00000F8F"/>
    <w:rsid w:val="00030174"/>
    <w:rsid w:val="00042493"/>
    <w:rsid w:val="0004579C"/>
    <w:rsid w:val="000629C4"/>
    <w:rsid w:val="00095244"/>
    <w:rsid w:val="000A47FA"/>
    <w:rsid w:val="000A65D3"/>
    <w:rsid w:val="000B1E33"/>
    <w:rsid w:val="000B698E"/>
    <w:rsid w:val="000C3059"/>
    <w:rsid w:val="000C3E93"/>
    <w:rsid w:val="000C5E44"/>
    <w:rsid w:val="000D689F"/>
    <w:rsid w:val="000E7B7B"/>
    <w:rsid w:val="000E7D62"/>
    <w:rsid w:val="00103357"/>
    <w:rsid w:val="00123C9F"/>
    <w:rsid w:val="00126190"/>
    <w:rsid w:val="00130F17"/>
    <w:rsid w:val="001320BF"/>
    <w:rsid w:val="00163001"/>
    <w:rsid w:val="00163BC4"/>
    <w:rsid w:val="00191062"/>
    <w:rsid w:val="00192B72"/>
    <w:rsid w:val="001A29D8"/>
    <w:rsid w:val="001A58BB"/>
    <w:rsid w:val="001A5CAA"/>
    <w:rsid w:val="001B0427"/>
    <w:rsid w:val="001B129A"/>
    <w:rsid w:val="001B56A6"/>
    <w:rsid w:val="001D3A51"/>
    <w:rsid w:val="001E10D2"/>
    <w:rsid w:val="001E25B4"/>
    <w:rsid w:val="001E44FE"/>
    <w:rsid w:val="001F7387"/>
    <w:rsid w:val="00200595"/>
    <w:rsid w:val="00204835"/>
    <w:rsid w:val="002130D8"/>
    <w:rsid w:val="00231920"/>
    <w:rsid w:val="0023195C"/>
    <w:rsid w:val="0024282C"/>
    <w:rsid w:val="002460DC"/>
    <w:rsid w:val="00250985"/>
    <w:rsid w:val="002556F6"/>
    <w:rsid w:val="00283105"/>
    <w:rsid w:val="0028369B"/>
    <w:rsid w:val="00284C4C"/>
    <w:rsid w:val="00287E68"/>
    <w:rsid w:val="00296529"/>
    <w:rsid w:val="002A0FCB"/>
    <w:rsid w:val="002B23E7"/>
    <w:rsid w:val="002B27FB"/>
    <w:rsid w:val="002B53E5"/>
    <w:rsid w:val="002B685A"/>
    <w:rsid w:val="002C57D2"/>
    <w:rsid w:val="002D6D0C"/>
    <w:rsid w:val="002E0D56"/>
    <w:rsid w:val="002F29A3"/>
    <w:rsid w:val="002F2F09"/>
    <w:rsid w:val="0030588E"/>
    <w:rsid w:val="00315186"/>
    <w:rsid w:val="0033343E"/>
    <w:rsid w:val="003512C2"/>
    <w:rsid w:val="00371FB6"/>
    <w:rsid w:val="003763C1"/>
    <w:rsid w:val="00376BBE"/>
    <w:rsid w:val="0039224F"/>
    <w:rsid w:val="003A43A4"/>
    <w:rsid w:val="003A7E18"/>
    <w:rsid w:val="003C4C86"/>
    <w:rsid w:val="003C6258"/>
    <w:rsid w:val="003E2904"/>
    <w:rsid w:val="00401927"/>
    <w:rsid w:val="0041027F"/>
    <w:rsid w:val="00412475"/>
    <w:rsid w:val="00422089"/>
    <w:rsid w:val="00423789"/>
    <w:rsid w:val="00440F43"/>
    <w:rsid w:val="00441B6F"/>
    <w:rsid w:val="00446221"/>
    <w:rsid w:val="00450E62"/>
    <w:rsid w:val="004539DB"/>
    <w:rsid w:val="00470177"/>
    <w:rsid w:val="00471A80"/>
    <w:rsid w:val="004C365E"/>
    <w:rsid w:val="004D305E"/>
    <w:rsid w:val="004D4277"/>
    <w:rsid w:val="004F0BC1"/>
    <w:rsid w:val="00502516"/>
    <w:rsid w:val="005034F5"/>
    <w:rsid w:val="00505F06"/>
    <w:rsid w:val="00506828"/>
    <w:rsid w:val="00515A8B"/>
    <w:rsid w:val="00516E18"/>
    <w:rsid w:val="00520628"/>
    <w:rsid w:val="0053056E"/>
    <w:rsid w:val="0054427D"/>
    <w:rsid w:val="00554FDA"/>
    <w:rsid w:val="00566D3D"/>
    <w:rsid w:val="005C6CD7"/>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3F68"/>
    <w:rsid w:val="006967F7"/>
    <w:rsid w:val="006A00BD"/>
    <w:rsid w:val="006A250C"/>
    <w:rsid w:val="006A40F2"/>
    <w:rsid w:val="006B21D3"/>
    <w:rsid w:val="006B4714"/>
    <w:rsid w:val="006B4D92"/>
    <w:rsid w:val="006B57D0"/>
    <w:rsid w:val="006C326C"/>
    <w:rsid w:val="006D30FF"/>
    <w:rsid w:val="006D6940"/>
    <w:rsid w:val="006F11EC"/>
    <w:rsid w:val="006F4C3E"/>
    <w:rsid w:val="0070082C"/>
    <w:rsid w:val="00727F5C"/>
    <w:rsid w:val="007369E6"/>
    <w:rsid w:val="00741081"/>
    <w:rsid w:val="00746E59"/>
    <w:rsid w:val="00754C9A"/>
    <w:rsid w:val="0075599A"/>
    <w:rsid w:val="00761D52"/>
    <w:rsid w:val="0077749E"/>
    <w:rsid w:val="00790ADA"/>
    <w:rsid w:val="007A3B6B"/>
    <w:rsid w:val="007B5EEE"/>
    <w:rsid w:val="007D2288"/>
    <w:rsid w:val="007E088F"/>
    <w:rsid w:val="007E4975"/>
    <w:rsid w:val="007F7B32"/>
    <w:rsid w:val="00804BC2"/>
    <w:rsid w:val="0081431A"/>
    <w:rsid w:val="0083216F"/>
    <w:rsid w:val="00860000"/>
    <w:rsid w:val="00863BD3"/>
    <w:rsid w:val="008641ED"/>
    <w:rsid w:val="00866D66"/>
    <w:rsid w:val="008671C6"/>
    <w:rsid w:val="00875803"/>
    <w:rsid w:val="008962D6"/>
    <w:rsid w:val="008B459E"/>
    <w:rsid w:val="008B4E17"/>
    <w:rsid w:val="008B649C"/>
    <w:rsid w:val="008D6CBF"/>
    <w:rsid w:val="008E13AE"/>
    <w:rsid w:val="008E1506"/>
    <w:rsid w:val="008E193C"/>
    <w:rsid w:val="008E36CF"/>
    <w:rsid w:val="008E710C"/>
    <w:rsid w:val="008F69D6"/>
    <w:rsid w:val="00902823"/>
    <w:rsid w:val="00915C53"/>
    <w:rsid w:val="00915CA6"/>
    <w:rsid w:val="00926CC4"/>
    <w:rsid w:val="00927834"/>
    <w:rsid w:val="00945573"/>
    <w:rsid w:val="009500A6"/>
    <w:rsid w:val="00957C18"/>
    <w:rsid w:val="009659BA"/>
    <w:rsid w:val="00983040"/>
    <w:rsid w:val="009A0F6A"/>
    <w:rsid w:val="009B3FB9"/>
    <w:rsid w:val="009C2465"/>
    <w:rsid w:val="009D35A0"/>
    <w:rsid w:val="009D7EB7"/>
    <w:rsid w:val="009E048A"/>
    <w:rsid w:val="009E08E9"/>
    <w:rsid w:val="009E3DB9"/>
    <w:rsid w:val="009E6E35"/>
    <w:rsid w:val="009F0EDA"/>
    <w:rsid w:val="009F1AE7"/>
    <w:rsid w:val="00A03B96"/>
    <w:rsid w:val="00A05B19"/>
    <w:rsid w:val="00A1134E"/>
    <w:rsid w:val="00A24E7E"/>
    <w:rsid w:val="00A258C3"/>
    <w:rsid w:val="00A347C0"/>
    <w:rsid w:val="00A51431"/>
    <w:rsid w:val="00A539AD"/>
    <w:rsid w:val="00A94063"/>
    <w:rsid w:val="00AA6219"/>
    <w:rsid w:val="00AA74E0"/>
    <w:rsid w:val="00AB703F"/>
    <w:rsid w:val="00AC1DBF"/>
    <w:rsid w:val="00AC6BB8"/>
    <w:rsid w:val="00AE008F"/>
    <w:rsid w:val="00B01FCD"/>
    <w:rsid w:val="00B05680"/>
    <w:rsid w:val="00B1776C"/>
    <w:rsid w:val="00B52583"/>
    <w:rsid w:val="00B52896"/>
    <w:rsid w:val="00B9158F"/>
    <w:rsid w:val="00B93F2F"/>
    <w:rsid w:val="00B95236"/>
    <w:rsid w:val="00B96BD9"/>
    <w:rsid w:val="00BA1B01"/>
    <w:rsid w:val="00BA2641"/>
    <w:rsid w:val="00BB37AA"/>
    <w:rsid w:val="00BC0933"/>
    <w:rsid w:val="00BC53A0"/>
    <w:rsid w:val="00BE62AD"/>
    <w:rsid w:val="00BF121F"/>
    <w:rsid w:val="00BF1F80"/>
    <w:rsid w:val="00BF532C"/>
    <w:rsid w:val="00C166EF"/>
    <w:rsid w:val="00C17EB0"/>
    <w:rsid w:val="00C27F5F"/>
    <w:rsid w:val="00C30A0F"/>
    <w:rsid w:val="00C345B8"/>
    <w:rsid w:val="00C37E61"/>
    <w:rsid w:val="00C4003A"/>
    <w:rsid w:val="00C40D3D"/>
    <w:rsid w:val="00C460A9"/>
    <w:rsid w:val="00C634E1"/>
    <w:rsid w:val="00C70F1B"/>
    <w:rsid w:val="00C71A47"/>
    <w:rsid w:val="00C7464C"/>
    <w:rsid w:val="00C85588"/>
    <w:rsid w:val="00CA32A2"/>
    <w:rsid w:val="00CD6755"/>
    <w:rsid w:val="00CD6856"/>
    <w:rsid w:val="00CE0089"/>
    <w:rsid w:val="00CE040B"/>
    <w:rsid w:val="00CE793C"/>
    <w:rsid w:val="00CF07C5"/>
    <w:rsid w:val="00CF193C"/>
    <w:rsid w:val="00D173F1"/>
    <w:rsid w:val="00D74CB0"/>
    <w:rsid w:val="00D8295D"/>
    <w:rsid w:val="00D90E20"/>
    <w:rsid w:val="00DA43D5"/>
    <w:rsid w:val="00DC1408"/>
    <w:rsid w:val="00DC2A65"/>
    <w:rsid w:val="00DE15F0"/>
    <w:rsid w:val="00DE5663"/>
    <w:rsid w:val="00DE78AA"/>
    <w:rsid w:val="00DF01B6"/>
    <w:rsid w:val="00E053D0"/>
    <w:rsid w:val="00E05E9F"/>
    <w:rsid w:val="00E15994"/>
    <w:rsid w:val="00E207E7"/>
    <w:rsid w:val="00E3114E"/>
    <w:rsid w:val="00E31A70"/>
    <w:rsid w:val="00E35B02"/>
    <w:rsid w:val="00E66496"/>
    <w:rsid w:val="00E66B35"/>
    <w:rsid w:val="00E66E10"/>
    <w:rsid w:val="00E769F6"/>
    <w:rsid w:val="00E8407C"/>
    <w:rsid w:val="00E84F3C"/>
    <w:rsid w:val="00E9787D"/>
    <w:rsid w:val="00EA012C"/>
    <w:rsid w:val="00EB57AE"/>
    <w:rsid w:val="00EC6A55"/>
    <w:rsid w:val="00ED0288"/>
    <w:rsid w:val="00EE52CB"/>
    <w:rsid w:val="00EF581D"/>
    <w:rsid w:val="00EF7FD8"/>
    <w:rsid w:val="00F06F59"/>
    <w:rsid w:val="00F17988"/>
    <w:rsid w:val="00F21CC5"/>
    <w:rsid w:val="00F469F0"/>
    <w:rsid w:val="00F53273"/>
    <w:rsid w:val="00F55E31"/>
    <w:rsid w:val="00F61777"/>
    <w:rsid w:val="00F73B78"/>
    <w:rsid w:val="00F755E4"/>
    <w:rsid w:val="00F77D02"/>
    <w:rsid w:val="00F87B4E"/>
    <w:rsid w:val="00FA1168"/>
    <w:rsid w:val="00FA567D"/>
    <w:rsid w:val="00FB3A86"/>
    <w:rsid w:val="00FC197A"/>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64B34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6F4C3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515A8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semiHidden/>
    <w:rsid w:val="00515A8B"/>
    <w:rPr>
      <w:rFonts w:asciiTheme="majorHAnsi" w:eastAsiaTheme="majorEastAsia" w:hAnsiTheme="majorHAnsi" w:cstheme="majorBidi"/>
      <w:color w:val="243F60" w:themeColor="accent1" w:themeShade="7F"/>
      <w:sz w:val="24"/>
      <w:szCs w:val="24"/>
    </w:rPr>
  </w:style>
  <w:style w:type="table" w:styleId="TableGridLight">
    <w:name w:val="Grid Table Light"/>
    <w:basedOn w:val="TableNormal"/>
    <w:uiPriority w:val="40"/>
    <w:rsid w:val="00F73B7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6B4D92"/>
    <w:rPr>
      <w:color w:val="666666"/>
    </w:rPr>
  </w:style>
  <w:style w:type="paragraph" w:styleId="ListParagraph">
    <w:name w:val="List Paragraph"/>
    <w:basedOn w:val="Normal"/>
    <w:uiPriority w:val="34"/>
    <w:qFormat/>
    <w:rsid w:val="000629C4"/>
    <w:pPr>
      <w:ind w:left="720"/>
      <w:contextualSpacing/>
    </w:pPr>
  </w:style>
  <w:style w:type="character" w:customStyle="1" w:styleId="Heading2Char">
    <w:name w:val="Heading 2 Char"/>
    <w:basedOn w:val="DefaultParagraphFont"/>
    <w:link w:val="Heading2"/>
    <w:semiHidden/>
    <w:rsid w:val="006F4C3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8995419">
      <w:marLeft w:val="480"/>
      <w:marRight w:val="0"/>
      <w:marTop w:val="0"/>
      <w:marBottom w:val="0"/>
      <w:divBdr>
        <w:top w:val="none" w:sz="0" w:space="0" w:color="auto"/>
        <w:left w:val="none" w:sz="0" w:space="0" w:color="auto"/>
        <w:bottom w:val="none" w:sz="0" w:space="0" w:color="auto"/>
        <w:right w:val="none" w:sz="0" w:space="0" w:color="auto"/>
      </w:divBdr>
    </w:div>
    <w:div w:id="17901635">
      <w:marLeft w:val="480"/>
      <w:marRight w:val="0"/>
      <w:marTop w:val="0"/>
      <w:marBottom w:val="0"/>
      <w:divBdr>
        <w:top w:val="none" w:sz="0" w:space="0" w:color="auto"/>
        <w:left w:val="none" w:sz="0" w:space="0" w:color="auto"/>
        <w:bottom w:val="none" w:sz="0" w:space="0" w:color="auto"/>
        <w:right w:val="none" w:sz="0" w:space="0" w:color="auto"/>
      </w:divBdr>
    </w:div>
    <w:div w:id="20596285">
      <w:marLeft w:val="480"/>
      <w:marRight w:val="0"/>
      <w:marTop w:val="0"/>
      <w:marBottom w:val="0"/>
      <w:divBdr>
        <w:top w:val="none" w:sz="0" w:space="0" w:color="auto"/>
        <w:left w:val="none" w:sz="0" w:space="0" w:color="auto"/>
        <w:bottom w:val="none" w:sz="0" w:space="0" w:color="auto"/>
        <w:right w:val="none" w:sz="0" w:space="0" w:color="auto"/>
      </w:divBdr>
    </w:div>
    <w:div w:id="35862643">
      <w:marLeft w:val="480"/>
      <w:marRight w:val="0"/>
      <w:marTop w:val="0"/>
      <w:marBottom w:val="0"/>
      <w:divBdr>
        <w:top w:val="none" w:sz="0" w:space="0" w:color="auto"/>
        <w:left w:val="none" w:sz="0" w:space="0" w:color="auto"/>
        <w:bottom w:val="none" w:sz="0" w:space="0" w:color="auto"/>
        <w:right w:val="none" w:sz="0" w:space="0" w:color="auto"/>
      </w:divBdr>
    </w:div>
    <w:div w:id="49959098">
      <w:marLeft w:val="480"/>
      <w:marRight w:val="0"/>
      <w:marTop w:val="0"/>
      <w:marBottom w:val="0"/>
      <w:divBdr>
        <w:top w:val="none" w:sz="0" w:space="0" w:color="auto"/>
        <w:left w:val="none" w:sz="0" w:space="0" w:color="auto"/>
        <w:bottom w:val="none" w:sz="0" w:space="0" w:color="auto"/>
        <w:right w:val="none" w:sz="0" w:space="0" w:color="auto"/>
      </w:divBdr>
    </w:div>
    <w:div w:id="52389326">
      <w:marLeft w:val="480"/>
      <w:marRight w:val="0"/>
      <w:marTop w:val="0"/>
      <w:marBottom w:val="0"/>
      <w:divBdr>
        <w:top w:val="none" w:sz="0" w:space="0" w:color="auto"/>
        <w:left w:val="none" w:sz="0" w:space="0" w:color="auto"/>
        <w:bottom w:val="none" w:sz="0" w:space="0" w:color="auto"/>
        <w:right w:val="none" w:sz="0" w:space="0" w:color="auto"/>
      </w:divBdr>
    </w:div>
    <w:div w:id="61219990">
      <w:marLeft w:val="480"/>
      <w:marRight w:val="0"/>
      <w:marTop w:val="0"/>
      <w:marBottom w:val="0"/>
      <w:divBdr>
        <w:top w:val="none" w:sz="0" w:space="0" w:color="auto"/>
        <w:left w:val="none" w:sz="0" w:space="0" w:color="auto"/>
        <w:bottom w:val="none" w:sz="0" w:space="0" w:color="auto"/>
        <w:right w:val="none" w:sz="0" w:space="0" w:color="auto"/>
      </w:divBdr>
    </w:div>
    <w:div w:id="91318687">
      <w:marLeft w:val="480"/>
      <w:marRight w:val="0"/>
      <w:marTop w:val="0"/>
      <w:marBottom w:val="0"/>
      <w:divBdr>
        <w:top w:val="none" w:sz="0" w:space="0" w:color="auto"/>
        <w:left w:val="none" w:sz="0" w:space="0" w:color="auto"/>
        <w:bottom w:val="none" w:sz="0" w:space="0" w:color="auto"/>
        <w:right w:val="none" w:sz="0" w:space="0" w:color="auto"/>
      </w:divBdr>
    </w:div>
    <w:div w:id="112333394">
      <w:marLeft w:val="480"/>
      <w:marRight w:val="0"/>
      <w:marTop w:val="0"/>
      <w:marBottom w:val="0"/>
      <w:divBdr>
        <w:top w:val="none" w:sz="0" w:space="0" w:color="auto"/>
        <w:left w:val="none" w:sz="0" w:space="0" w:color="auto"/>
        <w:bottom w:val="none" w:sz="0" w:space="0" w:color="auto"/>
        <w:right w:val="none" w:sz="0" w:space="0" w:color="auto"/>
      </w:divBdr>
    </w:div>
    <w:div w:id="112796942">
      <w:marLeft w:val="480"/>
      <w:marRight w:val="0"/>
      <w:marTop w:val="0"/>
      <w:marBottom w:val="0"/>
      <w:divBdr>
        <w:top w:val="none" w:sz="0" w:space="0" w:color="auto"/>
        <w:left w:val="none" w:sz="0" w:space="0" w:color="auto"/>
        <w:bottom w:val="none" w:sz="0" w:space="0" w:color="auto"/>
        <w:right w:val="none" w:sz="0" w:space="0" w:color="auto"/>
      </w:divBdr>
    </w:div>
    <w:div w:id="124003528">
      <w:marLeft w:val="480"/>
      <w:marRight w:val="0"/>
      <w:marTop w:val="0"/>
      <w:marBottom w:val="0"/>
      <w:divBdr>
        <w:top w:val="none" w:sz="0" w:space="0" w:color="auto"/>
        <w:left w:val="none" w:sz="0" w:space="0" w:color="auto"/>
        <w:bottom w:val="none" w:sz="0" w:space="0" w:color="auto"/>
        <w:right w:val="none" w:sz="0" w:space="0" w:color="auto"/>
      </w:divBdr>
    </w:div>
    <w:div w:id="139923976">
      <w:marLeft w:val="480"/>
      <w:marRight w:val="0"/>
      <w:marTop w:val="0"/>
      <w:marBottom w:val="0"/>
      <w:divBdr>
        <w:top w:val="none" w:sz="0" w:space="0" w:color="auto"/>
        <w:left w:val="none" w:sz="0" w:space="0" w:color="auto"/>
        <w:bottom w:val="none" w:sz="0" w:space="0" w:color="auto"/>
        <w:right w:val="none" w:sz="0" w:space="0" w:color="auto"/>
      </w:divBdr>
    </w:div>
    <w:div w:id="146871065">
      <w:marLeft w:val="48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175775164">
      <w:marLeft w:val="480"/>
      <w:marRight w:val="0"/>
      <w:marTop w:val="0"/>
      <w:marBottom w:val="0"/>
      <w:divBdr>
        <w:top w:val="none" w:sz="0" w:space="0" w:color="auto"/>
        <w:left w:val="none" w:sz="0" w:space="0" w:color="auto"/>
        <w:bottom w:val="none" w:sz="0" w:space="0" w:color="auto"/>
        <w:right w:val="none" w:sz="0" w:space="0" w:color="auto"/>
      </w:divBdr>
    </w:div>
    <w:div w:id="202446707">
      <w:marLeft w:val="480"/>
      <w:marRight w:val="0"/>
      <w:marTop w:val="0"/>
      <w:marBottom w:val="0"/>
      <w:divBdr>
        <w:top w:val="none" w:sz="0" w:space="0" w:color="auto"/>
        <w:left w:val="none" w:sz="0" w:space="0" w:color="auto"/>
        <w:bottom w:val="none" w:sz="0" w:space="0" w:color="auto"/>
        <w:right w:val="none" w:sz="0" w:space="0" w:color="auto"/>
      </w:divBdr>
    </w:div>
    <w:div w:id="204760829">
      <w:marLeft w:val="480"/>
      <w:marRight w:val="0"/>
      <w:marTop w:val="0"/>
      <w:marBottom w:val="0"/>
      <w:divBdr>
        <w:top w:val="none" w:sz="0" w:space="0" w:color="auto"/>
        <w:left w:val="none" w:sz="0" w:space="0" w:color="auto"/>
        <w:bottom w:val="none" w:sz="0" w:space="0" w:color="auto"/>
        <w:right w:val="none" w:sz="0" w:space="0" w:color="auto"/>
      </w:divBdr>
    </w:div>
    <w:div w:id="233702126">
      <w:marLeft w:val="48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273831214">
      <w:marLeft w:val="480"/>
      <w:marRight w:val="0"/>
      <w:marTop w:val="0"/>
      <w:marBottom w:val="0"/>
      <w:divBdr>
        <w:top w:val="none" w:sz="0" w:space="0" w:color="auto"/>
        <w:left w:val="none" w:sz="0" w:space="0" w:color="auto"/>
        <w:bottom w:val="none" w:sz="0" w:space="0" w:color="auto"/>
        <w:right w:val="none" w:sz="0" w:space="0" w:color="auto"/>
      </w:divBdr>
    </w:div>
    <w:div w:id="278487199">
      <w:marLeft w:val="480"/>
      <w:marRight w:val="0"/>
      <w:marTop w:val="0"/>
      <w:marBottom w:val="0"/>
      <w:divBdr>
        <w:top w:val="none" w:sz="0" w:space="0" w:color="auto"/>
        <w:left w:val="none" w:sz="0" w:space="0" w:color="auto"/>
        <w:bottom w:val="none" w:sz="0" w:space="0" w:color="auto"/>
        <w:right w:val="none" w:sz="0" w:space="0" w:color="auto"/>
      </w:divBdr>
    </w:div>
    <w:div w:id="283737875">
      <w:marLeft w:val="480"/>
      <w:marRight w:val="0"/>
      <w:marTop w:val="0"/>
      <w:marBottom w:val="0"/>
      <w:divBdr>
        <w:top w:val="none" w:sz="0" w:space="0" w:color="auto"/>
        <w:left w:val="none" w:sz="0" w:space="0" w:color="auto"/>
        <w:bottom w:val="none" w:sz="0" w:space="0" w:color="auto"/>
        <w:right w:val="none" w:sz="0" w:space="0" w:color="auto"/>
      </w:divBdr>
    </w:div>
    <w:div w:id="354581226">
      <w:marLeft w:val="480"/>
      <w:marRight w:val="0"/>
      <w:marTop w:val="0"/>
      <w:marBottom w:val="0"/>
      <w:divBdr>
        <w:top w:val="none" w:sz="0" w:space="0" w:color="auto"/>
        <w:left w:val="none" w:sz="0" w:space="0" w:color="auto"/>
        <w:bottom w:val="none" w:sz="0" w:space="0" w:color="auto"/>
        <w:right w:val="none" w:sz="0" w:space="0" w:color="auto"/>
      </w:divBdr>
    </w:div>
    <w:div w:id="357632097">
      <w:marLeft w:val="480"/>
      <w:marRight w:val="0"/>
      <w:marTop w:val="0"/>
      <w:marBottom w:val="0"/>
      <w:divBdr>
        <w:top w:val="none" w:sz="0" w:space="0" w:color="auto"/>
        <w:left w:val="none" w:sz="0" w:space="0" w:color="auto"/>
        <w:bottom w:val="none" w:sz="0" w:space="0" w:color="auto"/>
        <w:right w:val="none" w:sz="0" w:space="0" w:color="auto"/>
      </w:divBdr>
    </w:div>
    <w:div w:id="391003912">
      <w:marLeft w:val="480"/>
      <w:marRight w:val="0"/>
      <w:marTop w:val="0"/>
      <w:marBottom w:val="0"/>
      <w:divBdr>
        <w:top w:val="none" w:sz="0" w:space="0" w:color="auto"/>
        <w:left w:val="none" w:sz="0" w:space="0" w:color="auto"/>
        <w:bottom w:val="none" w:sz="0" w:space="0" w:color="auto"/>
        <w:right w:val="none" w:sz="0" w:space="0" w:color="auto"/>
      </w:divBdr>
    </w:div>
    <w:div w:id="416443928">
      <w:marLeft w:val="480"/>
      <w:marRight w:val="0"/>
      <w:marTop w:val="0"/>
      <w:marBottom w:val="0"/>
      <w:divBdr>
        <w:top w:val="none" w:sz="0" w:space="0" w:color="auto"/>
        <w:left w:val="none" w:sz="0" w:space="0" w:color="auto"/>
        <w:bottom w:val="none" w:sz="0" w:space="0" w:color="auto"/>
        <w:right w:val="none" w:sz="0" w:space="0" w:color="auto"/>
      </w:divBdr>
    </w:div>
    <w:div w:id="418523007">
      <w:marLeft w:val="480"/>
      <w:marRight w:val="0"/>
      <w:marTop w:val="0"/>
      <w:marBottom w:val="0"/>
      <w:divBdr>
        <w:top w:val="none" w:sz="0" w:space="0" w:color="auto"/>
        <w:left w:val="none" w:sz="0" w:space="0" w:color="auto"/>
        <w:bottom w:val="none" w:sz="0" w:space="0" w:color="auto"/>
        <w:right w:val="none" w:sz="0" w:space="0" w:color="auto"/>
      </w:divBdr>
    </w:div>
    <w:div w:id="438373633">
      <w:marLeft w:val="480"/>
      <w:marRight w:val="0"/>
      <w:marTop w:val="0"/>
      <w:marBottom w:val="0"/>
      <w:divBdr>
        <w:top w:val="none" w:sz="0" w:space="0" w:color="auto"/>
        <w:left w:val="none" w:sz="0" w:space="0" w:color="auto"/>
        <w:bottom w:val="none" w:sz="0" w:space="0" w:color="auto"/>
        <w:right w:val="none" w:sz="0" w:space="0" w:color="auto"/>
      </w:divBdr>
    </w:div>
    <w:div w:id="441073407">
      <w:marLeft w:val="480"/>
      <w:marRight w:val="0"/>
      <w:marTop w:val="0"/>
      <w:marBottom w:val="0"/>
      <w:divBdr>
        <w:top w:val="none" w:sz="0" w:space="0" w:color="auto"/>
        <w:left w:val="none" w:sz="0" w:space="0" w:color="auto"/>
        <w:bottom w:val="none" w:sz="0" w:space="0" w:color="auto"/>
        <w:right w:val="none" w:sz="0" w:space="0" w:color="auto"/>
      </w:divBdr>
    </w:div>
    <w:div w:id="448747264">
      <w:marLeft w:val="480"/>
      <w:marRight w:val="0"/>
      <w:marTop w:val="0"/>
      <w:marBottom w:val="0"/>
      <w:divBdr>
        <w:top w:val="none" w:sz="0" w:space="0" w:color="auto"/>
        <w:left w:val="none" w:sz="0" w:space="0" w:color="auto"/>
        <w:bottom w:val="none" w:sz="0" w:space="0" w:color="auto"/>
        <w:right w:val="none" w:sz="0" w:space="0" w:color="auto"/>
      </w:divBdr>
    </w:div>
    <w:div w:id="452528604">
      <w:marLeft w:val="480"/>
      <w:marRight w:val="0"/>
      <w:marTop w:val="0"/>
      <w:marBottom w:val="0"/>
      <w:divBdr>
        <w:top w:val="none" w:sz="0" w:space="0" w:color="auto"/>
        <w:left w:val="none" w:sz="0" w:space="0" w:color="auto"/>
        <w:bottom w:val="none" w:sz="0" w:space="0" w:color="auto"/>
        <w:right w:val="none" w:sz="0" w:space="0" w:color="auto"/>
      </w:divBdr>
    </w:div>
    <w:div w:id="458648358">
      <w:marLeft w:val="480"/>
      <w:marRight w:val="0"/>
      <w:marTop w:val="0"/>
      <w:marBottom w:val="0"/>
      <w:divBdr>
        <w:top w:val="none" w:sz="0" w:space="0" w:color="auto"/>
        <w:left w:val="none" w:sz="0" w:space="0" w:color="auto"/>
        <w:bottom w:val="none" w:sz="0" w:space="0" w:color="auto"/>
        <w:right w:val="none" w:sz="0" w:space="0" w:color="auto"/>
      </w:divBdr>
    </w:div>
    <w:div w:id="469132315">
      <w:marLeft w:val="480"/>
      <w:marRight w:val="0"/>
      <w:marTop w:val="0"/>
      <w:marBottom w:val="0"/>
      <w:divBdr>
        <w:top w:val="none" w:sz="0" w:space="0" w:color="auto"/>
        <w:left w:val="none" w:sz="0" w:space="0" w:color="auto"/>
        <w:bottom w:val="none" w:sz="0" w:space="0" w:color="auto"/>
        <w:right w:val="none" w:sz="0" w:space="0" w:color="auto"/>
      </w:divBdr>
    </w:div>
    <w:div w:id="477576228">
      <w:marLeft w:val="480"/>
      <w:marRight w:val="0"/>
      <w:marTop w:val="0"/>
      <w:marBottom w:val="0"/>
      <w:divBdr>
        <w:top w:val="none" w:sz="0" w:space="0" w:color="auto"/>
        <w:left w:val="none" w:sz="0" w:space="0" w:color="auto"/>
        <w:bottom w:val="none" w:sz="0" w:space="0" w:color="auto"/>
        <w:right w:val="none" w:sz="0" w:space="0" w:color="auto"/>
      </w:divBdr>
    </w:div>
    <w:div w:id="485585783">
      <w:marLeft w:val="480"/>
      <w:marRight w:val="0"/>
      <w:marTop w:val="0"/>
      <w:marBottom w:val="0"/>
      <w:divBdr>
        <w:top w:val="none" w:sz="0" w:space="0" w:color="auto"/>
        <w:left w:val="none" w:sz="0" w:space="0" w:color="auto"/>
        <w:bottom w:val="none" w:sz="0" w:space="0" w:color="auto"/>
        <w:right w:val="none" w:sz="0" w:space="0" w:color="auto"/>
      </w:divBdr>
    </w:div>
    <w:div w:id="508251831">
      <w:marLeft w:val="480"/>
      <w:marRight w:val="0"/>
      <w:marTop w:val="0"/>
      <w:marBottom w:val="0"/>
      <w:divBdr>
        <w:top w:val="none" w:sz="0" w:space="0" w:color="auto"/>
        <w:left w:val="none" w:sz="0" w:space="0" w:color="auto"/>
        <w:bottom w:val="none" w:sz="0" w:space="0" w:color="auto"/>
        <w:right w:val="none" w:sz="0" w:space="0" w:color="auto"/>
      </w:divBdr>
    </w:div>
    <w:div w:id="509560531">
      <w:marLeft w:val="480"/>
      <w:marRight w:val="0"/>
      <w:marTop w:val="0"/>
      <w:marBottom w:val="0"/>
      <w:divBdr>
        <w:top w:val="none" w:sz="0" w:space="0" w:color="auto"/>
        <w:left w:val="none" w:sz="0" w:space="0" w:color="auto"/>
        <w:bottom w:val="none" w:sz="0" w:space="0" w:color="auto"/>
        <w:right w:val="none" w:sz="0" w:space="0" w:color="auto"/>
      </w:divBdr>
    </w:div>
    <w:div w:id="517738107">
      <w:marLeft w:val="480"/>
      <w:marRight w:val="0"/>
      <w:marTop w:val="0"/>
      <w:marBottom w:val="0"/>
      <w:divBdr>
        <w:top w:val="none" w:sz="0" w:space="0" w:color="auto"/>
        <w:left w:val="none" w:sz="0" w:space="0" w:color="auto"/>
        <w:bottom w:val="none" w:sz="0" w:space="0" w:color="auto"/>
        <w:right w:val="none" w:sz="0" w:space="0" w:color="auto"/>
      </w:divBdr>
    </w:div>
    <w:div w:id="535433777">
      <w:marLeft w:val="480"/>
      <w:marRight w:val="0"/>
      <w:marTop w:val="0"/>
      <w:marBottom w:val="0"/>
      <w:divBdr>
        <w:top w:val="none" w:sz="0" w:space="0" w:color="auto"/>
        <w:left w:val="none" w:sz="0" w:space="0" w:color="auto"/>
        <w:bottom w:val="none" w:sz="0" w:space="0" w:color="auto"/>
        <w:right w:val="none" w:sz="0" w:space="0" w:color="auto"/>
      </w:divBdr>
    </w:div>
    <w:div w:id="537090384">
      <w:marLeft w:val="480"/>
      <w:marRight w:val="0"/>
      <w:marTop w:val="0"/>
      <w:marBottom w:val="0"/>
      <w:divBdr>
        <w:top w:val="none" w:sz="0" w:space="0" w:color="auto"/>
        <w:left w:val="none" w:sz="0" w:space="0" w:color="auto"/>
        <w:bottom w:val="none" w:sz="0" w:space="0" w:color="auto"/>
        <w:right w:val="none" w:sz="0" w:space="0" w:color="auto"/>
      </w:divBdr>
    </w:div>
    <w:div w:id="542065042">
      <w:marLeft w:val="480"/>
      <w:marRight w:val="0"/>
      <w:marTop w:val="0"/>
      <w:marBottom w:val="0"/>
      <w:divBdr>
        <w:top w:val="none" w:sz="0" w:space="0" w:color="auto"/>
        <w:left w:val="none" w:sz="0" w:space="0" w:color="auto"/>
        <w:bottom w:val="none" w:sz="0" w:space="0" w:color="auto"/>
        <w:right w:val="none" w:sz="0" w:space="0" w:color="auto"/>
      </w:divBdr>
    </w:div>
    <w:div w:id="557516606">
      <w:marLeft w:val="480"/>
      <w:marRight w:val="0"/>
      <w:marTop w:val="0"/>
      <w:marBottom w:val="0"/>
      <w:divBdr>
        <w:top w:val="none" w:sz="0" w:space="0" w:color="auto"/>
        <w:left w:val="none" w:sz="0" w:space="0" w:color="auto"/>
        <w:bottom w:val="none" w:sz="0" w:space="0" w:color="auto"/>
        <w:right w:val="none" w:sz="0" w:space="0" w:color="auto"/>
      </w:divBdr>
    </w:div>
    <w:div w:id="576286413">
      <w:marLeft w:val="480"/>
      <w:marRight w:val="0"/>
      <w:marTop w:val="0"/>
      <w:marBottom w:val="0"/>
      <w:divBdr>
        <w:top w:val="none" w:sz="0" w:space="0" w:color="auto"/>
        <w:left w:val="none" w:sz="0" w:space="0" w:color="auto"/>
        <w:bottom w:val="none" w:sz="0" w:space="0" w:color="auto"/>
        <w:right w:val="none" w:sz="0" w:space="0" w:color="auto"/>
      </w:divBdr>
    </w:div>
    <w:div w:id="582764639">
      <w:marLeft w:val="480"/>
      <w:marRight w:val="0"/>
      <w:marTop w:val="0"/>
      <w:marBottom w:val="0"/>
      <w:divBdr>
        <w:top w:val="none" w:sz="0" w:space="0" w:color="auto"/>
        <w:left w:val="none" w:sz="0" w:space="0" w:color="auto"/>
        <w:bottom w:val="none" w:sz="0" w:space="0" w:color="auto"/>
        <w:right w:val="none" w:sz="0" w:space="0" w:color="auto"/>
      </w:divBdr>
    </w:div>
    <w:div w:id="594678132">
      <w:marLeft w:val="48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637762076">
      <w:marLeft w:val="480"/>
      <w:marRight w:val="0"/>
      <w:marTop w:val="0"/>
      <w:marBottom w:val="0"/>
      <w:divBdr>
        <w:top w:val="none" w:sz="0" w:space="0" w:color="auto"/>
        <w:left w:val="none" w:sz="0" w:space="0" w:color="auto"/>
        <w:bottom w:val="none" w:sz="0" w:space="0" w:color="auto"/>
        <w:right w:val="none" w:sz="0" w:space="0" w:color="auto"/>
      </w:divBdr>
    </w:div>
    <w:div w:id="640425523">
      <w:marLeft w:val="480"/>
      <w:marRight w:val="0"/>
      <w:marTop w:val="0"/>
      <w:marBottom w:val="0"/>
      <w:divBdr>
        <w:top w:val="none" w:sz="0" w:space="0" w:color="auto"/>
        <w:left w:val="none" w:sz="0" w:space="0" w:color="auto"/>
        <w:bottom w:val="none" w:sz="0" w:space="0" w:color="auto"/>
        <w:right w:val="none" w:sz="0" w:space="0" w:color="auto"/>
      </w:divBdr>
    </w:div>
    <w:div w:id="646394921">
      <w:marLeft w:val="480"/>
      <w:marRight w:val="0"/>
      <w:marTop w:val="0"/>
      <w:marBottom w:val="0"/>
      <w:divBdr>
        <w:top w:val="none" w:sz="0" w:space="0" w:color="auto"/>
        <w:left w:val="none" w:sz="0" w:space="0" w:color="auto"/>
        <w:bottom w:val="none" w:sz="0" w:space="0" w:color="auto"/>
        <w:right w:val="none" w:sz="0" w:space="0" w:color="auto"/>
      </w:divBdr>
    </w:div>
    <w:div w:id="658844087">
      <w:marLeft w:val="480"/>
      <w:marRight w:val="0"/>
      <w:marTop w:val="0"/>
      <w:marBottom w:val="0"/>
      <w:divBdr>
        <w:top w:val="none" w:sz="0" w:space="0" w:color="auto"/>
        <w:left w:val="none" w:sz="0" w:space="0" w:color="auto"/>
        <w:bottom w:val="none" w:sz="0" w:space="0" w:color="auto"/>
        <w:right w:val="none" w:sz="0" w:space="0" w:color="auto"/>
      </w:divBdr>
    </w:div>
    <w:div w:id="668293723">
      <w:marLeft w:val="480"/>
      <w:marRight w:val="0"/>
      <w:marTop w:val="0"/>
      <w:marBottom w:val="0"/>
      <w:divBdr>
        <w:top w:val="none" w:sz="0" w:space="0" w:color="auto"/>
        <w:left w:val="none" w:sz="0" w:space="0" w:color="auto"/>
        <w:bottom w:val="none" w:sz="0" w:space="0" w:color="auto"/>
        <w:right w:val="none" w:sz="0" w:space="0" w:color="auto"/>
      </w:divBdr>
    </w:div>
    <w:div w:id="678967791">
      <w:marLeft w:val="480"/>
      <w:marRight w:val="0"/>
      <w:marTop w:val="0"/>
      <w:marBottom w:val="0"/>
      <w:divBdr>
        <w:top w:val="none" w:sz="0" w:space="0" w:color="auto"/>
        <w:left w:val="none" w:sz="0" w:space="0" w:color="auto"/>
        <w:bottom w:val="none" w:sz="0" w:space="0" w:color="auto"/>
        <w:right w:val="none" w:sz="0" w:space="0" w:color="auto"/>
      </w:divBdr>
    </w:div>
    <w:div w:id="727874209">
      <w:marLeft w:val="480"/>
      <w:marRight w:val="0"/>
      <w:marTop w:val="0"/>
      <w:marBottom w:val="0"/>
      <w:divBdr>
        <w:top w:val="none" w:sz="0" w:space="0" w:color="auto"/>
        <w:left w:val="none" w:sz="0" w:space="0" w:color="auto"/>
        <w:bottom w:val="none" w:sz="0" w:space="0" w:color="auto"/>
        <w:right w:val="none" w:sz="0" w:space="0" w:color="auto"/>
      </w:divBdr>
    </w:div>
    <w:div w:id="746071625">
      <w:marLeft w:val="480"/>
      <w:marRight w:val="0"/>
      <w:marTop w:val="0"/>
      <w:marBottom w:val="0"/>
      <w:divBdr>
        <w:top w:val="none" w:sz="0" w:space="0" w:color="auto"/>
        <w:left w:val="none" w:sz="0" w:space="0" w:color="auto"/>
        <w:bottom w:val="none" w:sz="0" w:space="0" w:color="auto"/>
        <w:right w:val="none" w:sz="0" w:space="0" w:color="auto"/>
      </w:divBdr>
    </w:div>
    <w:div w:id="789861138">
      <w:marLeft w:val="480"/>
      <w:marRight w:val="0"/>
      <w:marTop w:val="0"/>
      <w:marBottom w:val="0"/>
      <w:divBdr>
        <w:top w:val="none" w:sz="0" w:space="0" w:color="auto"/>
        <w:left w:val="none" w:sz="0" w:space="0" w:color="auto"/>
        <w:bottom w:val="none" w:sz="0" w:space="0" w:color="auto"/>
        <w:right w:val="none" w:sz="0" w:space="0" w:color="auto"/>
      </w:divBdr>
    </w:div>
    <w:div w:id="797456879">
      <w:marLeft w:val="480"/>
      <w:marRight w:val="0"/>
      <w:marTop w:val="0"/>
      <w:marBottom w:val="0"/>
      <w:divBdr>
        <w:top w:val="none" w:sz="0" w:space="0" w:color="auto"/>
        <w:left w:val="none" w:sz="0" w:space="0" w:color="auto"/>
        <w:bottom w:val="none" w:sz="0" w:space="0" w:color="auto"/>
        <w:right w:val="none" w:sz="0" w:space="0" w:color="auto"/>
      </w:divBdr>
    </w:div>
    <w:div w:id="806321450">
      <w:marLeft w:val="480"/>
      <w:marRight w:val="0"/>
      <w:marTop w:val="0"/>
      <w:marBottom w:val="0"/>
      <w:divBdr>
        <w:top w:val="none" w:sz="0" w:space="0" w:color="auto"/>
        <w:left w:val="none" w:sz="0" w:space="0" w:color="auto"/>
        <w:bottom w:val="none" w:sz="0" w:space="0" w:color="auto"/>
        <w:right w:val="none" w:sz="0" w:space="0" w:color="auto"/>
      </w:divBdr>
    </w:div>
    <w:div w:id="848063349">
      <w:marLeft w:val="480"/>
      <w:marRight w:val="0"/>
      <w:marTop w:val="0"/>
      <w:marBottom w:val="0"/>
      <w:divBdr>
        <w:top w:val="none" w:sz="0" w:space="0" w:color="auto"/>
        <w:left w:val="none" w:sz="0" w:space="0" w:color="auto"/>
        <w:bottom w:val="none" w:sz="0" w:space="0" w:color="auto"/>
        <w:right w:val="none" w:sz="0" w:space="0" w:color="auto"/>
      </w:divBdr>
    </w:div>
    <w:div w:id="850609387">
      <w:marLeft w:val="480"/>
      <w:marRight w:val="0"/>
      <w:marTop w:val="0"/>
      <w:marBottom w:val="0"/>
      <w:divBdr>
        <w:top w:val="none" w:sz="0" w:space="0" w:color="auto"/>
        <w:left w:val="none" w:sz="0" w:space="0" w:color="auto"/>
        <w:bottom w:val="none" w:sz="0" w:space="0" w:color="auto"/>
        <w:right w:val="none" w:sz="0" w:space="0" w:color="auto"/>
      </w:divBdr>
    </w:div>
    <w:div w:id="851803684">
      <w:marLeft w:val="480"/>
      <w:marRight w:val="0"/>
      <w:marTop w:val="0"/>
      <w:marBottom w:val="0"/>
      <w:divBdr>
        <w:top w:val="none" w:sz="0" w:space="0" w:color="auto"/>
        <w:left w:val="none" w:sz="0" w:space="0" w:color="auto"/>
        <w:bottom w:val="none" w:sz="0" w:space="0" w:color="auto"/>
        <w:right w:val="none" w:sz="0" w:space="0" w:color="auto"/>
      </w:divBdr>
    </w:div>
    <w:div w:id="859465797">
      <w:marLeft w:val="480"/>
      <w:marRight w:val="0"/>
      <w:marTop w:val="0"/>
      <w:marBottom w:val="0"/>
      <w:divBdr>
        <w:top w:val="none" w:sz="0" w:space="0" w:color="auto"/>
        <w:left w:val="none" w:sz="0" w:space="0" w:color="auto"/>
        <w:bottom w:val="none" w:sz="0" w:space="0" w:color="auto"/>
        <w:right w:val="none" w:sz="0" w:space="0" w:color="auto"/>
      </w:divBdr>
    </w:div>
    <w:div w:id="908658446">
      <w:marLeft w:val="480"/>
      <w:marRight w:val="0"/>
      <w:marTop w:val="0"/>
      <w:marBottom w:val="0"/>
      <w:divBdr>
        <w:top w:val="none" w:sz="0" w:space="0" w:color="auto"/>
        <w:left w:val="none" w:sz="0" w:space="0" w:color="auto"/>
        <w:bottom w:val="none" w:sz="0" w:space="0" w:color="auto"/>
        <w:right w:val="none" w:sz="0" w:space="0" w:color="auto"/>
      </w:divBdr>
    </w:div>
    <w:div w:id="934900303">
      <w:marLeft w:val="480"/>
      <w:marRight w:val="0"/>
      <w:marTop w:val="0"/>
      <w:marBottom w:val="0"/>
      <w:divBdr>
        <w:top w:val="none" w:sz="0" w:space="0" w:color="auto"/>
        <w:left w:val="none" w:sz="0" w:space="0" w:color="auto"/>
        <w:bottom w:val="none" w:sz="0" w:space="0" w:color="auto"/>
        <w:right w:val="none" w:sz="0" w:space="0" w:color="auto"/>
      </w:divBdr>
    </w:div>
    <w:div w:id="944120137">
      <w:marLeft w:val="480"/>
      <w:marRight w:val="0"/>
      <w:marTop w:val="0"/>
      <w:marBottom w:val="0"/>
      <w:divBdr>
        <w:top w:val="none" w:sz="0" w:space="0" w:color="auto"/>
        <w:left w:val="none" w:sz="0" w:space="0" w:color="auto"/>
        <w:bottom w:val="none" w:sz="0" w:space="0" w:color="auto"/>
        <w:right w:val="none" w:sz="0" w:space="0" w:color="auto"/>
      </w:divBdr>
    </w:div>
    <w:div w:id="950546811">
      <w:marLeft w:val="480"/>
      <w:marRight w:val="0"/>
      <w:marTop w:val="0"/>
      <w:marBottom w:val="0"/>
      <w:divBdr>
        <w:top w:val="none" w:sz="0" w:space="0" w:color="auto"/>
        <w:left w:val="none" w:sz="0" w:space="0" w:color="auto"/>
        <w:bottom w:val="none" w:sz="0" w:space="0" w:color="auto"/>
        <w:right w:val="none" w:sz="0" w:space="0" w:color="auto"/>
      </w:divBdr>
    </w:div>
    <w:div w:id="977538305">
      <w:marLeft w:val="48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985431697">
      <w:marLeft w:val="480"/>
      <w:marRight w:val="0"/>
      <w:marTop w:val="0"/>
      <w:marBottom w:val="0"/>
      <w:divBdr>
        <w:top w:val="none" w:sz="0" w:space="0" w:color="auto"/>
        <w:left w:val="none" w:sz="0" w:space="0" w:color="auto"/>
        <w:bottom w:val="none" w:sz="0" w:space="0" w:color="auto"/>
        <w:right w:val="none" w:sz="0" w:space="0" w:color="auto"/>
      </w:divBdr>
    </w:div>
    <w:div w:id="994988461">
      <w:marLeft w:val="480"/>
      <w:marRight w:val="0"/>
      <w:marTop w:val="0"/>
      <w:marBottom w:val="0"/>
      <w:divBdr>
        <w:top w:val="none" w:sz="0" w:space="0" w:color="auto"/>
        <w:left w:val="none" w:sz="0" w:space="0" w:color="auto"/>
        <w:bottom w:val="none" w:sz="0" w:space="0" w:color="auto"/>
        <w:right w:val="none" w:sz="0" w:space="0" w:color="auto"/>
      </w:divBdr>
    </w:div>
    <w:div w:id="1001154604">
      <w:marLeft w:val="48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25137200">
      <w:marLeft w:val="480"/>
      <w:marRight w:val="0"/>
      <w:marTop w:val="0"/>
      <w:marBottom w:val="0"/>
      <w:divBdr>
        <w:top w:val="none" w:sz="0" w:space="0" w:color="auto"/>
        <w:left w:val="none" w:sz="0" w:space="0" w:color="auto"/>
        <w:bottom w:val="none" w:sz="0" w:space="0" w:color="auto"/>
        <w:right w:val="none" w:sz="0" w:space="0" w:color="auto"/>
      </w:divBdr>
    </w:div>
    <w:div w:id="1041829886">
      <w:marLeft w:val="480"/>
      <w:marRight w:val="0"/>
      <w:marTop w:val="0"/>
      <w:marBottom w:val="0"/>
      <w:divBdr>
        <w:top w:val="none" w:sz="0" w:space="0" w:color="auto"/>
        <w:left w:val="none" w:sz="0" w:space="0" w:color="auto"/>
        <w:bottom w:val="none" w:sz="0" w:space="0" w:color="auto"/>
        <w:right w:val="none" w:sz="0" w:space="0" w:color="auto"/>
      </w:divBdr>
    </w:div>
    <w:div w:id="1047339301">
      <w:marLeft w:val="480"/>
      <w:marRight w:val="0"/>
      <w:marTop w:val="0"/>
      <w:marBottom w:val="0"/>
      <w:divBdr>
        <w:top w:val="none" w:sz="0" w:space="0" w:color="auto"/>
        <w:left w:val="none" w:sz="0" w:space="0" w:color="auto"/>
        <w:bottom w:val="none" w:sz="0" w:space="0" w:color="auto"/>
        <w:right w:val="none" w:sz="0" w:space="0" w:color="auto"/>
      </w:divBdr>
    </w:div>
    <w:div w:id="1051154648">
      <w:marLeft w:val="480"/>
      <w:marRight w:val="0"/>
      <w:marTop w:val="0"/>
      <w:marBottom w:val="0"/>
      <w:divBdr>
        <w:top w:val="none" w:sz="0" w:space="0" w:color="auto"/>
        <w:left w:val="none" w:sz="0" w:space="0" w:color="auto"/>
        <w:bottom w:val="none" w:sz="0" w:space="0" w:color="auto"/>
        <w:right w:val="none" w:sz="0" w:space="0" w:color="auto"/>
      </w:divBdr>
    </w:div>
    <w:div w:id="1052539889">
      <w:marLeft w:val="48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75130524">
      <w:marLeft w:val="480"/>
      <w:marRight w:val="0"/>
      <w:marTop w:val="0"/>
      <w:marBottom w:val="0"/>
      <w:divBdr>
        <w:top w:val="none" w:sz="0" w:space="0" w:color="auto"/>
        <w:left w:val="none" w:sz="0" w:space="0" w:color="auto"/>
        <w:bottom w:val="none" w:sz="0" w:space="0" w:color="auto"/>
        <w:right w:val="none" w:sz="0" w:space="0" w:color="auto"/>
      </w:divBdr>
    </w:div>
    <w:div w:id="1085107403">
      <w:marLeft w:val="480"/>
      <w:marRight w:val="0"/>
      <w:marTop w:val="0"/>
      <w:marBottom w:val="0"/>
      <w:divBdr>
        <w:top w:val="none" w:sz="0" w:space="0" w:color="auto"/>
        <w:left w:val="none" w:sz="0" w:space="0" w:color="auto"/>
        <w:bottom w:val="none" w:sz="0" w:space="0" w:color="auto"/>
        <w:right w:val="none" w:sz="0" w:space="0" w:color="auto"/>
      </w:divBdr>
    </w:div>
    <w:div w:id="1101029977">
      <w:marLeft w:val="480"/>
      <w:marRight w:val="0"/>
      <w:marTop w:val="0"/>
      <w:marBottom w:val="0"/>
      <w:divBdr>
        <w:top w:val="none" w:sz="0" w:space="0" w:color="auto"/>
        <w:left w:val="none" w:sz="0" w:space="0" w:color="auto"/>
        <w:bottom w:val="none" w:sz="0" w:space="0" w:color="auto"/>
        <w:right w:val="none" w:sz="0" w:space="0" w:color="auto"/>
      </w:divBdr>
    </w:div>
    <w:div w:id="1106342223">
      <w:marLeft w:val="480"/>
      <w:marRight w:val="0"/>
      <w:marTop w:val="0"/>
      <w:marBottom w:val="0"/>
      <w:divBdr>
        <w:top w:val="none" w:sz="0" w:space="0" w:color="auto"/>
        <w:left w:val="none" w:sz="0" w:space="0" w:color="auto"/>
        <w:bottom w:val="none" w:sz="0" w:space="0" w:color="auto"/>
        <w:right w:val="none" w:sz="0" w:space="0" w:color="auto"/>
      </w:divBdr>
    </w:div>
    <w:div w:id="1106660693">
      <w:marLeft w:val="480"/>
      <w:marRight w:val="0"/>
      <w:marTop w:val="0"/>
      <w:marBottom w:val="0"/>
      <w:divBdr>
        <w:top w:val="none" w:sz="0" w:space="0" w:color="auto"/>
        <w:left w:val="none" w:sz="0" w:space="0" w:color="auto"/>
        <w:bottom w:val="none" w:sz="0" w:space="0" w:color="auto"/>
        <w:right w:val="none" w:sz="0" w:space="0" w:color="auto"/>
      </w:divBdr>
    </w:div>
    <w:div w:id="1107196378">
      <w:marLeft w:val="48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37793787">
      <w:marLeft w:val="480"/>
      <w:marRight w:val="0"/>
      <w:marTop w:val="0"/>
      <w:marBottom w:val="0"/>
      <w:divBdr>
        <w:top w:val="none" w:sz="0" w:space="0" w:color="auto"/>
        <w:left w:val="none" w:sz="0" w:space="0" w:color="auto"/>
        <w:bottom w:val="none" w:sz="0" w:space="0" w:color="auto"/>
        <w:right w:val="none" w:sz="0" w:space="0" w:color="auto"/>
      </w:divBdr>
    </w:div>
    <w:div w:id="1138642299">
      <w:marLeft w:val="480"/>
      <w:marRight w:val="0"/>
      <w:marTop w:val="0"/>
      <w:marBottom w:val="0"/>
      <w:divBdr>
        <w:top w:val="none" w:sz="0" w:space="0" w:color="auto"/>
        <w:left w:val="none" w:sz="0" w:space="0" w:color="auto"/>
        <w:bottom w:val="none" w:sz="0" w:space="0" w:color="auto"/>
        <w:right w:val="none" w:sz="0" w:space="0" w:color="auto"/>
      </w:divBdr>
    </w:div>
    <w:div w:id="1188832116">
      <w:marLeft w:val="480"/>
      <w:marRight w:val="0"/>
      <w:marTop w:val="0"/>
      <w:marBottom w:val="0"/>
      <w:divBdr>
        <w:top w:val="none" w:sz="0" w:space="0" w:color="auto"/>
        <w:left w:val="none" w:sz="0" w:space="0" w:color="auto"/>
        <w:bottom w:val="none" w:sz="0" w:space="0" w:color="auto"/>
        <w:right w:val="none" w:sz="0" w:space="0" w:color="auto"/>
      </w:divBdr>
    </w:div>
    <w:div w:id="1225792897">
      <w:marLeft w:val="480"/>
      <w:marRight w:val="0"/>
      <w:marTop w:val="0"/>
      <w:marBottom w:val="0"/>
      <w:divBdr>
        <w:top w:val="none" w:sz="0" w:space="0" w:color="auto"/>
        <w:left w:val="none" w:sz="0" w:space="0" w:color="auto"/>
        <w:bottom w:val="none" w:sz="0" w:space="0" w:color="auto"/>
        <w:right w:val="none" w:sz="0" w:space="0" w:color="auto"/>
      </w:divBdr>
    </w:div>
    <w:div w:id="1229539149">
      <w:marLeft w:val="480"/>
      <w:marRight w:val="0"/>
      <w:marTop w:val="0"/>
      <w:marBottom w:val="0"/>
      <w:divBdr>
        <w:top w:val="none" w:sz="0" w:space="0" w:color="auto"/>
        <w:left w:val="none" w:sz="0" w:space="0" w:color="auto"/>
        <w:bottom w:val="none" w:sz="0" w:space="0" w:color="auto"/>
        <w:right w:val="none" w:sz="0" w:space="0" w:color="auto"/>
      </w:divBdr>
    </w:div>
    <w:div w:id="1250234436">
      <w:marLeft w:val="480"/>
      <w:marRight w:val="0"/>
      <w:marTop w:val="0"/>
      <w:marBottom w:val="0"/>
      <w:divBdr>
        <w:top w:val="none" w:sz="0" w:space="0" w:color="auto"/>
        <w:left w:val="none" w:sz="0" w:space="0" w:color="auto"/>
        <w:bottom w:val="none" w:sz="0" w:space="0" w:color="auto"/>
        <w:right w:val="none" w:sz="0" w:space="0" w:color="auto"/>
      </w:divBdr>
    </w:div>
    <w:div w:id="1252932843">
      <w:marLeft w:val="480"/>
      <w:marRight w:val="0"/>
      <w:marTop w:val="0"/>
      <w:marBottom w:val="0"/>
      <w:divBdr>
        <w:top w:val="none" w:sz="0" w:space="0" w:color="auto"/>
        <w:left w:val="none" w:sz="0" w:space="0" w:color="auto"/>
        <w:bottom w:val="none" w:sz="0" w:space="0" w:color="auto"/>
        <w:right w:val="none" w:sz="0" w:space="0" w:color="auto"/>
      </w:divBdr>
    </w:div>
    <w:div w:id="1408647244">
      <w:marLeft w:val="480"/>
      <w:marRight w:val="0"/>
      <w:marTop w:val="0"/>
      <w:marBottom w:val="0"/>
      <w:divBdr>
        <w:top w:val="none" w:sz="0" w:space="0" w:color="auto"/>
        <w:left w:val="none" w:sz="0" w:space="0" w:color="auto"/>
        <w:bottom w:val="none" w:sz="0" w:space="0" w:color="auto"/>
        <w:right w:val="none" w:sz="0" w:space="0" w:color="auto"/>
      </w:divBdr>
    </w:div>
    <w:div w:id="1418212693">
      <w:marLeft w:val="480"/>
      <w:marRight w:val="0"/>
      <w:marTop w:val="0"/>
      <w:marBottom w:val="0"/>
      <w:divBdr>
        <w:top w:val="none" w:sz="0" w:space="0" w:color="auto"/>
        <w:left w:val="none" w:sz="0" w:space="0" w:color="auto"/>
        <w:bottom w:val="none" w:sz="0" w:space="0" w:color="auto"/>
        <w:right w:val="none" w:sz="0" w:space="0" w:color="auto"/>
      </w:divBdr>
    </w:div>
    <w:div w:id="1424491980">
      <w:marLeft w:val="480"/>
      <w:marRight w:val="0"/>
      <w:marTop w:val="0"/>
      <w:marBottom w:val="0"/>
      <w:divBdr>
        <w:top w:val="none" w:sz="0" w:space="0" w:color="auto"/>
        <w:left w:val="none" w:sz="0" w:space="0" w:color="auto"/>
        <w:bottom w:val="none" w:sz="0" w:space="0" w:color="auto"/>
        <w:right w:val="none" w:sz="0" w:space="0" w:color="auto"/>
      </w:divBdr>
    </w:div>
    <w:div w:id="1431241311">
      <w:marLeft w:val="480"/>
      <w:marRight w:val="0"/>
      <w:marTop w:val="0"/>
      <w:marBottom w:val="0"/>
      <w:divBdr>
        <w:top w:val="none" w:sz="0" w:space="0" w:color="auto"/>
        <w:left w:val="none" w:sz="0" w:space="0" w:color="auto"/>
        <w:bottom w:val="none" w:sz="0" w:space="0" w:color="auto"/>
        <w:right w:val="none" w:sz="0" w:space="0" w:color="auto"/>
      </w:divBdr>
    </w:div>
    <w:div w:id="1433285990">
      <w:marLeft w:val="480"/>
      <w:marRight w:val="0"/>
      <w:marTop w:val="0"/>
      <w:marBottom w:val="0"/>
      <w:divBdr>
        <w:top w:val="none" w:sz="0" w:space="0" w:color="auto"/>
        <w:left w:val="none" w:sz="0" w:space="0" w:color="auto"/>
        <w:bottom w:val="none" w:sz="0" w:space="0" w:color="auto"/>
        <w:right w:val="none" w:sz="0" w:space="0" w:color="auto"/>
      </w:divBdr>
    </w:div>
    <w:div w:id="1470368007">
      <w:marLeft w:val="480"/>
      <w:marRight w:val="0"/>
      <w:marTop w:val="0"/>
      <w:marBottom w:val="0"/>
      <w:divBdr>
        <w:top w:val="none" w:sz="0" w:space="0" w:color="auto"/>
        <w:left w:val="none" w:sz="0" w:space="0" w:color="auto"/>
        <w:bottom w:val="none" w:sz="0" w:space="0" w:color="auto"/>
        <w:right w:val="none" w:sz="0" w:space="0" w:color="auto"/>
      </w:divBdr>
    </w:div>
    <w:div w:id="1503356300">
      <w:marLeft w:val="480"/>
      <w:marRight w:val="0"/>
      <w:marTop w:val="0"/>
      <w:marBottom w:val="0"/>
      <w:divBdr>
        <w:top w:val="none" w:sz="0" w:space="0" w:color="auto"/>
        <w:left w:val="none" w:sz="0" w:space="0" w:color="auto"/>
        <w:bottom w:val="none" w:sz="0" w:space="0" w:color="auto"/>
        <w:right w:val="none" w:sz="0" w:space="0" w:color="auto"/>
      </w:divBdr>
    </w:div>
    <w:div w:id="1503929552">
      <w:marLeft w:val="480"/>
      <w:marRight w:val="0"/>
      <w:marTop w:val="0"/>
      <w:marBottom w:val="0"/>
      <w:divBdr>
        <w:top w:val="none" w:sz="0" w:space="0" w:color="auto"/>
        <w:left w:val="none" w:sz="0" w:space="0" w:color="auto"/>
        <w:bottom w:val="none" w:sz="0" w:space="0" w:color="auto"/>
        <w:right w:val="none" w:sz="0" w:space="0" w:color="auto"/>
      </w:divBdr>
    </w:div>
    <w:div w:id="1552426722">
      <w:marLeft w:val="480"/>
      <w:marRight w:val="0"/>
      <w:marTop w:val="0"/>
      <w:marBottom w:val="0"/>
      <w:divBdr>
        <w:top w:val="none" w:sz="0" w:space="0" w:color="auto"/>
        <w:left w:val="none" w:sz="0" w:space="0" w:color="auto"/>
        <w:bottom w:val="none" w:sz="0" w:space="0" w:color="auto"/>
        <w:right w:val="none" w:sz="0" w:space="0" w:color="auto"/>
      </w:divBdr>
    </w:div>
    <w:div w:id="1564292433">
      <w:marLeft w:val="480"/>
      <w:marRight w:val="0"/>
      <w:marTop w:val="0"/>
      <w:marBottom w:val="0"/>
      <w:divBdr>
        <w:top w:val="none" w:sz="0" w:space="0" w:color="auto"/>
        <w:left w:val="none" w:sz="0" w:space="0" w:color="auto"/>
        <w:bottom w:val="none" w:sz="0" w:space="0" w:color="auto"/>
        <w:right w:val="none" w:sz="0" w:space="0" w:color="auto"/>
      </w:divBdr>
    </w:div>
    <w:div w:id="1672294833">
      <w:marLeft w:val="480"/>
      <w:marRight w:val="0"/>
      <w:marTop w:val="0"/>
      <w:marBottom w:val="0"/>
      <w:divBdr>
        <w:top w:val="none" w:sz="0" w:space="0" w:color="auto"/>
        <w:left w:val="none" w:sz="0" w:space="0" w:color="auto"/>
        <w:bottom w:val="none" w:sz="0" w:space="0" w:color="auto"/>
        <w:right w:val="none" w:sz="0" w:space="0" w:color="auto"/>
      </w:divBdr>
    </w:div>
    <w:div w:id="1683706658">
      <w:marLeft w:val="480"/>
      <w:marRight w:val="0"/>
      <w:marTop w:val="0"/>
      <w:marBottom w:val="0"/>
      <w:divBdr>
        <w:top w:val="none" w:sz="0" w:space="0" w:color="auto"/>
        <w:left w:val="none" w:sz="0" w:space="0" w:color="auto"/>
        <w:bottom w:val="none" w:sz="0" w:space="0" w:color="auto"/>
        <w:right w:val="none" w:sz="0" w:space="0" w:color="auto"/>
      </w:divBdr>
    </w:div>
    <w:div w:id="1721057710">
      <w:marLeft w:val="480"/>
      <w:marRight w:val="0"/>
      <w:marTop w:val="0"/>
      <w:marBottom w:val="0"/>
      <w:divBdr>
        <w:top w:val="none" w:sz="0" w:space="0" w:color="auto"/>
        <w:left w:val="none" w:sz="0" w:space="0" w:color="auto"/>
        <w:bottom w:val="none" w:sz="0" w:space="0" w:color="auto"/>
        <w:right w:val="none" w:sz="0" w:space="0" w:color="auto"/>
      </w:divBdr>
    </w:div>
    <w:div w:id="1722556378">
      <w:marLeft w:val="480"/>
      <w:marRight w:val="0"/>
      <w:marTop w:val="0"/>
      <w:marBottom w:val="0"/>
      <w:divBdr>
        <w:top w:val="none" w:sz="0" w:space="0" w:color="auto"/>
        <w:left w:val="none" w:sz="0" w:space="0" w:color="auto"/>
        <w:bottom w:val="none" w:sz="0" w:space="0" w:color="auto"/>
        <w:right w:val="none" w:sz="0" w:space="0" w:color="auto"/>
      </w:divBdr>
    </w:div>
    <w:div w:id="1742097743">
      <w:marLeft w:val="48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794516381">
      <w:marLeft w:val="480"/>
      <w:marRight w:val="0"/>
      <w:marTop w:val="0"/>
      <w:marBottom w:val="0"/>
      <w:divBdr>
        <w:top w:val="none" w:sz="0" w:space="0" w:color="auto"/>
        <w:left w:val="none" w:sz="0" w:space="0" w:color="auto"/>
        <w:bottom w:val="none" w:sz="0" w:space="0" w:color="auto"/>
        <w:right w:val="none" w:sz="0" w:space="0" w:color="auto"/>
      </w:divBdr>
    </w:div>
    <w:div w:id="1800144352">
      <w:marLeft w:val="480"/>
      <w:marRight w:val="0"/>
      <w:marTop w:val="0"/>
      <w:marBottom w:val="0"/>
      <w:divBdr>
        <w:top w:val="none" w:sz="0" w:space="0" w:color="auto"/>
        <w:left w:val="none" w:sz="0" w:space="0" w:color="auto"/>
        <w:bottom w:val="none" w:sz="0" w:space="0" w:color="auto"/>
        <w:right w:val="none" w:sz="0" w:space="0" w:color="auto"/>
      </w:divBdr>
    </w:div>
    <w:div w:id="1801337388">
      <w:marLeft w:val="480"/>
      <w:marRight w:val="0"/>
      <w:marTop w:val="0"/>
      <w:marBottom w:val="0"/>
      <w:divBdr>
        <w:top w:val="none" w:sz="0" w:space="0" w:color="auto"/>
        <w:left w:val="none" w:sz="0" w:space="0" w:color="auto"/>
        <w:bottom w:val="none" w:sz="0" w:space="0" w:color="auto"/>
        <w:right w:val="none" w:sz="0" w:space="0" w:color="auto"/>
      </w:divBdr>
    </w:div>
    <w:div w:id="1818306047">
      <w:marLeft w:val="480"/>
      <w:marRight w:val="0"/>
      <w:marTop w:val="0"/>
      <w:marBottom w:val="0"/>
      <w:divBdr>
        <w:top w:val="none" w:sz="0" w:space="0" w:color="auto"/>
        <w:left w:val="none" w:sz="0" w:space="0" w:color="auto"/>
        <w:bottom w:val="none" w:sz="0" w:space="0" w:color="auto"/>
        <w:right w:val="none" w:sz="0" w:space="0" w:color="auto"/>
      </w:divBdr>
    </w:div>
    <w:div w:id="1820994552">
      <w:marLeft w:val="480"/>
      <w:marRight w:val="0"/>
      <w:marTop w:val="0"/>
      <w:marBottom w:val="0"/>
      <w:divBdr>
        <w:top w:val="none" w:sz="0" w:space="0" w:color="auto"/>
        <w:left w:val="none" w:sz="0" w:space="0" w:color="auto"/>
        <w:bottom w:val="none" w:sz="0" w:space="0" w:color="auto"/>
        <w:right w:val="none" w:sz="0" w:space="0" w:color="auto"/>
      </w:divBdr>
    </w:div>
    <w:div w:id="1881084420">
      <w:marLeft w:val="480"/>
      <w:marRight w:val="0"/>
      <w:marTop w:val="0"/>
      <w:marBottom w:val="0"/>
      <w:divBdr>
        <w:top w:val="none" w:sz="0" w:space="0" w:color="auto"/>
        <w:left w:val="none" w:sz="0" w:space="0" w:color="auto"/>
        <w:bottom w:val="none" w:sz="0" w:space="0" w:color="auto"/>
        <w:right w:val="none" w:sz="0" w:space="0" w:color="auto"/>
      </w:divBdr>
    </w:div>
    <w:div w:id="1890876737">
      <w:marLeft w:val="480"/>
      <w:marRight w:val="0"/>
      <w:marTop w:val="0"/>
      <w:marBottom w:val="0"/>
      <w:divBdr>
        <w:top w:val="none" w:sz="0" w:space="0" w:color="auto"/>
        <w:left w:val="none" w:sz="0" w:space="0" w:color="auto"/>
        <w:bottom w:val="none" w:sz="0" w:space="0" w:color="auto"/>
        <w:right w:val="none" w:sz="0" w:space="0" w:color="auto"/>
      </w:divBdr>
    </w:div>
    <w:div w:id="1941602078">
      <w:marLeft w:val="48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88165952">
      <w:marLeft w:val="480"/>
      <w:marRight w:val="0"/>
      <w:marTop w:val="0"/>
      <w:marBottom w:val="0"/>
      <w:divBdr>
        <w:top w:val="none" w:sz="0" w:space="0" w:color="auto"/>
        <w:left w:val="none" w:sz="0" w:space="0" w:color="auto"/>
        <w:bottom w:val="none" w:sz="0" w:space="0" w:color="auto"/>
        <w:right w:val="none" w:sz="0" w:space="0" w:color="auto"/>
      </w:divBdr>
    </w:div>
    <w:div w:id="2002075497">
      <w:marLeft w:val="480"/>
      <w:marRight w:val="0"/>
      <w:marTop w:val="0"/>
      <w:marBottom w:val="0"/>
      <w:divBdr>
        <w:top w:val="none" w:sz="0" w:space="0" w:color="auto"/>
        <w:left w:val="none" w:sz="0" w:space="0" w:color="auto"/>
        <w:bottom w:val="none" w:sz="0" w:space="0" w:color="auto"/>
        <w:right w:val="none" w:sz="0" w:space="0" w:color="auto"/>
      </w:divBdr>
    </w:div>
    <w:div w:id="2018186614">
      <w:marLeft w:val="480"/>
      <w:marRight w:val="0"/>
      <w:marTop w:val="0"/>
      <w:marBottom w:val="0"/>
      <w:divBdr>
        <w:top w:val="none" w:sz="0" w:space="0" w:color="auto"/>
        <w:left w:val="none" w:sz="0" w:space="0" w:color="auto"/>
        <w:bottom w:val="none" w:sz="0" w:space="0" w:color="auto"/>
        <w:right w:val="none" w:sz="0" w:space="0" w:color="auto"/>
      </w:divBdr>
    </w:div>
    <w:div w:id="2030712620">
      <w:marLeft w:val="480"/>
      <w:marRight w:val="0"/>
      <w:marTop w:val="0"/>
      <w:marBottom w:val="0"/>
      <w:divBdr>
        <w:top w:val="none" w:sz="0" w:space="0" w:color="auto"/>
        <w:left w:val="none" w:sz="0" w:space="0" w:color="auto"/>
        <w:bottom w:val="none" w:sz="0" w:space="0" w:color="auto"/>
        <w:right w:val="none" w:sz="0" w:space="0" w:color="auto"/>
      </w:divBdr>
    </w:div>
    <w:div w:id="2031488332">
      <w:marLeft w:val="480"/>
      <w:marRight w:val="0"/>
      <w:marTop w:val="0"/>
      <w:marBottom w:val="0"/>
      <w:divBdr>
        <w:top w:val="none" w:sz="0" w:space="0" w:color="auto"/>
        <w:left w:val="none" w:sz="0" w:space="0" w:color="auto"/>
        <w:bottom w:val="none" w:sz="0" w:space="0" w:color="auto"/>
        <w:right w:val="none" w:sz="0" w:space="0" w:color="auto"/>
      </w:divBdr>
    </w:div>
    <w:div w:id="2051680433">
      <w:marLeft w:val="480"/>
      <w:marRight w:val="0"/>
      <w:marTop w:val="0"/>
      <w:marBottom w:val="0"/>
      <w:divBdr>
        <w:top w:val="none" w:sz="0" w:space="0" w:color="auto"/>
        <w:left w:val="none" w:sz="0" w:space="0" w:color="auto"/>
        <w:bottom w:val="none" w:sz="0" w:space="0" w:color="auto"/>
        <w:right w:val="none" w:sz="0" w:space="0" w:color="auto"/>
      </w:divBdr>
    </w:div>
    <w:div w:id="2055958035">
      <w:marLeft w:val="480"/>
      <w:marRight w:val="0"/>
      <w:marTop w:val="0"/>
      <w:marBottom w:val="0"/>
      <w:divBdr>
        <w:top w:val="none" w:sz="0" w:space="0" w:color="auto"/>
        <w:left w:val="none" w:sz="0" w:space="0" w:color="auto"/>
        <w:bottom w:val="none" w:sz="0" w:space="0" w:color="auto"/>
        <w:right w:val="none" w:sz="0" w:space="0" w:color="auto"/>
      </w:divBdr>
    </w:div>
    <w:div w:id="2094620309">
      <w:marLeft w:val="480"/>
      <w:marRight w:val="0"/>
      <w:marTop w:val="0"/>
      <w:marBottom w:val="0"/>
      <w:divBdr>
        <w:top w:val="none" w:sz="0" w:space="0" w:color="auto"/>
        <w:left w:val="none" w:sz="0" w:space="0" w:color="auto"/>
        <w:bottom w:val="none" w:sz="0" w:space="0" w:color="auto"/>
        <w:right w:val="none" w:sz="0" w:space="0" w:color="auto"/>
      </w:divBdr>
    </w:div>
    <w:div w:id="2102333753">
      <w:marLeft w:val="480"/>
      <w:marRight w:val="0"/>
      <w:marTop w:val="0"/>
      <w:marBottom w:val="0"/>
      <w:divBdr>
        <w:top w:val="none" w:sz="0" w:space="0" w:color="auto"/>
        <w:left w:val="none" w:sz="0" w:space="0" w:color="auto"/>
        <w:bottom w:val="none" w:sz="0" w:space="0" w:color="auto"/>
        <w:right w:val="none" w:sz="0" w:space="0" w:color="auto"/>
      </w:divBdr>
    </w:div>
    <w:div w:id="2108966353">
      <w:marLeft w:val="480"/>
      <w:marRight w:val="0"/>
      <w:marTop w:val="0"/>
      <w:marBottom w:val="0"/>
      <w:divBdr>
        <w:top w:val="none" w:sz="0" w:space="0" w:color="auto"/>
        <w:left w:val="none" w:sz="0" w:space="0" w:color="auto"/>
        <w:bottom w:val="none" w:sz="0" w:space="0" w:color="auto"/>
        <w:right w:val="none" w:sz="0" w:space="0" w:color="auto"/>
      </w:divBdr>
    </w:div>
    <w:div w:id="2127310083">
      <w:marLeft w:val="480"/>
      <w:marRight w:val="0"/>
      <w:marTop w:val="0"/>
      <w:marBottom w:val="0"/>
      <w:divBdr>
        <w:top w:val="none" w:sz="0" w:space="0" w:color="auto"/>
        <w:left w:val="none" w:sz="0" w:space="0" w:color="auto"/>
        <w:bottom w:val="none" w:sz="0" w:space="0" w:color="auto"/>
        <w:right w:val="none" w:sz="0" w:space="0" w:color="auto"/>
      </w:divBdr>
    </w:div>
    <w:div w:id="2133212067">
      <w:marLeft w:val="480"/>
      <w:marRight w:val="0"/>
      <w:marTop w:val="0"/>
      <w:marBottom w:val="0"/>
      <w:divBdr>
        <w:top w:val="none" w:sz="0" w:space="0" w:color="auto"/>
        <w:left w:val="none" w:sz="0" w:space="0" w:color="auto"/>
        <w:bottom w:val="none" w:sz="0" w:space="0" w:color="auto"/>
        <w:right w:val="none" w:sz="0" w:space="0" w:color="auto"/>
      </w:divBdr>
    </w:div>
    <w:div w:id="2141871963">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93/jac/18.sd.187" TargetMode="External"/><Relationship Id="rId26" Type="http://schemas.openxmlformats.org/officeDocument/2006/relationships/hyperlink" Target="https://doi.org/10.56557/ajoaims/2025/v7i1151" TargetMode="External"/><Relationship Id="rId39" Type="http://schemas.openxmlformats.org/officeDocument/2006/relationships/hyperlink" Target="https://doi.org/10.9734/ajrdes/2026/v9i1158" TargetMode="External"/><Relationship Id="rId21" Type="http://schemas.openxmlformats.org/officeDocument/2006/relationships/hyperlink" Target="https://doi.org/10.1016/S0149-2918(00)88266-1" TargetMode="External"/><Relationship Id="rId34" Type="http://schemas.openxmlformats.org/officeDocument/2006/relationships/hyperlink" Target="https://doi.org/10.1515/jbcpp-2020-0115" TargetMode="External"/><Relationship Id="rId42" Type="http://schemas.openxmlformats.org/officeDocument/2006/relationships/hyperlink" Target="https://doi.org/10.1002/prp2.297" TargetMode="External"/><Relationship Id="rId47" Type="http://schemas.openxmlformats.org/officeDocument/2006/relationships/header" Target="header4.xml"/><Relationship Id="rId50"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90/medicina59071237?utm_source=chatgpt.com" TargetMode="External"/><Relationship Id="rId29" Type="http://schemas.openxmlformats.org/officeDocument/2006/relationships/hyperlink" Target="https://doi.org/10.1101/cshperspect.a025320?utm_source=chatgpt.com" TargetMode="External"/><Relationship Id="rId11" Type="http://schemas.openxmlformats.org/officeDocument/2006/relationships/footer" Target="footer2.xml"/><Relationship Id="rId24" Type="http://schemas.openxmlformats.org/officeDocument/2006/relationships/hyperlink" Target="https://doi.org/10.1093/jac/dkag054" TargetMode="External"/><Relationship Id="rId32" Type="http://schemas.openxmlformats.org/officeDocument/2006/relationships/hyperlink" Target="https://doi.org/10.7860/JCDR/2013/4757.2901" TargetMode="External"/><Relationship Id="rId37" Type="http://schemas.openxmlformats.org/officeDocument/2006/relationships/hyperlink" Target="https://doi.org/10.2165/00002018-199717060-00004" TargetMode="External"/><Relationship Id="rId40" Type="http://schemas.openxmlformats.org/officeDocument/2006/relationships/hyperlink" Target="https://doi.org/10.1016/j.clinbiochem.2015.04.006" TargetMode="External"/><Relationship Id="rId45" Type="http://schemas.openxmlformats.org/officeDocument/2006/relationships/hyperlink" Target="https://doi.org/10.1007/s10096-018-3212-z"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doi.org/10.1016/S0149-2918(00)80053-3" TargetMode="External"/><Relationship Id="rId31" Type="http://schemas.openxmlformats.org/officeDocument/2006/relationships/hyperlink" Target="https://www.jcpsp.pk/archive/2015/Nov2015/12.pdf?utm_source=chatgpt.com" TargetMode="External"/><Relationship Id="rId44" Type="http://schemas.openxmlformats.org/officeDocument/2006/relationships/hyperlink" Target="https://doi.org/10.3390/pharmaceutics15030804" TargetMode="External"/><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doi.org/10.1021/acsinfecdis.4c00041" TargetMode="External"/><Relationship Id="rId27" Type="http://schemas.openxmlformats.org/officeDocument/2006/relationships/hyperlink" Target="https://doi.org/10.3205/dgkh000532" TargetMode="External"/><Relationship Id="rId30" Type="http://schemas.openxmlformats.org/officeDocument/2006/relationships/hyperlink" Target="https://doi.org/10.1136/bcr-2018-224858" TargetMode="External"/><Relationship Id="rId35" Type="http://schemas.openxmlformats.org/officeDocument/2006/relationships/hyperlink" Target="https://doi.org/10.1001/jama.2024.11437" TargetMode="External"/><Relationship Id="rId43" Type="http://schemas.openxmlformats.org/officeDocument/2006/relationships/hyperlink" Target="https://doi.org/10.3389/fpubh.2022.1025633" TargetMode="External"/><Relationship Id="rId48" Type="http://schemas.openxmlformats.org/officeDocument/2006/relationships/header" Target="header5.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8773/austprescr.2021.035" TargetMode="External"/><Relationship Id="rId25" Type="http://schemas.openxmlformats.org/officeDocument/2006/relationships/hyperlink" Target="https://doi.org/10.1111/all.70037" TargetMode="External"/><Relationship Id="rId33" Type="http://schemas.openxmlformats.org/officeDocument/2006/relationships/hyperlink" Target="https://doi.org/10.1111/jdv.20865" TargetMode="External"/><Relationship Id="rId38" Type="http://schemas.openxmlformats.org/officeDocument/2006/relationships/hyperlink" Target="https://doi.org/10.1038/clpt.1981.154" TargetMode="External"/><Relationship Id="rId46" Type="http://schemas.openxmlformats.org/officeDocument/2006/relationships/hyperlink" Target="https://doi.org/10.5210/ojphi.v7i2.5595" TargetMode="External"/><Relationship Id="rId20" Type="http://schemas.openxmlformats.org/officeDocument/2006/relationships/hyperlink" Target="https://doi.org/10.1097/ACI.0b013e3283489bc3" TargetMode="External"/><Relationship Id="rId41" Type="http://schemas.openxmlformats.org/officeDocument/2006/relationships/hyperlink" Target="https://doi.org/10.3399/bjgp10X53241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4236/pp.2012.32028" TargetMode="External"/><Relationship Id="rId23" Type="http://schemas.openxmlformats.org/officeDocument/2006/relationships/hyperlink" Target="https://doi.org/10.1177/106002809202600905" TargetMode="External"/><Relationship Id="rId28" Type="http://schemas.openxmlformats.org/officeDocument/2006/relationships/hyperlink" Target="https://doi.org/10.1159/000087024" TargetMode="External"/><Relationship Id="rId36" Type="http://schemas.openxmlformats.org/officeDocument/2006/relationships/hyperlink" Target="https://doi.org/10.7759/cureus.59975" TargetMode="External"/><Relationship Id="rId49"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A220BAB-9037-429B-9972-1FA5AD39C4AE}"/>
      </w:docPartPr>
      <w:docPartBody>
        <w:p w:rsidR="005D5393" w:rsidRDefault="008C1E12">
          <w:r w:rsidRPr="00E2099B">
            <w:rPr>
              <w:rStyle w:val="PlaceholderText"/>
            </w:rPr>
            <w:t>Click or tap here to enter text.</w:t>
          </w:r>
        </w:p>
      </w:docPartBody>
    </w:docPart>
    <w:docPart>
      <w:docPartPr>
        <w:name w:val="322A2EAF38E04A7D8C7DF7A02535017D"/>
        <w:category>
          <w:name w:val="General"/>
          <w:gallery w:val="placeholder"/>
        </w:category>
        <w:types>
          <w:type w:val="bbPlcHdr"/>
        </w:types>
        <w:behaviors>
          <w:behavior w:val="content"/>
        </w:behaviors>
        <w:guid w:val="{9CC2C44D-DA1D-4603-9D2A-9283056B444C}"/>
      </w:docPartPr>
      <w:docPartBody>
        <w:p w:rsidR="006F5911" w:rsidRDefault="00DC09C1" w:rsidP="00DC09C1">
          <w:pPr>
            <w:pStyle w:val="322A2EAF38E04A7D8C7DF7A02535017D"/>
          </w:pPr>
          <w:r w:rsidRPr="00E209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E12"/>
    <w:rsid w:val="00042493"/>
    <w:rsid w:val="000C3059"/>
    <w:rsid w:val="001C717C"/>
    <w:rsid w:val="001F7387"/>
    <w:rsid w:val="002F2F09"/>
    <w:rsid w:val="00452567"/>
    <w:rsid w:val="004F3871"/>
    <w:rsid w:val="005D5393"/>
    <w:rsid w:val="005E0F88"/>
    <w:rsid w:val="005E62EC"/>
    <w:rsid w:val="00693F68"/>
    <w:rsid w:val="006F5911"/>
    <w:rsid w:val="008C1E12"/>
    <w:rsid w:val="00A107CB"/>
    <w:rsid w:val="00B05680"/>
    <w:rsid w:val="00B951A6"/>
    <w:rsid w:val="00BF1571"/>
    <w:rsid w:val="00CA32A2"/>
    <w:rsid w:val="00CE040B"/>
    <w:rsid w:val="00D13F1C"/>
    <w:rsid w:val="00DC09C1"/>
    <w:rsid w:val="00E207E7"/>
    <w:rsid w:val="00EF6E2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09C1"/>
    <w:rPr>
      <w:color w:val="666666"/>
    </w:rPr>
  </w:style>
  <w:style w:type="paragraph" w:customStyle="1" w:styleId="322A2EAF38E04A7D8C7DF7A02535017D">
    <w:name w:val="322A2EAF38E04A7D8C7DF7A02535017D"/>
    <w:rsid w:val="00DC09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DF2141-2192-4C79-99D0-4E6D8EDE657B}">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7339858008"/>
    <we:property name="MENDELEY_CITATIONS" value="[{&quot;citationID&quot;:&quot;MENDELEY_CITATION_e1950588-c92e-4d6b-aa60-b07d6eb6c66c&quot;,&quot;properties&quot;:{&quot;noteIndex&quot;:0},&quot;isEdited&quot;:false,&quot;manualOverride&quot;:{&quot;isManuallyOverridden&quot;:false,&quot;citeprocText&quot;:&quot;(Fukuda et al., 2026; Osman et al., n.d.)&quot;,&quot;manualOverrideText&quot;:&quot;&quot;},&quot;citationTag&quot;:&quot;MENDELEY_CITATION_v3_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&quot;,&quot;citationItems&quot;:[{&quot;id&quot;:&quot;d58c5bd6-eb9d-3e9d-a96a-0d16a754bf6c&quot;,&quot;itemData&quot;:{&quot;type&quot;:&quot;article&quot;,&quot;id&quot;:&quot;d58c5bd6-eb9d-3e9d-a96a-0d16a754bf6c&quot;,&quot;title&quot;:&quot;Bacterial DNA topoisomerase IV and DNA gyrase inhibitors: history of the quinolones, their clinical usage and potential alternatives for the future&quot;,&quot;author&quot;:[{&quot;family&quot;:&quot;Fukuda&quot;,&quot;given&quot;:&quot;Daisuke&quot;,&quot;parse-names&quot;:false,&quot;dropping-particle&quot;:&quot;&quot;,&quot;non-dropping-particle&quot;:&quot;&quot;},{&quot;family&quot;:&quot;Powell&quot;,&quot;given&quot;:&quot;Danielle&quot;,&quot;parse-names&quot;:false,&quot;dropping-particle&quot;:&quot;&quot;,&quot;non-dropping-particle&quot;:&quot;&quot;},{&quot;family&quot;:&quot;Mulgirigama&quot;,&quot;given&quot;:&quot;Aruni&quot;,&quot;parse-names&quot;:false,&quot;dropping-particle&quot;:&quot;&quot;,&quot;non-dropping-particle&quot;:&quot;&quot;},{&quot;family&quot;:&quot;Vojtek&quot;,&quot;given&quot;:&quot;Ivo&quot;,&quot;parse-names&quot;:false,&quot;dropping-particle&quot;:&quot;&quot;,&quot;non-dropping-particle&quot;:&quot;&quot;},{&quot;family&quot;:&quot;Ozeki&quot;,&quot;given&quot;:&quot;Hirofumi&quot;,&quot;parse-names&quot;:false,&quot;dropping-particle&quot;:&quot;&quot;,&quot;non-dropping-particle&quot;:&quot;&quot;},{&quot;family&quot;:&quot;Yoshimoto&quot;,&quot;given&quot;:&quot;Daisuke&quot;,&quot;parse-names&quot;:false,&quot;dropping-particle&quot;:&quot;&quot;,&quot;non-dropping-particle&quot;:&quot;&quot;},{&quot;family&quot;:&quot;Iida&quot;,&quot;given&quot;:&quot;Hideki&quot;,&quot;parse-names&quot;:false,&quot;dropping-particle&quot;:&quot;&quot;,&quot;non-dropping-particle&quot;:&quot;&quot;},{&quot;family&quot;:&quot;Johira&quot;,&quot;given&quot;:&quot;Naoki&quot;,&quot;parse-names&quot;:false,&quot;dropping-particle&quot;:&quot;&quot;,&quot;non-dropping-particle&quot;:&quot;&quot;},{&quot;family&quot;:&quot;Kayama&quot;,&quot;given&quot;:&quot;Yoko&quot;,&quot;parse-names&quot;:false,&quot;dropping-particle&quot;:&quot;&quot;,&quot;non-dropping-particle&quot;:&quot;&quot;},{&quot;family&quot;:&quot;Kawamatsu&quot;,&quot;given&quot;:&quot;Shinya&quot;,&quot;parse-names&quot;:false,&quot;dropping-particle&quot;:&quot;&quot;,&quot;non-dropping-particle&quot;:&quot;&quot;},{&quot;family&quot;:&quot;Suzuki&quot;,&quot;given&quot;:&quot;Satowa&quot;,&quot;parse-names&quot;:false,&quot;dropping-particle&quot;:&quot;&quot;,&quot;non-dropping-particle&quot;:&quot;&quot;}],&quot;container-title&quot;:&quot;Journal of Antimicrobial Chemotherapy&quot;,&quot;DOI&quot;:&quot;10.1093/jac/dkag054&quot;,&quot;ISSN&quot;:&quot;14602091&quot;,&quot;PMID&quot;:&quot;41710965&quot;,&quot;issued&quot;:{&quot;date-parts&quot;:[[2026,3,1]]},&quot;abstract&quot;:&quot;Bacterial topoisomerases are enzymes critical for maintaining genomic DNA integrity and ensuring bacterial cell survival, making them ideal targets for antibacterial agents. Bacterial topoisomerase inhibitors, such as quinolones and fluoroquinolones, target two enzymes, DNA gyrase and topoisomerase IV, and inhibit the control of DNA supercoiling/decatenation, leading to impaired DNA replication and bacterial cell death. Since their initial discovery, many quinolones and fluoroquinolones have been developed with activity against a wide range of bacterial species, contributing significantly to the treatment of various infectious diseases worldwide. Fluoroquinolones such as levofloxacin and ciprofloxacin remain important and effective therapeutic options today due to their broad-spectrum antibacterial activity, chemical stability and high bioavailability. However, side effects of fluoroquinolones have become a concern, leading to warnings being issued in the United States, Europe and the United Kingdom. Furthermore, in many countries, the prevalence of fluoroquinolone-resistant bacteria has been steadily increasing each year, which poses a serious threat to public health. The clinical development of new non-quinolone bacterial topoisomerase inhibitors (for example, zoliflodacin, gepotidacin and fobrepodacin) offers a promising solution to these issues and has the potential to play a crucial role in combating the growing problem of antimicrobial resistance. This review article will discuss the evolution of quinolone and fluoroquinolone antibacterial agents as key topoisomerase inhibitors, examine their current clinical applications and challenges to future development, and explore the potential of new topoisomerase inhibitors.&quot;,&quot;publisher&quot;:&quot;Oxford University Press&quot;,&quot;issue&quot;:&quot;3&quot;,&quot;volume&quot;:&quot;81&quot;,&quot;container-title-short&quot;:&quot;&quot;},&quot;isTemporary&quot;:false},{&quot;id&quot;:&quot;48969797-8d26-37a7-b206-1eb830e28113&quot;,&quot;itemData&quot;:{&quot;type&quot;:&quot;report&quot;,&quot;id&quot;:&quot;48969797-8d26-37a7-b206-1eb830e28113&quot;,&quot;title&quot;:&quot;The resistance mechanisms of bacteria against ciprofloxacin and new approaches for enhancing the efficacy of this antibiotic&quot;,&quot;author&quot;:[{&quot;family&quot;:&quot;Osman&quot;,&quot;given&quot;:&quot;Marwan&quot;,&quot;parse-names&quot;:false,&quot;dropping-particle&quot;:&quot;&quot;,&quot;non-dropping-particle&quot;:&quot;&quot;},{&quot;family&quot;:&quot;Chusri&quot;,&quot;given&quot;:&quot;Sarunyou&quot;,&quot;parse-names&quot;:false,&quot;dropping-particle&quot;:&quot;&quot;,&quot;non-dropping-particle&quot;:&quot;&quot;},{&quot;family&quot;:&quot;Heidary&quot;,&quot;given&quot;:&quot;Mohsen&quot;,&quot;parse-names&quot;:false,&quot;dropping-particle&quot;:&quot;&quot;,&quot;non-dropping-particle&quot;:&quot;&quot;},{&quot;family&quot;:&quot;Khoshnood&quot;,&quot;given&quot;:&quot;Saeed&quot;,&quot;parse-names&quot;:false,&quot;dropping-particle&quot;:&quot;&quot;,&quot;non-dropping-particle&quot;:&quot;&quot;}],&quot;abstract&quot;:&quot;The resistance mechanisms of bacteria against ciprofloxacin and new approaches for enhancing the eecacy of this antibiotic. Front.&quot;,&quot;container-title-short&quot;:&quot;&quot;},&quot;isTemporary&quot;:false}]},{&quot;citationID&quot;:&quot;MENDELEY_CITATION_c2a964c3-92ad-4565-8569-f83d32f11b1e&quot;,&quot;properties&quot;:{&quot;noteIndex&quot;:0},&quot;isEdited&quot;:false,&quot;manualOverride&quot;:{&quot;isManuallyOverridden&quot;:false,&quot;citeprocText&quot;:&quot;(Adikwu &amp;#38; Brambaifa, 2012; Blondeau, 1999)&quot;,&quot;manualOverrideText&quot;:&quot;&quot;},&quot;citationTag&quot;:&quot;MENDELEY_CITATION_v3_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&quot;,&quot;citationItems&quot;:[{&quot;id&quot;:&quot;22e59f65-e9bf-37a9-8a84-8f90b37dde20&quot;,&quot;itemData&quot;:{&quot;type&quot;:&quot;article-journal&quot;,&quot;id&quot;:&quot;22e59f65-e9bf-37a9-8a84-8f90b37dde20&quot;,&quot;title&quot;:&quot;Expanded activity and utility of the new fluoroquinolones: a review.&quot;,&quot;author&quot;:[{&quot;family&quot;:&quot;Blondeau&quot;,&quot;given&quot;:&quot;J M&quot;,&quot;parse-names&quot;:false,&quot;dropping-particle&quot;:&quot;&quot;,&quot;non-dropping-particle&quot;:&quot;&quot;}],&quot;container-title&quot;:&quot;Clinical therapeutics&quot;,&quot;container-title-short&quot;:&quot;Clin. Ther.&quot;,&quot;DOI&quot;:&quot;10.1016/s0149-2918(00)88266-1&quot;,&quot;ISSN&quot;:&quot;0149-2918&quot;,&quot;PMID&quot;:&quot;10090423&quot;,&quot;issued&quot;:{&quot;date-parts&quot;:[[1999,1]]},&quot;page&quot;:&quot;3-40; discussion 1-2&quot;,&quot;abstract&quot;:&quot;In general, the fluoroquinolones developed over the past few years have greater potency, a broader spectrum of antimicrobial activity, greater in vitro efficacy against resistant organisms, and a better safety profile than other antimicrobial agents, including the older quinolones. The present review focuses on 4 new quinolones that are commercially available (levofloxacin, trovafloxacin, grepafloxacin, and sparfloxacin) and 3 that are currently undergoing clinical trials (gatifloxacin, moxifloxacin, and clinafloxacin). Examination of the minimum inhibitory concentrations of these drugs against gram-positive, gram-negative, anaerobic, and atypical organisms demonstrates their increased potency in vitro. The available clinical evidence, although sparse, suggests the potential enhanced efficacy of these drugs in the treatment of various community-acquired and nosocomial infections (eg, respiratory, urinary tract, and skin infections and sexually transmitted diseases). Compared with ciprofloxacin, their pharmacokinetic profiles demonstrate equivalent or greater bioavailability, higher plasma concentrations, and increased tissue penetration, as reflected in greater volume of distribution. Adverse events seen with most quinolones are mild. Serious adverse effects that may occur are phototoxicity (particularly with sparfloxacin) and prolongation of the QTc interval (seen with sparfloxacin and grepafloxacin). Drug interactions are possible between multivalent cation-containing compounds and all quinolones and between theophylline and both ciprofloxacin and grepafloxacin. Drugs that prolong the QTc interval should not be coadministered with sparfloxacin and grepafloxacin. Step-down therapy, a therapeutic and cost-saving advantage possible with gatifloxacin, levofloxacin, and moxifloxacin, allows the switching of patients from intravenous to oral therapy without having to change the dosage regimen or class of antibiotics. In addition to shortening the hospital stay and reducing the risk of venous complications, step-down therapy has been shown to cut hospital drug costs by 40% and hospitalization costs by 20%.&quot;,&quot;issue&quot;:&quot;1&quot;,&quot;volume&quot;:&quot;21&quot;},&quot;isTemporary&quot;:false},{&quot;id&quot;:&quot;c000a653-8ea4-3c1f-abdb-33a86acd3aa8&quot;,&quot;itemData&quot;:{&quot;type&quot;:&quot;article-journal&quot;,&quot;id&quot;:&quot;c000a653-8ea4-3c1f-abdb-33a86acd3aa8&quot;,&quot;title&quot;:&quot;Ciprofloxacin Cardiotoxicity and Hepatotoxicity in Humans and Animals&quot;,&quot;author&quot;:[{&quot;family&quot;:&quot;Adikwu&quot;,&quot;given&quot;:&quot;Elias&quot;,&quot;parse-names&quot;:false,&quot;dropping-particle&quot;:&quot;&quot;,&quot;non-dropping-particle&quot;:&quot;&quot;},{&quot;family&quot;:&quot;Brambaifa&quot;,&quot;given&quot;:&quot;Nelson&quot;,&quot;parse-names&quot;:false,&quot;dropping-particle&quot;:&quot;&quot;,&quot;non-dropping-particle&quot;:&quot;&quot;}],&quot;container-title&quot;:&quot;Pharmacology &amp;amp; Pharmacy&quot;,&quot;DOI&quot;:&quot;10.4236/pp.2012.32028&quot;,&quot;ISSN&quot;:&quot;2157-9423&quot;,&quot;issued&quot;:{&quot;date-parts&quot;:[[2012]]},&quot;page&quot;:&quot;207-213&quot;,&quot;abstract&quot;:&quot;Ciprofloxacin is generally well tolerated; the most common adverse effects include gastro intestinal tract, central nervous system and hematological system effects. Recently rising cases of Ciprofloxacin associated toxicity have been reported. Experiment using animal models and clinical experience showed that Ciprofloxacin induced cardiotoxicity is marked by increase QT and QTC interval and prolonged action potential duration. This increases the risk of arrhythmia (tosarde de pointes). Ciprofloxacin induced cardiotoxic effect could be associated with blocking cardiac voltage—gated potassium channels particularly the rapid component (IKr) of the delayed rectifier potassium current. Drug interaction with inhibitors of Cytochrome P450 (CYP) mediated metabolism could be one of the underlying mechanisms. Several cases of Ciprofloxacin induced hepatoxicity have been also reported. These were characterized by extensive hepatocellular necrosis, mixed inflammatory infiltrate and abundant esinophils in the liver. Elevated liver enzymes which include serum aspartate aminotransferase, alanine aminotransferase, alkaline phosphatase, and gramma-glutamyltranferase and prolong prothrobin time were reported. The hepatotoxic effect of Ciprofloxacin as reported could be due to oxidative stress induced in the liver by Ciprofloxacin through the generation of oxidative radicals leading to depletion of protein content in hepatocytes as a consequence of nucleic acids diminution and DNA damage. This may lead to significant decrease in the number and degeneration in mitochondria which is responsible for energy supply. Conclusion: Ciprofloxacin induced cardiotoxicity and hepatotoxicity is relatively low in humans but patients’ liver and cardiac function may be considered before Ciprofloxacin use.&quot;,&quot;publisher&quot;:&quot;Scientific Research Publishing, Inc,&quot;,&quot;issue&quot;:&quot;02&quot;,&quot;volume&quot;:&quot;03&quot;,&quot;container-title-short&quot;:&quot;&quot;},&quot;isTemporary&quot;:false}]},{&quot;citationID&quot;:&quot;MENDELEY_CITATION_2d419968-60ba-4336-8ba1-9ecf900a0202&quot;,&quot;properties&quot;:{&quot;noteIndex&quot;:0},&quot;isEdited&quot;:false,&quot;manualOverride&quot;:{&quot;isManuallyOverridden&quot;:false,&quot;citeprocText&quot;:&quot;(Kashyap et al., 2022)&quot;,&quot;manualOverrideText&quot;:&quot;&quot;},&quot;citationTag&quot;:&quot;MENDELEY_CITATION_v3_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&quot;,&quot;citationItems&quot;:[{&quot;id&quot;:&quot;dc30af8b-83ef-3f9b-98ec-bea1ceb90396&quot;,&quot;itemData&quot;:{&quot;type&quot;:&quot;article-journal&quot;,&quot;id&quot;:&quot;dc30af8b-83ef-3f9b-98ec-bea1ceb90396&quot;,&quot;title&quot;:&quot;Ciprofloxacin-induced cutaneous adverse drug events: a systematic review of descriptive studies&quot;,&quot;author&quot;:[{&quot;family&quot;:&quot;Kashyap&quot;,&quot;given&quot;:&quot;Ananth&quot;,&quot;parse-names&quot;:false,&quot;dropping-particle&quot;:&quot;&quot;,&quot;non-dropping-particle&quot;:&quot;&quot;},{&quot;family&quot;:&quot;Sreenivasan&quot;,&quot;given&quot;:&quot;Sahana&quot;,&quot;parse-names&quot;:false,&quot;dropping-particle&quot;:&quot;&quot;,&quot;non-dropping-particle&quot;:&quot;&quot;},{&quot;family&quot;:&quot;Rajan&quot;,&quot;given&quot;:&quot;Asha K&quot;,&quot;parse-names&quot;:false,&quot;dropping-particle&quot;:&quot;&quot;,&quot;non-dropping-particle&quot;:&quot;&quot;},{&quot;family&quot;:&quot;Rashid&quot;,&quot;given&quot;:&quot;Muhammed&quot;,&quot;parse-names&quot;:false,&quot;dropping-particle&quot;:&quot;&quot;,&quot;non-dropping-particle&quot;:&quot;&quot;},{&quot;family&quot;:&quot;Chhabra&quot;,&quot;given&quot;:&quot;Manik&quot;,&quot;parse-names&quot;:false,&quot;dropping-particle&quot;:&quot;&quot;,&quot;non-dropping-particle&quot;:&quot;&quot;}],&quot;container-title&quot;:&quot;Journal of Basic and Clinical Physiology and Pharmacology&quot;,&quot;container-title-short&quot;:&quot;J. Basic Clin. Physiol. Pharmacol.&quot;,&quot;DOI&quot;:&quot;10.1515/jbcpp-2020-0115&quot;,&quot;ISSN&quot;:&quot;2191-0286&quot;,&quot;issued&quot;:{&quot;date-parts&quot;:[[2022,5,23]]},&quot;page&quot;:&quot;327-346&quot;,&quot;issue&quot;:&quot;3&quot;,&quot;volume&quot;:&quot;33&quot;},&quot;isTemporary&quot;:false}]},{&quot;citationID&quot;:&quot;MENDELEY_CITATION_f32552ff-4f68-4a65-b3fa-23367a8fea00&quot;,&quot;properties&quot;:{&quot;noteIndex&quot;:0},&quot;isEdited&quot;:false,&quot;manualOverride&quot;:{&quot;isManuallyOverridden&quot;:false,&quot;citeprocText&quot;:&quot;(Rusu et al., 2023)&quot;,&quot;manualOverrideText&quot;:&quot;&quot;},&quot;citationTag&quot;:&quot;MENDELEY_CITATION_v3_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&quot;,&quot;citationItems&quot;:[{&quot;id&quot;:&quot;358d4a86-8582-3c0f-806e-533de39fa701&quot;,&quot;itemData&quot;:{&quot;type&quot;:&quot;article-journal&quot;,&quot;id&quot;:&quot;358d4a86-8582-3c0f-806e-533de39fa701&quot;,&quot;title&quot;:&quot;Overview of Side-Effects of Antibacterial Fluoroquinolones: New Drugs versus Old Drugs, a Step Forward in the Safety Profile?&quot;,&quot;author&quot;:[{&quot;family&quot;:&quot;Rusu&quot;,&quot;given&quot;:&quot;Aura&quot;,&quot;parse-names&quot;:false,&quot;dropping-particle&quot;:&quot;&quot;,&quot;non-dropping-particle&quot;:&quot;&quot;},{&quot;family&quot;:&quot;Munteanu&quot;,&quot;given&quot;:&quot;Alexandra-Cristina&quot;,&quot;parse-names&quot;:false,&quot;dropping-particle&quot;:&quot;&quot;,&quot;non-dropping-particle&quot;:&quot;&quot;},{&quot;family&quot;:&quot;Arbănași&quot;,&quot;given&quot;:&quot;Eliza-Mihaela&quot;,&quot;parse-names&quot;:false,&quot;dropping-particle&quot;:&quot;&quot;,&quot;non-dropping-particle&quot;:&quot;&quot;},{&quot;family&quot;:&quot;Uivarosi&quot;,&quot;given&quot;:&quot;Valentina&quot;,&quot;parse-names&quot;:false,&quot;dropping-particle&quot;:&quot;&quot;,&quot;non-dropping-particle&quot;:&quot;&quot;}],&quot;container-title&quot;:&quot;Pharmaceutics&quot;,&quot;container-title-short&quot;:&quot;Pharmaceutics&quot;,&quot;DOI&quot;:&quot;10.3390/pharmaceutics15030804&quot;,&quot;ISSN&quot;:&quot;1999-4923&quot;,&quot;PMID&quot;:&quot;36986665&quot;,&quot;issued&quot;:{&quot;date-parts&quot;:[[2023,3,1]]},&quot;abstract&quot;:&quot;Antibacterial fluoroquinolones (FQs) are frequently used in treating infections. However, the value of FQs is debatable due to their association with severe adverse effects (AEs). The Food and Drug Administration (FDA) issued safety warnings concerning their side-effects in 2008, followed by the European Medicine Agency (EMA) and regulatory authorities from other countries. Severe AEs associated with some FQs have been reported, leading to their withdrawal from the market. New systemic FQs have been recently approved. The FDA and EMA approved delafloxacin. Additionally, lascufloxacin, levonadifloxacin, nemonoxacin, sitafloxacin, and zabofloxacin were approved in their origin countries. The relevant AEs of FQs and their mechanisms of occurrence have been approached. New systemic FQs present potent antibacterial activity against many resistant bacteria (including resistance to FQs). Generally, in clinical studies, the new FQs were well-tolerated with mild or moderate AEs. All the new FQs approved in the origin countries require more clinical studies to meet FDA or EMA requirements. Post-marketing surveillance will confirm or infirm the known safety profile of these new antibacterial drugs. The main AEs of the FQs class were addressed, highlighting the existing data for the recently approved ones. In addition, the general management of AEs when they occur and the rational use and caution of modern FQs were outlined.&quot;,&quot;issue&quot;:&quot;3&quot;,&quot;volume&quot;:&quot;15&quot;},&quot;isTemporary&quot;:false}]},{&quot;citationID&quot;:&quot;MENDELEY_CITATION_b9e99a27-dcb3-4912-b59e-535d803002ac&quot;,&quot;properties&quot;:{&quot;noteIndex&quot;:0},&quot;isEdited&quot;:false,&quot;manualOverride&quot;:{&quot;isManuallyOverridden&quot;:false,&quot;citeprocText&quot;:&quot;(Oreagba et al., 2017)&quot;,&quot;manualOverrideText&quot;:&quot;&quot;},&quot;citationTag&quot;:&quot;MENDELEY_CITATION_v3_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&quot;,&quot;citationItems&quot;:[{&quot;id&quot;:&quot;f9122d6d-3de4-3834-acc4-1cdbdd8c7a91&quot;,&quot;itemData&quot;:{&quot;type&quot;:&quot;article-journal&quot;,&quot;id&quot;:&quot;f9122d6d-3de4-3834-acc4-1cdbdd8c7a91&quot;,&quot;title&quot;:&quot;Adverse reactions to fluoroquinolones in the Nigerian population: an audit of reports submitted to the National Pharmacovigilance Centre from 2004 to 2016.&quot;,&quot;author&quot;:[{&quot;family&quot;:&quot;Oreagba&quot;,&quot;given&quot;:&quot;Ibrahim A&quot;,&quot;parse-names&quot;:false,&quot;dropping-particle&quot;:&quot;&quot;,&quot;non-dropping-particle&quot;:&quot;&quot;},{&quot;family&quot;:&quot;Oshikoya&quot;,&quot;given&quot;:&quot;Kazeem A&quot;,&quot;parse-names&quot;:false,&quot;dropping-particle&quot;:&quot;&quot;,&quot;non-dropping-particle&quot;:&quot;&quot;},{&quot;family&quot;:&quot;Ogar&quot;,&quot;given&quot;:&quot;Comfort&quot;,&quot;parse-names&quot;:false,&quot;dropping-particle&quot;:&quot;&quot;,&quot;non-dropping-particle&quot;:&quot;&quot;},{&quot;family&quot;:&quot;Adefurin&quot;,&quot;given&quot;:&quot;Abiodun O&quot;,&quot;parse-names&quot;:false,&quot;dropping-particle&quot;:&quot;&quot;,&quot;non-dropping-particle&quot;:&quot;&quot;},{&quot;family&quot;:&quot;Ibrahim&quot;,&quot;given&quot;:&quot;Ali&quot;,&quot;parse-names&quot;:false,&quot;dropping-particle&quot;:&quot;&quot;,&quot;non-dropping-particle&quot;:&quot;&quot;},{&quot;family&quot;:&quot;Awodele&quot;,&quot;given&quot;:&quot;Olufunsho&quot;,&quot;parse-names&quot;:false,&quot;dropping-particle&quot;:&quot;&quot;,&quot;non-dropping-particle&quot;:&quot;&quot;},{&quot;family&quot;:&quot;Oni&quot;,&quot;given&quot;:&quot;Yetunde&quot;,&quot;parse-names&quot;:false,&quot;dropping-particle&quot;:&quot;&quot;,&quot;non-dropping-particle&quot;:&quot;&quot;}],&quot;container-title&quot;:&quot;Pharmacology research &amp; perspectives&quot;,&quot;container-title-short&quot;:&quot;Pharmacol. Res. Perspect.&quot;,&quot;DOI&quot;:&quot;10.1002/prp2.297&quot;,&quot;ISSN&quot;:&quot;2052-1707&quot;,&quot;PMID&quot;:&quot;28357123&quot;,&quot;issued&quot;:{&quot;date-parts&quot;:[[2017,4]]},&quot;page&quot;:&quot;e00297&quot;,&quot;abstract&quot;:&quot;Adverse drug reactions (ADRs) recorded in national pharmacovigilance databases in developed countries have been analyzed. However, adverse reactions to fluoroquinolones were observed globally despite their wide use and safety concerns. We provided information on the pattern of adverse reactions to fluoroquinolones reported spontaneously to the National Pharmacovigilance Centre (NPC), Nigeria. ADRs to fluoroquinolones reported to the NPC, over a period of 12 years, were analyzed. Evaluation was done for annual reports, age and gender of patients, type of reporter, suspected fluoroquinolones and adverse reactions, onset and outcome of ADRs, and causality. A total of 18527 ADR reports were received by the NPC. Antibiotics accounted for 1371(7.4%) of the total reports and fluoroquinolones accounted for 256 (18.7%) cases. A total of 540 ADRs due to fluoroquinolones was experienced by the patients. Multiple ADRs were experienced by 165 (65%) patients. Norfloxacin (2; 0.8%), moxifloxacin (3; 1.2%), ofloxacin (10; 3.9%), ciprofloxacin (112; 43.8%), and levofloxacin (129; 50.4%) were responsible for the ADRs. Neurological disorders (121; 22.4%), gastrointestinal disorders (118; 21.9%), and skin-appendage disorders (116; 21.5%) were the most reported ADRs, while pruritus (41; 7.6%), abdominal pain (34; 6.3%), vomiting (34; 6.3%), and skin rash (27; 5.0%) were the most frequently reported specific ADRs. Thirty-four (6.4%) patients experienced serious ADRs. Fluoroquinolones accounted for a small but significant proportion of ADRs spontaneously reported to the NPC in Nigeria. Ciprofloxacin and levofloxacin were the two most culpable fluoroquinolones due to their inappropriate use or increased use in multi-drug resistant tuberculosis (MDR-TB) treatment.&quot;,&quot;issue&quot;:&quot;2&quot;,&quot;volume&quot;:&quot;5&quot;},&quot;isTemporary&quot;:false}]},{&quot;citationID&quot;:&quot;MENDELEY_CITATION_679ea49d-4914-4b52-9292-79402d2b4708&quot;,&quot;properties&quot;:{&quot;noteIndex&quot;:0},&quot;isEdited&quot;:false,&quot;manualOverride&quot;:{&quot;isManuallyOverridden&quot;:false,&quot;citeprocText&quot;:&quot;(Manjhi et al., 2024; Meyboom et al., 1997; Suke et al., 2015)&quot;,&quot;manualOverrideText&quot;:&quot;&quot;},&quot;citationItems&quot;:[{&quot;id&quot;:&quot;22d8fbd7-273d-3b75-ae95-bf7c104b1d3b&quot;,&quot;itemData&quot;:{&quot;type&quot;:&quot;article-journal&quot;,&quot;id&quot;:&quot;22d8fbd7-273d-3b75-ae95-bf7c104b1d3b&quot;,&quot;title&quot;:&quot;Role of Pharmacovigilance in India: An overview.&quot;,&quot;author&quot;:[{&quot;family&quot;:&quot;Suke&quot;,&quot;given&quot;:&quot;Sanvidhan G&quot;,&quot;parse-names&quot;:false,&quot;dropping-particle&quot;:&quot;&quot;,&quot;non-dropping-particle&quot;:&quot;&quot;},{&quot;family&quot;:&quot;Kosta&quot;,&quot;given&quot;:&quot;Prabhat&quot;,&quot;parse-names&quot;:false,&quot;dropping-particle&quot;:&quot;&quot;,&quot;non-dropping-particle&quot;:&quot;&quot;},{&quot;family&quot;:&quot;Negi&quot;,&quot;given&quot;:&quot;Harsh&quot;,&quot;parse-names&quot;:false,&quot;dropping-particle&quot;:&quot;&quot;,&quot;non-dropping-particle&quot;:&quot;&quot;}],&quot;container-title&quot;:&quot;Online journal of public health informatics&quot;,&quot;container-title-short&quot;:&quot;Online J. Public Health Inform.&quot;,&quot;DOI&quot;:&quot;10.5210/ojphi.v7i2.5595&quot;,&quot;ISSN&quot;:&quot;1947-2579&quot;,&quot;PMID&quot;:&quot;26392851&quot;,&quot;issued&quot;:{&quot;date-parts&quot;:[[2015]]},&quot;page&quot;:&quot;e223&quot;,&quot;abstract&quot;:&quot;Pharmacovigilance (PV) plays a key role in the healthcare system through assessment, monitoring and discovery of interactions amongst drugs and their effects in human. Pharmaceutical and biotechnological medicines are designed to cure, prevent or treat diseases; however, there are also risks particularly adverse drug reactions (ADRs) can cause serious harm to patients. Thus, for safety medication ADRs monitoring required for each medicine throughout its life cycle, during development of drug such as pre-marketing including early stages of drug design, clinical trials, and post-marketing surveillance. PV is concerns with the detection, assessment, understanding and prevention of ADRs. Pharmacogenetics and pharmacogenomics are an indispensable part of the clinical research. Variation in the human genome is a cause of variable response to drugs and susceptibility to diseases are determined, which is important for early drug discovery to PV. Moreover, PV has traditionally involved in mining spontaneous reports submitted to national surveillance systems. The research focus is shifting toward the use of data generated from platforms outside the conventional framework such as electronic medical records, biomedical literature, and patient-reported data in health forums. The emerging trend in PV is to link premarketing data with human safety information observed in the post-marketing phase. The PV system team obtains valuable additional information, building up the scientific data contained in the original report and making it more informative. This necessitates an utmost requirement for effective regulations of the drug approval process and conscious pre and post approval vigilance of the undesired effects, especially in India. Adverse events reported by PV system potentially benefit to the community due to their proximity to both population and public health practitioners, in terms of language and knowledge, enables easy contact with reporters by electronically. Hence, PV helps to the patients get well and to manage optimally or ideally, avoid illness is a collective responsibility of industry, drug regulators, clinicians and other healthcare professionals to enhance their contribution to public health. This review summarized objectives and methodologies used in PV with critical overview of existing PV in India, challenges to overcome and future prospects with respect to Indian context.&quot;,&quot;issue&quot;:&quot;2&quot;,&quot;volume&quot;:&quot;7&quot;},&quot;isTemporary&quot;:false},{&quot;id&quot;:&quot;e0fcc816-a30f-3ca7-ac83-d5c5b4f9c89e&quot;,&quot;itemData&quot;:{&quot;type&quot;:&quot;article-journal&quot;,&quot;id&quot;:&quot;e0fcc816-a30f-3ca7-ac83-d5c5b4f9c89e&quot;,&quot;title&quot;:&quot;Causality, Severity, Preventability and Predictability Assessments Scales for Adverse Drug Reactions: A Review.&quot;,&quot;author&quot;:[{&quot;family&quot;:&quot;Manjhi&quot;,&quot;given&quot;:&quot;Pramod K&quot;,&quot;parse-names&quot;:false,&quot;dropping-particle&quot;:&quot;&quot;,&quot;non-dropping-particle&quot;:&quot;&quot;},{&quot;family&quot;:&quot;Singh&quot;,&quot;given&quot;:&quot;Madhusudan P&quot;,&quot;parse-names&quot;:false,&quot;dropping-particle&quot;:&quot;&quot;,&quot;non-dropping-particle&quot;:&quot;&quot;},{&quot;family&quot;:&quot;Kumar&quot;,&quot;given&quot;:&quot;Mukesh&quot;,&quot;parse-names&quot;:false,&quot;dropping-particle&quot;:&quot;&quot;,&quot;non-dropping-particle&quot;:&quot;&quot;}],&quot;container-title&quot;:&quot;Cureus&quot;,&quot;container-title-short&quot;:&quot;Cureus&quot;,&quot;DOI&quot;:&quot;10.7759/cureus.59975&quot;,&quot;ISSN&quot;:&quot;2168-8184&quot;,&quot;PMID&quot;:&quot;38854273&quot;,&quot;issued&quot;:{&quot;date-parts&quot;:[[2024,5]]},&quot;page&quot;:&quot;e59975&quot;,&quot;abstract&quot;:&quot;The pharmacovigilance program of India (PvPI), after its inception, has been reliably acquiring force in bringing issues to light among the masses, healthcare professionals, the pharma industry, and clinical staff at hospitals. Adverse drug reactions are unintended events that occur after exposure to a drug, biological product, or medical device, and they may result in morbidity and mortality. It is critical to monitor the safety of drugs during the post-marketing phase to find long-term and rare ADRs, as well as ADRs in special populations and patients with co-morbidities that are not usually included during clinical trials. The definitive objective of pharmacovigilance is to collate data and analyze it. Assessing the causality between ADRs and drugs is necessary to decrease the occurrence of ADRs and to reduce the risk of drug-related ADRs. ADRs may lead to increased morbidity, increased hospital stays, and increased cost of treatment, resulting in compromised patient safety. Causality assessment is the evaluation of the likelihood that a particular treatment is the cause of an observed adverse event and establishing a causal association between a drug and a drug reaction is necessary to prevent further recurrences. Numerous methods available for establishing a causal association between the drug and adverse events have been broadly classified into clinical judgment or global introspection, algorithms, and probabilistic methods. These include the Swedish method, World Health Organization-Uppsala Monitoring Centre (WHO-UMC) scale, Naranjo's algorithm, Kramer algorithm, Jones algorithm, Karch algorithm, Bégaud algorithm, Adverse Drug Reactions Advisory Committee guidelines, Bayesian Adverse Reaction Diagnostic Instrument, and so on. Despite various methods available, none of the causality assessment tools have been universally accepted as the gold standard. Naranjo's algorithm and WHO-UMC scales are, however, the most commonly used. Similarly, for preventability and severity assessment of ADRs, the Schumock and Thornton scale and Hartwig and Siegel's scale are most commonly used. Hence, we reviewed different tools and methods available to assess the causality, preventability, and severity of ADRs.&quot;,&quot;issue&quot;:&quot;5&quot;,&quot;volume&quot;:&quot;16&quot;},&quot;isTemporary&quot;:false},{&quot;id&quot;:&quot;8edc6c42-ae9e-30d0-a85a-43e16671f7d1&quot;,&quot;itemData&quot;:{&quot;type&quot;:&quot;article-journal&quot;,&quot;id&quot;:&quot;8edc6c42-ae9e-30d0-a85a-43e16671f7d1&quot;,&quot;title&quot;:&quot;Causal or casual? The role of causality assessment in pharmacovigilance.&quot;,&quot;author&quot;:[{&quot;family&quot;:&quot;Meyboom&quot;,&quot;given&quot;:&quot;R H&quot;,&quot;parse-names&quot;:false,&quot;dropping-particle&quot;:&quot;&quot;,&quot;non-dropping-particle&quot;:&quot;&quot;},{&quot;family&quot;:&quot;Hekster&quot;,&quot;given&quot;:&quot;Y A&quot;,&quot;parse-names&quot;:false,&quot;dropping-particle&quot;:&quot;&quot;,&quot;non-dropping-particle&quot;:&quot;&quot;},{&quot;family&quot;:&quot;Egberts&quot;,&quot;given&quot;:&quot;A C&quot;,&quot;parse-names&quot;:false,&quot;dropping-particle&quot;:&quot;&quot;,&quot;non-dropping-particle&quot;:&quot;&quot;},{&quot;family&quot;:&quot;Gribnau&quot;,&quot;given&quot;:&quot;F W&quot;,&quot;parse-names&quot;:false,&quot;dropping-particle&quot;:&quot;&quot;,&quot;non-dropping-particle&quot;:&quot;&quot;},{&quot;family&quot;:&quot;Edwards&quot;,&quot;given&quot;:&quot;I R&quot;,&quot;parse-names&quot;:false,&quot;dropping-particle&quot;:&quot;&quot;,&quot;non-dropping-particle&quot;:&quot;&quot;}],&quot;container-title&quot;:&quot;Drug safety&quot;,&quot;container-title-short&quot;:&quot;Drug Saf.&quot;,&quot;DOI&quot;:&quot;10.2165/00002018-199717060-00004&quot;,&quot;ISSN&quot;:&quot;0114-5916&quot;,&quot;PMID&quot;:&quot;9429837&quot;,&quot;issued&quot;:{&quot;date-parts&quot;:[[1997,12]]},&quot;page&quot;:&quot;374-89&quot;,&quot;abstract&quot;:&quot;As with any other study method, 'spontaneous reporting' in pharmacovigilance is a process of data acquisition, assessment, presentation and interpretation. The provision of information (i.e. of interpreted data) concerning previously unknown, or otherwise important adverse drug reactions is a major goal. The assessment of case reports in spontaneous reporting takes place in 2 steps: first the assessment of each case individually, and secondly the interpretation of the aggregated data. The latter step is only completed for a minority of case reports, such as when actions or measures are deemed necessary. Uncertainty in case reports regarding the involvement of the suspected drugs is an inherent drawback of spontaneous reporting. Standardised case-causality assessment has become a routine at pharmacovigilance centres around the world. It aims at a decrease in ambiguity of the data and plays a role in data exchange and the prevention of erroneous conclusions. A variety of systems for standardised causality assessment have been developed, ranging from short questionnaires to comprehensive algorithms. Since none of the available assessment systems has been validated (i.e. shown to consistently and reproducibly produce a fair approximation of the truth), causality assessment has only limited scientific value. Causality assessment neither eliminates nor quantifies uncertainty but, at best, categorises it in a semiquantitative way. Routine causality assessment is usually part of the first step in case assessment, and is based on a general system that is intended for all reactions and all drugs. During the subsequent phase of aggregated assessment, causality assessment is likely to be repeated and the use of a specific aetiological-diagnostic system may be more appropriate. It may be recommended to restrict case-causality assessment to selected case reports that are likely to play an active role in pharmacovigilance and to use specific systems, adapted to the reaction or problem involved. It is an inherent limitation of spontaneous reporting that, with the exception of rare proof-positive case reports, conclusive evidence cannot usually be produced. Standardised causality assessment has not really changed this situation. As a rule, confirmation of the connection between a drug and an adverse reaction requires further analytical or experimental study.&quot;,&quot;issue&quot;:&quot;6&quot;,&quot;volume&quot;:&quot;17&quot;},&quot;isTemporary&quot;:false}],&quot;citationTag&quot;:&quot;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&quot;},{&quot;citationID&quot;:&quot;MENDELEY_CITATION_f5acb79f-d136-476f-b817-a24350a434bd&quot;,&quot;properties&quot;:{&quot;noteIndex&quot;:0},&quot;isEdited&quot;:false,&quot;manualOverride&quot;:{&quot;isManuallyOverridden&quot;:false,&quot;citeprocText&quot;:&quot;(Iliyas et al., 2018)&quot;,&quot;manualOverrideText&quot;:&quot;&quot;},&quot;citationTag&quot;:&quot;MENDELEY_CITATION_v3_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&quot;,&quot;citationItems&quot;:[{&quot;id&quot;:&quot;6d4f3ce3-0e70-3509-8c29-afc6b94ce360&quot;,&quot;itemData&quot;:{&quot;type&quot;:&quot;article-journal&quot;,&quot;id&quot;:&quot;6d4f3ce3-0e70-3509-8c29-afc6b94ce360&quot;,&quot;title&quot;:&quot;Ciprofloxacin-induced generalised non-bullous fixed drug eruption.&quot;,&quot;author&quot;:[{&quot;family&quot;:&quot;Iliyas&quot;,&quot;given&quot;:&quot;Mohamed&quot;,&quot;parse-names&quot;:false,&quot;dropping-particle&quot;:&quot;&quot;,&quot;non-dropping-particle&quot;:&quot;&quot;},{&quot;family&quot;:&quot;Ram Subba Reddy&quot;,&quot;given&quot;:&quot;Mudda&quot;,&quot;parse-names&quot;:false,&quot;dropping-particle&quot;:&quot;&quot;,&quot;non-dropping-particle&quot;:&quot;&quot;},{&quot;family&quot;:&quot;Devi&quot;,&quot;given&quot;:&quot;Uma&quot;,&quot;parse-names&quot;:false,&quot;dropping-particle&quot;:&quot;&quot;,&quot;non-dropping-particle&quot;:&quot;&quot;}],&quot;container-title&quot;:&quot;BMJ case reports&quot;,&quot;container-title-short&quot;:&quot;BMJ Case Rep.&quot;,&quot;DOI&quot;:&quot;10.1136/bcr-2018-224858&quot;,&quot;ISSN&quot;:&quot;1757-790X&quot;,&quot;PMID&quot;:&quot;29866687&quot;,&quot;issued&quot;:{&quot;date-parts&quot;:[[2018,6,4]]},&quot;abstract&quot;:&quot;Ciprofloxacin, a very common antibiotic used in our day-to-day practice can cause adverse cutaneous reactions in 1-2% of patients. Photosensitivity, urticaria and maculopapular rash are the usual skin reactions. Fixed drug eruption (FDE) is an uncommon side effect of ciprofloxacin. Ciprofloxacin-induced generalised bullous FDEs have been very rarely reported in the literature. We report one such case of a young man who developed generalised non-bullous FDEs after treatment with ciprofloxacin.&quot;,&quot;volume&quot;:&quot;2018&quot;},&quot;isTemporary&quot;:false}]},{&quot;citationID&quot;:&quot;MENDELEY_CITATION_07933751-cb45-4978-a3da-ca3164a00024&quot;,&quot;properties&quot;:{&quot;noteIndex&quot;:0},&quot;isEdited&quot;:false,&quot;manualOverride&quot;:{&quot;isManuallyOverridden&quot;:false,&quot;citeprocText&quot;:&quot;(Ryan et al., 2018)&quot;,&quot;manualOverrideText&quot;:&quot;&quot;},&quot;citationTag&quot;:&quot;MENDELEY_CITATION_v3_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&quot;,&quot;citationItems&quot;:[{&quot;id&quot;:&quot;391aa94a-3f1e-3bf4-b101-509dcdf002a1&quot;,&quot;itemData&quot;:{&quot;type&quot;:&quot;article-journal&quot;,&quot;id&quot;:&quot;391aa94a-3f1e-3bf4-b101-509dcdf002a1&quot;,&quot;title&quot;:&quot;Epididymo-orchitis caused by enteric organisms in men &gt; 35 years old: beyond fluoroquinolones.&quot;,&quot;author&quot;:[{&quot;family&quot;:&quot;Ryan&quot;,&quot;given&quot;:&quot;Laura&quot;,&quot;parse-names&quot;:false,&quot;dropping-particle&quot;:&quot;&quot;,&quot;non-dropping-particle&quot;:&quot;&quot;},{&quot;family&quot;:&quot;Daly&quot;,&quot;given&quot;:&quot;Padraig&quot;,&quot;parse-names&quot;:false,&quot;dropping-particle&quot;:&quot;&quot;,&quot;non-dropping-particle&quot;:&quot;&quot;},{&quot;family&quot;:&quot;Cullen&quot;,&quot;given&quot;:&quot;Ivor&quot;,&quot;parse-names&quot;:false,&quot;dropping-particle&quot;:&quot;&quot;,&quot;non-dropping-particle&quot;:&quot;&quot;},{&quot;family&quot;:&quot;Doyle&quot;,&quot;given&quot;:&quot;Maeve&quot;,&quot;parse-names&quot;:false,&quot;dropping-particle&quot;:&quot;&quot;,&quot;non-dropping-particle&quot;:&quot;&quot;}],&quot;container-title&quot;:&quot;European journal of clinical microbiology &amp; infectious diseases : official publication of the European Society of Clinical Microbiology&quot;,&quot;container-title-short&quot;:&quot;Eur. J. Clin. Microbiol. Infect. Dis.&quot;,&quot;DOI&quot;:&quot;10.1007/s10096-018-3212-z&quot;,&quot;ISSN&quot;:&quot;1435-4373&quot;,&quot;PMID&quot;:&quot;29450767&quot;,&quot;issued&quot;:{&quot;date-parts&quot;:[[2018,6]]},&quot;page&quot;:&quot;1001-1008&quot;,&quot;abstract&quot;:&quot;Epididymo-orchitis is a common urological condition in men of all ages, causing a unilateral or bilateral swelling of the epididymis and/or testis. It is frequently caused by sexually transmitted infections, Chlamydia trachomatis and Neisseria gonorrheae, as well as common enteric organisms implicated in urinary tract infections. Men over 35 years old may develop epididymo-orchitis associated with enteric organisms, often associated with functional bladder outlet problems such as benign prostatic hyperplasia or urethral stricture disease. Fluoroquinolones, especially ciprofloxacin, have long been the mainstay of treatment for these infections; however, rising resistance to ciprofloxacin in E. coli isolates in Europe and the USA means that there is an unprecedented necessity for alternative antimicrobials with adequate penetration into genital tissues (epididymis and testes) to allow appropriate and comprehensive treatment of epididymo-orchitis in this group of patients.&quot;,&quot;issue&quot;:&quot;6&quot;,&quot;volume&quot;:&quot;37&quot;},&quot;isTemporary&quot;:false}]},{&quot;citationID&quot;:&quot;MENDELEY_CITATION_5b6a0117-91d5-4a07-b338-16d56672ac83&quot;,&quot;properties&quot;:{&quot;noteIndex&quot;:0},&quot;isEdited&quot;:false,&quot;manualOverride&quot;:{&quot;isManuallyOverridden&quot;:true,&quot;citeprocText&quot;:&quot;(Nicholson et al., 2010)&quot;,&quot;manualOverrideText&quot;:&quot;(Nicholson et al., 2010) More recent European guidance emphasizes pathogen-directed assessment and differentiates treatment according to suspected sexually transmitted or enteric aetiology.&quot;},&quot;citationTag&quot;:&quot;MENDELEY_CITATION_v3_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&quot;,&quot;citationItems&quot;:[{&quot;id&quot;:&quot;2d59fe30-ae9f-3943-879c-c47e5ee2955c&quot;,&quot;itemData&quot;:{&quot;type&quot;:&quot;article-journal&quot;,&quot;id&quot;:&quot;2d59fe30-ae9f-3943-879c-c47e5ee2955c&quot;,&quot;title&quot;:&quot;Management of epididymo-orchitis in primary care: Results from a large UK primary care database&quot;,&quot;author&quot;:[{&quot;family&quot;:&quot;Nicholson&quot;,&quot;given&quot;:&quot;Amanda&quot;,&quot;parse-names&quot;:false,&quot;dropping-particle&quot;:&quot;&quot;,&quot;non-dropping-particle&quot;:&quot;&quot;},{&quot;family&quot;:&quot;Rait&quot;,&quot;given&quot;:&quot;Greta&quot;,&quot;parse-names&quot;:false,&quot;dropping-particle&quot;:&quot;&quot;,&quot;non-dropping-particle&quot;:&quot;&quot;},{&quot;family&quot;:&quot;Murray-Thomas&quot;,&quot;given&quot;:&quot;Tarita&quot;,&quot;parse-names&quot;:false,&quot;dropping-particle&quot;:&quot;&quot;,&quot;non-dropping-particle&quot;:&quot;&quot;},{&quot;family&quot;:&quot;Hughes&quot;,&quot;given&quot;:&quot;Gwenda&quot;,&quot;parse-names&quot;:false,&quot;dropping-particle&quot;:&quot;&quot;,&quot;non-dropping-particle&quot;:&quot;&quot;},{&quot;family&quot;:&quot;Mercer&quot;,&quot;given&quot;:&quot;Catherine H.&quot;,&quot;parse-names&quot;:false,&quot;dropping-particle&quot;:&quot;&quot;,&quot;non-dropping-particle&quot;:&quot;&quot;},{&quot;family&quot;:&quot;Cassell&quot;,&quot;given&quot;:&quot;Jackie&quot;,&quot;parse-names&quot;:false,&quot;dropping-particle&quot;:&quot;&quot;,&quot;non-dropping-particle&quot;:&quot;&quot;}],&quot;container-title&quot;:&quot;British Journal of General Practice&quot;,&quot;DOI&quot;:&quot;10.3399/bjgp10X532413&quot;,&quot;ISSN&quot;:&quot;09601643&quot;,&quot;PMID&quot;:&quot;20883615&quot;,&quot;issued&quot;:{&quot;date-parts&quot;:[[2010,10]]},&quot;abstract&quot;:&quot;Background Epididymo-orchltls is a common urological presentation in men but recent incidence data are lacking. Guidelines for management recommend detailed investigation and treatment for sexually transmitted pathogens, such as Chlamydia trachomatis. Data from secondary care indicate that these guidelines are poorly followed. It is not known how epididymo-orchitis is managed in UK general practice. Aim To estimate the incidence of cases of epididymoorchitis seen in UK general practice, and to describe their management. Design of study Cohort study. Setting UK general practices contributing to the General Practice Research Database (GPRD). Method Men, aged 15-60 years, consulting with a first episode of epididymo-orchitis between 30 June 2003 and 30 June 2008 were identified. All records within 28 days either side of the diagnosis date were analysed to describe the management of these cases (including location) and to compare this management with guidelines. Results A total of 12 615 patients with a first episode of epididymo-orchitis were identified. The incidence was highest in 2004-2005 (25/10 000) and declined in the later years of the study. Fifty-seven per cent (6943) of patients were managed entirely within general practice. Of these, over 92% received an antibiotic, with ciprofloxacin being the most common one prescribed. Only 18% received a prescription for doxycycline. Most men, including those under 35 years, had no investigation recorded and fewer than 3% had a test for chlamydia. Conclusion These results indicate low rates of specific testing and treatment for sexually transmitted infections in males who attend general practice with symptoms of epididymo-orchitis. There is a need for further research to understand the pattern of care delivered in general practice. © British Journal of General Practice.&quot;,&quot;issue&quot;:&quot;579&quot;,&quot;volume&quot;:&quot;60&quot;,&quot;container-title-short&quot;:&quot;&quot;},&quot;isTemporary&quot;:false}]},{&quot;citationID&quot;:&quot;MENDELEY_CITATION_bf00b7b9-ae38-47bd-90c7-618f5a591c32&quot;,&quot;properties&quot;:{&quot;noteIndex&quot;:0},&quot;isEdited&quot;:false,&quot;manualOverride&quot;:{&quot;isManuallyOverridden&quot;:false,&quot;citeprocText&quot;:&quot;(Justice et al., 2026)&quot;,&quot;manualOverrideText&quot;:&quot;&quot;},&quot;citationTag&quot;:&quot;MENDELEY_CITATION_v3_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&quot;,&quot;citationItems&quot;:[{&quot;id&quot;:&quot;b87c0800-d7de-396d-a442-b8d0c4e9edc9&quot;,&quot;itemData&quot;:{&quot;type&quot;:&quot;article-journal&quot;,&quot;id&quot;:&quot;b87c0800-d7de-396d-a442-b8d0c4e9edc9&quot;,&quot;title&quot;:&quot;The 2024 European guideline on the management of epididymo-orchitis.&quot;,&quot;author&quot;:[{&quot;family&quot;:&quot;Justice&quot;,&quot;given&quot;:&quot;Edwin D&quot;,&quot;parse-names&quot;:false,&quot;dropping-particle&quot;:&quot;&quot;,&quot;non-dropping-particle&quot;:&quot;&quot;},{&quot;family&quot;:&quot;Fricker&quot;,&quot;given&quot;:&quot;John&quot;,&quot;parse-names&quot;:false,&quot;dropping-particle&quot;:&quot;&quot;,&quot;non-dropping-particle&quot;:&quot;&quot;},{&quot;family&quot;:&quot;Ross&quot;,&quot;given&quot;:&quot;Jonathan D C&quot;,&quot;parse-names&quot;:false,&quot;dropping-particle&quot;:&quot;&quot;,&quot;non-dropping-particle&quot;:&quot;&quot;},{&quot;family&quot;:&quot;Kopa&quot;,&quot;given&quot;:&quot;Zsolt&quot;,&quot;parse-names&quot;:false,&quot;dropping-particle&quot;:&quot;&quot;,&quot;non-dropping-particle&quot;:&quot;&quot;},{&quot;family&quot;:&quot;Skerlev&quot;,&quot;given&quot;:&quot;Mihael&quot;,&quot;parse-names&quot;:false,&quot;dropping-particle&quot;:&quot;&quot;,&quot;non-dropping-particle&quot;:&quot;&quot;},{&quot;family&quot;:&quot;Patel&quot;,&quot;given&quot;:&quot;Rajul&quot;,&quot;parse-names&quot;:false,&quot;dropping-particle&quot;:&quot;&quot;,&quot;non-dropping-particle&quot;:&quot;&quot;}],&quot;container-title&quot;:&quot;Journal of the European Academy of Dermatology and Venereology : JEADV&quot;,&quot;container-title-short&quot;:&quot;J. Eur. Acad. Dermatol. Venereol.&quot;,&quot;DOI&quot;:&quot;10.1111/jdv.20865&quot;,&quot;ISSN&quot;:&quot;1468-3083&quot;,&quot;PMID&quot;:&quot;40698982&quot;,&quot;issued&quot;:{&quot;date-parts&quot;:[[2026,2]]},&quot;page&quot;:&quot;166-173&quot;,&quot;abstract&quot;:&quot;The European guideline on the management of epididymo-orchitis has been updated in 2024. This guideline offers advice on the diagnosis, investigation, treatment and follow-up for the management of epididymo-orchitis. For treatment of patients with a history suggestive of sexually transmitted pathogens-ceftriaxone dose increased to 1 g intramuscularly (IM) single dose alongside doxycycline. The use of dual therapy with azithromycin is no longer recommended, unless cefixime is being given as an alternative to ceftriaxone. For treatment of patients with a history including risks for both sexually transmitted and enteric pathogens-ceftriaxone IM single dose and either ofloxacin or levofloxacin is recommended. Where enteric pathogens are suspected as the likely cause, either ofloxacin or levofloxacin is recommended as monotherapy. This guideline covers a range of clinical scenarios, including rarer and non-sexually transmitted causative agents.&quot;,&quot;issue&quot;:&quot;2&quot;,&quot;volume&quot;:&quot;40&quot;},&quot;isTemporary&quot;:false}]},{&quot;citationID&quot;:&quot;MENDELEY_CITATION_faa89139-d577-4aaa-b656-4e7e2bf02947&quot;,&quot;properties&quot;:{&quot;noteIndex&quot;:0},&quot;isEdited&quot;:false,&quot;manualOverride&quot;:{&quot;isManuallyOverridden&quot;:false,&quot;citeprocText&quot;:&quot;(Baggio &amp;#38; Ananda-Rajah, 2021; Bertino &amp;#38; Fish, 2000)&quot;,&quot;manualOverrideText&quot;:&quot;&quot;},&quot;citationTag&quot;:&quot;MENDELEY_CITATION_v3_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&quot;,&quot;citationItems&quot;:[{&quot;id&quot;:&quot;956ed2af-c7b3-309b-81cd-b775e881e650&quot;,&quot;itemData&quot;:{&quot;type&quot;:&quot;article-journal&quot;,&quot;id&quot;:&quot;956ed2af-c7b3-309b-81cd-b775e881e650&quot;,&quot;title&quot;:&quot;Fluoroquinolone antibiotics and adverse events&quot;,&quot;author&quot;:[{&quot;family&quot;:&quot;Baggio&quot;,&quot;given&quot;:&quot;Diva&quot;,&quot;parse-names&quot;:false,&quot;dropping-particle&quot;:&quot;&quot;,&quot;non-dropping-particle&quot;:&quot;&quot;},{&quot;family&quot;:&quot;Ananda-Rajah&quot;,&quot;given&quot;:&quot;Michelle R.&quot;,&quot;parse-names&quot;:false,&quot;dropping-particle&quot;:&quot;&quot;,&quot;non-dropping-particle&quot;:&quot;&quot;}],&quot;container-title&quot;:&quot;Australian Prescriber&quot;,&quot;container-title-short&quot;:&quot;Aust. Prescr.&quot;,&quot;DOI&quot;:&quot;10.18773/austprescr.2021.035&quot;,&quot;ISSN&quot;:&quot;18393942&quot;,&quot;issued&quot;:{&quot;date-parts&quot;:[[2021,10,1]]},&quot;page&quot;:&quot;161-164&quot;,&quot;abstract&quot;:&quot;Fluoroquinolones are broad-spectrum antibiotics with good oral bioavailability. They are used for the treatment of a wide variety of infections, but there are restrictions on prescribing these drugs. Epidemiological studies have reported an increased risk of rare adverse effects. These include tendinopathy and tendon rupture, peripheral neuropathy and aortic aneurysm. Safe prescribing of fluroquinolones requires recognition of patients with risk factors for toxicity. Prompt drug discontinuation is recommended in the event of an adverse reaction. Practising antimicrobial stewardship by prescribing fluoroquinolones only when alternative drugs are unavailable is also key to limiting adverse events and antibiotic resistance.&quot;,&quot;publisher&quot;:&quot;NPS MedicineWise&quot;,&quot;issue&quot;:&quot;5&quot;,&quot;volume&quot;:&quot;44&quot;},&quot;isTemporary&quot;:false},{&quot;id&quot;:&quot;67f63ed5-0e49-31dc-982b-f18647a73fb2&quot;,&quot;itemData&quot;:{&quot;type&quot;:&quot;article-journal&quot;,&quot;id&quot;:&quot;67f63ed5-0e49-31dc-982b-f18647a73fb2&quot;,&quot;title&quot;:&quot;The safety profile of the fluoroquinolones.&quot;,&quot;author&quot;:[{&quot;family&quot;:&quot;Bertino&quot;,&quot;given&quot;:&quot;J&quot;,&quot;parse-names&quot;:false,&quot;dropping-particle&quot;:&quot;&quot;,&quot;non-dropping-particle&quot;:&quot;&quot;},{&quot;family&quot;:&quot;Fish&quot;,&quot;given&quot;:&quot;D&quot;,&quot;parse-names&quot;:false,&quot;dropping-particle&quot;:&quot;&quot;,&quot;non-dropping-particle&quot;:&quot;&quot;}],&quot;container-title&quot;:&quot;Clinical therapeutics&quot;,&quot;container-title-short&quot;:&quot;Clin. Ther.&quot;,&quot;DOI&quot;:&quot;10.1016/S0149-2918(00)80053-3&quot;,&quot;ISSN&quot;:&quot;0149-2918&quot;,&quot;PMID&quot;:&quot;10945507&quot;,&quot;issued&quot;:{&quot;date-parts&quot;:[[2000,7]]},&quot;page&quot;:&quot;798-817; discussion 797&quot;,&quot;abstract&quot;:&quot;BACKGROUND Premarketing trials showed the fluoroquinolone agents to have a favorable side-effect profile, with treatment-related adverse events comprising gastrointestinal, central nervous system, and dermatologic effects that were generally mild and reversible on cessation of treatment. However, postmarketing surveillance studies have identified severe adverse events, including severe anaphylaxis, QTc-interval prolongation, and potential cardiotoxicity, associated with 3 quinolone agents that either resulted in the removal of the agent from the market (temafloxacin and grepafloxacin) or significantly restricted its use due to substantial mortality and morbidity associated with liver toxicity (trovafloxacin). To date, there have been no such significant adverse events associated with the older fluoroquinolone agents, including ciprofloxacin, ofloxacin, norfloxacin, and levofloxacin. However, there are fewer data from postmarketing surveillance studies on the most recently approved agents, such as moxifloxacin and gatifloxacin, or agents awaiting approval, such as gemifloxacin. OBJECTIVE This paper examines safety data from the premarketing trials and postmarketing surveillance studies of fluoroquinolones available in the United States. METHODS A MEDLINE search was performed to identify all English-language studies published since 1980 concerning the safety profiles of the fluoroquinolones. CONCLUSIONS The fluoroquinolone antibacterial agents offer broad-spectrum therapy in patients with a variety of infections. Given similar spectra of activity, the choice between quinolones may be based on differences in efficacy and safety or tolerability profiles. Most drug reactions involving these agents are minor and reversible on discontinuing treatment, but adverse effects can be associated with significant mortality and morbidity, as was seen in the case of trovafloxacin and temafloxacin.&quot;,&quot;issue&quot;:&quot;7&quot;,&quot;volume&quot;:&quot;22&quot;},&quot;isTemporary&quot;:false}]},{&quot;citationID&quot;:&quot;MENDELEY_CITATION_383ab874-d959-42d5-a433-36730d7c4a50&quot;,&quot;properties&quot;:{&quot;noteIndex&quot;:0},&quot;isEdited&quot;:false,&quot;manualOverride&quot;:{&quot;isManuallyOverridden&quot;:false,&quot;citeprocText&quot;:&quot;(Ball, 1986; Deamer et al., 1992)&quot;,&quot;manualOverrideText&quot;:&quot;&quot;},&quot;citationTag&quot;:&quot;MENDELEY_CITATION_v3_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&quot;,&quot;citationItems&quot;:[{&quot;id&quot;:&quot;79afe360-4aec-36ea-b22e-2a03262049a9&quot;,&quot;itemData&quot;:{&quot;type&quot;:&quot;article-journal&quot;,&quot;id&quot;:&quot;79afe360-4aec-36ea-b22e-2a03262049a9&quot;,&quot;title&quot;:&quot;Ciprofloxacin: an overview of adverse experiences.&quot;,&quot;author&quot;:[{&quot;family&quot;:&quot;Ball&quot;,&quot;given&quot;:&quot;P&quot;,&quot;parse-names&quot;:false,&quot;dropping-particle&quot;:&quot;&quot;,&quot;non-dropping-particle&quot;:&quot;&quot;}],&quot;container-title&quot;:&quot;The Journal of antimicrobial chemotherapy&quot;,&quot;container-title-short&quot;:&quot;J. Antimicrob. Chemother.&quot;,&quot;DOI&quot;:&quot;10.1093/jac/18.sd.187&quot;,&quot;ISSN&quot;:&quot;0305-7453&quot;,&quot;PMID&quot;:&quot;3542945&quot;,&quot;issued&quot;:{&quot;date-parts&quot;:[[1986,11]]},&quot;page&quot;:&quot;187-93&quot;,&quot;abstract&quot;:&quot;This review summarizes adverse reactions probably or possibly attributable to oral ciprofloxacin therapy in worldwide clinical experience involving over 6500 patients. In Europe and Japan the overall incidence of adverse reactions amongst patients receiving ciprofloxacin is reported to be 3.0% and 6.5%, respectively. An increased incidence (13.4%) has been reported from the U.S.A., possibly relating to the use of higher dosages. Very few reactions have necessitated withdrawal of treatment. The most common adverse effects involve the gastro-intestinal system (2-8% of patients treated) and usually comprise nausea, vomiting, diarrhoea and abdominal discomfort. CNS effects are seen in 1-4% of patients but are usually minor dizziness or mild headache only. Hypersensitivity reactions, most commonly skin rashes or pruritus, affect about 1% of patients. There is little evidence of significant haematological or biochemical toxicity, other than a few reports of transient neutropenia and the finding, in a minority of clinical studies, of equally transient, usually trivial and invariably reversible elevations of serum aminotransferases. Serious, ciprofloxacin-related toxicity has been observed in only three patients: one who developed pseudomembranous colitis, another who developed interstitial nephritis and a third who had a grand-mal convulsion during concomitant administration of theophylline. Ciprofloxacin appears to have an excellent safety profile.&quot;,&quot;volume&quot;:&quot;18 Suppl D&quot;},&quot;isTemporary&quot;:false},{&quot;id&quot;:&quot;9eb7b9fc-c82f-3f27-86b3-89994686b92e&quot;,&quot;itemData&quot;:{&quot;type&quot;:&quot;article-journal&quot;,&quot;id&quot;:&quot;9eb7b9fc-c82f-3f27-86b3-89994686b92e&quot;,&quot;title&quot;:&quot;Hypersensitivity and anaphylactoid reactions to ciprofloxacin.&quot;,&quot;author&quot;:[{&quot;family&quot;:&quot;Deamer&quot;,&quot;given&quot;:&quot;R L&quot;,&quot;parse-names&quot;:false,&quot;dropping-particle&quot;:&quot;&quot;,&quot;non-dropping-particle&quot;:&quot;&quot;},{&quot;family&quot;:&quot;Prichard&quot;,&quot;given&quot;:&quot;J G&quot;,&quot;parse-names&quot;:false,&quot;dropping-particle&quot;:&quot;&quot;,&quot;non-dropping-particle&quot;:&quot;&quot;},{&quot;family&quot;:&quot;Loman&quot;,&quot;given&quot;:&quot;G J&quot;,&quot;parse-names&quot;:false,&quot;dropping-particle&quot;:&quot;&quot;,&quot;non-dropping-particle&quot;:&quot;&quot;}],&quot;container-title&quot;:&quot;The Annals of pharmacotherapy&quot;,&quot;container-title-short&quot;:&quot;Ann. Pharmacother.&quot;,&quot;DOI&quot;:&quot;10.1177/106002809202600905&quot;,&quot;ISSN&quot;:&quot;1060-0280&quot;,&quot;PMID&quot;:&quot;1421669&quot;,&quot;issued&quot;:{&quot;date-parts&quot;:[[1992,9]]},&quot;page&quot;:&quot;1081-4&quot;,&quot;abstract&quot;:&quot;OBJECTIVE To report three cases of life-threatening hypersensitivity reactions to the oral administration of ciprofloxacin. CASE SUMMARY Life-threatening hypersensitivity reactions to oral ciprofloxacin, characterized by diffuse, erythematous, nonpruritic, blanching rash, with fever and hypotension, occurred in two HIV-infected patients. One of these reactions was considered anaphylactoid. A similar hypersensitivity reaction was documented in a non-HIV-infected patient. DISCUSSION Premarketing clinical trials described no reports of life-threatening anaphylactoid hypersensitivity reactions to ciprofloxacin. However, postmarketing surveillance studies have documented their occurrence. Seven cases of anaphylactoid reaction to ciprofloxacin have now been documented in HIV-infected patients. CONCLUSIONS As with trimethoprim/sulfamethoxazole, HIV-infected people treated with ciprofloxacin may be at special risk for hypersensitivity reactions.&quot;,&quot;issue&quot;:&quot;9&quot;,&quot;volume&quot;:&quot;26&quot;},&quot;isTemporary&quot;:false}]},{&quot;citationID&quot;:&quot;MENDELEY_CITATION_8a36b269-f359-4472-8c4d-ea403817c852&quot;,&quot;properties&quot;:{&quot;noteIndex&quot;:0},&quot;isEdited&quot;:false,&quot;manualOverride&quot;:{&quot;isManuallyOverridden&quot;:false,&quot;citeprocText&quot;:&quot;(Collins et al., 2024; Hooper &amp;#38; Jacoby, 2016)&quot;,&quot;manualOverrideText&quot;:&quot;&quot;},&quot;citationItems&quot;:[{&quot;id&quot;:&quot;ba21805e-28f5-3ddd-bb4c-133e6b52d451&quot;,&quot;itemData&quot;:{&quot;type&quot;:&quot;article-journal&quot;,&quot;id&quot;:&quot;ba21805e-28f5-3ddd-bb4c-133e6b52d451&quot;,&quot;title&quot;:&quot;Topoisomerase inhibitors: Fluoroquinolone mechanisms of action and resistance&quot;,&quot;author&quot;:[{&quot;family&quot;:&quot;Hooper&quot;,&quot;given&quot;:&quot;David C.&quot;,&quot;parse-names&quot;:false,&quot;dropping-particle&quot;:&quot;&quot;,&quot;non-dropping-particle&quot;:&quot;&quot;},{&quot;family&quot;:&quot;Jacoby&quot;,&quot;given&quot;:&quot;George A.&quot;,&quot;parse-names&quot;:false,&quot;dropping-particle&quot;:&quot;&quot;,&quot;non-dropping-particle&quot;:&quot;&quot;}],&quot;container-title&quot;:&quot;Cold Spring Harbor Perspectives in Medicine&quot;,&quot;container-title-short&quot;:&quot;Cold Spring Harb. Perspect. Med.&quot;,&quot;DOI&quot;:&quot;10.1101/cshperspect.a025320&quot;,&quot;ISSN&quot;:&quot;21571422&quot;,&quot;PMID&quot;:&quot;27449972&quot;,&quot;issued&quot;:{&quot;date-parts&quot;:[[2016,9,1]]},&quot;abstract&quot;:&quot;Quinolone antimicrobials are widely used in clinical medicine and are the only current class of agents that directly inhibit bacterial DNA synthesis. Quinolones dually target DNA gyrase and topoisomerase IV binding to specific domains and conformations so as to block DNA strand passage catalysis and stabilize DNA-enzyme complexes that block the DNA replication apparatus and generate double breaks inDNA that underlie their bactericidal activity. Resistance has emerged with clinical use of these agents and is common in some bacterial pathogens. Mechanisms of resistance include mutational alterations in drug target affinity and efflux pump expression and acquisition of resistance-conferring genes. Resistance mutations in one or both of the two drug target enzymes are commonly in a localized domain of the GyrA and ParC subunits of gyrase and topoisomerase IV, respectively, and reduce drug binding to the enzyme-DNA complex. Other resistance mutations occur in regulatory genes that control the expression of native efflux pumps localized in the bacterial membrane(s). These pumps have broad substrate profiles that include other antimicrobials as well as quinolones. Mutations of both types can accumulate with selection pressure and produce highly resistant strains. Resistance genes acquired on plasmids confer low-level resistance that promotes the selection of mutational high-level resistance. Plasmid-encoded resistance is because of Qnr proteins that protect the target enzymes from quinolone action, a mutant aminoglycoside-modifying enzyme that also modifies certain quinolones, and mobile efflux pumps. Plasmids with these mechanisms often encode additional antimicrobial resistances and can transfer multidrug resistance that includes quinolones.&quot;,&quot;publisher&quot;:&quot;Cold Spring Harbor Laboratory Press&quot;,&quot;issue&quot;:&quot;9&quot;,&quot;volume&quot;:&quot;6&quot;},&quot;isTemporary&quot;:false},{&quot;id&quot;:&quot;5cdcb822-3a25-3b71-8030-1cf0997340fa&quot;,&quot;itemData&quot;:{&quot;type&quot;:&quot;article-journal&quot;,&quot;id&quot;:&quot;5cdcb822-3a25-3b71-8030-1cf0997340fa&quot;,&quot;title&quot;:&quot;Target-Mediated Fluoroquinolone Resistance in Neisseria gonorrhoeae: Actions of Ciprofloxacin against Gyrase and Topoisomerase IV&quot;,&quot;author&quot;:[{&quot;family&quot;:&quot;Collins&quot;,&quot;given&quot;:&quot;Jessica A.&quot;,&quot;parse-names&quot;:false,&quot;dropping-particle&quot;:&quot;&quot;,&quot;non-dropping-particle&quot;:&quot;&quot;},{&quot;family&quot;:&quot;Oviatt&quot;,&quot;given&quot;:&quot;Alexandria A.&quot;,&quot;parse-names&quot;:false,&quot;dropping-particle&quot;:&quot;&quot;,&quot;non-dropping-particle&quot;:&quot;&quot;},{&quot;family&quot;:&quot;Chan&quot;,&quot;given&quot;:&quot;Pan F.&quot;,&quot;parse-names&quot;:false,&quot;dropping-particle&quot;:&quot;&quot;,&quot;non-dropping-particle&quot;:&quot;&quot;},{&quot;family&quot;:&quot;Osheroff&quot;,&quot;given&quot;:&quot;Neil&quot;,&quot;parse-names&quot;:false,&quot;dropping-particle&quot;:&quot;&quot;,&quot;non-dropping-particle&quot;:&quot;&quot;}],&quot;container-title&quot;:&quot;ACS Infectious Diseases&quot;,&quot;container-title-short&quot;:&quot;ACS Infect. Dis.&quot;,&quot;DOI&quot;:&quot;10.1021/acsinfecdis.4c00041&quot;,&quot;ISSN&quot;:&quot;23738227&quot;,&quot;PMID&quot;:&quot;38606464&quot;,&quot;issued&quot;:{&quot;date-parts&quot;:[[2024,4,12]]},&quot;page&quot;:&quot;1351-1360&quot;,&quot;abstract&quot;:&quot;Fluoroquinolones make up a critically important class of antibacterials administered worldwide to treat human infections. However, their clinical utility has been curtailed by target-mediated resistance, which is caused by mutations in the fluoroquinolone targets, gyrase and topoisomerase IV. An important pathogen that has been affected by this resistance is Neisseria gonorrhoeae, the causative agent of gonorrhea. Over 82 million new cases of this sexually transmitted infection were reported globally in 2020. Despite the impact of fluoroquinolone resistance on gonorrhea treatment, little is known about the interactions of this drug class with its targets in this bacterium. Therefore, we investigated the effects of the fluoroquinolone ciprofloxacin on the catalytic and DNA cleavage activities of wild-type gyrase and topoisomerase IV and the corresponding enzymes that harbor mutations associated with cellular and clinical resistance to fluoroquinolones. Results indicate that ciprofloxacin interacts with both gyrase (its primary target) and topoisomerase IV (its secondary target) through a water-metal ion bridge that has been described in other species. Moreover, mutations in amino acid residues that anchor this bridge diminish the susceptibility of the enzymes for the drug, leading to fluoroquinolone resistance. Results further suggest that ciprofloxacin primarily induces its cytotoxic effects by enhancing gyrase-mediated DNA cleavage as opposed to inhibiting the DNA supercoiling activity of the enzyme. In conclusion, this work links the effects of ciprofloxacin on wild-type and resistant gyrase to results reported for cellular and clinical studies and provides a mechanistic explanation for the targeting and resistance of fluoroquinolones in N. gonorrhoeae.&quot;,&quot;publisher&quot;:&quot;American Chemical Society&quot;,&quot;issue&quot;:&quot;4&quot;,&quot;volume&quot;:&quot;10&quot;},&quot;isTemporary&quot;:false}],&quot;citationTag&quot;:&quot;MENDELEY_CITATION_v3_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&quot;},{&quot;citationID&quot;:&quot;MENDELEY_CITATION_a4f63a5b-0f2a-412e-90d6-5cc9188c4a8c&quot;,&quot;properties&quot;:{&quot;noteIndex&quot;:0},&quot;isEdited&quot;:false,&quot;manualOverride&quot;:{&quot;isManuallyOverridden&quot;:false,&quot;citeprocText&quot;:&quot;(Collins et al., 2024; Hooper &amp;#38; Jacoby, 2016)&quot;,&quot;manualOverrideText&quot;:&quot;&quot;},&quot;citationItems&quot;:[{&quot;id&quot;:&quot;ba21805e-28f5-3ddd-bb4c-133e6b52d451&quot;,&quot;itemData&quot;:{&quot;type&quot;:&quot;article-journal&quot;,&quot;id&quot;:&quot;ba21805e-28f5-3ddd-bb4c-133e6b52d451&quot;,&quot;title&quot;:&quot;Topoisomerase inhibitors: Fluoroquinolone mechanisms of action and resistance&quot;,&quot;author&quot;:[{&quot;family&quot;:&quot;Hooper&quot;,&quot;given&quot;:&quot;David C.&quot;,&quot;parse-names&quot;:false,&quot;dropping-particle&quot;:&quot;&quot;,&quot;non-dropping-particle&quot;:&quot;&quot;},{&quot;family&quot;:&quot;Jacoby&quot;,&quot;given&quot;:&quot;George A.&quot;,&quot;parse-names&quot;:false,&quot;dropping-particle&quot;:&quot;&quot;,&quot;non-dropping-particle&quot;:&quot;&quot;}],&quot;container-title&quot;:&quot;Cold Spring Harbor Perspectives in Medicine&quot;,&quot;container-title-short&quot;:&quot;Cold Spring Harb. Perspect. Med.&quot;,&quot;DOI&quot;:&quot;10.1101/cshperspect.a025320&quot;,&quot;ISSN&quot;:&quot;21571422&quot;,&quot;PMID&quot;:&quot;27449972&quot;,&quot;issued&quot;:{&quot;date-parts&quot;:[[2016,9,1]]},&quot;abstract&quot;:&quot;Quinolone antimicrobials are widely used in clinical medicine and are the only current class of agents that directly inhibit bacterial DNA synthesis. Quinolones dually target DNA gyrase and topoisomerase IV binding to specific domains and conformations so as to block DNA strand passage catalysis and stabilize DNA-enzyme complexes that block the DNA replication apparatus and generate double breaks inDNA that underlie their bactericidal activity. Resistance has emerged with clinical use of these agents and is common in some bacterial pathogens. Mechanisms of resistance include mutational alterations in drug target affinity and efflux pump expression and acquisition of resistance-conferring genes. Resistance mutations in one or both of the two drug target enzymes are commonly in a localized domain of the GyrA and ParC subunits of gyrase and topoisomerase IV, respectively, and reduce drug binding to the enzyme-DNA complex. Other resistance mutations occur in regulatory genes that control the expression of native efflux pumps localized in the bacterial membrane(s). These pumps have broad substrate profiles that include other antimicrobials as well as quinolones. Mutations of both types can accumulate with selection pressure and produce highly resistant strains. Resistance genes acquired on plasmids confer low-level resistance that promotes the selection of mutational high-level resistance. Plasmid-encoded resistance is because of Qnr proteins that protect the target enzymes from quinolone action, a mutant aminoglycoside-modifying enzyme that also modifies certain quinolones, and mobile efflux pumps. Plasmids with these mechanisms often encode additional antimicrobial resistances and can transfer multidrug resistance that includes quinolones.&quot;,&quot;publisher&quot;:&quot;Cold Spring Harbor Laboratory Press&quot;,&quot;issue&quot;:&quot;9&quot;,&quot;volume&quot;:&quot;6&quot;},&quot;isTemporary&quot;:false},{&quot;id&quot;:&quot;5cdcb822-3a25-3b71-8030-1cf0997340fa&quot;,&quot;itemData&quot;:{&quot;type&quot;:&quot;article-journal&quot;,&quot;id&quot;:&quot;5cdcb822-3a25-3b71-8030-1cf0997340fa&quot;,&quot;title&quot;:&quot;Target-Mediated Fluoroquinolone Resistance in Neisseria gonorrhoeae: Actions of Ciprofloxacin against Gyrase and Topoisomerase IV&quot;,&quot;author&quot;:[{&quot;family&quot;:&quot;Collins&quot;,&quot;given&quot;:&quot;Jessica A.&quot;,&quot;parse-names&quot;:false,&quot;dropping-particle&quot;:&quot;&quot;,&quot;non-dropping-particle&quot;:&quot;&quot;},{&quot;family&quot;:&quot;Oviatt&quot;,&quot;given&quot;:&quot;Alexandria A.&quot;,&quot;parse-names&quot;:false,&quot;dropping-particle&quot;:&quot;&quot;,&quot;non-dropping-particle&quot;:&quot;&quot;},{&quot;family&quot;:&quot;Chan&quot;,&quot;given&quot;:&quot;Pan F.&quot;,&quot;parse-names&quot;:false,&quot;dropping-particle&quot;:&quot;&quot;,&quot;non-dropping-particle&quot;:&quot;&quot;},{&quot;family&quot;:&quot;Osheroff&quot;,&quot;given&quot;:&quot;Neil&quot;,&quot;parse-names&quot;:false,&quot;dropping-particle&quot;:&quot;&quot;,&quot;non-dropping-particle&quot;:&quot;&quot;}],&quot;container-title&quot;:&quot;ACS Infectious Diseases&quot;,&quot;container-title-short&quot;:&quot;ACS Infect. Dis.&quot;,&quot;DOI&quot;:&quot;10.1021/acsinfecdis.4c00041&quot;,&quot;ISSN&quot;:&quot;23738227&quot;,&quot;PMID&quot;:&quot;38606464&quot;,&quot;issued&quot;:{&quot;date-parts&quot;:[[2024,4,12]]},&quot;page&quot;:&quot;1351-1360&quot;,&quot;abstract&quot;:&quot;Fluoroquinolones make up a critically important class of antibacterials administered worldwide to treat human infections. However, their clinical utility has been curtailed by target-mediated resistance, which is caused by mutations in the fluoroquinolone targets, gyrase and topoisomerase IV. An important pathogen that has been affected by this resistance is Neisseria gonorrhoeae, the causative agent of gonorrhea. Over 82 million new cases of this sexually transmitted infection were reported globally in 2020. Despite the impact of fluoroquinolone resistance on gonorrhea treatment, little is known about the interactions of this drug class with its targets in this bacterium. Therefore, we investigated the effects of the fluoroquinolone ciprofloxacin on the catalytic and DNA cleavage activities of wild-type gyrase and topoisomerase IV and the corresponding enzymes that harbor mutations associated with cellular and clinical resistance to fluoroquinolones. Results indicate that ciprofloxacin interacts with both gyrase (its primary target) and topoisomerase IV (its secondary target) through a water-metal ion bridge that has been described in other species. Moreover, mutations in amino acid residues that anchor this bridge diminish the susceptibility of the enzymes for the drug, leading to fluoroquinolone resistance. Results further suggest that ciprofloxacin primarily induces its cytotoxic effects by enhancing gyrase-mediated DNA cleavage as opposed to inhibiting the DNA supercoiling activity of the enzyme. In conclusion, this work links the effects of ciprofloxacin on wild-type and resistant gyrase to results reported for cellular and clinical studies and provides a mechanistic explanation for the targeting and resistance of fluoroquinolones in N. gonorrhoeae.&quot;,&quot;publisher&quot;:&quot;American Chemical Society&quot;,&quot;issue&quot;:&quot;4&quot;,&quot;volume&quot;:&quot;10&quot;},&quot;isTemporary&quot;:false}],&quot;citationTag&quot;:&quot;MENDELEY_CITATION_v3_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&quot;},{&quot;citationID&quot;:&quot;MENDELEY_CITATION_b8c056a5-e69a-4f44-919a-4e08abd73495&quot;,&quot;properties&quot;:{&quot;noteIndex&quot;:0},&quot;isEdited&quot;:false,&quot;manualOverride&quot;:{&quot;isManuallyOverridden&quot;:false,&quot;citeprocText&quot;:&quot;(Baggio &amp;#38; Ananda-Rajah, 2021)&quot;,&quot;manualOverrideText&quot;:&quot;&quot;},&quot;citationTag&quot;:&quot;MENDELEY_CITATION_v3_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&quot;,&quot;citationItems&quot;:[{&quot;id&quot;:&quot;956ed2af-c7b3-309b-81cd-b775e881e650&quot;,&quot;itemData&quot;:{&quot;type&quot;:&quot;article-journal&quot;,&quot;id&quot;:&quot;956ed2af-c7b3-309b-81cd-b775e881e650&quot;,&quot;title&quot;:&quot;Fluoroquinolone antibiotics and adverse events&quot;,&quot;author&quot;:[{&quot;family&quot;:&quot;Baggio&quot;,&quot;given&quot;:&quot;Diva&quot;,&quot;parse-names&quot;:false,&quot;dropping-particle&quot;:&quot;&quot;,&quot;non-dropping-particle&quot;:&quot;&quot;},{&quot;family&quot;:&quot;Ananda-Rajah&quot;,&quot;given&quot;:&quot;Michelle R.&quot;,&quot;parse-names&quot;:false,&quot;dropping-particle&quot;:&quot;&quot;,&quot;non-dropping-particle&quot;:&quot;&quot;}],&quot;container-title&quot;:&quot;Australian Prescriber&quot;,&quot;container-title-short&quot;:&quot;Aust. Prescr.&quot;,&quot;DOI&quot;:&quot;10.18773/austprescr.2021.035&quot;,&quot;ISSN&quot;:&quot;18393942&quot;,&quot;issued&quot;:{&quot;date-parts&quot;:[[2021,10,1]]},&quot;page&quot;:&quot;161-164&quot;,&quot;abstract&quot;:&quot;Fluoroquinolones are broad-spectrum antibiotics with good oral bioavailability. They are used for the treatment of a wide variety of infections, but there are restrictions on prescribing these drugs. Epidemiological studies have reported an increased risk of rare adverse effects. These include tendinopathy and tendon rupture, peripheral neuropathy and aortic aneurysm. Safe prescribing of fluroquinolones requires recognition of patients with risk factors for toxicity. Prompt drug discontinuation is recommended in the event of an adverse reaction. Practising antimicrobial stewardship by prescribing fluoroquinolones only when alternative drugs are unavailable is also key to limiting adverse events and antibiotic resistance.&quot;,&quot;publisher&quot;:&quot;NPS MedicineWise&quot;,&quot;issue&quot;:&quot;5&quot;,&quot;volume&quot;:&quot;44&quot;},&quot;isTemporary&quot;:false}]},{&quot;citationID&quot;:&quot;MENDELEY_CITATION_90a87d44-da51-45ff-ba6b-1e3c3668f1d8&quot;,&quot;properties&quot;:{&quot;noteIndex&quot;:0},&quot;isEdited&quot;:false,&quot;manualOverride&quot;:{&quot;isManuallyOverridden&quot;:false,&quot;citeprocText&quot;:&quot;(Kulthanan et al., 2011)&quot;,&quot;manualOverrideText&quot;:&quot;&quot;},&quot;citationTag&quot;:&quot;MENDELEY_CITATION_v3_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&quot;,&quot;citationItems&quot;:[{&quot;id&quot;:&quot;29c92e81-6f44-37cd-a758-3e5fc237be67&quot;,&quot;itemData&quot;:{&quot;type&quot;:&quot;article-journal&quot;,&quot;id&quot;:&quot;29c92e81-6f44-37cd-a758-3e5fc237be67&quot;,&quot;title&quot;:&quot;Cutaneous adverse reactions to fluoroquinolones.&quot;,&quot;author&quot;:[{&quot;family&quot;:&quot;Kulthanan&quot;,&quot;given&quot;:&quot;Kanokvalai&quot;,&quot;parse-names&quot;:false,&quot;dropping-particle&quot;:&quot;&quot;,&quot;non-dropping-particle&quot;:&quot;&quot;},{&quot;family&quot;:&quot;Chularojanamontri&quot;,&quot;given&quot;:&quot;Leena&quot;,&quot;parse-names&quot;:false,&quot;dropping-particle&quot;:&quot;&quot;,&quot;non-dropping-particle&quot;:&quot;&quot;},{&quot;family&quot;:&quot;Manapajon&quot;,&quot;given&quot;:&quot;Araya&quot;,&quot;parse-names&quot;:false,&quot;dropping-particle&quot;:&quot;&quot;,&quot;non-dropping-particle&quot;:&quot;&quot;},{&quot;family&quot;:&quot;Dhana&quot;,&quot;given&quot;:&quot;Naruemon&quot;,&quot;parse-names&quot;:false,&quot;dropping-particle&quot;:&quot;&quot;,&quot;non-dropping-particle&quot;:&quot;&quot;},{&quot;family&quot;:&quot;Jongjarearnprasert&quot;,&quot;given&quot;:&quot;Kowit&quot;,&quot;parse-names&quot;:false,&quot;dropping-particle&quot;:&quot;&quot;,&quot;non-dropping-particle&quot;:&quot;&quot;}],&quot;container-title&quot;:&quot;Dermatitis : contact, atopic, occupational, drug&quot;,&quot;container-title-short&quot;:&quot;Dermatitis&quot;,&quot;ISSN&quot;:&quot;2162-5220&quot;,&quot;PMID&quot;:&quot;21569745&quot;,&quot;issued&quot;:{&quot;date-parts&quot;:[[2011,5]]},&quot;page&quot;:&quot;155-60&quot;,&quot;abstract&quot;:&quot;BACKGROUND To date, even though there are some large studies on adverse reactions related to fluoroquinolones, there is no comprehensive study focusing on cutaneous adverse drug reactions associated with their use. OBJECTIVE To demonstrate the pattern of cutaneous reaction related to the administration of each type of fluoroquinolone and to study the cross-sensitivity between various types of fluoroquinolones. METHODS Voluntary reports of any adverse events associated with fluoroquinolone use as reported from January 2004 to December 2008 and obtained from the Adverse Drug Reaction Center, Siriraj Hospital, Thailand, were reviewed. RESULTS Among 166,736 patients who had been treated with fluoroquinolones, the prevalences of adverse reaction and cutaneous adverse reaction were 0.13% and 0.09%, respectively. The prevalence of cutaneous reaction to individual fluoroquinolones varies between 0.04% and 0.37%. One hundred fifty-one subjects were enrolled. Most cutaneous reactions were attributed to ciprofloxacin (n = 93), and the most frequent adverse cutaneous reaction seen was maculopapular rash (39.7%). Thirteen cases (8.6%) involved a previous history of fluoroquinolone hypersensitivity; among these, 15.4% had cross-reactivity potential. CONCLUSION These data suggest that individual fluoroquinolones are responsible for different types and frequencies of cutaneous reactions, with some potentiality of cross-reactivity between different generations.&quot;,&quot;issue&quot;:&quot;3&quot;,&quot;volume&quot;:&quot;22&quot;},&quot;isTemporary&quot;:false}]},{&quot;citationID&quot;:&quot;MENDELEY_CITATION_da3794f8-450a-411c-8609-22887c251ee8&quot;,&quot;properties&quot;:{&quot;noteIndex&quot;:0},&quot;isEdited&quot;:false,&quot;manualOverride&quot;:{&quot;isManuallyOverridden&quot;:false,&quot;citeprocText&quot;:&quot;(Blanca-López et al., 2011; Neuman et al., 2015)&quot;,&quot;manualOverrideText&quot;:&quot;&quot;},&quot;citationTag&quot;:&quot;MENDELEY_CITATION_v3_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&quot;,&quot;citationItems&quot;:[{&quot;id&quot;:&quot;f4032fd6-b417-3a45-8dac-31c13a0a4e2e&quot;,&quot;itemData&quot;:{&quot;type&quot;:&quot;article-journal&quot;,&quot;id&quot;:&quot;f4032fd6-b417-3a45-8dac-31c13a0a4e2e&quot;,&quot;title&quot;:&quot;Quinolones-induced hypersensitivity reactions.&quot;,&quot;author&quot;:[{&quot;family&quot;:&quot;Neuman&quot;,&quot;given&quot;:&quot;Manuela G&quot;,&quot;parse-names&quot;:false,&quot;dropping-particle&quot;:&quot;&quot;,&quot;non-dropping-particle&quot;:&quot;&quot;},{&quot;family&quot;:&quot;Cohen&quot;,&quot;given&quot;:&quot;Lawrence B&quot;,&quot;parse-names&quot;:false,&quot;dropping-particle&quot;:&quot;&quot;,&quot;non-dropping-particle&quot;:&quot;&quot;},{&quot;family&quot;:&quot;Nanau&quot;,&quot;given&quot;:&quot;Radu M&quot;,&quot;parse-names&quot;:false,&quot;dropping-particle&quot;:&quot;&quot;,&quot;non-dropping-particle&quot;:&quot;&quot;}],&quot;container-title&quot;:&quot;Clinical biochemistry&quot;,&quot;container-title-short&quot;:&quot;Clin. Biochem.&quot;,&quot;DOI&quot;:&quot;10.1016/j.clinbiochem.2015.04.006&quot;,&quot;ISSN&quot;:&quot;1873-2933&quot;,&quot;PMID&quot;:&quot;25895484&quot;,&quot;issued&quot;:{&quot;date-parts&quot;:[[2015,7]]},&quot;page&quot;:&quot;716-39&quot;,&quot;abstract&quot;:&quot;UNLABELLED Quinolones are broad spectrum antibiotics that are intensively used and can induce immediate- and delayed-type hypersensitivity reactions, either IgE or T-cell mediated, in about 2-3% of treated patients. OBJECTIVE To better understand how T cells interact with quinolones to produce the hypersensitivity and to describe the possible prevention of the reactions. METHODS We search in PubMed for quinolones and adverse reactions naming each one of the therapeutics in use and the possible hypersensitivity reactions e.g., anaphylaxis, drug-induced delayed reactions, and hypersensitivity syndrome reactions. We also performed a search on organ-specific hypersensitivity reactions including cutaneous reactions, hepatic reactions, and renal reactions. RESULTS Our data show that T cells are involved in delayed immune reactions to quinolones and that cross-reactivity among the different quinolones is frequent. The predictive tests for quinolone-induced hypersensitivity should be used in patients before they are given the medication. CONCLUSIONS Early identification of the mechanism of toxicity, quantitative assessment using laboratory tests, analysis of risk factors for patient susceptibility to the quinolones, and possible drug-drug interactions may lead to appropriate patient selection for therapy, monitoring the injury early and discontinuation of the therapeutic agent.&quot;,&quot;issue&quot;:&quot;10-11&quot;,&quot;volume&quot;:&quot;48&quot;},&quot;isTemporary&quot;:false},{&quot;id&quot;:&quot;7936d5af-89db-3631-9e78-7cf0ccb0726f&quot;,&quot;itemData&quot;:{&quot;type&quot;:&quot;article-journal&quot;,&quot;id&quot;:&quot;7936d5af-89db-3631-9e78-7cf0ccb0726f&quot;,&quot;title&quot;:&quot;Hypersensitivity reactions to quinolones.&quot;,&quot;author&quot;:[{&quot;family&quot;:&quot;Blanca-López&quot;,&quot;given&quot;:&quot;Natalia&quot;,&quot;parse-names&quot;:false,&quot;dropping-particle&quot;:&quot;&quot;,&quot;non-dropping-particle&quot;:&quot;&quot;},{&quot;family&quot;:&quot;Andreu&quot;,&quot;given&quot;:&quot;Inmaculada&quot;,&quot;parse-names&quot;:false,&quot;dropping-particle&quot;:&quot;&quot;,&quot;non-dropping-particle&quot;:&quot;&quot;},{&quot;family&quot;:&quot;Torres Jaén&quot;,&quot;given&quot;:&quot;Maria J&quot;,&quot;parse-names&quot;:false,&quot;dropping-particle&quot;:&quot;&quot;,&quot;non-dropping-particle&quot;:&quot;&quot;}],&quot;container-title&quot;:&quot;Current opinion in allergy and clinical immunology&quot;,&quot;container-title-short&quot;:&quot;Curr. Opin. Allergy Clin. Immunol.&quot;,&quot;DOI&quot;:&quot;10.1097/ACI.0b013e3283489bc3&quot;,&quot;ISSN&quot;:&quot;1473-6322&quot;,&quot;PMID&quot;:&quot;21659860&quot;,&quot;issued&quot;:{&quot;date-parts&quot;:[[2011,8]]},&quot;page&quot;:&quot;285-91&quot;,&quot;abstract&quot;:&quot;PURPOSE OF REVIEW The purpose of this review is to examine in detail the new advances in the pathomechanisms and diagnosis of immediate and nonimmediate hypersensitivity reactions to quinolones, as well as analyze cross-reactivity among different quinolones. RECENT FINDINGS Hypersensitivity reactions to quinolones, especially anaphylactic reactions, have become more common in the past decade. This phenomenon could be related to their increased consumption. Although attempts have been made to standardize skin testing, the diagnosis of immediate hypersensitivity reactions to quinolones is mainly based on drug provocation. Some in-vitro, radioimmunoassay and basophil activation tests have also been used for diagnostic purposes, with results indicating that they could be complementary to in-vivo tests. Cross-reactivity seems to exist between first and second-generation quinolones, with lower levels with the third and fourth generations. However, no general rules exist for predicting cross-reactivity and it needs to be analyzed patient by patient. Nonimmediate hypersensitivity reactions also exist, especially maculopapular exanthema and fixed drug eruptions, and a T-cell mechanism has been demonstrated. SUMMARY Over the past decade the number of hypersensitivity reactions to quinolones has increased. These reactions can be severe and diagnosis difficult to confirm. Although new in-vitro tests hold promise, drug provocation testing remains the most frequently used and reliable diagnostic method.&quot;,&quot;issue&quot;:&quot;4&quot;,&quot;volume&quot;:&quot;11&quot;},&quot;isTemporary&quot;:false}]},{&quot;citationID&quot;:&quot;MENDELEY_CITATION_6e8bc8b0-caa5-41bd-be6f-f2fa53ed0a00&quot;,&quot;properties&quot;:{&quot;noteIndex&quot;:0},&quot;isEdited&quot;:false,&quot;manualOverride&quot;:{&quot;isManuallyOverridden&quot;:false,&quot;citeprocText&quot;:&quot;(Dhar &amp;#38; Sharma, 1996; Jain &amp;#38; Jain, 2013)&quot;,&quot;manualOverrideText&quot;:&quot;&quot;},&quot;citationTag&quot;:&quot;MENDELEY_CITATION_v3_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&quot;,&quot;citationItems&quot;:[{&quot;id&quot;:&quot;201e549a-100f-3716-9189-66685e65d415&quot;,&quot;itemData&quot;:{&quot;type&quot;:&quot;article-journal&quot;,&quot;id&quot;:&quot;201e549a-100f-3716-9189-66685e65d415&quot;,&quot;title&quot;:&quot;Fixed drug eruption due to ciprofloxacin.&quot;,&quot;author&quot;:[{&quot;family&quot;:&quot;Dhar&quot;,&quot;given&quot;:&quot;S&quot;,&quot;parse-names&quot;:false,&quot;dropping-particle&quot;:&quot;&quot;,&quot;non-dropping-particle&quot;:&quot;&quot;},{&quot;family&quot;:&quot;Sharma&quot;,&quot;given&quot;:&quot;V K&quot;,&quot;parse-names&quot;:false,&quot;dropping-particle&quot;:&quot;&quot;,&quot;non-dropping-particle&quot;:&quot;&quot;}],&quot;container-title&quot;:&quot;The British journal of dermatology&quot;,&quot;container-title-short&quot;:&quot;Br. J. Dermatol.&quot;,&quot;ISSN&quot;:&quot;0007-0963&quot;,&quot;PMID&quot;:&quot;8745905&quot;,&quot;issued&quot;:{&quot;date-parts&quot;:[[1996,1]]},&quot;page&quot;:&quot;156-8&quot;,&quot;abstract&quot;:&quot;We describe seven patients with fixed drug eruption (FDE) due to ciprofloxacin, five confirmed by rechallenge. These cases make up 8.75% of all cases of FDE seen by us during 1992-93. Isolated, and striking involvement of the lips was seen in two patients. To our knowledge, only a single case of FDE to ciprofloxacin previously has been reported. Our experience suggests that, with widespread use, ciprofloxacin could become one of the common drugs causing FDE.&quot;,&quot;issue&quot;:&quot;1&quot;,&quot;volume&quot;:&quot;134&quot;},&quot;isTemporary&quot;:false},{&quot;id&quot;:&quot;a65b49b3-2507-3d77-98c1-32844aad32a0&quot;,&quot;itemData&quot;:{&quot;type&quot;:&quot;article-journal&quot;,&quot;id&quot;:&quot;a65b49b3-2507-3d77-98c1-32844aad32a0&quot;,&quot;title&quot;:&quot;Bullous fixed drug eruption to ciprofloxacin: a case report.&quot;,&quot;author&quot;:[{&quot;family&quot;:&quot;Jain&quot;,&quot;given&quot;:&quot;Sonia Pramod&quot;,&quot;parse-names&quot;:false,&quot;dropping-particle&quot;:&quot;&quot;,&quot;non-dropping-particle&quot;:&quot;&quot;},{&quot;family&quot;:&quot;Jain&quot;,&quot;given&quot;:&quot;Pramod Ajit&quot;,&quot;parse-names&quot;:false,&quot;dropping-particle&quot;:&quot;&quot;,&quot;non-dropping-particle&quot;:&quot;&quot;}],&quot;container-title&quot;:&quot;Journal of clinical and diagnostic research : JCDR&quot;,&quot;container-title-short&quot;:&quot;J. Clin. Diagn. Res.&quot;,&quot;DOI&quot;:&quot;10.7860/JCDR/2013/4757.2901&quot;,&quot;ISSN&quot;:&quot;2249-782X&quot;,&quot;PMID&quot;:&quot;23730666&quot;,&quot;issued&quot;:{&quot;date-parts&quot;:[[2013,4]]},&quot;page&quot;:&quot;744-5&quot;,&quot;abstract&quot;:&quot;Adverse reactions to medications are extremely common and display a characteristic clinical morphology such as fixed drug eruption (FDE), Stevens-Johnson syndrome, urticaria, morbilliform exanthem, hypersensitivity syndrome, pigmentary changes, lichenoid, dermatitis, acute generalized exanthematous pustulosis, photosensitivity, vasculitis etc. Here we report a case of a 60 year old male who presented to us with multiple bullous eruptions over both the hands and feet after oral ingestion of ciprofloxacin.&quot;,&quot;issue&quot;:&quot;4&quot;,&quot;volume&quot;:&quot;7&quot;},&quot;isTemporary&quot;:false}]},{&quot;citationID&quot;:&quot;MENDELEY_CITATION_26e0c6da-aab9-4756-ad61-9f0076438a87&quot;,&quot;properties&quot;:{&quot;noteIndex&quot;:0},&quot;isEdited&quot;:false,&quot;manualOverride&quot;:{&quot;isManuallyOverridden&quot;:false,&quot;citeprocText&quot;:&quot;(Hausermann et al., 2005)&quot;,&quot;manualOverrideText&quot;:&quot;&quot;},&quot;citationTag&quot;:&quot;MENDELEY_CITATION_v3_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&quot;,&quot;citationItems&quot;:[{&quot;id&quot;:&quot;e76561e0-dc60-37c0-97d8-35fdcaba3d9a&quot;,&quot;itemData&quot;:{&quot;type&quot;:&quot;article-journal&quot;,&quot;id&quot;:&quot;e76561e0-dc60-37c0-97d8-35fdcaba3d9a&quot;,&quot;title&quot;:&quot;Ciprofloxacin-induced acute generalized exanthematous pustulosis mimicking bullous drug eruption confirmed by a positive patch test.&quot;,&quot;author&quot;:[{&quot;family&quot;:&quot;Hausermann&quot;,&quot;given&quot;:&quot;P&quot;,&quot;parse-names&quot;:false,&quot;dropping-particle&quot;:&quot;&quot;,&quot;non-dropping-particle&quot;:&quot;&quot;},{&quot;family&quot;:&quot;Scherer&quot;,&quot;given&quot;:&quot;K&quot;,&quot;parse-names&quot;:false,&quot;dropping-particle&quot;:&quot;&quot;,&quot;non-dropping-particle&quot;:&quot;&quot;},{&quot;family&quot;:&quot;Weber&quot;,&quot;given&quot;:&quot;M&quot;,&quot;parse-names&quot;:false,&quot;dropping-particle&quot;:&quot;&quot;,&quot;non-dropping-particle&quot;:&quot;&quot;},{&quot;family&quot;:&quot;Bircher&quot;,&quot;given&quot;:&quot;A J&quot;,&quot;parse-names&quot;:false,&quot;dropping-particle&quot;:&quot;&quot;,&quot;non-dropping-particle&quot;:&quot;&quot;}],&quot;container-title&quot;:&quot;Dermatology (Basel, Switzerland)&quot;,&quot;container-title-short&quot;:&quot;Dermatology&quot;,&quot;DOI&quot;:&quot;10.1159/000087024&quot;,&quot;ISSN&quot;:&quot;1018-8665&quot;,&quot;PMID&quot;:&quot;16205075&quot;,&quot;issued&quot;:{&quot;date-parts&quot;:[[2005]]},&quot;page&quot;:&quot;277-80&quot;,&quot;abstract&quot;:&quot;We report the case of an 80-year-old woman presenting with ciprofloxacin-induced acute generalized exanthematous pustulosis (AGEP) confirmed by a positive patch test. Cutaneous morphology, course and histological findings were consistent with a definite diagnosis according to the AGEP validation score of the EuroSCAR study group. We point to the rarity of quinolone-induced AGEP and discuss immunological mechanisms, the value of in vivo and in vitro tests as well as the main differential diagnosis. Furthermore, we highlight in this particular case the challenging differentiation from bullous drug eruption.&quot;,&quot;issue&quot;:&quot;3&quot;,&quot;volume&quot;:&quot;211&quot;},&quot;isTemporary&quot;:false}]},{&quot;citationID&quot;:&quot;MENDELEY_CITATION_6c1b5a23-ab02-4ab8-b57d-0dca6de7068f&quot;,&quot;properties&quot;:{&quot;noteIndex&quot;:0},&quot;isEdited&quot;:false,&quot;manualOverride&quot;:{&quot;isManuallyOverridden&quot;:false,&quot;citeprocText&quot;:&quot;(Naranjo et al., 1981)&quot;,&quot;manualOverrideText&quot;:&quot;&quot;},&quot;citationTag&quot;:&quot;MENDELEY_CITATION_v3_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&quot;,&quot;citationItems&quot;:[{&quot;id&quot;:&quot;bcc05313-f96e-3fa0-bb10-101fe5bf0786&quot;,&quot;itemData&quot;:{&quot;type&quot;:&quot;article-journal&quot;,&quot;id&quot;:&quot;bcc05313-f96e-3fa0-bb10-101fe5bf0786&quot;,&quot;title&quot;:&quot;A method for estimating the probability of adverse drug reactions.&quot;,&quot;author&quot;:[{&quot;family&quot;:&quot;Naranjo&quot;,&quot;given&quot;:&quot;C A&quot;,&quot;parse-names&quot;:false,&quot;dropping-particle&quot;:&quot;&quot;,&quot;non-dropping-particle&quot;:&quot;&quot;},{&quot;family&quot;:&quot;Busto&quot;,&quot;given&quot;:&quot;U&quot;,&quot;parse-names&quot;:false,&quot;dropping-particle&quot;:&quot;&quot;,&quot;non-dropping-particle&quot;:&quot;&quot;},{&quot;family&quot;:&quot;Sellers&quot;,&quot;given&quot;:&quot;E M&quot;,&quot;parse-names&quot;:false,&quot;dropping-particle&quot;:&quot;&quot;,&quot;non-dropping-particle&quot;:&quot;&quot;},{&quot;family&quot;:&quot;Sandor&quot;,&quot;given&quot;:&quot;P&quot;,&quot;parse-names&quot;:false,&quot;dropping-particle&quot;:&quot;&quot;,&quot;non-dropping-particle&quot;:&quot;&quot;},{&quot;family&quot;:&quot;Ruiz&quot;,&quot;given&quot;:&quot;I&quot;,&quot;parse-names&quot;:false,&quot;dropping-particle&quot;:&quot;&quot;,&quot;non-dropping-particle&quot;:&quot;&quot;},{&quot;family&quot;:&quot;Roberts&quot;,&quot;given&quot;:&quot;E A&quot;,&quot;parse-names&quot;:false,&quot;dropping-particle&quot;:&quot;&quot;,&quot;non-dropping-particle&quot;:&quot;&quot;},{&quot;family&quot;:&quot;Janecek&quot;,&quot;given&quot;:&quot;E&quot;,&quot;parse-names&quot;:false,&quot;dropping-particle&quot;:&quot;&quot;,&quot;non-dropping-particle&quot;:&quot;&quot;},{&quot;family&quot;:&quot;Domecq&quot;,&quot;given&quot;:&quot;C&quot;,&quot;parse-names&quot;:false,&quot;dropping-particle&quot;:&quot;&quot;,&quot;non-dropping-particle&quot;:&quot;&quot;},{&quot;family&quot;:&quot;Greenblatt&quot;,&quot;given&quot;:&quot;D J&quot;,&quot;parse-names&quot;:false,&quot;dropping-particle&quot;:&quot;&quot;,&quot;non-dropping-particle&quot;:&quot;&quot;}],&quot;container-title&quot;:&quot;Clinical pharmacology and therapeutics&quot;,&quot;container-title-short&quot;:&quot;Clin. Pharmacol. Ther.&quot;,&quot;DOI&quot;:&quot;10.1038/clpt.1981.154&quot;,&quot;ISSN&quot;:&quot;0009-9236&quot;,&quot;PMID&quot;:&quot;7249508&quot;,&quot;issued&quot;:{&quot;date-parts&quot;:[[1981,8]]},&quot;page&quot;:&quot;239-45&quot;,&quot;issue&quot;:&quot;2&quot;,&quot;volume&quot;:&quot;30&quot;},&quot;isTemporary&quot;:false}]},{&quot;citationID&quot;:&quot;MENDELEY_CITATION_e416c071-4d70-4ef3-87ca-c812a2c8a981&quot;,&quot;properties&quot;:{&quot;noteIndex&quot;:0},&quot;isEdited&quot;:false,&quot;manualOverride&quot;:{&quot;isManuallyOverridden&quot;:false,&quot;citeprocText&quot;:&quot;(Baggio &amp;#38; Ananda-Rajah, 2021; Rusu et al., 2023)&quot;,&quot;manualOverrideText&quot;:&quot;&quot;},&quot;citationTag&quot;:&quot;MENDELEY_CITATION_v3_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&quot;,&quot;citationItems&quot;:[{&quot;id&quot;:&quot;358d4a86-8582-3c0f-806e-533de39fa701&quot;,&quot;itemData&quot;:{&quot;type&quot;:&quot;article-journal&quot;,&quot;id&quot;:&quot;358d4a86-8582-3c0f-806e-533de39fa701&quot;,&quot;title&quot;:&quot;Overview of Side-Effects of Antibacterial Fluoroquinolones: New Drugs versus Old Drugs, a Step Forward in the Safety Profile?&quot;,&quot;author&quot;:[{&quot;family&quot;:&quot;Rusu&quot;,&quot;given&quot;:&quot;Aura&quot;,&quot;parse-names&quot;:false,&quot;dropping-particle&quot;:&quot;&quot;,&quot;non-dropping-particle&quot;:&quot;&quot;},{&quot;family&quot;:&quot;Munteanu&quot;,&quot;given&quot;:&quot;Alexandra-Cristina&quot;,&quot;parse-names&quot;:false,&quot;dropping-particle&quot;:&quot;&quot;,&quot;non-dropping-particle&quot;:&quot;&quot;},{&quot;family&quot;:&quot;Arbănași&quot;,&quot;given&quot;:&quot;Eliza-Mihaela&quot;,&quot;parse-names&quot;:false,&quot;dropping-particle&quot;:&quot;&quot;,&quot;non-dropping-particle&quot;:&quot;&quot;},{&quot;family&quot;:&quot;Uivarosi&quot;,&quot;given&quot;:&quot;Valentina&quot;,&quot;parse-names&quot;:false,&quot;dropping-particle&quot;:&quot;&quot;,&quot;non-dropping-particle&quot;:&quot;&quot;}],&quot;container-title&quot;:&quot;Pharmaceutics&quot;,&quot;container-title-short&quot;:&quot;Pharmaceutics&quot;,&quot;DOI&quot;:&quot;10.3390/pharmaceutics15030804&quot;,&quot;ISSN&quot;:&quot;1999-4923&quot;,&quot;PMID&quot;:&quot;36986665&quot;,&quot;issued&quot;:{&quot;date-parts&quot;:[[2023,3,1]]},&quot;abstract&quot;:&quot;Antibacterial fluoroquinolones (FQs) are frequently used in treating infections. However, the value of FQs is debatable due to their association with severe adverse effects (AEs). The Food and Drug Administration (FDA) issued safety warnings concerning their side-effects in 2008, followed by the European Medicine Agency (EMA) and regulatory authorities from other countries. Severe AEs associated with some FQs have been reported, leading to their withdrawal from the market. New systemic FQs have been recently approved. The FDA and EMA approved delafloxacin. Additionally, lascufloxacin, levonadifloxacin, nemonoxacin, sitafloxacin, and zabofloxacin were approved in their origin countries. The relevant AEs of FQs and their mechanisms of occurrence have been approached. New systemic FQs present potent antibacterial activity against many resistant bacteria (including resistance to FQs). Generally, in clinical studies, the new FQs were well-tolerated with mild or moderate AEs. All the new FQs approved in the origin countries require more clinical studies to meet FDA or EMA requirements. Post-marketing surveillance will confirm or infirm the known safety profile of these new antibacterial drugs. The main AEs of the FQs class were addressed, highlighting the existing data for the recently approved ones. In addition, the general management of AEs when they occur and the rational use and caution of modern FQs were outlined.&quot;,&quot;issue&quot;:&quot;3&quot;,&quot;volume&quot;:&quot;15&quot;},&quot;isTemporary&quot;:false},{&quot;id&quot;:&quot;956ed2af-c7b3-309b-81cd-b775e881e650&quot;,&quot;itemData&quot;:{&quot;type&quot;:&quot;article-journal&quot;,&quot;id&quot;:&quot;956ed2af-c7b3-309b-81cd-b775e881e650&quot;,&quot;title&quot;:&quot;Fluoroquinolone antibiotics and adverse events&quot;,&quot;author&quot;:[{&quot;family&quot;:&quot;Baggio&quot;,&quot;given&quot;:&quot;Diva&quot;,&quot;parse-names&quot;:false,&quot;dropping-particle&quot;:&quot;&quot;,&quot;non-dropping-particle&quot;:&quot;&quot;},{&quot;family&quot;:&quot;Ananda-Rajah&quot;,&quot;given&quot;:&quot;Michelle R.&quot;,&quot;parse-names&quot;:false,&quot;dropping-particle&quot;:&quot;&quot;,&quot;non-dropping-particle&quot;:&quot;&quot;}],&quot;container-title&quot;:&quot;Australian Prescriber&quot;,&quot;container-title-short&quot;:&quot;Aust. Prescr.&quot;,&quot;DOI&quot;:&quot;10.18773/austprescr.2021.035&quot;,&quot;ISSN&quot;:&quot;18393942&quot;,&quot;issued&quot;:{&quot;date-parts&quot;:[[2021,10,1]]},&quot;page&quot;:&quot;161-164&quot;,&quot;abstract&quot;:&quot;Fluoroquinolones are broad-spectrum antibiotics with good oral bioavailability. They are used for the treatment of a wide variety of infections, but there are restrictions on prescribing these drugs. Epidemiological studies have reported an increased risk of rare adverse effects. These include tendinopathy and tendon rupture, peripheral neuropathy and aortic aneurysm. Safe prescribing of fluroquinolones requires recognition of patients with risk factors for toxicity. Prompt drug discontinuation is recommended in the event of an adverse reaction. Practising antimicrobial stewardship by prescribing fluoroquinolones only when alternative drugs are unavailable is also key to limiting adverse events and antibiotic resistance.&quot;,&quot;publisher&quot;:&quot;NPS MedicineWise&quot;,&quot;issue&quot;:&quot;5&quot;,&quot;volume&quot;:&quot;44&quot;},&quot;isTemporary&quot;:false}]},{&quot;citationID&quot;:&quot;MENDELEY_CITATION_95f590b9-7005-4f9c-95c7-4822c5638ed1&quot;,&quot;properties&quot;:{&quot;noteIndex&quot;:0},&quot;isEdited&quot;:false,&quot;manualOverride&quot;:{&quot;isManuallyOverridden&quot;:false,&quot;citeprocText&quot;:&quot;(Jadoon et al., 2015)&quot;,&quot;manualOverrideText&quot;:&quot;&quot;},&quot;citationTag&quot;:&quot;MENDELEY_CITATION_v3_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&quot;,&quot;citationItems&quot;:[{&quot;id&quot;:&quot;367b810d-e861-36c7-8f19-83a50745e090&quot;,&quot;itemData&quot;:{&quot;type&quot;:&quot;article-journal&quot;,&quot;id&quot;:&quot;367b810d-e861-36c7-8f19-83a50745e090&quot;,&quot;title&quot;:&quot;E. coli Resistance to Ciprofloxacin and Common Associated Factors.&quot;,&quot;author&quot;:[{&quot;family&quot;:&quot;Jadoon&quot;,&quot;given&quot;:&quot;Raheel Jahangir&quot;,&quot;parse-names&quot;:false,&quot;dropping-particle&quot;:&quot;&quot;,&quot;non-dropping-particle&quot;:&quot;&quot;},{&quot;family&quot;:&quot;Jalal-ud-Din&quot;,&quot;given&quot;:&quot;Mir&quot;,&quot;parse-names&quot;:false,&quot;dropping-particle&quot;:&quot;&quot;,&quot;non-dropping-particle&quot;:&quot;&quot;},{&quot;family&quot;:&quot;Khan&quot;,&quot;given&quot;:&quot;Sher Ali&quot;,&quot;parse-names&quot;:false,&quot;dropping-particle&quot;:&quot;&quot;,&quot;non-dropping-particle&quot;:&quot;&quot;}],&quot;container-title&quot;:&quot;Journal of the College of Physicians and Surgeons--Pakistan : JCPSP&quot;,&quot;container-title-short&quot;:&quot;J. Coll. Physicians Surg. Pak.&quot;,&quot;ISSN&quot;:&quot;1681-7168&quot;,&quot;PMID&quot;:&quot;26577970&quot;,&quot;issued&quot;:{&quot;date-parts&quot;:[[2015,11]]},&quot;page&quot;:&quot;824-7&quot;,&quot;abstract&quot;:&quot;OBJECTIVE To determine the frequency of E. coli resistance to ciprofloxacin and common factors leading to it among patients presenting with urinary tract infection. STUDY DESIGN Descriptive cross-sectional study. PLACE AND DURATION OF STUDY Department of Medicine, Ayub Teaching Hospital, Abbottabad, from December 2011 to June 2012. METHODOLOGY A total of 166 patients, &gt; 18 years of age of both gender, who presented with features of UTI and had urine culture positive for E.coli were included in the study. The urine samples were further tested for ciprofloxacin resistance and the patients were further checked for the common factors leading to E.coli resistance to ciprofloxacin. RESULTS Among 166 patients, 41 were male and 125 were female patients. Sixty-six (39.8%) E. coli isolates showed ciprofloxacin resistance. Male gender (p-value 0.001), previous history of recurrent UTI (p = 0.008, OR = 2.37), history of prior use of ciprofloxacin (p = 0.018, OR = 2.16) and history of catheterization (p = 0.005, OR = 4.80) were independent risk factors found in this study for the development of ciprofloxacin resistant UTIs. CONCLUSION Ciprofloxacin resistance rates of E.coli were high at over 39.8%. The risk factors that affected the ciprofloxacin resistance rates of E.coli were prior use of ciprofloxacin, recurrent UTI, previous catheterization and male gender. Ciprofloxacin should be prescribed cautiously in patients with these risk factors and urine culture and sensitivity test should be performed for optimal treatment.&quot;,&quot;issue&quot;:&quot;11&quot;,&quot;volume&quot;:&quot;25&quot;},&quot;isTemporary&quot;:false}]},{&quot;citationID&quot;:&quot;MENDELEY_CITATION_0d24df24-0bb9-45aa-9f6f-eb5da648dfce&quot;,&quot;properties&quot;:{&quot;noteIndex&quot;:0},&quot;isEdited&quot;:false,&quot;manualOverride&quot;:{&quot;isManuallyOverridden&quot;:false,&quot;citeprocText&quot;:&quot;(Altaf et al., 2023; Hassan et al., 2025)&quot;,&quot;manualOverrideText&quot;:&quot;&quot;},&quot;citationTag&quot;:&quot;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&quot;,&quot;citationItems&quot;:[{&quot;id&quot;:&quot;860f1dc6-ca32-34ca-9216-213dca3b85fa&quot;,&quot;itemData&quot;:{&quot;type&quot;:&quot;article-journal&quot;,&quot;id&quot;:&quot;860f1dc6-ca32-34ca-9216-213dca3b85fa&quot;,&quot;title&quot;:&quot;Enhancing antibiotic stewardship: Physicians' acceptance of AWaRe (Access, Watch, Reserve)-based microbiology reporting and its impact on judicious antibiotic selection - a cross-sectional study.&quot;,&quot;author&quot;:[{&quot;family&quot;:&quot;Hassan&quot;,&quot;given&quot;:&quot;Heera&quot;,&quot;parse-names&quot;:false,&quot;dropping-particle&quot;:&quot;&quot;,&quot;non-dropping-particle&quot;:&quot;&quot;},{&quot;family&quot;:&quot;Reghukumar&quot;,&quot;given&quot;:&quot;Aravind&quot;,&quot;parse-names&quot;:false,&quot;dropping-particle&quot;:&quot;&quot;,&quot;non-dropping-particle&quot;:&quot;&quot;},{&quot;family&quot;:&quot;Rajahamsan&quot;,&quot;given&quot;:&quot;Jyothi&quot;,&quot;parse-names&quot;:false,&quot;dropping-particle&quot;:&quot;&quot;,&quot;non-dropping-particle&quot;:&quot;&quot;},{&quot;family&quot;:&quot;Harikumar&quot;,&quot;given&quot;:&quot;Sreenadh&quot;,&quot;parse-names&quot;:false,&quot;dropping-particle&quot;:&quot;&quot;,&quot;non-dropping-particle&quot;:&quot;&quot;},{&quot;family&quot;:&quot;Shanmugham&quot;,&quot;given&quot;:&quot;Manjusree&quot;,&quot;parse-names&quot;:false,&quot;dropping-particle&quot;:&quot;&quot;,&quot;non-dropping-particle&quot;:&quot;&quot;}],&quot;container-title&quot;:&quot;GMS hygiene and infection control&quot;,&quot;container-title-short&quot;:&quot;GMS Hyg. Infect. Control&quot;,&quot;DOI&quot;:&quot;10.3205/dgkh000532&quot;,&quot;ISSN&quot;:&quot;2196-5226&quot;,&quot;PMID&quot;:&quot;40352656&quot;,&quot;issued&quot;:{&quot;date-parts&quot;:[[2025]]},&quot;page&quot;:&quot;Doc03&quot;,&quot;abstract&quot;:&quot;BACKGROUND Inappropriate and excessive use of antimicrobials contributes to the rise of antimicrobial resistance (AMR). To address this, better tools are needed to improve antibiotic prescribing globally. This study evaluates a novel antimicrobial stewardship (AMS) tool - the AWaRe-based microbiology reporting format - developed by the Departments of Microbiology and Infectious Diseases at the Government Medical College, Trivandrum, Kerala state, India. This format incorporates the WHO AWaRe classification into bacterial culture susceptibility reports. The primary objective was to assess the effectiveness of this reporting format in encouraging physicians to choose access antibiotics. The secondary objective was to identify the most preferred microbiology reporting format for antimicrobial susceptibility reports. MATERIALS AND METHODS A cross-sectional study was conducted among registered modern-medicine practitioners (physicians) in Kerala via social media platforms using a Google form-based questionnaire over a two-month period. Responses were automatically recorded and analysed using descriptive statistical methods. The study included all physicians who gave informed consent, excluding those who declined to participate. The sample size was determined to be 138 based on a pilot study. RESULTS A total of 228 physicians participated in the study, 137 (60.1%) of which were clinicians. Among the participants, 199 (87.2%) preferred the AWaRe-based reporting format over conventional formats for effective implementation of the Antimicrobial Stewardship Programme (AMSP). Using this AMS tool, 76.7% (n=56) of participants were successfully guided to choose appropriate access antibiotics. CONCLUSION The study demonstrates that AWaRe-based susceptibility reporting formats can effectively nudge clinicians towards better antibiotic selection, supporting the successful implementation of AMSP (antibiotic stewardship programs). This format also serves as a continuous IEC (Information, Education and Communication) tool, helping clinicians familiarize themselves with WHO AWaRe classifications and encouraging the preferential selection of access-group antibiotics when appropriate. HINTERGRUND Der unsachgemäße und übermäßige Einsatz von Antibiotika trägt zum Anstieg der Antibiotikaresistenz (AMR) bei. Um dieses Problem anzugehen, werden bessere Instrumente benötigt, um die Verschreibung von Antibiotika weltweit zu verbessern. In dieser Studie wird ein neuartiges Tool für den verantwortungsvollen Umgang mit Antibiotika (Antibiotic Stewardship, AMS) bewertet, das AWaRe-basierte mikrobiologische Berichtsformat, das von den Abteilungen für Mikrobiologie und Infektionskrankheiten am Govt Medical College, Trivandrum, entwickelt wurde. In diesem Format wird die AWaRe-Klassifizierung der WHO in die Berichte über die Empfindlichkeit von Bakterienkulturen integriert. Das primäre Ziel bestand darin, die Wirksamkeit dieses Berichtsformats zu bewerten, um Ärzte zu ermutigen, geeignete Antibiotika auszuwählen. Das sekundäre Ziel bestand darin, das bevorzugte mikrobiologische Berichtsformat für Bericht zur antibiotischen Empfindlichkeit zu ermitteln. MATERIALIEN UND METHODE Es wurde eine Querschnittsstudie unter registrierten Ärzten für moderne Medizin in Kerala über Social-Media-Plattformen mit einem Google-basierten Fragebogen über zwei Monate durchgeführt. Die Antworten wurden automatisch aufgezeichnet und mit deskriptiven statistischen Methoden analysiert. In die Studie wurden alle Ärzte für moderne Medizin einbezogen, die ihre Zustimmung gaben. Ausgeschlossen wurden diejenigen, die die Teilnahme ablehnten. Die Stichprobengröße wurde auf der Grundlage einer Pilotstudie auf 138 festgelegt. ERGEBNIS An der Studie nahmen 228 Ärzte teil, von denen 137 (60,1%) Kliniker waren. Von den Teilnehmern bevorzugten 199 (87,2%) das AWaRe-basierte Meldeformat gegenüber herkömmlichen Formaten für eine wirksame Umsetzung des Antibiotic Stewardship Programms (AMSP). Mit Hilfe des AMS-Tools wurden 76,7% (n=56) der Teilnehmer erfolgreich zur Auswahl geeigneter Antibiotika angeleitet. SCHLUSSFOLGERUNG Die Studie zeigt, dass AWaRe-basierte Berichtsformate zur Antibiotikaempfindlichkeit Kliniker wirksam zu einer besseren Antibiotikaauswahl anregen können und die erfolgreiche Umsetzung des AMSP unterstützen. Das Berichtsformat dient auch als kontinuierliches IEC-Instrument, das den Klinikern hilft, sich mit den AWaRe-Klassifikationen der WHO vertraut zu machen, und die bevorzugte Auswahl von Antibiotika der Zugangsgruppe fördert, wenn das angebracht ist.&quot;,&quot;volume&quot;:&quot;20&quot;},&quot;isTemporary&quot;:false},{&quot;id&quot;:&quot;511d0697-d87b-3c97-9a70-951569bec9cc&quot;,&quot;itemData&quot;:{&quot;type&quot;:&quot;article-journal&quot;,&quot;id&quot;:&quot;511d0697-d87b-3c97-9a70-951569bec9cc&quot;,&quot;title&quot;:&quot;Using Culture Sensitivity Reports to Optimize Antimicrobial Therapy: Findings and Implications of Antimicrobial Stewardship Activity in a Hospital in Pakistan.&quot;,&quot;author&quot;:[{&quot;family&quot;:&quot;Altaf&quot;,&quot;given&quot;:&quot;Ummara&quot;,&quot;parse-names&quot;:false,&quot;dropping-particle&quot;:&quot;&quot;,&quot;non-dropping-particle&quot;:&quot;&quot;},{&quot;family&quot;:&quot;Saleem&quot;,&quot;given&quot;:&quot;Zikria&quot;,&quot;parse-names&quot;:false,&quot;dropping-particle&quot;:&quot;&quot;,&quot;non-dropping-particle&quot;:&quot;&quot;},{&quot;family&quot;:&quot;Akhtar&quot;,&quot;given&quot;:&quot;Muhammad Furqan&quot;,&quot;parse-names&quot;:false,&quot;dropping-particle&quot;:&quot;&quot;,&quot;non-dropping-particle&quot;:&quot;&quot;},{&quot;family&quot;:&quot;Altowayan&quot;,&quot;given&quot;:&quot;Waleed Mohammad&quot;,&quot;parse-names&quot;:false,&quot;dropping-particle&quot;:&quot;&quot;,&quot;non-dropping-particle&quot;:&quot;&quot;},{&quot;family&quot;:&quot;Alqasoumi&quot;,&quot;given&quot;:&quot;Abdulmajeed A&quot;,&quot;parse-names&quot;:false,&quot;dropping-particle&quot;:&quot;&quot;,&quot;non-dropping-particle&quot;:&quot;&quot;},{&quot;family&quot;:&quot;Alshammari&quot;,&quot;given&quot;:&quot;Mohammed Salem&quot;,&quot;parse-names&quot;:false,&quot;dropping-particle&quot;:&quot;&quot;,&quot;non-dropping-particle&quot;:&quot;&quot;},{&quot;family&quot;:&quot;Haseeb&quot;,&quot;given&quot;:&quot;Abdul&quot;,&quot;parse-names&quot;:false,&quot;dropping-particle&quot;:&quot;&quot;,&quot;non-dropping-particle&quot;:&quot;&quot;},{&quot;family&quot;:&quot;Raees&quot;,&quot;given&quot;:&quot;Fahad&quot;,&quot;parse-names&quot;:false,&quot;dropping-particle&quot;:&quot;&quot;,&quot;non-dropping-particle&quot;:&quot;&quot;},{&quot;family&quot;:&quot;Imam&quot;,&quot;given&quot;:&quot;Mohammad Tarique&quot;,&quot;parse-names&quot;:false,&quot;dropping-particle&quot;:&quot;&quot;,&quot;non-dropping-particle&quot;:&quot;&quot;},{&quot;family&quot;:&quot;Batool&quot;,&quot;given&quot;:&quot;Narjis&quot;,&quot;parse-names&quot;:false,&quot;dropping-particle&quot;:&quot;&quot;,&quot;non-dropping-particle&quot;:&quot;&quot;},{&quot;family&quot;:&quot;Akhtar&quot;,&quot;given&quot;:&quot;Muhammad Masoom&quot;,&quot;parse-names&quot;:false,&quot;dropping-particle&quot;:&quot;&quot;,&quot;non-dropping-particle&quot;:&quot;&quot;},{&quot;family&quot;:&quot;Godman&quot;,&quot;given&quot;:&quot;Brian&quot;,&quot;parse-names&quot;:false,&quot;dropping-particle&quot;:&quot;&quot;,&quot;non-dropping-particle&quot;:&quot;&quot;}],&quot;container-title&quot;:&quot;Medicina (Kaunas, Lithuania)&quot;,&quot;container-title-short&quot;:&quot;Medicina (Kaunas)&quot;,&quot;DOI&quot;:&quot;10.3390/medicina59071237&quot;,&quot;ISSN&quot;:&quot;1648-9144&quot;,&quot;PMID&quot;:&quot;37512049&quot;,&quot;issued&quot;:{&quot;date-parts&quot;:[[2023,7,2]]},&quot;abstract&quot;:&quot;Background: There are concerns with inappropriate prescribing of antibiotics in hospitals especially broad spectrum in Pakistan and the subsequent impact on antimicrobial resistance rates. One recognized way to reduce inappropriate prescribing is for empiric therapy to be adjusted according to the result of culture sensitivity reports. Objective: Using culture sensitivity reports to optimize antibiotic prescribing in a teaching hospital in Pakistan. Methods: A retrospective observational study was undertaken in Ghurki Trust Teaching Hospital. A total of 465 positive cultures were taken from patients during the study period (May 2018 and December 2018). The results of pathogen identification and susceptibility testing from patient-infected sites were assessed. Additional data was collected from the patient's medical file. This included demographic data, sample type, causative microbe, antimicrobial treatment, and whether empiric or definitive treatment as well as medicine costs. Antimicrobial data was assessed using World Health Organization's Defined Daily Dose methodology. Results: A total of 497 isolates were detected from the 465 patient samples as 32 patients had polymicrobes, which included 309 g-negative rods and 188 g-positive cocci. Out of 497 isolates, the most common Gram-positive pathogen isolated was Staphylococcus aureus (Methicillin-sensitive Staphylococcus aureus) (125) (25.1%) and the most common Gram-negative pathogen was Escherichia coli (140) (28.1%). Most of the gram-negative isolates were found to be resistant to ampicillin and co-amoxiclav. Most of the Acinetobacter baumannii isolates were resistant to carbapenems. Gram-positive bacteria showed the maximum sensitivity to linezolid and vancomycin. The most widely used antibiotics for empiric therapy were cefoperazone plus sulbactam, ceftriaxone, amikacin, vancomycin, and metronidazole whereas high use of linezolid, clindamycin, meropenem, and piperacillin + tazobactam was seen in definitive treatment. Empiric therapy was adjusted in 220 (71.1%) cases of Gram-negative infections and 134 (71.2%) cases of Gram-positive infections. Compared with empiric therapy, there was a 13.8% reduction in the number of antibiotics in definitive treatment. The average cost of antibiotics in definitive treatment was less than seen with empiric treatment (8.2%) and the length of hospitalization also decreased. Conclusions: Culture sensitivity reports helped reduced antibiotic utilization and costs as well as helped select the most appropriate treatment. We also found an urgent need for implementing antimicrobial stewardship programs in hospitals and the development of hospital antibiotic guidelines to reduce unnecessary prescribing of broad-spectrum antibiotics.&quot;,&quot;issue&quot;:&quot;7&quot;,&quot;volume&quot;:&quot;59&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14</TotalTime>
  <Pages>9</Pages>
  <Words>5346</Words>
  <Characters>30478</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35753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1020</cp:lastModifiedBy>
  <cp:revision>17</cp:revision>
  <cp:lastPrinted>1999-07-06T11:00:00Z</cp:lastPrinted>
  <dcterms:created xsi:type="dcterms:W3CDTF">2026-08-21T19:31:00Z</dcterms:created>
  <dcterms:modified xsi:type="dcterms:W3CDTF">2026-08-26T06:10:00Z</dcterms:modified>
</cp:coreProperties>
</file>